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DA7A6" w14:textId="77777777" w:rsidR="00814441" w:rsidRDefault="00814441" w:rsidP="00814441">
      <w:pPr>
        <w:widowControl w:val="0"/>
        <w:pBdr>
          <w:top w:val="single" w:sz="4" w:space="1" w:color="auto"/>
          <w:left w:val="single" w:sz="4" w:space="4" w:color="auto"/>
          <w:bottom w:val="single" w:sz="4" w:space="1" w:color="auto"/>
          <w:right w:val="single" w:sz="4" w:space="4" w:color="auto"/>
        </w:pBdr>
        <w:ind w:left="0" w:firstLine="0"/>
      </w:pPr>
      <w:r w:rsidRPr="00220238">
        <w:t>Niniejszy dokument to zatwierdzone druki informacyjne produktu leczniczego</w:t>
      </w:r>
      <w:r>
        <w:rPr>
          <w:lang w:val="en-GB"/>
        </w:rPr>
        <w:t xml:space="preserve"> </w:t>
      </w:r>
      <w:proofErr w:type="spellStart"/>
      <w:r>
        <w:rPr>
          <w:lang w:val="en-GB"/>
        </w:rPr>
        <w:t>Revolade</w:t>
      </w:r>
      <w:proofErr w:type="spellEnd"/>
      <w:r>
        <w:t xml:space="preserve"> </w:t>
      </w:r>
      <w:r w:rsidRPr="00220238">
        <w:t>z wyróżnionymi zmianami wprowadzonymi od czasu poprzedniej procedury, mającymi wpływ na druki informacyjne</w:t>
      </w:r>
      <w:r>
        <w:t xml:space="preserve"> (EMEA/H/C/001110/II/0077).</w:t>
      </w:r>
    </w:p>
    <w:p w14:paraId="42957C4C" w14:textId="77777777" w:rsidR="00814441" w:rsidRDefault="00814441" w:rsidP="00814441">
      <w:pPr>
        <w:widowControl w:val="0"/>
        <w:pBdr>
          <w:top w:val="single" w:sz="4" w:space="1" w:color="auto"/>
          <w:left w:val="single" w:sz="4" w:space="4" w:color="auto"/>
          <w:bottom w:val="single" w:sz="4" w:space="1" w:color="auto"/>
          <w:right w:val="single" w:sz="4" w:space="4" w:color="auto"/>
        </w:pBdr>
        <w:ind w:left="0" w:firstLine="0"/>
      </w:pPr>
    </w:p>
    <w:p w14:paraId="1A585972" w14:textId="7BCE4626" w:rsidR="00493198" w:rsidRDefault="00814441" w:rsidP="00814441">
      <w:pPr>
        <w:pBdr>
          <w:top w:val="single" w:sz="4" w:space="1" w:color="auto"/>
          <w:left w:val="single" w:sz="4" w:space="4" w:color="auto"/>
          <w:bottom w:val="single" w:sz="4" w:space="1" w:color="auto"/>
          <w:right w:val="single" w:sz="4" w:space="4" w:color="auto"/>
        </w:pBdr>
        <w:ind w:left="0" w:firstLine="0"/>
      </w:pPr>
      <w:r w:rsidRPr="00220238">
        <w:t>Więcej informacji znajduje się na stronie internetowej Europejskiej Agencji Leków</w:t>
      </w:r>
      <w:r>
        <w:t xml:space="preserve">: </w:t>
      </w:r>
      <w:hyperlink r:id="rId8" w:history="1">
        <w:r>
          <w:rPr>
            <w:rStyle w:val="Hyperlink"/>
          </w:rPr>
          <w:t>https://www.ema.europa.eu/en/medicines/human/EPAR/revolade</w:t>
        </w:r>
      </w:hyperlink>
    </w:p>
    <w:p w14:paraId="1FED053A" w14:textId="77777777" w:rsidR="00493198" w:rsidRPr="00916E76" w:rsidRDefault="00493198" w:rsidP="001A6584"/>
    <w:p w14:paraId="62EE407C" w14:textId="77777777" w:rsidR="00493198" w:rsidRPr="00916E76" w:rsidRDefault="00493198" w:rsidP="001A6584"/>
    <w:p w14:paraId="692CBAA6" w14:textId="77777777" w:rsidR="00493198" w:rsidRPr="00916E76" w:rsidRDefault="00493198" w:rsidP="001A6584"/>
    <w:p w14:paraId="740157D4" w14:textId="77777777" w:rsidR="00493198" w:rsidRPr="00916E76" w:rsidRDefault="00493198" w:rsidP="001A6584"/>
    <w:p w14:paraId="729364F0" w14:textId="77777777" w:rsidR="00493198" w:rsidRPr="00916E76" w:rsidRDefault="00493198" w:rsidP="001A6584"/>
    <w:p w14:paraId="1B942E05" w14:textId="77777777" w:rsidR="00493198" w:rsidRPr="00916E76" w:rsidRDefault="00493198" w:rsidP="001A6584"/>
    <w:p w14:paraId="1EB63FC6" w14:textId="77777777" w:rsidR="00493198" w:rsidRPr="00916E76" w:rsidRDefault="00493198" w:rsidP="001A6584"/>
    <w:p w14:paraId="50B94D1F" w14:textId="77777777" w:rsidR="00493198" w:rsidRPr="00916E76" w:rsidRDefault="00493198" w:rsidP="001A6584"/>
    <w:p w14:paraId="6FD06EF5" w14:textId="77777777" w:rsidR="00493198" w:rsidRPr="00916E76" w:rsidRDefault="00493198" w:rsidP="001A6584"/>
    <w:p w14:paraId="2A3D9EE6" w14:textId="77777777" w:rsidR="00493198" w:rsidRPr="00916E76" w:rsidRDefault="00493198" w:rsidP="001A6584"/>
    <w:p w14:paraId="190594A1" w14:textId="77777777" w:rsidR="00493198" w:rsidRPr="00916E76" w:rsidRDefault="00493198" w:rsidP="001A6584"/>
    <w:p w14:paraId="0623AB60" w14:textId="77777777" w:rsidR="00493198" w:rsidRPr="00916E76" w:rsidRDefault="00493198" w:rsidP="001A6584"/>
    <w:p w14:paraId="21722EE9" w14:textId="77777777" w:rsidR="00493198" w:rsidRPr="00916E76" w:rsidRDefault="00493198" w:rsidP="001A6584"/>
    <w:p w14:paraId="347E5A7D" w14:textId="77777777" w:rsidR="00493198" w:rsidRPr="00916E76" w:rsidRDefault="00493198" w:rsidP="001A6584"/>
    <w:p w14:paraId="6E624FF0" w14:textId="77777777" w:rsidR="00493198" w:rsidRDefault="00493198" w:rsidP="001A6584">
      <w:pPr>
        <w:tabs>
          <w:tab w:val="left" w:pos="-1440"/>
          <w:tab w:val="left" w:pos="-720"/>
        </w:tabs>
      </w:pPr>
    </w:p>
    <w:p w14:paraId="4CA1A4EB" w14:textId="77777777" w:rsidR="00916E76" w:rsidRPr="00916E76" w:rsidRDefault="00916E76" w:rsidP="001A6584">
      <w:pPr>
        <w:tabs>
          <w:tab w:val="left" w:pos="-1440"/>
          <w:tab w:val="left" w:pos="-720"/>
        </w:tabs>
      </w:pPr>
    </w:p>
    <w:p w14:paraId="7040B997" w14:textId="77777777" w:rsidR="00493198" w:rsidRPr="00916E76" w:rsidRDefault="00493198" w:rsidP="001A6584">
      <w:pPr>
        <w:tabs>
          <w:tab w:val="left" w:pos="-1440"/>
          <w:tab w:val="left" w:pos="-720"/>
        </w:tabs>
      </w:pPr>
    </w:p>
    <w:p w14:paraId="7E1CB71C" w14:textId="1C010897" w:rsidR="00493198" w:rsidRPr="007E4DA1" w:rsidRDefault="00037B14" w:rsidP="001A6584">
      <w:pPr>
        <w:tabs>
          <w:tab w:val="left" w:pos="-1440"/>
          <w:tab w:val="left" w:pos="-720"/>
        </w:tabs>
        <w:jc w:val="center"/>
      </w:pPr>
      <w:r w:rsidRPr="007E4DA1">
        <w:rPr>
          <w:b/>
        </w:rPr>
        <w:t xml:space="preserve">ANEKS </w:t>
      </w:r>
      <w:r w:rsidR="00493198" w:rsidRPr="007E4DA1">
        <w:rPr>
          <w:b/>
        </w:rPr>
        <w:t>I</w:t>
      </w:r>
    </w:p>
    <w:p w14:paraId="2EA9A4AF" w14:textId="77777777" w:rsidR="00493198" w:rsidRPr="007E4DA1" w:rsidRDefault="00493198" w:rsidP="001A6584">
      <w:pPr>
        <w:tabs>
          <w:tab w:val="left" w:pos="-1440"/>
          <w:tab w:val="left" w:pos="-720"/>
        </w:tabs>
        <w:jc w:val="center"/>
      </w:pPr>
    </w:p>
    <w:p w14:paraId="3CC28DB5" w14:textId="77777777" w:rsidR="00041A08" w:rsidRPr="00041A08" w:rsidRDefault="00037B14" w:rsidP="001A6584">
      <w:pPr>
        <w:pStyle w:val="TitleA"/>
        <w:outlineLvl w:val="0"/>
        <w:rPr>
          <w:b w:val="0"/>
        </w:rPr>
      </w:pPr>
      <w:r w:rsidRPr="007E4DA1">
        <w:t>CHARAKTERYSTYKA PRODUKTU LECZNICZEGO</w:t>
      </w:r>
    </w:p>
    <w:p w14:paraId="00C871CF" w14:textId="15B430D8" w:rsidR="001040A0" w:rsidRPr="007E4DA1" w:rsidRDefault="001040A0" w:rsidP="001A6584">
      <w:pPr>
        <w:pStyle w:val="TitleA"/>
        <w:rPr>
          <w:b w:val="0"/>
        </w:rPr>
      </w:pPr>
    </w:p>
    <w:p w14:paraId="24C2B0D9" w14:textId="77777777" w:rsidR="00802FF6" w:rsidRPr="007E4DA1" w:rsidRDefault="00493198" w:rsidP="001A6584">
      <w:pPr>
        <w:keepNext/>
        <w:ind w:left="0" w:firstLine="0"/>
      </w:pPr>
      <w:r w:rsidRPr="007E4DA1">
        <w:rPr>
          <w:bCs/>
          <w:iCs/>
        </w:rPr>
        <w:br w:type="page"/>
      </w:r>
      <w:r w:rsidR="00802FF6" w:rsidRPr="007E4DA1">
        <w:rPr>
          <w:b/>
        </w:rPr>
        <w:lastRenderedPageBreak/>
        <w:t>1.</w:t>
      </w:r>
      <w:r w:rsidR="00802FF6" w:rsidRPr="007E4DA1">
        <w:rPr>
          <w:b/>
        </w:rPr>
        <w:tab/>
        <w:t>NAZWA PRODUKTU LECZNICZEGO</w:t>
      </w:r>
    </w:p>
    <w:p w14:paraId="1DFB72B8" w14:textId="77777777" w:rsidR="00041A08" w:rsidRPr="00041A08" w:rsidRDefault="00041A08" w:rsidP="001A6584">
      <w:pPr>
        <w:keepNext/>
        <w:tabs>
          <w:tab w:val="left" w:pos="142"/>
        </w:tabs>
        <w:ind w:left="0" w:firstLine="0"/>
      </w:pPr>
    </w:p>
    <w:p w14:paraId="1B4E889B" w14:textId="77777777" w:rsidR="001852CC" w:rsidRPr="007E4DA1" w:rsidRDefault="001852CC" w:rsidP="001A6584">
      <w:pPr>
        <w:tabs>
          <w:tab w:val="left" w:pos="142"/>
        </w:tabs>
        <w:ind w:left="0" w:firstLine="0"/>
        <w:rPr>
          <w:lang w:val="en-US"/>
        </w:rPr>
      </w:pPr>
      <w:proofErr w:type="spellStart"/>
      <w:r w:rsidRPr="007E4DA1">
        <w:rPr>
          <w:lang w:val="en-US"/>
        </w:rPr>
        <w:t>Revolade</w:t>
      </w:r>
      <w:proofErr w:type="spellEnd"/>
      <w:r w:rsidRPr="007E4DA1">
        <w:rPr>
          <w:lang w:val="en-US"/>
        </w:rPr>
        <w:t xml:space="preserve"> 12,5 mg </w:t>
      </w:r>
      <w:proofErr w:type="spellStart"/>
      <w:r w:rsidRPr="007E4DA1">
        <w:rPr>
          <w:lang w:val="en-US"/>
        </w:rPr>
        <w:t>tabletki</w:t>
      </w:r>
      <w:proofErr w:type="spellEnd"/>
      <w:r w:rsidRPr="007E4DA1">
        <w:rPr>
          <w:lang w:val="en-US"/>
        </w:rPr>
        <w:t xml:space="preserve"> </w:t>
      </w:r>
      <w:proofErr w:type="spellStart"/>
      <w:r w:rsidRPr="007E4DA1">
        <w:rPr>
          <w:lang w:val="en-US"/>
        </w:rPr>
        <w:t>powlekane</w:t>
      </w:r>
      <w:proofErr w:type="spellEnd"/>
    </w:p>
    <w:p w14:paraId="2EDB63CC" w14:textId="77777777" w:rsidR="00802FF6" w:rsidRPr="007E4DA1" w:rsidRDefault="00802FF6" w:rsidP="001A6584">
      <w:pPr>
        <w:tabs>
          <w:tab w:val="left" w:pos="142"/>
        </w:tabs>
        <w:ind w:left="0" w:firstLine="0"/>
        <w:rPr>
          <w:szCs w:val="22"/>
          <w:lang w:val="en-US"/>
        </w:rPr>
      </w:pPr>
      <w:proofErr w:type="spellStart"/>
      <w:r w:rsidRPr="007E4DA1">
        <w:rPr>
          <w:lang w:val="en-US"/>
        </w:rPr>
        <w:t>Revolade</w:t>
      </w:r>
      <w:proofErr w:type="spellEnd"/>
      <w:r w:rsidRPr="007E4DA1">
        <w:rPr>
          <w:lang w:val="en-US"/>
        </w:rPr>
        <w:t xml:space="preserve"> 25 mg </w:t>
      </w:r>
      <w:proofErr w:type="spellStart"/>
      <w:r w:rsidRPr="007E4DA1">
        <w:rPr>
          <w:lang w:val="en-US"/>
        </w:rPr>
        <w:t>tabletki</w:t>
      </w:r>
      <w:proofErr w:type="spellEnd"/>
      <w:r w:rsidRPr="007E4DA1">
        <w:rPr>
          <w:lang w:val="en-US"/>
        </w:rPr>
        <w:t xml:space="preserve"> </w:t>
      </w:r>
      <w:proofErr w:type="spellStart"/>
      <w:r w:rsidRPr="007E4DA1">
        <w:rPr>
          <w:lang w:val="en-US"/>
        </w:rPr>
        <w:t>powlekane</w:t>
      </w:r>
      <w:proofErr w:type="spellEnd"/>
    </w:p>
    <w:p w14:paraId="31905982" w14:textId="77777777" w:rsidR="00802FF6" w:rsidRPr="007E4DA1" w:rsidRDefault="001852CC" w:rsidP="001A6584">
      <w:pPr>
        <w:tabs>
          <w:tab w:val="left" w:pos="142"/>
        </w:tabs>
        <w:ind w:left="0" w:firstLine="0"/>
        <w:rPr>
          <w:lang w:val="en-US"/>
        </w:rPr>
      </w:pPr>
      <w:proofErr w:type="spellStart"/>
      <w:r w:rsidRPr="007E4DA1">
        <w:rPr>
          <w:lang w:val="en-US"/>
        </w:rPr>
        <w:t>Revolade</w:t>
      </w:r>
      <w:proofErr w:type="spellEnd"/>
      <w:r w:rsidRPr="007E4DA1">
        <w:rPr>
          <w:lang w:val="en-US"/>
        </w:rPr>
        <w:t xml:space="preserve"> 50 mg </w:t>
      </w:r>
      <w:proofErr w:type="spellStart"/>
      <w:r w:rsidRPr="007E4DA1">
        <w:rPr>
          <w:lang w:val="en-US"/>
        </w:rPr>
        <w:t>tabletki</w:t>
      </w:r>
      <w:proofErr w:type="spellEnd"/>
      <w:r w:rsidRPr="007E4DA1">
        <w:rPr>
          <w:lang w:val="en-US"/>
        </w:rPr>
        <w:t xml:space="preserve"> </w:t>
      </w:r>
      <w:proofErr w:type="spellStart"/>
      <w:r w:rsidRPr="007E4DA1">
        <w:rPr>
          <w:lang w:val="en-US"/>
        </w:rPr>
        <w:t>powlekane</w:t>
      </w:r>
      <w:proofErr w:type="spellEnd"/>
    </w:p>
    <w:p w14:paraId="09C6A63F" w14:textId="77777777" w:rsidR="001852CC" w:rsidRPr="007E4DA1" w:rsidRDefault="001852CC" w:rsidP="001A6584">
      <w:pPr>
        <w:tabs>
          <w:tab w:val="left" w:pos="142"/>
        </w:tabs>
        <w:ind w:left="0" w:firstLine="0"/>
        <w:rPr>
          <w:lang w:val="en-US"/>
        </w:rPr>
      </w:pPr>
      <w:proofErr w:type="spellStart"/>
      <w:r w:rsidRPr="007E4DA1">
        <w:rPr>
          <w:lang w:val="en-US"/>
        </w:rPr>
        <w:t>Revolade</w:t>
      </w:r>
      <w:proofErr w:type="spellEnd"/>
      <w:r w:rsidRPr="007E4DA1">
        <w:rPr>
          <w:lang w:val="en-US"/>
        </w:rPr>
        <w:t xml:space="preserve"> 75 mg </w:t>
      </w:r>
      <w:proofErr w:type="spellStart"/>
      <w:r w:rsidRPr="007E4DA1">
        <w:rPr>
          <w:lang w:val="en-US"/>
        </w:rPr>
        <w:t>tabletki</w:t>
      </w:r>
      <w:proofErr w:type="spellEnd"/>
      <w:r w:rsidRPr="007E4DA1">
        <w:rPr>
          <w:lang w:val="en-US"/>
        </w:rPr>
        <w:t xml:space="preserve"> </w:t>
      </w:r>
      <w:proofErr w:type="spellStart"/>
      <w:r w:rsidRPr="007E4DA1">
        <w:rPr>
          <w:lang w:val="en-US"/>
        </w:rPr>
        <w:t>powlekane</w:t>
      </w:r>
      <w:proofErr w:type="spellEnd"/>
    </w:p>
    <w:p w14:paraId="24E48672" w14:textId="77777777" w:rsidR="001852CC" w:rsidRPr="007E4DA1" w:rsidRDefault="001852CC" w:rsidP="001A6584">
      <w:pPr>
        <w:tabs>
          <w:tab w:val="left" w:pos="142"/>
        </w:tabs>
        <w:ind w:left="0" w:firstLine="0"/>
        <w:rPr>
          <w:bCs/>
          <w:lang w:val="en-US"/>
        </w:rPr>
      </w:pPr>
    </w:p>
    <w:p w14:paraId="6E0688CC" w14:textId="77777777" w:rsidR="00802FF6" w:rsidRPr="007E4DA1" w:rsidRDefault="00802FF6" w:rsidP="001A6584">
      <w:pPr>
        <w:tabs>
          <w:tab w:val="left" w:pos="142"/>
        </w:tabs>
        <w:ind w:left="0" w:firstLine="0"/>
        <w:rPr>
          <w:bCs/>
          <w:lang w:val="en-US"/>
        </w:rPr>
      </w:pPr>
    </w:p>
    <w:p w14:paraId="0BBADB98" w14:textId="77777777" w:rsidR="00802FF6" w:rsidRPr="007E4DA1" w:rsidRDefault="00802FF6" w:rsidP="001A6584">
      <w:pPr>
        <w:keepNext/>
      </w:pPr>
      <w:r w:rsidRPr="007E4DA1">
        <w:rPr>
          <w:b/>
        </w:rPr>
        <w:t>2.</w:t>
      </w:r>
      <w:r w:rsidRPr="007E4DA1">
        <w:rPr>
          <w:b/>
        </w:rPr>
        <w:tab/>
        <w:t>SKŁAD JAKOŚCIOWY I ILOŚCIOWY</w:t>
      </w:r>
    </w:p>
    <w:p w14:paraId="526CC081" w14:textId="77777777" w:rsidR="00041A08" w:rsidRPr="00041A08" w:rsidRDefault="00041A08" w:rsidP="001A6584">
      <w:pPr>
        <w:pStyle w:val="EMEAEnBodyText"/>
        <w:keepNext/>
        <w:tabs>
          <w:tab w:val="left" w:pos="142"/>
        </w:tabs>
        <w:autoSpaceDE w:val="0"/>
        <w:autoSpaceDN w:val="0"/>
        <w:adjustRightInd w:val="0"/>
        <w:spacing w:before="0" w:after="0"/>
        <w:jc w:val="left"/>
        <w:rPr>
          <w:lang w:val="pl-PL"/>
        </w:rPr>
      </w:pPr>
    </w:p>
    <w:p w14:paraId="7DEEDFA3" w14:textId="77777777" w:rsidR="00041A08" w:rsidRPr="00041A08" w:rsidRDefault="001852CC" w:rsidP="001A6584">
      <w:pPr>
        <w:keepNext/>
        <w:tabs>
          <w:tab w:val="left" w:pos="142"/>
        </w:tabs>
        <w:ind w:left="0" w:firstLine="0"/>
      </w:pPr>
      <w:r w:rsidRPr="007E4DA1">
        <w:rPr>
          <w:u w:val="single"/>
        </w:rPr>
        <w:t>Revolade 12,5 mg tabletki powlekane</w:t>
      </w:r>
    </w:p>
    <w:p w14:paraId="50066900" w14:textId="77777777" w:rsidR="00041A08" w:rsidRPr="00041A08" w:rsidRDefault="00041A08" w:rsidP="001A6584">
      <w:pPr>
        <w:keepNext/>
        <w:tabs>
          <w:tab w:val="left" w:pos="142"/>
        </w:tabs>
        <w:ind w:left="0" w:firstLine="0"/>
      </w:pPr>
    </w:p>
    <w:p w14:paraId="5A6095EB" w14:textId="77777777" w:rsidR="001852CC" w:rsidRPr="007E4DA1" w:rsidRDefault="001852CC" w:rsidP="001A6584">
      <w:pPr>
        <w:tabs>
          <w:tab w:val="left" w:pos="142"/>
        </w:tabs>
        <w:ind w:left="0" w:firstLine="0"/>
        <w:rPr>
          <w:bCs/>
        </w:rPr>
      </w:pPr>
      <w:r w:rsidRPr="007E4DA1">
        <w:t>Każda tabletka powlekana zawiera eltrombopag z olaminą w ilości odpowiadającej 12,5 mg eltrombopagu</w:t>
      </w:r>
      <w:r w:rsidRPr="007E4DA1">
        <w:rPr>
          <w:bCs/>
        </w:rPr>
        <w:t>.</w:t>
      </w:r>
    </w:p>
    <w:p w14:paraId="46643CED" w14:textId="77777777" w:rsidR="001852CC" w:rsidRPr="007E4DA1" w:rsidRDefault="001852CC" w:rsidP="001A6584">
      <w:pPr>
        <w:tabs>
          <w:tab w:val="left" w:pos="142"/>
        </w:tabs>
        <w:ind w:left="0" w:firstLine="0"/>
      </w:pPr>
    </w:p>
    <w:p w14:paraId="3D7BDCB6" w14:textId="77777777" w:rsidR="00041A08" w:rsidRPr="00041A08" w:rsidRDefault="001852CC" w:rsidP="001A6584">
      <w:pPr>
        <w:keepNext/>
        <w:tabs>
          <w:tab w:val="left" w:pos="142"/>
        </w:tabs>
        <w:ind w:left="0" w:firstLine="0"/>
      </w:pPr>
      <w:r w:rsidRPr="007E4DA1">
        <w:rPr>
          <w:u w:val="single"/>
        </w:rPr>
        <w:t>Revolade 25 mg tabletki powlekane</w:t>
      </w:r>
    </w:p>
    <w:p w14:paraId="53CF019D" w14:textId="77777777" w:rsidR="00041A08" w:rsidRPr="00041A08" w:rsidRDefault="00041A08" w:rsidP="001A6584">
      <w:pPr>
        <w:keepNext/>
        <w:tabs>
          <w:tab w:val="left" w:pos="142"/>
        </w:tabs>
        <w:ind w:left="0" w:firstLine="0"/>
      </w:pPr>
    </w:p>
    <w:p w14:paraId="3130FDA3" w14:textId="77777777" w:rsidR="00802FF6" w:rsidRPr="007E4DA1" w:rsidRDefault="00802FF6" w:rsidP="001A6584">
      <w:pPr>
        <w:tabs>
          <w:tab w:val="left" w:pos="142"/>
        </w:tabs>
        <w:ind w:left="0" w:firstLine="0"/>
        <w:rPr>
          <w:bCs/>
        </w:rPr>
      </w:pPr>
      <w:r w:rsidRPr="007E4DA1">
        <w:t>Każda tabletka powlekana zawiera eltrombopag z olaminą w ilości odpowiadającej 25 mg eltrombopagu</w:t>
      </w:r>
      <w:r w:rsidRPr="007E4DA1">
        <w:rPr>
          <w:bCs/>
        </w:rPr>
        <w:t>.</w:t>
      </w:r>
    </w:p>
    <w:p w14:paraId="3F7F33A7" w14:textId="77777777" w:rsidR="00802FF6" w:rsidRPr="007E4DA1" w:rsidRDefault="00802FF6" w:rsidP="001A6584">
      <w:pPr>
        <w:tabs>
          <w:tab w:val="left" w:pos="142"/>
        </w:tabs>
        <w:ind w:left="0" w:firstLine="0"/>
        <w:rPr>
          <w:bCs/>
        </w:rPr>
      </w:pPr>
    </w:p>
    <w:p w14:paraId="420EBC53" w14:textId="77777777" w:rsidR="00041A08" w:rsidRPr="00041A08" w:rsidRDefault="001852CC" w:rsidP="001A6584">
      <w:pPr>
        <w:keepNext/>
        <w:tabs>
          <w:tab w:val="left" w:pos="142"/>
        </w:tabs>
        <w:ind w:left="0" w:firstLine="0"/>
      </w:pPr>
      <w:r w:rsidRPr="007E4DA1">
        <w:rPr>
          <w:u w:val="single"/>
        </w:rPr>
        <w:t>Revolade 50 mg tabletki powlekane</w:t>
      </w:r>
    </w:p>
    <w:p w14:paraId="4A5BA367" w14:textId="77777777" w:rsidR="00041A08" w:rsidRPr="00041A08" w:rsidRDefault="00041A08" w:rsidP="001A6584">
      <w:pPr>
        <w:keepNext/>
        <w:tabs>
          <w:tab w:val="left" w:pos="142"/>
        </w:tabs>
        <w:ind w:left="0" w:firstLine="0"/>
      </w:pPr>
    </w:p>
    <w:p w14:paraId="64D1789E" w14:textId="77777777" w:rsidR="001852CC" w:rsidRPr="007E4DA1" w:rsidRDefault="001852CC" w:rsidP="001A6584">
      <w:pPr>
        <w:tabs>
          <w:tab w:val="left" w:pos="142"/>
        </w:tabs>
        <w:ind w:left="0" w:firstLine="0"/>
        <w:rPr>
          <w:bCs/>
        </w:rPr>
      </w:pPr>
      <w:r w:rsidRPr="007E4DA1">
        <w:t>Każda tabletka powlekana zawiera eltrombopag z olaminą w ilości odpowiadającej 50 mg eltrombopagu</w:t>
      </w:r>
      <w:r w:rsidRPr="007E4DA1">
        <w:rPr>
          <w:bCs/>
        </w:rPr>
        <w:t>.</w:t>
      </w:r>
    </w:p>
    <w:p w14:paraId="530D259B" w14:textId="77777777" w:rsidR="001852CC" w:rsidRPr="007E4DA1" w:rsidRDefault="001852CC" w:rsidP="001A6584">
      <w:pPr>
        <w:tabs>
          <w:tab w:val="left" w:pos="142"/>
        </w:tabs>
        <w:ind w:left="0" w:firstLine="0"/>
        <w:rPr>
          <w:bCs/>
        </w:rPr>
      </w:pPr>
    </w:p>
    <w:p w14:paraId="4F37E1BB" w14:textId="77777777" w:rsidR="00041A08" w:rsidRPr="00041A08" w:rsidRDefault="001852CC" w:rsidP="001A6584">
      <w:pPr>
        <w:keepNext/>
        <w:tabs>
          <w:tab w:val="left" w:pos="142"/>
        </w:tabs>
        <w:ind w:left="0" w:firstLine="0"/>
      </w:pPr>
      <w:r w:rsidRPr="007E4DA1">
        <w:rPr>
          <w:u w:val="single"/>
        </w:rPr>
        <w:t>Revolade 75 mg tabletki powlekane</w:t>
      </w:r>
    </w:p>
    <w:p w14:paraId="2DDBADDC" w14:textId="77777777" w:rsidR="00041A08" w:rsidRPr="00041A08" w:rsidRDefault="00041A08" w:rsidP="001A6584">
      <w:pPr>
        <w:keepNext/>
        <w:tabs>
          <w:tab w:val="left" w:pos="142"/>
        </w:tabs>
        <w:ind w:left="0" w:firstLine="0"/>
      </w:pPr>
    </w:p>
    <w:p w14:paraId="58164579" w14:textId="77777777" w:rsidR="001852CC" w:rsidRPr="007E4DA1" w:rsidRDefault="001852CC" w:rsidP="001A6584">
      <w:pPr>
        <w:tabs>
          <w:tab w:val="left" w:pos="142"/>
        </w:tabs>
        <w:ind w:left="0" w:firstLine="0"/>
        <w:rPr>
          <w:bCs/>
        </w:rPr>
      </w:pPr>
      <w:r w:rsidRPr="007E4DA1">
        <w:t>Każda tabletka powlekana zawiera eltrombopag z olaminą w ilości odpowiadającej 75 mg eltrombopagu</w:t>
      </w:r>
      <w:r w:rsidRPr="007E4DA1">
        <w:rPr>
          <w:bCs/>
        </w:rPr>
        <w:t>.</w:t>
      </w:r>
    </w:p>
    <w:p w14:paraId="69742106" w14:textId="77777777" w:rsidR="001852CC" w:rsidRPr="007E4DA1" w:rsidRDefault="001852CC" w:rsidP="001A6584">
      <w:pPr>
        <w:tabs>
          <w:tab w:val="left" w:pos="142"/>
        </w:tabs>
        <w:ind w:left="0" w:firstLine="0"/>
        <w:rPr>
          <w:bCs/>
        </w:rPr>
      </w:pPr>
    </w:p>
    <w:p w14:paraId="2723DCDD" w14:textId="77777777" w:rsidR="00802FF6" w:rsidRPr="007E4DA1" w:rsidRDefault="00802FF6" w:rsidP="001A6584">
      <w:pPr>
        <w:tabs>
          <w:tab w:val="left" w:pos="142"/>
        </w:tabs>
        <w:ind w:left="0" w:firstLine="0"/>
      </w:pPr>
      <w:r w:rsidRPr="007E4DA1">
        <w:t>Pełny wykaz substancji pomocniczych, patrz punkt</w:t>
      </w:r>
      <w:r w:rsidR="00F04447" w:rsidRPr="007E4DA1">
        <w:t> </w:t>
      </w:r>
      <w:r w:rsidRPr="007E4DA1">
        <w:t>6.1.</w:t>
      </w:r>
    </w:p>
    <w:p w14:paraId="25DCE387" w14:textId="77777777" w:rsidR="00802FF6" w:rsidRPr="007E4DA1" w:rsidRDefault="00802FF6" w:rsidP="001A6584">
      <w:pPr>
        <w:tabs>
          <w:tab w:val="left" w:pos="142"/>
        </w:tabs>
        <w:ind w:left="0" w:firstLine="0"/>
      </w:pPr>
    </w:p>
    <w:p w14:paraId="26117255" w14:textId="77777777" w:rsidR="00802FF6" w:rsidRPr="007E4DA1" w:rsidRDefault="00802FF6" w:rsidP="001A6584">
      <w:pPr>
        <w:tabs>
          <w:tab w:val="left" w:pos="142"/>
        </w:tabs>
        <w:ind w:left="0" w:firstLine="0"/>
      </w:pPr>
    </w:p>
    <w:p w14:paraId="065BFAE1" w14:textId="77777777" w:rsidR="00802FF6" w:rsidRPr="007E4DA1" w:rsidRDefault="00802FF6" w:rsidP="001A6584">
      <w:pPr>
        <w:keepNext/>
        <w:rPr>
          <w:caps/>
        </w:rPr>
      </w:pPr>
      <w:r w:rsidRPr="007E4DA1">
        <w:rPr>
          <w:b/>
        </w:rPr>
        <w:t>3.</w:t>
      </w:r>
      <w:r w:rsidRPr="007E4DA1">
        <w:rPr>
          <w:b/>
        </w:rPr>
        <w:tab/>
        <w:t>POSTAĆ FARMACEUTYCZNA</w:t>
      </w:r>
    </w:p>
    <w:p w14:paraId="11B42E9B" w14:textId="77777777" w:rsidR="00802FF6" w:rsidRPr="007E4DA1" w:rsidRDefault="00802FF6" w:rsidP="001A6584">
      <w:pPr>
        <w:keepNext/>
        <w:tabs>
          <w:tab w:val="left" w:pos="142"/>
        </w:tabs>
        <w:ind w:left="0" w:firstLine="0"/>
      </w:pPr>
    </w:p>
    <w:p w14:paraId="486CB1DF" w14:textId="77777777" w:rsidR="00802FF6" w:rsidRPr="007E4DA1" w:rsidRDefault="00802FF6" w:rsidP="001A6584">
      <w:pPr>
        <w:tabs>
          <w:tab w:val="left" w:pos="142"/>
        </w:tabs>
        <w:ind w:left="0" w:firstLine="0"/>
      </w:pPr>
      <w:r w:rsidRPr="007E4DA1">
        <w:t>Tabletka powlekana.</w:t>
      </w:r>
    </w:p>
    <w:p w14:paraId="0CF08F62" w14:textId="77777777" w:rsidR="00802FF6" w:rsidRPr="007E4DA1" w:rsidRDefault="00802FF6" w:rsidP="001A6584">
      <w:pPr>
        <w:tabs>
          <w:tab w:val="left" w:pos="142"/>
          <w:tab w:val="left" w:pos="7650"/>
        </w:tabs>
        <w:ind w:left="0" w:firstLine="0"/>
      </w:pPr>
    </w:p>
    <w:p w14:paraId="06712169" w14:textId="77777777" w:rsidR="00041A08" w:rsidRPr="00041A08" w:rsidRDefault="001852CC" w:rsidP="001A6584">
      <w:pPr>
        <w:keepNext/>
        <w:tabs>
          <w:tab w:val="left" w:pos="142"/>
          <w:tab w:val="left" w:pos="7650"/>
        </w:tabs>
        <w:ind w:left="0" w:firstLine="0"/>
      </w:pPr>
      <w:r w:rsidRPr="007E4DA1">
        <w:rPr>
          <w:u w:val="single"/>
        </w:rPr>
        <w:t>Revolade 12,5 mg tabletki powlekane</w:t>
      </w:r>
    </w:p>
    <w:p w14:paraId="3D1B69B3" w14:textId="77777777" w:rsidR="00041A08" w:rsidRPr="00041A08" w:rsidRDefault="00041A08" w:rsidP="001A6584">
      <w:pPr>
        <w:keepNext/>
        <w:tabs>
          <w:tab w:val="left" w:pos="142"/>
          <w:tab w:val="left" w:pos="7650"/>
        </w:tabs>
        <w:ind w:left="0" w:firstLine="0"/>
      </w:pPr>
    </w:p>
    <w:p w14:paraId="76F75CA5" w14:textId="77777777" w:rsidR="001852CC" w:rsidRPr="007E4DA1" w:rsidRDefault="00C323BC" w:rsidP="001A6584">
      <w:pPr>
        <w:tabs>
          <w:tab w:val="left" w:pos="142"/>
          <w:tab w:val="left" w:pos="7650"/>
        </w:tabs>
        <w:ind w:left="0" w:firstLine="0"/>
      </w:pPr>
      <w:r w:rsidRPr="007E4DA1">
        <w:t>Białe, o</w:t>
      </w:r>
      <w:r w:rsidR="001852CC" w:rsidRPr="007E4DA1">
        <w:t>krągłe, obustronnie wypukłe tabletki powlekane (o średnicy około 7,9</w:t>
      </w:r>
      <w:r w:rsidR="009C511E" w:rsidRPr="007E4DA1">
        <w:t> </w:t>
      </w:r>
      <w:r w:rsidR="001852CC" w:rsidRPr="007E4DA1">
        <w:t xml:space="preserve">mm) z wytłoczonym </w:t>
      </w:r>
      <w:r w:rsidR="00CC77ED" w:rsidRPr="007E4DA1">
        <w:t>oznakowani</w:t>
      </w:r>
      <w:r w:rsidR="001852CC" w:rsidRPr="007E4DA1">
        <w:t>em „GS MZ1” i „12,5” po jednej stronie.</w:t>
      </w:r>
    </w:p>
    <w:p w14:paraId="0AAA0E2C" w14:textId="77777777" w:rsidR="001852CC" w:rsidRPr="007E4DA1" w:rsidRDefault="001852CC" w:rsidP="001A6584">
      <w:pPr>
        <w:tabs>
          <w:tab w:val="left" w:pos="142"/>
          <w:tab w:val="left" w:pos="7650"/>
        </w:tabs>
        <w:ind w:left="0" w:firstLine="0"/>
      </w:pPr>
    </w:p>
    <w:p w14:paraId="687516FA" w14:textId="77777777" w:rsidR="00041A08" w:rsidRPr="00041A08" w:rsidRDefault="001852CC" w:rsidP="001A6584">
      <w:pPr>
        <w:keepNext/>
        <w:tabs>
          <w:tab w:val="left" w:pos="0"/>
          <w:tab w:val="left" w:pos="142"/>
          <w:tab w:val="left" w:pos="7650"/>
        </w:tabs>
        <w:ind w:left="0" w:firstLine="0"/>
      </w:pPr>
      <w:r w:rsidRPr="007E4DA1">
        <w:rPr>
          <w:u w:val="single"/>
        </w:rPr>
        <w:t>Revolade 25 mg tabletki powlekane</w:t>
      </w:r>
    </w:p>
    <w:p w14:paraId="607EC635" w14:textId="5FB2C67A" w:rsidR="00A369B8" w:rsidRPr="007E4DA1" w:rsidRDefault="00A369B8" w:rsidP="001A6584">
      <w:pPr>
        <w:keepNext/>
        <w:tabs>
          <w:tab w:val="left" w:pos="0"/>
          <w:tab w:val="left" w:pos="142"/>
          <w:tab w:val="left" w:pos="7650"/>
        </w:tabs>
        <w:ind w:left="0" w:firstLine="0"/>
      </w:pPr>
    </w:p>
    <w:p w14:paraId="2A2F53C9" w14:textId="77777777" w:rsidR="00802FF6" w:rsidRPr="007E4DA1" w:rsidRDefault="00C323BC" w:rsidP="001A6584">
      <w:pPr>
        <w:tabs>
          <w:tab w:val="left" w:pos="0"/>
          <w:tab w:val="left" w:pos="142"/>
          <w:tab w:val="left" w:pos="7650"/>
        </w:tabs>
        <w:ind w:left="0" w:firstLine="0"/>
      </w:pPr>
      <w:r w:rsidRPr="007E4DA1">
        <w:t>Białe, o</w:t>
      </w:r>
      <w:r w:rsidR="00802FF6" w:rsidRPr="007E4DA1">
        <w:t xml:space="preserve">krągłe, obustronnie wypukłe tabletki powlekane </w:t>
      </w:r>
      <w:r w:rsidR="001852CC" w:rsidRPr="007E4DA1">
        <w:t>(o średnicy około 10,3</w:t>
      </w:r>
      <w:r w:rsidR="009C511E" w:rsidRPr="007E4DA1">
        <w:t> </w:t>
      </w:r>
      <w:r w:rsidR="001852CC" w:rsidRPr="007E4DA1">
        <w:t xml:space="preserve">mm) </w:t>
      </w:r>
      <w:r w:rsidR="00802FF6" w:rsidRPr="007E4DA1">
        <w:t xml:space="preserve">z wytłoczonym </w:t>
      </w:r>
      <w:r w:rsidR="00CC77ED" w:rsidRPr="007E4DA1">
        <w:t>oznakowani</w:t>
      </w:r>
      <w:r w:rsidR="00802FF6" w:rsidRPr="007E4DA1">
        <w:t>em „GS NX3” i „25” po jednej stronie.</w:t>
      </w:r>
    </w:p>
    <w:p w14:paraId="74AE0B53" w14:textId="77777777" w:rsidR="00802FF6" w:rsidRPr="007E4DA1" w:rsidRDefault="00802FF6" w:rsidP="001A6584">
      <w:pPr>
        <w:tabs>
          <w:tab w:val="left" w:pos="142"/>
        </w:tabs>
        <w:ind w:left="0" w:firstLine="0"/>
        <w:rPr>
          <w:szCs w:val="22"/>
        </w:rPr>
      </w:pPr>
    </w:p>
    <w:p w14:paraId="554B261D" w14:textId="77777777" w:rsidR="00041A08" w:rsidRPr="00041A08" w:rsidRDefault="001852CC" w:rsidP="001A6584">
      <w:pPr>
        <w:keepNext/>
        <w:tabs>
          <w:tab w:val="left" w:pos="142"/>
        </w:tabs>
        <w:ind w:left="0" w:firstLine="0"/>
      </w:pPr>
      <w:r w:rsidRPr="007E4DA1">
        <w:rPr>
          <w:u w:val="single"/>
        </w:rPr>
        <w:t>Revolade 50 mg tabletki powlekane</w:t>
      </w:r>
    </w:p>
    <w:p w14:paraId="3F0216DA" w14:textId="77777777" w:rsidR="00041A08" w:rsidRPr="00041A08" w:rsidRDefault="00041A08" w:rsidP="001A6584">
      <w:pPr>
        <w:keepNext/>
        <w:tabs>
          <w:tab w:val="left" w:pos="142"/>
        </w:tabs>
        <w:ind w:left="0" w:firstLine="0"/>
      </w:pPr>
    </w:p>
    <w:p w14:paraId="09D7A692" w14:textId="77777777" w:rsidR="001852CC" w:rsidRPr="007E4DA1" w:rsidRDefault="00C323BC" w:rsidP="001A6584">
      <w:pPr>
        <w:tabs>
          <w:tab w:val="left" w:pos="142"/>
        </w:tabs>
        <w:ind w:left="0" w:firstLine="0"/>
      </w:pPr>
      <w:r w:rsidRPr="007E4DA1">
        <w:t>Brązowe, o</w:t>
      </w:r>
      <w:r w:rsidR="00607C48" w:rsidRPr="007E4DA1">
        <w:t>krągłe, obustronnie wypukłe tabletki powlekane (o średnicy około 10,3</w:t>
      </w:r>
      <w:r w:rsidR="009C511E" w:rsidRPr="007E4DA1">
        <w:t> </w:t>
      </w:r>
      <w:r w:rsidR="00607C48" w:rsidRPr="007E4DA1">
        <w:t xml:space="preserve">mm) z wytłoczonym </w:t>
      </w:r>
      <w:r w:rsidR="00CC77ED" w:rsidRPr="007E4DA1">
        <w:t>oznakowani</w:t>
      </w:r>
      <w:r w:rsidR="00607C48" w:rsidRPr="007E4DA1">
        <w:t>em „GS UFU” i „50” po jednej stronie.</w:t>
      </w:r>
    </w:p>
    <w:p w14:paraId="311DE357" w14:textId="77777777" w:rsidR="00607C48" w:rsidRPr="007E4DA1" w:rsidRDefault="00607C48" w:rsidP="001A6584">
      <w:pPr>
        <w:tabs>
          <w:tab w:val="left" w:pos="142"/>
        </w:tabs>
        <w:ind w:left="0" w:firstLine="0"/>
      </w:pPr>
    </w:p>
    <w:p w14:paraId="2AD1CF73" w14:textId="77777777" w:rsidR="00041A08" w:rsidRPr="00041A08" w:rsidRDefault="001852CC" w:rsidP="001A6584">
      <w:pPr>
        <w:keepNext/>
        <w:tabs>
          <w:tab w:val="left" w:pos="142"/>
        </w:tabs>
        <w:ind w:left="0" w:firstLine="0"/>
      </w:pPr>
      <w:r w:rsidRPr="007E4DA1">
        <w:rPr>
          <w:u w:val="single"/>
        </w:rPr>
        <w:t>Revolade 75 mg tabletki powlekane</w:t>
      </w:r>
    </w:p>
    <w:p w14:paraId="4E103A4E" w14:textId="77777777" w:rsidR="00041A08" w:rsidRPr="00041A08" w:rsidRDefault="00041A08" w:rsidP="001A6584">
      <w:pPr>
        <w:keepNext/>
        <w:tabs>
          <w:tab w:val="left" w:pos="142"/>
        </w:tabs>
        <w:ind w:left="0" w:firstLine="0"/>
      </w:pPr>
    </w:p>
    <w:p w14:paraId="48096750" w14:textId="77777777" w:rsidR="001852CC" w:rsidRPr="007E4DA1" w:rsidRDefault="00C323BC" w:rsidP="001A6584">
      <w:pPr>
        <w:tabs>
          <w:tab w:val="left" w:pos="142"/>
        </w:tabs>
        <w:ind w:left="0" w:firstLine="0"/>
        <w:rPr>
          <w:szCs w:val="22"/>
        </w:rPr>
      </w:pPr>
      <w:r w:rsidRPr="007E4DA1">
        <w:t>Różowe, o</w:t>
      </w:r>
      <w:r w:rsidR="00607C48" w:rsidRPr="007E4DA1">
        <w:t>krągłe, obustronnie wypukłe tabletki powlekane (o średnicy około 10,3</w:t>
      </w:r>
      <w:r w:rsidR="009C511E" w:rsidRPr="007E4DA1">
        <w:t> </w:t>
      </w:r>
      <w:r w:rsidR="00607C48" w:rsidRPr="007E4DA1">
        <w:t xml:space="preserve">mm) z wytłoczonym </w:t>
      </w:r>
      <w:r w:rsidR="00CC77ED" w:rsidRPr="007E4DA1">
        <w:t>oznakowani</w:t>
      </w:r>
      <w:r w:rsidR="00607C48" w:rsidRPr="007E4DA1">
        <w:t>em „GS FSS” i „75” po jednej stronie.</w:t>
      </w:r>
    </w:p>
    <w:p w14:paraId="2BCD3A69" w14:textId="77777777" w:rsidR="001852CC" w:rsidRPr="007E4DA1" w:rsidRDefault="001852CC" w:rsidP="001A6584">
      <w:pPr>
        <w:tabs>
          <w:tab w:val="left" w:pos="142"/>
        </w:tabs>
        <w:ind w:left="0" w:firstLine="0"/>
        <w:rPr>
          <w:szCs w:val="22"/>
        </w:rPr>
      </w:pPr>
    </w:p>
    <w:p w14:paraId="7B469985" w14:textId="77777777" w:rsidR="00802FF6" w:rsidRPr="007E4DA1" w:rsidRDefault="00802FF6" w:rsidP="001A6584">
      <w:pPr>
        <w:tabs>
          <w:tab w:val="left" w:pos="142"/>
        </w:tabs>
        <w:ind w:left="0" w:firstLine="0"/>
      </w:pPr>
    </w:p>
    <w:p w14:paraId="5E7C792D" w14:textId="77777777" w:rsidR="00802FF6" w:rsidRPr="007E4DA1" w:rsidRDefault="00802FF6" w:rsidP="001A6584">
      <w:pPr>
        <w:keepNext/>
        <w:rPr>
          <w:caps/>
        </w:rPr>
      </w:pPr>
      <w:r w:rsidRPr="007E4DA1">
        <w:rPr>
          <w:b/>
          <w:caps/>
        </w:rPr>
        <w:t>4.</w:t>
      </w:r>
      <w:r w:rsidRPr="007E4DA1">
        <w:rPr>
          <w:b/>
          <w:caps/>
        </w:rPr>
        <w:tab/>
        <w:t>SZCZEGÓŁOWE DANE KLINICZNE</w:t>
      </w:r>
    </w:p>
    <w:p w14:paraId="6841A8E8" w14:textId="77777777" w:rsidR="00802FF6" w:rsidRPr="007E4DA1" w:rsidRDefault="00802FF6" w:rsidP="001A6584">
      <w:pPr>
        <w:keepNext/>
        <w:tabs>
          <w:tab w:val="left" w:pos="142"/>
        </w:tabs>
        <w:ind w:left="0" w:firstLine="0"/>
      </w:pPr>
    </w:p>
    <w:p w14:paraId="39F9CC42" w14:textId="77777777" w:rsidR="00802FF6" w:rsidRPr="007E4DA1" w:rsidRDefault="00802FF6" w:rsidP="001A6584">
      <w:pPr>
        <w:keepNext/>
      </w:pPr>
      <w:r w:rsidRPr="007E4DA1">
        <w:rPr>
          <w:b/>
        </w:rPr>
        <w:t>4.1</w:t>
      </w:r>
      <w:r w:rsidRPr="007E4DA1">
        <w:rPr>
          <w:b/>
        </w:rPr>
        <w:tab/>
        <w:t>Wskazania do stosowania</w:t>
      </w:r>
    </w:p>
    <w:p w14:paraId="3F1DE31B" w14:textId="77777777" w:rsidR="00802FF6" w:rsidRPr="007E4DA1" w:rsidRDefault="00802FF6" w:rsidP="001A6584">
      <w:pPr>
        <w:keepNext/>
        <w:tabs>
          <w:tab w:val="left" w:pos="142"/>
        </w:tabs>
        <w:ind w:left="0" w:firstLine="0"/>
      </w:pPr>
    </w:p>
    <w:p w14:paraId="789E688F" w14:textId="354994DE" w:rsidR="00802FF6" w:rsidRPr="007E4DA1" w:rsidRDefault="00802FF6" w:rsidP="001A6584">
      <w:pPr>
        <w:pStyle w:val="Default"/>
        <w:tabs>
          <w:tab w:val="left" w:pos="142"/>
        </w:tabs>
        <w:rPr>
          <w:sz w:val="22"/>
          <w:szCs w:val="22"/>
          <w:lang w:val="pl-PL"/>
        </w:rPr>
      </w:pPr>
      <w:r w:rsidRPr="007E4DA1">
        <w:rPr>
          <w:sz w:val="22"/>
          <w:szCs w:val="22"/>
          <w:lang w:val="pl-PL"/>
        </w:rPr>
        <w:t xml:space="preserve">Produkt leczniczy Revolade </w:t>
      </w:r>
      <w:r w:rsidR="00D144B3" w:rsidRPr="007E4DA1">
        <w:rPr>
          <w:sz w:val="22"/>
          <w:szCs w:val="22"/>
          <w:lang w:val="pl-PL"/>
        </w:rPr>
        <w:t xml:space="preserve">jest </w:t>
      </w:r>
      <w:r w:rsidRPr="007E4DA1">
        <w:rPr>
          <w:sz w:val="22"/>
          <w:szCs w:val="22"/>
          <w:lang w:val="pl-PL"/>
        </w:rPr>
        <w:t xml:space="preserve">wskazany </w:t>
      </w:r>
      <w:r w:rsidR="00B67887" w:rsidRPr="007E4DA1">
        <w:rPr>
          <w:sz w:val="22"/>
          <w:szCs w:val="22"/>
          <w:lang w:val="pl-PL"/>
        </w:rPr>
        <w:t xml:space="preserve">w leczeniu </w:t>
      </w:r>
      <w:r w:rsidR="00D80406" w:rsidRPr="007E4DA1">
        <w:rPr>
          <w:sz w:val="22"/>
          <w:szCs w:val="22"/>
          <w:lang w:val="pl-PL"/>
        </w:rPr>
        <w:t>dorosłych</w:t>
      </w:r>
      <w:r w:rsidR="007736B7" w:rsidRPr="007E4DA1">
        <w:rPr>
          <w:sz w:val="22"/>
          <w:szCs w:val="22"/>
          <w:lang w:val="pl-PL"/>
        </w:rPr>
        <w:t xml:space="preserve"> </w:t>
      </w:r>
      <w:r w:rsidRPr="007E4DA1">
        <w:rPr>
          <w:sz w:val="22"/>
          <w:szCs w:val="22"/>
          <w:lang w:val="pl-PL"/>
        </w:rPr>
        <w:t>pacjentów</w:t>
      </w:r>
      <w:r w:rsidR="00B67887" w:rsidRPr="007E4DA1">
        <w:rPr>
          <w:sz w:val="22"/>
          <w:szCs w:val="22"/>
          <w:lang w:val="pl-PL"/>
        </w:rPr>
        <w:t xml:space="preserve"> </w:t>
      </w:r>
      <w:r w:rsidRPr="007E4DA1">
        <w:rPr>
          <w:sz w:val="22"/>
          <w:szCs w:val="22"/>
          <w:lang w:val="pl-PL"/>
        </w:rPr>
        <w:t>z pierwotną małopłytkowością immunologiczną</w:t>
      </w:r>
      <w:r w:rsidR="00AB516D" w:rsidRPr="007E4DA1">
        <w:rPr>
          <w:sz w:val="22"/>
          <w:szCs w:val="22"/>
          <w:lang w:val="pl-PL"/>
        </w:rPr>
        <w:t xml:space="preserve"> (</w:t>
      </w:r>
      <w:bookmarkStart w:id="0" w:name="_Hlk112320781"/>
      <w:r w:rsidR="00AB516D" w:rsidRPr="007E4DA1">
        <w:rPr>
          <w:sz w:val="22"/>
          <w:szCs w:val="22"/>
          <w:lang w:val="pl-PL"/>
        </w:rPr>
        <w:t>ITP</w:t>
      </w:r>
      <w:r w:rsidR="00E77EBA" w:rsidRPr="007E4DA1">
        <w:rPr>
          <w:sz w:val="22"/>
          <w:szCs w:val="22"/>
          <w:lang w:val="pl-PL"/>
        </w:rPr>
        <w:t xml:space="preserve">, </w:t>
      </w:r>
      <w:r w:rsidR="00E77EBA" w:rsidRPr="007E4DA1">
        <w:rPr>
          <w:bCs/>
          <w:i/>
          <w:iCs/>
          <w:sz w:val="22"/>
          <w:szCs w:val="22"/>
          <w:lang w:val="pl-PL"/>
        </w:rPr>
        <w:t>primary immune thrombocytopenia</w:t>
      </w:r>
      <w:bookmarkEnd w:id="0"/>
      <w:r w:rsidR="00AB516D" w:rsidRPr="007E4DA1">
        <w:rPr>
          <w:sz w:val="22"/>
          <w:szCs w:val="22"/>
          <w:lang w:val="pl-PL"/>
        </w:rPr>
        <w:t>),</w:t>
      </w:r>
      <w:r w:rsidRPr="007E4DA1">
        <w:rPr>
          <w:sz w:val="22"/>
          <w:szCs w:val="22"/>
          <w:lang w:val="pl-PL"/>
        </w:rPr>
        <w:t xml:space="preserve"> którzy wykazują niedostateczną odpowiedź na inne sposoby leczenia (np. terapia kortykosteroidami, immunoglobulinami)</w:t>
      </w:r>
      <w:r w:rsidR="003423EA" w:rsidRPr="007E4DA1">
        <w:rPr>
          <w:sz w:val="22"/>
          <w:szCs w:val="22"/>
          <w:lang w:val="pl-PL"/>
        </w:rPr>
        <w:t xml:space="preserve"> (patrz punkty 4.2 i 5.1).</w:t>
      </w:r>
    </w:p>
    <w:p w14:paraId="73785128" w14:textId="77777777" w:rsidR="00D80406" w:rsidRPr="007E4DA1" w:rsidRDefault="00D80406" w:rsidP="001A6584">
      <w:pPr>
        <w:pStyle w:val="Default"/>
        <w:tabs>
          <w:tab w:val="left" w:pos="142"/>
        </w:tabs>
        <w:rPr>
          <w:sz w:val="22"/>
          <w:szCs w:val="22"/>
          <w:lang w:val="pl-PL"/>
        </w:rPr>
      </w:pPr>
    </w:p>
    <w:p w14:paraId="235EAD25" w14:textId="778AEA97" w:rsidR="007736B7" w:rsidRPr="007E4DA1" w:rsidRDefault="00D80406" w:rsidP="001A6584">
      <w:pPr>
        <w:pStyle w:val="Default"/>
        <w:tabs>
          <w:tab w:val="left" w:pos="142"/>
        </w:tabs>
        <w:rPr>
          <w:sz w:val="22"/>
          <w:szCs w:val="22"/>
          <w:lang w:val="pl-PL"/>
        </w:rPr>
      </w:pPr>
      <w:r w:rsidRPr="007E4DA1">
        <w:rPr>
          <w:sz w:val="22"/>
          <w:szCs w:val="22"/>
          <w:lang w:val="pl-PL"/>
        </w:rPr>
        <w:t>Produkt leczniczy Revolade jest wskazany w leczeniu dzieci i młodzieży w wieku od 1</w:t>
      </w:r>
      <w:r w:rsidR="00DC1C12" w:rsidRPr="007E4DA1">
        <w:rPr>
          <w:sz w:val="22"/>
          <w:szCs w:val="22"/>
          <w:lang w:val="pl-PL"/>
        </w:rPr>
        <w:t> </w:t>
      </w:r>
      <w:r w:rsidRPr="007E4DA1">
        <w:rPr>
          <w:sz w:val="22"/>
          <w:szCs w:val="22"/>
          <w:lang w:val="pl-PL"/>
        </w:rPr>
        <w:t>roku z pierwotną małopłytkowością immunologiczną (</w:t>
      </w:r>
      <w:r w:rsidR="000A7881" w:rsidRPr="007E4DA1">
        <w:rPr>
          <w:sz w:val="22"/>
          <w:szCs w:val="22"/>
          <w:lang w:val="pl-PL"/>
        </w:rPr>
        <w:t xml:space="preserve">ang. </w:t>
      </w:r>
      <w:r w:rsidR="000A7881" w:rsidRPr="007E4DA1">
        <w:rPr>
          <w:i/>
          <w:iCs/>
          <w:sz w:val="22"/>
          <w:szCs w:val="22"/>
          <w:lang w:val="pl-PL"/>
        </w:rPr>
        <w:t>primary immune thrombocytopenia</w:t>
      </w:r>
      <w:r w:rsidR="000A7881" w:rsidRPr="007E4DA1">
        <w:rPr>
          <w:sz w:val="22"/>
          <w:szCs w:val="22"/>
          <w:lang w:val="pl-PL"/>
        </w:rPr>
        <w:t xml:space="preserve">, </w:t>
      </w:r>
      <w:r w:rsidRPr="007E4DA1">
        <w:rPr>
          <w:sz w:val="22"/>
          <w:szCs w:val="22"/>
          <w:lang w:val="pl-PL"/>
        </w:rPr>
        <w:t>ITP) trwającą przynajmniej 6</w:t>
      </w:r>
      <w:r w:rsidR="00DC1C12" w:rsidRPr="007E4DA1">
        <w:rPr>
          <w:sz w:val="22"/>
          <w:szCs w:val="22"/>
          <w:lang w:val="pl-PL"/>
        </w:rPr>
        <w:t> </w:t>
      </w:r>
      <w:r w:rsidRPr="007E4DA1">
        <w:rPr>
          <w:sz w:val="22"/>
          <w:szCs w:val="22"/>
          <w:lang w:val="pl-PL"/>
        </w:rPr>
        <w:t>miesięcy od rozpoznania, którzy wykazują niedostateczną odpowiedź na inne sposoby leczenia (np. terapia kortykosteroidami, immunoglobulinami) (patrz punkty 4.2 i 5.1).</w:t>
      </w:r>
    </w:p>
    <w:p w14:paraId="701E2969" w14:textId="77777777" w:rsidR="00C400F3" w:rsidRPr="007E4DA1" w:rsidRDefault="00C400F3" w:rsidP="001A6584">
      <w:pPr>
        <w:tabs>
          <w:tab w:val="left" w:pos="142"/>
        </w:tabs>
        <w:ind w:left="0" w:firstLine="0"/>
        <w:rPr>
          <w:szCs w:val="22"/>
        </w:rPr>
      </w:pPr>
    </w:p>
    <w:p w14:paraId="50279DE6" w14:textId="77777777" w:rsidR="00802FF6" w:rsidRPr="007E4DA1" w:rsidRDefault="00802FF6" w:rsidP="001A6584">
      <w:pPr>
        <w:tabs>
          <w:tab w:val="left" w:pos="142"/>
        </w:tabs>
        <w:ind w:left="0" w:firstLine="0"/>
        <w:rPr>
          <w:bCs/>
          <w:iCs/>
        </w:rPr>
      </w:pPr>
      <w:r w:rsidRPr="007E4DA1">
        <w:t xml:space="preserve">Produkt </w:t>
      </w:r>
      <w:r w:rsidR="00892C3F" w:rsidRPr="007E4DA1">
        <w:t xml:space="preserve">leczniczy </w:t>
      </w:r>
      <w:r w:rsidRPr="007E4DA1">
        <w:rPr>
          <w:color w:val="000000"/>
        </w:rPr>
        <w:t>Revolade</w:t>
      </w:r>
      <w:r w:rsidRPr="007E4DA1">
        <w:t xml:space="preserve"> jest wskazany </w:t>
      </w:r>
      <w:r w:rsidR="004A1034" w:rsidRPr="007E4DA1">
        <w:t xml:space="preserve">do stosowania </w:t>
      </w:r>
      <w:r w:rsidRPr="007E4DA1">
        <w:t>u dorosłych pacjentów z przewlekłym wirusowym zapaleniem wątroby typu C (WZW C) w celu leczenia małopłytkowości, gdy stopień małopłytkowości jest głównym czynnikiem uniemożliwiającym rozpoczęcie lub ograniczającym możliwości kontynuowania optymalnej terapii opartej na interferonie (patrz punkty 4.4 i 5.1).</w:t>
      </w:r>
    </w:p>
    <w:p w14:paraId="1AE16B08" w14:textId="77777777" w:rsidR="00802FF6" w:rsidRPr="007E4DA1" w:rsidRDefault="00802FF6" w:rsidP="001A6584">
      <w:pPr>
        <w:tabs>
          <w:tab w:val="left" w:pos="142"/>
        </w:tabs>
        <w:ind w:left="0" w:firstLine="0"/>
      </w:pPr>
    </w:p>
    <w:p w14:paraId="54D3C9A7" w14:textId="452AC84A" w:rsidR="000F421A" w:rsidRPr="007E4DA1" w:rsidRDefault="00273B4F" w:rsidP="001A6584">
      <w:pPr>
        <w:tabs>
          <w:tab w:val="left" w:pos="142"/>
        </w:tabs>
        <w:ind w:left="0" w:firstLine="0"/>
      </w:pPr>
      <w:r w:rsidRPr="007E4DA1">
        <w:t xml:space="preserve">Produkt leczniczy Revolade jest wskazany </w:t>
      </w:r>
      <w:r w:rsidR="009C195E" w:rsidRPr="007E4DA1">
        <w:t>do stosowania u</w:t>
      </w:r>
      <w:r w:rsidRPr="007E4DA1">
        <w:t xml:space="preserve"> dorosłych pacjentów z nabytą ciężką postacią niedokrwistości aplastycznej (SAA – </w:t>
      </w:r>
      <w:r w:rsidRPr="007E4DA1">
        <w:rPr>
          <w:i/>
        </w:rPr>
        <w:t>severe aplastic anaemia</w:t>
      </w:r>
      <w:r w:rsidRPr="007E4DA1">
        <w:t xml:space="preserve">), u których wystąpiła oporność </w:t>
      </w:r>
      <w:r w:rsidR="003843D2" w:rsidRPr="007E4DA1">
        <w:t xml:space="preserve">na wcześniejsze leczenie immunosupresyjne </w:t>
      </w:r>
      <w:r w:rsidRPr="007E4DA1">
        <w:t>lub którzy przebyli wcześniejsze intensywne leczenie i nie są odpowiednimi kandydatami do transplantacji krwiotwórczych komórek macierzystych</w:t>
      </w:r>
      <w:r w:rsidR="003843D2" w:rsidRPr="007E4DA1">
        <w:t xml:space="preserve"> (patrz punkt</w:t>
      </w:r>
      <w:r w:rsidR="00C11D69" w:rsidRPr="007E4DA1">
        <w:t> </w:t>
      </w:r>
      <w:r w:rsidR="003843D2" w:rsidRPr="007E4DA1">
        <w:t>5.1)</w:t>
      </w:r>
      <w:r w:rsidRPr="007E4DA1">
        <w:t>.</w:t>
      </w:r>
    </w:p>
    <w:p w14:paraId="5BEBEAE7" w14:textId="77777777" w:rsidR="00273B4F" w:rsidRPr="007E4DA1" w:rsidRDefault="00273B4F" w:rsidP="001A6584">
      <w:pPr>
        <w:tabs>
          <w:tab w:val="left" w:pos="142"/>
        </w:tabs>
        <w:ind w:left="0" w:firstLine="0"/>
      </w:pPr>
    </w:p>
    <w:p w14:paraId="73392EB7" w14:textId="77777777" w:rsidR="00041A08" w:rsidRPr="00041A08" w:rsidRDefault="00916E76" w:rsidP="001A6584">
      <w:pPr>
        <w:keepNext/>
      </w:pPr>
      <w:r w:rsidRPr="007E4DA1">
        <w:rPr>
          <w:b/>
        </w:rPr>
        <w:t>4.2</w:t>
      </w:r>
      <w:r w:rsidRPr="007E4DA1">
        <w:rPr>
          <w:b/>
        </w:rPr>
        <w:tab/>
      </w:r>
      <w:r w:rsidR="00802FF6" w:rsidRPr="007E4DA1">
        <w:rPr>
          <w:b/>
        </w:rPr>
        <w:t>Dawkowanie i sposób podawania</w:t>
      </w:r>
    </w:p>
    <w:p w14:paraId="74488212" w14:textId="0EC33E49" w:rsidR="00802FF6" w:rsidRPr="007E4DA1" w:rsidRDefault="00802FF6" w:rsidP="001A6584">
      <w:pPr>
        <w:keepNext/>
        <w:tabs>
          <w:tab w:val="left" w:pos="142"/>
          <w:tab w:val="left" w:pos="450"/>
        </w:tabs>
        <w:ind w:left="0" w:firstLine="0"/>
        <w:rPr>
          <w:color w:val="000000"/>
          <w:szCs w:val="24"/>
        </w:rPr>
      </w:pPr>
    </w:p>
    <w:p w14:paraId="1CB2D5BE" w14:textId="77777777" w:rsidR="00802FF6" w:rsidRPr="007E4DA1" w:rsidRDefault="00802FF6" w:rsidP="001A6584">
      <w:pPr>
        <w:tabs>
          <w:tab w:val="left" w:pos="142"/>
        </w:tabs>
        <w:ind w:left="0" w:firstLine="0"/>
        <w:rPr>
          <w:color w:val="000000"/>
        </w:rPr>
      </w:pPr>
      <w:r w:rsidRPr="007E4DA1">
        <w:rPr>
          <w:color w:val="000000"/>
        </w:rPr>
        <w:t xml:space="preserve">Leczenie eltrombopagiem powinno być rozpoczynane </w:t>
      </w:r>
      <w:r w:rsidR="00C323BC" w:rsidRPr="007E4DA1">
        <w:rPr>
          <w:color w:val="000000"/>
        </w:rPr>
        <w:t xml:space="preserve">przez </w:t>
      </w:r>
      <w:r w:rsidRPr="007E4DA1">
        <w:rPr>
          <w:color w:val="000000"/>
        </w:rPr>
        <w:t>i prowadzone pod nadzorem lekarza z doświadczeniem w zakresie hematologii lub leczenia przewlekłego wirusowego zapalenia wątroby typu C oraz jego powikłań.</w:t>
      </w:r>
    </w:p>
    <w:p w14:paraId="13BE8E67" w14:textId="77777777" w:rsidR="00802FF6" w:rsidRPr="007E4DA1" w:rsidRDefault="00802FF6" w:rsidP="001A6584">
      <w:pPr>
        <w:tabs>
          <w:tab w:val="left" w:pos="142"/>
          <w:tab w:val="left" w:pos="450"/>
        </w:tabs>
        <w:ind w:left="0" w:firstLine="0"/>
        <w:rPr>
          <w:color w:val="000000"/>
          <w:szCs w:val="24"/>
        </w:rPr>
      </w:pPr>
    </w:p>
    <w:p w14:paraId="239335D0" w14:textId="77777777" w:rsidR="00041A08" w:rsidRPr="00041A08" w:rsidRDefault="00802FF6" w:rsidP="001A6584">
      <w:pPr>
        <w:keepNext/>
        <w:tabs>
          <w:tab w:val="left" w:pos="142"/>
        </w:tabs>
        <w:ind w:left="0" w:firstLine="0"/>
        <w:rPr>
          <w:color w:val="000000"/>
          <w:szCs w:val="24"/>
        </w:rPr>
      </w:pPr>
      <w:r w:rsidRPr="007E4DA1">
        <w:rPr>
          <w:color w:val="000000"/>
          <w:szCs w:val="24"/>
          <w:u w:val="single"/>
        </w:rPr>
        <w:t>Dawkowanie</w:t>
      </w:r>
    </w:p>
    <w:p w14:paraId="42B61D10" w14:textId="5F999FC5" w:rsidR="00802FF6" w:rsidRPr="007E4DA1" w:rsidRDefault="00802FF6" w:rsidP="001A6584">
      <w:pPr>
        <w:keepNext/>
        <w:tabs>
          <w:tab w:val="left" w:pos="142"/>
        </w:tabs>
        <w:ind w:left="0" w:firstLine="0"/>
        <w:rPr>
          <w:color w:val="000000"/>
          <w:szCs w:val="24"/>
        </w:rPr>
      </w:pPr>
    </w:p>
    <w:p w14:paraId="5F85C188" w14:textId="77777777" w:rsidR="00802FF6" w:rsidRPr="007E4DA1" w:rsidRDefault="00802FF6" w:rsidP="001A6584">
      <w:pPr>
        <w:tabs>
          <w:tab w:val="left" w:pos="142"/>
        </w:tabs>
        <w:ind w:left="0" w:firstLine="0"/>
        <w:rPr>
          <w:color w:val="000000"/>
          <w:szCs w:val="24"/>
        </w:rPr>
      </w:pPr>
      <w:r w:rsidRPr="007E4DA1">
        <w:rPr>
          <w:color w:val="000000"/>
          <w:szCs w:val="24"/>
        </w:rPr>
        <w:t>Dawkowanie eltrombopagu musi być dostosowane indywidualnie, w zależności od liczby płytek krwi u pacjenta. Celem leczenia eltrombopagiem nie powinna być normalizacja liczby płytek krwi</w:t>
      </w:r>
      <w:r w:rsidRPr="007E4DA1">
        <w:rPr>
          <w:color w:val="000000"/>
          <w:szCs w:val="22"/>
        </w:rPr>
        <w:t>.</w:t>
      </w:r>
    </w:p>
    <w:p w14:paraId="295E6CA1" w14:textId="77777777" w:rsidR="00802FF6" w:rsidRPr="007E4DA1" w:rsidRDefault="00802FF6" w:rsidP="001A6584">
      <w:pPr>
        <w:tabs>
          <w:tab w:val="left" w:pos="142"/>
        </w:tabs>
        <w:ind w:left="0" w:firstLine="0"/>
        <w:rPr>
          <w:color w:val="000000"/>
          <w:szCs w:val="24"/>
        </w:rPr>
      </w:pPr>
    </w:p>
    <w:p w14:paraId="267A1762" w14:textId="77777777" w:rsidR="00C400F3" w:rsidRPr="007E4DA1" w:rsidRDefault="00C400F3" w:rsidP="001A6584">
      <w:pPr>
        <w:tabs>
          <w:tab w:val="left" w:pos="142"/>
        </w:tabs>
        <w:ind w:left="0" w:firstLine="0"/>
        <w:rPr>
          <w:color w:val="000000"/>
          <w:szCs w:val="24"/>
        </w:rPr>
      </w:pPr>
      <w:r w:rsidRPr="007E4DA1">
        <w:rPr>
          <w:szCs w:val="22"/>
        </w:rPr>
        <w:t xml:space="preserve">Proszek do sporządzania zawiesiny doustnej może powodować większą ekspozycję na eltrombopag </w:t>
      </w:r>
      <w:r w:rsidR="00E20BC9" w:rsidRPr="007E4DA1">
        <w:rPr>
          <w:szCs w:val="22"/>
        </w:rPr>
        <w:t>niż</w:t>
      </w:r>
      <w:r w:rsidRPr="007E4DA1">
        <w:rPr>
          <w:szCs w:val="22"/>
        </w:rPr>
        <w:t xml:space="preserve"> </w:t>
      </w:r>
      <w:r w:rsidR="00E20BC9" w:rsidRPr="007E4DA1">
        <w:rPr>
          <w:szCs w:val="22"/>
        </w:rPr>
        <w:t>lek w postaci</w:t>
      </w:r>
      <w:r w:rsidRPr="007E4DA1">
        <w:rPr>
          <w:szCs w:val="22"/>
        </w:rPr>
        <w:t xml:space="preserve"> tabletek (patrz punkt 5.2). Zmieniając postać leku z tabletek na proszek do sporządzania zawiesiny doustnej i odwrotnie należy przez 2</w:t>
      </w:r>
      <w:r w:rsidR="009C511E" w:rsidRPr="007E4DA1">
        <w:rPr>
          <w:szCs w:val="22"/>
        </w:rPr>
        <w:t> </w:t>
      </w:r>
      <w:r w:rsidRPr="007E4DA1">
        <w:rPr>
          <w:szCs w:val="22"/>
        </w:rPr>
        <w:t xml:space="preserve">tygodnie </w:t>
      </w:r>
      <w:r w:rsidR="00E20BC9" w:rsidRPr="007E4DA1">
        <w:rPr>
          <w:szCs w:val="22"/>
        </w:rPr>
        <w:t>kont</w:t>
      </w:r>
      <w:r w:rsidR="00466A69" w:rsidRPr="007E4DA1">
        <w:rPr>
          <w:szCs w:val="22"/>
        </w:rPr>
        <w:t>ro</w:t>
      </w:r>
      <w:r w:rsidR="00E20BC9" w:rsidRPr="007E4DA1">
        <w:rPr>
          <w:szCs w:val="22"/>
        </w:rPr>
        <w:t>lować</w:t>
      </w:r>
      <w:r w:rsidRPr="007E4DA1">
        <w:rPr>
          <w:szCs w:val="22"/>
        </w:rPr>
        <w:t xml:space="preserve"> co</w:t>
      </w:r>
      <w:r w:rsidR="00E20BC9" w:rsidRPr="007E4DA1">
        <w:rPr>
          <w:szCs w:val="22"/>
        </w:rPr>
        <w:t xml:space="preserve"> </w:t>
      </w:r>
      <w:r w:rsidRPr="007E4DA1">
        <w:rPr>
          <w:szCs w:val="22"/>
        </w:rPr>
        <w:t>tyd</w:t>
      </w:r>
      <w:r w:rsidR="00E20BC9" w:rsidRPr="007E4DA1">
        <w:rPr>
          <w:szCs w:val="22"/>
        </w:rPr>
        <w:t xml:space="preserve">zień </w:t>
      </w:r>
      <w:r w:rsidRPr="007E4DA1">
        <w:rPr>
          <w:szCs w:val="22"/>
        </w:rPr>
        <w:t>liczb</w:t>
      </w:r>
      <w:r w:rsidR="00E20BC9" w:rsidRPr="007E4DA1">
        <w:rPr>
          <w:szCs w:val="22"/>
        </w:rPr>
        <w:t>ę</w:t>
      </w:r>
      <w:r w:rsidRPr="007E4DA1">
        <w:rPr>
          <w:szCs w:val="22"/>
        </w:rPr>
        <w:t xml:space="preserve"> płytek krwi.</w:t>
      </w:r>
    </w:p>
    <w:p w14:paraId="34DFDB9A" w14:textId="77777777" w:rsidR="00C400F3" w:rsidRPr="007E4DA1" w:rsidRDefault="00C400F3" w:rsidP="001A6584">
      <w:pPr>
        <w:tabs>
          <w:tab w:val="left" w:pos="142"/>
        </w:tabs>
        <w:ind w:left="0" w:firstLine="0"/>
        <w:rPr>
          <w:color w:val="000000"/>
          <w:szCs w:val="24"/>
        </w:rPr>
      </w:pPr>
    </w:p>
    <w:p w14:paraId="29967A37" w14:textId="77777777" w:rsidR="00041A08" w:rsidRPr="00041A08" w:rsidRDefault="00B67887" w:rsidP="001A6584">
      <w:pPr>
        <w:keepNext/>
        <w:tabs>
          <w:tab w:val="left" w:pos="142"/>
        </w:tabs>
        <w:ind w:left="0" w:firstLine="0"/>
      </w:pPr>
      <w:r w:rsidRPr="007E4DA1">
        <w:rPr>
          <w:i/>
          <w:u w:val="single"/>
        </w:rPr>
        <w:t>M</w:t>
      </w:r>
      <w:r w:rsidR="00802FF6" w:rsidRPr="007E4DA1">
        <w:rPr>
          <w:i/>
          <w:u w:val="single"/>
        </w:rPr>
        <w:t>ałopłytkowość immunologiczna</w:t>
      </w:r>
      <w:r w:rsidRPr="007E4DA1">
        <w:rPr>
          <w:i/>
          <w:u w:val="single"/>
        </w:rPr>
        <w:t xml:space="preserve"> (pierwotna)</w:t>
      </w:r>
    </w:p>
    <w:p w14:paraId="7620877F" w14:textId="61843FF5" w:rsidR="00802FF6" w:rsidRPr="007E4DA1" w:rsidRDefault="00802FF6" w:rsidP="001A6584">
      <w:pPr>
        <w:keepNext/>
        <w:tabs>
          <w:tab w:val="left" w:pos="142"/>
          <w:tab w:val="left" w:pos="450"/>
        </w:tabs>
        <w:ind w:left="0" w:firstLine="0"/>
        <w:rPr>
          <w:szCs w:val="22"/>
        </w:rPr>
      </w:pPr>
    </w:p>
    <w:p w14:paraId="58FB01E1" w14:textId="77777777" w:rsidR="00802FF6" w:rsidRPr="007E4DA1" w:rsidRDefault="00802FF6" w:rsidP="001A6584">
      <w:pPr>
        <w:tabs>
          <w:tab w:val="left" w:pos="142"/>
        </w:tabs>
        <w:ind w:left="0" w:firstLine="0"/>
        <w:rPr>
          <w:szCs w:val="24"/>
        </w:rPr>
      </w:pPr>
      <w:r w:rsidRPr="007E4DA1">
        <w:t xml:space="preserve">Należy stosować najmniejszą dawkę eltrombopagu pozwalającą osiągnąć i utrzymać liczbę płytek krwi ≥50 000/μl. Dostosowanie dawki oparte jest na liczbie płytek krwi. Nie </w:t>
      </w:r>
      <w:r w:rsidR="00F95EF3" w:rsidRPr="007E4DA1">
        <w:t>wolno</w:t>
      </w:r>
      <w:r w:rsidRPr="007E4DA1">
        <w:t xml:space="preserve"> stosować eltrombopagu w celu normalizacji liczby płytek krwi. W badaniach klinicznych liczba płytek zazwyczaj zwiększała się w ciągu 1 do 2 tygodni po rozpoczęciu leczenia eltrombopagiem i zmniejszała się w ciągu 1 do 2 tygodni po zakończeniu stosowania leku.</w:t>
      </w:r>
    </w:p>
    <w:p w14:paraId="30840090" w14:textId="77777777" w:rsidR="00802FF6" w:rsidRPr="007E4DA1" w:rsidRDefault="00802FF6" w:rsidP="001A6584">
      <w:pPr>
        <w:tabs>
          <w:tab w:val="left" w:pos="142"/>
          <w:tab w:val="left" w:pos="450"/>
        </w:tabs>
        <w:ind w:left="0" w:firstLine="0"/>
        <w:rPr>
          <w:szCs w:val="22"/>
          <w:lang w:eastAsia="en-US"/>
        </w:rPr>
      </w:pPr>
    </w:p>
    <w:p w14:paraId="30D47C3E" w14:textId="77777777" w:rsidR="00041A08" w:rsidRPr="00041A08" w:rsidRDefault="00D144B3" w:rsidP="001A6584">
      <w:pPr>
        <w:pStyle w:val="CommentText"/>
        <w:keepNext/>
        <w:tabs>
          <w:tab w:val="clear" w:pos="567"/>
          <w:tab w:val="left" w:pos="142"/>
        </w:tabs>
        <w:spacing w:line="240" w:lineRule="auto"/>
        <w:rPr>
          <w:sz w:val="22"/>
          <w:szCs w:val="22"/>
          <w:lang w:val="pl-PL"/>
        </w:rPr>
      </w:pPr>
      <w:r w:rsidRPr="007E4DA1">
        <w:rPr>
          <w:i/>
          <w:sz w:val="22"/>
          <w:szCs w:val="22"/>
          <w:lang w:val="pl-PL"/>
        </w:rPr>
        <w:t>Dorośli oraz dzieci i młodzież w wieku od 6 do 17</w:t>
      </w:r>
      <w:r w:rsidR="009C511E" w:rsidRPr="007E4DA1">
        <w:rPr>
          <w:i/>
          <w:sz w:val="22"/>
          <w:szCs w:val="22"/>
          <w:lang w:val="pl-PL"/>
        </w:rPr>
        <w:t> </w:t>
      </w:r>
      <w:r w:rsidRPr="007E4DA1">
        <w:rPr>
          <w:i/>
          <w:sz w:val="22"/>
          <w:szCs w:val="22"/>
          <w:lang w:val="pl-PL"/>
        </w:rPr>
        <w:t>lat</w:t>
      </w:r>
    </w:p>
    <w:p w14:paraId="1AFD68D7" w14:textId="486048C5" w:rsidR="00802FF6" w:rsidRPr="007E4DA1" w:rsidRDefault="00802FF6" w:rsidP="001A6584">
      <w:pPr>
        <w:pStyle w:val="CommentText"/>
        <w:tabs>
          <w:tab w:val="clear" w:pos="567"/>
          <w:tab w:val="left" w:pos="142"/>
        </w:tabs>
        <w:spacing w:line="240" w:lineRule="auto"/>
        <w:rPr>
          <w:sz w:val="22"/>
          <w:szCs w:val="22"/>
          <w:lang w:val="pl-PL"/>
        </w:rPr>
      </w:pPr>
      <w:r w:rsidRPr="007E4DA1">
        <w:rPr>
          <w:sz w:val="22"/>
          <w:szCs w:val="22"/>
          <w:lang w:val="pl-PL"/>
        </w:rPr>
        <w:t xml:space="preserve">Zalecana dawka początkowa eltrombopagu wynosi 50 mg raz na dobę. W przypadku pacjentów pochodzenia </w:t>
      </w:r>
      <w:r w:rsidR="004A1034" w:rsidRPr="007E4DA1">
        <w:rPr>
          <w:sz w:val="22"/>
          <w:szCs w:val="22"/>
          <w:lang w:val="pl-PL"/>
        </w:rPr>
        <w:t>wschodnio-</w:t>
      </w:r>
      <w:r w:rsidR="00F6133D" w:rsidRPr="007E4DA1">
        <w:rPr>
          <w:sz w:val="22"/>
          <w:szCs w:val="22"/>
          <w:lang w:val="pl-PL"/>
        </w:rPr>
        <w:t>/</w:t>
      </w:r>
      <w:r w:rsidR="004A1034" w:rsidRPr="007E4DA1">
        <w:rPr>
          <w:sz w:val="22"/>
          <w:szCs w:val="22"/>
          <w:lang w:val="pl-PL"/>
        </w:rPr>
        <w:t>południowo</w:t>
      </w:r>
      <w:r w:rsidR="004A1007" w:rsidRPr="007E4DA1">
        <w:rPr>
          <w:sz w:val="22"/>
          <w:szCs w:val="22"/>
          <w:lang w:val="pl-PL"/>
        </w:rPr>
        <w:t>-</w:t>
      </w:r>
      <w:r w:rsidR="004A1034" w:rsidRPr="007E4DA1">
        <w:rPr>
          <w:sz w:val="22"/>
          <w:szCs w:val="22"/>
          <w:lang w:val="pl-PL"/>
        </w:rPr>
        <w:t>wschodnio</w:t>
      </w:r>
      <w:r w:rsidRPr="007E4DA1">
        <w:rPr>
          <w:sz w:val="22"/>
          <w:szCs w:val="22"/>
          <w:lang w:val="pl-PL"/>
        </w:rPr>
        <w:t>azjatyckiego</w:t>
      </w:r>
      <w:r w:rsidR="00D144B3" w:rsidRPr="007E4DA1">
        <w:rPr>
          <w:sz w:val="22"/>
          <w:szCs w:val="22"/>
          <w:lang w:val="pl-PL"/>
        </w:rPr>
        <w:t xml:space="preserve"> </w:t>
      </w:r>
      <w:r w:rsidRPr="007E4DA1">
        <w:rPr>
          <w:sz w:val="22"/>
          <w:szCs w:val="22"/>
          <w:lang w:val="pl-PL"/>
        </w:rPr>
        <w:t>leczenie eltrombopagiem należy rozpoczynać od zmniejszonej dawki 25 mg raz na dobę (patrz punkt</w:t>
      </w:r>
      <w:r w:rsidR="005F4E9F" w:rsidRPr="007E4DA1">
        <w:rPr>
          <w:sz w:val="22"/>
          <w:szCs w:val="22"/>
          <w:lang w:val="pl-PL"/>
        </w:rPr>
        <w:t> </w:t>
      </w:r>
      <w:r w:rsidRPr="007E4DA1">
        <w:rPr>
          <w:sz w:val="22"/>
          <w:szCs w:val="22"/>
          <w:lang w:val="pl-PL"/>
        </w:rPr>
        <w:t>5.2).</w:t>
      </w:r>
    </w:p>
    <w:p w14:paraId="06ABB529" w14:textId="77777777" w:rsidR="00802FF6" w:rsidRPr="007E4DA1" w:rsidRDefault="00802FF6" w:rsidP="001A6584">
      <w:pPr>
        <w:pStyle w:val="CommentText"/>
        <w:tabs>
          <w:tab w:val="clear" w:pos="567"/>
          <w:tab w:val="left" w:pos="142"/>
        </w:tabs>
        <w:spacing w:line="240" w:lineRule="auto"/>
        <w:rPr>
          <w:sz w:val="22"/>
          <w:szCs w:val="22"/>
          <w:lang w:val="pl-PL"/>
        </w:rPr>
      </w:pPr>
    </w:p>
    <w:p w14:paraId="744703D2" w14:textId="77777777" w:rsidR="00041A08" w:rsidRPr="00041A08" w:rsidRDefault="00D144B3" w:rsidP="001A6584">
      <w:pPr>
        <w:pStyle w:val="CommentText"/>
        <w:keepNext/>
        <w:tabs>
          <w:tab w:val="clear" w:pos="567"/>
          <w:tab w:val="left" w:pos="142"/>
        </w:tabs>
        <w:spacing w:line="240" w:lineRule="auto"/>
        <w:rPr>
          <w:sz w:val="22"/>
          <w:szCs w:val="22"/>
          <w:lang w:val="pl-PL"/>
        </w:rPr>
      </w:pPr>
      <w:r w:rsidRPr="007E4DA1">
        <w:rPr>
          <w:i/>
          <w:sz w:val="22"/>
          <w:szCs w:val="22"/>
          <w:lang w:val="pl-PL"/>
        </w:rPr>
        <w:t>Dzieci w wieku od 1 do 5</w:t>
      </w:r>
      <w:r w:rsidR="00557709" w:rsidRPr="007E4DA1">
        <w:rPr>
          <w:i/>
          <w:sz w:val="22"/>
          <w:szCs w:val="22"/>
          <w:lang w:val="pl-PL"/>
        </w:rPr>
        <w:t> </w:t>
      </w:r>
      <w:r w:rsidRPr="007E4DA1">
        <w:rPr>
          <w:i/>
          <w:sz w:val="22"/>
          <w:szCs w:val="22"/>
          <w:lang w:val="pl-PL"/>
        </w:rPr>
        <w:t>lat</w:t>
      </w:r>
    </w:p>
    <w:p w14:paraId="472B3D91" w14:textId="62AF25B9" w:rsidR="00D144B3" w:rsidRPr="007E4DA1" w:rsidRDefault="00D144B3" w:rsidP="001A6584">
      <w:pPr>
        <w:pStyle w:val="CommentText"/>
        <w:tabs>
          <w:tab w:val="clear" w:pos="567"/>
          <w:tab w:val="left" w:pos="142"/>
        </w:tabs>
        <w:spacing w:line="240" w:lineRule="auto"/>
        <w:rPr>
          <w:sz w:val="22"/>
          <w:szCs w:val="22"/>
          <w:lang w:val="pl-PL"/>
        </w:rPr>
      </w:pPr>
      <w:r w:rsidRPr="007E4DA1">
        <w:rPr>
          <w:sz w:val="22"/>
          <w:szCs w:val="22"/>
          <w:lang w:val="pl-PL"/>
        </w:rPr>
        <w:t>Zalecana dawka początkowa eltrombopagu wynosi 25 mg raz na dobę.</w:t>
      </w:r>
    </w:p>
    <w:p w14:paraId="60E5B9C4" w14:textId="77777777" w:rsidR="00D144B3" w:rsidRPr="007E4DA1" w:rsidRDefault="00D144B3" w:rsidP="001A6584">
      <w:pPr>
        <w:pStyle w:val="CommentText"/>
        <w:tabs>
          <w:tab w:val="clear" w:pos="567"/>
          <w:tab w:val="left" w:pos="142"/>
        </w:tabs>
        <w:spacing w:line="240" w:lineRule="auto"/>
        <w:rPr>
          <w:sz w:val="22"/>
          <w:szCs w:val="22"/>
          <w:lang w:val="pl-PL"/>
        </w:rPr>
      </w:pPr>
    </w:p>
    <w:p w14:paraId="05B458B4" w14:textId="77777777" w:rsidR="00041A08" w:rsidRPr="00041A08" w:rsidRDefault="00802FF6" w:rsidP="001A6584">
      <w:pPr>
        <w:keepNext/>
        <w:tabs>
          <w:tab w:val="left" w:pos="142"/>
          <w:tab w:val="left" w:pos="450"/>
        </w:tabs>
        <w:ind w:left="0" w:firstLine="0"/>
        <w:rPr>
          <w:color w:val="000000"/>
          <w:szCs w:val="24"/>
        </w:rPr>
      </w:pPr>
      <w:r w:rsidRPr="007E4DA1">
        <w:rPr>
          <w:i/>
          <w:color w:val="000000"/>
          <w:szCs w:val="24"/>
        </w:rPr>
        <w:t>Monitorowanie i dostosowanie dawki</w:t>
      </w:r>
    </w:p>
    <w:p w14:paraId="76DC1EFA" w14:textId="636A726B" w:rsidR="00802FF6" w:rsidRPr="007E4DA1" w:rsidRDefault="00802FF6" w:rsidP="001A6584">
      <w:pPr>
        <w:tabs>
          <w:tab w:val="left" w:pos="142"/>
        </w:tabs>
        <w:ind w:left="0" w:firstLine="0"/>
      </w:pPr>
      <w:r w:rsidRPr="007E4DA1">
        <w:t xml:space="preserve">Po rozpoczęciu leczenia eltrombopagiem dawkę </w:t>
      </w:r>
      <w:r w:rsidR="00F95EF3" w:rsidRPr="007E4DA1">
        <w:t>trzeba</w:t>
      </w:r>
      <w:r w:rsidRPr="007E4DA1">
        <w:t xml:space="preserve"> dostosować tak, aby osiągnąć i utrzymać liczbę płytek ≥50 000/µl, konieczną dla zmniejszenia ryzyka krwawienia. Nie wolno przekraczać dawki 75 mg na dobę.</w:t>
      </w:r>
    </w:p>
    <w:p w14:paraId="759D6509" w14:textId="77777777" w:rsidR="00802FF6" w:rsidRPr="007E4DA1" w:rsidRDefault="00802FF6" w:rsidP="001A6584">
      <w:pPr>
        <w:tabs>
          <w:tab w:val="left" w:pos="142"/>
        </w:tabs>
        <w:ind w:left="0" w:firstLine="0"/>
        <w:rPr>
          <w:szCs w:val="22"/>
        </w:rPr>
      </w:pPr>
    </w:p>
    <w:p w14:paraId="323A132A" w14:textId="0353CCEF" w:rsidR="00802FF6" w:rsidRPr="007E4DA1" w:rsidRDefault="00802FF6" w:rsidP="001A6584">
      <w:pPr>
        <w:tabs>
          <w:tab w:val="left" w:pos="142"/>
        </w:tabs>
        <w:ind w:left="0" w:firstLine="0"/>
      </w:pPr>
      <w:r w:rsidRPr="007E4DA1">
        <w:t xml:space="preserve">Podczas leczenia eltrombopagiem należy regularnie kontrolować kliniczne parametry hematologiczne i parametry czynności wątroby oraz modyfikować dawkę eltrombopagu w oparciu o liczbę płytek krwi, zgodnie z informacjami zawartymi w </w:t>
      </w:r>
      <w:r w:rsidR="00C00A76">
        <w:t>t</w:t>
      </w:r>
      <w:r w:rsidRPr="007E4DA1">
        <w:t>abeli 1. W czasie leczenia eltrombopagiem należy co tydzień oznaczać pełną morfologię krwi, włącznie z liczbą płytek krwi oraz rozmazem krwi obwodowej, aż do osiągnięcia stabilnej liczby płytek krwi (≥50 000/µl przez co najmniej 4</w:t>
      </w:r>
      <w:r w:rsidR="00995B83">
        <w:t> </w:t>
      </w:r>
      <w:r w:rsidRPr="007E4DA1">
        <w:t>tygodnie). Od tego momentu pełną morfologię, włącznie z liczbą płytek krwi oraz rozmazem krwi obwodowej należy wykonywać raz w miesiącu.</w:t>
      </w:r>
    </w:p>
    <w:p w14:paraId="78FE06B3" w14:textId="77777777" w:rsidR="00802FF6" w:rsidRPr="007E4DA1" w:rsidRDefault="00802FF6" w:rsidP="001A6584">
      <w:pPr>
        <w:tabs>
          <w:tab w:val="left" w:pos="142"/>
        </w:tabs>
        <w:ind w:left="0" w:firstLine="0"/>
        <w:rPr>
          <w:szCs w:val="22"/>
        </w:rPr>
      </w:pPr>
    </w:p>
    <w:p w14:paraId="754CD846" w14:textId="77777777" w:rsidR="00041A08" w:rsidRPr="00041A08" w:rsidRDefault="00916E76" w:rsidP="001A6584">
      <w:pPr>
        <w:pStyle w:val="Caption"/>
        <w:keepNext/>
        <w:tabs>
          <w:tab w:val="left" w:pos="1134"/>
        </w:tabs>
        <w:spacing w:before="0" w:after="0"/>
        <w:ind w:left="1134" w:hanging="1134"/>
        <w:rPr>
          <w:b w:val="0"/>
          <w:sz w:val="22"/>
          <w:szCs w:val="22"/>
          <w:lang w:val="pl-PL"/>
        </w:rPr>
      </w:pPr>
      <w:r w:rsidRPr="007E4DA1">
        <w:rPr>
          <w:sz w:val="22"/>
          <w:szCs w:val="22"/>
          <w:lang w:val="pl-PL"/>
        </w:rPr>
        <w:t>Tabela </w:t>
      </w:r>
      <w:r w:rsidR="00802FF6" w:rsidRPr="007E4DA1">
        <w:rPr>
          <w:sz w:val="22"/>
          <w:szCs w:val="22"/>
          <w:lang w:val="pl-PL"/>
        </w:rPr>
        <w:t>1</w:t>
      </w:r>
      <w:r w:rsidR="00FF24D6" w:rsidRPr="007E4DA1">
        <w:rPr>
          <w:sz w:val="22"/>
          <w:szCs w:val="22"/>
          <w:lang w:val="pl-PL"/>
        </w:rPr>
        <w:tab/>
      </w:r>
      <w:r w:rsidR="00802FF6" w:rsidRPr="007E4DA1">
        <w:rPr>
          <w:sz w:val="22"/>
          <w:szCs w:val="22"/>
          <w:lang w:val="pl-PL"/>
        </w:rPr>
        <w:t>Dostosowanie dawki eltrombopagu u pacjentów z pierwotną małopłytkowością immunologiczną</w:t>
      </w:r>
    </w:p>
    <w:p w14:paraId="6413B986" w14:textId="73C20528" w:rsidR="00802FF6" w:rsidRPr="007E4DA1" w:rsidRDefault="00802FF6" w:rsidP="001A6584">
      <w:pPr>
        <w:keepNext/>
        <w:tabs>
          <w:tab w:val="left" w:pos="142"/>
        </w:tabs>
        <w:ind w:left="0" w:firstLine="0"/>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802FF6" w:rsidRPr="007E4DA1" w14:paraId="2D43534B" w14:textId="77777777" w:rsidTr="00EE3105">
        <w:tc>
          <w:tcPr>
            <w:tcW w:w="3228" w:type="dxa"/>
          </w:tcPr>
          <w:p w14:paraId="63C1313B" w14:textId="77777777" w:rsidR="00802FF6" w:rsidRPr="007E4DA1" w:rsidRDefault="00802FF6" w:rsidP="00EE3105">
            <w:pPr>
              <w:keepNext/>
              <w:tabs>
                <w:tab w:val="left" w:pos="142"/>
              </w:tabs>
              <w:ind w:left="0" w:firstLine="0"/>
              <w:jc w:val="center"/>
              <w:rPr>
                <w:szCs w:val="22"/>
              </w:rPr>
            </w:pPr>
            <w:r w:rsidRPr="007E4DA1">
              <w:rPr>
                <w:szCs w:val="22"/>
              </w:rPr>
              <w:t>Liczba płytek krwi</w:t>
            </w:r>
          </w:p>
        </w:tc>
        <w:tc>
          <w:tcPr>
            <w:tcW w:w="5880" w:type="dxa"/>
          </w:tcPr>
          <w:p w14:paraId="058A7F53" w14:textId="38E6B67F" w:rsidR="00802FF6" w:rsidRPr="007E4DA1" w:rsidRDefault="00802FF6" w:rsidP="00EE3105">
            <w:pPr>
              <w:keepNext/>
              <w:tabs>
                <w:tab w:val="left" w:pos="142"/>
              </w:tabs>
              <w:ind w:left="0" w:firstLine="0"/>
              <w:jc w:val="center"/>
              <w:rPr>
                <w:szCs w:val="22"/>
              </w:rPr>
            </w:pPr>
            <w:r w:rsidRPr="007E4DA1">
              <w:rPr>
                <w:szCs w:val="22"/>
              </w:rPr>
              <w:t>Dostosowanie dawki lub inne działania</w:t>
            </w:r>
          </w:p>
        </w:tc>
      </w:tr>
      <w:tr w:rsidR="00802FF6" w:rsidRPr="007E4DA1" w14:paraId="37BF5703" w14:textId="77777777" w:rsidTr="00EE3105">
        <w:tc>
          <w:tcPr>
            <w:tcW w:w="3228" w:type="dxa"/>
          </w:tcPr>
          <w:p w14:paraId="0ADF2A4F" w14:textId="77777777" w:rsidR="00802FF6" w:rsidRPr="007E4DA1" w:rsidRDefault="00802FF6" w:rsidP="001A6584">
            <w:pPr>
              <w:keepNext/>
              <w:tabs>
                <w:tab w:val="left" w:pos="142"/>
              </w:tabs>
              <w:ind w:left="0" w:firstLine="0"/>
              <w:rPr>
                <w:szCs w:val="22"/>
              </w:rPr>
            </w:pPr>
            <w:r w:rsidRPr="007E4DA1">
              <w:rPr>
                <w:szCs w:val="22"/>
              </w:rPr>
              <w:t>&lt;50 000/µl po upływie co najmniej 2 tygodni leczenia</w:t>
            </w:r>
          </w:p>
        </w:tc>
        <w:tc>
          <w:tcPr>
            <w:tcW w:w="5880" w:type="dxa"/>
          </w:tcPr>
          <w:p w14:paraId="2E66C5CF" w14:textId="77777777" w:rsidR="00802FF6" w:rsidRPr="007E4DA1" w:rsidRDefault="00802FF6" w:rsidP="001A6584">
            <w:pPr>
              <w:keepNext/>
              <w:tabs>
                <w:tab w:val="left" w:pos="142"/>
              </w:tabs>
              <w:ind w:left="0" w:firstLine="0"/>
              <w:rPr>
                <w:szCs w:val="22"/>
              </w:rPr>
            </w:pPr>
            <w:r w:rsidRPr="007E4DA1">
              <w:t>Zwiększyć dawkę dobową o 25 mg do maksymalnej dawki 75 mg/dobę</w:t>
            </w:r>
            <w:r w:rsidR="00D144B3" w:rsidRPr="007E4DA1">
              <w:t>*</w:t>
            </w:r>
            <w:r w:rsidRPr="007E4DA1">
              <w:t>.</w:t>
            </w:r>
          </w:p>
        </w:tc>
      </w:tr>
      <w:tr w:rsidR="00802FF6" w:rsidRPr="007E4DA1" w14:paraId="7F1F9811" w14:textId="77777777" w:rsidTr="00EE3105">
        <w:tc>
          <w:tcPr>
            <w:tcW w:w="3228" w:type="dxa"/>
          </w:tcPr>
          <w:p w14:paraId="4279EC80" w14:textId="77777777" w:rsidR="00802FF6" w:rsidRPr="007E4DA1" w:rsidRDefault="00802FF6" w:rsidP="001A6584">
            <w:pPr>
              <w:keepNext/>
              <w:tabs>
                <w:tab w:val="left" w:pos="142"/>
              </w:tabs>
              <w:ind w:left="0" w:firstLine="0"/>
              <w:rPr>
                <w:szCs w:val="22"/>
              </w:rPr>
            </w:pPr>
            <w:r w:rsidRPr="007E4DA1">
              <w:rPr>
                <w:szCs w:val="22"/>
              </w:rPr>
              <w:sym w:font="Symbol" w:char="F0B3"/>
            </w:r>
            <w:r w:rsidRPr="007E4DA1">
              <w:rPr>
                <w:szCs w:val="22"/>
              </w:rPr>
              <w:t xml:space="preserve">50 000/µl do </w:t>
            </w:r>
            <w:r w:rsidRPr="007E4DA1">
              <w:rPr>
                <w:szCs w:val="22"/>
              </w:rPr>
              <w:sym w:font="Symbol" w:char="F0A3"/>
            </w:r>
            <w:r w:rsidRPr="007E4DA1">
              <w:rPr>
                <w:szCs w:val="22"/>
              </w:rPr>
              <w:t>150 000/µl</w:t>
            </w:r>
          </w:p>
        </w:tc>
        <w:tc>
          <w:tcPr>
            <w:tcW w:w="5880" w:type="dxa"/>
          </w:tcPr>
          <w:p w14:paraId="5A72BF3E" w14:textId="77777777" w:rsidR="00802FF6" w:rsidRPr="007E4DA1" w:rsidRDefault="00802FF6" w:rsidP="001A6584">
            <w:pPr>
              <w:keepNext/>
              <w:tabs>
                <w:tab w:val="left" w:pos="142"/>
              </w:tabs>
              <w:ind w:left="0" w:firstLine="0"/>
              <w:rPr>
                <w:szCs w:val="22"/>
              </w:rPr>
            </w:pPr>
            <w:r w:rsidRPr="007E4DA1">
              <w:t>Stosować najmniejszą dawkę eltrombopagu i (lub) jednocześnie stosować inne produkty lecznicze używane w leczeniu pierwotnej małopłytkowości immunologicznej</w:t>
            </w:r>
            <w:r w:rsidRPr="007E4DA1">
              <w:rPr>
                <w:szCs w:val="22"/>
              </w:rPr>
              <w:t>,</w:t>
            </w:r>
            <w:r w:rsidRPr="007E4DA1">
              <w:t xml:space="preserve"> w celu utrzymania liczby płytek krwi zapobiegającej lub zmniejszającej krwawienie.</w:t>
            </w:r>
          </w:p>
        </w:tc>
      </w:tr>
      <w:tr w:rsidR="00802FF6" w:rsidRPr="007E4DA1" w14:paraId="40AF4594" w14:textId="77777777" w:rsidTr="00EE3105">
        <w:tc>
          <w:tcPr>
            <w:tcW w:w="3228" w:type="dxa"/>
          </w:tcPr>
          <w:p w14:paraId="7A19CF9D" w14:textId="77777777" w:rsidR="00802FF6" w:rsidRPr="007E4DA1" w:rsidRDefault="00802FF6" w:rsidP="001A6584">
            <w:pPr>
              <w:keepNext/>
              <w:tabs>
                <w:tab w:val="left" w:pos="142"/>
              </w:tabs>
              <w:ind w:left="0" w:firstLine="0"/>
              <w:rPr>
                <w:szCs w:val="22"/>
              </w:rPr>
            </w:pPr>
            <w:r w:rsidRPr="007E4DA1">
              <w:rPr>
                <w:szCs w:val="22"/>
              </w:rPr>
              <w:t xml:space="preserve">&gt;150 000/µl do </w:t>
            </w:r>
            <w:r w:rsidRPr="007E4DA1">
              <w:rPr>
                <w:szCs w:val="22"/>
              </w:rPr>
              <w:sym w:font="Symbol" w:char="F0A3"/>
            </w:r>
            <w:r w:rsidRPr="007E4DA1">
              <w:rPr>
                <w:szCs w:val="22"/>
              </w:rPr>
              <w:t>250 000/µl</w:t>
            </w:r>
          </w:p>
        </w:tc>
        <w:tc>
          <w:tcPr>
            <w:tcW w:w="5880" w:type="dxa"/>
          </w:tcPr>
          <w:p w14:paraId="4B3EBB96" w14:textId="77777777" w:rsidR="00802FF6" w:rsidRPr="007E4DA1" w:rsidRDefault="00802FF6" w:rsidP="001A6584">
            <w:pPr>
              <w:keepNext/>
              <w:tabs>
                <w:tab w:val="left" w:pos="142"/>
              </w:tabs>
              <w:ind w:left="0" w:firstLine="0"/>
              <w:rPr>
                <w:szCs w:val="22"/>
              </w:rPr>
            </w:pPr>
            <w:r w:rsidRPr="007E4DA1">
              <w:t>Zmniejszyć dawkę dobową o 25 mg. Odczekać 2 tygodnie, aby ocenić efekty tej i kolejnych korekt dawki</w:t>
            </w:r>
            <w:r w:rsidR="00D144B3" w:rsidRPr="007E4DA1">
              <w:rPr>
                <w:vertAlign w:val="superscript"/>
              </w:rPr>
              <w:t>♦</w:t>
            </w:r>
            <w:r w:rsidRPr="007E4DA1">
              <w:t>.</w:t>
            </w:r>
          </w:p>
        </w:tc>
      </w:tr>
      <w:tr w:rsidR="00802FF6" w:rsidRPr="007E4DA1" w14:paraId="49D18DE4" w14:textId="77777777" w:rsidTr="00EE3105">
        <w:tc>
          <w:tcPr>
            <w:tcW w:w="3228" w:type="dxa"/>
          </w:tcPr>
          <w:p w14:paraId="1F0D21AC" w14:textId="77777777" w:rsidR="00802FF6" w:rsidRPr="007E4DA1" w:rsidRDefault="00802FF6" w:rsidP="001A6584">
            <w:pPr>
              <w:keepNext/>
              <w:tabs>
                <w:tab w:val="left" w:pos="142"/>
              </w:tabs>
              <w:ind w:left="0" w:firstLine="0"/>
              <w:rPr>
                <w:szCs w:val="22"/>
              </w:rPr>
            </w:pPr>
            <w:r w:rsidRPr="007E4DA1">
              <w:rPr>
                <w:szCs w:val="22"/>
              </w:rPr>
              <w:t>&gt;250 000/µl</w:t>
            </w:r>
          </w:p>
        </w:tc>
        <w:tc>
          <w:tcPr>
            <w:tcW w:w="5880" w:type="dxa"/>
          </w:tcPr>
          <w:p w14:paraId="55D19455" w14:textId="77777777" w:rsidR="00802FF6" w:rsidRPr="007E4DA1" w:rsidRDefault="00802FF6" w:rsidP="001A6584">
            <w:pPr>
              <w:keepNext/>
              <w:tabs>
                <w:tab w:val="left" w:pos="142"/>
              </w:tabs>
              <w:ind w:left="0" w:firstLine="0"/>
            </w:pPr>
            <w:r w:rsidRPr="007E4DA1">
              <w:t>Przerwać stosowanie eltrombopagu; zwiększyć częstość kontrolowania liczby płytek krwi do dwóch razy w tygodniu.</w:t>
            </w:r>
          </w:p>
          <w:p w14:paraId="64345A57" w14:textId="77777777" w:rsidR="00802FF6" w:rsidRPr="007E4DA1" w:rsidRDefault="00802FF6" w:rsidP="001A6584">
            <w:pPr>
              <w:keepNext/>
              <w:tabs>
                <w:tab w:val="left" w:pos="142"/>
              </w:tabs>
              <w:ind w:left="0" w:firstLine="0"/>
              <w:rPr>
                <w:szCs w:val="22"/>
              </w:rPr>
            </w:pPr>
          </w:p>
          <w:p w14:paraId="477AB729" w14:textId="77777777" w:rsidR="00802FF6" w:rsidRPr="007E4DA1" w:rsidRDefault="00802FF6" w:rsidP="001A6584">
            <w:pPr>
              <w:keepNext/>
              <w:tabs>
                <w:tab w:val="left" w:pos="142"/>
              </w:tabs>
              <w:ind w:left="0" w:firstLine="0"/>
              <w:rPr>
                <w:szCs w:val="22"/>
              </w:rPr>
            </w:pPr>
            <w:r w:rsidRPr="007E4DA1">
              <w:t>Kiedy liczba płytek krwi osiągnie wartość ≤100 000/µl, ponownie rozpocząć leczenie, stosując dawkę dobową zmniejszoną o 25 mg.</w:t>
            </w:r>
          </w:p>
        </w:tc>
      </w:tr>
      <w:tr w:rsidR="00A369B8" w:rsidRPr="007E4DA1" w14:paraId="2827BFA8" w14:textId="77777777" w:rsidTr="00EE3105">
        <w:tc>
          <w:tcPr>
            <w:tcW w:w="9108" w:type="dxa"/>
            <w:gridSpan w:val="2"/>
          </w:tcPr>
          <w:p w14:paraId="4C0E8675" w14:textId="77777777" w:rsidR="00A369B8" w:rsidRPr="001A6584" w:rsidRDefault="00A369B8" w:rsidP="00EC4057">
            <w:pPr>
              <w:rPr>
                <w:sz w:val="20"/>
                <w:szCs w:val="20"/>
              </w:rPr>
            </w:pPr>
            <w:r w:rsidRPr="001A6584">
              <w:rPr>
                <w:sz w:val="20"/>
                <w:szCs w:val="20"/>
              </w:rPr>
              <w:t>*</w:t>
            </w:r>
            <w:r w:rsidRPr="001A6584">
              <w:rPr>
                <w:sz w:val="20"/>
                <w:szCs w:val="20"/>
              </w:rPr>
              <w:tab/>
              <w:t>U pacjentów przyjmujących 25 mg eltrombopagu co drugi dzień, dawkę należy zwiększyć do 25 mg podawanych raz na dobę.</w:t>
            </w:r>
          </w:p>
          <w:p w14:paraId="3F367B5F" w14:textId="195E5409" w:rsidR="00A369B8" w:rsidRPr="007E4DA1" w:rsidRDefault="00A369B8" w:rsidP="00D414B6">
            <w:r w:rsidRPr="001A6584">
              <w:rPr>
                <w:sz w:val="20"/>
                <w:szCs w:val="20"/>
              </w:rPr>
              <w:t>♦</w:t>
            </w:r>
            <w:r w:rsidRPr="001A6584">
              <w:rPr>
                <w:sz w:val="20"/>
                <w:szCs w:val="20"/>
              </w:rPr>
              <w:tab/>
              <w:t>U pacjentów przyjmujących 25 mg eltrombopagu raz na dobę, należy rozważyć podawanie dawki 12,5 mg raz na dobę lub dawki 25 mg raz na dwie doby.</w:t>
            </w:r>
          </w:p>
        </w:tc>
      </w:tr>
    </w:tbl>
    <w:p w14:paraId="0B83C2D2" w14:textId="77777777" w:rsidR="00D144B3" w:rsidRPr="007E4DA1" w:rsidRDefault="00D144B3" w:rsidP="001A6584">
      <w:pPr>
        <w:tabs>
          <w:tab w:val="left" w:pos="142"/>
        </w:tabs>
        <w:ind w:left="0" w:firstLine="0"/>
        <w:rPr>
          <w:szCs w:val="22"/>
        </w:rPr>
      </w:pPr>
    </w:p>
    <w:p w14:paraId="58D5A371" w14:textId="77777777" w:rsidR="00802FF6" w:rsidRPr="007E4DA1" w:rsidRDefault="00802FF6" w:rsidP="001A6584">
      <w:pPr>
        <w:tabs>
          <w:tab w:val="left" w:pos="142"/>
        </w:tabs>
        <w:ind w:left="0" w:firstLine="0"/>
        <w:rPr>
          <w:szCs w:val="22"/>
        </w:rPr>
      </w:pPr>
      <w:r w:rsidRPr="007E4DA1">
        <w:rPr>
          <w:szCs w:val="22"/>
        </w:rPr>
        <w:t xml:space="preserve">Eltrombopag można stosować wraz z innymi produktami leczniczymi </w:t>
      </w:r>
      <w:r w:rsidRPr="007E4DA1">
        <w:t>używanymi w leczeniu pierwotnej małopłytkowości immunologicznej</w:t>
      </w:r>
      <w:r w:rsidRPr="007E4DA1">
        <w:rPr>
          <w:szCs w:val="22"/>
        </w:rPr>
        <w:t>. Należy dostosować dawkowanie pozostałych produktów leczniczych tak, aby zapobiec nadmiernemu zwiększeniu liczby płytek krwi podczas leczenia eltrombopagiem.</w:t>
      </w:r>
    </w:p>
    <w:p w14:paraId="16EC05E3" w14:textId="77777777" w:rsidR="00802FF6" w:rsidRPr="007E4DA1" w:rsidRDefault="00802FF6" w:rsidP="001A6584">
      <w:pPr>
        <w:pStyle w:val="CommentText"/>
        <w:tabs>
          <w:tab w:val="clear" w:pos="567"/>
          <w:tab w:val="left" w:pos="142"/>
        </w:tabs>
        <w:spacing w:line="240" w:lineRule="auto"/>
        <w:rPr>
          <w:sz w:val="22"/>
          <w:szCs w:val="22"/>
          <w:lang w:val="pl-PL"/>
        </w:rPr>
      </w:pPr>
    </w:p>
    <w:p w14:paraId="77AA9527" w14:textId="77777777" w:rsidR="00802FF6" w:rsidRPr="007E4DA1" w:rsidRDefault="00802FF6" w:rsidP="001A6584">
      <w:pPr>
        <w:tabs>
          <w:tab w:val="left" w:pos="142"/>
        </w:tabs>
        <w:ind w:left="0" w:firstLine="0"/>
      </w:pPr>
      <w:r w:rsidRPr="007E4DA1">
        <w:t xml:space="preserve">Po dostosowaniu dawki </w:t>
      </w:r>
      <w:r w:rsidR="00AE695B" w:rsidRPr="007E4DA1">
        <w:t>konieczn</w:t>
      </w:r>
      <w:r w:rsidR="00E20BC9" w:rsidRPr="007E4DA1">
        <w:t>e</w:t>
      </w:r>
      <w:r w:rsidR="00AE695B" w:rsidRPr="007E4DA1">
        <w:t xml:space="preserve"> jest</w:t>
      </w:r>
      <w:r w:rsidRPr="007E4DA1">
        <w:t xml:space="preserve"> </w:t>
      </w:r>
      <w:r w:rsidR="00E20BC9" w:rsidRPr="007E4DA1">
        <w:t xml:space="preserve">obserwowanie </w:t>
      </w:r>
      <w:r w:rsidRPr="007E4DA1">
        <w:t>przez co najmniej 2</w:t>
      </w:r>
      <w:r w:rsidR="005F4E9F" w:rsidRPr="007E4DA1">
        <w:t> </w:t>
      </w:r>
      <w:r w:rsidRPr="007E4DA1">
        <w:t>tygodnie wpływ</w:t>
      </w:r>
      <w:r w:rsidR="00E20BC9" w:rsidRPr="007E4DA1">
        <w:t>u</w:t>
      </w:r>
      <w:r w:rsidRPr="007E4DA1">
        <w:t xml:space="preserve"> tej zmiany na liczbę płytek krwi u pacjenta. Po tym czasie można rozważyć konieczność dalszego dostosowania dawki.</w:t>
      </w:r>
    </w:p>
    <w:p w14:paraId="6628E224" w14:textId="77777777" w:rsidR="00802FF6" w:rsidRPr="007E4DA1" w:rsidRDefault="00802FF6" w:rsidP="001A6584">
      <w:pPr>
        <w:tabs>
          <w:tab w:val="left" w:pos="142"/>
        </w:tabs>
        <w:ind w:left="0" w:firstLine="0"/>
      </w:pPr>
    </w:p>
    <w:p w14:paraId="49786B59" w14:textId="77777777" w:rsidR="00802FF6" w:rsidRPr="007E4DA1" w:rsidRDefault="00802FF6" w:rsidP="001A6584">
      <w:pPr>
        <w:tabs>
          <w:tab w:val="left" w:pos="142"/>
        </w:tabs>
        <w:ind w:left="0" w:firstLine="0"/>
      </w:pPr>
      <w:r w:rsidRPr="007E4DA1">
        <w:t>Standardowe dostosowanie dawki eltrombopagu, zarówno w przypadku zwiększenia dawki, jak i jej zmniejszenia, wynosi 25 mg raz na dobę.</w:t>
      </w:r>
    </w:p>
    <w:p w14:paraId="2BBB213B" w14:textId="77777777" w:rsidR="00802FF6" w:rsidRPr="007E4DA1" w:rsidRDefault="00802FF6" w:rsidP="001A6584">
      <w:pPr>
        <w:tabs>
          <w:tab w:val="left" w:pos="142"/>
        </w:tabs>
        <w:ind w:left="0" w:firstLine="0"/>
      </w:pPr>
    </w:p>
    <w:p w14:paraId="22D35448" w14:textId="77777777" w:rsidR="00041A08" w:rsidRPr="00041A08" w:rsidRDefault="00802FF6" w:rsidP="001A6584">
      <w:pPr>
        <w:keepNext/>
        <w:tabs>
          <w:tab w:val="left" w:pos="142"/>
        </w:tabs>
        <w:ind w:left="0" w:firstLine="0"/>
      </w:pPr>
      <w:r w:rsidRPr="007E4DA1">
        <w:rPr>
          <w:i/>
        </w:rPr>
        <w:t>Przerwanie stosowania leku</w:t>
      </w:r>
    </w:p>
    <w:p w14:paraId="4404A212" w14:textId="72BB9F18" w:rsidR="00802FF6" w:rsidRPr="007E4DA1" w:rsidRDefault="00802FF6" w:rsidP="001A6584">
      <w:pPr>
        <w:pStyle w:val="Default"/>
        <w:tabs>
          <w:tab w:val="left" w:pos="142"/>
        </w:tabs>
        <w:rPr>
          <w:sz w:val="22"/>
          <w:szCs w:val="22"/>
          <w:lang w:val="pl-PL"/>
        </w:rPr>
      </w:pPr>
      <w:r w:rsidRPr="007E4DA1">
        <w:rPr>
          <w:sz w:val="22"/>
          <w:szCs w:val="22"/>
          <w:lang w:val="pl-PL"/>
        </w:rPr>
        <w:t xml:space="preserve">Leczenie eltrombopagiem należy przerwać, jeśli po </w:t>
      </w:r>
      <w:r w:rsidR="00C323BC" w:rsidRPr="007E4DA1">
        <w:rPr>
          <w:sz w:val="22"/>
          <w:szCs w:val="22"/>
          <w:lang w:val="pl-PL"/>
        </w:rPr>
        <w:t>4</w:t>
      </w:r>
      <w:r w:rsidR="00AD5BFC" w:rsidRPr="007E4DA1">
        <w:rPr>
          <w:sz w:val="22"/>
          <w:szCs w:val="22"/>
          <w:lang w:val="pl-PL"/>
        </w:rPr>
        <w:t> </w:t>
      </w:r>
      <w:r w:rsidRPr="007E4DA1">
        <w:rPr>
          <w:sz w:val="22"/>
          <w:szCs w:val="22"/>
          <w:lang w:val="pl-PL"/>
        </w:rPr>
        <w:t>tygodniach jego podawania w dawce 75 mg na dobę liczba płytek krwi nie zwiększy się do poziomu, który pozwala uniknąć klinicznie istotnego krwawienia.</w:t>
      </w:r>
    </w:p>
    <w:p w14:paraId="00CA6855" w14:textId="77777777" w:rsidR="00802FF6" w:rsidRPr="007E4DA1" w:rsidRDefault="00802FF6" w:rsidP="001A6584">
      <w:pPr>
        <w:pStyle w:val="CommentText"/>
        <w:tabs>
          <w:tab w:val="clear" w:pos="567"/>
          <w:tab w:val="left" w:pos="142"/>
        </w:tabs>
        <w:spacing w:line="240" w:lineRule="auto"/>
        <w:rPr>
          <w:sz w:val="22"/>
          <w:szCs w:val="22"/>
          <w:lang w:val="pl-PL"/>
        </w:rPr>
      </w:pPr>
    </w:p>
    <w:p w14:paraId="7011258C" w14:textId="77777777" w:rsidR="00802FF6" w:rsidRPr="007E4DA1" w:rsidRDefault="00802FF6" w:rsidP="001A6584">
      <w:pPr>
        <w:pStyle w:val="Default"/>
        <w:tabs>
          <w:tab w:val="left" w:pos="142"/>
        </w:tabs>
        <w:rPr>
          <w:sz w:val="22"/>
          <w:szCs w:val="22"/>
          <w:lang w:val="pl-PL"/>
        </w:rPr>
      </w:pPr>
      <w:r w:rsidRPr="007E4DA1">
        <w:rPr>
          <w:sz w:val="22"/>
          <w:szCs w:val="22"/>
          <w:lang w:val="pl-PL"/>
        </w:rPr>
        <w:t xml:space="preserve">Okresowo należy wykonywać ocenę stanu klinicznego pacjentów, a o kontynuacji leczenia powinien decydować indywidualnie w każdym przypadku lekarz prowadzący. </w:t>
      </w:r>
      <w:r w:rsidR="003423EA" w:rsidRPr="007E4DA1">
        <w:rPr>
          <w:sz w:val="22"/>
          <w:szCs w:val="22"/>
          <w:lang w:val="pl-PL"/>
        </w:rPr>
        <w:t xml:space="preserve">U pacjentów, u których nie </w:t>
      </w:r>
      <w:r w:rsidR="003423EA" w:rsidRPr="007E4DA1">
        <w:rPr>
          <w:sz w:val="22"/>
          <w:szCs w:val="22"/>
          <w:lang w:val="pl-PL"/>
        </w:rPr>
        <w:lastRenderedPageBreak/>
        <w:t xml:space="preserve">wykonano splenektomii, powinno to obejmować ocenę w odniesieniu do splenektomii. </w:t>
      </w:r>
      <w:r w:rsidRPr="007E4DA1">
        <w:rPr>
          <w:sz w:val="22"/>
          <w:szCs w:val="22"/>
          <w:lang w:val="pl-PL"/>
        </w:rPr>
        <w:t>Istnieje prawdopodobieństwo, że po przerwaniu leczenia nastąpi nawrót małopłytkowości (patrz punkt</w:t>
      </w:r>
      <w:r w:rsidR="005F4E9F" w:rsidRPr="007E4DA1">
        <w:rPr>
          <w:sz w:val="22"/>
          <w:szCs w:val="22"/>
          <w:lang w:val="pl-PL"/>
        </w:rPr>
        <w:t> </w:t>
      </w:r>
      <w:r w:rsidRPr="007E4DA1">
        <w:rPr>
          <w:sz w:val="22"/>
          <w:szCs w:val="22"/>
          <w:lang w:val="pl-PL"/>
        </w:rPr>
        <w:t>4.4).</w:t>
      </w:r>
    </w:p>
    <w:p w14:paraId="5CDA4D31" w14:textId="77777777" w:rsidR="00802FF6" w:rsidRPr="007E4DA1" w:rsidRDefault="00802FF6" w:rsidP="001A6584">
      <w:pPr>
        <w:pStyle w:val="Default"/>
        <w:tabs>
          <w:tab w:val="left" w:pos="142"/>
        </w:tabs>
        <w:rPr>
          <w:sz w:val="22"/>
          <w:szCs w:val="22"/>
          <w:lang w:val="pl-PL"/>
        </w:rPr>
      </w:pPr>
    </w:p>
    <w:p w14:paraId="5405222C" w14:textId="77777777" w:rsidR="00041A08" w:rsidRPr="00041A08" w:rsidRDefault="00802FF6" w:rsidP="001A6584">
      <w:pPr>
        <w:keepNext/>
        <w:tabs>
          <w:tab w:val="left" w:pos="142"/>
        </w:tabs>
        <w:ind w:left="0" w:firstLine="0"/>
      </w:pPr>
      <w:r w:rsidRPr="007E4DA1">
        <w:rPr>
          <w:i/>
          <w:u w:val="single"/>
        </w:rPr>
        <w:t>Małopłytkowość związana z przewlekłym wirusowym zapaleniem wątroby typu C (WZW C)</w:t>
      </w:r>
    </w:p>
    <w:p w14:paraId="7776566F" w14:textId="0CDB4C27" w:rsidR="00802FF6" w:rsidRPr="007E4DA1" w:rsidRDefault="00802FF6" w:rsidP="001A6584">
      <w:pPr>
        <w:keepNext/>
        <w:tabs>
          <w:tab w:val="left" w:pos="142"/>
        </w:tabs>
        <w:ind w:left="0" w:firstLine="0"/>
      </w:pPr>
    </w:p>
    <w:p w14:paraId="11DEE16E" w14:textId="77777777" w:rsidR="00802FF6" w:rsidRPr="007E4DA1" w:rsidRDefault="00802FF6" w:rsidP="001A6584">
      <w:pPr>
        <w:tabs>
          <w:tab w:val="left" w:pos="142"/>
          <w:tab w:val="left" w:pos="7938"/>
        </w:tabs>
        <w:ind w:left="0" w:firstLine="0"/>
      </w:pPr>
      <w:r w:rsidRPr="007E4DA1">
        <w:t xml:space="preserve">W razie podawania eltrombopagu w skojarzeniu z </w:t>
      </w:r>
      <w:r w:rsidR="00AE5B66" w:rsidRPr="007E4DA1">
        <w:t>lekami przeciwwirusowymi</w:t>
      </w:r>
      <w:r w:rsidRPr="007E4DA1">
        <w:t>, należy zapoznać się z pełnymi charakterystykami stosowanych jednocześnie produktów leczniczych</w:t>
      </w:r>
      <w:r w:rsidR="00AE5B66" w:rsidRPr="007E4DA1">
        <w:t>, w celu uzyskania kompletnej informacji odnośnie bezpieczeństwa stosowania lub przeciwwskazań</w:t>
      </w:r>
      <w:r w:rsidRPr="007E4DA1">
        <w:t>.</w:t>
      </w:r>
    </w:p>
    <w:p w14:paraId="2E7AEB3D" w14:textId="77777777" w:rsidR="00802FF6" w:rsidRPr="007E4DA1" w:rsidRDefault="00802FF6" w:rsidP="001A6584">
      <w:pPr>
        <w:tabs>
          <w:tab w:val="left" w:pos="142"/>
        </w:tabs>
        <w:ind w:left="0" w:firstLine="0"/>
      </w:pPr>
    </w:p>
    <w:p w14:paraId="3C9F586E" w14:textId="77777777" w:rsidR="00802FF6" w:rsidRPr="007E4DA1" w:rsidRDefault="00802FF6" w:rsidP="001A6584">
      <w:pPr>
        <w:tabs>
          <w:tab w:val="left" w:pos="142"/>
        </w:tabs>
        <w:ind w:left="0" w:firstLine="0"/>
      </w:pPr>
      <w:r w:rsidRPr="007E4DA1">
        <w:t>W badaniach klinicznych liczba płytek krwi zazwyczaj zaczynała zwiększać się w ciągu 1 tygodnia od rozpoczęcia stosowania eltrombopagu. Celem leczenia eltrombopagiem powinno być osiągnięcie minimalnego poziomu liczby płytek krwi wymaganego do rozpoczęcia leczenia przeciwwirusowego, zgodnie z zaleceniami dla praktyki klinicznej. Podczas leczenia przeciwwirusowego celem leczenia powinno być utrzymanie liczby płytek krwi na poziomie, który zapobiega ryzyku krwawienia</w:t>
      </w:r>
      <w:r w:rsidR="00AE5B66" w:rsidRPr="007E4DA1">
        <w:t>, zwykle około</w:t>
      </w:r>
      <w:r w:rsidRPr="007E4DA1">
        <w:t xml:space="preserve"> 50 000/μl</w:t>
      </w:r>
      <w:r w:rsidR="00AE5B66" w:rsidRPr="007E4DA1">
        <w:t xml:space="preserve"> - 75 000/μl</w:t>
      </w:r>
      <w:r w:rsidRPr="007E4DA1">
        <w:t>. Należy unikać liczby płytek krwi &gt;</w:t>
      </w:r>
      <w:r w:rsidR="00AE5B66" w:rsidRPr="007E4DA1">
        <w:t>75</w:t>
      </w:r>
      <w:r w:rsidRPr="007E4DA1">
        <w:t> 000/μl. Należy stosować najmniejszą dawkę eltrombopagu konieczną do osiągnięcia poziomu docelowego. Dostosowanie dawki oparte jest na liczbie płytek krwi.</w:t>
      </w:r>
    </w:p>
    <w:p w14:paraId="48104290" w14:textId="77777777" w:rsidR="00802FF6" w:rsidRPr="007E4DA1" w:rsidRDefault="00802FF6" w:rsidP="001A6584">
      <w:pPr>
        <w:tabs>
          <w:tab w:val="left" w:pos="142"/>
        </w:tabs>
        <w:ind w:left="0" w:firstLine="0"/>
      </w:pPr>
    </w:p>
    <w:p w14:paraId="79ADA431" w14:textId="77777777" w:rsidR="00041A08" w:rsidRPr="00041A08" w:rsidRDefault="00802FF6" w:rsidP="001A6584">
      <w:pPr>
        <w:keepNext/>
        <w:tabs>
          <w:tab w:val="left" w:pos="142"/>
        </w:tabs>
        <w:ind w:left="0" w:firstLine="0"/>
      </w:pPr>
      <w:r w:rsidRPr="007E4DA1">
        <w:rPr>
          <w:i/>
        </w:rPr>
        <w:t>Wstępny schemat dawkowania</w:t>
      </w:r>
    </w:p>
    <w:p w14:paraId="63C2F03B" w14:textId="20550BAD" w:rsidR="00802FF6" w:rsidRPr="007E4DA1" w:rsidRDefault="00802FF6" w:rsidP="001A6584">
      <w:pPr>
        <w:tabs>
          <w:tab w:val="left" w:pos="142"/>
        </w:tabs>
        <w:ind w:left="0" w:firstLine="0"/>
      </w:pPr>
      <w:r w:rsidRPr="007E4DA1">
        <w:t>Leczenie eltrombopagiem należy rozpoczynać od dawki 25 mg raz na dobę. Nie ma potrzeby dostosowania dawki u pacjentów zakażonych wirusem WZW C pochodzenia wschodnio</w:t>
      </w:r>
      <w:r w:rsidR="004A1034" w:rsidRPr="007E4DA1">
        <w:t>-/południowo</w:t>
      </w:r>
      <w:r w:rsidR="004A1007" w:rsidRPr="007E4DA1">
        <w:t>-</w:t>
      </w:r>
      <w:r w:rsidR="004A1034" w:rsidRPr="007E4DA1">
        <w:t>wschodnio</w:t>
      </w:r>
      <w:r w:rsidRPr="007E4DA1">
        <w:t>azjatyckiego, a także u pacjentów z łagodnymi zaburzeniami czynności wątroby (patrz punkt 5.2).</w:t>
      </w:r>
    </w:p>
    <w:p w14:paraId="4886EA30" w14:textId="77777777" w:rsidR="00802FF6" w:rsidRPr="007E4DA1" w:rsidRDefault="00802FF6" w:rsidP="001A6584">
      <w:pPr>
        <w:tabs>
          <w:tab w:val="left" w:pos="142"/>
        </w:tabs>
        <w:ind w:left="0" w:firstLine="0"/>
      </w:pPr>
    </w:p>
    <w:p w14:paraId="0B94CF03" w14:textId="77777777" w:rsidR="00041A08" w:rsidRPr="00041A08" w:rsidRDefault="00802FF6" w:rsidP="001A6584">
      <w:pPr>
        <w:keepNext/>
        <w:tabs>
          <w:tab w:val="left" w:pos="142"/>
        </w:tabs>
        <w:ind w:left="0" w:firstLine="0"/>
      </w:pPr>
      <w:r w:rsidRPr="007E4DA1">
        <w:rPr>
          <w:i/>
        </w:rPr>
        <w:t>Monitorowanie i dostosowanie dawki</w:t>
      </w:r>
    </w:p>
    <w:p w14:paraId="100153D4" w14:textId="55619CBD" w:rsidR="00802FF6" w:rsidRPr="007E4DA1" w:rsidRDefault="00802FF6" w:rsidP="001A6584">
      <w:pPr>
        <w:tabs>
          <w:tab w:val="left" w:pos="142"/>
        </w:tabs>
        <w:ind w:left="0" w:firstLine="0"/>
      </w:pPr>
      <w:r w:rsidRPr="007E4DA1">
        <w:t xml:space="preserve">Dawkę eltrombopagu należy dostosowywać zwiększając ją o 25 mg co 2 tygodnie w taki sposób, aby osiągnąć docelową liczbę płytek krwi wymaganą do rozpoczęcia leczenia przeciwwirusowego. Liczbę płytek krwi należy kontrolować co tydzień przed rozpoczęciem leczenia przeciwwirusowego. W chwili rozpoczęcia leczenia przeciwwirusowego liczba płytek krwi może zmniejszyć się, w związku z czym należy unikać </w:t>
      </w:r>
      <w:r w:rsidR="00AE5B66" w:rsidRPr="007E4DA1">
        <w:t>natychmiastowego</w:t>
      </w:r>
      <w:r w:rsidRPr="007E4DA1">
        <w:t xml:space="preserve"> </w:t>
      </w:r>
      <w:r w:rsidR="00AE5B66" w:rsidRPr="007E4DA1">
        <w:t>dostosowywania</w:t>
      </w:r>
      <w:r w:rsidRPr="007E4DA1">
        <w:t xml:space="preserve"> dawki eltrombopagu</w:t>
      </w:r>
      <w:r w:rsidR="00AE5B66" w:rsidRPr="007E4DA1">
        <w:t xml:space="preserve"> (patrz </w:t>
      </w:r>
      <w:r w:rsidR="00E52F84">
        <w:t>t</w:t>
      </w:r>
      <w:r w:rsidR="00AE5B66" w:rsidRPr="007E4DA1">
        <w:t>abela</w:t>
      </w:r>
      <w:r w:rsidR="005F4E9F" w:rsidRPr="007E4DA1">
        <w:t> </w:t>
      </w:r>
      <w:r w:rsidR="00AE5B66" w:rsidRPr="007E4DA1">
        <w:t>2)</w:t>
      </w:r>
      <w:r w:rsidRPr="007E4DA1">
        <w:t>.</w:t>
      </w:r>
    </w:p>
    <w:p w14:paraId="1DF99A19" w14:textId="77777777" w:rsidR="00802FF6" w:rsidRPr="007E4DA1" w:rsidRDefault="00802FF6" w:rsidP="001A6584">
      <w:pPr>
        <w:tabs>
          <w:tab w:val="left" w:pos="142"/>
        </w:tabs>
        <w:ind w:left="0" w:firstLine="0"/>
      </w:pPr>
    </w:p>
    <w:p w14:paraId="0B997FC3" w14:textId="1CC6DE6C" w:rsidR="00802FF6" w:rsidRPr="007E4DA1" w:rsidRDefault="00802FF6" w:rsidP="001A6584">
      <w:pPr>
        <w:tabs>
          <w:tab w:val="left" w:pos="142"/>
        </w:tabs>
        <w:ind w:left="0" w:firstLine="0"/>
      </w:pPr>
      <w:r w:rsidRPr="007E4DA1">
        <w:t xml:space="preserve">Podczas leczenia przeciwwirusowego, dawkę eltrombopagu należy dostosowywać w taki sposób, aby uniknąć konieczności </w:t>
      </w:r>
      <w:r w:rsidR="006F74F7" w:rsidRPr="007E4DA1">
        <w:t>obniż</w:t>
      </w:r>
      <w:r w:rsidRPr="007E4DA1">
        <w:t xml:space="preserve">ania dawki peginterferonu z powodu zmniejszającej się liczby płytek krwi, co może narażać pacjentów na ryzyko krwawienia (patrz </w:t>
      </w:r>
      <w:r w:rsidR="00E52F84">
        <w:t>t</w:t>
      </w:r>
      <w:r w:rsidRPr="007E4DA1">
        <w:t>abela 2). Podczas leczenia przeciwwirusowego liczbę płytek krwi należy kontrolować raz w tygodniu do czasu osiągnięcia stabilnej liczby płytek krwi, która wynosi zazwyczaj około 50 000</w:t>
      </w:r>
      <w:r w:rsidR="001040A0" w:rsidRPr="007E4DA1">
        <w:t>-</w:t>
      </w:r>
      <w:r w:rsidRPr="007E4DA1">
        <w:t xml:space="preserve">75 000/μl. Następnie co miesiąc należy wykonywać badanie pełnej morfologii krwi z oznaczeniem liczby płytek i rozmazem krwi obwodowej. Jeżeli liczba płytek krwi będzie przekraczała wymagany poziom docelowy, należy rozważyć zmniejszenie dawki dobowej o 25 mg. </w:t>
      </w:r>
      <w:r w:rsidR="00AE695B" w:rsidRPr="007E4DA1">
        <w:t>Zaleca się o</w:t>
      </w:r>
      <w:r w:rsidRPr="007E4DA1">
        <w:t>dczekać 2 tygodnie, aby ocenić efekty dostosowania dawki oraz jakichkolwiek kolejnych dostosowań dawek.</w:t>
      </w:r>
    </w:p>
    <w:p w14:paraId="1AC704AE" w14:textId="77777777" w:rsidR="00802FF6" w:rsidRPr="007E4DA1" w:rsidRDefault="00802FF6" w:rsidP="001A6584">
      <w:pPr>
        <w:tabs>
          <w:tab w:val="left" w:pos="142"/>
        </w:tabs>
        <w:ind w:left="0" w:firstLine="0"/>
      </w:pPr>
    </w:p>
    <w:p w14:paraId="600B3A76" w14:textId="77777777" w:rsidR="00802FF6" w:rsidRPr="007E4DA1" w:rsidRDefault="00802FF6" w:rsidP="001A6584">
      <w:pPr>
        <w:tabs>
          <w:tab w:val="left" w:pos="142"/>
        </w:tabs>
        <w:ind w:left="0" w:firstLine="0"/>
      </w:pPr>
      <w:r w:rsidRPr="007E4DA1">
        <w:t xml:space="preserve">Nie </w:t>
      </w:r>
      <w:r w:rsidR="00AE695B" w:rsidRPr="007E4DA1">
        <w:t xml:space="preserve">wolno </w:t>
      </w:r>
      <w:r w:rsidRPr="007E4DA1">
        <w:t>przekraczać dawki 100 mg eltrombopagu raz na dobę.</w:t>
      </w:r>
    </w:p>
    <w:p w14:paraId="29CEA400" w14:textId="77777777" w:rsidR="000F421A" w:rsidRPr="007E4DA1" w:rsidRDefault="000F421A" w:rsidP="001A6584">
      <w:pPr>
        <w:tabs>
          <w:tab w:val="left" w:pos="142"/>
        </w:tabs>
        <w:ind w:left="0" w:firstLine="0"/>
      </w:pPr>
    </w:p>
    <w:p w14:paraId="69237AF6" w14:textId="77777777" w:rsidR="00041A08" w:rsidRPr="00041A08" w:rsidRDefault="00802FF6" w:rsidP="001A6584">
      <w:pPr>
        <w:keepNext/>
        <w:ind w:left="1134" w:hanging="1134"/>
      </w:pPr>
      <w:r w:rsidRPr="007E4DA1">
        <w:rPr>
          <w:b/>
        </w:rPr>
        <w:lastRenderedPageBreak/>
        <w:t>Tabela 2</w:t>
      </w:r>
      <w:r w:rsidR="00FF24D6" w:rsidRPr="007E4DA1">
        <w:rPr>
          <w:b/>
        </w:rPr>
        <w:tab/>
      </w:r>
      <w:r w:rsidRPr="007E4DA1">
        <w:rPr>
          <w:b/>
        </w:rPr>
        <w:t>Dostosowywanie dawek eltrombopagu u pacjentów zakażonych wirusem WZW C podczas leczenia przeciwwirusowego</w:t>
      </w:r>
    </w:p>
    <w:p w14:paraId="1169F06F" w14:textId="2011E24E" w:rsidR="00802FF6" w:rsidRPr="007E4DA1" w:rsidRDefault="00802FF6" w:rsidP="001A6584">
      <w:pPr>
        <w:keepNext/>
        <w:tabs>
          <w:tab w:val="left" w:pos="142"/>
        </w:tabs>
        <w:ind w:left="0" w:firstLine="0"/>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3"/>
        <w:gridCol w:w="6165"/>
      </w:tblGrid>
      <w:tr w:rsidR="00802FF6" w:rsidRPr="007E4DA1" w14:paraId="6712ECDC" w14:textId="77777777" w:rsidTr="00EE3105">
        <w:trPr>
          <w:cantSplit/>
        </w:trPr>
        <w:tc>
          <w:tcPr>
            <w:tcW w:w="2943" w:type="dxa"/>
            <w:tcMar>
              <w:top w:w="0" w:type="dxa"/>
              <w:left w:w="108" w:type="dxa"/>
              <w:bottom w:w="0" w:type="dxa"/>
              <w:right w:w="108" w:type="dxa"/>
            </w:tcMar>
          </w:tcPr>
          <w:p w14:paraId="2839825B" w14:textId="77777777" w:rsidR="00802FF6" w:rsidRPr="007E4DA1" w:rsidRDefault="00802FF6" w:rsidP="001A6584">
            <w:pPr>
              <w:keepNext/>
              <w:tabs>
                <w:tab w:val="left" w:pos="142"/>
              </w:tabs>
              <w:ind w:left="0" w:firstLine="0"/>
              <w:rPr>
                <w:szCs w:val="22"/>
              </w:rPr>
            </w:pPr>
            <w:r w:rsidRPr="007E4DA1">
              <w:t>Liczba płytek krwi</w:t>
            </w:r>
          </w:p>
        </w:tc>
        <w:tc>
          <w:tcPr>
            <w:tcW w:w="6165" w:type="dxa"/>
            <w:tcMar>
              <w:top w:w="0" w:type="dxa"/>
              <w:left w:w="108" w:type="dxa"/>
              <w:bottom w:w="0" w:type="dxa"/>
              <w:right w:w="108" w:type="dxa"/>
            </w:tcMar>
          </w:tcPr>
          <w:p w14:paraId="414AA118" w14:textId="77777777" w:rsidR="00802FF6" w:rsidRPr="007E4DA1" w:rsidRDefault="00802FF6" w:rsidP="001A6584">
            <w:pPr>
              <w:keepNext/>
              <w:tabs>
                <w:tab w:val="left" w:pos="142"/>
              </w:tabs>
              <w:ind w:left="0" w:firstLine="0"/>
              <w:rPr>
                <w:szCs w:val="22"/>
              </w:rPr>
            </w:pPr>
            <w:r w:rsidRPr="007E4DA1">
              <w:t>Dostosowanie dawki lub inne działania</w:t>
            </w:r>
          </w:p>
        </w:tc>
      </w:tr>
      <w:tr w:rsidR="00802FF6" w:rsidRPr="007E4DA1" w14:paraId="54D55A18" w14:textId="77777777" w:rsidTr="00EE3105">
        <w:trPr>
          <w:cantSplit/>
        </w:trPr>
        <w:tc>
          <w:tcPr>
            <w:tcW w:w="2943" w:type="dxa"/>
            <w:tcMar>
              <w:top w:w="0" w:type="dxa"/>
              <w:left w:w="108" w:type="dxa"/>
              <w:bottom w:w="0" w:type="dxa"/>
              <w:right w:w="108" w:type="dxa"/>
            </w:tcMar>
          </w:tcPr>
          <w:p w14:paraId="5C159747" w14:textId="77777777" w:rsidR="00802FF6" w:rsidRPr="007E4DA1" w:rsidRDefault="00802FF6" w:rsidP="001A6584">
            <w:pPr>
              <w:keepNext/>
              <w:tabs>
                <w:tab w:val="left" w:pos="142"/>
              </w:tabs>
              <w:ind w:left="0" w:firstLine="0"/>
              <w:rPr>
                <w:szCs w:val="22"/>
              </w:rPr>
            </w:pPr>
            <w:r w:rsidRPr="007E4DA1">
              <w:t>&lt;50 000/µl po upływie co najmniej 2</w:t>
            </w:r>
            <w:r w:rsidR="00AD5BFC" w:rsidRPr="007E4DA1">
              <w:t> </w:t>
            </w:r>
            <w:r w:rsidRPr="007E4DA1">
              <w:t>tygodni leczenia</w:t>
            </w:r>
          </w:p>
        </w:tc>
        <w:tc>
          <w:tcPr>
            <w:tcW w:w="6165" w:type="dxa"/>
            <w:tcMar>
              <w:top w:w="0" w:type="dxa"/>
              <w:left w:w="108" w:type="dxa"/>
              <w:bottom w:w="0" w:type="dxa"/>
              <w:right w:w="108" w:type="dxa"/>
            </w:tcMar>
          </w:tcPr>
          <w:p w14:paraId="43595316" w14:textId="77777777" w:rsidR="00802FF6" w:rsidRPr="007E4DA1" w:rsidRDefault="00802FF6" w:rsidP="001A6584">
            <w:pPr>
              <w:keepNext/>
              <w:tabs>
                <w:tab w:val="left" w:pos="142"/>
              </w:tabs>
              <w:ind w:left="0" w:firstLine="0"/>
              <w:rPr>
                <w:szCs w:val="22"/>
              </w:rPr>
            </w:pPr>
            <w:r w:rsidRPr="007E4DA1">
              <w:t>Zwiększyć dawkę dobową o 25 mg do maksymalnej dawki 100 mg/dobę.</w:t>
            </w:r>
          </w:p>
        </w:tc>
      </w:tr>
      <w:tr w:rsidR="00802FF6" w:rsidRPr="007E4DA1" w14:paraId="39B097A7" w14:textId="77777777" w:rsidTr="00EE3105">
        <w:trPr>
          <w:cantSplit/>
        </w:trPr>
        <w:tc>
          <w:tcPr>
            <w:tcW w:w="2943" w:type="dxa"/>
            <w:tcMar>
              <w:top w:w="0" w:type="dxa"/>
              <w:left w:w="108" w:type="dxa"/>
              <w:bottom w:w="0" w:type="dxa"/>
              <w:right w:w="108" w:type="dxa"/>
            </w:tcMar>
          </w:tcPr>
          <w:p w14:paraId="17EE222A" w14:textId="77777777" w:rsidR="00802FF6" w:rsidRPr="007E4DA1" w:rsidRDefault="00802FF6" w:rsidP="001A6584">
            <w:pPr>
              <w:keepNext/>
              <w:tabs>
                <w:tab w:val="left" w:pos="142"/>
              </w:tabs>
              <w:ind w:left="0" w:firstLine="0"/>
              <w:rPr>
                <w:szCs w:val="22"/>
              </w:rPr>
            </w:pPr>
            <w:r w:rsidRPr="007E4DA1">
              <w:t>≥50 000/μl do ≤100 000/μl</w:t>
            </w:r>
          </w:p>
        </w:tc>
        <w:tc>
          <w:tcPr>
            <w:tcW w:w="6165" w:type="dxa"/>
            <w:tcMar>
              <w:top w:w="0" w:type="dxa"/>
              <w:left w:w="108" w:type="dxa"/>
              <w:bottom w:w="0" w:type="dxa"/>
              <w:right w:w="108" w:type="dxa"/>
            </w:tcMar>
          </w:tcPr>
          <w:p w14:paraId="25A157C3" w14:textId="77777777" w:rsidR="00802FF6" w:rsidRPr="007E4DA1" w:rsidRDefault="00802FF6" w:rsidP="001A6584">
            <w:pPr>
              <w:keepNext/>
              <w:tabs>
                <w:tab w:val="left" w:pos="142"/>
              </w:tabs>
              <w:ind w:left="0" w:firstLine="0"/>
              <w:rPr>
                <w:szCs w:val="22"/>
              </w:rPr>
            </w:pPr>
            <w:r w:rsidRPr="007E4DA1">
              <w:t>Stosować najmniejszą dawkę eltrombopagu konieczną do uniknięcia zmniejszenia dawki peginterferonu.</w:t>
            </w:r>
          </w:p>
        </w:tc>
      </w:tr>
      <w:tr w:rsidR="00802FF6" w:rsidRPr="007E4DA1" w14:paraId="03167464" w14:textId="77777777" w:rsidTr="00EE3105">
        <w:trPr>
          <w:cantSplit/>
        </w:trPr>
        <w:tc>
          <w:tcPr>
            <w:tcW w:w="2943" w:type="dxa"/>
            <w:tcMar>
              <w:top w:w="0" w:type="dxa"/>
              <w:left w:w="108" w:type="dxa"/>
              <w:bottom w:w="0" w:type="dxa"/>
              <w:right w:w="108" w:type="dxa"/>
            </w:tcMar>
          </w:tcPr>
          <w:p w14:paraId="46B6A3E8" w14:textId="77777777" w:rsidR="00802FF6" w:rsidRPr="007E4DA1" w:rsidRDefault="00802FF6" w:rsidP="001A6584">
            <w:pPr>
              <w:keepNext/>
              <w:tabs>
                <w:tab w:val="left" w:pos="142"/>
              </w:tabs>
              <w:ind w:left="0" w:firstLine="0"/>
              <w:rPr>
                <w:szCs w:val="22"/>
              </w:rPr>
            </w:pPr>
            <w:r w:rsidRPr="007E4DA1">
              <w:t>&gt;100 000/μl do ≤150 000/μl</w:t>
            </w:r>
          </w:p>
        </w:tc>
        <w:tc>
          <w:tcPr>
            <w:tcW w:w="6165" w:type="dxa"/>
            <w:tcMar>
              <w:top w:w="0" w:type="dxa"/>
              <w:left w:w="108" w:type="dxa"/>
              <w:bottom w:w="0" w:type="dxa"/>
              <w:right w:w="108" w:type="dxa"/>
            </w:tcMar>
          </w:tcPr>
          <w:p w14:paraId="67BAC4A2" w14:textId="77777777" w:rsidR="00802FF6" w:rsidRPr="007E4DA1" w:rsidRDefault="00802FF6" w:rsidP="001A6584">
            <w:pPr>
              <w:keepNext/>
              <w:tabs>
                <w:tab w:val="left" w:pos="142"/>
              </w:tabs>
              <w:ind w:left="0" w:firstLine="0"/>
              <w:rPr>
                <w:szCs w:val="22"/>
              </w:rPr>
            </w:pPr>
            <w:r w:rsidRPr="007E4DA1">
              <w:t>Zmniejszyć dawkę dobową o 25 mg. Odczekać 2 tygodnie, aby ocenić efekty dostosowania dawki oraz ewentualnych kolejnych dostosowań dawek</w:t>
            </w:r>
            <w:r w:rsidRPr="007E4DA1">
              <w:rPr>
                <w:vertAlign w:val="superscript"/>
              </w:rPr>
              <w:t>♦</w:t>
            </w:r>
            <w:r w:rsidRPr="007E4DA1">
              <w:t>.</w:t>
            </w:r>
          </w:p>
        </w:tc>
      </w:tr>
      <w:tr w:rsidR="00802FF6" w:rsidRPr="007E4DA1" w14:paraId="7FF1E2B9" w14:textId="77777777" w:rsidTr="00EE3105">
        <w:trPr>
          <w:cantSplit/>
        </w:trPr>
        <w:tc>
          <w:tcPr>
            <w:tcW w:w="2943" w:type="dxa"/>
            <w:tcMar>
              <w:top w:w="0" w:type="dxa"/>
              <w:left w:w="108" w:type="dxa"/>
              <w:bottom w:w="0" w:type="dxa"/>
              <w:right w:w="108" w:type="dxa"/>
            </w:tcMar>
          </w:tcPr>
          <w:p w14:paraId="0F7BC545" w14:textId="77777777" w:rsidR="00802FF6" w:rsidRPr="007E4DA1" w:rsidRDefault="00802FF6" w:rsidP="001A6584">
            <w:pPr>
              <w:keepNext/>
              <w:tabs>
                <w:tab w:val="left" w:pos="142"/>
              </w:tabs>
              <w:ind w:left="0" w:firstLine="0"/>
              <w:rPr>
                <w:szCs w:val="22"/>
              </w:rPr>
            </w:pPr>
            <w:r w:rsidRPr="007E4DA1">
              <w:t>&gt;150 000/μl</w:t>
            </w:r>
          </w:p>
        </w:tc>
        <w:tc>
          <w:tcPr>
            <w:tcW w:w="6165" w:type="dxa"/>
            <w:tcMar>
              <w:top w:w="0" w:type="dxa"/>
              <w:left w:w="108" w:type="dxa"/>
              <w:bottom w:w="0" w:type="dxa"/>
              <w:right w:w="108" w:type="dxa"/>
            </w:tcMar>
          </w:tcPr>
          <w:p w14:paraId="1A4BB09A" w14:textId="77777777" w:rsidR="00802FF6" w:rsidRPr="007E4DA1" w:rsidRDefault="00802FF6" w:rsidP="001A6584">
            <w:pPr>
              <w:keepNext/>
              <w:tabs>
                <w:tab w:val="left" w:pos="142"/>
              </w:tabs>
              <w:ind w:left="0" w:firstLine="0"/>
            </w:pPr>
            <w:r w:rsidRPr="007E4DA1">
              <w:t>Przerwać stosowanie eltrombopagu; zwiększyć częstość kontrolowania liczby płytek krwi do dwóch razy w tygodniu.</w:t>
            </w:r>
          </w:p>
          <w:p w14:paraId="64C2C7D4" w14:textId="77777777" w:rsidR="00802FF6" w:rsidRPr="007E4DA1" w:rsidRDefault="00802FF6" w:rsidP="001A6584">
            <w:pPr>
              <w:keepNext/>
              <w:tabs>
                <w:tab w:val="left" w:pos="142"/>
              </w:tabs>
              <w:ind w:left="0" w:firstLine="0"/>
            </w:pPr>
          </w:p>
          <w:p w14:paraId="1F78FF96" w14:textId="77777777" w:rsidR="00802FF6" w:rsidRPr="007E4DA1" w:rsidRDefault="00802FF6" w:rsidP="001A6584">
            <w:pPr>
              <w:keepNext/>
              <w:tabs>
                <w:tab w:val="left" w:pos="142"/>
              </w:tabs>
              <w:ind w:left="0" w:firstLine="0"/>
              <w:rPr>
                <w:szCs w:val="22"/>
              </w:rPr>
            </w:pPr>
            <w:r w:rsidRPr="007E4DA1">
              <w:t>Kiedy liczba płytek krwi osiągnie wartość</w:t>
            </w:r>
            <w:r w:rsidR="001040A0" w:rsidRPr="007E4DA1">
              <w:t> </w:t>
            </w:r>
            <w:r w:rsidRPr="007E4DA1">
              <w:t>≤100 000/µl, ponownie rozpocząć leczenie, stosując dawkę dobową zmniejszoną o 25 mg*.</w:t>
            </w:r>
          </w:p>
        </w:tc>
      </w:tr>
      <w:tr w:rsidR="00A369B8" w:rsidRPr="007E4DA1" w14:paraId="29E80D73" w14:textId="77777777" w:rsidTr="00EE3105">
        <w:trPr>
          <w:cantSplit/>
        </w:trPr>
        <w:tc>
          <w:tcPr>
            <w:tcW w:w="9108" w:type="dxa"/>
            <w:gridSpan w:val="2"/>
            <w:tcMar>
              <w:top w:w="0" w:type="dxa"/>
              <w:left w:w="108" w:type="dxa"/>
              <w:bottom w:w="0" w:type="dxa"/>
              <w:right w:w="108" w:type="dxa"/>
            </w:tcMar>
          </w:tcPr>
          <w:p w14:paraId="0A164C21" w14:textId="77777777" w:rsidR="00A369B8" w:rsidRPr="00EC4057" w:rsidRDefault="00A369B8" w:rsidP="00C00A76">
            <w:pPr>
              <w:rPr>
                <w:sz w:val="20"/>
                <w:szCs w:val="20"/>
              </w:rPr>
            </w:pPr>
            <w:r w:rsidRPr="00EC4057">
              <w:rPr>
                <w:sz w:val="20"/>
                <w:szCs w:val="20"/>
              </w:rPr>
              <w:t>*</w:t>
            </w:r>
            <w:r w:rsidRPr="00EC4057">
              <w:rPr>
                <w:sz w:val="20"/>
                <w:szCs w:val="20"/>
              </w:rPr>
              <w:tab/>
              <w:t>W przypadku pacjentów przyjmujących eltrombopag w dawce 25 mg raz na dobę należy rozważyć rozpoczęcie podawania leku w dawce 25 mg co drugi dzień.</w:t>
            </w:r>
          </w:p>
          <w:p w14:paraId="2B4FA7E0" w14:textId="7AD255B3" w:rsidR="00A369B8" w:rsidRPr="007E4DA1" w:rsidRDefault="00A369B8" w:rsidP="001A6584">
            <w:pPr>
              <w:keepNext/>
            </w:pPr>
            <w:r w:rsidRPr="00EC4057">
              <w:rPr>
                <w:sz w:val="20"/>
                <w:szCs w:val="20"/>
                <w:vertAlign w:val="superscript"/>
              </w:rPr>
              <w:t>♦</w:t>
            </w:r>
            <w:r w:rsidRPr="00EC4057">
              <w:rPr>
                <w:sz w:val="20"/>
                <w:szCs w:val="20"/>
                <w:vertAlign w:val="superscript"/>
              </w:rPr>
              <w:tab/>
            </w:r>
            <w:r w:rsidRPr="00EC4057">
              <w:rPr>
                <w:sz w:val="20"/>
                <w:szCs w:val="20"/>
              </w:rPr>
              <w:t>W chwili rozpoczęcia leczenia przeciwwirusowego liczba płytek krwi może zmniejszyć się, w związku z czym należy unikać szybkiego zmniejszania dawki eltrombopagu.</w:t>
            </w:r>
          </w:p>
        </w:tc>
      </w:tr>
    </w:tbl>
    <w:p w14:paraId="2B393072" w14:textId="77777777" w:rsidR="00802FF6" w:rsidRPr="007E4DA1" w:rsidRDefault="00802FF6" w:rsidP="001A6584">
      <w:pPr>
        <w:tabs>
          <w:tab w:val="left" w:pos="142"/>
        </w:tabs>
        <w:ind w:left="0" w:firstLine="0"/>
      </w:pPr>
    </w:p>
    <w:p w14:paraId="4B2ADF56" w14:textId="77777777" w:rsidR="00041A08" w:rsidRPr="00041A08" w:rsidRDefault="00802FF6" w:rsidP="001A6584">
      <w:pPr>
        <w:keepNext/>
        <w:tabs>
          <w:tab w:val="left" w:pos="142"/>
        </w:tabs>
        <w:ind w:left="0" w:firstLine="0"/>
      </w:pPr>
      <w:r w:rsidRPr="007E4DA1">
        <w:rPr>
          <w:i/>
        </w:rPr>
        <w:t>Przerwanie stosowania</w:t>
      </w:r>
    </w:p>
    <w:p w14:paraId="5E7F3584" w14:textId="66D66D45" w:rsidR="00802FF6" w:rsidRPr="007E4DA1" w:rsidRDefault="00802FF6" w:rsidP="001A6584">
      <w:pPr>
        <w:tabs>
          <w:tab w:val="left" w:pos="142"/>
        </w:tabs>
        <w:ind w:left="0" w:firstLine="0"/>
      </w:pPr>
      <w:r w:rsidRPr="007E4DA1">
        <w:t>Leczenie eltrombopagiem należy przerwać, jeśli po 2 tygodniach jego podawania w dawce 100 mg na dobę liczba płytek krwi nie zwiększy się do poziomu wymaganego do rozpoczęcia leczenia przeciwwirusowego.</w:t>
      </w:r>
    </w:p>
    <w:p w14:paraId="5134FCA4" w14:textId="77777777" w:rsidR="00802FF6" w:rsidRPr="007E4DA1" w:rsidRDefault="00802FF6" w:rsidP="001A6584">
      <w:pPr>
        <w:tabs>
          <w:tab w:val="left" w:pos="142"/>
        </w:tabs>
        <w:ind w:left="0" w:firstLine="0"/>
      </w:pPr>
    </w:p>
    <w:p w14:paraId="78CD0ACC" w14:textId="77777777" w:rsidR="00802FF6" w:rsidRPr="007E4DA1" w:rsidRDefault="00802FF6" w:rsidP="001A6584">
      <w:pPr>
        <w:tabs>
          <w:tab w:val="left" w:pos="142"/>
        </w:tabs>
        <w:ind w:left="0" w:firstLine="0"/>
        <w:rPr>
          <w:color w:val="000000"/>
        </w:rPr>
      </w:pPr>
      <w:r w:rsidRPr="007E4DA1">
        <w:t>Leczenie eltrombopagiem należy zakończyć w chwili przerwania leczenia przeciwwirusowego, chyba że uzasadnione będzie inne postępowanie. Nadmierny wzrost liczby płytek krwi lub istotne nieprawidłowości w wynikach badań wątroby również wymagają przerwania leczenia.</w:t>
      </w:r>
    </w:p>
    <w:p w14:paraId="6D243189" w14:textId="77777777" w:rsidR="001710DE" w:rsidRPr="007E4DA1" w:rsidRDefault="001710DE" w:rsidP="001A6584">
      <w:pPr>
        <w:tabs>
          <w:tab w:val="left" w:pos="142"/>
        </w:tabs>
        <w:ind w:left="0" w:firstLine="0"/>
      </w:pPr>
    </w:p>
    <w:p w14:paraId="772C4C67" w14:textId="77777777" w:rsidR="00041A08" w:rsidRPr="00041A08" w:rsidRDefault="00273B4F" w:rsidP="001A6584">
      <w:pPr>
        <w:keepNext/>
        <w:tabs>
          <w:tab w:val="left" w:pos="142"/>
        </w:tabs>
        <w:ind w:left="0" w:firstLine="0"/>
      </w:pPr>
      <w:r w:rsidRPr="007E4DA1">
        <w:rPr>
          <w:i/>
          <w:u w:val="single"/>
        </w:rPr>
        <w:t>Ciężka niedokrwistość aplastyczna</w:t>
      </w:r>
    </w:p>
    <w:p w14:paraId="6969218C" w14:textId="63FCE00D" w:rsidR="00273B4F" w:rsidRPr="007E4DA1" w:rsidRDefault="00273B4F" w:rsidP="001A6584">
      <w:pPr>
        <w:keepNext/>
        <w:tabs>
          <w:tab w:val="left" w:pos="142"/>
        </w:tabs>
        <w:ind w:left="0" w:firstLine="0"/>
      </w:pPr>
    </w:p>
    <w:p w14:paraId="503FA8C2" w14:textId="77777777" w:rsidR="00041A08" w:rsidRPr="00041A08" w:rsidRDefault="00273B4F" w:rsidP="001A6584">
      <w:pPr>
        <w:keepNext/>
        <w:tabs>
          <w:tab w:val="left" w:pos="142"/>
        </w:tabs>
        <w:ind w:left="0" w:firstLine="0"/>
      </w:pPr>
      <w:r w:rsidRPr="007E4DA1">
        <w:rPr>
          <w:i/>
        </w:rPr>
        <w:t>Wstępny schemat dawkowania</w:t>
      </w:r>
    </w:p>
    <w:p w14:paraId="7D8F1DA6" w14:textId="46C6B5F7" w:rsidR="00273B4F" w:rsidRPr="007E4DA1" w:rsidRDefault="00273B4F" w:rsidP="001A6584">
      <w:pPr>
        <w:ind w:left="0" w:firstLine="0"/>
      </w:pPr>
      <w:r w:rsidRPr="007E4DA1">
        <w:t xml:space="preserve">Leczenie eltrombopagiem należy rozpocząć od dawki 50 mg raz na dobę. U pacjentów pochodzenia </w:t>
      </w:r>
      <w:r w:rsidR="004A1034" w:rsidRPr="007E4DA1">
        <w:t>wschodnio-/południowo</w:t>
      </w:r>
      <w:r w:rsidR="004A1007" w:rsidRPr="007E4DA1">
        <w:t>-</w:t>
      </w:r>
      <w:r w:rsidR="004A1034" w:rsidRPr="007E4DA1">
        <w:t>wschodnio</w:t>
      </w:r>
      <w:r w:rsidRPr="007E4DA1">
        <w:t>azjatyckiego leczenie eltrombopagiem należy rozpoczynać od zmniejszonej dawki wynoszącej 25 mg raz na dobę (patrz punkt 5.2). Leczenia nie należy rozpoczynać, jeśli u pacjenta występują nieprawidłowości cytogenetyczne dotyczące chromosomu</w:t>
      </w:r>
      <w:r w:rsidR="00254D3C" w:rsidRPr="007E4DA1">
        <w:t> </w:t>
      </w:r>
      <w:r w:rsidRPr="007E4DA1">
        <w:t>7.</w:t>
      </w:r>
    </w:p>
    <w:p w14:paraId="76717678" w14:textId="77777777" w:rsidR="00273B4F" w:rsidRPr="007E4DA1" w:rsidRDefault="00273B4F" w:rsidP="001A6584">
      <w:pPr>
        <w:tabs>
          <w:tab w:val="left" w:pos="142"/>
        </w:tabs>
        <w:ind w:left="0" w:firstLine="0"/>
      </w:pPr>
    </w:p>
    <w:p w14:paraId="0E3018A4" w14:textId="77777777" w:rsidR="00041A08" w:rsidRPr="00041A08" w:rsidRDefault="00273B4F" w:rsidP="001A6584">
      <w:pPr>
        <w:keepNext/>
        <w:tabs>
          <w:tab w:val="left" w:pos="142"/>
        </w:tabs>
        <w:ind w:left="0" w:firstLine="0"/>
      </w:pPr>
      <w:r w:rsidRPr="007E4DA1">
        <w:rPr>
          <w:i/>
        </w:rPr>
        <w:t>Monitorowanie i dostosowanie dawki</w:t>
      </w:r>
    </w:p>
    <w:p w14:paraId="59139930" w14:textId="7CE8ACB3" w:rsidR="00273B4F" w:rsidRPr="007E4DA1" w:rsidRDefault="00273B4F" w:rsidP="001A6584">
      <w:pPr>
        <w:tabs>
          <w:tab w:val="left" w:pos="142"/>
        </w:tabs>
        <w:ind w:left="0" w:firstLine="0"/>
      </w:pPr>
      <w:r w:rsidRPr="007E4DA1">
        <w:t>Osiągnięcie odpowiedzi hematologicznej wymaga stopniowego zwiększania dawki, na ogół do wysokości 150 mg, co może zająć do 16</w:t>
      </w:r>
      <w:r w:rsidR="005F4E9F" w:rsidRPr="007E4DA1">
        <w:t> </w:t>
      </w:r>
      <w:r w:rsidRPr="007E4DA1">
        <w:t>tygodni od rozpoczęcia leczenia eltrombopagiem (patrz punkt 5.1). Dawkę eltrombopagu należy dostosowywać, w razie konieczności zwiększając ją o 50 mg co 2</w:t>
      </w:r>
      <w:r w:rsidR="005F4E9F" w:rsidRPr="007E4DA1">
        <w:t> </w:t>
      </w:r>
      <w:r w:rsidRPr="007E4DA1">
        <w:t xml:space="preserve">tygodnie, aby uzyskać liczbę płytek krwi </w:t>
      </w:r>
      <w:r w:rsidRPr="007E4DA1">
        <w:sym w:font="Symbol" w:char="F0B3"/>
      </w:r>
      <w:r w:rsidRPr="007E4DA1">
        <w:t xml:space="preserve">50 000/μl. U pacjentów przyjmujących dawkę 25 mg raz na dobę, przed rozpoczęciem zwiększania dawki o 50 mg, należy zwiększyć dawkę do 50 mg na dobę. Nie należy przekraczać dawki 150 mg na dobę. Należy regularnie monitorować parametry hematologiczne i czynność wątroby przez cały czas trwania leczenia eltrombopagiem i modyfikować dawkowanie eltrombopagu w zależności od liczby płytek krwi, zgodnie ze wskazówkami podanymi w </w:t>
      </w:r>
      <w:r w:rsidR="00C00A76">
        <w:t>t</w:t>
      </w:r>
      <w:r w:rsidRPr="007E4DA1">
        <w:t>abeli 3.</w:t>
      </w:r>
    </w:p>
    <w:p w14:paraId="5FE8A153" w14:textId="77777777" w:rsidR="00273B4F" w:rsidRPr="007E4DA1" w:rsidRDefault="00273B4F" w:rsidP="001A6584">
      <w:pPr>
        <w:tabs>
          <w:tab w:val="left" w:pos="142"/>
        </w:tabs>
        <w:ind w:left="0" w:firstLine="0"/>
      </w:pPr>
    </w:p>
    <w:p w14:paraId="26512D58" w14:textId="77777777" w:rsidR="00041A08" w:rsidRPr="00041A08" w:rsidRDefault="00273B4F" w:rsidP="001A6584">
      <w:pPr>
        <w:keepNext/>
        <w:ind w:left="1134" w:hanging="1134"/>
      </w:pPr>
      <w:r w:rsidRPr="007E4DA1">
        <w:rPr>
          <w:b/>
        </w:rPr>
        <w:lastRenderedPageBreak/>
        <w:t>Tabela 3</w:t>
      </w:r>
      <w:r w:rsidR="00FF24D6" w:rsidRPr="007E4DA1">
        <w:rPr>
          <w:b/>
        </w:rPr>
        <w:tab/>
      </w:r>
      <w:r w:rsidRPr="007E4DA1">
        <w:rPr>
          <w:b/>
        </w:rPr>
        <w:t>Dostosowanie dawki eltrombopagu u pacjentów z ciężką niedokrwistością aplastyczną</w:t>
      </w:r>
    </w:p>
    <w:p w14:paraId="61A19A16" w14:textId="11312B27" w:rsidR="00273B4F" w:rsidRPr="007E4DA1" w:rsidRDefault="00273B4F" w:rsidP="001A6584">
      <w:pPr>
        <w:keepNext/>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273B4F" w:rsidRPr="007E4DA1" w14:paraId="588C8D51" w14:textId="77777777" w:rsidTr="008A0EA1">
        <w:tc>
          <w:tcPr>
            <w:tcW w:w="3228" w:type="dxa"/>
          </w:tcPr>
          <w:p w14:paraId="0FA137E7" w14:textId="77777777" w:rsidR="00273B4F" w:rsidRPr="00EE3105" w:rsidRDefault="00273B4F" w:rsidP="001A6584">
            <w:pPr>
              <w:keepNext/>
              <w:jc w:val="center"/>
              <w:rPr>
                <w:b/>
                <w:bCs/>
                <w:szCs w:val="22"/>
              </w:rPr>
            </w:pPr>
            <w:r w:rsidRPr="00EE3105">
              <w:rPr>
                <w:b/>
                <w:bCs/>
                <w:szCs w:val="22"/>
              </w:rPr>
              <w:t>Liczba płytek krwi</w:t>
            </w:r>
          </w:p>
        </w:tc>
        <w:tc>
          <w:tcPr>
            <w:tcW w:w="5880" w:type="dxa"/>
          </w:tcPr>
          <w:p w14:paraId="36EA60B3" w14:textId="77777777" w:rsidR="00273B4F" w:rsidRPr="00EE3105" w:rsidRDefault="00273B4F" w:rsidP="001A6584">
            <w:pPr>
              <w:keepNext/>
              <w:jc w:val="center"/>
              <w:rPr>
                <w:b/>
                <w:bCs/>
                <w:szCs w:val="22"/>
              </w:rPr>
            </w:pPr>
            <w:r w:rsidRPr="00EE3105">
              <w:rPr>
                <w:b/>
                <w:bCs/>
                <w:szCs w:val="22"/>
              </w:rPr>
              <w:t>Dostosowanie dawki w zależności od odpowiedzi</w:t>
            </w:r>
          </w:p>
        </w:tc>
      </w:tr>
      <w:tr w:rsidR="00273B4F" w:rsidRPr="007E4DA1" w14:paraId="5E36F80A" w14:textId="77777777" w:rsidTr="008A0EA1">
        <w:tc>
          <w:tcPr>
            <w:tcW w:w="3228" w:type="dxa"/>
          </w:tcPr>
          <w:p w14:paraId="2316318C" w14:textId="77777777" w:rsidR="00273B4F" w:rsidRPr="007E4DA1" w:rsidRDefault="00273B4F" w:rsidP="001A6584">
            <w:pPr>
              <w:keepNext/>
              <w:ind w:left="0" w:firstLine="0"/>
              <w:rPr>
                <w:szCs w:val="22"/>
              </w:rPr>
            </w:pPr>
            <w:r w:rsidRPr="007E4DA1">
              <w:rPr>
                <w:szCs w:val="22"/>
              </w:rPr>
              <w:t>&lt;50 000/µl po co najmniej 2 tygodniach leczenia</w:t>
            </w:r>
          </w:p>
        </w:tc>
        <w:tc>
          <w:tcPr>
            <w:tcW w:w="5880" w:type="dxa"/>
          </w:tcPr>
          <w:p w14:paraId="25778886" w14:textId="77777777" w:rsidR="00273B4F" w:rsidRPr="007E4DA1" w:rsidRDefault="00273B4F" w:rsidP="001A6584">
            <w:pPr>
              <w:keepNext/>
              <w:ind w:left="33" w:hanging="33"/>
              <w:rPr>
                <w:szCs w:val="22"/>
              </w:rPr>
            </w:pPr>
            <w:r w:rsidRPr="007E4DA1">
              <w:rPr>
                <w:szCs w:val="22"/>
              </w:rPr>
              <w:t>Zwiększać dawkę dobową o 50 mg do maksymalnej dawki 150 mg/dobę.</w:t>
            </w:r>
          </w:p>
          <w:p w14:paraId="75BD4D26" w14:textId="77777777" w:rsidR="00273B4F" w:rsidRPr="007E4DA1" w:rsidRDefault="00273B4F" w:rsidP="001A6584">
            <w:pPr>
              <w:keepNext/>
              <w:rPr>
                <w:szCs w:val="22"/>
              </w:rPr>
            </w:pPr>
          </w:p>
          <w:p w14:paraId="7A45AE27" w14:textId="77777777" w:rsidR="00273B4F" w:rsidRPr="007E4DA1" w:rsidRDefault="00273B4F" w:rsidP="001A6584">
            <w:pPr>
              <w:keepNext/>
              <w:ind w:left="33" w:hanging="33"/>
              <w:rPr>
                <w:szCs w:val="22"/>
              </w:rPr>
            </w:pPr>
            <w:r w:rsidRPr="007E4DA1">
              <w:rPr>
                <w:szCs w:val="22"/>
              </w:rPr>
              <w:t xml:space="preserve">U pacjentów przyjmujących dawkę 25 mg raz na dobę, </w:t>
            </w:r>
            <w:r w:rsidRPr="007E4DA1">
              <w:t>przed rozpoczęciem zwiększania dawki o 50 mg, należy zwiększyć dawkę do 50 mg na dobę</w:t>
            </w:r>
            <w:r w:rsidRPr="007E4DA1">
              <w:rPr>
                <w:szCs w:val="22"/>
              </w:rPr>
              <w:t>.</w:t>
            </w:r>
          </w:p>
        </w:tc>
      </w:tr>
      <w:tr w:rsidR="00273B4F" w:rsidRPr="007E4DA1" w14:paraId="1438C8ED" w14:textId="77777777" w:rsidTr="008A0EA1">
        <w:tc>
          <w:tcPr>
            <w:tcW w:w="3228" w:type="dxa"/>
          </w:tcPr>
          <w:p w14:paraId="7DD68ACB" w14:textId="77777777" w:rsidR="00273B4F" w:rsidRPr="007E4DA1" w:rsidRDefault="00273B4F" w:rsidP="001A6584">
            <w:pPr>
              <w:keepNext/>
              <w:rPr>
                <w:szCs w:val="22"/>
              </w:rPr>
            </w:pPr>
            <w:r w:rsidRPr="007E4DA1">
              <w:rPr>
                <w:szCs w:val="22"/>
              </w:rPr>
              <w:sym w:font="Symbol" w:char="F0B3"/>
            </w:r>
            <w:r w:rsidRPr="007E4DA1">
              <w:rPr>
                <w:szCs w:val="22"/>
              </w:rPr>
              <w:t xml:space="preserve">50 000/µl do </w:t>
            </w:r>
            <w:r w:rsidRPr="007E4DA1">
              <w:rPr>
                <w:szCs w:val="22"/>
              </w:rPr>
              <w:sym w:font="Symbol" w:char="F0A3"/>
            </w:r>
            <w:r w:rsidRPr="007E4DA1">
              <w:rPr>
                <w:szCs w:val="22"/>
              </w:rPr>
              <w:t>150 000/µl</w:t>
            </w:r>
          </w:p>
        </w:tc>
        <w:tc>
          <w:tcPr>
            <w:tcW w:w="5880" w:type="dxa"/>
          </w:tcPr>
          <w:p w14:paraId="2A9794EB" w14:textId="77777777" w:rsidR="00273B4F" w:rsidRPr="007E4DA1" w:rsidRDefault="00273B4F" w:rsidP="001A6584">
            <w:pPr>
              <w:keepNext/>
              <w:ind w:left="33" w:hanging="33"/>
              <w:rPr>
                <w:szCs w:val="22"/>
              </w:rPr>
            </w:pPr>
            <w:r w:rsidRPr="007E4DA1">
              <w:rPr>
                <w:szCs w:val="22"/>
              </w:rPr>
              <w:t>Stosować najmniejszą dawkę eltrombopagu, aby utrzymać liczbę płytek krwi.</w:t>
            </w:r>
          </w:p>
        </w:tc>
      </w:tr>
      <w:tr w:rsidR="00273B4F" w:rsidRPr="007E4DA1" w14:paraId="487A3467" w14:textId="77777777" w:rsidTr="008A0EA1">
        <w:tc>
          <w:tcPr>
            <w:tcW w:w="3228" w:type="dxa"/>
          </w:tcPr>
          <w:p w14:paraId="6180DF7F" w14:textId="77777777" w:rsidR="00273B4F" w:rsidRPr="007E4DA1" w:rsidRDefault="00273B4F" w:rsidP="001A6584">
            <w:pPr>
              <w:keepNext/>
              <w:rPr>
                <w:szCs w:val="22"/>
              </w:rPr>
            </w:pPr>
            <w:r w:rsidRPr="007E4DA1">
              <w:rPr>
                <w:szCs w:val="22"/>
              </w:rPr>
              <w:t xml:space="preserve">&gt;150 000/µl do </w:t>
            </w:r>
            <w:r w:rsidRPr="007E4DA1">
              <w:rPr>
                <w:szCs w:val="22"/>
              </w:rPr>
              <w:sym w:font="Symbol" w:char="F0A3"/>
            </w:r>
            <w:r w:rsidRPr="007E4DA1">
              <w:rPr>
                <w:szCs w:val="22"/>
              </w:rPr>
              <w:t>250 000/µl</w:t>
            </w:r>
          </w:p>
        </w:tc>
        <w:tc>
          <w:tcPr>
            <w:tcW w:w="5880" w:type="dxa"/>
          </w:tcPr>
          <w:p w14:paraId="280AFC35" w14:textId="77777777" w:rsidR="00273B4F" w:rsidRPr="007E4DA1" w:rsidRDefault="00273B4F" w:rsidP="001A6584">
            <w:pPr>
              <w:keepNext/>
              <w:ind w:left="33" w:hanging="33"/>
              <w:rPr>
                <w:szCs w:val="22"/>
              </w:rPr>
            </w:pPr>
            <w:r w:rsidRPr="007E4DA1">
              <w:rPr>
                <w:szCs w:val="22"/>
              </w:rPr>
              <w:t>Zmniejszać dawkę dobową o 50 mg. Odczekać 2 tygodnie i ocenić wpływ tej i każdej kolejnej zmiany dawki.</w:t>
            </w:r>
          </w:p>
        </w:tc>
      </w:tr>
      <w:tr w:rsidR="00273B4F" w:rsidRPr="007E4DA1" w14:paraId="27F1348B" w14:textId="77777777" w:rsidTr="008A0EA1">
        <w:trPr>
          <w:trHeight w:val="1137"/>
        </w:trPr>
        <w:tc>
          <w:tcPr>
            <w:tcW w:w="3228" w:type="dxa"/>
          </w:tcPr>
          <w:p w14:paraId="13392146" w14:textId="77777777" w:rsidR="00273B4F" w:rsidRPr="007E4DA1" w:rsidRDefault="00273B4F" w:rsidP="001A6584">
            <w:pPr>
              <w:rPr>
                <w:szCs w:val="22"/>
              </w:rPr>
            </w:pPr>
            <w:r w:rsidRPr="007E4DA1">
              <w:rPr>
                <w:szCs w:val="22"/>
              </w:rPr>
              <w:t>&gt;250 000/µl</w:t>
            </w:r>
          </w:p>
        </w:tc>
        <w:tc>
          <w:tcPr>
            <w:tcW w:w="5880" w:type="dxa"/>
          </w:tcPr>
          <w:p w14:paraId="11BE2358" w14:textId="77777777" w:rsidR="00273B4F" w:rsidRPr="007E4DA1" w:rsidRDefault="00273B4F" w:rsidP="001A6584">
            <w:pPr>
              <w:ind w:left="33" w:hanging="33"/>
              <w:rPr>
                <w:szCs w:val="22"/>
              </w:rPr>
            </w:pPr>
            <w:r w:rsidRPr="007E4DA1">
              <w:rPr>
                <w:szCs w:val="22"/>
              </w:rPr>
              <w:t>Przerwać leczenie eltrombopagiem; na co najmniej jeden tydzień.</w:t>
            </w:r>
          </w:p>
          <w:p w14:paraId="465EA130" w14:textId="77777777" w:rsidR="00273B4F" w:rsidRPr="007E4DA1" w:rsidRDefault="00273B4F" w:rsidP="001A6584">
            <w:pPr>
              <w:rPr>
                <w:szCs w:val="22"/>
              </w:rPr>
            </w:pPr>
          </w:p>
          <w:p w14:paraId="375A8D73" w14:textId="77777777" w:rsidR="00273B4F" w:rsidRPr="007E4DA1" w:rsidRDefault="00273B4F" w:rsidP="001A6584">
            <w:pPr>
              <w:ind w:left="33" w:hanging="33"/>
              <w:rPr>
                <w:szCs w:val="22"/>
              </w:rPr>
            </w:pPr>
            <w:r w:rsidRPr="007E4DA1">
              <w:rPr>
                <w:szCs w:val="22"/>
              </w:rPr>
              <w:t>Jeśli liczba płytek krwi obniży się do wartości</w:t>
            </w:r>
            <w:r w:rsidRPr="007E4DA1">
              <w:t> </w:t>
            </w:r>
            <w:r w:rsidRPr="007E4DA1">
              <w:rPr>
                <w:szCs w:val="22"/>
              </w:rPr>
              <w:t>≤100 000/µl wznowić leczenie daw</w:t>
            </w:r>
            <w:r w:rsidR="00543026" w:rsidRPr="007E4DA1">
              <w:rPr>
                <w:szCs w:val="22"/>
              </w:rPr>
              <w:t>ką</w:t>
            </w:r>
            <w:r w:rsidRPr="007E4DA1">
              <w:rPr>
                <w:szCs w:val="22"/>
              </w:rPr>
              <w:t xml:space="preserve"> dobow</w:t>
            </w:r>
            <w:r w:rsidR="00543026" w:rsidRPr="007E4DA1">
              <w:rPr>
                <w:szCs w:val="22"/>
              </w:rPr>
              <w:t>ą</w:t>
            </w:r>
            <w:r w:rsidRPr="007E4DA1">
              <w:rPr>
                <w:szCs w:val="22"/>
              </w:rPr>
              <w:t xml:space="preserve"> zmniejszon</w:t>
            </w:r>
            <w:r w:rsidR="00543026" w:rsidRPr="007E4DA1">
              <w:rPr>
                <w:szCs w:val="22"/>
              </w:rPr>
              <w:t>ą</w:t>
            </w:r>
            <w:r w:rsidRPr="007E4DA1">
              <w:rPr>
                <w:szCs w:val="22"/>
              </w:rPr>
              <w:t xml:space="preserve"> o 50 mg.</w:t>
            </w:r>
          </w:p>
        </w:tc>
      </w:tr>
    </w:tbl>
    <w:p w14:paraId="6B798213" w14:textId="77777777" w:rsidR="00273B4F" w:rsidRPr="007E4DA1" w:rsidRDefault="00273B4F" w:rsidP="001A6584">
      <w:pPr>
        <w:tabs>
          <w:tab w:val="left" w:pos="142"/>
        </w:tabs>
        <w:ind w:left="0" w:firstLine="0"/>
      </w:pPr>
    </w:p>
    <w:p w14:paraId="0DC3EC14" w14:textId="77777777" w:rsidR="00041A08" w:rsidRPr="00041A08" w:rsidRDefault="00273B4F" w:rsidP="001A6584">
      <w:pPr>
        <w:keepNext/>
        <w:tabs>
          <w:tab w:val="left" w:pos="142"/>
        </w:tabs>
        <w:ind w:left="0" w:firstLine="0"/>
      </w:pPr>
      <w:r w:rsidRPr="007E4DA1">
        <w:rPr>
          <w:i/>
        </w:rPr>
        <w:t>Stopniowe zmniejszanie dawki u pacjentów z odpowiedzią trójliniową (leukocyty, erytrocyty i płytki krwi)</w:t>
      </w:r>
    </w:p>
    <w:p w14:paraId="5BCC2E32" w14:textId="662E0007" w:rsidR="00273B4F" w:rsidRPr="007E4DA1" w:rsidRDefault="00273B4F" w:rsidP="001A6584">
      <w:pPr>
        <w:tabs>
          <w:tab w:val="left" w:pos="142"/>
        </w:tabs>
        <w:ind w:left="0" w:firstLine="0"/>
      </w:pPr>
      <w:r w:rsidRPr="007E4DA1">
        <w:t>U pacjentów, którzy uzyskają odpowiedź trójliniową, w tym uniezależnienie od transfuzji, trwającą przynajmniej 8 tygodni: dawkę eltrombopagu można zmniejszyć o 50%.</w:t>
      </w:r>
    </w:p>
    <w:p w14:paraId="43152B26" w14:textId="77777777" w:rsidR="00273B4F" w:rsidRPr="007E4DA1" w:rsidRDefault="00273B4F" w:rsidP="001A6584">
      <w:pPr>
        <w:tabs>
          <w:tab w:val="left" w:pos="142"/>
        </w:tabs>
        <w:ind w:left="0" w:firstLine="0"/>
      </w:pPr>
    </w:p>
    <w:p w14:paraId="1E253BBB" w14:textId="77777777" w:rsidR="00273B4F" w:rsidRPr="007E4DA1" w:rsidRDefault="00273B4F" w:rsidP="001A6584">
      <w:pPr>
        <w:tabs>
          <w:tab w:val="left" w:pos="142"/>
        </w:tabs>
        <w:ind w:left="0" w:firstLine="0"/>
      </w:pPr>
      <w:r w:rsidRPr="007E4DA1">
        <w:t xml:space="preserve">Jeśli liczba komórek nie zmieni się po 8 tygodniach przy zmniejszonej dawce leku, eltrombopag </w:t>
      </w:r>
      <w:r w:rsidR="000378A4" w:rsidRPr="007E4DA1">
        <w:t>trzeba</w:t>
      </w:r>
      <w:r w:rsidRPr="007E4DA1">
        <w:t xml:space="preserve"> odstawić i monitorować liczbę komórek krwi (morfologi</w:t>
      </w:r>
      <w:r w:rsidR="005D1AA0" w:rsidRPr="007E4DA1">
        <w:t>ę</w:t>
      </w:r>
      <w:r w:rsidRPr="007E4DA1">
        <w:t xml:space="preserve"> krwi). Jeśli liczba płytek krwi spadnie do wartości &lt;30 000/μl, stężenie hemoglobiny zmniejszy się do &lt; 9 g/dl lub całkowita liczba neutrofili (ANC – </w:t>
      </w:r>
      <w:r w:rsidRPr="007E4DA1">
        <w:rPr>
          <w:i/>
        </w:rPr>
        <w:t>absolute neutrophil count</w:t>
      </w:r>
      <w:r w:rsidRPr="007E4DA1">
        <w:t>) wyniesie &lt;0,5</w:t>
      </w:r>
      <w:r w:rsidR="00AD5BFC" w:rsidRPr="007E4DA1">
        <w:t> </w:t>
      </w:r>
      <w:r w:rsidRPr="007E4DA1">
        <w:t>x</w:t>
      </w:r>
      <w:r w:rsidR="00AD5BFC" w:rsidRPr="007E4DA1">
        <w:t> </w:t>
      </w:r>
      <w:r w:rsidRPr="007E4DA1">
        <w:t>10</w:t>
      </w:r>
      <w:r w:rsidRPr="007E4DA1">
        <w:rPr>
          <w:vertAlign w:val="superscript"/>
        </w:rPr>
        <w:t>9</w:t>
      </w:r>
      <w:r w:rsidRPr="007E4DA1">
        <w:t>/l, można wznowić leczenie eltrombopagiem we wcześniej stosowanej skutecznej dawce.</w:t>
      </w:r>
    </w:p>
    <w:p w14:paraId="15713021" w14:textId="77777777" w:rsidR="00273B4F" w:rsidRPr="007E4DA1" w:rsidRDefault="00273B4F" w:rsidP="001A6584">
      <w:pPr>
        <w:tabs>
          <w:tab w:val="left" w:pos="142"/>
        </w:tabs>
        <w:ind w:left="0" w:firstLine="0"/>
      </w:pPr>
    </w:p>
    <w:p w14:paraId="4FC03982" w14:textId="77777777" w:rsidR="00041A08" w:rsidRPr="00041A08" w:rsidRDefault="00273B4F" w:rsidP="001A6584">
      <w:pPr>
        <w:keepNext/>
        <w:tabs>
          <w:tab w:val="left" w:pos="142"/>
        </w:tabs>
        <w:ind w:left="0" w:firstLine="0"/>
      </w:pPr>
      <w:r w:rsidRPr="007E4DA1">
        <w:rPr>
          <w:i/>
        </w:rPr>
        <w:t>Przerwanie stosowania</w:t>
      </w:r>
    </w:p>
    <w:p w14:paraId="482E670E" w14:textId="053640D9" w:rsidR="00273B4F" w:rsidRPr="007E4DA1" w:rsidRDefault="00273B4F" w:rsidP="001A6584">
      <w:pPr>
        <w:tabs>
          <w:tab w:val="left" w:pos="142"/>
        </w:tabs>
        <w:ind w:left="0" w:firstLine="0"/>
      </w:pPr>
      <w:r w:rsidRPr="007E4DA1">
        <w:t>Jeśli po 16</w:t>
      </w:r>
      <w:r w:rsidR="005F4E9F" w:rsidRPr="007E4DA1">
        <w:t> </w:t>
      </w:r>
      <w:r w:rsidRPr="007E4DA1">
        <w:t>tygodniach leczenia eltrombopagiem nie uzyskano żadnej odpowiedzi hematologicznej, leczenie należy przerwać. Jeśli wystąpią nowe nieprawidłowości cytogenetyczne</w:t>
      </w:r>
      <w:r w:rsidR="005D1AA0" w:rsidRPr="007E4DA1">
        <w:t>,</w:t>
      </w:r>
      <w:r w:rsidRPr="007E4DA1">
        <w:t xml:space="preserve"> </w:t>
      </w:r>
      <w:r w:rsidR="000378A4" w:rsidRPr="007E4DA1">
        <w:t>trzeba</w:t>
      </w:r>
      <w:r w:rsidRPr="007E4DA1">
        <w:t xml:space="preserve"> ocenić, czy kontynuacja leczenia eltrombopagiem jest właściwa (patrz punkt</w:t>
      </w:r>
      <w:r w:rsidR="003843D2" w:rsidRPr="007E4DA1">
        <w:t>y</w:t>
      </w:r>
      <w:r w:rsidR="005F4E9F" w:rsidRPr="007E4DA1">
        <w:t> </w:t>
      </w:r>
      <w:r w:rsidR="003843D2" w:rsidRPr="007E4DA1">
        <w:t>4.4 i</w:t>
      </w:r>
      <w:r w:rsidR="005F4E9F" w:rsidRPr="007E4DA1">
        <w:t xml:space="preserve"> </w:t>
      </w:r>
      <w:r w:rsidRPr="007E4DA1">
        <w:t xml:space="preserve">4.8). Nadmierne odpowiedzi dotyczące liczby płytek krwi (przedstawione w </w:t>
      </w:r>
      <w:r w:rsidR="00C00A76">
        <w:t>t</w:t>
      </w:r>
      <w:r w:rsidRPr="007E4DA1">
        <w:t>abeli 3) lub istotne nieprawidłowości w wynikach badań wątroby również wymagają przerwania leczenia eltrombopagiem (patrz punkt 4.8).</w:t>
      </w:r>
    </w:p>
    <w:p w14:paraId="37345289" w14:textId="77777777" w:rsidR="00273B4F" w:rsidRPr="007E4DA1" w:rsidRDefault="00273B4F" w:rsidP="001A6584">
      <w:pPr>
        <w:tabs>
          <w:tab w:val="left" w:pos="142"/>
        </w:tabs>
        <w:ind w:left="0" w:firstLine="0"/>
      </w:pPr>
    </w:p>
    <w:p w14:paraId="26BFA58C" w14:textId="77777777" w:rsidR="00041A08" w:rsidRPr="00041A08" w:rsidRDefault="00802FF6" w:rsidP="001A6584">
      <w:pPr>
        <w:keepNext/>
        <w:tabs>
          <w:tab w:val="left" w:pos="142"/>
        </w:tabs>
        <w:ind w:left="0" w:firstLine="0"/>
      </w:pPr>
      <w:r w:rsidRPr="007E4DA1">
        <w:rPr>
          <w:i/>
          <w:u w:val="single"/>
        </w:rPr>
        <w:t>Szczególne grupy pacjentów</w:t>
      </w:r>
    </w:p>
    <w:p w14:paraId="124E6594" w14:textId="797C0B05" w:rsidR="00802FF6" w:rsidRPr="007E4DA1" w:rsidRDefault="00802FF6" w:rsidP="001A6584">
      <w:pPr>
        <w:keepNext/>
        <w:tabs>
          <w:tab w:val="left" w:pos="142"/>
        </w:tabs>
        <w:ind w:left="0" w:firstLine="0"/>
        <w:rPr>
          <w:iCs/>
        </w:rPr>
      </w:pPr>
    </w:p>
    <w:p w14:paraId="53F4C2C0" w14:textId="77777777" w:rsidR="00041A08" w:rsidRPr="00041A08" w:rsidRDefault="00802FF6" w:rsidP="001A6584">
      <w:pPr>
        <w:keepNext/>
        <w:tabs>
          <w:tab w:val="left" w:pos="142"/>
        </w:tabs>
        <w:ind w:left="0" w:firstLine="0"/>
      </w:pPr>
      <w:r w:rsidRPr="007E4DA1">
        <w:rPr>
          <w:i/>
          <w:iCs/>
        </w:rPr>
        <w:t>Zaburzenia czynności nerek</w:t>
      </w:r>
    </w:p>
    <w:p w14:paraId="408257F8" w14:textId="1C6B1AED" w:rsidR="00802FF6" w:rsidRPr="007E4DA1" w:rsidRDefault="00802FF6" w:rsidP="001A6584">
      <w:pPr>
        <w:tabs>
          <w:tab w:val="left" w:pos="142"/>
        </w:tabs>
        <w:ind w:left="0" w:firstLine="0"/>
      </w:pPr>
      <w:r w:rsidRPr="007E4DA1">
        <w:t>U pacjentów z zaburzeniami czynności nerek nie jest konieczne dostosowanie dawki. U tych pacjentów eltrombopag należy stosować z ostrożnością i pod ścisłą kontrolą, z oceną stężenia kreatyniny w surowicy i/lub analizą moczu (patrz punkt</w:t>
      </w:r>
      <w:r w:rsidR="005F4E9F" w:rsidRPr="007E4DA1">
        <w:t> </w:t>
      </w:r>
      <w:r w:rsidRPr="007E4DA1">
        <w:t>5.2).</w:t>
      </w:r>
    </w:p>
    <w:p w14:paraId="6375A586" w14:textId="77777777" w:rsidR="00802FF6" w:rsidRPr="007E4DA1" w:rsidRDefault="00802FF6" w:rsidP="001A6584">
      <w:pPr>
        <w:tabs>
          <w:tab w:val="left" w:pos="142"/>
        </w:tabs>
        <w:ind w:left="0" w:firstLine="0"/>
        <w:rPr>
          <w:rStyle w:val="CSIchar"/>
        </w:rPr>
      </w:pPr>
    </w:p>
    <w:p w14:paraId="0237338F" w14:textId="77777777" w:rsidR="00041A08" w:rsidRPr="00041A08" w:rsidRDefault="00802FF6" w:rsidP="001A6584">
      <w:pPr>
        <w:keepNext/>
        <w:tabs>
          <w:tab w:val="left" w:pos="142"/>
        </w:tabs>
        <w:ind w:left="0" w:firstLine="0"/>
      </w:pPr>
      <w:r w:rsidRPr="007E4DA1">
        <w:rPr>
          <w:i/>
          <w:iCs/>
        </w:rPr>
        <w:t>Zaburzenia czynności wątroby</w:t>
      </w:r>
    </w:p>
    <w:p w14:paraId="6B0A2FE7" w14:textId="6FE0129E" w:rsidR="00802FF6" w:rsidRPr="007E4DA1" w:rsidRDefault="00802FF6" w:rsidP="001A6584">
      <w:pPr>
        <w:tabs>
          <w:tab w:val="left" w:pos="142"/>
          <w:tab w:val="left" w:pos="360"/>
        </w:tabs>
        <w:ind w:left="0" w:firstLine="0"/>
        <w:rPr>
          <w:szCs w:val="22"/>
        </w:rPr>
      </w:pPr>
      <w:r w:rsidRPr="007E4DA1">
        <w:rPr>
          <w:szCs w:val="22"/>
        </w:rPr>
        <w:t xml:space="preserve">Nie należy stosować eltrombopagu </w:t>
      </w:r>
      <w:r w:rsidRPr="007E4DA1">
        <w:t xml:space="preserve">u pacjentów z pierwotną małopłytkowością immunologiczną z zaburzeniami czynności wątroby (w skali Child-Pugh </w:t>
      </w:r>
      <w:r w:rsidRPr="007E4DA1">
        <w:rPr>
          <w:szCs w:val="22"/>
        </w:rPr>
        <w:t>≥5), chyba że oczekiwane korzyści przeważają zidentyfikowane ryzyko zakrzepicy żyły wrotnej (patrz punkt</w:t>
      </w:r>
      <w:r w:rsidR="005F4E9F" w:rsidRPr="007E4DA1">
        <w:rPr>
          <w:szCs w:val="22"/>
        </w:rPr>
        <w:t> </w:t>
      </w:r>
      <w:r w:rsidRPr="007E4DA1">
        <w:rPr>
          <w:szCs w:val="22"/>
        </w:rPr>
        <w:t>4.4).</w:t>
      </w:r>
    </w:p>
    <w:p w14:paraId="00DCA01E" w14:textId="77777777" w:rsidR="00802FF6" w:rsidRPr="007E4DA1" w:rsidRDefault="00802FF6" w:rsidP="001A6584">
      <w:pPr>
        <w:tabs>
          <w:tab w:val="left" w:pos="142"/>
          <w:tab w:val="left" w:pos="360"/>
        </w:tabs>
        <w:ind w:left="0" w:firstLine="0"/>
      </w:pPr>
    </w:p>
    <w:p w14:paraId="2AF7414B" w14:textId="77777777" w:rsidR="00802FF6" w:rsidRPr="007E4DA1" w:rsidRDefault="00802FF6" w:rsidP="001A6584">
      <w:pPr>
        <w:tabs>
          <w:tab w:val="left" w:pos="142"/>
          <w:tab w:val="left" w:pos="360"/>
        </w:tabs>
        <w:ind w:left="0" w:firstLine="0"/>
      </w:pPr>
      <w:r w:rsidRPr="007E4DA1">
        <w:t xml:space="preserve">Jeśli lekarz uzna, że stosowanie eltrombopagu jest konieczne u pacjentów z pierwotną małopłytkowością immunologiczną z zaburzeniami czynności wątroby, to leczenie należy rozpoczynać od dawki 25 mg raz na dobę. Po rozpoczęciu podawania eltrombopagu u pacjentów z zaburzeniami czynności wątroby, należy </w:t>
      </w:r>
      <w:r w:rsidR="00DC156A" w:rsidRPr="007E4DA1">
        <w:t>przestrzeg</w:t>
      </w:r>
      <w:r w:rsidR="000378A4" w:rsidRPr="007E4DA1">
        <w:t xml:space="preserve">ać </w:t>
      </w:r>
      <w:r w:rsidRPr="007E4DA1">
        <w:t>trzytygodni</w:t>
      </w:r>
      <w:r w:rsidR="000378A4" w:rsidRPr="007E4DA1">
        <w:t>ow</w:t>
      </w:r>
      <w:r w:rsidR="00DC156A" w:rsidRPr="007E4DA1">
        <w:t>ego odstępu</w:t>
      </w:r>
      <w:r w:rsidRPr="007E4DA1">
        <w:t xml:space="preserve"> przed zwiększeniem dawki.</w:t>
      </w:r>
    </w:p>
    <w:p w14:paraId="6A909C08" w14:textId="77777777" w:rsidR="00802FF6" w:rsidRPr="007E4DA1" w:rsidRDefault="00802FF6" w:rsidP="001A6584">
      <w:pPr>
        <w:tabs>
          <w:tab w:val="left" w:pos="142"/>
        </w:tabs>
        <w:ind w:left="0" w:firstLine="0"/>
        <w:rPr>
          <w:bCs/>
        </w:rPr>
      </w:pPr>
    </w:p>
    <w:p w14:paraId="48BED6AE" w14:textId="0D62808E" w:rsidR="00802FF6" w:rsidRPr="007E4DA1" w:rsidRDefault="00802FF6" w:rsidP="001A6584">
      <w:pPr>
        <w:tabs>
          <w:tab w:val="left" w:pos="142"/>
        </w:tabs>
        <w:ind w:left="0" w:firstLine="0"/>
      </w:pPr>
      <w:r w:rsidRPr="007E4DA1">
        <w:lastRenderedPageBreak/>
        <w:t>Nie ma potrzeby dostosowania dawki u pacjentów z małopłytkowością zakażonych wirusem WZW C, a także u pacjentów z łagodnymi zaburzeniami czynności wątroby (wynik ≤6 w skali Child-Pugh). Pacjenci z przewlekłym zakażeniem wirusem WZW C</w:t>
      </w:r>
      <w:r w:rsidR="00273B4F" w:rsidRPr="007E4DA1">
        <w:t xml:space="preserve"> oraz pacjenci z </w:t>
      </w:r>
      <w:r w:rsidR="00A369B8">
        <w:t>SAA</w:t>
      </w:r>
      <w:r w:rsidR="00273B4F" w:rsidRPr="007E4DA1">
        <w:t xml:space="preserve"> i zaburzeniami czynności wątroby</w:t>
      </w:r>
      <w:r w:rsidRPr="007E4DA1">
        <w:t xml:space="preserve"> powinni rozpoczynać przyjmowanie eltrombopagu w dawce 25 mg raz na dobę (patrz punkt 5.2). Po rozpoczęciu podawania eltrombopagu pacjentom z zaburzeniami czynności wątroby należy </w:t>
      </w:r>
      <w:r w:rsidR="00DC156A" w:rsidRPr="007E4DA1">
        <w:t>przestrzeg</w:t>
      </w:r>
      <w:r w:rsidR="00823E10" w:rsidRPr="007E4DA1">
        <w:t>ać dwu</w:t>
      </w:r>
      <w:r w:rsidRPr="007E4DA1">
        <w:t>tygodni</w:t>
      </w:r>
      <w:r w:rsidR="00823E10" w:rsidRPr="007E4DA1">
        <w:t>ow</w:t>
      </w:r>
      <w:r w:rsidR="00DC156A" w:rsidRPr="007E4DA1">
        <w:t xml:space="preserve">ego odstępu </w:t>
      </w:r>
      <w:r w:rsidRPr="007E4DA1">
        <w:t>przed zwiększeniem dawki.</w:t>
      </w:r>
    </w:p>
    <w:p w14:paraId="5C3EA56E" w14:textId="77777777" w:rsidR="00802FF6" w:rsidRPr="007E4DA1" w:rsidRDefault="00802FF6" w:rsidP="001A6584">
      <w:pPr>
        <w:tabs>
          <w:tab w:val="left" w:pos="142"/>
        </w:tabs>
        <w:ind w:left="0" w:firstLine="0"/>
        <w:rPr>
          <w:szCs w:val="22"/>
        </w:rPr>
      </w:pPr>
    </w:p>
    <w:p w14:paraId="6A5D4D17" w14:textId="77777777" w:rsidR="00802FF6" w:rsidRPr="007E4DA1" w:rsidRDefault="001A3C52" w:rsidP="001A6584">
      <w:pPr>
        <w:tabs>
          <w:tab w:val="left" w:pos="142"/>
        </w:tabs>
        <w:ind w:left="0" w:firstLine="0"/>
        <w:rPr>
          <w:szCs w:val="22"/>
        </w:rPr>
      </w:pPr>
      <w:r w:rsidRPr="007E4DA1">
        <w:t>I</w:t>
      </w:r>
      <w:r w:rsidR="00802FF6" w:rsidRPr="007E4DA1">
        <w:t xml:space="preserve">stnieje zwiększone ryzyko wystąpienia zdarzeń niepożądanych, w tym dekompensacji czynności wątroby i incydentów zakrzepowo-zatorowych </w:t>
      </w:r>
      <w:r w:rsidR="004A1034" w:rsidRPr="007E4DA1">
        <w:t xml:space="preserve">(ang. </w:t>
      </w:r>
      <w:r w:rsidR="004A1034" w:rsidRPr="007E4DA1">
        <w:rPr>
          <w:i/>
        </w:rPr>
        <w:t>thromboembolic events</w:t>
      </w:r>
      <w:r w:rsidR="004A1034" w:rsidRPr="007E4DA1">
        <w:t>, TEE</w:t>
      </w:r>
      <w:r w:rsidR="006A53E8" w:rsidRPr="007E4DA1">
        <w:t>s</w:t>
      </w:r>
      <w:r w:rsidR="004A1034" w:rsidRPr="007E4DA1">
        <w:t xml:space="preserve">) </w:t>
      </w:r>
      <w:r w:rsidR="00802FF6" w:rsidRPr="007E4DA1">
        <w:t xml:space="preserve">u pacjentów z małopłytkowością, z zaawansowaną przewlekłą chorobą wątroby leczonych eltrombopagiem w celu przygotowania do przeprowadzenia zabiegów inwazyjnych </w:t>
      </w:r>
      <w:r w:rsidRPr="007E4DA1">
        <w:t xml:space="preserve">lub u pacjentów z małopłytkowością z WZW C, otrzymujących leczenie przeciwwirusowe, </w:t>
      </w:r>
      <w:r w:rsidR="00802FF6" w:rsidRPr="007E4DA1">
        <w:t>(patrz punkty 4.4 i 4.8).</w:t>
      </w:r>
    </w:p>
    <w:p w14:paraId="18636D49" w14:textId="77777777" w:rsidR="00802FF6" w:rsidRPr="007E4DA1" w:rsidRDefault="00802FF6" w:rsidP="001A6584">
      <w:pPr>
        <w:tabs>
          <w:tab w:val="left" w:pos="142"/>
        </w:tabs>
        <w:ind w:left="0" w:firstLine="0"/>
        <w:rPr>
          <w:iCs/>
        </w:rPr>
      </w:pPr>
    </w:p>
    <w:p w14:paraId="124A7091" w14:textId="77777777" w:rsidR="00041A08" w:rsidRPr="00041A08" w:rsidRDefault="00802FF6" w:rsidP="001A6584">
      <w:pPr>
        <w:keepNext/>
        <w:tabs>
          <w:tab w:val="left" w:pos="142"/>
        </w:tabs>
        <w:ind w:left="0" w:firstLine="0"/>
      </w:pPr>
      <w:r w:rsidRPr="007E4DA1">
        <w:rPr>
          <w:i/>
          <w:iCs/>
        </w:rPr>
        <w:t>Pacjenci w podeszłym wieku</w:t>
      </w:r>
    </w:p>
    <w:p w14:paraId="555116A3" w14:textId="1AC1A7AE" w:rsidR="00802FF6" w:rsidRPr="007E4DA1" w:rsidRDefault="00802FF6" w:rsidP="001A6584">
      <w:pPr>
        <w:tabs>
          <w:tab w:val="left" w:pos="142"/>
        </w:tabs>
        <w:ind w:left="0" w:firstLine="0"/>
      </w:pPr>
      <w:r w:rsidRPr="007E4DA1">
        <w:t>Dostępnych jest niewiele danych na temat stosowania eltrombopagu u pacjentów w wieku 65</w:t>
      </w:r>
      <w:r w:rsidR="004A7832" w:rsidRPr="007E4DA1">
        <w:t> </w:t>
      </w:r>
      <w:r w:rsidRPr="007E4DA1">
        <w:t>lat i starszych z pierwotną małopłytkowością immunologiczną, natomiast nie są dostępne żadne doświadczenia kliniczne dotyczące takich pacjentów w wieku powyżej 85 lat. Ogólnie w badaniach klinicznych nie stwierdzono znamiennych klinicznie różnic pod względem bezpieczeństwa stosowania eltrombopagu u pacjentów w wieku co najmniej 65</w:t>
      </w:r>
      <w:r w:rsidR="004A7832" w:rsidRPr="007E4DA1">
        <w:t> </w:t>
      </w:r>
      <w:r w:rsidRPr="007E4DA1">
        <w:t>lat w porównaniu do młodszych pacjentów. Inne dane kliniczne nie wykazały różnic w odpowiedzi na leczenie u pacjentów w podeszłym wieku w porównaniu z młodszymi pacjentami, jednak nie można wykluczyć większej wrażliwości niektórych osób w starszym wieku (patrz punkt 5.2).</w:t>
      </w:r>
    </w:p>
    <w:p w14:paraId="22DE420F" w14:textId="77777777" w:rsidR="00802FF6" w:rsidRPr="007E4DA1" w:rsidRDefault="00802FF6" w:rsidP="001A6584">
      <w:pPr>
        <w:tabs>
          <w:tab w:val="left" w:pos="142"/>
        </w:tabs>
        <w:ind w:left="0" w:firstLine="0"/>
      </w:pPr>
    </w:p>
    <w:p w14:paraId="439900EE" w14:textId="77777777" w:rsidR="00802FF6" w:rsidRPr="007E4DA1" w:rsidRDefault="00802FF6" w:rsidP="001A6584">
      <w:pPr>
        <w:tabs>
          <w:tab w:val="left" w:pos="142"/>
        </w:tabs>
        <w:ind w:left="0" w:firstLine="0"/>
        <w:rPr>
          <w:szCs w:val="22"/>
        </w:rPr>
      </w:pPr>
      <w:r w:rsidRPr="007E4DA1">
        <w:t xml:space="preserve">Dane na temat stosowania eltrombopagu u pacjentów zakażonych wirusem WZW C </w:t>
      </w:r>
      <w:r w:rsidR="00BB7729" w:rsidRPr="007E4DA1">
        <w:t xml:space="preserve">i pacjentów z SAA </w:t>
      </w:r>
      <w:r w:rsidRPr="007E4DA1">
        <w:t>w wieku powyżej 75 lat są ograniczone. U pacjentów takich należy zachować ostrożność (patrz punkt 4.4).</w:t>
      </w:r>
    </w:p>
    <w:p w14:paraId="5FC58F3D" w14:textId="77777777" w:rsidR="00802FF6" w:rsidRPr="007E4DA1" w:rsidRDefault="00802FF6" w:rsidP="001A6584">
      <w:pPr>
        <w:tabs>
          <w:tab w:val="left" w:pos="142"/>
        </w:tabs>
        <w:ind w:left="0" w:firstLine="0"/>
      </w:pPr>
    </w:p>
    <w:p w14:paraId="77D903FF" w14:textId="77777777" w:rsidR="00041A08" w:rsidRPr="00041A08" w:rsidRDefault="00802FF6" w:rsidP="001A6584">
      <w:pPr>
        <w:keepNext/>
        <w:tabs>
          <w:tab w:val="left" w:pos="142"/>
        </w:tabs>
        <w:ind w:left="0" w:firstLine="0"/>
      </w:pPr>
      <w:r w:rsidRPr="007E4DA1">
        <w:rPr>
          <w:i/>
          <w:szCs w:val="22"/>
        </w:rPr>
        <w:t xml:space="preserve">Pacjenci pochodzenia </w:t>
      </w:r>
      <w:r w:rsidR="004A1034" w:rsidRPr="007E4DA1">
        <w:rPr>
          <w:i/>
          <w:szCs w:val="22"/>
        </w:rPr>
        <w:t>wschodnio-/południowo</w:t>
      </w:r>
      <w:r w:rsidR="004A1007" w:rsidRPr="007E4DA1">
        <w:rPr>
          <w:i/>
          <w:szCs w:val="22"/>
        </w:rPr>
        <w:t>-</w:t>
      </w:r>
      <w:r w:rsidR="004A1034" w:rsidRPr="007E4DA1">
        <w:rPr>
          <w:i/>
          <w:szCs w:val="22"/>
        </w:rPr>
        <w:t>wschodnio</w:t>
      </w:r>
      <w:r w:rsidRPr="007E4DA1">
        <w:rPr>
          <w:i/>
          <w:szCs w:val="22"/>
        </w:rPr>
        <w:t>azjatyckiego</w:t>
      </w:r>
    </w:p>
    <w:p w14:paraId="7531AA5D" w14:textId="4CCD378D" w:rsidR="00802FF6" w:rsidRPr="007E4DA1" w:rsidRDefault="00802FF6" w:rsidP="001A6584">
      <w:pPr>
        <w:tabs>
          <w:tab w:val="left" w:pos="142"/>
        </w:tabs>
        <w:ind w:left="0" w:firstLine="0"/>
      </w:pPr>
      <w:r w:rsidRPr="007E4DA1">
        <w:t xml:space="preserve">U </w:t>
      </w:r>
      <w:r w:rsidR="004A1034" w:rsidRPr="007E4DA1">
        <w:t xml:space="preserve">dorosłych </w:t>
      </w:r>
      <w:r w:rsidRPr="007E4DA1">
        <w:t>pacjentów</w:t>
      </w:r>
      <w:r w:rsidR="004A1034" w:rsidRPr="007E4DA1">
        <w:t xml:space="preserve"> oraz dzieci i młodzieży</w:t>
      </w:r>
      <w:r w:rsidRPr="007E4DA1">
        <w:t xml:space="preserve"> pochodzenia </w:t>
      </w:r>
      <w:r w:rsidR="004A1034" w:rsidRPr="007E4DA1">
        <w:t>wschodnio-/południowo</w:t>
      </w:r>
      <w:r w:rsidR="009C195E" w:rsidRPr="007E4DA1">
        <w:t>-</w:t>
      </w:r>
      <w:r w:rsidR="004A1034" w:rsidRPr="007E4DA1">
        <w:t>wschodnio</w:t>
      </w:r>
      <w:r w:rsidRPr="007E4DA1">
        <w:t>azjatyckiego</w:t>
      </w:r>
      <w:r w:rsidR="00BB7729" w:rsidRPr="007E4DA1">
        <w:t>, w tym u pacjentów z zaburzeniami czynności wątroby</w:t>
      </w:r>
      <w:r w:rsidR="005D1AA0" w:rsidRPr="007E4DA1">
        <w:t>,</w:t>
      </w:r>
      <w:r w:rsidR="00BB7729" w:rsidRPr="007E4DA1">
        <w:t xml:space="preserve"> leczenie eltrombopagiem należy rozpoczynać od </w:t>
      </w:r>
      <w:r w:rsidRPr="007E4DA1">
        <w:t>dawki 25 mg raz na dobę (patrz punkt</w:t>
      </w:r>
      <w:r w:rsidR="004A7832" w:rsidRPr="007E4DA1">
        <w:t> </w:t>
      </w:r>
      <w:r w:rsidRPr="007E4DA1">
        <w:t>5.2).</w:t>
      </w:r>
    </w:p>
    <w:p w14:paraId="0D61B6B6" w14:textId="77777777" w:rsidR="00802FF6" w:rsidRPr="007E4DA1" w:rsidRDefault="00802FF6" w:rsidP="001A6584">
      <w:pPr>
        <w:tabs>
          <w:tab w:val="left" w:pos="142"/>
        </w:tabs>
        <w:ind w:left="0" w:firstLine="0"/>
      </w:pPr>
    </w:p>
    <w:p w14:paraId="78AB2095" w14:textId="77777777" w:rsidR="00802FF6" w:rsidRPr="007E4DA1" w:rsidRDefault="00802FF6" w:rsidP="001A6584">
      <w:pPr>
        <w:tabs>
          <w:tab w:val="left" w:pos="142"/>
        </w:tabs>
        <w:ind w:left="0" w:firstLine="0"/>
      </w:pPr>
      <w:r w:rsidRPr="007E4DA1">
        <w:t>Należy kontrolować liczbę płytek krwi i postępować zgodnie ze standardowymi kryteriami dostosowywania dawki.</w:t>
      </w:r>
    </w:p>
    <w:p w14:paraId="580DE45F" w14:textId="77777777" w:rsidR="00802FF6" w:rsidRPr="007E4DA1" w:rsidRDefault="00802FF6" w:rsidP="001A6584">
      <w:pPr>
        <w:tabs>
          <w:tab w:val="left" w:pos="142"/>
        </w:tabs>
        <w:ind w:left="0" w:firstLine="0"/>
        <w:rPr>
          <w:szCs w:val="22"/>
        </w:rPr>
      </w:pPr>
    </w:p>
    <w:p w14:paraId="21F07F1A" w14:textId="77777777" w:rsidR="00041A08" w:rsidRPr="00041A08" w:rsidRDefault="00802FF6" w:rsidP="001A6584">
      <w:pPr>
        <w:keepNext/>
        <w:tabs>
          <w:tab w:val="left" w:pos="142"/>
        </w:tabs>
        <w:ind w:left="0" w:firstLine="0"/>
        <w:rPr>
          <w:szCs w:val="22"/>
        </w:rPr>
      </w:pPr>
      <w:r w:rsidRPr="007E4DA1">
        <w:rPr>
          <w:i/>
        </w:rPr>
        <w:t>Dzieci i młodzież</w:t>
      </w:r>
    </w:p>
    <w:p w14:paraId="301EA07B" w14:textId="4EFEC372" w:rsidR="00EB37B7" w:rsidRDefault="00A131E3" w:rsidP="001A6584">
      <w:pPr>
        <w:tabs>
          <w:tab w:val="left" w:pos="142"/>
        </w:tabs>
        <w:ind w:left="0" w:firstLine="0"/>
        <w:rPr>
          <w:szCs w:val="22"/>
        </w:rPr>
      </w:pPr>
      <w:r w:rsidRPr="007E4DA1">
        <w:rPr>
          <w:szCs w:val="22"/>
        </w:rPr>
        <w:t xml:space="preserve">Produkt leczniczy Revolade nie jest zalecany do stosowania u dzieci w wieku poniżej </w:t>
      </w:r>
      <w:r w:rsidR="00A369B8">
        <w:rPr>
          <w:szCs w:val="22"/>
        </w:rPr>
        <w:t>1</w:t>
      </w:r>
      <w:r w:rsidR="001A6584">
        <w:rPr>
          <w:szCs w:val="22"/>
        </w:rPr>
        <w:t> </w:t>
      </w:r>
      <w:r w:rsidRPr="007E4DA1">
        <w:rPr>
          <w:szCs w:val="22"/>
        </w:rPr>
        <w:t xml:space="preserve">roku z </w:t>
      </w:r>
      <w:r w:rsidR="00F82409" w:rsidRPr="007E4DA1">
        <w:rPr>
          <w:szCs w:val="22"/>
        </w:rPr>
        <w:t>pierwotną</w:t>
      </w:r>
      <w:r w:rsidRPr="007E4DA1">
        <w:rPr>
          <w:szCs w:val="22"/>
        </w:rPr>
        <w:t xml:space="preserve"> małopłytkowością immunologiczną</w:t>
      </w:r>
      <w:r w:rsidR="00B07282" w:rsidRPr="007E4DA1">
        <w:rPr>
          <w:szCs w:val="22"/>
        </w:rPr>
        <w:t>,</w:t>
      </w:r>
      <w:r w:rsidRPr="007E4DA1">
        <w:rPr>
          <w:szCs w:val="22"/>
        </w:rPr>
        <w:t xml:space="preserve"> ze względu na brak wystarczających danych dotyczących bezpieczeństwa stosowania i skuteczności.</w:t>
      </w:r>
    </w:p>
    <w:p w14:paraId="29129B06" w14:textId="77777777" w:rsidR="00EB37B7" w:rsidRDefault="00EB37B7" w:rsidP="001A6584">
      <w:pPr>
        <w:tabs>
          <w:tab w:val="left" w:pos="142"/>
        </w:tabs>
        <w:ind w:left="0" w:firstLine="0"/>
        <w:rPr>
          <w:szCs w:val="22"/>
        </w:rPr>
      </w:pPr>
    </w:p>
    <w:p w14:paraId="25674550" w14:textId="6560BA6E" w:rsidR="00EB37B7" w:rsidRDefault="00AB4006" w:rsidP="001A6584">
      <w:pPr>
        <w:tabs>
          <w:tab w:val="left" w:pos="142"/>
        </w:tabs>
        <w:ind w:left="0" w:firstLine="0"/>
        <w:rPr>
          <w:szCs w:val="22"/>
        </w:rPr>
      </w:pPr>
      <w:r w:rsidRPr="007E4DA1">
        <w:rPr>
          <w:szCs w:val="22"/>
        </w:rPr>
        <w:t xml:space="preserve">Nie </w:t>
      </w:r>
      <w:r w:rsidR="0065038A" w:rsidRPr="007E4DA1">
        <w:rPr>
          <w:szCs w:val="22"/>
        </w:rPr>
        <w:t>określono</w:t>
      </w:r>
      <w:r w:rsidRPr="007E4DA1">
        <w:rPr>
          <w:szCs w:val="22"/>
        </w:rPr>
        <w:t xml:space="preserve"> </w:t>
      </w:r>
      <w:r w:rsidR="003D790C" w:rsidRPr="007E4DA1">
        <w:rPr>
          <w:szCs w:val="22"/>
        </w:rPr>
        <w:t>bezpieczeństw</w:t>
      </w:r>
      <w:r w:rsidRPr="007E4DA1">
        <w:rPr>
          <w:szCs w:val="22"/>
        </w:rPr>
        <w:t>a</w:t>
      </w:r>
      <w:r w:rsidR="003D790C" w:rsidRPr="007E4DA1">
        <w:rPr>
          <w:szCs w:val="22"/>
        </w:rPr>
        <w:t xml:space="preserve"> stosowania </w:t>
      </w:r>
      <w:r w:rsidR="0065038A" w:rsidRPr="007E4DA1">
        <w:rPr>
          <w:szCs w:val="22"/>
        </w:rPr>
        <w:t xml:space="preserve">ani skuteczności </w:t>
      </w:r>
      <w:r w:rsidR="003D790C" w:rsidRPr="007E4DA1">
        <w:rPr>
          <w:szCs w:val="22"/>
        </w:rPr>
        <w:t>eltrombopagu u dzieci i młodzieży (&lt;18</w:t>
      </w:r>
      <w:r w:rsidR="00BC1959">
        <w:rPr>
          <w:szCs w:val="22"/>
        </w:rPr>
        <w:t> </w:t>
      </w:r>
      <w:r w:rsidR="003D790C" w:rsidRPr="007E4DA1">
        <w:rPr>
          <w:szCs w:val="22"/>
        </w:rPr>
        <w:t>lat)</w:t>
      </w:r>
      <w:r w:rsidR="0065038A" w:rsidRPr="007E4DA1">
        <w:rPr>
          <w:szCs w:val="22"/>
        </w:rPr>
        <w:t xml:space="preserve"> </w:t>
      </w:r>
      <w:r w:rsidR="00B07282" w:rsidRPr="007E4DA1">
        <w:t>w małopłytkowości</w:t>
      </w:r>
      <w:r w:rsidR="00B07282" w:rsidRPr="007E4DA1">
        <w:rPr>
          <w:szCs w:val="22"/>
        </w:rPr>
        <w:t xml:space="preserve"> związanej </w:t>
      </w:r>
      <w:r w:rsidR="0065038A" w:rsidRPr="007E4DA1">
        <w:t>z przewlekłym wirusowym zapaleniem wątroby typu C</w:t>
      </w:r>
      <w:r w:rsidR="00EB37B7">
        <w:t>. Dane nie są dostępne.</w:t>
      </w:r>
      <w:bookmarkStart w:id="1" w:name="_Hlk192580422"/>
    </w:p>
    <w:p w14:paraId="56C5D29C" w14:textId="77777777" w:rsidR="00EB37B7" w:rsidRDefault="00EB37B7" w:rsidP="001A6584">
      <w:pPr>
        <w:tabs>
          <w:tab w:val="left" w:pos="142"/>
        </w:tabs>
        <w:ind w:left="0" w:firstLine="0"/>
        <w:rPr>
          <w:szCs w:val="22"/>
        </w:rPr>
      </w:pPr>
    </w:p>
    <w:p w14:paraId="7A06C9A4" w14:textId="36B35223" w:rsidR="00802FF6" w:rsidRPr="007E4DA1" w:rsidRDefault="00EB37B7" w:rsidP="001A6584">
      <w:pPr>
        <w:tabs>
          <w:tab w:val="left" w:pos="142"/>
        </w:tabs>
        <w:ind w:left="0" w:firstLine="0"/>
        <w:rPr>
          <w:noProof/>
          <w:szCs w:val="22"/>
        </w:rPr>
      </w:pPr>
      <w:r>
        <w:rPr>
          <w:szCs w:val="22"/>
        </w:rPr>
        <w:t xml:space="preserve">Nie określono bezpieczeństwa stosowania ani skuteczności eltrombopagu u dzieci i młodzieży (&lt;18 lat) z SAA. </w:t>
      </w:r>
      <w:r w:rsidR="00A369B8">
        <w:rPr>
          <w:szCs w:val="22"/>
        </w:rPr>
        <w:t>Aktualne dane przedstawiono w punkcie 4.8, 5.1 i 5.2, ale brak zaleceń dotyczących dawkowania.</w:t>
      </w:r>
      <w:bookmarkEnd w:id="1"/>
    </w:p>
    <w:p w14:paraId="717281DA" w14:textId="77777777" w:rsidR="00802FF6" w:rsidRPr="007E4DA1" w:rsidRDefault="00802FF6" w:rsidP="001A6584">
      <w:pPr>
        <w:tabs>
          <w:tab w:val="left" w:pos="142"/>
        </w:tabs>
        <w:ind w:left="0" w:firstLine="0"/>
      </w:pPr>
    </w:p>
    <w:p w14:paraId="7AA175D7" w14:textId="77777777" w:rsidR="00041A08" w:rsidRPr="00041A08" w:rsidRDefault="00802FF6" w:rsidP="001A6584">
      <w:pPr>
        <w:keepNext/>
        <w:tabs>
          <w:tab w:val="left" w:pos="142"/>
        </w:tabs>
        <w:ind w:left="0" w:firstLine="0"/>
      </w:pPr>
      <w:r w:rsidRPr="007E4DA1">
        <w:rPr>
          <w:u w:val="single"/>
        </w:rPr>
        <w:t>Sposób podawania</w:t>
      </w:r>
    </w:p>
    <w:p w14:paraId="18AA774F" w14:textId="213EA089" w:rsidR="00802FF6" w:rsidRPr="007E4DA1" w:rsidRDefault="00802FF6" w:rsidP="001A6584">
      <w:pPr>
        <w:keepNext/>
        <w:tabs>
          <w:tab w:val="left" w:pos="142"/>
        </w:tabs>
        <w:ind w:left="0" w:firstLine="0"/>
      </w:pPr>
    </w:p>
    <w:p w14:paraId="5EAFE338" w14:textId="77777777" w:rsidR="00AB516D" w:rsidRPr="007E4DA1" w:rsidRDefault="003D790C" w:rsidP="001A6584">
      <w:pPr>
        <w:pStyle w:val="listbull"/>
        <w:numPr>
          <w:ilvl w:val="0"/>
          <w:numId w:val="0"/>
        </w:numPr>
        <w:tabs>
          <w:tab w:val="left" w:pos="142"/>
        </w:tabs>
        <w:spacing w:after="0"/>
        <w:rPr>
          <w:sz w:val="20"/>
          <w:szCs w:val="22"/>
          <w:lang w:val="pl-PL"/>
        </w:rPr>
      </w:pPr>
      <w:r w:rsidRPr="007E4DA1">
        <w:rPr>
          <w:sz w:val="22"/>
          <w:szCs w:val="22"/>
          <w:lang w:val="pl-PL"/>
        </w:rPr>
        <w:t xml:space="preserve">Podanie </w:t>
      </w:r>
      <w:r w:rsidR="00802FF6" w:rsidRPr="007E4DA1">
        <w:rPr>
          <w:sz w:val="22"/>
          <w:szCs w:val="22"/>
          <w:lang w:val="pl-PL"/>
        </w:rPr>
        <w:t>doustne.</w:t>
      </w:r>
    </w:p>
    <w:p w14:paraId="1CACCD2A" w14:textId="237DA010" w:rsidR="00802FF6" w:rsidRPr="007E4DA1" w:rsidRDefault="00823E10" w:rsidP="001A6584">
      <w:pPr>
        <w:pStyle w:val="listbull"/>
        <w:numPr>
          <w:ilvl w:val="0"/>
          <w:numId w:val="0"/>
        </w:numPr>
        <w:tabs>
          <w:tab w:val="left" w:pos="142"/>
        </w:tabs>
        <w:spacing w:after="0"/>
        <w:rPr>
          <w:color w:val="000000"/>
          <w:sz w:val="22"/>
          <w:szCs w:val="22"/>
          <w:lang w:val="pl-PL"/>
        </w:rPr>
      </w:pPr>
      <w:r w:rsidRPr="007E4DA1">
        <w:rPr>
          <w:sz w:val="22"/>
          <w:lang w:val="pl-PL"/>
        </w:rPr>
        <w:t>Tabletki</w:t>
      </w:r>
      <w:r w:rsidR="00802FF6" w:rsidRPr="007E4DA1">
        <w:rPr>
          <w:sz w:val="22"/>
          <w:lang w:val="pl-PL"/>
        </w:rPr>
        <w:t xml:space="preserve"> należy przyjmować przynajmniej </w:t>
      </w:r>
      <w:r w:rsidR="00797DEC" w:rsidRPr="007E4DA1">
        <w:rPr>
          <w:sz w:val="22"/>
          <w:lang w:val="pl-PL"/>
        </w:rPr>
        <w:t>dwie</w:t>
      </w:r>
      <w:r w:rsidR="00802FF6" w:rsidRPr="007E4DA1">
        <w:rPr>
          <w:sz w:val="22"/>
          <w:lang w:val="pl-PL"/>
        </w:rPr>
        <w:t xml:space="preserve"> godziny przed lub cztery godziny po jakimkolwiek innym produkcie </w:t>
      </w:r>
      <w:bookmarkStart w:id="2" w:name="_Hlk192580497"/>
      <w:r w:rsidR="00A369B8">
        <w:rPr>
          <w:sz w:val="22"/>
          <w:lang w:val="pl-PL"/>
        </w:rPr>
        <w:t>zawierającym kationy wielowartościowe (np. żelazo, wapń, magnez, glin, selen i cynk)</w:t>
      </w:r>
      <w:bookmarkEnd w:id="2"/>
      <w:r w:rsidR="00A369B8">
        <w:rPr>
          <w:sz w:val="22"/>
          <w:lang w:val="pl-PL"/>
        </w:rPr>
        <w:t xml:space="preserve"> </w:t>
      </w:r>
      <w:r w:rsidR="00802FF6" w:rsidRPr="007E4DA1">
        <w:rPr>
          <w:sz w:val="22"/>
          <w:lang w:val="pl-PL"/>
        </w:rPr>
        <w:t>z następujących kategorii: środki zobojętniające kwas żołądkowy, nabiał (lub inne produkty żywieniowe zawierające wapń)</w:t>
      </w:r>
      <w:r w:rsidR="00A369B8">
        <w:rPr>
          <w:sz w:val="22"/>
          <w:lang w:val="pl-PL"/>
        </w:rPr>
        <w:t xml:space="preserve"> lub</w:t>
      </w:r>
      <w:r w:rsidR="00802FF6" w:rsidRPr="007E4DA1">
        <w:rPr>
          <w:sz w:val="22"/>
          <w:lang w:val="pl-PL"/>
        </w:rPr>
        <w:t xml:space="preserve"> suplementy mineralne (patrz punkty</w:t>
      </w:r>
      <w:r w:rsidR="004A7832" w:rsidRPr="007E4DA1">
        <w:rPr>
          <w:sz w:val="22"/>
          <w:lang w:val="pl-PL"/>
        </w:rPr>
        <w:t> </w:t>
      </w:r>
      <w:r w:rsidR="00802FF6" w:rsidRPr="007E4DA1">
        <w:rPr>
          <w:sz w:val="22"/>
          <w:lang w:val="pl-PL"/>
        </w:rPr>
        <w:t>4.5 i 5.2)</w:t>
      </w:r>
      <w:r w:rsidR="00802FF6" w:rsidRPr="007E4DA1">
        <w:rPr>
          <w:color w:val="000000"/>
          <w:sz w:val="22"/>
          <w:lang w:val="pl-PL"/>
        </w:rPr>
        <w:t>.</w:t>
      </w:r>
    </w:p>
    <w:p w14:paraId="2C47745D" w14:textId="77777777" w:rsidR="00797DEC" w:rsidRPr="007E4DA1" w:rsidRDefault="00797DEC" w:rsidP="001A6584">
      <w:pPr>
        <w:tabs>
          <w:tab w:val="left" w:pos="142"/>
        </w:tabs>
        <w:ind w:left="0" w:firstLine="0"/>
      </w:pPr>
    </w:p>
    <w:p w14:paraId="4C47DECA" w14:textId="77777777" w:rsidR="00802FF6" w:rsidRPr="007E4DA1" w:rsidRDefault="00802FF6" w:rsidP="001A6584">
      <w:pPr>
        <w:keepNext/>
      </w:pPr>
      <w:r w:rsidRPr="007E4DA1">
        <w:rPr>
          <w:b/>
        </w:rPr>
        <w:lastRenderedPageBreak/>
        <w:t>4.3</w:t>
      </w:r>
      <w:r w:rsidRPr="007E4DA1">
        <w:rPr>
          <w:b/>
        </w:rPr>
        <w:tab/>
        <w:t>Przeciwwskazania</w:t>
      </w:r>
    </w:p>
    <w:p w14:paraId="7C3ABE66" w14:textId="77777777" w:rsidR="00802FF6" w:rsidRPr="007E4DA1" w:rsidRDefault="00802FF6" w:rsidP="001A6584">
      <w:pPr>
        <w:keepNext/>
        <w:tabs>
          <w:tab w:val="left" w:pos="142"/>
        </w:tabs>
        <w:ind w:left="0" w:firstLine="0"/>
      </w:pPr>
    </w:p>
    <w:p w14:paraId="74A75925" w14:textId="77777777" w:rsidR="00802FF6" w:rsidRPr="007E4DA1" w:rsidRDefault="00802FF6" w:rsidP="001A6584">
      <w:pPr>
        <w:tabs>
          <w:tab w:val="left" w:pos="142"/>
        </w:tabs>
        <w:ind w:left="0" w:firstLine="0"/>
      </w:pPr>
      <w:r w:rsidRPr="007E4DA1">
        <w:t>Nadwrażliwość na eltrombopag lub na którąkolwiek substancję pomocniczą wymienioną w punkcie</w:t>
      </w:r>
      <w:r w:rsidR="00A41BB7" w:rsidRPr="007E4DA1">
        <w:t> </w:t>
      </w:r>
      <w:r w:rsidRPr="007E4DA1">
        <w:t>6.1.</w:t>
      </w:r>
    </w:p>
    <w:p w14:paraId="5313D7A7" w14:textId="77777777" w:rsidR="00802FF6" w:rsidRPr="007E4DA1" w:rsidRDefault="00802FF6" w:rsidP="001A6584">
      <w:pPr>
        <w:tabs>
          <w:tab w:val="left" w:pos="142"/>
        </w:tabs>
        <w:ind w:left="0" w:firstLine="0"/>
      </w:pPr>
    </w:p>
    <w:p w14:paraId="640CBD7D" w14:textId="77777777" w:rsidR="00041A08" w:rsidRPr="00041A08" w:rsidRDefault="00802FF6" w:rsidP="001A6584">
      <w:pPr>
        <w:keepNext/>
        <w:tabs>
          <w:tab w:val="left" w:pos="-16018"/>
        </w:tabs>
      </w:pPr>
      <w:r w:rsidRPr="007E4DA1">
        <w:rPr>
          <w:b/>
        </w:rPr>
        <w:t>4.4</w:t>
      </w:r>
      <w:r w:rsidRPr="007E4DA1">
        <w:rPr>
          <w:b/>
        </w:rPr>
        <w:tab/>
        <w:t>Specjalne ostrzeżenia i środki ostrożności dotyczące stosowania</w:t>
      </w:r>
    </w:p>
    <w:p w14:paraId="6065FC6A" w14:textId="134548F6" w:rsidR="00802FF6" w:rsidRPr="007E4DA1" w:rsidRDefault="00802FF6" w:rsidP="001A6584">
      <w:pPr>
        <w:keepNext/>
        <w:tabs>
          <w:tab w:val="left" w:pos="142"/>
        </w:tabs>
        <w:ind w:left="0" w:firstLine="0"/>
      </w:pPr>
    </w:p>
    <w:p w14:paraId="43915862" w14:textId="77777777" w:rsidR="00802FF6" w:rsidRPr="007E4DA1" w:rsidRDefault="00802FF6" w:rsidP="001A6584">
      <w:pPr>
        <w:keepNext/>
        <w:pBdr>
          <w:top w:val="single" w:sz="4" w:space="1" w:color="auto"/>
          <w:left w:val="single" w:sz="4" w:space="4" w:color="auto"/>
          <w:bottom w:val="single" w:sz="4" w:space="1" w:color="auto"/>
          <w:right w:val="single" w:sz="4" w:space="4" w:color="auto"/>
        </w:pBdr>
        <w:tabs>
          <w:tab w:val="left" w:pos="142"/>
        </w:tabs>
        <w:ind w:left="0" w:firstLine="0"/>
      </w:pPr>
      <w:r w:rsidRPr="007E4DA1">
        <w:t>U pacjentów z małopłytkowością zakażonych wirusem WZW C, u których stwierdzono zaawansowaną chorobę wątroby, zdefiniowaną jako małe stężenie albumin ≤35 g/l lub wynik ≥10 w skali MELD</w:t>
      </w:r>
      <w:r w:rsidR="00823E10" w:rsidRPr="007E4DA1">
        <w:t xml:space="preserve"> (ang. </w:t>
      </w:r>
      <w:r w:rsidR="00823E10" w:rsidRPr="007E4DA1">
        <w:rPr>
          <w:i/>
        </w:rPr>
        <w:t>model for end stage liver disease</w:t>
      </w:r>
      <w:r w:rsidR="00823E10" w:rsidRPr="007E4DA1">
        <w:t>)</w:t>
      </w:r>
      <w:r w:rsidRPr="007E4DA1">
        <w:t xml:space="preserve">, leczonych eltrombopagiem w skojarzeniu z terapią opartą na interferonie, istnieje zwiększone ryzyko </w:t>
      </w:r>
      <w:r w:rsidR="00796343" w:rsidRPr="007E4DA1">
        <w:t>działań</w:t>
      </w:r>
      <w:r w:rsidRPr="007E4DA1">
        <w:t xml:space="preserve"> niepożądanych, w tym dekompensacji czynności wątroby potencjalnie prowadzącej do zgonu oraz incydentów zakrzepowo-zatorowych. Ponadto korzyści z leczenia pod względem odsetka pacjentów osiągających trwałą odpowiedź wirusologiczną (SVR) w porównaniu z placebo były niewielkie w tej grupie pacjentów (zwłaszcza u osób z wyjściowym stężeniem albumin ≤35 g/l) w porównaniu z całą grupą (patrz punkt 5.1). Leczenie eltrombopagiem u tych pacjentów powinno być rozpoczynane wyłącznie przez lekarzy mających doświadczenie w leczeniu zaawansowanego WZW C i tylko wtedy, gdy ryzyko małopłytkowości lub wstrzymania leczenia przeciwwirusowego wymaga interwencji. Jeżeli leczenie zostanie uznane za wskazane klinicznie, wymagane jest ścisłe monitorowanie tych pacjentów.</w:t>
      </w:r>
    </w:p>
    <w:p w14:paraId="39F87454" w14:textId="77777777" w:rsidR="00802FF6" w:rsidRPr="007E4DA1" w:rsidRDefault="00802FF6" w:rsidP="001A6584">
      <w:pPr>
        <w:tabs>
          <w:tab w:val="left" w:pos="142"/>
          <w:tab w:val="left" w:pos="450"/>
        </w:tabs>
        <w:ind w:left="0" w:firstLine="0"/>
        <w:rPr>
          <w:szCs w:val="22"/>
        </w:rPr>
      </w:pPr>
    </w:p>
    <w:p w14:paraId="79888B99" w14:textId="77777777" w:rsidR="00041A08" w:rsidRPr="00041A08" w:rsidRDefault="00802FF6" w:rsidP="001A6584">
      <w:pPr>
        <w:keepNext/>
        <w:tabs>
          <w:tab w:val="left" w:pos="142"/>
          <w:tab w:val="left" w:pos="450"/>
        </w:tabs>
        <w:ind w:left="0" w:firstLine="0"/>
        <w:rPr>
          <w:szCs w:val="22"/>
        </w:rPr>
      </w:pPr>
      <w:r w:rsidRPr="007E4DA1">
        <w:rPr>
          <w:u w:val="single"/>
        </w:rPr>
        <w:t>Skojarzenie z lekami przeciwwirusowymi o działaniu bezpośrednim</w:t>
      </w:r>
    </w:p>
    <w:p w14:paraId="37AF38BB" w14:textId="1F32C3A6" w:rsidR="00802FF6" w:rsidRPr="007E4DA1" w:rsidRDefault="00802FF6" w:rsidP="001A6584">
      <w:pPr>
        <w:keepNext/>
        <w:tabs>
          <w:tab w:val="left" w:pos="142"/>
          <w:tab w:val="left" w:pos="450"/>
        </w:tabs>
        <w:ind w:left="0" w:firstLine="0"/>
        <w:rPr>
          <w:szCs w:val="22"/>
        </w:rPr>
      </w:pPr>
    </w:p>
    <w:p w14:paraId="58203752" w14:textId="77777777" w:rsidR="00802FF6" w:rsidRPr="007E4DA1" w:rsidRDefault="00802FF6" w:rsidP="001A6584">
      <w:pPr>
        <w:tabs>
          <w:tab w:val="left" w:pos="142"/>
          <w:tab w:val="left" w:pos="450"/>
        </w:tabs>
        <w:ind w:left="0" w:firstLine="0"/>
        <w:rPr>
          <w:szCs w:val="22"/>
        </w:rPr>
      </w:pPr>
      <w:r w:rsidRPr="007E4DA1">
        <w:t>Nie ustalono bezpieczeństwa stosowania ani skuteczności w skojarzeniu z lekami przeciwwirusowymi o działaniu bezpośrednim, zarejestrowanymi do leczenia przewlekłego zakażenia wirusem zapalenia wątroby typu C.</w:t>
      </w:r>
    </w:p>
    <w:p w14:paraId="66F73960" w14:textId="77777777" w:rsidR="00802FF6" w:rsidRPr="007E4DA1" w:rsidRDefault="00802FF6" w:rsidP="001A6584">
      <w:pPr>
        <w:tabs>
          <w:tab w:val="left" w:pos="142"/>
        </w:tabs>
        <w:ind w:left="0" w:firstLine="0"/>
      </w:pPr>
    </w:p>
    <w:p w14:paraId="38773804" w14:textId="77777777" w:rsidR="00041A08" w:rsidRPr="00041A08" w:rsidRDefault="00802FF6" w:rsidP="001A6584">
      <w:pPr>
        <w:keepNext/>
        <w:tabs>
          <w:tab w:val="left" w:pos="142"/>
        </w:tabs>
        <w:ind w:left="0" w:firstLine="0"/>
        <w:rPr>
          <w:color w:val="000000"/>
          <w:szCs w:val="24"/>
        </w:rPr>
      </w:pPr>
      <w:r w:rsidRPr="007E4DA1">
        <w:rPr>
          <w:color w:val="000000"/>
          <w:szCs w:val="24"/>
          <w:u w:val="single"/>
        </w:rPr>
        <w:t>Ryzyko hepatotoksyczności</w:t>
      </w:r>
    </w:p>
    <w:p w14:paraId="66C92140" w14:textId="066053B0" w:rsidR="00802FF6" w:rsidRPr="007E4DA1" w:rsidRDefault="00802FF6" w:rsidP="001A6584">
      <w:pPr>
        <w:keepNext/>
        <w:tabs>
          <w:tab w:val="left" w:pos="142"/>
        </w:tabs>
        <w:ind w:left="0" w:firstLine="0"/>
        <w:rPr>
          <w:color w:val="000000"/>
          <w:szCs w:val="24"/>
        </w:rPr>
      </w:pPr>
    </w:p>
    <w:p w14:paraId="4D0D7522" w14:textId="77777777" w:rsidR="00802FF6" w:rsidRPr="007E4DA1" w:rsidRDefault="00802FF6" w:rsidP="001A6584">
      <w:pPr>
        <w:tabs>
          <w:tab w:val="left" w:pos="142"/>
        </w:tabs>
        <w:ind w:left="0" w:firstLine="0"/>
        <w:rPr>
          <w:szCs w:val="22"/>
        </w:rPr>
      </w:pPr>
      <w:r w:rsidRPr="007E4DA1">
        <w:rPr>
          <w:color w:val="000000"/>
          <w:szCs w:val="22"/>
        </w:rPr>
        <w:t>Stosowanie eltrombopagu może wywołać zaburzenia czynności wątroby</w:t>
      </w:r>
      <w:r w:rsidR="005A24B9" w:rsidRPr="007E4DA1">
        <w:rPr>
          <w:color w:val="000000"/>
          <w:szCs w:val="22"/>
        </w:rPr>
        <w:t xml:space="preserve"> i ciężką hepatotoksyczność, która może stanowić zagrożenie życia</w:t>
      </w:r>
      <w:r w:rsidR="00C323BC" w:rsidRPr="007E4DA1">
        <w:rPr>
          <w:color w:val="000000"/>
          <w:szCs w:val="22"/>
        </w:rPr>
        <w:t xml:space="preserve"> (patrz punkt 4.8)</w:t>
      </w:r>
      <w:r w:rsidRPr="007E4DA1">
        <w:rPr>
          <w:color w:val="000000"/>
          <w:szCs w:val="22"/>
        </w:rPr>
        <w:t>.</w:t>
      </w:r>
    </w:p>
    <w:p w14:paraId="18536DE0" w14:textId="77777777" w:rsidR="00802FF6" w:rsidRPr="007E4DA1" w:rsidRDefault="00802FF6" w:rsidP="001A6584">
      <w:pPr>
        <w:tabs>
          <w:tab w:val="left" w:pos="142"/>
        </w:tabs>
        <w:ind w:left="0" w:firstLine="0"/>
        <w:rPr>
          <w:color w:val="000000"/>
          <w:szCs w:val="22"/>
        </w:rPr>
      </w:pPr>
    </w:p>
    <w:p w14:paraId="53AAD9A7" w14:textId="77777777" w:rsidR="00802FF6" w:rsidRPr="007E4DA1" w:rsidRDefault="00802FF6" w:rsidP="001A6584">
      <w:pPr>
        <w:keepNext/>
        <w:tabs>
          <w:tab w:val="left" w:pos="142"/>
        </w:tabs>
        <w:ind w:left="0" w:firstLine="0"/>
        <w:rPr>
          <w:color w:val="000000"/>
        </w:rPr>
      </w:pPr>
      <w:r w:rsidRPr="007E4DA1">
        <w:rPr>
          <w:color w:val="000000"/>
        </w:rPr>
        <w:t>Przed rozpoczęciem leczenia eltrombopagiem, co 2</w:t>
      </w:r>
      <w:r w:rsidR="00F868A0" w:rsidRPr="007E4DA1">
        <w:rPr>
          <w:color w:val="000000"/>
        </w:rPr>
        <w:t> </w:t>
      </w:r>
      <w:r w:rsidRPr="007E4DA1">
        <w:rPr>
          <w:color w:val="000000"/>
        </w:rPr>
        <w:t xml:space="preserve">tygodnie w czasie okresu dostosowywania dawki oraz co miesiąc po ustaleniu stałej dawki, należy oznaczać aktywność </w:t>
      </w:r>
      <w:r w:rsidR="00C323BC" w:rsidRPr="007E4DA1">
        <w:rPr>
          <w:color w:val="000000"/>
        </w:rPr>
        <w:t>aminotransferazy alaninowej (</w:t>
      </w:r>
      <w:r w:rsidRPr="007E4DA1">
        <w:rPr>
          <w:color w:val="000000"/>
        </w:rPr>
        <w:t>AlAT</w:t>
      </w:r>
      <w:r w:rsidR="00C323BC" w:rsidRPr="007E4DA1">
        <w:rPr>
          <w:color w:val="000000"/>
        </w:rPr>
        <w:t>)</w:t>
      </w:r>
      <w:r w:rsidRPr="007E4DA1">
        <w:rPr>
          <w:color w:val="000000"/>
        </w:rPr>
        <w:t xml:space="preserve">, </w:t>
      </w:r>
      <w:r w:rsidR="00C323BC" w:rsidRPr="007E4DA1">
        <w:rPr>
          <w:color w:val="000000"/>
        </w:rPr>
        <w:t>aminotranferazy asparaginianowej (</w:t>
      </w:r>
      <w:r w:rsidRPr="007E4DA1">
        <w:rPr>
          <w:color w:val="000000"/>
        </w:rPr>
        <w:t>AspAT</w:t>
      </w:r>
      <w:r w:rsidR="00C323BC" w:rsidRPr="007E4DA1">
        <w:rPr>
          <w:color w:val="000000"/>
        </w:rPr>
        <w:t>)</w:t>
      </w:r>
      <w:r w:rsidRPr="007E4DA1">
        <w:rPr>
          <w:color w:val="000000"/>
        </w:rPr>
        <w:t xml:space="preserve"> i stężenie bilirubiny w surowicy. </w:t>
      </w:r>
      <w:r w:rsidRPr="007E4DA1">
        <w:t xml:space="preserve">Eltrombopag hamuje UGT1A1 i OATP1B1, co może prowadzić do pośredniej hiperbilirubinemii. W przypadku podwyższonego stężenia bilirubiny należy przeprowadzić </w:t>
      </w:r>
      <w:r w:rsidR="00DB0C89" w:rsidRPr="007E4DA1">
        <w:t>badanie jej frakcji</w:t>
      </w:r>
      <w:r w:rsidRPr="007E4DA1">
        <w:t xml:space="preserve">. </w:t>
      </w:r>
      <w:r w:rsidRPr="007E4DA1">
        <w:rPr>
          <w:color w:val="000000"/>
        </w:rPr>
        <w:t>W przypadku nieprawidłowych wyników badań czynności wątroby badania należy powtórzyć po 3 do 5</w:t>
      </w:r>
      <w:r w:rsidR="00F868A0" w:rsidRPr="007E4DA1">
        <w:rPr>
          <w:color w:val="000000"/>
        </w:rPr>
        <w:t> </w:t>
      </w:r>
      <w:r w:rsidRPr="007E4DA1">
        <w:rPr>
          <w:color w:val="000000"/>
        </w:rPr>
        <w:t>dniach. Jeśli nieprawidłowe wyniki zostaną potwierdzone, należy monitorować wyniki badań czynności wątroby, do czasu kiedy wyniki ulegną normalizacji, stabilizacji lub powrócą do wartości sprzed rozpoczęcia terapii. Stosowanie eltrombopagu należy przerwać, jeśli aktywność AlAT zwiększy się (</w:t>
      </w:r>
      <w:r w:rsidRPr="007E4DA1">
        <w:rPr>
          <w:color w:val="000000"/>
        </w:rPr>
        <w:sym w:font="Symbol" w:char="F0B3"/>
      </w:r>
      <w:r w:rsidRPr="007E4DA1">
        <w:rPr>
          <w:color w:val="000000"/>
        </w:rPr>
        <w:t>3</w:t>
      </w:r>
      <w:r w:rsidR="00F44EE1" w:rsidRPr="007E4DA1">
        <w:rPr>
          <w:color w:val="000000"/>
        </w:rPr>
        <w:t> </w:t>
      </w:r>
      <w:r w:rsidR="00C323BC" w:rsidRPr="007E4DA1">
        <w:rPr>
          <w:color w:val="000000"/>
        </w:rPr>
        <w:t>razy górna granica normy [</w:t>
      </w:r>
      <w:r w:rsidRPr="007E4DA1">
        <w:rPr>
          <w:color w:val="000000"/>
        </w:rPr>
        <w:t>x</w:t>
      </w:r>
      <w:r w:rsidR="00F44EE1" w:rsidRPr="007E4DA1">
        <w:rPr>
          <w:color w:val="000000"/>
        </w:rPr>
        <w:t> </w:t>
      </w:r>
      <w:r w:rsidRPr="007E4DA1">
        <w:rPr>
          <w:color w:val="000000"/>
        </w:rPr>
        <w:t>GGN</w:t>
      </w:r>
      <w:r w:rsidR="00C323BC" w:rsidRPr="007E4DA1">
        <w:rPr>
          <w:color w:val="000000"/>
        </w:rPr>
        <w:t>]</w:t>
      </w:r>
      <w:r w:rsidRPr="007E4DA1">
        <w:rPr>
          <w:color w:val="000000"/>
        </w:rPr>
        <w:t xml:space="preserve"> </w:t>
      </w:r>
      <w:r w:rsidRPr="007E4DA1">
        <w:t>u pacjentów z prawidłową czynnością wątroby</w:t>
      </w:r>
      <w:r w:rsidR="00C07686" w:rsidRPr="007E4DA1">
        <w:t>,</w:t>
      </w:r>
      <w:r w:rsidRPr="007E4DA1">
        <w:t xml:space="preserve"> lub z wynikiem ≥3</w:t>
      </w:r>
      <w:r w:rsidR="00F44EE1" w:rsidRPr="007E4DA1">
        <w:t> x</w:t>
      </w:r>
      <w:r w:rsidRPr="007E4DA1">
        <w:t xml:space="preserve"> wartość wyjściowa </w:t>
      </w:r>
      <w:r w:rsidR="00BE04D2" w:rsidRPr="007E4DA1">
        <w:t xml:space="preserve">lub </w:t>
      </w:r>
      <w:r w:rsidR="00EB76B8" w:rsidRPr="007E4DA1">
        <w:rPr>
          <w:color w:val="000000"/>
        </w:rPr>
        <w:t>&gt;</w:t>
      </w:r>
      <w:r w:rsidR="000C6058" w:rsidRPr="007E4DA1">
        <w:rPr>
          <w:color w:val="000000"/>
        </w:rPr>
        <w:t>5</w:t>
      </w:r>
      <w:r w:rsidR="00BE04D2" w:rsidRPr="007E4DA1">
        <w:rPr>
          <w:color w:val="000000"/>
        </w:rPr>
        <w:t> x GGN</w:t>
      </w:r>
      <w:r w:rsidR="000C6058" w:rsidRPr="007E4DA1">
        <w:rPr>
          <w:color w:val="000000"/>
        </w:rPr>
        <w:t xml:space="preserve">, </w:t>
      </w:r>
      <w:r w:rsidR="000E5039" w:rsidRPr="007E4DA1">
        <w:rPr>
          <w:color w:val="000000"/>
        </w:rPr>
        <w:t>którykolwiek z nich jest niższy</w:t>
      </w:r>
      <w:r w:rsidR="00F0591C" w:rsidRPr="007E4DA1">
        <w:rPr>
          <w:color w:val="000000"/>
        </w:rPr>
        <w:t xml:space="preserve">, </w:t>
      </w:r>
      <w:r w:rsidRPr="007E4DA1">
        <w:t>w przypadku pacjentów ze zwiększoną aktywnością transaminaz przed rozpoczęciem leczenia</w:t>
      </w:r>
      <w:r w:rsidR="00C07686" w:rsidRPr="007E4DA1">
        <w:t>)</w:t>
      </w:r>
      <w:r w:rsidRPr="007E4DA1">
        <w:t xml:space="preserve"> </w:t>
      </w:r>
      <w:r w:rsidRPr="007E4DA1">
        <w:rPr>
          <w:color w:val="000000"/>
        </w:rPr>
        <w:t>i:</w:t>
      </w:r>
    </w:p>
    <w:p w14:paraId="5C6CCD1C" w14:textId="77777777" w:rsidR="00802FF6" w:rsidRPr="007E4DA1" w:rsidRDefault="00802FF6" w:rsidP="001A6584">
      <w:pPr>
        <w:pStyle w:val="LBLBulletStyle1"/>
        <w:keepNext/>
        <w:tabs>
          <w:tab w:val="clear" w:pos="360"/>
          <w:tab w:val="clear" w:pos="720"/>
          <w:tab w:val="clear" w:pos="994"/>
        </w:tabs>
        <w:spacing w:line="240" w:lineRule="auto"/>
        <w:ind w:left="567" w:hanging="567"/>
        <w:rPr>
          <w:color w:val="000000"/>
          <w:sz w:val="22"/>
          <w:szCs w:val="22"/>
          <w:lang w:val="pl-PL"/>
        </w:rPr>
      </w:pPr>
      <w:r w:rsidRPr="007E4DA1">
        <w:rPr>
          <w:sz w:val="22"/>
          <w:szCs w:val="22"/>
          <w:lang w:val="pl-PL"/>
        </w:rPr>
        <w:t>będzie się nadal zwiększać, lub</w:t>
      </w:r>
    </w:p>
    <w:p w14:paraId="55058529" w14:textId="77777777" w:rsidR="00802FF6" w:rsidRPr="007E4DA1" w:rsidRDefault="00802FF6" w:rsidP="001A6584">
      <w:pPr>
        <w:pStyle w:val="LBLBulletStyle1"/>
        <w:keepNext/>
        <w:tabs>
          <w:tab w:val="clear" w:pos="360"/>
          <w:tab w:val="clear" w:pos="720"/>
          <w:tab w:val="clear" w:pos="994"/>
        </w:tabs>
        <w:spacing w:line="240" w:lineRule="auto"/>
        <w:ind w:left="567" w:hanging="567"/>
        <w:rPr>
          <w:color w:val="000000"/>
          <w:sz w:val="22"/>
          <w:szCs w:val="22"/>
          <w:lang w:val="pl-PL"/>
        </w:rPr>
      </w:pPr>
      <w:r w:rsidRPr="007E4DA1">
        <w:rPr>
          <w:color w:val="000000"/>
          <w:sz w:val="22"/>
          <w:szCs w:val="22"/>
          <w:lang w:val="pl-PL"/>
        </w:rPr>
        <w:t>będzie utrzymywać się ≥4</w:t>
      </w:r>
      <w:r w:rsidR="00F868A0" w:rsidRPr="007E4DA1">
        <w:rPr>
          <w:color w:val="000000"/>
          <w:sz w:val="22"/>
          <w:szCs w:val="22"/>
          <w:lang w:val="pl-PL"/>
        </w:rPr>
        <w:t> </w:t>
      </w:r>
      <w:r w:rsidRPr="007E4DA1">
        <w:rPr>
          <w:color w:val="000000"/>
          <w:sz w:val="22"/>
          <w:szCs w:val="22"/>
          <w:lang w:val="pl-PL"/>
        </w:rPr>
        <w:t>tygodni, lub</w:t>
      </w:r>
    </w:p>
    <w:p w14:paraId="4FD25581" w14:textId="77777777" w:rsidR="00802FF6" w:rsidRPr="007E4DA1" w:rsidRDefault="00802FF6" w:rsidP="001A6584">
      <w:pPr>
        <w:pStyle w:val="LBLBulletStyle1"/>
        <w:keepNext/>
        <w:tabs>
          <w:tab w:val="clear" w:pos="360"/>
          <w:tab w:val="clear" w:pos="720"/>
          <w:tab w:val="clear" w:pos="994"/>
        </w:tabs>
        <w:spacing w:line="240" w:lineRule="auto"/>
        <w:ind w:left="567" w:hanging="567"/>
        <w:rPr>
          <w:color w:val="000000"/>
          <w:sz w:val="22"/>
          <w:szCs w:val="22"/>
          <w:lang w:val="pl-PL"/>
        </w:rPr>
      </w:pPr>
      <w:r w:rsidRPr="007E4DA1">
        <w:rPr>
          <w:color w:val="000000"/>
          <w:sz w:val="22"/>
          <w:szCs w:val="22"/>
          <w:lang w:val="pl-PL"/>
        </w:rPr>
        <w:t>będzie związana ze zwiększeniem stężenia bilirubiny bezpośredniej, lub</w:t>
      </w:r>
    </w:p>
    <w:p w14:paraId="53270703" w14:textId="77777777" w:rsidR="00802FF6" w:rsidRPr="007E4DA1" w:rsidRDefault="00802FF6" w:rsidP="001A6584">
      <w:pPr>
        <w:pStyle w:val="LBLBulletStyle1"/>
        <w:tabs>
          <w:tab w:val="clear" w:pos="360"/>
          <w:tab w:val="clear" w:pos="720"/>
          <w:tab w:val="clear" w:pos="994"/>
        </w:tabs>
        <w:spacing w:line="240" w:lineRule="auto"/>
        <w:ind w:left="567" w:hanging="567"/>
        <w:rPr>
          <w:color w:val="000000"/>
          <w:sz w:val="22"/>
          <w:szCs w:val="22"/>
          <w:lang w:val="pl-PL"/>
        </w:rPr>
      </w:pPr>
      <w:r w:rsidRPr="007E4DA1">
        <w:rPr>
          <w:color w:val="000000"/>
          <w:sz w:val="22"/>
          <w:szCs w:val="22"/>
          <w:lang w:val="pl-PL"/>
        </w:rPr>
        <w:t>będzie związana z objawami klinicznymi uszkodzenia wątroby lub objawami dekompensacji wątroby.</w:t>
      </w:r>
    </w:p>
    <w:p w14:paraId="1B44CD11" w14:textId="77777777" w:rsidR="00802FF6" w:rsidRPr="007E4DA1" w:rsidRDefault="00802FF6" w:rsidP="001A6584">
      <w:pPr>
        <w:tabs>
          <w:tab w:val="left" w:pos="142"/>
        </w:tabs>
        <w:ind w:left="0" w:firstLine="0"/>
        <w:rPr>
          <w:color w:val="000000"/>
          <w:szCs w:val="22"/>
        </w:rPr>
      </w:pPr>
    </w:p>
    <w:p w14:paraId="397BC9E3" w14:textId="77777777" w:rsidR="00802FF6" w:rsidRPr="007E4DA1" w:rsidRDefault="00802FF6" w:rsidP="001A6584">
      <w:pPr>
        <w:tabs>
          <w:tab w:val="left" w:pos="142"/>
        </w:tabs>
        <w:ind w:left="0" w:firstLine="0"/>
        <w:rPr>
          <w:color w:val="000000"/>
        </w:rPr>
      </w:pPr>
      <w:r w:rsidRPr="007E4DA1">
        <w:rPr>
          <w:color w:val="000000"/>
        </w:rPr>
        <w:t xml:space="preserve">Należy zachować ostrożność podczas stosowania eltrombopagu u pacjentów z chorobami wątroby. U pacjentów z pierwotną małopłytkowością immunologiczną </w:t>
      </w:r>
      <w:r w:rsidR="00BB7729" w:rsidRPr="007E4DA1">
        <w:rPr>
          <w:color w:val="000000"/>
        </w:rPr>
        <w:t>i SAA</w:t>
      </w:r>
      <w:r w:rsidR="00584D31" w:rsidRPr="007E4DA1">
        <w:rPr>
          <w:color w:val="000000"/>
        </w:rPr>
        <w:t xml:space="preserve"> </w:t>
      </w:r>
      <w:r w:rsidRPr="007E4DA1">
        <w:rPr>
          <w:color w:val="000000"/>
        </w:rPr>
        <w:t>należy zastosować mniejszą dawkę początkową eltrombopagu</w:t>
      </w:r>
      <w:r w:rsidR="00F44EE1" w:rsidRPr="007E4DA1">
        <w:rPr>
          <w:color w:val="000000"/>
        </w:rPr>
        <w:t>. Trzeba</w:t>
      </w:r>
      <w:r w:rsidRPr="007E4DA1">
        <w:rPr>
          <w:color w:val="000000"/>
        </w:rPr>
        <w:t xml:space="preserve"> ściśle monitorować pacjentów z zaburzeniami czynności wątroby podczas stosowania tego leku (patrz punkt</w:t>
      </w:r>
      <w:r w:rsidR="00F868A0" w:rsidRPr="007E4DA1">
        <w:rPr>
          <w:color w:val="000000"/>
        </w:rPr>
        <w:t> </w:t>
      </w:r>
      <w:r w:rsidRPr="007E4DA1">
        <w:rPr>
          <w:color w:val="000000"/>
        </w:rPr>
        <w:t>4.2).</w:t>
      </w:r>
    </w:p>
    <w:p w14:paraId="5CFCD298" w14:textId="77777777" w:rsidR="00802FF6" w:rsidRPr="007E4DA1" w:rsidRDefault="00802FF6" w:rsidP="001A6584">
      <w:pPr>
        <w:tabs>
          <w:tab w:val="left" w:pos="142"/>
        </w:tabs>
        <w:ind w:left="0" w:firstLine="0"/>
        <w:rPr>
          <w:color w:val="000000"/>
        </w:rPr>
      </w:pPr>
    </w:p>
    <w:p w14:paraId="0FDA6F9A" w14:textId="77777777" w:rsidR="00041A08" w:rsidRPr="00041A08" w:rsidRDefault="00802FF6" w:rsidP="001A6584">
      <w:pPr>
        <w:keepNext/>
        <w:tabs>
          <w:tab w:val="left" w:pos="142"/>
        </w:tabs>
        <w:ind w:left="0" w:firstLine="0"/>
        <w:rPr>
          <w:szCs w:val="22"/>
        </w:rPr>
      </w:pPr>
      <w:r w:rsidRPr="007E4DA1">
        <w:rPr>
          <w:u w:val="single"/>
        </w:rPr>
        <w:lastRenderedPageBreak/>
        <w:t>Dekompensacja czynności wątroby (podczas stosowania w skojarzeniu z interferonem)</w:t>
      </w:r>
    </w:p>
    <w:p w14:paraId="1A0F5D80" w14:textId="50ACCA51" w:rsidR="00802FF6" w:rsidRPr="007E4DA1" w:rsidRDefault="00802FF6" w:rsidP="001A6584">
      <w:pPr>
        <w:keepNext/>
        <w:tabs>
          <w:tab w:val="left" w:pos="142"/>
        </w:tabs>
        <w:ind w:left="0" w:firstLine="0"/>
        <w:rPr>
          <w:szCs w:val="22"/>
        </w:rPr>
      </w:pPr>
    </w:p>
    <w:p w14:paraId="5A82BEE8" w14:textId="77777777" w:rsidR="00802FF6" w:rsidRPr="007E4DA1" w:rsidRDefault="00802FF6" w:rsidP="001A6584">
      <w:pPr>
        <w:tabs>
          <w:tab w:val="left" w:pos="142"/>
        </w:tabs>
        <w:ind w:left="0" w:firstLine="0"/>
        <w:rPr>
          <w:rFonts w:eastAsia="MS Mincho"/>
        </w:rPr>
      </w:pPr>
      <w:r w:rsidRPr="007E4DA1">
        <w:t>Dekompensacja czynności wątroby u pacjentów z przewlekłym wirusowym zapaleniem wątroby typu C Należy monitorować pacjentów ze zmniejszonym stężeniem albumin (≤35 g/l) lub z wyjściowym wynikiem ≥10 w skali MELD.</w:t>
      </w:r>
    </w:p>
    <w:p w14:paraId="64E2A817" w14:textId="77777777" w:rsidR="00802FF6" w:rsidRPr="007E4DA1" w:rsidRDefault="00802FF6" w:rsidP="001A6584">
      <w:pPr>
        <w:tabs>
          <w:tab w:val="left" w:pos="142"/>
        </w:tabs>
        <w:ind w:left="0" w:firstLine="0"/>
      </w:pPr>
    </w:p>
    <w:p w14:paraId="66576414" w14:textId="25725131" w:rsidR="00802FF6" w:rsidRPr="007E4DA1" w:rsidRDefault="00802FF6" w:rsidP="001A6584">
      <w:pPr>
        <w:tabs>
          <w:tab w:val="left" w:pos="142"/>
        </w:tabs>
        <w:ind w:left="0" w:firstLine="0"/>
      </w:pPr>
      <w:r w:rsidRPr="007E4DA1">
        <w:t xml:space="preserve">Pacjenci z przewlekłym zakażeniem wirusem WZW C i marskością wątroby mogą być w grupie ryzyka dekompensacji czynności wątroby podczas otrzymywania leczenia interferonem alfa. </w:t>
      </w:r>
      <w:r w:rsidR="001A6584" w:rsidRPr="007E4DA1">
        <w:t>W</w:t>
      </w:r>
      <w:r w:rsidR="001A6584">
        <w:t> </w:t>
      </w:r>
      <w:r w:rsidR="00BE16FF" w:rsidRPr="007E4DA1">
        <w:t>dwóch</w:t>
      </w:r>
      <w:r w:rsidRPr="007E4DA1">
        <w:t> kontrolowanych badaniach klinicznych z udziałem pacjentów z małopłytkowością i zakażeniem wirusem WZW C, dekompensacj</w:t>
      </w:r>
      <w:r w:rsidR="00C323BC" w:rsidRPr="007E4DA1">
        <w:t>a</w:t>
      </w:r>
      <w:r w:rsidRPr="007E4DA1">
        <w:t xml:space="preserve"> czynności wątroby (wodobrzusze, encefalopatia wątrobowa, krwawienie z żylaków, spontaniczne bakteryjne zapalenie otrzewnej) </w:t>
      </w:r>
      <w:r w:rsidR="00C323BC" w:rsidRPr="007E4DA1">
        <w:t>występowała</w:t>
      </w:r>
      <w:r w:rsidRPr="007E4DA1">
        <w:t xml:space="preserve"> częściej w grupie eltrombopagu (11%) niż w grupie placebo (6%). U pacjentów ze zmniejszonym stężeniem albumin (≤35 g/l) lub </w:t>
      </w:r>
      <w:r w:rsidR="00C323BC" w:rsidRPr="007E4DA1">
        <w:t xml:space="preserve">z </w:t>
      </w:r>
      <w:r w:rsidRPr="007E4DA1">
        <w:t xml:space="preserve">wyjściowym wynikiem ≥10 w skali MELD ryzyko wystąpienia dekompensacji czynności wątroby było </w:t>
      </w:r>
      <w:r w:rsidR="00C323BC" w:rsidRPr="007E4DA1">
        <w:t>3</w:t>
      </w:r>
      <w:r w:rsidR="00037068" w:rsidRPr="007E4DA1">
        <w:t> </w:t>
      </w:r>
      <w:r w:rsidR="00C323BC" w:rsidRPr="007E4DA1">
        <w:t>razy</w:t>
      </w:r>
      <w:r w:rsidRPr="007E4DA1">
        <w:t xml:space="preserve"> większe, jak też częściej występowały zdarzenia niepożądane zakończone zgonem niż wśród pacjentów z mniej zaawansowaną chorobą wątroby. Ponadto korzyści z leczenia pod względem odsetka pacjentów osiągających trwałą odpowiedź wirusologiczną (ang. </w:t>
      </w:r>
      <w:r w:rsidRPr="007E4DA1">
        <w:rPr>
          <w:i/>
        </w:rPr>
        <w:t>sustained virologic response</w:t>
      </w:r>
      <w:r w:rsidRPr="007E4DA1">
        <w:t xml:space="preserve">, SVR) w porównaniu z placebo były niewielkie w tej grupie pacjentów (zwłaszcza u osób z wyjściowym stężeniem albumin ≤35 g/l) w porównaniu z całą grupą. Eltrombopag należy podawać takim pacjentom tylko po starannym rozważeniu spodziewanych korzyści w stosunku do ryzyka. Pacjentów z tej grupy należy uważnie monitorować </w:t>
      </w:r>
      <w:r w:rsidR="009C06B5" w:rsidRPr="007E4DA1">
        <w:t>w celu wykrycia</w:t>
      </w:r>
      <w:r w:rsidRPr="007E4DA1">
        <w:t xml:space="preserve"> występowania objawów przedmiotowych lub podmiotowych dekompensacji czynności wątroby. Kryteria przerwania leczenia przedstawiono w odpowiedniej charakterystyce produktu leczniczego zawierającego interferon. Leczenie eltrombopagiem należy zakończyć w chwili przerwania leczenia przeciwwirusowego z powodu dekompensacji czynności wątroby.</w:t>
      </w:r>
    </w:p>
    <w:p w14:paraId="41A7386B" w14:textId="77777777" w:rsidR="00802FF6" w:rsidRPr="007E4DA1" w:rsidRDefault="00802FF6" w:rsidP="001A6584">
      <w:pPr>
        <w:tabs>
          <w:tab w:val="left" w:pos="142"/>
        </w:tabs>
        <w:ind w:left="0" w:firstLine="0"/>
        <w:rPr>
          <w:color w:val="000000"/>
          <w:szCs w:val="22"/>
        </w:rPr>
      </w:pPr>
    </w:p>
    <w:p w14:paraId="5050B96E" w14:textId="77777777" w:rsidR="00041A08" w:rsidRPr="00041A08" w:rsidRDefault="00802FF6" w:rsidP="001A6584">
      <w:pPr>
        <w:keepNext/>
        <w:tabs>
          <w:tab w:val="left" w:pos="142"/>
        </w:tabs>
        <w:ind w:left="0" w:firstLine="0"/>
        <w:rPr>
          <w:color w:val="000000"/>
        </w:rPr>
      </w:pPr>
      <w:r w:rsidRPr="007E4DA1">
        <w:rPr>
          <w:color w:val="000000"/>
          <w:u w:val="single"/>
        </w:rPr>
        <w:t>Powikłania zakrzepowe</w:t>
      </w:r>
      <w:r w:rsidR="00132808" w:rsidRPr="007E4DA1">
        <w:rPr>
          <w:color w:val="000000"/>
          <w:u w:val="single"/>
        </w:rPr>
        <w:t xml:space="preserve"> </w:t>
      </w:r>
      <w:r w:rsidRPr="007E4DA1">
        <w:rPr>
          <w:color w:val="000000"/>
          <w:u w:val="single"/>
        </w:rPr>
        <w:t>/</w:t>
      </w:r>
      <w:r w:rsidR="00132808" w:rsidRPr="007E4DA1">
        <w:rPr>
          <w:color w:val="000000"/>
          <w:u w:val="single"/>
        </w:rPr>
        <w:t xml:space="preserve"> </w:t>
      </w:r>
      <w:r w:rsidRPr="007E4DA1">
        <w:rPr>
          <w:color w:val="000000"/>
          <w:u w:val="single"/>
        </w:rPr>
        <w:t>zakrzepowo-zatorowe</w:t>
      </w:r>
    </w:p>
    <w:p w14:paraId="08115B91" w14:textId="49F8292F" w:rsidR="00802FF6" w:rsidRPr="007E4DA1" w:rsidRDefault="00802FF6" w:rsidP="001A6584">
      <w:pPr>
        <w:keepNext/>
        <w:tabs>
          <w:tab w:val="left" w:pos="142"/>
        </w:tabs>
        <w:ind w:left="0" w:firstLine="0"/>
        <w:rPr>
          <w:color w:val="000000"/>
          <w:szCs w:val="22"/>
        </w:rPr>
      </w:pPr>
    </w:p>
    <w:p w14:paraId="1CF283BF" w14:textId="6AB01529" w:rsidR="00802FF6" w:rsidRPr="007E4DA1" w:rsidRDefault="00802FF6" w:rsidP="001A6584">
      <w:pPr>
        <w:tabs>
          <w:tab w:val="left" w:pos="142"/>
        </w:tabs>
        <w:ind w:left="0" w:firstLine="0"/>
      </w:pPr>
      <w:r w:rsidRPr="007E4DA1">
        <w:t>W kontrolowanych badaniach klinicznych z udziałem pacjentów z małopłytkowością i zakażeniem wirusem WZW C, otrzymujących leczenie oparte na interferonie (n = 1</w:t>
      </w:r>
      <w:r w:rsidR="007154BC" w:rsidRPr="007E4DA1">
        <w:t> </w:t>
      </w:r>
      <w:r w:rsidRPr="007E4DA1">
        <w:t xml:space="preserve">439), </w:t>
      </w:r>
      <w:r w:rsidR="00FF66FE" w:rsidRPr="007E4DA1">
        <w:t>TEEs</w:t>
      </w:r>
      <w:r w:rsidRPr="007E4DA1">
        <w:t xml:space="preserve"> wystąpiły u 38 z 955 pacjentów (4%) leczonych eltrombopagiem oraz u 6 z 484 pacjentów (1%) w grupie placebo. Zaobserwowane powikłania zakrzepowe lub zakrzepowo-zatorowe obejmowały zarówno zdarzenia żylne, jak i tętnicze. Większość incydentów zakrzepowo-zatorowych nie miało ciężkiego przebiegu i ustępowała do czasu zakończenia badania. Najczęstszym incydentem zakrzepowo-zatorowym w obu grupach leczenia była zakrzepica żyły wrotnej (zaburzenie to wystąpiło u 2% pacjentów leczonych eltrombopagiem oraz u &lt;1% pacjentów otrzymujących placebo). Nie zaobserwowano wyraźnego związku czasowego pomiędzy rozpoczęciem leczenia i wystąpieniem incydentu zakrzepowo-zatorowego. U pacjentów ze zmniejszonym stężeniem albumin (≤35 g/l) lub z wynikiem ≥10 w skali MELD ryzyko incydentu zakrzepowo-zatorowego było </w:t>
      </w:r>
      <w:r w:rsidR="00C323BC" w:rsidRPr="007E4DA1">
        <w:t>2</w:t>
      </w:r>
      <w:r w:rsidR="00037068" w:rsidRPr="007E4DA1">
        <w:t> </w:t>
      </w:r>
      <w:r w:rsidR="00C323BC" w:rsidRPr="007E4DA1">
        <w:t>razy</w:t>
      </w:r>
      <w:r w:rsidRPr="007E4DA1">
        <w:t xml:space="preserve"> wyższe niż u pacjentów z większym stężeniem albumin; w grupie pacjentów w wieku ≥60 lat ryzyko incydentu zakrzepowo-zatorowego było dwukrotnie wyższe niż u pacjentów młodszych. Eltrombopag należy podawać takim pacjentom tylko po starannym rozważeniu spodziewanych korzyści w stosunku do ryzyka. Pacjenci powinni być poddawani ścisłej obserwacji w kierunku występowania objawów przedmiotowych lub podmiotowych incydentów zakrzepowo-zatorowych.</w:t>
      </w:r>
    </w:p>
    <w:p w14:paraId="1EB50776" w14:textId="77777777" w:rsidR="00802FF6" w:rsidRPr="007E4DA1" w:rsidRDefault="00802FF6" w:rsidP="001A6584">
      <w:pPr>
        <w:tabs>
          <w:tab w:val="left" w:pos="142"/>
        </w:tabs>
        <w:ind w:left="0" w:firstLine="0"/>
        <w:rPr>
          <w:color w:val="000000"/>
          <w:szCs w:val="22"/>
        </w:rPr>
      </w:pPr>
    </w:p>
    <w:p w14:paraId="21EC01E0" w14:textId="0862B6B1" w:rsidR="00802FF6" w:rsidRPr="007E4DA1" w:rsidRDefault="00802FF6" w:rsidP="001A6584">
      <w:pPr>
        <w:tabs>
          <w:tab w:val="left" w:pos="142"/>
        </w:tabs>
        <w:ind w:left="0" w:firstLine="0"/>
        <w:rPr>
          <w:color w:val="000000"/>
          <w:szCs w:val="22"/>
        </w:rPr>
      </w:pPr>
      <w:r w:rsidRPr="007E4DA1">
        <w:rPr>
          <w:color w:val="000000"/>
          <w:szCs w:val="22"/>
        </w:rPr>
        <w:t>U pacjentów z przewlekłą chorobą wątroby leczonych eltrombopagiem w dawce 75</w:t>
      </w:r>
      <w:r w:rsidR="0024546C" w:rsidRPr="007E4DA1">
        <w:rPr>
          <w:color w:val="000000"/>
          <w:szCs w:val="22"/>
        </w:rPr>
        <w:t> </w:t>
      </w:r>
      <w:r w:rsidRPr="007E4DA1">
        <w:rPr>
          <w:color w:val="000000"/>
          <w:szCs w:val="22"/>
        </w:rPr>
        <w:t xml:space="preserve">mg raz na dobę przez </w:t>
      </w:r>
      <w:r w:rsidR="00C323BC" w:rsidRPr="007E4DA1">
        <w:rPr>
          <w:color w:val="000000"/>
          <w:szCs w:val="22"/>
        </w:rPr>
        <w:t>2</w:t>
      </w:r>
      <w:r w:rsidR="00037068" w:rsidRPr="007E4DA1">
        <w:rPr>
          <w:color w:val="000000"/>
          <w:szCs w:val="22"/>
        </w:rPr>
        <w:t> </w:t>
      </w:r>
      <w:r w:rsidRPr="007E4DA1">
        <w:rPr>
          <w:color w:val="000000"/>
          <w:szCs w:val="22"/>
        </w:rPr>
        <w:t xml:space="preserve">tygodnie w celu przygotowania do przeprowadzenia procedur inwazyjnych stwierdzono zwiększone ryzyko incydentów zakrzepowo-zatorowych. Incydenty zakrzepowo-zatorowe wystąpiły u sześciu spośród 143 (4%) dorosłych pacjentów z przewlekłą chorobą wątroby przyjmujących eltrombopag (wszystkie w obrębie układu żyły wrotnej) oraz u </w:t>
      </w:r>
      <w:r w:rsidR="00BE16FF" w:rsidRPr="007E4DA1">
        <w:rPr>
          <w:color w:val="000000"/>
          <w:szCs w:val="22"/>
        </w:rPr>
        <w:t>dwóch</w:t>
      </w:r>
      <w:r w:rsidRPr="007E4DA1">
        <w:rPr>
          <w:color w:val="000000"/>
          <w:szCs w:val="22"/>
        </w:rPr>
        <w:t xml:space="preserve"> spośród 145 (1%) pacjentów z grupy placebo (jeden w obrębie układu żyły wrotnej i jeden zawał mięśnia sercowego). U pięciu spośród 6 pacjentów leczonych eltrombopagiem wystąpiły powikłania zakrzepowe przy liczbie płytek &gt;200 000/µl, w ciągu 30</w:t>
      </w:r>
      <w:r w:rsidR="001013F3" w:rsidRPr="007E4DA1">
        <w:rPr>
          <w:color w:val="000000"/>
          <w:szCs w:val="22"/>
        </w:rPr>
        <w:t> </w:t>
      </w:r>
      <w:r w:rsidRPr="007E4DA1">
        <w:rPr>
          <w:color w:val="000000"/>
          <w:szCs w:val="22"/>
        </w:rPr>
        <w:t xml:space="preserve">dni po podaniu ostatniej dawki eltrombopagu. </w:t>
      </w:r>
      <w:r w:rsidRPr="007E4DA1">
        <w:t>Eltrombopag nie jest wskazany do leczenia małopłytkowości u pacjentów z przewlekłą chorobą wątroby w trakcie oczekiwania na zabiegi inwazyjne.</w:t>
      </w:r>
    </w:p>
    <w:p w14:paraId="7610B734" w14:textId="77777777" w:rsidR="00802FF6" w:rsidRPr="007E4DA1" w:rsidRDefault="00802FF6" w:rsidP="001A6584">
      <w:pPr>
        <w:tabs>
          <w:tab w:val="left" w:pos="142"/>
        </w:tabs>
        <w:ind w:left="0" w:firstLine="0"/>
        <w:rPr>
          <w:szCs w:val="22"/>
        </w:rPr>
      </w:pPr>
    </w:p>
    <w:p w14:paraId="7A513502" w14:textId="77777777" w:rsidR="00802FF6" w:rsidRPr="007E4DA1" w:rsidRDefault="00802FF6" w:rsidP="001A6584">
      <w:pPr>
        <w:tabs>
          <w:tab w:val="left" w:pos="142"/>
        </w:tabs>
        <w:ind w:left="0" w:firstLine="0"/>
        <w:rPr>
          <w:szCs w:val="22"/>
        </w:rPr>
      </w:pPr>
      <w:r w:rsidRPr="007E4DA1">
        <w:t>W badaniach klinicznych eltrombopagu stosowanego w pierwotnej małopłytkowości immunologicznej incydenty zakrzepowo</w:t>
      </w:r>
      <w:r w:rsidRPr="007E4DA1">
        <w:noBreakHyphen/>
        <w:t xml:space="preserve">zatorowe występowały zarówno u pacjentów ze </w:t>
      </w:r>
      <w:r w:rsidRPr="007E4DA1">
        <w:lastRenderedPageBreak/>
        <w:t xml:space="preserve">zmniejszoną, jak i prawidłową liczbą płytek krwi. Należy zachować ostrożność podczas podawania eltrombopagu pacjentom ze stwierdzonymi czynnikami ryzyka powikłań zakrzepowo-zatorowych, w tym między innymi z dziedzicznymi (np. czynnik V Leiden) lub nabytymi czynnikami ryzyka (np. niedobór ATIII, zespół antyfosfolipidowy), w podeszłym wieku, z przedłużonym okresem immobilizacji, z nowotworami złośliwymi, stosujących środki antykoncepcyjne i hormonalną terapię zastępczą, po operacjach lub urazach, z otyłością i palących tytoń. Jeżeli liczba płytek krwi przekracza poziom docelowy, należy uważnie kontrolować liczbę płytek krwi i rozważyć zmniejszenie dawki eltrombopagu lub odstawienie tego leku (patrz punkt 4.2). U pacjentów z grupy zwiększonego ryzyka </w:t>
      </w:r>
      <w:r w:rsidR="00C323BC" w:rsidRPr="007E4DA1">
        <w:t>TEE</w:t>
      </w:r>
      <w:r w:rsidR="00FF66FE" w:rsidRPr="007E4DA1">
        <w:t>s</w:t>
      </w:r>
      <w:r w:rsidRPr="007E4DA1">
        <w:t xml:space="preserve"> o dowolnej etiologii należy rozważyć stosunek korzyści do ryzyka.</w:t>
      </w:r>
    </w:p>
    <w:p w14:paraId="186B75F4" w14:textId="77777777" w:rsidR="00802FF6" w:rsidRPr="007E4DA1" w:rsidRDefault="00802FF6" w:rsidP="001A6584">
      <w:pPr>
        <w:tabs>
          <w:tab w:val="left" w:pos="142"/>
        </w:tabs>
        <w:ind w:left="0" w:firstLine="0"/>
        <w:rPr>
          <w:szCs w:val="22"/>
        </w:rPr>
      </w:pPr>
    </w:p>
    <w:p w14:paraId="6D98DE97" w14:textId="77777777" w:rsidR="00565831" w:rsidRPr="007E4DA1" w:rsidRDefault="00C323BC" w:rsidP="001A6584">
      <w:pPr>
        <w:tabs>
          <w:tab w:val="left" w:pos="142"/>
        </w:tabs>
        <w:ind w:left="0" w:firstLine="0"/>
        <w:rPr>
          <w:szCs w:val="22"/>
        </w:rPr>
      </w:pPr>
      <w:r w:rsidRPr="007E4DA1">
        <w:rPr>
          <w:szCs w:val="22"/>
        </w:rPr>
        <w:t xml:space="preserve">Nie odnotowano żadnego przypadku TEE w badaniu klinicznym </w:t>
      </w:r>
      <w:r w:rsidR="00565831" w:rsidRPr="007E4DA1">
        <w:rPr>
          <w:szCs w:val="22"/>
        </w:rPr>
        <w:t xml:space="preserve">w opornej postaci SAA, jednak nie można wykluczyć ryzyka tych zdarzeń w tej populacji pacjentów z uwagi na ograniczoną liczbę pacjentów z ekspozycją na lek. Ponieważ </w:t>
      </w:r>
      <w:r w:rsidR="005A1098" w:rsidRPr="007E4DA1">
        <w:rPr>
          <w:szCs w:val="22"/>
        </w:rPr>
        <w:t xml:space="preserve">do stosowania u pacjentów z SAA wskazana jest </w:t>
      </w:r>
      <w:r w:rsidR="00565831" w:rsidRPr="007E4DA1">
        <w:rPr>
          <w:szCs w:val="22"/>
        </w:rPr>
        <w:t xml:space="preserve">największa zarejestrowana dawka leku (150 mg/dobę) i z uwagi na charakter </w:t>
      </w:r>
      <w:r w:rsidR="00FF66FE" w:rsidRPr="007E4DA1">
        <w:rPr>
          <w:szCs w:val="22"/>
        </w:rPr>
        <w:t>zdarzenia,</w:t>
      </w:r>
      <w:r w:rsidR="00565831" w:rsidRPr="007E4DA1">
        <w:rPr>
          <w:szCs w:val="22"/>
        </w:rPr>
        <w:t xml:space="preserve"> </w:t>
      </w:r>
      <w:r w:rsidR="00FF66FE" w:rsidRPr="007E4DA1">
        <w:rPr>
          <w:szCs w:val="22"/>
        </w:rPr>
        <w:t xml:space="preserve">można </w:t>
      </w:r>
      <w:r w:rsidR="00565831" w:rsidRPr="007E4DA1">
        <w:rPr>
          <w:szCs w:val="22"/>
        </w:rPr>
        <w:t>spodziewać się wystąpienia TEE</w:t>
      </w:r>
      <w:r w:rsidR="00FF66FE" w:rsidRPr="007E4DA1">
        <w:rPr>
          <w:szCs w:val="22"/>
        </w:rPr>
        <w:t>s</w:t>
      </w:r>
      <w:r w:rsidR="00565831" w:rsidRPr="007E4DA1">
        <w:rPr>
          <w:szCs w:val="22"/>
        </w:rPr>
        <w:t xml:space="preserve"> w tej populacji pacjentów.</w:t>
      </w:r>
    </w:p>
    <w:p w14:paraId="1CA0359A" w14:textId="77777777" w:rsidR="00C323BC" w:rsidRPr="007E4DA1" w:rsidRDefault="00565831" w:rsidP="001A6584">
      <w:pPr>
        <w:tabs>
          <w:tab w:val="left" w:pos="142"/>
        </w:tabs>
        <w:ind w:left="0" w:firstLine="0"/>
        <w:rPr>
          <w:szCs w:val="22"/>
        </w:rPr>
      </w:pPr>
      <w:r w:rsidRPr="007E4DA1">
        <w:rPr>
          <w:szCs w:val="22"/>
        </w:rPr>
        <w:t xml:space="preserve"> </w:t>
      </w:r>
    </w:p>
    <w:p w14:paraId="49351A67" w14:textId="77777777" w:rsidR="00802FF6" w:rsidRPr="007E4DA1" w:rsidRDefault="00802FF6" w:rsidP="001A6584">
      <w:pPr>
        <w:tabs>
          <w:tab w:val="left" w:pos="142"/>
        </w:tabs>
        <w:ind w:left="0" w:firstLine="0"/>
        <w:rPr>
          <w:szCs w:val="22"/>
        </w:rPr>
      </w:pPr>
      <w:r w:rsidRPr="007E4DA1">
        <w:t xml:space="preserve">Nie należy stosować eltrombopagu u pacjentów z pierwotną małopłytkowością immunologiczną i zaburzeniami czynności wątroby (wynik ≥5 w skali Child-Pugh), chyba że oczekiwane korzyści przewyższają zidentyfikowane ryzyko zakrzepicy żyły wrotnej. Jeżeli leczenie zostanie uznane za właściwe, </w:t>
      </w:r>
      <w:r w:rsidR="00F44EE1" w:rsidRPr="007E4DA1">
        <w:t>trzeba</w:t>
      </w:r>
      <w:r w:rsidRPr="007E4DA1">
        <w:t xml:space="preserve"> zachować ostrożność podczas podawania eltrombopagu pacjentom z zaburzeniami czynności wątroby (patrz punkty 4.2 i</w:t>
      </w:r>
      <w:r w:rsidR="001013F3" w:rsidRPr="007E4DA1">
        <w:t> </w:t>
      </w:r>
      <w:r w:rsidRPr="007E4DA1">
        <w:t>4.8).</w:t>
      </w:r>
    </w:p>
    <w:p w14:paraId="1542C9DF" w14:textId="77777777" w:rsidR="00802FF6" w:rsidRPr="007E4DA1" w:rsidRDefault="00802FF6" w:rsidP="001A6584">
      <w:pPr>
        <w:tabs>
          <w:tab w:val="left" w:pos="142"/>
        </w:tabs>
        <w:ind w:left="0" w:firstLine="0"/>
        <w:rPr>
          <w:szCs w:val="22"/>
        </w:rPr>
      </w:pPr>
    </w:p>
    <w:p w14:paraId="7D67D7A7" w14:textId="77777777" w:rsidR="00041A08" w:rsidRPr="00041A08" w:rsidRDefault="00802FF6" w:rsidP="001A6584">
      <w:pPr>
        <w:keepNext/>
        <w:tabs>
          <w:tab w:val="left" w:pos="142"/>
        </w:tabs>
        <w:ind w:left="0" w:firstLine="0"/>
        <w:rPr>
          <w:szCs w:val="22"/>
        </w:rPr>
      </w:pPr>
      <w:r w:rsidRPr="007E4DA1">
        <w:rPr>
          <w:szCs w:val="22"/>
          <w:u w:val="single"/>
        </w:rPr>
        <w:t>Krwawienie po przerwaniu stosowania eltrombopagu</w:t>
      </w:r>
    </w:p>
    <w:p w14:paraId="4B59F660" w14:textId="43E68422" w:rsidR="00802FF6" w:rsidRPr="007E4DA1" w:rsidRDefault="00802FF6" w:rsidP="001A6584">
      <w:pPr>
        <w:keepNext/>
        <w:tabs>
          <w:tab w:val="left" w:pos="142"/>
        </w:tabs>
        <w:ind w:left="0" w:firstLine="0"/>
        <w:rPr>
          <w:szCs w:val="22"/>
        </w:rPr>
      </w:pPr>
    </w:p>
    <w:p w14:paraId="554D8B6D" w14:textId="77777777" w:rsidR="00802FF6" w:rsidRPr="007E4DA1" w:rsidRDefault="00802FF6" w:rsidP="001A6584">
      <w:pPr>
        <w:tabs>
          <w:tab w:val="left" w:pos="142"/>
        </w:tabs>
        <w:ind w:left="0" w:firstLine="0"/>
        <w:rPr>
          <w:bCs/>
          <w:szCs w:val="22"/>
          <w:lang w:eastAsia="es-ES"/>
        </w:rPr>
      </w:pPr>
      <w:r w:rsidRPr="007E4DA1">
        <w:rPr>
          <w:bCs/>
          <w:szCs w:val="22"/>
          <w:lang w:eastAsia="es-ES"/>
        </w:rPr>
        <w:t>Istnieje ryzyko nawrotu małopłytkowości po przerwaniu leczenia eltrombopagiem. U większości pacjentów po przerwaniu leczenia eltrombopagiem liczba płytek krwi powraca do wartości sprzed leczenia w ciągu 2</w:t>
      </w:r>
      <w:r w:rsidR="0024546C" w:rsidRPr="007E4DA1">
        <w:rPr>
          <w:bCs/>
          <w:szCs w:val="22"/>
          <w:lang w:eastAsia="es-ES"/>
        </w:rPr>
        <w:t> </w:t>
      </w:r>
      <w:r w:rsidRPr="007E4DA1">
        <w:rPr>
          <w:bCs/>
          <w:szCs w:val="22"/>
          <w:lang w:eastAsia="es-ES"/>
        </w:rPr>
        <w:t>tygodni, co powoduje zwiększenie ryzyka krwawienia i w niektórych przypadkach może prowadzić do krwawienia. Ryzyko jest większe, jeśli leczenie eltrombopagiem zostanie przerwane u pacjenta otrzymującego leki przeciwzakrzepowe lub przeciwpłytkowe. Zaleca się, aby w przypadku przerwania stosowania eltrombopagu rozpocząć leczenie pierwotnej małopłytkowości immunologicznej zgodnie z aktualnymi wytycznymi. Ponadto może być konieczne przerwanie stosowania leków przeciwzakrzepowych lub przeciwpłytkowych, odwrócenie działania antykoagulacyjnego lub przetoczenie koncentratu płytek krwi. Przez 4</w:t>
      </w:r>
      <w:r w:rsidR="0024546C" w:rsidRPr="007E4DA1">
        <w:rPr>
          <w:bCs/>
          <w:szCs w:val="22"/>
          <w:lang w:eastAsia="es-ES"/>
        </w:rPr>
        <w:t> </w:t>
      </w:r>
      <w:r w:rsidRPr="007E4DA1">
        <w:rPr>
          <w:bCs/>
          <w:szCs w:val="22"/>
          <w:lang w:eastAsia="es-ES"/>
        </w:rPr>
        <w:t>tygodnie po przerwaniu leczenia eltrombopagiem należy koniecznie co tydzień oznaczać liczbę płytek krwi.</w:t>
      </w:r>
    </w:p>
    <w:p w14:paraId="1AEACA8A" w14:textId="77777777" w:rsidR="00802FF6" w:rsidRPr="007E4DA1" w:rsidRDefault="00802FF6" w:rsidP="001A6584">
      <w:pPr>
        <w:tabs>
          <w:tab w:val="left" w:pos="142"/>
        </w:tabs>
        <w:ind w:left="0" w:firstLine="0"/>
        <w:rPr>
          <w:bCs/>
          <w:szCs w:val="22"/>
          <w:lang w:eastAsia="es-ES"/>
        </w:rPr>
      </w:pPr>
    </w:p>
    <w:p w14:paraId="3C68BFDD" w14:textId="77777777" w:rsidR="00802FF6" w:rsidRPr="007E4DA1" w:rsidRDefault="00802FF6" w:rsidP="001A6584">
      <w:pPr>
        <w:tabs>
          <w:tab w:val="left" w:pos="142"/>
          <w:tab w:val="left" w:pos="2460"/>
        </w:tabs>
        <w:ind w:left="0" w:firstLine="0"/>
        <w:rPr>
          <w:szCs w:val="22"/>
        </w:rPr>
      </w:pPr>
      <w:r w:rsidRPr="007E4DA1">
        <w:t xml:space="preserve">W badaniach klinicznych z udziałem pacjentów zakażonych wirusem WZW C, po odstawieniu peginterferonu, rybawiryny i eltrombopagu obserwowano większą częstość występowania krwawienia z przewodu pokarmowego, w tym przypadków ciężkich i prowadzących do zgonu. Po przerwaniu leczenia pacjentów należy monitorować </w:t>
      </w:r>
      <w:r w:rsidR="00B471D0" w:rsidRPr="007E4DA1">
        <w:t>w celu wykrycia</w:t>
      </w:r>
      <w:r w:rsidRPr="007E4DA1">
        <w:t xml:space="preserve"> objawów przedmiotowych i podmiotowych krwawienia z przewodu pokarmowego.</w:t>
      </w:r>
    </w:p>
    <w:p w14:paraId="19954FD0" w14:textId="77777777" w:rsidR="00802FF6" w:rsidRPr="007E4DA1" w:rsidRDefault="00802FF6" w:rsidP="001A6584">
      <w:pPr>
        <w:pStyle w:val="LBLLevel2"/>
        <w:tabs>
          <w:tab w:val="left" w:pos="142"/>
        </w:tabs>
        <w:spacing w:line="240" w:lineRule="auto"/>
        <w:rPr>
          <w:rFonts w:ascii="Times New Roman" w:hAnsi="Times New Roman"/>
          <w:b w:val="0"/>
          <w:sz w:val="22"/>
          <w:szCs w:val="22"/>
          <w:lang w:val="pl-PL"/>
        </w:rPr>
      </w:pPr>
    </w:p>
    <w:p w14:paraId="238D378F" w14:textId="77777777" w:rsidR="00041A08" w:rsidRPr="00041A08" w:rsidRDefault="00802FF6" w:rsidP="001A6584">
      <w:pPr>
        <w:keepNext/>
        <w:tabs>
          <w:tab w:val="left" w:pos="142"/>
          <w:tab w:val="left" w:pos="720"/>
          <w:tab w:val="left" w:pos="990"/>
          <w:tab w:val="left" w:pos="1260"/>
        </w:tabs>
        <w:ind w:left="0" w:firstLine="0"/>
        <w:rPr>
          <w:color w:val="000000"/>
        </w:rPr>
      </w:pPr>
      <w:r w:rsidRPr="007E4DA1">
        <w:rPr>
          <w:u w:val="single"/>
        </w:rPr>
        <w:t>Wytwarzanie retykuliny w szpiku kostnym i ryzyko zwłóknienia szpiku kostnego</w:t>
      </w:r>
    </w:p>
    <w:p w14:paraId="41B74382" w14:textId="13C91091" w:rsidR="00802FF6" w:rsidRPr="007E4DA1" w:rsidRDefault="00802FF6" w:rsidP="001A6584">
      <w:pPr>
        <w:keepNext/>
        <w:tabs>
          <w:tab w:val="left" w:pos="142"/>
          <w:tab w:val="left" w:pos="720"/>
          <w:tab w:val="left" w:pos="990"/>
          <w:tab w:val="left" w:pos="1260"/>
        </w:tabs>
        <w:ind w:left="0" w:firstLine="0"/>
        <w:rPr>
          <w:color w:val="000000"/>
        </w:rPr>
      </w:pPr>
    </w:p>
    <w:p w14:paraId="2EA5B49C" w14:textId="77777777" w:rsidR="00802FF6" w:rsidRPr="007E4DA1" w:rsidRDefault="00802FF6" w:rsidP="001A6584">
      <w:pPr>
        <w:tabs>
          <w:tab w:val="left" w:pos="142"/>
          <w:tab w:val="left" w:pos="720"/>
          <w:tab w:val="left" w:pos="990"/>
          <w:tab w:val="left" w:pos="1260"/>
        </w:tabs>
        <w:ind w:left="0" w:firstLine="0"/>
        <w:rPr>
          <w:color w:val="000000"/>
        </w:rPr>
      </w:pPr>
      <w:r w:rsidRPr="007E4DA1">
        <w:rPr>
          <w:color w:val="000000"/>
        </w:rPr>
        <w:t>Eltrombopag może zwiększać ryzyko powstawania lub progresji włókien retykulinowych w szpiku kostnym. Do chwili obecnej nie ustalono znaczenia tego faktu, podobnie jak w przypadku innych agonistów receptora trombopoetyny.</w:t>
      </w:r>
    </w:p>
    <w:p w14:paraId="260E8B1B" w14:textId="77777777" w:rsidR="00802FF6" w:rsidRPr="007E4DA1" w:rsidRDefault="00802FF6" w:rsidP="001A6584">
      <w:pPr>
        <w:tabs>
          <w:tab w:val="left" w:pos="142"/>
        </w:tabs>
        <w:ind w:left="0" w:firstLine="0"/>
      </w:pPr>
    </w:p>
    <w:p w14:paraId="16FB5AC3" w14:textId="77777777" w:rsidR="00802FF6" w:rsidRPr="007E4DA1" w:rsidRDefault="00802FF6" w:rsidP="001A6584">
      <w:pPr>
        <w:tabs>
          <w:tab w:val="left" w:pos="142"/>
        </w:tabs>
        <w:ind w:left="0" w:firstLine="0"/>
        <w:rPr>
          <w:color w:val="000000"/>
          <w:szCs w:val="22"/>
        </w:rPr>
      </w:pPr>
      <w:r w:rsidRPr="007E4DA1">
        <w:rPr>
          <w:color w:val="000000"/>
        </w:rPr>
        <w:t xml:space="preserve">Przed rozpoczęciem podawania eltrombopagu należy dokładnie zbadać rozmaz krwi obwodowej w celu ustalenia pierwotnego stopnia nieprawidłowości morfologicznych komórek krwi. Po ustaleniu stałej dawki eltrombopagu należy co miesiąc wykonywać pełną morfologię krwi z oznaczaniem wszystkich typów białych krwinek. W przypadku stwierdzenia obecności komórek niedojrzałych lub dysplastycznych, należy zbadać rozmaz krwi obwodowej w poszukiwaniu nowych lub postępujących nieprawidłowości morfologicznych (np. łezkowate lub jądrzaste erytrocyty, niedojrzałe leukocyty) lub cytopenii. Jeśli u pacjenta wystąpią nowe lub postępujące nieprawidłowości morfologiczne czy też cytopenia, należy przerwać leczenie eltrombopagiem i rozważyć wykonanie biopsji szpiku kostnego z </w:t>
      </w:r>
      <w:r w:rsidRPr="007E4DA1">
        <w:rPr>
          <w:color w:val="000000"/>
          <w:szCs w:val="22"/>
        </w:rPr>
        <w:t>barwieniem oceniającym włóknienie.</w:t>
      </w:r>
    </w:p>
    <w:p w14:paraId="43D5970C" w14:textId="77777777" w:rsidR="00802FF6" w:rsidRPr="007E4DA1" w:rsidRDefault="00802FF6" w:rsidP="001A6584">
      <w:pPr>
        <w:tabs>
          <w:tab w:val="left" w:pos="142"/>
        </w:tabs>
        <w:ind w:left="0" w:firstLine="0"/>
        <w:rPr>
          <w:color w:val="000000"/>
          <w:szCs w:val="22"/>
        </w:rPr>
      </w:pPr>
    </w:p>
    <w:p w14:paraId="4081BE1E" w14:textId="77777777" w:rsidR="00041A08" w:rsidRPr="00041A08" w:rsidRDefault="00802FF6" w:rsidP="001A6584">
      <w:pPr>
        <w:keepNext/>
        <w:tabs>
          <w:tab w:val="left" w:pos="142"/>
        </w:tabs>
        <w:autoSpaceDE w:val="0"/>
        <w:autoSpaceDN w:val="0"/>
        <w:adjustRightInd w:val="0"/>
        <w:ind w:left="0" w:firstLine="0"/>
        <w:rPr>
          <w:color w:val="000000"/>
          <w:szCs w:val="22"/>
        </w:rPr>
      </w:pPr>
      <w:r w:rsidRPr="007E4DA1">
        <w:rPr>
          <w:iCs/>
          <w:color w:val="000000"/>
          <w:szCs w:val="22"/>
          <w:u w:val="single"/>
        </w:rPr>
        <w:lastRenderedPageBreak/>
        <w:t xml:space="preserve">Progresja istniejących zespołów mielodysplastycznych (ang. </w:t>
      </w:r>
      <w:r w:rsidR="00F44EE1" w:rsidRPr="007E4DA1">
        <w:rPr>
          <w:i/>
          <w:iCs/>
          <w:color w:val="000000"/>
          <w:szCs w:val="22"/>
          <w:u w:val="single"/>
        </w:rPr>
        <w:t>m</w:t>
      </w:r>
      <w:r w:rsidRPr="007E4DA1">
        <w:rPr>
          <w:i/>
          <w:iCs/>
          <w:color w:val="000000"/>
          <w:szCs w:val="22"/>
          <w:u w:val="single"/>
        </w:rPr>
        <w:t xml:space="preserve">yelodysplastic </w:t>
      </w:r>
      <w:r w:rsidR="00F44EE1" w:rsidRPr="007E4DA1">
        <w:rPr>
          <w:i/>
          <w:iCs/>
          <w:color w:val="000000"/>
          <w:szCs w:val="22"/>
          <w:u w:val="single"/>
        </w:rPr>
        <w:t>s</w:t>
      </w:r>
      <w:r w:rsidRPr="007E4DA1">
        <w:rPr>
          <w:i/>
          <w:iCs/>
          <w:color w:val="000000"/>
          <w:szCs w:val="22"/>
          <w:u w:val="single"/>
        </w:rPr>
        <w:t>yndrome</w:t>
      </w:r>
      <w:r w:rsidRPr="007E4DA1">
        <w:rPr>
          <w:iCs/>
          <w:color w:val="000000"/>
          <w:szCs w:val="22"/>
          <w:u w:val="single"/>
        </w:rPr>
        <w:t>, MDS)</w:t>
      </w:r>
    </w:p>
    <w:p w14:paraId="39308814" w14:textId="7B993B38" w:rsidR="00802FF6" w:rsidRPr="007E4DA1" w:rsidRDefault="00802FF6" w:rsidP="001A6584">
      <w:pPr>
        <w:keepNext/>
        <w:tabs>
          <w:tab w:val="left" w:pos="142"/>
        </w:tabs>
        <w:autoSpaceDE w:val="0"/>
        <w:autoSpaceDN w:val="0"/>
        <w:adjustRightInd w:val="0"/>
        <w:ind w:left="0" w:firstLine="0"/>
        <w:rPr>
          <w:iCs/>
          <w:color w:val="000000"/>
          <w:szCs w:val="22"/>
        </w:rPr>
      </w:pPr>
    </w:p>
    <w:p w14:paraId="15E13784" w14:textId="694FD3ED" w:rsidR="00802FF6" w:rsidRPr="007E4DA1" w:rsidRDefault="00565831" w:rsidP="001A6584">
      <w:pPr>
        <w:tabs>
          <w:tab w:val="left" w:pos="142"/>
        </w:tabs>
        <w:autoSpaceDE w:val="0"/>
        <w:autoSpaceDN w:val="0"/>
        <w:adjustRightInd w:val="0"/>
        <w:ind w:left="0" w:firstLine="0"/>
        <w:rPr>
          <w:iCs/>
          <w:color w:val="000000"/>
          <w:szCs w:val="22"/>
        </w:rPr>
      </w:pPr>
      <w:r w:rsidRPr="007E4DA1">
        <w:rPr>
          <w:szCs w:val="22"/>
        </w:rPr>
        <w:t xml:space="preserve">Na podstawie przesłanek teoretycznych istnieje obawa, że agoniści TPO-R mogą stymulować progresję istniejących nowotworów układu krwiotwórczego, takich jak MDS. </w:t>
      </w:r>
      <w:r w:rsidR="00802FF6" w:rsidRPr="007E4DA1">
        <w:rPr>
          <w:szCs w:val="22"/>
        </w:rPr>
        <w:t>Stymulatory receptora trombopoetyny są czynnikami wzrostu, które prowadzą do rozwoju i różnicowania komórek prekursorowych układu płytkotwórczego oraz do wytwarzania płytek krwi. Receptory trombopoetyny występują głównie na powierzchni komórek linii mieloidalnej.</w:t>
      </w:r>
    </w:p>
    <w:p w14:paraId="7C1B8B08" w14:textId="77777777" w:rsidR="00802FF6" w:rsidRPr="007E4DA1" w:rsidRDefault="00802FF6" w:rsidP="001A6584">
      <w:pPr>
        <w:tabs>
          <w:tab w:val="left" w:pos="142"/>
        </w:tabs>
        <w:autoSpaceDE w:val="0"/>
        <w:autoSpaceDN w:val="0"/>
        <w:adjustRightInd w:val="0"/>
        <w:ind w:left="0" w:firstLine="0"/>
        <w:rPr>
          <w:iCs/>
          <w:color w:val="000000"/>
          <w:szCs w:val="22"/>
        </w:rPr>
      </w:pPr>
    </w:p>
    <w:p w14:paraId="47B1A811" w14:textId="77777777" w:rsidR="00802FF6" w:rsidRPr="007E4DA1" w:rsidRDefault="00802FF6" w:rsidP="001A6584">
      <w:pPr>
        <w:tabs>
          <w:tab w:val="left" w:pos="142"/>
        </w:tabs>
        <w:autoSpaceDE w:val="0"/>
        <w:autoSpaceDN w:val="0"/>
        <w:adjustRightInd w:val="0"/>
        <w:ind w:left="0" w:firstLine="0"/>
        <w:rPr>
          <w:iCs/>
          <w:color w:val="000000"/>
          <w:szCs w:val="22"/>
        </w:rPr>
      </w:pPr>
      <w:r w:rsidRPr="007E4DA1">
        <w:rPr>
          <w:iCs/>
          <w:color w:val="000000"/>
          <w:szCs w:val="22"/>
        </w:rPr>
        <w:t xml:space="preserve">W badaniach klinicznych z zastosowaniem agonistów receptora trombopoetyny u pacjentów z MDS, zaobserwowano przemijające zwiększenie liczby komórek blastycznych oraz przypadki progresji MDS do ostrej białaczki szpikowej (ang. </w:t>
      </w:r>
      <w:r w:rsidRPr="007E4DA1">
        <w:rPr>
          <w:i/>
          <w:color w:val="000000"/>
          <w:szCs w:val="22"/>
        </w:rPr>
        <w:t>acute myeloid leukaemia, AML</w:t>
      </w:r>
      <w:r w:rsidRPr="007E4DA1">
        <w:rPr>
          <w:color w:val="000000"/>
          <w:szCs w:val="22"/>
        </w:rPr>
        <w:t>).</w:t>
      </w:r>
    </w:p>
    <w:p w14:paraId="05897F41" w14:textId="77777777" w:rsidR="00802FF6" w:rsidRPr="007E4DA1" w:rsidRDefault="00802FF6" w:rsidP="001A6584">
      <w:pPr>
        <w:tabs>
          <w:tab w:val="left" w:pos="142"/>
        </w:tabs>
        <w:autoSpaceDE w:val="0"/>
        <w:autoSpaceDN w:val="0"/>
        <w:adjustRightInd w:val="0"/>
        <w:ind w:left="0" w:firstLine="0"/>
        <w:rPr>
          <w:szCs w:val="22"/>
        </w:rPr>
      </w:pPr>
    </w:p>
    <w:p w14:paraId="06E38362" w14:textId="77777777" w:rsidR="00802FF6" w:rsidRPr="007E4DA1" w:rsidRDefault="00802FF6" w:rsidP="001A6584">
      <w:pPr>
        <w:tabs>
          <w:tab w:val="left" w:pos="142"/>
        </w:tabs>
        <w:ind w:left="0" w:firstLine="0"/>
        <w:rPr>
          <w:szCs w:val="22"/>
        </w:rPr>
      </w:pPr>
      <w:r w:rsidRPr="007E4DA1">
        <w:rPr>
          <w:szCs w:val="22"/>
        </w:rPr>
        <w:t xml:space="preserve">U osób dorosłych i pacjentów w podeszłym wieku rozpoznanie pierwotnej małopłytkowości immunologicznej </w:t>
      </w:r>
      <w:r w:rsidR="00BB7729" w:rsidRPr="007E4DA1">
        <w:rPr>
          <w:szCs w:val="22"/>
        </w:rPr>
        <w:t>lub SAA</w:t>
      </w:r>
      <w:r w:rsidR="00584D31" w:rsidRPr="007E4DA1">
        <w:rPr>
          <w:szCs w:val="22"/>
        </w:rPr>
        <w:t xml:space="preserve"> </w:t>
      </w:r>
      <w:r w:rsidRPr="007E4DA1">
        <w:rPr>
          <w:szCs w:val="22"/>
        </w:rPr>
        <w:t>należy potwierdzić przez wykluczenie innych stanów klinicznych przebiegających z małopłytkowością, w szczególności trzeba wykluczyć MDS. Należy rozważyć wykonanie biopsji aspiracyjnej szpiku i trepanobiopsji w czasie choroby i leczenia, szczególnie u pacjentów w wieku powyżej 60</w:t>
      </w:r>
      <w:r w:rsidR="0024546C" w:rsidRPr="007E4DA1">
        <w:rPr>
          <w:szCs w:val="22"/>
        </w:rPr>
        <w:t> </w:t>
      </w:r>
      <w:r w:rsidRPr="007E4DA1">
        <w:rPr>
          <w:szCs w:val="22"/>
        </w:rPr>
        <w:t>lat, z objawami układowymi i innymi nieprawidłowymi objawami, takimi jak zwiększenie liczby komórek blastycznych we krwi obwodowej.</w:t>
      </w:r>
    </w:p>
    <w:p w14:paraId="613404DE" w14:textId="77777777" w:rsidR="00802FF6" w:rsidRPr="007E4DA1" w:rsidRDefault="00802FF6" w:rsidP="001A6584">
      <w:pPr>
        <w:tabs>
          <w:tab w:val="left" w:pos="142"/>
        </w:tabs>
        <w:ind w:left="0" w:firstLine="0"/>
        <w:rPr>
          <w:szCs w:val="22"/>
        </w:rPr>
      </w:pPr>
    </w:p>
    <w:p w14:paraId="23AB9051" w14:textId="77777777" w:rsidR="00802FF6" w:rsidRPr="007E4DA1" w:rsidRDefault="00802FF6" w:rsidP="001A6584">
      <w:pPr>
        <w:pStyle w:val="LBLBulletStyle1"/>
        <w:numPr>
          <w:ilvl w:val="0"/>
          <w:numId w:val="0"/>
        </w:numPr>
        <w:tabs>
          <w:tab w:val="left" w:pos="142"/>
        </w:tabs>
        <w:spacing w:line="240" w:lineRule="auto"/>
        <w:rPr>
          <w:sz w:val="22"/>
          <w:szCs w:val="22"/>
          <w:lang w:val="pl-PL"/>
        </w:rPr>
      </w:pPr>
      <w:r w:rsidRPr="007E4DA1">
        <w:rPr>
          <w:sz w:val="22"/>
          <w:szCs w:val="22"/>
          <w:lang w:val="pl-PL"/>
        </w:rPr>
        <w:t xml:space="preserve">Nie ustalono skuteczności i bezpieczeństwa stosowania </w:t>
      </w:r>
      <w:r w:rsidR="00565831" w:rsidRPr="007E4DA1">
        <w:rPr>
          <w:sz w:val="22"/>
          <w:szCs w:val="22"/>
          <w:lang w:val="pl-PL"/>
        </w:rPr>
        <w:t>produktu leczniczego Revolade</w:t>
      </w:r>
      <w:r w:rsidRPr="007E4DA1">
        <w:rPr>
          <w:sz w:val="22"/>
          <w:szCs w:val="22"/>
          <w:lang w:val="pl-PL"/>
        </w:rPr>
        <w:t xml:space="preserve"> </w:t>
      </w:r>
      <w:r w:rsidR="00565831" w:rsidRPr="007E4DA1">
        <w:rPr>
          <w:sz w:val="22"/>
          <w:szCs w:val="22"/>
          <w:lang w:val="pl-PL"/>
        </w:rPr>
        <w:t xml:space="preserve">w leczeniu małopłytkowości </w:t>
      </w:r>
      <w:r w:rsidRPr="007E4DA1">
        <w:rPr>
          <w:sz w:val="22"/>
          <w:szCs w:val="22"/>
          <w:lang w:val="pl-PL"/>
        </w:rPr>
        <w:t>związanej z MDS.</w:t>
      </w:r>
      <w:r w:rsidR="00916E76" w:rsidRPr="007E4DA1">
        <w:rPr>
          <w:sz w:val="22"/>
          <w:szCs w:val="22"/>
          <w:lang w:val="pl-PL"/>
        </w:rPr>
        <w:t xml:space="preserve"> </w:t>
      </w:r>
      <w:r w:rsidR="00CB3BFE" w:rsidRPr="007E4DA1">
        <w:rPr>
          <w:sz w:val="22"/>
          <w:szCs w:val="22"/>
          <w:lang w:val="pl-PL"/>
        </w:rPr>
        <w:t>Nie należy stosować produktu leczniczego Revolade p</w:t>
      </w:r>
      <w:r w:rsidRPr="007E4DA1">
        <w:rPr>
          <w:sz w:val="22"/>
          <w:szCs w:val="22"/>
          <w:lang w:val="pl-PL"/>
        </w:rPr>
        <w:t>oza badaniami klinicznymi w leczeniu małopłytkowości związanej z MDS.</w:t>
      </w:r>
    </w:p>
    <w:p w14:paraId="07CC3AD6" w14:textId="77777777" w:rsidR="00BB7729" w:rsidRPr="007E4DA1" w:rsidRDefault="00BB7729" w:rsidP="001A6584">
      <w:pPr>
        <w:tabs>
          <w:tab w:val="left" w:pos="142"/>
        </w:tabs>
        <w:ind w:left="0" w:firstLine="0"/>
        <w:rPr>
          <w:color w:val="000000"/>
          <w:szCs w:val="22"/>
        </w:rPr>
      </w:pPr>
    </w:p>
    <w:p w14:paraId="33BE94F0" w14:textId="77777777" w:rsidR="00041A08" w:rsidRPr="00041A08" w:rsidRDefault="00BB7729" w:rsidP="001A6584">
      <w:pPr>
        <w:keepNext/>
        <w:tabs>
          <w:tab w:val="left" w:pos="142"/>
        </w:tabs>
        <w:ind w:left="0" w:firstLine="0"/>
        <w:rPr>
          <w:color w:val="000000"/>
          <w:szCs w:val="22"/>
        </w:rPr>
      </w:pPr>
      <w:r w:rsidRPr="007E4DA1">
        <w:rPr>
          <w:color w:val="000000"/>
          <w:szCs w:val="22"/>
          <w:u w:val="single"/>
        </w:rPr>
        <w:t>Nieprawidłowości cytogenetyczne i progresja do MDS/AML u pacjentów z SAA</w:t>
      </w:r>
    </w:p>
    <w:p w14:paraId="4C5AAA29" w14:textId="4C675898" w:rsidR="00BB7729" w:rsidRPr="007E4DA1" w:rsidRDefault="00BB7729" w:rsidP="001A6584">
      <w:pPr>
        <w:keepNext/>
        <w:tabs>
          <w:tab w:val="left" w:pos="142"/>
        </w:tabs>
        <w:ind w:left="0" w:firstLine="0"/>
        <w:rPr>
          <w:color w:val="000000"/>
          <w:szCs w:val="22"/>
        </w:rPr>
      </w:pPr>
    </w:p>
    <w:p w14:paraId="4D3ECC0C" w14:textId="77777777" w:rsidR="00BB7729" w:rsidRPr="007E4DA1" w:rsidRDefault="00BB7729" w:rsidP="001A6584">
      <w:pPr>
        <w:tabs>
          <w:tab w:val="left" w:pos="142"/>
        </w:tabs>
        <w:ind w:left="0" w:firstLine="0"/>
        <w:rPr>
          <w:color w:val="000000"/>
          <w:szCs w:val="22"/>
        </w:rPr>
      </w:pPr>
      <w:r w:rsidRPr="007E4DA1">
        <w:rPr>
          <w:color w:val="000000"/>
          <w:szCs w:val="22"/>
        </w:rPr>
        <w:t xml:space="preserve">Wiadomo, że </w:t>
      </w:r>
      <w:r w:rsidR="005D1AA0" w:rsidRPr="007E4DA1">
        <w:rPr>
          <w:color w:val="000000"/>
          <w:szCs w:val="22"/>
        </w:rPr>
        <w:t xml:space="preserve">u pacjentów z SAA występują </w:t>
      </w:r>
      <w:r w:rsidRPr="007E4DA1">
        <w:rPr>
          <w:color w:val="000000"/>
          <w:szCs w:val="22"/>
        </w:rPr>
        <w:t xml:space="preserve">nieprawidłowości cytogenetyczne. Nie wiadomo, czy eltrombopag zwiększa ryzyko wystąpienia nieprawidłowości cytogenetycznych u pacjentów z SAA. W badaniu klinicznym II fazy z eltrombopagiem w leczeniu </w:t>
      </w:r>
      <w:r w:rsidR="0037348A" w:rsidRPr="007E4DA1">
        <w:rPr>
          <w:color w:val="000000"/>
          <w:szCs w:val="22"/>
        </w:rPr>
        <w:t xml:space="preserve">opornej </w:t>
      </w:r>
      <w:r w:rsidRPr="007E4DA1">
        <w:rPr>
          <w:color w:val="000000"/>
          <w:szCs w:val="22"/>
        </w:rPr>
        <w:t>SAA</w:t>
      </w:r>
      <w:r w:rsidR="0037348A" w:rsidRPr="007E4DA1">
        <w:rPr>
          <w:color w:val="000000"/>
          <w:szCs w:val="22"/>
        </w:rPr>
        <w:t>, w którym stosowano dawkę początkową 50 mg/dobę (zwiększaną co 2</w:t>
      </w:r>
      <w:r w:rsidR="00057834" w:rsidRPr="007E4DA1">
        <w:rPr>
          <w:color w:val="000000"/>
          <w:szCs w:val="22"/>
        </w:rPr>
        <w:t> </w:t>
      </w:r>
      <w:r w:rsidR="0037348A" w:rsidRPr="007E4DA1">
        <w:rPr>
          <w:color w:val="000000"/>
          <w:szCs w:val="22"/>
        </w:rPr>
        <w:t>tygodnie do maksymalnej dawki 150 mg/dobę) (ELT112523)</w:t>
      </w:r>
      <w:r w:rsidRPr="007E4DA1">
        <w:rPr>
          <w:color w:val="000000"/>
          <w:szCs w:val="22"/>
        </w:rPr>
        <w:t xml:space="preserve"> wystąpienie nowych nieprawidłowości cytogenetycznych obserwowano u </w:t>
      </w:r>
      <w:r w:rsidR="0037348A" w:rsidRPr="007E4DA1">
        <w:rPr>
          <w:color w:val="000000"/>
          <w:szCs w:val="22"/>
        </w:rPr>
        <w:t>17,1</w:t>
      </w:r>
      <w:r w:rsidRPr="007E4DA1">
        <w:rPr>
          <w:color w:val="000000"/>
          <w:szCs w:val="22"/>
        </w:rPr>
        <w:t xml:space="preserve">% </w:t>
      </w:r>
      <w:r w:rsidR="0037348A" w:rsidRPr="007E4DA1">
        <w:rPr>
          <w:color w:val="000000"/>
          <w:szCs w:val="22"/>
        </w:rPr>
        <w:t xml:space="preserve">dorosłych </w:t>
      </w:r>
      <w:r w:rsidRPr="007E4DA1">
        <w:rPr>
          <w:color w:val="000000"/>
          <w:szCs w:val="22"/>
        </w:rPr>
        <w:t>pacjentów [</w:t>
      </w:r>
      <w:r w:rsidR="0037348A" w:rsidRPr="007E4DA1">
        <w:rPr>
          <w:color w:val="000000"/>
          <w:szCs w:val="22"/>
        </w:rPr>
        <w:t>7</w:t>
      </w:r>
      <w:r w:rsidRPr="007E4DA1">
        <w:rPr>
          <w:color w:val="000000"/>
          <w:szCs w:val="22"/>
        </w:rPr>
        <w:t>/</w:t>
      </w:r>
      <w:r w:rsidR="0037348A" w:rsidRPr="007E4DA1">
        <w:rPr>
          <w:color w:val="000000"/>
          <w:szCs w:val="22"/>
        </w:rPr>
        <w:t>41</w:t>
      </w:r>
      <w:r w:rsidRPr="007E4DA1">
        <w:rPr>
          <w:color w:val="000000"/>
          <w:szCs w:val="22"/>
        </w:rPr>
        <w:t xml:space="preserve"> (z których </w:t>
      </w:r>
      <w:r w:rsidR="0037348A" w:rsidRPr="007E4DA1">
        <w:rPr>
          <w:color w:val="000000"/>
          <w:szCs w:val="22"/>
        </w:rPr>
        <w:t>4</w:t>
      </w:r>
      <w:r w:rsidR="0024546C" w:rsidRPr="007E4DA1">
        <w:rPr>
          <w:color w:val="000000"/>
          <w:szCs w:val="22"/>
        </w:rPr>
        <w:t> </w:t>
      </w:r>
      <w:r w:rsidRPr="007E4DA1">
        <w:rPr>
          <w:color w:val="000000"/>
          <w:szCs w:val="22"/>
        </w:rPr>
        <w:t>miało zmiany w chromosomie</w:t>
      </w:r>
      <w:r w:rsidR="00057834" w:rsidRPr="007E4DA1">
        <w:rPr>
          <w:color w:val="000000"/>
          <w:szCs w:val="22"/>
        </w:rPr>
        <w:t> </w:t>
      </w:r>
      <w:r w:rsidRPr="007E4DA1">
        <w:rPr>
          <w:color w:val="000000"/>
          <w:szCs w:val="22"/>
        </w:rPr>
        <w:t>7)]. Mediana czasu do wystąpienia nieprawidłowości cytogenetycznych w tym badaniu wyniosła 2,9</w:t>
      </w:r>
      <w:r w:rsidR="0024546C" w:rsidRPr="007E4DA1">
        <w:rPr>
          <w:color w:val="000000"/>
          <w:szCs w:val="22"/>
        </w:rPr>
        <w:t> </w:t>
      </w:r>
      <w:r w:rsidRPr="007E4DA1">
        <w:rPr>
          <w:color w:val="000000"/>
          <w:szCs w:val="22"/>
        </w:rPr>
        <w:t>miesięcy.</w:t>
      </w:r>
    </w:p>
    <w:p w14:paraId="7D26CA70" w14:textId="77777777" w:rsidR="00BB7729" w:rsidRPr="007E4DA1" w:rsidRDefault="00BB7729" w:rsidP="001A6584">
      <w:pPr>
        <w:tabs>
          <w:tab w:val="left" w:pos="142"/>
        </w:tabs>
        <w:ind w:left="0" w:firstLine="0"/>
        <w:rPr>
          <w:color w:val="000000"/>
          <w:szCs w:val="22"/>
        </w:rPr>
      </w:pPr>
    </w:p>
    <w:p w14:paraId="543121F9" w14:textId="77777777" w:rsidR="0037348A" w:rsidRPr="007E4DA1" w:rsidRDefault="0037348A" w:rsidP="001A6584">
      <w:pPr>
        <w:tabs>
          <w:tab w:val="left" w:pos="142"/>
        </w:tabs>
        <w:ind w:left="0" w:firstLine="0"/>
        <w:rPr>
          <w:color w:val="000000"/>
          <w:szCs w:val="22"/>
        </w:rPr>
      </w:pPr>
      <w:r w:rsidRPr="007E4DA1">
        <w:rPr>
          <w:color w:val="000000"/>
          <w:szCs w:val="22"/>
        </w:rPr>
        <w:t>W badaniu klinicznym II fazy z eltrombopagiem w leczeniu opornej SAA, w którym stosowano dawkę 150 mg/dobę (z uwzględnieniem modyfikacji dawkowania ze względu na pochodzenie etniczne lub wiek</w:t>
      </w:r>
      <w:r w:rsidR="00CB3BFE" w:rsidRPr="007E4DA1">
        <w:rPr>
          <w:color w:val="000000"/>
          <w:szCs w:val="22"/>
        </w:rPr>
        <w:t>,</w:t>
      </w:r>
      <w:r w:rsidRPr="007E4DA1">
        <w:rPr>
          <w:color w:val="000000"/>
          <w:szCs w:val="22"/>
        </w:rPr>
        <w:t xml:space="preserve"> zgodnie ze wskazaniami</w:t>
      </w:r>
      <w:r w:rsidR="00525422" w:rsidRPr="007E4DA1">
        <w:rPr>
          <w:color w:val="000000"/>
          <w:szCs w:val="22"/>
        </w:rPr>
        <w:t>)</w:t>
      </w:r>
      <w:r w:rsidRPr="007E4DA1">
        <w:rPr>
          <w:color w:val="000000"/>
          <w:szCs w:val="22"/>
        </w:rPr>
        <w:t xml:space="preserve"> (ELT116826), wystąpienie nowych nieprawidłowości cytogenetycznych obserwowano u 22,6% dorosłych pacjentów [7/31 (z których 3 miało zmiany w chromosomie</w:t>
      </w:r>
      <w:r w:rsidR="00057834" w:rsidRPr="007E4DA1">
        <w:rPr>
          <w:color w:val="000000"/>
          <w:szCs w:val="22"/>
        </w:rPr>
        <w:t> </w:t>
      </w:r>
      <w:r w:rsidRPr="007E4DA1">
        <w:rPr>
          <w:color w:val="000000"/>
          <w:szCs w:val="22"/>
        </w:rPr>
        <w:t>7)].</w:t>
      </w:r>
      <w:r w:rsidR="002667E3" w:rsidRPr="007E4DA1">
        <w:rPr>
          <w:color w:val="000000"/>
          <w:szCs w:val="22"/>
        </w:rPr>
        <w:t xml:space="preserve"> U wszystkich 7 </w:t>
      </w:r>
      <w:r w:rsidR="001547B7" w:rsidRPr="007E4DA1">
        <w:rPr>
          <w:color w:val="000000"/>
          <w:szCs w:val="22"/>
        </w:rPr>
        <w:t>pacjentów wyjściowy</w:t>
      </w:r>
      <w:r w:rsidR="002667E3" w:rsidRPr="007E4DA1">
        <w:rPr>
          <w:color w:val="000000"/>
          <w:szCs w:val="22"/>
        </w:rPr>
        <w:t xml:space="preserve"> wynik badania cytogenetycznego był prawidłowy. U sześciu pacjentów nieprawidłowości cytogenetyczne wystąpiły w 3.</w:t>
      </w:r>
      <w:r w:rsidR="00057834" w:rsidRPr="007E4DA1">
        <w:rPr>
          <w:color w:val="000000"/>
          <w:szCs w:val="22"/>
        </w:rPr>
        <w:t> </w:t>
      </w:r>
      <w:r w:rsidR="002667E3" w:rsidRPr="007E4DA1">
        <w:rPr>
          <w:color w:val="000000"/>
          <w:szCs w:val="22"/>
        </w:rPr>
        <w:t>miesiącu leczenia eltrombopagiem, a u jednego pacjenta nieprawidłowości cytogenetyczne wystąpiły w miesiącu</w:t>
      </w:r>
      <w:r w:rsidR="00057834" w:rsidRPr="007E4DA1">
        <w:rPr>
          <w:color w:val="000000"/>
          <w:szCs w:val="22"/>
        </w:rPr>
        <w:t> </w:t>
      </w:r>
      <w:r w:rsidR="002667E3" w:rsidRPr="007E4DA1">
        <w:rPr>
          <w:color w:val="000000"/>
          <w:szCs w:val="22"/>
        </w:rPr>
        <w:t>6.</w:t>
      </w:r>
    </w:p>
    <w:p w14:paraId="7BF12DE3" w14:textId="77777777" w:rsidR="002667E3" w:rsidRPr="007E4DA1" w:rsidRDefault="002667E3" w:rsidP="001A6584">
      <w:pPr>
        <w:tabs>
          <w:tab w:val="left" w:pos="142"/>
        </w:tabs>
        <w:ind w:left="0" w:firstLine="0"/>
        <w:rPr>
          <w:color w:val="000000"/>
          <w:szCs w:val="22"/>
        </w:rPr>
      </w:pPr>
    </w:p>
    <w:p w14:paraId="6E7A54E6" w14:textId="77777777" w:rsidR="00BB7729" w:rsidRPr="007E4DA1" w:rsidRDefault="00BB7729" w:rsidP="001A6584">
      <w:pPr>
        <w:tabs>
          <w:tab w:val="left" w:pos="142"/>
        </w:tabs>
        <w:ind w:left="0" w:firstLine="0"/>
        <w:rPr>
          <w:color w:val="000000"/>
          <w:szCs w:val="22"/>
        </w:rPr>
      </w:pPr>
      <w:r w:rsidRPr="007E4DA1">
        <w:rPr>
          <w:color w:val="000000"/>
          <w:szCs w:val="22"/>
        </w:rPr>
        <w:t>W badaniach klinicznych z eltrombopagiem w leczeniu SAA u 4% pacjentów (5/133) rozpoznano MDS. Mediana czasu do rozpoznania wyniosła 3</w:t>
      </w:r>
      <w:r w:rsidR="0024546C" w:rsidRPr="007E4DA1">
        <w:rPr>
          <w:color w:val="000000"/>
          <w:szCs w:val="22"/>
        </w:rPr>
        <w:t> </w:t>
      </w:r>
      <w:r w:rsidRPr="007E4DA1">
        <w:rPr>
          <w:color w:val="000000"/>
          <w:szCs w:val="22"/>
        </w:rPr>
        <w:t>miesiące od rozpoczęcia leczenia eltrombopagiem.</w:t>
      </w:r>
    </w:p>
    <w:p w14:paraId="6617EA12" w14:textId="77777777" w:rsidR="00BB7729" w:rsidRPr="007E4DA1" w:rsidRDefault="00BB7729" w:rsidP="001A6584">
      <w:pPr>
        <w:tabs>
          <w:tab w:val="left" w:pos="142"/>
        </w:tabs>
        <w:ind w:left="0" w:firstLine="0"/>
        <w:rPr>
          <w:color w:val="000000"/>
          <w:szCs w:val="22"/>
        </w:rPr>
      </w:pPr>
    </w:p>
    <w:p w14:paraId="3E7BB1BF" w14:textId="77777777" w:rsidR="00BB7729" w:rsidRPr="007E4DA1" w:rsidRDefault="00BB7729" w:rsidP="001A6584">
      <w:pPr>
        <w:tabs>
          <w:tab w:val="left" w:pos="142"/>
        </w:tabs>
        <w:ind w:left="0" w:firstLine="0"/>
        <w:rPr>
          <w:color w:val="000000"/>
          <w:szCs w:val="22"/>
        </w:rPr>
      </w:pPr>
      <w:r w:rsidRPr="007E4DA1">
        <w:rPr>
          <w:color w:val="000000"/>
          <w:szCs w:val="22"/>
        </w:rPr>
        <w:t>U pacjentów z SAA</w:t>
      </w:r>
      <w:r w:rsidR="003843D2" w:rsidRPr="007E4DA1">
        <w:t xml:space="preserve"> opornych na wcześniejsze leczenie immunosupresyjne lub którzy przebyli wcześniejsze intensywne leczeni</w:t>
      </w:r>
      <w:r w:rsidRPr="007E4DA1">
        <w:rPr>
          <w:color w:val="000000"/>
          <w:szCs w:val="22"/>
        </w:rPr>
        <w:t xml:space="preserve">e </w:t>
      </w:r>
      <w:r w:rsidR="003843D2" w:rsidRPr="007E4DA1">
        <w:rPr>
          <w:color w:val="000000"/>
          <w:szCs w:val="22"/>
        </w:rPr>
        <w:t xml:space="preserve">immunosupresyjne, </w:t>
      </w:r>
      <w:r w:rsidRPr="007E4DA1">
        <w:rPr>
          <w:color w:val="000000"/>
          <w:szCs w:val="22"/>
        </w:rPr>
        <w:t>zaleca się wyko</w:t>
      </w:r>
      <w:r w:rsidR="003843D2" w:rsidRPr="007E4DA1">
        <w:rPr>
          <w:color w:val="000000"/>
          <w:szCs w:val="22"/>
        </w:rPr>
        <w:t>nanie badania szpiku kostnego z </w:t>
      </w:r>
      <w:r w:rsidRPr="007E4DA1">
        <w:rPr>
          <w:color w:val="000000"/>
          <w:szCs w:val="22"/>
        </w:rPr>
        <w:t>aspiracją materiału do badań cytogenetycznych przed rozpoczęcie</w:t>
      </w:r>
      <w:r w:rsidR="003843D2" w:rsidRPr="007E4DA1">
        <w:rPr>
          <w:color w:val="000000"/>
          <w:szCs w:val="22"/>
        </w:rPr>
        <w:t>m leczenia eltrombopagiem, po 3 </w:t>
      </w:r>
      <w:r w:rsidRPr="007E4DA1">
        <w:rPr>
          <w:color w:val="000000"/>
          <w:szCs w:val="22"/>
        </w:rPr>
        <w:t>miesiącach od rozpoczęcia leczenia, a następnie po 6</w:t>
      </w:r>
      <w:r w:rsidR="0024546C" w:rsidRPr="007E4DA1">
        <w:rPr>
          <w:color w:val="000000"/>
          <w:szCs w:val="22"/>
        </w:rPr>
        <w:t> </w:t>
      </w:r>
      <w:r w:rsidRPr="007E4DA1">
        <w:rPr>
          <w:color w:val="000000"/>
          <w:szCs w:val="22"/>
        </w:rPr>
        <w:t xml:space="preserve">miesiącach. W przypadku stwierdzenia nowych nieprawidłowości cytogenetycznych </w:t>
      </w:r>
      <w:r w:rsidR="00F44EE1" w:rsidRPr="007E4DA1">
        <w:rPr>
          <w:color w:val="000000"/>
          <w:szCs w:val="22"/>
        </w:rPr>
        <w:t>trzeba</w:t>
      </w:r>
      <w:r w:rsidRPr="007E4DA1">
        <w:rPr>
          <w:color w:val="000000"/>
          <w:szCs w:val="22"/>
        </w:rPr>
        <w:t xml:space="preserve"> ocenić, czy kontynuacja leczenia eltrombopagiem jest właściwa.</w:t>
      </w:r>
    </w:p>
    <w:p w14:paraId="2A5EB3DF" w14:textId="77777777" w:rsidR="004613A1" w:rsidRPr="007E4DA1" w:rsidRDefault="004613A1" w:rsidP="001A6584">
      <w:pPr>
        <w:tabs>
          <w:tab w:val="left" w:pos="142"/>
        </w:tabs>
        <w:ind w:left="0" w:firstLine="0"/>
        <w:rPr>
          <w:color w:val="000000"/>
          <w:szCs w:val="22"/>
        </w:rPr>
      </w:pPr>
    </w:p>
    <w:p w14:paraId="798B0CA9" w14:textId="77777777" w:rsidR="00041A08" w:rsidRPr="00041A08" w:rsidRDefault="00802FF6" w:rsidP="001A6584">
      <w:pPr>
        <w:keepNext/>
        <w:tabs>
          <w:tab w:val="left" w:pos="142"/>
        </w:tabs>
        <w:ind w:left="0" w:firstLine="0"/>
        <w:rPr>
          <w:color w:val="000000"/>
          <w:szCs w:val="22"/>
        </w:rPr>
      </w:pPr>
      <w:r w:rsidRPr="007E4DA1">
        <w:rPr>
          <w:color w:val="000000"/>
          <w:szCs w:val="22"/>
          <w:u w:val="single"/>
        </w:rPr>
        <w:t>Zmiany w oku</w:t>
      </w:r>
    </w:p>
    <w:p w14:paraId="1079AB34" w14:textId="31648D3C" w:rsidR="00802FF6" w:rsidRPr="007E4DA1" w:rsidRDefault="00802FF6" w:rsidP="001A6584">
      <w:pPr>
        <w:keepNext/>
        <w:tabs>
          <w:tab w:val="left" w:pos="142"/>
        </w:tabs>
        <w:ind w:left="0" w:firstLine="0"/>
        <w:rPr>
          <w:color w:val="000000"/>
          <w:szCs w:val="24"/>
        </w:rPr>
      </w:pPr>
    </w:p>
    <w:p w14:paraId="26A9A90F" w14:textId="24B86B4A" w:rsidR="00802FF6" w:rsidRPr="007E4DA1" w:rsidRDefault="00802FF6" w:rsidP="001A6584">
      <w:pPr>
        <w:tabs>
          <w:tab w:val="left" w:pos="142"/>
        </w:tabs>
        <w:ind w:left="0" w:firstLine="0"/>
      </w:pPr>
      <w:r w:rsidRPr="007E4DA1">
        <w:rPr>
          <w:color w:val="000000"/>
          <w:szCs w:val="24"/>
        </w:rPr>
        <w:t>W badaniach toksykologicznych eltrombopagu na gryzoniach stwierdzono występowanie zaćmy (patrz punkt</w:t>
      </w:r>
      <w:r w:rsidR="0024546C" w:rsidRPr="007E4DA1">
        <w:rPr>
          <w:color w:val="000000"/>
          <w:szCs w:val="24"/>
        </w:rPr>
        <w:t> </w:t>
      </w:r>
      <w:r w:rsidRPr="007E4DA1">
        <w:rPr>
          <w:color w:val="000000"/>
          <w:szCs w:val="24"/>
        </w:rPr>
        <w:t xml:space="preserve">5.3). </w:t>
      </w:r>
      <w:r w:rsidRPr="007E4DA1">
        <w:t>W kontrolowanych badaniach z udziałem pacjentów z małopłytkowością i zakażeniem wirusem WZW C, otrzymujących leczenie interferonem (n=1</w:t>
      </w:r>
      <w:r w:rsidR="007154BC" w:rsidRPr="007E4DA1">
        <w:t> </w:t>
      </w:r>
      <w:r w:rsidRPr="007E4DA1">
        <w:t xml:space="preserve">439), progresję stwierdzonej przed badaniem zaćmy lub nowe przypadki zaćmy zaobserwowano u 8% pacjentów w </w:t>
      </w:r>
      <w:r w:rsidRPr="007E4DA1">
        <w:lastRenderedPageBreak/>
        <w:t>grupie leczonej eltrombopagiem oraz u 5% pacjentów w grupie placebo. U pacjentów WZW C, którzy otrzymywali interferon, rybawirynę i eltrombopag, obserwowano krwotoki siatkówkowe, głównie w stopniu nasilenia 1 lub 2 (u 2% pacjentów w grupie leczonej eltrombopagiem oraz u 2% pacjentów w grupie placebo). Krwotoki te występowały na powierzchni siatkówki (przedsiatkówkowe), pod siatkówką (podsiatkówkowe) lub w obrębie tkanek siatkówki. Zaleca się rutynowe badania okulistyczne pacjentów.</w:t>
      </w:r>
    </w:p>
    <w:p w14:paraId="55C75CA5" w14:textId="77777777" w:rsidR="00802FF6" w:rsidRPr="007E4DA1" w:rsidRDefault="00802FF6" w:rsidP="001A6584">
      <w:pPr>
        <w:tabs>
          <w:tab w:val="left" w:pos="142"/>
        </w:tabs>
        <w:ind w:left="0" w:firstLine="0"/>
      </w:pPr>
    </w:p>
    <w:p w14:paraId="335607BA" w14:textId="77777777" w:rsidR="00041A08" w:rsidRPr="00041A08" w:rsidRDefault="00802FF6" w:rsidP="001A6584">
      <w:pPr>
        <w:keepNext/>
        <w:tabs>
          <w:tab w:val="left" w:pos="142"/>
        </w:tabs>
        <w:ind w:left="0" w:firstLine="0"/>
        <w:rPr>
          <w:szCs w:val="22"/>
        </w:rPr>
      </w:pPr>
      <w:r w:rsidRPr="007E4DA1">
        <w:rPr>
          <w:u w:val="single"/>
        </w:rPr>
        <w:t>Wydłużenie odstępu QT/QTc</w:t>
      </w:r>
    </w:p>
    <w:p w14:paraId="06732BE9" w14:textId="77777777" w:rsidR="00041A08" w:rsidRPr="00041A08" w:rsidRDefault="00041A08" w:rsidP="001A6584">
      <w:pPr>
        <w:keepNext/>
        <w:tabs>
          <w:tab w:val="left" w:pos="142"/>
        </w:tabs>
        <w:ind w:left="0" w:firstLine="0"/>
        <w:rPr>
          <w:szCs w:val="22"/>
        </w:rPr>
      </w:pPr>
    </w:p>
    <w:p w14:paraId="23E1D801" w14:textId="77777777" w:rsidR="00802FF6" w:rsidRPr="007E4DA1" w:rsidRDefault="00802FF6" w:rsidP="001A6584">
      <w:pPr>
        <w:tabs>
          <w:tab w:val="left" w:pos="142"/>
        </w:tabs>
        <w:ind w:left="0" w:firstLine="0"/>
        <w:rPr>
          <w:szCs w:val="22"/>
        </w:rPr>
      </w:pPr>
      <w:r w:rsidRPr="007E4DA1">
        <w:t>Badanie, w którym oceniano odstęp QTc u zdrowych ochotników otrzymujących eltrombopag w dawce 150 mg na dobę, nie wykazało klinicznie istotnego wpływu na repolaryzację mięśnia sercowego. W badaniach klinicznych z udziałem pacjentów z pierwotną małopłytkowością immunologiczną oraz u pacjentów z małopłytkowością i zakażeniem wirusem WZW C obserwowano wydłużenie odstępu QTc. Znaczenie kliniczne tych przypadków wydłużenia odstępu QTc jest nieznane.</w:t>
      </w:r>
    </w:p>
    <w:p w14:paraId="0B684C1C" w14:textId="77777777" w:rsidR="00041A08" w:rsidRPr="00041A08" w:rsidRDefault="00041A08" w:rsidP="001A6584">
      <w:pPr>
        <w:tabs>
          <w:tab w:val="left" w:pos="142"/>
        </w:tabs>
        <w:ind w:left="0" w:firstLine="0"/>
        <w:rPr>
          <w:szCs w:val="22"/>
        </w:rPr>
      </w:pPr>
    </w:p>
    <w:p w14:paraId="1BF02759" w14:textId="77777777" w:rsidR="00041A08" w:rsidRPr="00041A08" w:rsidRDefault="00802FF6" w:rsidP="001A6584">
      <w:pPr>
        <w:keepNext/>
        <w:tabs>
          <w:tab w:val="left" w:pos="142"/>
        </w:tabs>
        <w:ind w:left="0" w:firstLine="0"/>
      </w:pPr>
      <w:r w:rsidRPr="007E4DA1">
        <w:rPr>
          <w:u w:val="single"/>
        </w:rPr>
        <w:t>Utrata odpowiedzi na eltrombopag</w:t>
      </w:r>
    </w:p>
    <w:p w14:paraId="57F7781F" w14:textId="3B3C8612" w:rsidR="00802FF6" w:rsidRPr="007E4DA1" w:rsidRDefault="00802FF6" w:rsidP="001A6584">
      <w:pPr>
        <w:keepNext/>
        <w:tabs>
          <w:tab w:val="left" w:pos="142"/>
        </w:tabs>
        <w:ind w:left="0" w:firstLine="0"/>
        <w:rPr>
          <w:szCs w:val="22"/>
        </w:rPr>
      </w:pPr>
    </w:p>
    <w:p w14:paraId="4BC81501" w14:textId="77777777" w:rsidR="00802FF6" w:rsidRPr="007E4DA1" w:rsidRDefault="00802FF6" w:rsidP="001A6584">
      <w:pPr>
        <w:tabs>
          <w:tab w:val="left" w:pos="142"/>
        </w:tabs>
        <w:ind w:left="0" w:firstLine="0"/>
      </w:pPr>
      <w:r w:rsidRPr="007E4DA1">
        <w:t>W przypadku utraty odpowiedzi lub niepowodzenia w utrzymaniu odpowiedzi płytkowej na leczenie eltrombopagiem w zakresie zalecanych dawek, należy poszukiwać przyczyny takiego stanu, w tym zwiększenia ilości retykuliny w szpiku kostnym.</w:t>
      </w:r>
    </w:p>
    <w:p w14:paraId="55DA95BD" w14:textId="77777777" w:rsidR="00D47BCC" w:rsidRPr="007E4DA1" w:rsidRDefault="00D47BCC" w:rsidP="001A6584">
      <w:pPr>
        <w:tabs>
          <w:tab w:val="left" w:pos="142"/>
        </w:tabs>
        <w:ind w:left="0" w:firstLine="0"/>
        <w:rPr>
          <w:color w:val="000000"/>
          <w:szCs w:val="22"/>
        </w:rPr>
      </w:pPr>
    </w:p>
    <w:p w14:paraId="2A0DEFCF" w14:textId="77777777" w:rsidR="00041A08" w:rsidRPr="00041A08" w:rsidRDefault="00BE16FF" w:rsidP="001A6584">
      <w:pPr>
        <w:keepNext/>
        <w:tabs>
          <w:tab w:val="left" w:pos="142"/>
        </w:tabs>
        <w:ind w:left="0" w:firstLine="0"/>
        <w:rPr>
          <w:color w:val="000000"/>
          <w:szCs w:val="22"/>
        </w:rPr>
      </w:pPr>
      <w:r w:rsidRPr="007E4DA1">
        <w:rPr>
          <w:color w:val="000000"/>
          <w:szCs w:val="22"/>
          <w:u w:val="single"/>
        </w:rPr>
        <w:t>D</w:t>
      </w:r>
      <w:r w:rsidR="00364781" w:rsidRPr="007E4DA1">
        <w:rPr>
          <w:color w:val="000000"/>
          <w:szCs w:val="22"/>
          <w:u w:val="single"/>
        </w:rPr>
        <w:t>zieci i młodzież</w:t>
      </w:r>
    </w:p>
    <w:p w14:paraId="0937396F" w14:textId="67224DC2" w:rsidR="00364781" w:rsidRPr="007E4DA1" w:rsidRDefault="00364781" w:rsidP="001A6584">
      <w:pPr>
        <w:keepNext/>
        <w:tabs>
          <w:tab w:val="left" w:pos="142"/>
        </w:tabs>
        <w:ind w:left="0" w:firstLine="0"/>
        <w:rPr>
          <w:color w:val="000000"/>
          <w:szCs w:val="22"/>
        </w:rPr>
      </w:pPr>
    </w:p>
    <w:p w14:paraId="26A31298" w14:textId="77777777" w:rsidR="00364781" w:rsidRPr="007E4DA1" w:rsidRDefault="00364781" w:rsidP="001A6584">
      <w:pPr>
        <w:tabs>
          <w:tab w:val="left" w:pos="142"/>
        </w:tabs>
        <w:ind w:left="0" w:firstLine="0"/>
        <w:rPr>
          <w:color w:val="000000"/>
          <w:szCs w:val="22"/>
        </w:rPr>
      </w:pPr>
      <w:r w:rsidRPr="007E4DA1">
        <w:rPr>
          <w:color w:val="000000"/>
          <w:szCs w:val="22"/>
        </w:rPr>
        <w:t xml:space="preserve">Powyższe ostrzeżenia i środki ostrożności dla </w:t>
      </w:r>
      <w:r w:rsidRPr="007E4DA1">
        <w:rPr>
          <w:szCs w:val="22"/>
        </w:rPr>
        <w:t>pierwotnej małopłytkowości immunologicznej</w:t>
      </w:r>
      <w:r w:rsidRPr="007E4DA1">
        <w:rPr>
          <w:color w:val="000000"/>
          <w:szCs w:val="22"/>
        </w:rPr>
        <w:t xml:space="preserve"> dotyczą także populacji dzieci i młodzieży.</w:t>
      </w:r>
    </w:p>
    <w:p w14:paraId="590D1EB2" w14:textId="77777777" w:rsidR="001E7DC9" w:rsidRPr="007E4DA1" w:rsidRDefault="001E7DC9" w:rsidP="001A6584">
      <w:pPr>
        <w:tabs>
          <w:tab w:val="left" w:pos="142"/>
        </w:tabs>
        <w:ind w:left="0" w:firstLine="0"/>
        <w:rPr>
          <w:color w:val="000000"/>
          <w:szCs w:val="22"/>
        </w:rPr>
      </w:pPr>
    </w:p>
    <w:p w14:paraId="17FB4F2B" w14:textId="77777777" w:rsidR="00041A08" w:rsidRPr="00041A08" w:rsidRDefault="00634D6C" w:rsidP="001A6584">
      <w:pPr>
        <w:keepNext/>
        <w:tabs>
          <w:tab w:val="left" w:pos="142"/>
        </w:tabs>
        <w:ind w:left="0" w:firstLine="0"/>
        <w:rPr>
          <w:color w:val="000000"/>
          <w:szCs w:val="22"/>
        </w:rPr>
      </w:pPr>
      <w:r w:rsidRPr="007E4DA1">
        <w:rPr>
          <w:color w:val="000000"/>
          <w:szCs w:val="22"/>
          <w:u w:val="single"/>
        </w:rPr>
        <w:t xml:space="preserve">Wpływ na wyniki badań </w:t>
      </w:r>
      <w:r w:rsidR="001E7DC9" w:rsidRPr="007E4DA1">
        <w:rPr>
          <w:color w:val="000000"/>
          <w:szCs w:val="22"/>
          <w:u w:val="single"/>
        </w:rPr>
        <w:t>laboratoryjny</w:t>
      </w:r>
      <w:r w:rsidRPr="007E4DA1">
        <w:rPr>
          <w:color w:val="000000"/>
          <w:szCs w:val="22"/>
          <w:u w:val="single"/>
        </w:rPr>
        <w:t>ch</w:t>
      </w:r>
    </w:p>
    <w:p w14:paraId="51C42EB1" w14:textId="73B593FD" w:rsidR="005A43B4" w:rsidRPr="007E4DA1" w:rsidRDefault="005A43B4" w:rsidP="001A6584">
      <w:pPr>
        <w:keepNext/>
        <w:tabs>
          <w:tab w:val="left" w:pos="142"/>
        </w:tabs>
        <w:ind w:left="0" w:firstLine="0"/>
        <w:rPr>
          <w:color w:val="000000"/>
          <w:szCs w:val="22"/>
        </w:rPr>
      </w:pPr>
    </w:p>
    <w:p w14:paraId="6E40196F" w14:textId="77777777" w:rsidR="00FA7022" w:rsidRPr="007E4DA1" w:rsidRDefault="00FA7022" w:rsidP="001A6584">
      <w:pPr>
        <w:tabs>
          <w:tab w:val="left" w:pos="142"/>
        </w:tabs>
        <w:ind w:left="0" w:firstLine="0"/>
        <w:rPr>
          <w:color w:val="000000"/>
          <w:szCs w:val="22"/>
        </w:rPr>
      </w:pPr>
      <w:r w:rsidRPr="007E4DA1">
        <w:rPr>
          <w:color w:val="000000"/>
          <w:szCs w:val="22"/>
        </w:rPr>
        <w:t xml:space="preserve">Eltrombopag </w:t>
      </w:r>
      <w:r w:rsidR="00E876AF" w:rsidRPr="007E4DA1">
        <w:rPr>
          <w:color w:val="000000"/>
          <w:szCs w:val="22"/>
        </w:rPr>
        <w:t>jest intensywnie</w:t>
      </w:r>
      <w:r w:rsidRPr="007E4DA1">
        <w:rPr>
          <w:color w:val="000000"/>
          <w:szCs w:val="22"/>
        </w:rPr>
        <w:t xml:space="preserve"> </w:t>
      </w:r>
      <w:r w:rsidR="00E876AF" w:rsidRPr="007E4DA1">
        <w:rPr>
          <w:color w:val="000000"/>
          <w:szCs w:val="22"/>
        </w:rPr>
        <w:t>za</w:t>
      </w:r>
      <w:r w:rsidRPr="007E4DA1">
        <w:rPr>
          <w:color w:val="000000"/>
          <w:szCs w:val="22"/>
        </w:rPr>
        <w:t>barwi</w:t>
      </w:r>
      <w:r w:rsidR="00E876AF" w:rsidRPr="007E4DA1">
        <w:rPr>
          <w:color w:val="000000"/>
          <w:szCs w:val="22"/>
        </w:rPr>
        <w:t>ony</w:t>
      </w:r>
      <w:r w:rsidRPr="007E4DA1">
        <w:rPr>
          <w:color w:val="000000"/>
          <w:szCs w:val="22"/>
        </w:rPr>
        <w:t xml:space="preserve"> </w:t>
      </w:r>
      <w:r w:rsidR="00AC1E3C" w:rsidRPr="007E4DA1">
        <w:rPr>
          <w:color w:val="000000"/>
          <w:szCs w:val="22"/>
        </w:rPr>
        <w:t xml:space="preserve">i </w:t>
      </w:r>
      <w:r w:rsidR="00E876AF" w:rsidRPr="007E4DA1">
        <w:rPr>
          <w:color w:val="000000"/>
          <w:szCs w:val="22"/>
        </w:rPr>
        <w:t>w związku z tym</w:t>
      </w:r>
      <w:r w:rsidRPr="007E4DA1">
        <w:rPr>
          <w:color w:val="000000"/>
          <w:szCs w:val="22"/>
        </w:rPr>
        <w:t xml:space="preserve"> może wpływa</w:t>
      </w:r>
      <w:r w:rsidR="005407EC" w:rsidRPr="007E4DA1">
        <w:rPr>
          <w:color w:val="000000"/>
          <w:szCs w:val="22"/>
        </w:rPr>
        <w:t>ć</w:t>
      </w:r>
      <w:r w:rsidRPr="007E4DA1">
        <w:rPr>
          <w:color w:val="000000"/>
          <w:szCs w:val="22"/>
        </w:rPr>
        <w:t xml:space="preserve"> na wyniki</w:t>
      </w:r>
      <w:r w:rsidR="005407EC" w:rsidRPr="007E4DA1">
        <w:rPr>
          <w:color w:val="000000"/>
          <w:szCs w:val="22"/>
        </w:rPr>
        <w:t xml:space="preserve"> </w:t>
      </w:r>
      <w:r w:rsidR="00634D6C" w:rsidRPr="007E4DA1">
        <w:rPr>
          <w:color w:val="000000"/>
          <w:szCs w:val="22"/>
        </w:rPr>
        <w:t xml:space="preserve">niektórych </w:t>
      </w:r>
      <w:r w:rsidRPr="007E4DA1">
        <w:rPr>
          <w:color w:val="000000"/>
          <w:szCs w:val="22"/>
        </w:rPr>
        <w:t>bada</w:t>
      </w:r>
      <w:r w:rsidR="005407EC" w:rsidRPr="007E4DA1">
        <w:rPr>
          <w:color w:val="000000"/>
          <w:szCs w:val="22"/>
        </w:rPr>
        <w:t>ń</w:t>
      </w:r>
      <w:r w:rsidRPr="007E4DA1">
        <w:rPr>
          <w:color w:val="000000"/>
          <w:szCs w:val="22"/>
        </w:rPr>
        <w:t xml:space="preserve"> laboratoryjnych. </w:t>
      </w:r>
      <w:r w:rsidR="00AC1E3C" w:rsidRPr="007E4DA1">
        <w:rPr>
          <w:color w:val="000000"/>
          <w:szCs w:val="22"/>
        </w:rPr>
        <w:t>U pa</w:t>
      </w:r>
      <w:r w:rsidR="005407EC" w:rsidRPr="007E4DA1">
        <w:rPr>
          <w:color w:val="000000"/>
          <w:szCs w:val="22"/>
        </w:rPr>
        <w:t>c</w:t>
      </w:r>
      <w:r w:rsidR="00AC1E3C" w:rsidRPr="007E4DA1">
        <w:rPr>
          <w:color w:val="000000"/>
          <w:szCs w:val="22"/>
        </w:rPr>
        <w:t>j</w:t>
      </w:r>
      <w:r w:rsidR="005407EC" w:rsidRPr="007E4DA1">
        <w:rPr>
          <w:color w:val="000000"/>
          <w:szCs w:val="22"/>
        </w:rPr>
        <w:t xml:space="preserve">entów przyjmujących produkt leczniczy Revolade zgłaszano przypadki </w:t>
      </w:r>
      <w:r w:rsidR="00E876AF" w:rsidRPr="007E4DA1">
        <w:rPr>
          <w:color w:val="000000"/>
          <w:szCs w:val="22"/>
        </w:rPr>
        <w:t>za</w:t>
      </w:r>
      <w:r w:rsidR="00634D6C" w:rsidRPr="007E4DA1">
        <w:rPr>
          <w:color w:val="000000"/>
          <w:szCs w:val="22"/>
        </w:rPr>
        <w:t>barwienia surowicy</w:t>
      </w:r>
      <w:r w:rsidR="00567F01" w:rsidRPr="007E4DA1">
        <w:rPr>
          <w:color w:val="000000"/>
          <w:szCs w:val="22"/>
        </w:rPr>
        <w:t xml:space="preserve"> oraz</w:t>
      </w:r>
      <w:r w:rsidR="005407EC" w:rsidRPr="007E4DA1">
        <w:rPr>
          <w:color w:val="000000"/>
          <w:szCs w:val="22"/>
        </w:rPr>
        <w:t xml:space="preserve"> </w:t>
      </w:r>
      <w:r w:rsidR="00D556A6" w:rsidRPr="007E4DA1">
        <w:rPr>
          <w:color w:val="000000"/>
          <w:szCs w:val="22"/>
        </w:rPr>
        <w:t>wpły</w:t>
      </w:r>
      <w:r w:rsidR="00634D6C" w:rsidRPr="007E4DA1">
        <w:rPr>
          <w:color w:val="000000"/>
          <w:szCs w:val="22"/>
        </w:rPr>
        <w:t>w</w:t>
      </w:r>
      <w:r w:rsidR="00D556A6" w:rsidRPr="007E4DA1">
        <w:rPr>
          <w:color w:val="000000"/>
          <w:szCs w:val="22"/>
        </w:rPr>
        <w:t>u</w:t>
      </w:r>
      <w:r w:rsidR="00634D6C" w:rsidRPr="007E4DA1">
        <w:rPr>
          <w:color w:val="000000"/>
          <w:szCs w:val="22"/>
        </w:rPr>
        <w:t xml:space="preserve"> na wyniki</w:t>
      </w:r>
      <w:r w:rsidR="005407EC" w:rsidRPr="007E4DA1">
        <w:rPr>
          <w:color w:val="000000"/>
          <w:szCs w:val="22"/>
        </w:rPr>
        <w:t xml:space="preserve"> oznaczania bilirubiny całkowitej </w:t>
      </w:r>
      <w:r w:rsidR="00634D6C" w:rsidRPr="007E4DA1">
        <w:rPr>
          <w:color w:val="000000"/>
          <w:szCs w:val="22"/>
        </w:rPr>
        <w:t>i</w:t>
      </w:r>
      <w:r w:rsidR="005407EC" w:rsidRPr="007E4DA1">
        <w:rPr>
          <w:color w:val="000000"/>
          <w:szCs w:val="22"/>
        </w:rPr>
        <w:t xml:space="preserve"> kreatyniny. W przypadku rozbieżności pomiędzy wynikami </w:t>
      </w:r>
      <w:r w:rsidR="00634D6C" w:rsidRPr="007E4DA1">
        <w:rPr>
          <w:color w:val="000000"/>
          <w:szCs w:val="22"/>
        </w:rPr>
        <w:t>badań</w:t>
      </w:r>
      <w:r w:rsidR="005407EC" w:rsidRPr="007E4DA1">
        <w:rPr>
          <w:color w:val="000000"/>
          <w:szCs w:val="22"/>
        </w:rPr>
        <w:t xml:space="preserve"> </w:t>
      </w:r>
      <w:r w:rsidR="00567F01" w:rsidRPr="007E4DA1">
        <w:rPr>
          <w:color w:val="000000"/>
          <w:szCs w:val="22"/>
        </w:rPr>
        <w:t xml:space="preserve">laboratoryjnych </w:t>
      </w:r>
      <w:r w:rsidR="005407EC" w:rsidRPr="007E4DA1">
        <w:rPr>
          <w:color w:val="000000"/>
          <w:szCs w:val="22"/>
        </w:rPr>
        <w:t>a objawami klinicznymi,</w:t>
      </w:r>
      <w:r w:rsidR="00634D6C" w:rsidRPr="007E4DA1">
        <w:rPr>
          <w:color w:val="000000"/>
          <w:szCs w:val="22"/>
        </w:rPr>
        <w:t xml:space="preserve"> pomocne w ustaleniu ważności wyniku może być ponowne wykonanie badania przy użyciu innej metody</w:t>
      </w:r>
      <w:r w:rsidR="005407EC" w:rsidRPr="007E4DA1">
        <w:rPr>
          <w:color w:val="000000"/>
          <w:szCs w:val="22"/>
        </w:rPr>
        <w:t>.</w:t>
      </w:r>
    </w:p>
    <w:p w14:paraId="2C1CAF10" w14:textId="77777777" w:rsidR="00BE16FF" w:rsidRPr="007E4DA1" w:rsidRDefault="00BE16FF" w:rsidP="001A6584">
      <w:pPr>
        <w:tabs>
          <w:tab w:val="left" w:pos="142"/>
        </w:tabs>
        <w:ind w:left="0" w:firstLine="0"/>
        <w:rPr>
          <w:color w:val="000000"/>
          <w:szCs w:val="22"/>
        </w:rPr>
      </w:pPr>
    </w:p>
    <w:p w14:paraId="6374B67A" w14:textId="77777777" w:rsidR="00BE16FF" w:rsidRPr="007E4DA1" w:rsidRDefault="00BE16FF" w:rsidP="001A6584">
      <w:pPr>
        <w:keepNext/>
        <w:tabs>
          <w:tab w:val="left" w:pos="142"/>
        </w:tabs>
        <w:ind w:left="0" w:firstLine="0"/>
        <w:rPr>
          <w:color w:val="000000"/>
          <w:szCs w:val="22"/>
        </w:rPr>
      </w:pPr>
      <w:r w:rsidRPr="007E4DA1">
        <w:rPr>
          <w:color w:val="000000"/>
          <w:szCs w:val="22"/>
          <w:u w:val="single"/>
        </w:rPr>
        <w:t>Zawartość sodu</w:t>
      </w:r>
    </w:p>
    <w:p w14:paraId="0F8952F8" w14:textId="77777777" w:rsidR="00BE16FF" w:rsidRPr="007E4DA1" w:rsidRDefault="00BE16FF" w:rsidP="001A6584">
      <w:pPr>
        <w:keepNext/>
        <w:tabs>
          <w:tab w:val="left" w:pos="142"/>
        </w:tabs>
        <w:ind w:left="0" w:firstLine="0"/>
        <w:rPr>
          <w:color w:val="000000"/>
          <w:szCs w:val="22"/>
        </w:rPr>
      </w:pPr>
    </w:p>
    <w:p w14:paraId="2240B61C" w14:textId="77777777" w:rsidR="00BE16FF" w:rsidRPr="007E4DA1" w:rsidRDefault="00BE16FF" w:rsidP="001A6584">
      <w:pPr>
        <w:tabs>
          <w:tab w:val="left" w:pos="142"/>
        </w:tabs>
        <w:ind w:left="0" w:firstLine="0"/>
        <w:rPr>
          <w:color w:val="000000"/>
          <w:szCs w:val="22"/>
        </w:rPr>
      </w:pPr>
      <w:bookmarkStart w:id="3" w:name="_Hlk192580693"/>
      <w:r w:rsidRPr="007E4DA1">
        <w:rPr>
          <w:color w:val="000000"/>
          <w:szCs w:val="22"/>
        </w:rPr>
        <w:t xml:space="preserve">Produkt leczniczy zawiera mniej niż 1 mmol (23 mg) sodu na tabletkę powlekaną, to znaczy </w:t>
      </w:r>
      <w:r w:rsidR="00752851" w:rsidRPr="007E4DA1">
        <w:rPr>
          <w:color w:val="000000"/>
          <w:szCs w:val="22"/>
        </w:rPr>
        <w:t>produkt leczniczy</w:t>
      </w:r>
      <w:r w:rsidRPr="007E4DA1">
        <w:rPr>
          <w:color w:val="000000"/>
          <w:szCs w:val="22"/>
        </w:rPr>
        <w:t xml:space="preserve"> uznaje się za „wolny od sodu”.</w:t>
      </w:r>
    </w:p>
    <w:bookmarkEnd w:id="3"/>
    <w:p w14:paraId="279704A0" w14:textId="77777777" w:rsidR="00364781" w:rsidRPr="007E4DA1" w:rsidRDefault="00364781" w:rsidP="001A6584">
      <w:pPr>
        <w:tabs>
          <w:tab w:val="left" w:pos="142"/>
        </w:tabs>
        <w:ind w:left="0" w:firstLine="0"/>
        <w:rPr>
          <w:color w:val="000000"/>
          <w:szCs w:val="22"/>
        </w:rPr>
      </w:pPr>
    </w:p>
    <w:p w14:paraId="6799274B" w14:textId="77777777" w:rsidR="00802FF6" w:rsidRPr="007E4DA1" w:rsidRDefault="00802FF6" w:rsidP="001A6584">
      <w:pPr>
        <w:keepNext/>
      </w:pPr>
      <w:r w:rsidRPr="007E4DA1">
        <w:rPr>
          <w:b/>
        </w:rPr>
        <w:t>4.5</w:t>
      </w:r>
      <w:r w:rsidRPr="007E4DA1">
        <w:rPr>
          <w:b/>
        </w:rPr>
        <w:tab/>
        <w:t xml:space="preserve">Interakcje z innymi </w:t>
      </w:r>
      <w:r w:rsidR="002E193C" w:rsidRPr="007E4DA1">
        <w:rPr>
          <w:b/>
        </w:rPr>
        <w:t>produktami leczniczymi</w:t>
      </w:r>
      <w:r w:rsidRPr="007E4DA1">
        <w:rPr>
          <w:b/>
        </w:rPr>
        <w:t xml:space="preserve"> i inne rodzaje interakcji</w:t>
      </w:r>
    </w:p>
    <w:p w14:paraId="798558C9" w14:textId="77777777" w:rsidR="00802FF6" w:rsidRPr="007E4DA1" w:rsidRDefault="00802FF6" w:rsidP="001A6584">
      <w:pPr>
        <w:keepNext/>
        <w:tabs>
          <w:tab w:val="left" w:pos="142"/>
        </w:tabs>
        <w:ind w:left="0" w:firstLine="0"/>
        <w:rPr>
          <w:rStyle w:val="LBLLevel2Char"/>
          <w:rFonts w:ascii="Times New Roman" w:hAnsi="Times New Roman"/>
          <w:b w:val="0"/>
          <w:sz w:val="22"/>
          <w:szCs w:val="22"/>
          <w:lang w:val="pl-PL"/>
        </w:rPr>
      </w:pPr>
    </w:p>
    <w:p w14:paraId="1788C45C" w14:textId="77777777" w:rsidR="00041A08" w:rsidRPr="00041A08" w:rsidRDefault="00802FF6" w:rsidP="001A6584">
      <w:pPr>
        <w:keepNext/>
        <w:tabs>
          <w:tab w:val="left" w:pos="142"/>
        </w:tabs>
        <w:ind w:left="0" w:firstLine="0"/>
        <w:rPr>
          <w:rFonts w:eastAsia="MS Mincho"/>
        </w:rPr>
      </w:pPr>
      <w:r w:rsidRPr="007E4DA1">
        <w:rPr>
          <w:rFonts w:eastAsia="MS Mincho"/>
          <w:u w:val="single"/>
        </w:rPr>
        <w:t>Wpływ eltrombopagu na inne produkty lecznicze</w:t>
      </w:r>
    </w:p>
    <w:p w14:paraId="63010317" w14:textId="1F18DAA6" w:rsidR="00802FF6" w:rsidRPr="007E4DA1" w:rsidRDefault="00802FF6" w:rsidP="001A6584">
      <w:pPr>
        <w:keepNext/>
        <w:tabs>
          <w:tab w:val="left" w:pos="142"/>
        </w:tabs>
        <w:ind w:left="0" w:firstLine="0"/>
      </w:pPr>
    </w:p>
    <w:p w14:paraId="133AA2FC" w14:textId="77777777" w:rsidR="00041A08" w:rsidRPr="00041A08" w:rsidRDefault="00802FF6" w:rsidP="001A6584">
      <w:pPr>
        <w:keepNext/>
        <w:tabs>
          <w:tab w:val="left" w:pos="142"/>
        </w:tabs>
        <w:ind w:left="0" w:firstLine="0"/>
      </w:pPr>
      <w:r w:rsidRPr="007E4DA1">
        <w:rPr>
          <w:i/>
          <w:u w:val="single"/>
        </w:rPr>
        <w:t xml:space="preserve">Inhibitory reduktazy </w:t>
      </w:r>
      <w:smartTag w:uri="urn:schemas-microsoft-com:office:smarttags" w:element="stockticker">
        <w:r w:rsidRPr="007E4DA1">
          <w:rPr>
            <w:i/>
            <w:u w:val="single"/>
          </w:rPr>
          <w:t>HMG</w:t>
        </w:r>
      </w:smartTag>
      <w:r w:rsidRPr="007E4DA1">
        <w:rPr>
          <w:i/>
          <w:u w:val="single"/>
        </w:rPr>
        <w:t xml:space="preserve"> CoA</w:t>
      </w:r>
    </w:p>
    <w:p w14:paraId="181B6F5C" w14:textId="74E1BDC8" w:rsidR="00802FF6" w:rsidRPr="007E4DA1" w:rsidRDefault="00802FF6" w:rsidP="001A6584">
      <w:pPr>
        <w:keepNext/>
        <w:tabs>
          <w:tab w:val="left" w:pos="142"/>
        </w:tabs>
        <w:ind w:left="0" w:firstLine="0"/>
        <w:rPr>
          <w:szCs w:val="22"/>
        </w:rPr>
      </w:pPr>
    </w:p>
    <w:p w14:paraId="6F8BCC39" w14:textId="77777777" w:rsidR="00802FF6" w:rsidRPr="007E4DA1" w:rsidRDefault="00802FF6" w:rsidP="001A6584">
      <w:pPr>
        <w:tabs>
          <w:tab w:val="left" w:pos="142"/>
        </w:tabs>
        <w:ind w:left="0" w:firstLine="0"/>
      </w:pPr>
      <w:r w:rsidRPr="007E4DA1">
        <w:t>Podawanie eltrombopagu w dawce 75 mg raz na dobę przez 5</w:t>
      </w:r>
      <w:r w:rsidR="0024546C" w:rsidRPr="007E4DA1">
        <w:t> </w:t>
      </w:r>
      <w:r w:rsidRPr="007E4DA1">
        <w:t>dni wraz z pojedynczą dawką 10 mg rozuwastatyny, substratu OATP1B1 i BCRP, 39</w:t>
      </w:r>
      <w:r w:rsidR="0024546C" w:rsidRPr="007E4DA1">
        <w:t> </w:t>
      </w:r>
      <w:r w:rsidRPr="007E4DA1">
        <w:t>zdrowym osobom dorosłym prowadziło do zwiększenia C</w:t>
      </w:r>
      <w:r w:rsidRPr="007E4DA1">
        <w:rPr>
          <w:szCs w:val="24"/>
          <w:vertAlign w:val="subscript"/>
        </w:rPr>
        <w:t>max</w:t>
      </w:r>
      <w:r w:rsidRPr="007E4DA1">
        <w:t xml:space="preserve"> i AUC</w:t>
      </w:r>
      <w:r w:rsidRPr="007E4DA1">
        <w:rPr>
          <w:vertAlign w:val="subscript"/>
        </w:rPr>
        <w:t>0-</w:t>
      </w:r>
      <w:r w:rsidRPr="007E4DA1">
        <w:rPr>
          <w:vertAlign w:val="subscript"/>
        </w:rPr>
        <w:sym w:font="Symbol" w:char="F0A5"/>
      </w:r>
      <w:r w:rsidRPr="007E4DA1">
        <w:t xml:space="preserve"> rozuwastatyny w osoczu odpowiednio o 103% (90% </w:t>
      </w:r>
      <w:r w:rsidR="00653472" w:rsidRPr="007E4DA1">
        <w:t>przedział ufności [</w:t>
      </w:r>
      <w:r w:rsidRPr="007E4DA1">
        <w:t>CI</w:t>
      </w:r>
      <w:r w:rsidR="00653472" w:rsidRPr="007E4DA1">
        <w:t>]</w:t>
      </w:r>
      <w:r w:rsidRPr="007E4DA1">
        <w:t xml:space="preserve">: 82%, 126%) i o 55% (90% CI: 42%, 69%). Spodziewane są </w:t>
      </w:r>
      <w:r w:rsidRPr="007E4DA1">
        <w:rPr>
          <w:rFonts w:eastAsia="MS Mincho"/>
          <w:lang w:eastAsia="ja-JP"/>
        </w:rPr>
        <w:t xml:space="preserve">również interakcje z innymi inhibitorami reduktazy </w:t>
      </w:r>
      <w:smartTag w:uri="urn:schemas-microsoft-com:office:smarttags" w:element="stockticker">
        <w:r w:rsidRPr="007E4DA1">
          <w:rPr>
            <w:rFonts w:eastAsia="MS Mincho"/>
            <w:lang w:eastAsia="ja-JP"/>
          </w:rPr>
          <w:t>HMG</w:t>
        </w:r>
      </w:smartTag>
      <w:r w:rsidRPr="007E4DA1">
        <w:rPr>
          <w:rFonts w:eastAsia="MS Mincho"/>
          <w:lang w:eastAsia="ja-JP"/>
        </w:rPr>
        <w:t xml:space="preserve">-CoA, w tym </w:t>
      </w:r>
      <w:r w:rsidR="00653472" w:rsidRPr="007E4DA1">
        <w:rPr>
          <w:rFonts w:eastAsia="MS Mincho"/>
          <w:lang w:eastAsia="ja-JP"/>
        </w:rPr>
        <w:t xml:space="preserve">atorwastatyną, fluwastatyną, lowastatyną, </w:t>
      </w:r>
      <w:r w:rsidRPr="007E4DA1">
        <w:rPr>
          <w:rFonts w:eastAsia="MS Mincho"/>
          <w:lang w:eastAsia="ja-JP"/>
        </w:rPr>
        <w:t>prawastatyną</w:t>
      </w:r>
      <w:r w:rsidR="00653472" w:rsidRPr="007E4DA1">
        <w:rPr>
          <w:rFonts w:eastAsia="MS Mincho"/>
          <w:lang w:eastAsia="ja-JP"/>
        </w:rPr>
        <w:t xml:space="preserve"> i </w:t>
      </w:r>
      <w:r w:rsidRPr="007E4DA1">
        <w:rPr>
          <w:rFonts w:eastAsia="MS Mincho"/>
          <w:lang w:eastAsia="ja-JP"/>
        </w:rPr>
        <w:t xml:space="preserve">symwastatyną. W przypadku jednoczesnego podawania z </w:t>
      </w:r>
      <w:r w:rsidRPr="007E4DA1">
        <w:t>eltrombopagiem należy rozważyć zmniejszenie dawki statyn i ściśle monitorować pacjenta w celu wykrycia działań niepożądanych statyn (patrz punkt 5.2).</w:t>
      </w:r>
    </w:p>
    <w:p w14:paraId="6126A290" w14:textId="77777777" w:rsidR="00802FF6" w:rsidRPr="007E4DA1" w:rsidRDefault="00802FF6" w:rsidP="001A6584">
      <w:pPr>
        <w:tabs>
          <w:tab w:val="left" w:pos="142"/>
        </w:tabs>
        <w:ind w:left="0" w:firstLine="0"/>
        <w:rPr>
          <w:szCs w:val="22"/>
        </w:rPr>
      </w:pPr>
    </w:p>
    <w:p w14:paraId="3DA702B6" w14:textId="77777777" w:rsidR="00041A08" w:rsidRPr="00041A08" w:rsidRDefault="00802FF6" w:rsidP="001A6584">
      <w:pPr>
        <w:keepNext/>
        <w:tabs>
          <w:tab w:val="left" w:pos="142"/>
        </w:tabs>
        <w:ind w:left="0" w:firstLine="0"/>
      </w:pPr>
      <w:r w:rsidRPr="007E4DA1">
        <w:rPr>
          <w:i/>
          <w:u w:val="single"/>
        </w:rPr>
        <w:lastRenderedPageBreak/>
        <w:t>Substraty OATP1B1 i BCRP</w:t>
      </w:r>
    </w:p>
    <w:p w14:paraId="3F4D8107" w14:textId="4B8B64CE" w:rsidR="00802FF6" w:rsidRPr="007E4DA1" w:rsidRDefault="00802FF6" w:rsidP="001A6584">
      <w:pPr>
        <w:keepNext/>
        <w:tabs>
          <w:tab w:val="left" w:pos="142"/>
        </w:tabs>
        <w:ind w:left="0" w:firstLine="0"/>
      </w:pPr>
    </w:p>
    <w:p w14:paraId="1B5BC449" w14:textId="77777777" w:rsidR="00802FF6" w:rsidRPr="007E4DA1" w:rsidRDefault="00802FF6" w:rsidP="001A6584">
      <w:pPr>
        <w:tabs>
          <w:tab w:val="left" w:pos="142"/>
        </w:tabs>
        <w:ind w:left="0" w:firstLine="0"/>
      </w:pPr>
      <w:r w:rsidRPr="007E4DA1">
        <w:t>Należy zachować ostrożność w przypadku jednoczesnego stosowania eltrombopagu i substratów OATP1B1 (np. metotreksat) oraz BCRP (np. topotekan i metotreksat) (patrz punkt 5.2).</w:t>
      </w:r>
    </w:p>
    <w:p w14:paraId="2A85D6B9" w14:textId="77777777" w:rsidR="00802FF6" w:rsidRPr="007E4DA1" w:rsidRDefault="00802FF6" w:rsidP="001A6584">
      <w:pPr>
        <w:tabs>
          <w:tab w:val="left" w:pos="142"/>
        </w:tabs>
        <w:ind w:left="0" w:firstLine="0"/>
        <w:rPr>
          <w:szCs w:val="22"/>
        </w:rPr>
      </w:pPr>
    </w:p>
    <w:p w14:paraId="1DD73640" w14:textId="77777777" w:rsidR="00041A08" w:rsidRPr="00041A08" w:rsidRDefault="00802FF6" w:rsidP="001A6584">
      <w:pPr>
        <w:keepNext/>
        <w:tabs>
          <w:tab w:val="left" w:pos="142"/>
        </w:tabs>
        <w:ind w:left="0" w:firstLine="0"/>
        <w:rPr>
          <w:color w:val="000000"/>
          <w:szCs w:val="22"/>
        </w:rPr>
      </w:pPr>
      <w:r w:rsidRPr="007E4DA1">
        <w:rPr>
          <w:i/>
          <w:color w:val="000000"/>
          <w:szCs w:val="22"/>
          <w:u w:val="single"/>
        </w:rPr>
        <w:t>Substraty cytochromu P450</w:t>
      </w:r>
    </w:p>
    <w:p w14:paraId="58F65EF2" w14:textId="4B1FCBB8" w:rsidR="00802FF6" w:rsidRPr="007E4DA1" w:rsidRDefault="00802FF6" w:rsidP="001A6584">
      <w:pPr>
        <w:keepNext/>
        <w:tabs>
          <w:tab w:val="left" w:pos="142"/>
        </w:tabs>
        <w:ind w:left="0" w:firstLine="0"/>
        <w:rPr>
          <w:color w:val="000000"/>
          <w:szCs w:val="22"/>
        </w:rPr>
      </w:pPr>
    </w:p>
    <w:p w14:paraId="7EA55821" w14:textId="77777777" w:rsidR="00802FF6" w:rsidRPr="007E4DA1" w:rsidRDefault="00802FF6" w:rsidP="001A6584">
      <w:pPr>
        <w:tabs>
          <w:tab w:val="left" w:pos="142"/>
        </w:tabs>
        <w:ind w:left="0" w:firstLine="0"/>
        <w:rPr>
          <w:color w:val="000000"/>
          <w:szCs w:val="22"/>
        </w:rPr>
      </w:pPr>
      <w:r w:rsidRPr="007E4DA1">
        <w:rPr>
          <w:color w:val="000000"/>
          <w:szCs w:val="22"/>
        </w:rPr>
        <w:t xml:space="preserve">W badaniach z wykorzystaniem ludzkich mikrosomów wątrobowych wykazano, że </w:t>
      </w:r>
      <w:r w:rsidRPr="007E4DA1">
        <w:rPr>
          <w:i/>
          <w:color w:val="000000"/>
          <w:szCs w:val="22"/>
        </w:rPr>
        <w:t>in vitro</w:t>
      </w:r>
      <w:r w:rsidRPr="007E4DA1">
        <w:rPr>
          <w:color w:val="000000"/>
          <w:szCs w:val="22"/>
        </w:rPr>
        <w:t xml:space="preserve"> eltrombopag (w dawkach do 100 </w:t>
      </w:r>
      <w:r w:rsidRPr="007E4DA1">
        <w:rPr>
          <w:color w:val="000000"/>
          <w:szCs w:val="22"/>
        </w:rPr>
        <w:sym w:font="Symbol" w:char="F06D"/>
      </w:r>
      <w:r w:rsidRPr="007E4DA1">
        <w:rPr>
          <w:color w:val="000000"/>
          <w:szCs w:val="22"/>
        </w:rPr>
        <w:t>M ) nie hamuje enzymów</w:t>
      </w:r>
      <w:r w:rsidRPr="007E4DA1">
        <w:rPr>
          <w:i/>
          <w:color w:val="000000"/>
          <w:szCs w:val="22"/>
        </w:rPr>
        <w:t xml:space="preserve"> </w:t>
      </w:r>
      <w:r w:rsidRPr="007E4DA1">
        <w:rPr>
          <w:color w:val="000000"/>
          <w:szCs w:val="22"/>
        </w:rPr>
        <w:t>CYP450 1A2, 2A6, 2C19, 2D6, 2E1, 3A4/5 i 4A9/11 ale hamuje CYP2C8 i CYP2C9, co stwierdzono stosując jako substraty testowe paklitaksel i diklofenak. Podawanie eltrombopagu w dawce 75 mg raz na dobę 24 zdrowym mężczyznom przez 7</w:t>
      </w:r>
      <w:r w:rsidR="001A3D49" w:rsidRPr="007E4DA1">
        <w:rPr>
          <w:color w:val="000000"/>
          <w:szCs w:val="22"/>
        </w:rPr>
        <w:t> </w:t>
      </w:r>
      <w:r w:rsidRPr="007E4DA1">
        <w:rPr>
          <w:color w:val="000000"/>
          <w:szCs w:val="22"/>
        </w:rPr>
        <w:t>dni nie powodowało zahamowania ani indukcji metabolizmu substratów testowych 1A2 (kofeina), 2C19 (omeprazol), 2C9 (flurbiprofen) i 3A4 (midazolam) u ludzi. Nie przewiduje się istotnych klinicznie interakcji podczas jednoczesnego stosowania eltrombopagu i substratów CYP450</w:t>
      </w:r>
      <w:r w:rsidRPr="007E4DA1">
        <w:t xml:space="preserve"> (patrz punkt 5.2)</w:t>
      </w:r>
      <w:r w:rsidRPr="007E4DA1">
        <w:rPr>
          <w:color w:val="000000"/>
          <w:szCs w:val="22"/>
        </w:rPr>
        <w:t>.</w:t>
      </w:r>
    </w:p>
    <w:p w14:paraId="2832F19C" w14:textId="77777777" w:rsidR="003D790C" w:rsidRPr="007E4DA1" w:rsidRDefault="003D790C" w:rsidP="001A6584">
      <w:pPr>
        <w:tabs>
          <w:tab w:val="left" w:pos="142"/>
        </w:tabs>
        <w:ind w:left="0" w:firstLine="0"/>
        <w:rPr>
          <w:color w:val="000000"/>
          <w:szCs w:val="22"/>
        </w:rPr>
      </w:pPr>
    </w:p>
    <w:p w14:paraId="5E5F5EDC" w14:textId="77777777" w:rsidR="00041A08" w:rsidRPr="00041A08" w:rsidRDefault="003D790C" w:rsidP="001A6584">
      <w:pPr>
        <w:keepNext/>
        <w:tabs>
          <w:tab w:val="left" w:pos="142"/>
        </w:tabs>
        <w:ind w:left="0" w:firstLine="0"/>
      </w:pPr>
      <w:r w:rsidRPr="007E4DA1">
        <w:rPr>
          <w:i/>
          <w:u w:val="single"/>
        </w:rPr>
        <w:t>Inhibitory proteazy WZW C</w:t>
      </w:r>
    </w:p>
    <w:p w14:paraId="51844D43" w14:textId="6448F802" w:rsidR="003D790C" w:rsidRPr="007E4DA1" w:rsidRDefault="003D790C" w:rsidP="001A6584">
      <w:pPr>
        <w:keepNext/>
        <w:tabs>
          <w:tab w:val="left" w:pos="142"/>
        </w:tabs>
        <w:ind w:left="0" w:firstLine="0"/>
      </w:pPr>
    </w:p>
    <w:p w14:paraId="5B94EE69" w14:textId="77777777" w:rsidR="003D790C" w:rsidRPr="007E4DA1" w:rsidRDefault="00AB4006" w:rsidP="001A6584">
      <w:pPr>
        <w:tabs>
          <w:tab w:val="left" w:pos="142"/>
        </w:tabs>
        <w:ind w:left="0" w:firstLine="0"/>
      </w:pPr>
      <w:r w:rsidRPr="007E4DA1">
        <w:t>N</w:t>
      </w:r>
      <w:r w:rsidR="003D790C" w:rsidRPr="007E4DA1">
        <w:t xml:space="preserve">ie jest wymagane </w:t>
      </w:r>
      <w:r w:rsidRPr="007E4DA1">
        <w:t>dostosowanie dawkowania podczas</w:t>
      </w:r>
      <w:r w:rsidR="003D790C" w:rsidRPr="007E4DA1">
        <w:t xml:space="preserve"> skojarzonego zastosowania eltrombopagu z telaprewirem lub boceprewirem. Jednoczesne podanie pojedynczej dawki 200 mg eltrombopagu z 750 mg telaprewiru co 8 godzin nie powodowało zmiany ekspozycji osoczowej na telaprewir.</w:t>
      </w:r>
    </w:p>
    <w:p w14:paraId="7B8B21A2" w14:textId="77777777" w:rsidR="003D790C" w:rsidRPr="007E4DA1" w:rsidRDefault="003D790C" w:rsidP="001A6584">
      <w:pPr>
        <w:tabs>
          <w:tab w:val="left" w:pos="142"/>
        </w:tabs>
        <w:ind w:left="0" w:firstLine="0"/>
      </w:pPr>
    </w:p>
    <w:p w14:paraId="23964ED8" w14:textId="77777777" w:rsidR="003D790C" w:rsidRPr="007E4DA1" w:rsidRDefault="003D790C" w:rsidP="001A6584">
      <w:pPr>
        <w:tabs>
          <w:tab w:val="left" w:pos="142"/>
        </w:tabs>
        <w:ind w:left="0" w:firstLine="0"/>
      </w:pPr>
      <w:r w:rsidRPr="007E4DA1">
        <w:t>Jednoczesne podanie pojedynczej dawki 200</w:t>
      </w:r>
      <w:r w:rsidR="0024546C" w:rsidRPr="007E4DA1">
        <w:t> </w:t>
      </w:r>
      <w:r w:rsidRPr="007E4DA1">
        <w:t>mg eltrombopagu z 800</w:t>
      </w:r>
      <w:r w:rsidR="0024546C" w:rsidRPr="007E4DA1">
        <w:t> </w:t>
      </w:r>
      <w:r w:rsidRPr="007E4DA1">
        <w:t>mg boceprewiru co 8</w:t>
      </w:r>
      <w:r w:rsidR="0024546C" w:rsidRPr="007E4DA1">
        <w:t> </w:t>
      </w:r>
      <w:r w:rsidRPr="007E4DA1">
        <w:t>godzin nie zmieniło osoczowego AUC</w:t>
      </w:r>
      <w:r w:rsidRPr="007E4DA1">
        <w:rPr>
          <w:rFonts w:eastAsia="Calibri"/>
          <w:vertAlign w:val="subscript"/>
        </w:rPr>
        <w:t>(0-</w:t>
      </w:r>
      <w:r w:rsidRPr="007E4DA1">
        <w:rPr>
          <w:rFonts w:eastAsia="Calibri"/>
          <w:vertAlign w:val="subscript"/>
        </w:rPr>
        <w:sym w:font="Symbol" w:char="F074"/>
      </w:r>
      <w:r w:rsidRPr="007E4DA1">
        <w:rPr>
          <w:rFonts w:eastAsia="Calibri"/>
          <w:vertAlign w:val="subscript"/>
        </w:rPr>
        <w:t>)</w:t>
      </w:r>
      <w:r w:rsidRPr="007E4DA1">
        <w:rPr>
          <w:rFonts w:eastAsia="Calibri"/>
        </w:rPr>
        <w:t xml:space="preserve"> boceprewiru, ale spowodowało zwiększenie C</w:t>
      </w:r>
      <w:r w:rsidRPr="007E4DA1">
        <w:rPr>
          <w:rFonts w:eastAsia="Calibri"/>
          <w:vertAlign w:val="subscript"/>
        </w:rPr>
        <w:t>max</w:t>
      </w:r>
      <w:r w:rsidRPr="007E4DA1">
        <w:rPr>
          <w:rFonts w:eastAsia="Calibri"/>
        </w:rPr>
        <w:t xml:space="preserve"> o 20% i zmniejszenie C</w:t>
      </w:r>
      <w:r w:rsidRPr="007E4DA1">
        <w:rPr>
          <w:rFonts w:eastAsia="Calibri"/>
          <w:vertAlign w:val="subscript"/>
        </w:rPr>
        <w:t>min</w:t>
      </w:r>
      <w:r w:rsidRPr="007E4DA1">
        <w:rPr>
          <w:rFonts w:eastAsia="Calibri"/>
        </w:rPr>
        <w:t xml:space="preserve"> o 32%. Nie ustalono klinicznego znaczenia zmniejszenia wartości C</w:t>
      </w:r>
      <w:r w:rsidRPr="007E4DA1">
        <w:rPr>
          <w:rFonts w:eastAsia="Calibri"/>
          <w:vertAlign w:val="subscript"/>
        </w:rPr>
        <w:t>min</w:t>
      </w:r>
      <w:r w:rsidRPr="007E4DA1">
        <w:rPr>
          <w:rFonts w:eastAsia="Calibri"/>
        </w:rPr>
        <w:t>, zaleca się ściślejsze monitorowanie wskaźników klinicznych i laboratoryjnych supresji WZW C.</w:t>
      </w:r>
    </w:p>
    <w:p w14:paraId="585B8C35" w14:textId="77777777" w:rsidR="00802FF6" w:rsidRPr="007E4DA1" w:rsidRDefault="00802FF6" w:rsidP="001A6584">
      <w:pPr>
        <w:tabs>
          <w:tab w:val="left" w:pos="142"/>
        </w:tabs>
        <w:ind w:left="0" w:firstLine="0"/>
        <w:rPr>
          <w:color w:val="000000"/>
          <w:szCs w:val="22"/>
        </w:rPr>
      </w:pPr>
    </w:p>
    <w:p w14:paraId="6B890098" w14:textId="77777777" w:rsidR="00041A08" w:rsidRPr="00041A08" w:rsidRDefault="00802FF6" w:rsidP="001A6584">
      <w:pPr>
        <w:keepNext/>
        <w:tabs>
          <w:tab w:val="left" w:pos="142"/>
        </w:tabs>
        <w:ind w:left="0" w:firstLine="0"/>
        <w:rPr>
          <w:color w:val="000000"/>
          <w:szCs w:val="22"/>
        </w:rPr>
      </w:pPr>
      <w:r w:rsidRPr="007E4DA1">
        <w:rPr>
          <w:color w:val="000000"/>
          <w:szCs w:val="22"/>
          <w:u w:val="single"/>
        </w:rPr>
        <w:t>Wpływ innych produktów leczniczych na eltrombopag</w:t>
      </w:r>
    </w:p>
    <w:p w14:paraId="760506F6" w14:textId="0BC6FA9D" w:rsidR="00D70D82" w:rsidRPr="007E4DA1" w:rsidRDefault="00D70D82" w:rsidP="001A6584">
      <w:pPr>
        <w:keepNext/>
        <w:tabs>
          <w:tab w:val="left" w:pos="142"/>
        </w:tabs>
        <w:spacing w:line="260" w:lineRule="exact"/>
        <w:ind w:left="0" w:firstLine="0"/>
      </w:pPr>
    </w:p>
    <w:p w14:paraId="59AD5230" w14:textId="77777777" w:rsidR="00041A08" w:rsidRPr="00041A08" w:rsidRDefault="00D70D82" w:rsidP="001A6584">
      <w:pPr>
        <w:keepNext/>
        <w:jc w:val="both"/>
      </w:pPr>
      <w:r w:rsidRPr="007E4DA1">
        <w:rPr>
          <w:i/>
          <w:iCs/>
          <w:u w:val="single"/>
        </w:rPr>
        <w:t>Cyklosporyna</w:t>
      </w:r>
    </w:p>
    <w:p w14:paraId="391DB7DD" w14:textId="01E8C3D4" w:rsidR="00D70D82" w:rsidRPr="007E4DA1" w:rsidRDefault="00D70D82" w:rsidP="001A6584">
      <w:pPr>
        <w:keepNext/>
      </w:pPr>
    </w:p>
    <w:p w14:paraId="442366C3" w14:textId="38CB8C99" w:rsidR="00D70D82" w:rsidRPr="007E4DA1" w:rsidRDefault="00D70D82" w:rsidP="001A6584">
      <w:pPr>
        <w:tabs>
          <w:tab w:val="left" w:pos="142"/>
        </w:tabs>
        <w:spacing w:line="260" w:lineRule="exact"/>
        <w:ind w:left="0" w:firstLine="0"/>
      </w:pPr>
      <w:r w:rsidRPr="007E4DA1">
        <w:t xml:space="preserve">Zmniejszenie ekspozycji na eltrombopag obserwowano podczas jednoczesnego podawania cyklosporyny (inhibitora BCRP) w dawce 200 mg i 600 mg. </w:t>
      </w:r>
      <w:r w:rsidR="001E156A" w:rsidRPr="007E4DA1">
        <w:t>Jednoczesne podawanie cyklosporyny w dawce 200 mg zmniejszyło C</w:t>
      </w:r>
      <w:r w:rsidR="001E156A" w:rsidRPr="007E4DA1">
        <w:rPr>
          <w:vertAlign w:val="subscript"/>
        </w:rPr>
        <w:t>max</w:t>
      </w:r>
      <w:r w:rsidR="001E156A" w:rsidRPr="007E4DA1">
        <w:rPr>
          <w:i/>
          <w:vertAlign w:val="subscript"/>
        </w:rPr>
        <w:t xml:space="preserve"> </w:t>
      </w:r>
      <w:r w:rsidR="001E156A" w:rsidRPr="007E4DA1">
        <w:t xml:space="preserve">i </w:t>
      </w:r>
      <w:r w:rsidR="0007677D" w:rsidRPr="007E4DA1">
        <w:rPr>
          <w:szCs w:val="22"/>
        </w:rPr>
        <w:t>AUC</w:t>
      </w:r>
      <w:r w:rsidR="0007677D" w:rsidRPr="007E4DA1">
        <w:rPr>
          <w:szCs w:val="22"/>
          <w:vertAlign w:val="subscript"/>
        </w:rPr>
        <w:t>0-</w:t>
      </w:r>
      <w:r w:rsidR="0007677D" w:rsidRPr="007E4DA1">
        <w:rPr>
          <w:szCs w:val="22"/>
          <w:vertAlign w:val="subscript"/>
        </w:rPr>
        <w:sym w:font="Symbol" w:char="F0A5"/>
      </w:r>
      <w:r w:rsidR="001E156A" w:rsidRPr="007E4DA1">
        <w:t xml:space="preserve"> eltrombopagu odpowiednio o 25% i 18%. Jednoczesne podawanie cyklosporyny w dawce 600 mg zmniejszyło C</w:t>
      </w:r>
      <w:r w:rsidR="001E156A" w:rsidRPr="007E4DA1">
        <w:rPr>
          <w:vertAlign w:val="subscript"/>
        </w:rPr>
        <w:t>max</w:t>
      </w:r>
      <w:r w:rsidR="001E156A" w:rsidRPr="007E4DA1">
        <w:t xml:space="preserve"> i </w:t>
      </w:r>
      <w:r w:rsidR="0007677D" w:rsidRPr="007E4DA1">
        <w:rPr>
          <w:szCs w:val="22"/>
        </w:rPr>
        <w:t>AUC</w:t>
      </w:r>
      <w:r w:rsidR="0007677D" w:rsidRPr="007E4DA1">
        <w:rPr>
          <w:szCs w:val="22"/>
          <w:vertAlign w:val="subscript"/>
        </w:rPr>
        <w:t>0-</w:t>
      </w:r>
      <w:r w:rsidR="0007677D" w:rsidRPr="007E4DA1">
        <w:rPr>
          <w:szCs w:val="22"/>
          <w:vertAlign w:val="subscript"/>
        </w:rPr>
        <w:sym w:font="Symbol" w:char="F0A5"/>
      </w:r>
      <w:r w:rsidR="001E156A" w:rsidRPr="007E4DA1">
        <w:t xml:space="preserve"> eltrombopagu odpowiednio o 39% i 24%. </w:t>
      </w:r>
      <w:r w:rsidRPr="007E4DA1">
        <w:t>Możliwe jest dostosowanie dawki eltrombopagu w czasie trwania leczenia, w zależności od liczby płytek krwi u pacjenta (patrz punkt 4.2). Liczbę płytek krwi należy kontrolować przynajmniej raz na tydzień przez 2 do 3 tygodni, gdy podaje się eltrombopag jednocześnie z cyklosporyną. Może zajść potrzeba zwiększenia dawki eltrombopagu w oparciu o liczbę płytek krwi.</w:t>
      </w:r>
    </w:p>
    <w:p w14:paraId="1D2A19A3" w14:textId="77777777" w:rsidR="003D790C" w:rsidRPr="007E4DA1" w:rsidRDefault="003D790C" w:rsidP="001A6584">
      <w:pPr>
        <w:tabs>
          <w:tab w:val="left" w:pos="142"/>
        </w:tabs>
        <w:ind w:left="0" w:firstLine="0"/>
      </w:pPr>
    </w:p>
    <w:p w14:paraId="7980F7DE" w14:textId="77777777" w:rsidR="00041A08" w:rsidRPr="00041A08" w:rsidRDefault="003D790C" w:rsidP="001A6584">
      <w:pPr>
        <w:keepNext/>
        <w:tabs>
          <w:tab w:val="left" w:pos="142"/>
        </w:tabs>
        <w:ind w:left="0" w:firstLine="0"/>
      </w:pPr>
      <w:r w:rsidRPr="007E4DA1">
        <w:rPr>
          <w:i/>
          <w:u w:val="single"/>
        </w:rPr>
        <w:t>Kationy wielowartościowe (chelatowanie)</w:t>
      </w:r>
    </w:p>
    <w:p w14:paraId="1FFFC9C5" w14:textId="6936E1CA" w:rsidR="003D790C" w:rsidRPr="007E4DA1" w:rsidRDefault="003D790C" w:rsidP="001A6584">
      <w:pPr>
        <w:keepNext/>
        <w:tabs>
          <w:tab w:val="left" w:pos="142"/>
        </w:tabs>
        <w:ind w:left="0" w:firstLine="0"/>
      </w:pPr>
    </w:p>
    <w:p w14:paraId="32EC5C04" w14:textId="77777777" w:rsidR="003D790C" w:rsidRPr="007E4DA1" w:rsidRDefault="003D790C" w:rsidP="001A6584">
      <w:pPr>
        <w:tabs>
          <w:tab w:val="left" w:pos="142"/>
        </w:tabs>
        <w:ind w:left="0" w:firstLine="0"/>
      </w:pPr>
      <w:r w:rsidRPr="007E4DA1">
        <w:t>Eltrombopag chelatuje wielowartościowe kationy, takie jak żelazo, wapń, magnez, glin, selen i cynk. Podanie pojedynczej dawki 75 mg eltrombopagu ze środkiem zobojętniającym kwas żołądkowy zawierającym wielowartościowe kationy (1524 mg wodorotlenku glinu i 1425 mg węglanu magnezu) zmniejsza AUC</w:t>
      </w:r>
      <w:r w:rsidRPr="007E4DA1">
        <w:rPr>
          <w:vertAlign w:val="subscript"/>
        </w:rPr>
        <w:t>0-</w:t>
      </w:r>
      <w:r w:rsidRPr="007E4DA1">
        <w:rPr>
          <w:vertAlign w:val="subscript"/>
        </w:rPr>
        <w:sym w:font="Symbol" w:char="F0A5"/>
      </w:r>
      <w:r w:rsidRPr="007E4DA1">
        <w:t xml:space="preserve"> eltrombopagu w osoczu o 70% (90% CI: 64%, 76%) i C</w:t>
      </w:r>
      <w:r w:rsidRPr="007E4DA1">
        <w:rPr>
          <w:szCs w:val="24"/>
          <w:vertAlign w:val="subscript"/>
        </w:rPr>
        <w:t xml:space="preserve">max </w:t>
      </w:r>
      <w:r w:rsidRPr="007E4DA1">
        <w:t xml:space="preserve">o 70% (90% CI: 62%, 76%). </w:t>
      </w:r>
      <w:r w:rsidR="00F779EE" w:rsidRPr="007E4DA1">
        <w:rPr>
          <w:szCs w:val="22"/>
        </w:rPr>
        <w:t>Eltrombopag należy przyjmować przynajmniej dwie godziny przed lub cztery godziny po spożyciu takich produktów jak środki zobojętniające, produkty nabiałowe lub suplementy mineralne</w:t>
      </w:r>
      <w:r w:rsidR="00F779EE" w:rsidRPr="007E4DA1">
        <w:t xml:space="preserve"> </w:t>
      </w:r>
      <w:r w:rsidRPr="007E4DA1">
        <w:t>zawierające wielowartościowe kationy, by uniknąć znacznego zmniejszenia wchłaniania eltrombopagu wywołanego chelatowaniem (patrz punkty</w:t>
      </w:r>
      <w:r w:rsidR="001B6455" w:rsidRPr="007E4DA1">
        <w:t> </w:t>
      </w:r>
      <w:r w:rsidRPr="007E4DA1">
        <w:t>4.2 i 5.2).</w:t>
      </w:r>
    </w:p>
    <w:p w14:paraId="3092C9F0" w14:textId="77777777" w:rsidR="003D790C" w:rsidRPr="007E4DA1" w:rsidRDefault="003D790C" w:rsidP="001A6584">
      <w:pPr>
        <w:tabs>
          <w:tab w:val="left" w:pos="142"/>
        </w:tabs>
        <w:ind w:left="0" w:firstLine="0"/>
        <w:rPr>
          <w:szCs w:val="22"/>
        </w:rPr>
      </w:pPr>
    </w:p>
    <w:p w14:paraId="3D9D2C5C" w14:textId="77777777" w:rsidR="00041A08" w:rsidRPr="00041A08" w:rsidRDefault="003D790C" w:rsidP="001A6584">
      <w:pPr>
        <w:keepNext/>
        <w:tabs>
          <w:tab w:val="left" w:pos="142"/>
          <w:tab w:val="left" w:pos="4410"/>
        </w:tabs>
        <w:ind w:left="0" w:firstLine="0"/>
        <w:rPr>
          <w:szCs w:val="22"/>
        </w:rPr>
      </w:pPr>
      <w:r w:rsidRPr="007E4DA1">
        <w:rPr>
          <w:i/>
          <w:szCs w:val="22"/>
          <w:u w:val="single"/>
        </w:rPr>
        <w:t>Lopinawir</w:t>
      </w:r>
      <w:r w:rsidR="00132808" w:rsidRPr="007E4DA1">
        <w:rPr>
          <w:i/>
          <w:szCs w:val="22"/>
          <w:u w:val="single"/>
        </w:rPr>
        <w:t xml:space="preserve"> </w:t>
      </w:r>
      <w:r w:rsidRPr="007E4DA1">
        <w:rPr>
          <w:i/>
          <w:szCs w:val="22"/>
          <w:u w:val="single"/>
        </w:rPr>
        <w:t>/</w:t>
      </w:r>
      <w:r w:rsidR="00132808" w:rsidRPr="007E4DA1">
        <w:rPr>
          <w:i/>
          <w:szCs w:val="22"/>
          <w:u w:val="single"/>
        </w:rPr>
        <w:t xml:space="preserve"> </w:t>
      </w:r>
      <w:r w:rsidRPr="007E4DA1">
        <w:rPr>
          <w:i/>
          <w:szCs w:val="22"/>
          <w:u w:val="single"/>
        </w:rPr>
        <w:t>rytonawir</w:t>
      </w:r>
    </w:p>
    <w:p w14:paraId="33915AEC" w14:textId="63B1F8A8" w:rsidR="003D790C" w:rsidRPr="007E4DA1" w:rsidRDefault="003D790C" w:rsidP="001A6584">
      <w:pPr>
        <w:keepNext/>
        <w:tabs>
          <w:tab w:val="left" w:pos="142"/>
          <w:tab w:val="left" w:pos="4410"/>
        </w:tabs>
        <w:ind w:left="0" w:firstLine="0"/>
        <w:rPr>
          <w:szCs w:val="22"/>
        </w:rPr>
      </w:pPr>
    </w:p>
    <w:p w14:paraId="6A59E646" w14:textId="17AE051A" w:rsidR="003D790C" w:rsidRPr="007E4DA1" w:rsidRDefault="003D790C" w:rsidP="001A6584">
      <w:pPr>
        <w:tabs>
          <w:tab w:val="left" w:pos="142"/>
          <w:tab w:val="left" w:pos="4410"/>
        </w:tabs>
        <w:ind w:left="0" w:firstLine="0"/>
        <w:rPr>
          <w:szCs w:val="22"/>
        </w:rPr>
      </w:pPr>
      <w:r w:rsidRPr="007E4DA1">
        <w:rPr>
          <w:szCs w:val="22"/>
        </w:rPr>
        <w:t>Jednoczesne podawanie eltrombopagu z lopinawirem/rytonawirem może powodować zmniejszenie stężenia eltrombopagu. Badanie przeprowadzone z udziałem 40</w:t>
      </w:r>
      <w:r w:rsidR="00FD55D3" w:rsidRPr="007E4DA1">
        <w:rPr>
          <w:szCs w:val="22"/>
        </w:rPr>
        <w:t> </w:t>
      </w:r>
      <w:r w:rsidRPr="007E4DA1">
        <w:rPr>
          <w:szCs w:val="22"/>
        </w:rPr>
        <w:t>zdrowych ochotników wykazało, że jednoczesne</w:t>
      </w:r>
      <w:r w:rsidR="00CB3BFE" w:rsidRPr="007E4DA1">
        <w:rPr>
          <w:szCs w:val="22"/>
        </w:rPr>
        <w:t xml:space="preserve"> </w:t>
      </w:r>
      <w:r w:rsidRPr="007E4DA1">
        <w:rPr>
          <w:szCs w:val="22"/>
        </w:rPr>
        <w:t xml:space="preserve">podanie </w:t>
      </w:r>
      <w:r w:rsidR="00CB3BFE" w:rsidRPr="007E4DA1">
        <w:rPr>
          <w:szCs w:val="22"/>
        </w:rPr>
        <w:t xml:space="preserve">pojedynczej dawki </w:t>
      </w:r>
      <w:r w:rsidRPr="007E4DA1">
        <w:rPr>
          <w:szCs w:val="22"/>
        </w:rPr>
        <w:t>100</w:t>
      </w:r>
      <w:r w:rsidR="00FD55D3" w:rsidRPr="007E4DA1">
        <w:rPr>
          <w:szCs w:val="22"/>
        </w:rPr>
        <w:t> </w:t>
      </w:r>
      <w:r w:rsidRPr="007E4DA1">
        <w:rPr>
          <w:szCs w:val="22"/>
        </w:rPr>
        <w:t xml:space="preserve">mg eltrombopagu z powtarzanymi dwa razy na dobę dawkami </w:t>
      </w:r>
      <w:r w:rsidRPr="007E4DA1">
        <w:rPr>
          <w:color w:val="000000"/>
          <w:szCs w:val="22"/>
          <w:lang w:eastAsia="en-GB"/>
        </w:rPr>
        <w:t>lopinawiru/rytonawiru 400/100</w:t>
      </w:r>
      <w:r w:rsidR="00FD55D3" w:rsidRPr="007E4DA1">
        <w:rPr>
          <w:color w:val="000000"/>
          <w:szCs w:val="22"/>
          <w:lang w:eastAsia="en-GB"/>
        </w:rPr>
        <w:t> </w:t>
      </w:r>
      <w:r w:rsidRPr="007E4DA1">
        <w:rPr>
          <w:color w:val="000000"/>
          <w:szCs w:val="22"/>
          <w:lang w:eastAsia="en-GB"/>
        </w:rPr>
        <w:t xml:space="preserve">mg powodowało zmniejszenie </w:t>
      </w:r>
      <w:r w:rsidR="0007677D" w:rsidRPr="007E4DA1">
        <w:rPr>
          <w:szCs w:val="22"/>
        </w:rPr>
        <w:t>AUC</w:t>
      </w:r>
      <w:r w:rsidR="0007677D" w:rsidRPr="007E4DA1">
        <w:rPr>
          <w:szCs w:val="22"/>
          <w:vertAlign w:val="subscript"/>
        </w:rPr>
        <w:t>0-</w:t>
      </w:r>
      <w:r w:rsidR="0007677D" w:rsidRPr="007E4DA1">
        <w:rPr>
          <w:szCs w:val="22"/>
          <w:vertAlign w:val="subscript"/>
        </w:rPr>
        <w:sym w:font="Symbol" w:char="F0A5"/>
      </w:r>
      <w:r w:rsidRPr="007E4DA1">
        <w:rPr>
          <w:color w:val="000000"/>
          <w:szCs w:val="22"/>
          <w:lang w:eastAsia="en-GB"/>
        </w:rPr>
        <w:t xml:space="preserve"> eltrombopagu w </w:t>
      </w:r>
      <w:r w:rsidRPr="007E4DA1">
        <w:rPr>
          <w:color w:val="000000"/>
          <w:szCs w:val="22"/>
          <w:lang w:eastAsia="en-GB"/>
        </w:rPr>
        <w:lastRenderedPageBreak/>
        <w:t xml:space="preserve">osoczu o 17% (90% CI: 6,6%, 26,6%). </w:t>
      </w:r>
      <w:r w:rsidRPr="007E4DA1">
        <w:rPr>
          <w:szCs w:val="22"/>
        </w:rPr>
        <w:t>Należy zatem zachować ostrożność w przypadku, gdy eltrombopag jest stosowany jednocześnie z lopinawirem/rytonawirem. Należy uważnie monitorować liczbę płytek krwi w celu właściwego zaplanowania dawki eltrombopagu w przypadku rozpoczynania lub przerywania stosowania lopinawiru/rytonawiru.</w:t>
      </w:r>
    </w:p>
    <w:p w14:paraId="15E403C4" w14:textId="77777777" w:rsidR="00802FF6" w:rsidRPr="007E4DA1" w:rsidRDefault="00802FF6" w:rsidP="001A6584">
      <w:pPr>
        <w:tabs>
          <w:tab w:val="left" w:pos="142"/>
        </w:tabs>
        <w:ind w:left="0" w:firstLine="0"/>
        <w:rPr>
          <w:szCs w:val="22"/>
        </w:rPr>
      </w:pPr>
    </w:p>
    <w:p w14:paraId="22DFE149" w14:textId="77777777" w:rsidR="00041A08" w:rsidRPr="00041A08" w:rsidRDefault="00802FF6" w:rsidP="001A6584">
      <w:pPr>
        <w:keepNext/>
        <w:tabs>
          <w:tab w:val="left" w:pos="142"/>
        </w:tabs>
        <w:ind w:left="0" w:firstLine="0"/>
        <w:rPr>
          <w:szCs w:val="22"/>
        </w:rPr>
      </w:pPr>
      <w:r w:rsidRPr="007E4DA1">
        <w:rPr>
          <w:i/>
          <w:u w:val="single"/>
        </w:rPr>
        <w:t>Inhibitory i induktory CYP1A2 i CYP2C8</w:t>
      </w:r>
    </w:p>
    <w:p w14:paraId="7F74DA8C" w14:textId="51BB8B67" w:rsidR="00802FF6" w:rsidRPr="007E4DA1" w:rsidRDefault="00802FF6" w:rsidP="001A6584">
      <w:pPr>
        <w:keepNext/>
        <w:tabs>
          <w:tab w:val="left" w:pos="142"/>
        </w:tabs>
        <w:ind w:left="0" w:firstLine="0"/>
        <w:rPr>
          <w:szCs w:val="22"/>
        </w:rPr>
      </w:pPr>
    </w:p>
    <w:p w14:paraId="40F12079" w14:textId="77777777" w:rsidR="00802FF6" w:rsidRPr="007E4DA1" w:rsidRDefault="00802FF6" w:rsidP="001A6584">
      <w:pPr>
        <w:tabs>
          <w:tab w:val="left" w:pos="142"/>
        </w:tabs>
        <w:ind w:left="0" w:firstLine="0"/>
      </w:pPr>
      <w:r w:rsidRPr="007E4DA1">
        <w:t>Eltrombopag jest metabolizowany przez wiele szlaków, między innymi z udziałem CYP1A2, CYP2C8, UGT1A1 i UGT1A3 (patrz punkt 5.2). W przypadku produktów leczniczych, które hamują lub indukują jeden enzym, jest mało prawdopodobne, aby miało to istotny wpływ na stężenie eltrombopagu w osoczu, jednak produkty lecznicze, które hamują lub indukują wiele enzymów, mogą powodować zwiększenie (np. fluwoksamina) bądź zmniejszenie (np. ryfampicyna) stężenia eltrombopagu.</w:t>
      </w:r>
    </w:p>
    <w:p w14:paraId="7D77A648" w14:textId="77777777" w:rsidR="00802FF6" w:rsidRPr="007E4DA1" w:rsidRDefault="00802FF6" w:rsidP="001A6584">
      <w:pPr>
        <w:tabs>
          <w:tab w:val="left" w:pos="142"/>
        </w:tabs>
        <w:ind w:left="0" w:firstLine="0"/>
        <w:rPr>
          <w:szCs w:val="22"/>
        </w:rPr>
      </w:pPr>
    </w:p>
    <w:p w14:paraId="017DAA2E" w14:textId="77777777" w:rsidR="00041A08" w:rsidRPr="00041A08" w:rsidRDefault="00802FF6" w:rsidP="001A6584">
      <w:pPr>
        <w:keepNext/>
        <w:tabs>
          <w:tab w:val="left" w:pos="142"/>
        </w:tabs>
        <w:ind w:left="0" w:firstLine="0"/>
        <w:rPr>
          <w:szCs w:val="22"/>
        </w:rPr>
      </w:pPr>
      <w:r w:rsidRPr="007E4DA1">
        <w:rPr>
          <w:i/>
          <w:u w:val="single"/>
        </w:rPr>
        <w:t>Inhibitory proteazy WZW C</w:t>
      </w:r>
    </w:p>
    <w:p w14:paraId="2E7964E4" w14:textId="01D27275" w:rsidR="00802FF6" w:rsidRPr="007E4DA1" w:rsidRDefault="00802FF6" w:rsidP="001A6584">
      <w:pPr>
        <w:keepNext/>
        <w:tabs>
          <w:tab w:val="left" w:pos="142"/>
        </w:tabs>
        <w:ind w:left="0" w:firstLine="0"/>
        <w:rPr>
          <w:szCs w:val="22"/>
        </w:rPr>
      </w:pPr>
    </w:p>
    <w:p w14:paraId="022042CB" w14:textId="77777777" w:rsidR="00802FF6" w:rsidRPr="007E4DA1" w:rsidRDefault="00802FF6" w:rsidP="001A6584">
      <w:pPr>
        <w:tabs>
          <w:tab w:val="left" w:pos="142"/>
        </w:tabs>
        <w:ind w:left="0" w:firstLine="0"/>
      </w:pPr>
      <w:r w:rsidRPr="007E4DA1">
        <w:t>Wyniki badania interakcji farmakokinetycznych pomiędzy lekami wykazały, że jednoczesne podawanie wielokrotnych dawek boceprewiru (800 mg co 8 godzin) lub telaprewiru (750 mg co 8 godzin) z pojedynczą dawką eltrombopagu (200 mg) nie zmieniało ekspozycji na eltrombopag w stopniu istotnym klinicznie.</w:t>
      </w:r>
    </w:p>
    <w:p w14:paraId="2AAF0F8F" w14:textId="77777777" w:rsidR="00802FF6" w:rsidRPr="007E4DA1" w:rsidRDefault="00802FF6" w:rsidP="001A6584">
      <w:pPr>
        <w:tabs>
          <w:tab w:val="left" w:pos="142"/>
        </w:tabs>
        <w:ind w:left="0" w:firstLine="0"/>
        <w:rPr>
          <w:szCs w:val="22"/>
        </w:rPr>
      </w:pPr>
    </w:p>
    <w:p w14:paraId="21B26ED3" w14:textId="77777777" w:rsidR="00041A08" w:rsidRPr="00041A08" w:rsidRDefault="00802FF6" w:rsidP="001A6584">
      <w:pPr>
        <w:keepNext/>
        <w:tabs>
          <w:tab w:val="left" w:pos="142"/>
          <w:tab w:val="left" w:pos="4410"/>
        </w:tabs>
        <w:ind w:left="0" w:firstLine="0"/>
        <w:rPr>
          <w:szCs w:val="22"/>
        </w:rPr>
      </w:pPr>
      <w:r w:rsidRPr="007E4DA1">
        <w:rPr>
          <w:szCs w:val="22"/>
          <w:u w:val="single"/>
        </w:rPr>
        <w:t>Produkty lecznicze stosowane w leczeniu pierwotnej małopłytkowości immunologicznej</w:t>
      </w:r>
    </w:p>
    <w:p w14:paraId="7BFA2ABB" w14:textId="4CF6589D" w:rsidR="00802FF6" w:rsidRPr="007E4DA1" w:rsidRDefault="00802FF6" w:rsidP="001A6584">
      <w:pPr>
        <w:keepNext/>
        <w:tabs>
          <w:tab w:val="left" w:pos="142"/>
        </w:tabs>
        <w:ind w:left="0" w:firstLine="0"/>
        <w:rPr>
          <w:szCs w:val="22"/>
        </w:rPr>
      </w:pPr>
    </w:p>
    <w:p w14:paraId="1E7ECBB1" w14:textId="77777777" w:rsidR="00041A08" w:rsidRPr="00041A08" w:rsidRDefault="00802FF6" w:rsidP="001A6584">
      <w:pPr>
        <w:tabs>
          <w:tab w:val="left" w:pos="142"/>
          <w:tab w:val="left" w:pos="4410"/>
        </w:tabs>
        <w:ind w:left="0" w:firstLine="0"/>
      </w:pPr>
      <w:r w:rsidRPr="007E4DA1">
        <w:t>Do produktów leczniczych stosowanych w badaniach klinicznych w terapii pierwotnej małopłytkowości immunologicznej w skojarzeniu z eltrombopagiem należały kortykosteroidy, danazol i (lub) azatiopryna, dożylne preparaty immunoglobulin (IVIG) i immunoglobulina anty-D. W przypadku skojarzenia eltrombopagu z innymi produktami leczniczymi w leczeniu pierwotnej małopłytkowości immunologicznej należy monitorować liczbę płytek krwi, aby nie dopuścić do przekroczenia zalecanego zakresu liczby płytek krwi (patrz punkt</w:t>
      </w:r>
      <w:r w:rsidR="00E13A3D" w:rsidRPr="007E4DA1">
        <w:t> </w:t>
      </w:r>
      <w:r w:rsidRPr="007E4DA1">
        <w:t>4.2).</w:t>
      </w:r>
    </w:p>
    <w:p w14:paraId="6F724B37" w14:textId="57CE401F" w:rsidR="00802FF6" w:rsidRPr="007E4DA1" w:rsidRDefault="00802FF6" w:rsidP="001A6584">
      <w:pPr>
        <w:tabs>
          <w:tab w:val="left" w:pos="142"/>
        </w:tabs>
        <w:ind w:left="0" w:firstLine="0"/>
        <w:rPr>
          <w:szCs w:val="22"/>
        </w:rPr>
      </w:pPr>
    </w:p>
    <w:p w14:paraId="539429E8" w14:textId="77777777" w:rsidR="00041A08" w:rsidRPr="00041A08" w:rsidRDefault="001E156A" w:rsidP="001A6584">
      <w:pPr>
        <w:keepNext/>
        <w:tabs>
          <w:tab w:val="left" w:pos="142"/>
          <w:tab w:val="left" w:pos="4410"/>
        </w:tabs>
        <w:ind w:left="0" w:firstLine="0"/>
        <w:rPr>
          <w:szCs w:val="22"/>
        </w:rPr>
      </w:pPr>
      <w:r w:rsidRPr="007E4DA1">
        <w:rPr>
          <w:szCs w:val="22"/>
          <w:u w:val="single"/>
        </w:rPr>
        <w:t>Interakcje z pokarmem</w:t>
      </w:r>
    </w:p>
    <w:p w14:paraId="6C021519" w14:textId="55525BAF" w:rsidR="001E156A" w:rsidRPr="007E4DA1" w:rsidRDefault="001E156A" w:rsidP="001A6584">
      <w:pPr>
        <w:keepNext/>
        <w:tabs>
          <w:tab w:val="left" w:pos="142"/>
          <w:tab w:val="left" w:pos="4410"/>
        </w:tabs>
        <w:ind w:left="0" w:firstLine="0"/>
        <w:rPr>
          <w:szCs w:val="22"/>
        </w:rPr>
      </w:pPr>
    </w:p>
    <w:p w14:paraId="26F04F6D" w14:textId="77777777" w:rsidR="001E156A" w:rsidRPr="007E4DA1" w:rsidRDefault="001E156A" w:rsidP="001A6584">
      <w:pPr>
        <w:tabs>
          <w:tab w:val="left" w:pos="142"/>
          <w:tab w:val="left" w:pos="4410"/>
        </w:tabs>
        <w:ind w:left="0" w:firstLine="0"/>
        <w:rPr>
          <w:szCs w:val="22"/>
        </w:rPr>
      </w:pPr>
      <w:r w:rsidRPr="007E4DA1">
        <w:rPr>
          <w:szCs w:val="22"/>
        </w:rPr>
        <w:t>Podawanie eltrombopagu w postaci tabletek lub proszku do sporządzania zawiesiny doustnej jedn</w:t>
      </w:r>
      <w:r w:rsidR="00427914" w:rsidRPr="007E4DA1">
        <w:rPr>
          <w:szCs w:val="22"/>
        </w:rPr>
        <w:t xml:space="preserve">ocześnie z posiłkiem o dużej </w:t>
      </w:r>
      <w:r w:rsidRPr="007E4DA1">
        <w:rPr>
          <w:szCs w:val="22"/>
        </w:rPr>
        <w:t>zawartości wapnia (np. posiłkiem zawierającym produkty mleczne) skutkowało istotnym zmniejszeniem wielkości AUC</w:t>
      </w:r>
      <w:r w:rsidRPr="007E4DA1">
        <w:rPr>
          <w:szCs w:val="22"/>
          <w:vertAlign w:val="subscript"/>
        </w:rPr>
        <w:t>0-∞</w:t>
      </w:r>
      <w:r w:rsidRPr="007E4DA1">
        <w:rPr>
          <w:szCs w:val="22"/>
        </w:rPr>
        <w:t xml:space="preserve"> i C</w:t>
      </w:r>
      <w:r w:rsidRPr="007E4DA1">
        <w:rPr>
          <w:szCs w:val="22"/>
          <w:vertAlign w:val="subscript"/>
        </w:rPr>
        <w:t>max</w:t>
      </w:r>
      <w:r w:rsidRPr="007E4DA1">
        <w:rPr>
          <w:szCs w:val="22"/>
        </w:rPr>
        <w:t xml:space="preserve"> eltrombopagu w osoczu. Natomiast podanie eltrombopagu na 2 godziny przed lub 4 godziny po posiłku o dużej zawartości wapnia lub podanie leku wraz z pokarmami o małej zawartości wapnia [&lt; 50 mg wapnia] nie powodowało klinicznie istotnych zmian </w:t>
      </w:r>
      <w:r w:rsidR="00FF66FE" w:rsidRPr="007E4DA1">
        <w:rPr>
          <w:szCs w:val="22"/>
        </w:rPr>
        <w:t>ekspozycji na eltrombopag</w:t>
      </w:r>
      <w:r w:rsidRPr="007E4DA1">
        <w:rPr>
          <w:szCs w:val="22"/>
        </w:rPr>
        <w:t xml:space="preserve"> w osoczu (patrz punkt 4.2).</w:t>
      </w:r>
    </w:p>
    <w:p w14:paraId="6C23DF70" w14:textId="77777777" w:rsidR="00427914" w:rsidRPr="007E4DA1" w:rsidRDefault="00427914" w:rsidP="001A6584">
      <w:pPr>
        <w:tabs>
          <w:tab w:val="left" w:pos="142"/>
          <w:tab w:val="left" w:pos="4410"/>
        </w:tabs>
        <w:ind w:left="0" w:firstLine="0"/>
        <w:rPr>
          <w:szCs w:val="22"/>
        </w:rPr>
      </w:pPr>
    </w:p>
    <w:p w14:paraId="373FB989" w14:textId="77777777" w:rsidR="001E156A" w:rsidRPr="007E4DA1" w:rsidRDefault="00427914" w:rsidP="001A6584">
      <w:pPr>
        <w:tabs>
          <w:tab w:val="left" w:pos="142"/>
          <w:tab w:val="left" w:pos="4410"/>
        </w:tabs>
        <w:ind w:left="0" w:firstLine="0"/>
        <w:rPr>
          <w:szCs w:val="22"/>
        </w:rPr>
      </w:pPr>
      <w:r w:rsidRPr="007E4DA1">
        <w:rPr>
          <w:szCs w:val="22"/>
        </w:rPr>
        <w:t>Podanie pojedynczej dawki 50 mg eltrombopagu w postaci tabletek jednocześnie z</w:t>
      </w:r>
      <w:r w:rsidR="0077237D" w:rsidRPr="007E4DA1">
        <w:rPr>
          <w:szCs w:val="22"/>
        </w:rPr>
        <w:t>e standardowym,</w:t>
      </w:r>
      <w:r w:rsidRPr="007E4DA1">
        <w:rPr>
          <w:szCs w:val="22"/>
        </w:rPr>
        <w:t xml:space="preserve"> wysokokalorycznym, </w:t>
      </w:r>
      <w:r w:rsidR="0077237D" w:rsidRPr="007E4DA1">
        <w:rPr>
          <w:szCs w:val="22"/>
        </w:rPr>
        <w:t>bogatotłuszczowym</w:t>
      </w:r>
      <w:r w:rsidRPr="007E4DA1">
        <w:rPr>
          <w:szCs w:val="22"/>
        </w:rPr>
        <w:t xml:space="preserve"> śniadaniem, zawierającym produkty mleczne spowodowało zmniejszenie średnie</w:t>
      </w:r>
      <w:r w:rsidR="00FF66FE" w:rsidRPr="007E4DA1">
        <w:rPr>
          <w:szCs w:val="22"/>
        </w:rPr>
        <w:t xml:space="preserve">j wielkości </w:t>
      </w:r>
      <w:r w:rsidRPr="007E4DA1">
        <w:rPr>
          <w:szCs w:val="22"/>
        </w:rPr>
        <w:t>AUC</w:t>
      </w:r>
      <w:r w:rsidRPr="007E4DA1">
        <w:rPr>
          <w:szCs w:val="22"/>
          <w:vertAlign w:val="subscript"/>
        </w:rPr>
        <w:t>0-∞</w:t>
      </w:r>
      <w:r w:rsidRPr="007E4DA1">
        <w:rPr>
          <w:szCs w:val="22"/>
        </w:rPr>
        <w:t xml:space="preserve"> eltrombopagu w osoczu o 59%, a średniego C</w:t>
      </w:r>
      <w:r w:rsidRPr="007E4DA1">
        <w:rPr>
          <w:szCs w:val="22"/>
          <w:vertAlign w:val="subscript"/>
        </w:rPr>
        <w:t>max</w:t>
      </w:r>
      <w:r w:rsidRPr="007E4DA1">
        <w:rPr>
          <w:szCs w:val="22"/>
        </w:rPr>
        <w:t xml:space="preserve"> o 65%.</w:t>
      </w:r>
    </w:p>
    <w:p w14:paraId="22BD7B56" w14:textId="77777777" w:rsidR="00427914" w:rsidRPr="007E4DA1" w:rsidRDefault="00427914" w:rsidP="001A6584">
      <w:pPr>
        <w:tabs>
          <w:tab w:val="left" w:pos="142"/>
          <w:tab w:val="left" w:pos="4410"/>
        </w:tabs>
        <w:ind w:left="0" w:firstLine="0"/>
        <w:rPr>
          <w:szCs w:val="22"/>
        </w:rPr>
      </w:pPr>
    </w:p>
    <w:p w14:paraId="5A315F6B" w14:textId="77777777" w:rsidR="00427914" w:rsidRPr="007E4DA1" w:rsidRDefault="00427914" w:rsidP="001A6584">
      <w:pPr>
        <w:tabs>
          <w:tab w:val="left" w:pos="142"/>
          <w:tab w:val="left" w:pos="4410"/>
        </w:tabs>
        <w:ind w:left="0" w:firstLine="0"/>
        <w:rPr>
          <w:szCs w:val="22"/>
        </w:rPr>
      </w:pPr>
      <w:r w:rsidRPr="007E4DA1">
        <w:rPr>
          <w:szCs w:val="22"/>
        </w:rPr>
        <w:t xml:space="preserve">Podanie pojedynczej dawki 25 mg eltrombopagu w postaci proszku do sporządzania zawiesiny doustnej jednocześnie z posiłkiem o dużej zawartości wapnia, umiarkowanej zawartości tłuszczu i umiarkowanej </w:t>
      </w:r>
      <w:r w:rsidR="0077237D" w:rsidRPr="007E4DA1">
        <w:rPr>
          <w:szCs w:val="22"/>
        </w:rPr>
        <w:t>kaloryczności</w:t>
      </w:r>
      <w:r w:rsidRPr="007E4DA1">
        <w:rPr>
          <w:szCs w:val="22"/>
        </w:rPr>
        <w:t xml:space="preserve"> spowodowało zmniejszenie średnie</w:t>
      </w:r>
      <w:r w:rsidR="00FF66FE" w:rsidRPr="007E4DA1">
        <w:rPr>
          <w:szCs w:val="22"/>
        </w:rPr>
        <w:t xml:space="preserve">j wielkości </w:t>
      </w:r>
      <w:r w:rsidRPr="007E4DA1">
        <w:rPr>
          <w:szCs w:val="22"/>
        </w:rPr>
        <w:t>AUC</w:t>
      </w:r>
      <w:r w:rsidRPr="007E4DA1">
        <w:rPr>
          <w:szCs w:val="22"/>
          <w:vertAlign w:val="subscript"/>
        </w:rPr>
        <w:t>0-∞</w:t>
      </w:r>
      <w:r w:rsidRPr="007E4DA1">
        <w:rPr>
          <w:szCs w:val="22"/>
        </w:rPr>
        <w:t xml:space="preserve"> eltrombopagu w osoczu o 75%, a średniego C</w:t>
      </w:r>
      <w:r w:rsidRPr="007E4DA1">
        <w:rPr>
          <w:szCs w:val="22"/>
          <w:vertAlign w:val="subscript"/>
        </w:rPr>
        <w:t>max</w:t>
      </w:r>
      <w:r w:rsidRPr="007E4DA1">
        <w:rPr>
          <w:szCs w:val="22"/>
        </w:rPr>
        <w:t xml:space="preserve"> o 79%. To zmniejszenie ekspozycji było osłabione, gdy pojedynczą dawkę 25 mg eltrombopagu w postaci proszku do sporządzania zawiesiny doustnej podano na 2 godziny przed posiłkiem o dużej zawartości wapnia (średni</w:t>
      </w:r>
      <w:r w:rsidR="00FF66FE" w:rsidRPr="007E4DA1">
        <w:rPr>
          <w:szCs w:val="22"/>
        </w:rPr>
        <w:t>a wielkość</w:t>
      </w:r>
      <w:r w:rsidRPr="007E4DA1">
        <w:rPr>
          <w:szCs w:val="22"/>
        </w:rPr>
        <w:t xml:space="preserve"> AUC</w:t>
      </w:r>
      <w:r w:rsidRPr="007E4DA1">
        <w:rPr>
          <w:szCs w:val="22"/>
          <w:vertAlign w:val="subscript"/>
        </w:rPr>
        <w:t>0-∞</w:t>
      </w:r>
      <w:r w:rsidRPr="007E4DA1">
        <w:rPr>
          <w:szCs w:val="22"/>
        </w:rPr>
        <w:t xml:space="preserve"> zmniejszył</w:t>
      </w:r>
      <w:r w:rsidR="00FF66FE" w:rsidRPr="007E4DA1">
        <w:rPr>
          <w:szCs w:val="22"/>
        </w:rPr>
        <w:t xml:space="preserve">a </w:t>
      </w:r>
      <w:r w:rsidRPr="007E4DA1">
        <w:rPr>
          <w:szCs w:val="22"/>
        </w:rPr>
        <w:t>się o 20%, a średnie C</w:t>
      </w:r>
      <w:r w:rsidRPr="007E4DA1">
        <w:rPr>
          <w:szCs w:val="22"/>
          <w:vertAlign w:val="subscript"/>
        </w:rPr>
        <w:t>max</w:t>
      </w:r>
      <w:r w:rsidRPr="007E4DA1">
        <w:rPr>
          <w:szCs w:val="22"/>
        </w:rPr>
        <w:t xml:space="preserve"> o 14%).</w:t>
      </w:r>
    </w:p>
    <w:p w14:paraId="33266928" w14:textId="77777777" w:rsidR="00427914" w:rsidRPr="007E4DA1" w:rsidRDefault="00427914" w:rsidP="001A6584">
      <w:pPr>
        <w:tabs>
          <w:tab w:val="left" w:pos="142"/>
          <w:tab w:val="left" w:pos="4410"/>
        </w:tabs>
        <w:ind w:left="0" w:firstLine="0"/>
        <w:rPr>
          <w:szCs w:val="22"/>
        </w:rPr>
      </w:pPr>
    </w:p>
    <w:p w14:paraId="639D02D7" w14:textId="77777777" w:rsidR="00427914" w:rsidRPr="007E4DA1" w:rsidRDefault="00427914" w:rsidP="001A6584">
      <w:pPr>
        <w:tabs>
          <w:tab w:val="left" w:pos="142"/>
          <w:tab w:val="left" w:pos="4410"/>
        </w:tabs>
        <w:ind w:left="0" w:firstLine="0"/>
        <w:rPr>
          <w:szCs w:val="22"/>
        </w:rPr>
      </w:pPr>
      <w:r w:rsidRPr="007E4DA1">
        <w:rPr>
          <w:szCs w:val="22"/>
        </w:rPr>
        <w:t xml:space="preserve">Produkty spożywcze o małej zawartości wapnia (&lt;50 mg wapnia), w tym owoce, chuda szynka, wołowina i </w:t>
      </w:r>
      <w:r w:rsidR="0077237D" w:rsidRPr="007E4DA1">
        <w:rPr>
          <w:szCs w:val="22"/>
        </w:rPr>
        <w:t>niewzbogacon</w:t>
      </w:r>
      <w:r w:rsidR="00FF66FE" w:rsidRPr="007E4DA1">
        <w:rPr>
          <w:szCs w:val="22"/>
        </w:rPr>
        <w:t>y</w:t>
      </w:r>
      <w:r w:rsidRPr="007E4DA1">
        <w:rPr>
          <w:szCs w:val="22"/>
        </w:rPr>
        <w:t xml:space="preserve"> (bez dodatku wapnia, magnezu lub żelaza) sok owocow</w:t>
      </w:r>
      <w:r w:rsidR="00FF66FE" w:rsidRPr="007E4DA1">
        <w:rPr>
          <w:szCs w:val="22"/>
        </w:rPr>
        <w:t>y,</w:t>
      </w:r>
      <w:r w:rsidRPr="007E4DA1">
        <w:rPr>
          <w:szCs w:val="22"/>
        </w:rPr>
        <w:t xml:space="preserve"> niewzbogacone mleko sojowe i niewzbogacone ziarna nie miały istotnego wpływu na </w:t>
      </w:r>
      <w:r w:rsidR="00FF66FE" w:rsidRPr="007E4DA1">
        <w:rPr>
          <w:szCs w:val="22"/>
        </w:rPr>
        <w:t xml:space="preserve">ekspozycję </w:t>
      </w:r>
      <w:r w:rsidRPr="007E4DA1">
        <w:rPr>
          <w:szCs w:val="22"/>
        </w:rPr>
        <w:t xml:space="preserve">eltrombopagu w </w:t>
      </w:r>
      <w:r w:rsidR="0077237D" w:rsidRPr="007E4DA1">
        <w:rPr>
          <w:szCs w:val="22"/>
        </w:rPr>
        <w:t>osoczu</w:t>
      </w:r>
      <w:r w:rsidRPr="007E4DA1">
        <w:rPr>
          <w:szCs w:val="22"/>
        </w:rPr>
        <w:t>, niezależnie od ich kaloryczności i zawartości tłuszczu (patrz punkt 4.2 i 4.5).</w:t>
      </w:r>
    </w:p>
    <w:p w14:paraId="1982CDBF" w14:textId="77777777" w:rsidR="001E156A" w:rsidRPr="007E4DA1" w:rsidRDefault="001E156A" w:rsidP="001A6584">
      <w:pPr>
        <w:tabs>
          <w:tab w:val="left" w:pos="142"/>
        </w:tabs>
        <w:ind w:left="0" w:firstLine="0"/>
        <w:rPr>
          <w:szCs w:val="22"/>
        </w:rPr>
      </w:pPr>
    </w:p>
    <w:p w14:paraId="4A1BD17B" w14:textId="77777777" w:rsidR="00802FF6" w:rsidRPr="007E4DA1" w:rsidRDefault="00802FF6" w:rsidP="001A6584">
      <w:pPr>
        <w:keepNext/>
        <w:rPr>
          <w:szCs w:val="22"/>
        </w:rPr>
      </w:pPr>
      <w:r w:rsidRPr="007E4DA1">
        <w:rPr>
          <w:b/>
          <w:szCs w:val="22"/>
        </w:rPr>
        <w:lastRenderedPageBreak/>
        <w:t>4.6</w:t>
      </w:r>
      <w:r w:rsidRPr="007E4DA1">
        <w:rPr>
          <w:b/>
          <w:szCs w:val="22"/>
        </w:rPr>
        <w:tab/>
      </w:r>
      <w:r w:rsidRPr="007E4DA1">
        <w:rPr>
          <w:b/>
        </w:rPr>
        <w:t>Wpływ na płodność, ciążę i laktację</w:t>
      </w:r>
    </w:p>
    <w:p w14:paraId="28404542" w14:textId="77777777" w:rsidR="00802FF6" w:rsidRPr="007E4DA1" w:rsidRDefault="00802FF6" w:rsidP="001A6584">
      <w:pPr>
        <w:keepNext/>
        <w:tabs>
          <w:tab w:val="left" w:pos="142"/>
        </w:tabs>
        <w:ind w:left="0" w:firstLine="0"/>
        <w:rPr>
          <w:szCs w:val="22"/>
        </w:rPr>
      </w:pPr>
    </w:p>
    <w:p w14:paraId="2523312B" w14:textId="77777777" w:rsidR="00041A08" w:rsidRPr="00041A08" w:rsidRDefault="00802FF6" w:rsidP="001A6584">
      <w:pPr>
        <w:keepNext/>
        <w:tabs>
          <w:tab w:val="left" w:pos="142"/>
        </w:tabs>
        <w:ind w:left="0" w:firstLine="0"/>
        <w:rPr>
          <w:szCs w:val="22"/>
        </w:rPr>
      </w:pPr>
      <w:r w:rsidRPr="007E4DA1">
        <w:rPr>
          <w:szCs w:val="22"/>
          <w:u w:val="single"/>
        </w:rPr>
        <w:t>Ciąża</w:t>
      </w:r>
    </w:p>
    <w:p w14:paraId="5A7F5E1F" w14:textId="7618813E" w:rsidR="00802FF6" w:rsidRPr="007E4DA1" w:rsidRDefault="00802FF6" w:rsidP="001A6584">
      <w:pPr>
        <w:keepNext/>
        <w:tabs>
          <w:tab w:val="left" w:pos="142"/>
        </w:tabs>
        <w:ind w:left="0" w:firstLine="0"/>
        <w:rPr>
          <w:szCs w:val="22"/>
        </w:rPr>
      </w:pPr>
    </w:p>
    <w:p w14:paraId="634AC1CC" w14:textId="77777777" w:rsidR="00802FF6" w:rsidRPr="007E4DA1" w:rsidRDefault="00802FF6" w:rsidP="001A6584">
      <w:pPr>
        <w:tabs>
          <w:tab w:val="left" w:pos="142"/>
        </w:tabs>
        <w:ind w:left="0" w:firstLine="0"/>
        <w:rPr>
          <w:szCs w:val="22"/>
        </w:rPr>
      </w:pPr>
      <w:r w:rsidRPr="007E4DA1">
        <w:rPr>
          <w:szCs w:val="22"/>
        </w:rPr>
        <w:t xml:space="preserve">Brak danych lub istnieją tylko ograniczone dane dotyczące stosowania </w:t>
      </w:r>
      <w:r w:rsidRPr="007E4DA1">
        <w:t>eltrombopagu</w:t>
      </w:r>
      <w:r w:rsidRPr="007E4DA1">
        <w:rPr>
          <w:szCs w:val="22"/>
        </w:rPr>
        <w:t xml:space="preserve"> u kobiet w okresie ciąży. Badania na zwierzętach wykazały szkodliwy wpływ na reprodukcję (patrz punkt</w:t>
      </w:r>
      <w:r w:rsidR="00FD55D3" w:rsidRPr="007E4DA1">
        <w:rPr>
          <w:szCs w:val="22"/>
        </w:rPr>
        <w:t> </w:t>
      </w:r>
      <w:r w:rsidRPr="007E4DA1">
        <w:rPr>
          <w:szCs w:val="22"/>
        </w:rPr>
        <w:t>5.3).</w:t>
      </w:r>
      <w:r w:rsidRPr="007E4DA1">
        <w:t xml:space="preserve"> Potencjalne zagrożenie dla człowieka nie jest znane.</w:t>
      </w:r>
    </w:p>
    <w:p w14:paraId="45F99696" w14:textId="77777777" w:rsidR="00802FF6" w:rsidRPr="007E4DA1" w:rsidRDefault="00802FF6" w:rsidP="001A6584">
      <w:pPr>
        <w:tabs>
          <w:tab w:val="left" w:pos="142"/>
        </w:tabs>
        <w:ind w:left="0" w:firstLine="0"/>
        <w:rPr>
          <w:szCs w:val="22"/>
        </w:rPr>
      </w:pPr>
    </w:p>
    <w:p w14:paraId="1312CC6A" w14:textId="77777777" w:rsidR="00802FF6" w:rsidRPr="007E4DA1" w:rsidRDefault="00802FF6" w:rsidP="001A6584">
      <w:pPr>
        <w:tabs>
          <w:tab w:val="left" w:pos="142"/>
        </w:tabs>
        <w:ind w:left="0" w:firstLine="0"/>
        <w:rPr>
          <w:szCs w:val="22"/>
        </w:rPr>
      </w:pPr>
      <w:r w:rsidRPr="007E4DA1">
        <w:rPr>
          <w:szCs w:val="22"/>
        </w:rPr>
        <w:t>Produkt Revolade nie jest zalecany do stosowania w okresie ciąży.</w:t>
      </w:r>
    </w:p>
    <w:p w14:paraId="5338C2C4" w14:textId="77777777" w:rsidR="00802FF6" w:rsidRPr="007E4DA1" w:rsidRDefault="00802FF6" w:rsidP="001A6584">
      <w:pPr>
        <w:tabs>
          <w:tab w:val="left" w:pos="142"/>
        </w:tabs>
        <w:ind w:left="0" w:firstLine="0"/>
      </w:pPr>
    </w:p>
    <w:p w14:paraId="7F340E01" w14:textId="77777777" w:rsidR="00041A08" w:rsidRPr="00041A08" w:rsidRDefault="00802FF6" w:rsidP="001A6584">
      <w:pPr>
        <w:keepNext/>
        <w:tabs>
          <w:tab w:val="left" w:pos="142"/>
        </w:tabs>
        <w:ind w:left="0" w:firstLine="0"/>
        <w:rPr>
          <w:szCs w:val="22"/>
        </w:rPr>
      </w:pPr>
      <w:r w:rsidRPr="007E4DA1">
        <w:rPr>
          <w:u w:val="single"/>
        </w:rPr>
        <w:t>Kobiety w wieku rozrodczym / Antykoncepcja u mężczyzn i kobiet</w:t>
      </w:r>
    </w:p>
    <w:p w14:paraId="3D5FFF3E" w14:textId="52220C05" w:rsidR="00802FF6" w:rsidRPr="007E4DA1" w:rsidRDefault="00802FF6" w:rsidP="001A6584">
      <w:pPr>
        <w:keepNext/>
        <w:tabs>
          <w:tab w:val="left" w:pos="142"/>
        </w:tabs>
        <w:ind w:left="0" w:firstLine="0"/>
      </w:pPr>
    </w:p>
    <w:p w14:paraId="26CFC2F2" w14:textId="77777777" w:rsidR="00802FF6" w:rsidRPr="007E4DA1" w:rsidRDefault="00802FF6" w:rsidP="001A6584">
      <w:pPr>
        <w:tabs>
          <w:tab w:val="left" w:pos="142"/>
        </w:tabs>
        <w:ind w:left="0" w:firstLine="0"/>
        <w:rPr>
          <w:szCs w:val="22"/>
        </w:rPr>
      </w:pPr>
      <w:r w:rsidRPr="007E4DA1">
        <w:t>Nie zaleca się także stosowania produktu Revolade u kobiet w wieku rozrodczym, które nie stosują antykoncepcji.</w:t>
      </w:r>
    </w:p>
    <w:p w14:paraId="0B767417" w14:textId="77777777" w:rsidR="00802FF6" w:rsidRPr="007E4DA1" w:rsidRDefault="00802FF6" w:rsidP="001A6584">
      <w:pPr>
        <w:tabs>
          <w:tab w:val="left" w:pos="142"/>
        </w:tabs>
        <w:ind w:left="0" w:firstLine="0"/>
      </w:pPr>
    </w:p>
    <w:p w14:paraId="21B9E453" w14:textId="77777777" w:rsidR="00041A08" w:rsidRPr="00041A08" w:rsidRDefault="00802FF6" w:rsidP="001A6584">
      <w:pPr>
        <w:keepNext/>
        <w:tabs>
          <w:tab w:val="left" w:pos="142"/>
        </w:tabs>
        <w:ind w:left="0" w:firstLine="0"/>
      </w:pPr>
      <w:r w:rsidRPr="007E4DA1">
        <w:rPr>
          <w:u w:val="single"/>
        </w:rPr>
        <w:t>Karmienie piersią</w:t>
      </w:r>
    </w:p>
    <w:p w14:paraId="570D4C74" w14:textId="0B0A35AD" w:rsidR="00802FF6" w:rsidRPr="007E4DA1" w:rsidRDefault="00802FF6" w:rsidP="001A6584">
      <w:pPr>
        <w:keepNext/>
        <w:tabs>
          <w:tab w:val="left" w:pos="142"/>
        </w:tabs>
        <w:ind w:left="0" w:firstLine="0"/>
      </w:pPr>
    </w:p>
    <w:p w14:paraId="343AD9DB" w14:textId="77777777" w:rsidR="00802FF6" w:rsidRPr="007E4DA1" w:rsidRDefault="00802FF6" w:rsidP="001A6584">
      <w:pPr>
        <w:tabs>
          <w:tab w:val="left" w:pos="142"/>
        </w:tabs>
        <w:ind w:left="0" w:firstLine="0"/>
        <w:rPr>
          <w:szCs w:val="22"/>
        </w:rPr>
      </w:pPr>
      <w:r w:rsidRPr="007E4DA1">
        <w:rPr>
          <w:szCs w:val="22"/>
        </w:rPr>
        <w:t xml:space="preserve">Nie wiadomo, czy </w:t>
      </w:r>
      <w:r w:rsidRPr="007E4DA1">
        <w:t xml:space="preserve">eltrombopag </w:t>
      </w:r>
      <w:r w:rsidRPr="007E4DA1">
        <w:rPr>
          <w:szCs w:val="22"/>
        </w:rPr>
        <w:t xml:space="preserve">/metabolity przenikają do mleka ludzkiego. </w:t>
      </w:r>
      <w:r w:rsidRPr="007E4DA1">
        <w:t>Badania na zwierzętach wykazały, że eltrombopag może przenikać do mleka (patrz punkt</w:t>
      </w:r>
      <w:r w:rsidR="00FD55D3" w:rsidRPr="007E4DA1">
        <w:t> </w:t>
      </w:r>
      <w:r w:rsidRPr="007E4DA1">
        <w:t xml:space="preserve">5.3); dlatego nie można wykluczyć zagrożenia dla dziecka karmionego piersią. </w:t>
      </w:r>
      <w:r w:rsidRPr="007E4DA1">
        <w:rPr>
          <w:szCs w:val="22"/>
        </w:rPr>
        <w:t xml:space="preserve">Należy podjąć decyzję, czy przerwać karmienie piersią czy </w:t>
      </w:r>
      <w:r w:rsidRPr="007E4DA1">
        <w:t>kontynuować/</w:t>
      </w:r>
      <w:r w:rsidRPr="007E4DA1">
        <w:rPr>
          <w:szCs w:val="22"/>
        </w:rPr>
        <w:t>przerwać podawanie produktu Revolade, biorąc pod uwagę korzyści z karmienia piersią dla dziecka i korzyści z leczenia dla matki.</w:t>
      </w:r>
    </w:p>
    <w:p w14:paraId="50C4669F" w14:textId="77777777" w:rsidR="00802FF6" w:rsidRPr="007E4DA1" w:rsidRDefault="00802FF6" w:rsidP="001A6584">
      <w:pPr>
        <w:tabs>
          <w:tab w:val="left" w:pos="142"/>
        </w:tabs>
        <w:ind w:left="0" w:firstLine="0"/>
        <w:rPr>
          <w:szCs w:val="22"/>
        </w:rPr>
      </w:pPr>
    </w:p>
    <w:p w14:paraId="030E49AC" w14:textId="77777777" w:rsidR="00041A08" w:rsidRPr="00041A08" w:rsidRDefault="00802FF6" w:rsidP="001A6584">
      <w:pPr>
        <w:keepNext/>
        <w:tabs>
          <w:tab w:val="left" w:pos="142"/>
        </w:tabs>
        <w:ind w:left="0" w:firstLine="0"/>
        <w:rPr>
          <w:noProof/>
          <w:szCs w:val="22"/>
        </w:rPr>
      </w:pPr>
      <w:r w:rsidRPr="007E4DA1">
        <w:rPr>
          <w:noProof/>
          <w:u w:val="single"/>
        </w:rPr>
        <w:t>Płodność</w:t>
      </w:r>
    </w:p>
    <w:p w14:paraId="6E646092" w14:textId="7378F9A6" w:rsidR="00802FF6" w:rsidRPr="007E4DA1" w:rsidRDefault="00802FF6" w:rsidP="001A6584">
      <w:pPr>
        <w:keepNext/>
        <w:tabs>
          <w:tab w:val="left" w:pos="142"/>
        </w:tabs>
        <w:ind w:left="0" w:firstLine="0"/>
        <w:rPr>
          <w:noProof/>
          <w:szCs w:val="22"/>
        </w:rPr>
      </w:pPr>
    </w:p>
    <w:p w14:paraId="1BD9A7D8" w14:textId="77777777" w:rsidR="00802FF6" w:rsidRPr="007E4DA1" w:rsidRDefault="00802FF6" w:rsidP="001A6584">
      <w:pPr>
        <w:tabs>
          <w:tab w:val="left" w:pos="142"/>
        </w:tabs>
        <w:ind w:left="0" w:firstLine="0"/>
      </w:pPr>
      <w:r w:rsidRPr="007E4DA1">
        <w:t>Nie zaobserwowano wpływu na płodność u samców i samic szczurów przy ekspozycji podobnej jak u ludzi. Nie można jednak wykluczyć ryzyka u ludzi (patrz punkt 5.3).</w:t>
      </w:r>
    </w:p>
    <w:p w14:paraId="0808C50A" w14:textId="77777777" w:rsidR="00802FF6" w:rsidRPr="007E4DA1" w:rsidRDefault="00802FF6" w:rsidP="001A6584">
      <w:pPr>
        <w:tabs>
          <w:tab w:val="left" w:pos="142"/>
        </w:tabs>
        <w:ind w:left="0" w:firstLine="0"/>
        <w:rPr>
          <w:szCs w:val="22"/>
        </w:rPr>
      </w:pPr>
    </w:p>
    <w:p w14:paraId="537BD39E" w14:textId="77777777" w:rsidR="00802FF6" w:rsidRPr="007E4DA1" w:rsidRDefault="00802FF6" w:rsidP="001A6584">
      <w:pPr>
        <w:keepNext/>
        <w:rPr>
          <w:szCs w:val="22"/>
        </w:rPr>
      </w:pPr>
      <w:r w:rsidRPr="007E4DA1">
        <w:rPr>
          <w:b/>
          <w:szCs w:val="22"/>
        </w:rPr>
        <w:t>4.7</w:t>
      </w:r>
      <w:r w:rsidRPr="007E4DA1">
        <w:rPr>
          <w:b/>
          <w:szCs w:val="22"/>
        </w:rPr>
        <w:tab/>
      </w:r>
      <w:r w:rsidRPr="007E4DA1">
        <w:rPr>
          <w:b/>
        </w:rPr>
        <w:t>Wpływ na zdolność prowadzenia pojazdów i obsługiwania maszyn</w:t>
      </w:r>
    </w:p>
    <w:p w14:paraId="50723D13" w14:textId="77777777" w:rsidR="00802FF6" w:rsidRPr="007E4DA1" w:rsidRDefault="00802FF6" w:rsidP="001A6584">
      <w:pPr>
        <w:keepNext/>
        <w:tabs>
          <w:tab w:val="left" w:pos="142"/>
        </w:tabs>
        <w:ind w:left="0" w:firstLine="0"/>
        <w:rPr>
          <w:szCs w:val="22"/>
        </w:rPr>
      </w:pPr>
    </w:p>
    <w:p w14:paraId="499DD23A" w14:textId="32C9D807" w:rsidR="00802FF6" w:rsidRPr="007E4DA1" w:rsidRDefault="00802FF6" w:rsidP="001A6584">
      <w:pPr>
        <w:keepNext/>
        <w:tabs>
          <w:tab w:val="left" w:pos="142"/>
        </w:tabs>
        <w:ind w:left="0" w:firstLine="0"/>
      </w:pPr>
      <w:r w:rsidRPr="007E4DA1">
        <w:t>Eltrombopag wy</w:t>
      </w:r>
      <w:r w:rsidR="002E193C" w:rsidRPr="007E4DA1">
        <w:t>wiera</w:t>
      </w:r>
      <w:r w:rsidRPr="007E4DA1">
        <w:t xml:space="preserve"> </w:t>
      </w:r>
      <w:r w:rsidR="0007677D" w:rsidRPr="007E4DA1">
        <w:t>nieistotny</w:t>
      </w:r>
      <w:r w:rsidRPr="007E4DA1">
        <w:t xml:space="preserve"> wpływ na zdolność prowadzenia pojazdów i obsługiwania maszyn. Przy rozważaniu zdolności pacjenta do wykonywania czynności, które wymagają osądu bądź zdolności ruchowych lub poznawczych należy mieć na względzie stan kliniczny pacjenta oraz profil działań niepożądanych eltrombopagu</w:t>
      </w:r>
      <w:r w:rsidR="00CB2D0A" w:rsidRPr="007E4DA1">
        <w:t>, w tym występowanie zawrotów głowy lub brak uwagi</w:t>
      </w:r>
      <w:r w:rsidRPr="007E4DA1">
        <w:t>.</w:t>
      </w:r>
    </w:p>
    <w:p w14:paraId="4696CA1F" w14:textId="77777777" w:rsidR="00802FF6" w:rsidRPr="007E4DA1" w:rsidRDefault="00802FF6" w:rsidP="001A6584">
      <w:pPr>
        <w:tabs>
          <w:tab w:val="left" w:pos="142"/>
        </w:tabs>
        <w:ind w:left="0" w:firstLine="0"/>
        <w:rPr>
          <w:szCs w:val="22"/>
        </w:rPr>
      </w:pPr>
    </w:p>
    <w:p w14:paraId="4F0A47EB" w14:textId="77777777" w:rsidR="00041A08" w:rsidRPr="00041A08" w:rsidRDefault="0051523E" w:rsidP="001A6584">
      <w:pPr>
        <w:keepNext/>
        <w:rPr>
          <w:szCs w:val="22"/>
        </w:rPr>
      </w:pPr>
      <w:r w:rsidRPr="007E4DA1">
        <w:rPr>
          <w:b/>
          <w:szCs w:val="22"/>
        </w:rPr>
        <w:t>4.8</w:t>
      </w:r>
      <w:r w:rsidRPr="007E4DA1">
        <w:rPr>
          <w:b/>
          <w:szCs w:val="22"/>
        </w:rPr>
        <w:tab/>
      </w:r>
      <w:r w:rsidR="00802FF6" w:rsidRPr="007E4DA1">
        <w:rPr>
          <w:b/>
          <w:szCs w:val="22"/>
        </w:rPr>
        <w:t>Działania niepożądane</w:t>
      </w:r>
    </w:p>
    <w:p w14:paraId="7CAD2C8E" w14:textId="01590465" w:rsidR="00802FF6" w:rsidRPr="007E4DA1" w:rsidRDefault="00802FF6" w:rsidP="001A6584">
      <w:pPr>
        <w:keepNext/>
        <w:tabs>
          <w:tab w:val="left" w:pos="1389"/>
        </w:tabs>
        <w:ind w:left="0" w:firstLine="0"/>
        <w:rPr>
          <w:szCs w:val="22"/>
        </w:rPr>
      </w:pPr>
    </w:p>
    <w:p w14:paraId="17C22F18" w14:textId="77777777" w:rsidR="00041A08" w:rsidRPr="00041A08" w:rsidRDefault="00ED405D" w:rsidP="001A6584">
      <w:pPr>
        <w:keepNext/>
        <w:tabs>
          <w:tab w:val="left" w:pos="1389"/>
        </w:tabs>
        <w:ind w:left="0" w:firstLine="0"/>
        <w:rPr>
          <w:szCs w:val="22"/>
        </w:rPr>
      </w:pPr>
      <w:r w:rsidRPr="007E4DA1">
        <w:rPr>
          <w:szCs w:val="22"/>
          <w:u w:val="single"/>
        </w:rPr>
        <w:t>Podsumowanie profilu bezpieczeństwa</w:t>
      </w:r>
    </w:p>
    <w:p w14:paraId="2048BACA" w14:textId="562D0268" w:rsidR="00427914" w:rsidRPr="007E4DA1" w:rsidRDefault="00427914" w:rsidP="001A6584">
      <w:pPr>
        <w:keepNext/>
        <w:tabs>
          <w:tab w:val="left" w:pos="142"/>
        </w:tabs>
        <w:ind w:left="0" w:firstLine="0"/>
      </w:pPr>
    </w:p>
    <w:p w14:paraId="21328A30" w14:textId="77777777" w:rsidR="00427914" w:rsidRPr="007E4DA1" w:rsidRDefault="00866435" w:rsidP="001A6584">
      <w:pPr>
        <w:keepNext/>
        <w:tabs>
          <w:tab w:val="left" w:pos="142"/>
        </w:tabs>
        <w:ind w:left="0" w:firstLine="0"/>
      </w:pPr>
      <w:r w:rsidRPr="007E4DA1">
        <w:rPr>
          <w:i/>
          <w:u w:val="single"/>
        </w:rPr>
        <w:t>Małopłytkowość immunologiczna u pacjentów dorosłych, dzieci i młodzieży</w:t>
      </w:r>
    </w:p>
    <w:p w14:paraId="2AEC0CC2" w14:textId="77777777" w:rsidR="00866435" w:rsidRPr="007E4DA1" w:rsidRDefault="00866435" w:rsidP="001A6584">
      <w:pPr>
        <w:keepNext/>
        <w:tabs>
          <w:tab w:val="left" w:pos="142"/>
        </w:tabs>
        <w:ind w:left="0" w:firstLine="0"/>
      </w:pPr>
    </w:p>
    <w:p w14:paraId="3CB24698" w14:textId="0C38E789" w:rsidR="00FC7F68" w:rsidRPr="007E4DA1" w:rsidRDefault="00866435" w:rsidP="001A6584">
      <w:pPr>
        <w:tabs>
          <w:tab w:val="left" w:pos="142"/>
        </w:tabs>
        <w:ind w:left="0" w:firstLine="0"/>
      </w:pPr>
      <w:r w:rsidRPr="007E4DA1">
        <w:t>Bezpieczeństwo stosowania produktu</w:t>
      </w:r>
      <w:r w:rsidR="00D1238D" w:rsidRPr="007E4DA1">
        <w:t xml:space="preserve"> leczniczego R</w:t>
      </w:r>
      <w:r w:rsidRPr="007E4DA1">
        <w:t xml:space="preserve">evolade </w:t>
      </w:r>
      <w:r w:rsidR="0007677D" w:rsidRPr="007E4DA1">
        <w:t xml:space="preserve">u dorosłych pacjentów (N=763) </w:t>
      </w:r>
      <w:r w:rsidRPr="007E4DA1">
        <w:t xml:space="preserve">oceniano na podstawie zbiorczych danych z badań kontrolowanych placebo, prowadzonych metodą </w:t>
      </w:r>
      <w:r w:rsidR="00FE01E6" w:rsidRPr="007E4DA1">
        <w:t>podwójnie</w:t>
      </w:r>
      <w:r w:rsidRPr="007E4DA1">
        <w:t xml:space="preserve"> ślepej próby TRA100773A i B, TRA102537 (RAISE) i TRA113765, w których 403 pacjentów otrzymywało produkt leczniczy Revolade, a 179 pacjentów otrzymywało placebo, a także na podstawie danych z ukończonych otwartych badań </w:t>
      </w:r>
      <w:r w:rsidR="0007677D" w:rsidRPr="007E4DA1">
        <w:t xml:space="preserve">(N=360) </w:t>
      </w:r>
      <w:r w:rsidRPr="007E4DA1">
        <w:t>TRA108057</w:t>
      </w:r>
      <w:r w:rsidR="0007677D" w:rsidRPr="007E4DA1">
        <w:t xml:space="preserve"> (REPEAT)</w:t>
      </w:r>
      <w:r w:rsidRPr="007E4DA1">
        <w:t>, TRA105325 (EXTEND) i TRA112940</w:t>
      </w:r>
      <w:r w:rsidR="0007677D" w:rsidRPr="007E4DA1">
        <w:t xml:space="preserve"> (patrz punkt 5.1)</w:t>
      </w:r>
      <w:r w:rsidRPr="007E4DA1">
        <w:t>. Pacjenci otrzymywali lek badany przez okres do 8 lat</w:t>
      </w:r>
      <w:r w:rsidR="00FE01E6" w:rsidRPr="007E4DA1">
        <w:t xml:space="preserve"> (w badaniu</w:t>
      </w:r>
      <w:r w:rsidRPr="007E4DA1">
        <w:t xml:space="preserve"> EXTEND).</w:t>
      </w:r>
      <w:r w:rsidR="00D479BC" w:rsidRPr="007E4DA1">
        <w:t xml:space="preserve"> Najważniejszymi ciężkimi działaniami niepożądanymi były toksyczne działania na wątrobę i zdarzenia zakrzepowe/zakrzepowo-zatorowe. Do najczęstszych działań niepożądanych występujących u przynajmniej 10% pacjentów należały: nudności, biegunka</w:t>
      </w:r>
      <w:r w:rsidR="0007677D" w:rsidRPr="007E4DA1">
        <w:t>,</w:t>
      </w:r>
      <w:r w:rsidR="0032696C" w:rsidRPr="007E4DA1">
        <w:t xml:space="preserve"> </w:t>
      </w:r>
      <w:r w:rsidRPr="007E4DA1">
        <w:t>zwiększenie aktywności aminotransferazy alaninowej</w:t>
      </w:r>
      <w:r w:rsidR="0007677D" w:rsidRPr="007E4DA1">
        <w:t xml:space="preserve"> i ból pleców</w:t>
      </w:r>
      <w:r w:rsidR="00D479BC" w:rsidRPr="007E4DA1">
        <w:t>.</w:t>
      </w:r>
    </w:p>
    <w:p w14:paraId="1E4B0013" w14:textId="77777777" w:rsidR="00D479BC" w:rsidRPr="007E4DA1" w:rsidRDefault="00D479BC" w:rsidP="001A6584">
      <w:pPr>
        <w:tabs>
          <w:tab w:val="left" w:pos="142"/>
        </w:tabs>
        <w:ind w:left="0" w:firstLine="0"/>
      </w:pPr>
    </w:p>
    <w:p w14:paraId="3E4E9DFD" w14:textId="77777777" w:rsidR="00D479BC" w:rsidRPr="007E4DA1" w:rsidRDefault="00866435" w:rsidP="001A6584">
      <w:pPr>
        <w:tabs>
          <w:tab w:val="left" w:pos="142"/>
        </w:tabs>
        <w:ind w:left="0" w:firstLine="0"/>
      </w:pPr>
      <w:r w:rsidRPr="007E4DA1">
        <w:t>Bezpieczeństwo stosowania produktu leczniczego Revolade u dzieci i młodzieży (w wieku od 1</w:t>
      </w:r>
      <w:r w:rsidR="00926913" w:rsidRPr="007E4DA1">
        <w:t> </w:t>
      </w:r>
      <w:r w:rsidRPr="007E4DA1">
        <w:t>roku do 17</w:t>
      </w:r>
      <w:r w:rsidR="00926913" w:rsidRPr="007E4DA1">
        <w:t> </w:t>
      </w:r>
      <w:r w:rsidRPr="007E4DA1">
        <w:t xml:space="preserve">lat) z wcześniej leczoną </w:t>
      </w:r>
      <w:r w:rsidR="00D1238D" w:rsidRPr="007E4DA1">
        <w:t xml:space="preserve">ITP </w:t>
      </w:r>
      <w:r w:rsidRPr="007E4DA1">
        <w:t>wykazano w dwóch badaniach</w:t>
      </w:r>
      <w:r w:rsidR="0007677D" w:rsidRPr="007E4DA1">
        <w:t xml:space="preserve"> (N=171) (patrz punkt 5.1)</w:t>
      </w:r>
      <w:r w:rsidRPr="007E4DA1">
        <w:t>. PETIT2 (TRA115450) było dwuczęściowym, otwartym, randomizowanym badaniem kontrolowanym placebo, prowadzonym metodą podwójnie ślepej próby. Pacjenci byli losowo przydzielani w stosunku 2:1 do grupy otrzymującej produkt leczniczy Revolade (n=63) lu</w:t>
      </w:r>
      <w:r w:rsidR="00D1238D" w:rsidRPr="007E4DA1">
        <w:t>b</w:t>
      </w:r>
      <w:r w:rsidRPr="007E4DA1">
        <w:t xml:space="preserve"> placebo (n=29) maksymalnie przez </w:t>
      </w:r>
      <w:r w:rsidRPr="007E4DA1">
        <w:lastRenderedPageBreak/>
        <w:t>13</w:t>
      </w:r>
      <w:r w:rsidR="00926913" w:rsidRPr="007E4DA1">
        <w:t> </w:t>
      </w:r>
      <w:r w:rsidRPr="007E4DA1">
        <w:t>tygodni w randomizowanym okresie badania. PETIT (TRA108062) było trzyczęściowym, otwartym, randomizowanym</w:t>
      </w:r>
      <w:r w:rsidR="00D1238D" w:rsidRPr="007E4DA1">
        <w:t xml:space="preserve"> badaniem kontrolowanym placebo, prowadzonym metodą podwójnie ślepej </w:t>
      </w:r>
      <w:r w:rsidR="00FE01E6" w:rsidRPr="007E4DA1">
        <w:t>próby</w:t>
      </w:r>
      <w:r w:rsidR="00D1238D" w:rsidRPr="007E4DA1">
        <w:t xml:space="preserve"> z kohortami rozłożonymi w czasie. Pacjenci zostali losowo przydzieleni w stosunku 2:1 do grupy otrzymującej produkt leczniczy Revolade (n=44) lub placebo (n=21) przez okres do 7</w:t>
      </w:r>
      <w:r w:rsidR="00926913" w:rsidRPr="007E4DA1">
        <w:t> </w:t>
      </w:r>
      <w:r w:rsidR="00D1238D" w:rsidRPr="007E4DA1">
        <w:t>tygodni.</w:t>
      </w:r>
      <w:r w:rsidR="00D479BC" w:rsidRPr="007E4DA1">
        <w:t xml:space="preserve"> Profil działań niepożądanych był porównywalny do profilu tych działań obserwowanego u osób dorosłych, przy</w:t>
      </w:r>
      <w:r w:rsidR="00466A69" w:rsidRPr="007E4DA1">
        <w:t xml:space="preserve"> </w:t>
      </w:r>
      <w:r w:rsidR="00D479BC" w:rsidRPr="007E4DA1">
        <w:t xml:space="preserve">czym wystąpiły pewne dodatkowe działania niepożądane oznaczone symbolem </w:t>
      </w:r>
      <w:r w:rsidR="00D479BC" w:rsidRPr="007E4DA1">
        <w:rPr>
          <w:szCs w:val="22"/>
        </w:rPr>
        <w:t>♦</w:t>
      </w:r>
      <w:r w:rsidR="00D479BC" w:rsidRPr="007E4DA1">
        <w:t xml:space="preserve"> w tabeli poniżej. Do najczęstszych działań niepożądanych występujących u dzieci i młodzieży z </w:t>
      </w:r>
      <w:r w:rsidR="00D479BC" w:rsidRPr="007E4DA1">
        <w:rPr>
          <w:szCs w:val="22"/>
        </w:rPr>
        <w:t>pierwotną małopłytkowością immunologiczną</w:t>
      </w:r>
      <w:r w:rsidR="00D479BC" w:rsidRPr="007E4DA1">
        <w:t xml:space="preserve"> w wieku 1 roku i starszych (</w:t>
      </w:r>
      <w:r w:rsidR="00D479BC" w:rsidRPr="007E4DA1">
        <w:rPr>
          <w:szCs w:val="22"/>
        </w:rPr>
        <w:t>≥</w:t>
      </w:r>
      <w:r w:rsidR="00D479BC" w:rsidRPr="007E4DA1">
        <w:t>3% lub więcej względem placebo) należały: zakażenia górnych dróg oddechowych, zapalenie części nosowej gardła, kaszel, gorączka, ból brzucha, ból jamy ustnej i gardła, ból zęba,</w:t>
      </w:r>
      <w:r w:rsidR="00437E3E" w:rsidRPr="007E4DA1">
        <w:t xml:space="preserve"> </w:t>
      </w:r>
      <w:r w:rsidR="00D479BC" w:rsidRPr="007E4DA1">
        <w:t>i wodnisty wyciek z nosa.</w:t>
      </w:r>
    </w:p>
    <w:p w14:paraId="690FB884" w14:textId="77777777" w:rsidR="00D479BC" w:rsidRPr="007E4DA1" w:rsidRDefault="00D479BC" w:rsidP="001A6584">
      <w:pPr>
        <w:tabs>
          <w:tab w:val="left" w:pos="142"/>
        </w:tabs>
        <w:ind w:left="0" w:firstLine="0"/>
      </w:pPr>
    </w:p>
    <w:p w14:paraId="1B269658" w14:textId="77777777" w:rsidR="00D1238D" w:rsidRPr="007E4DA1" w:rsidRDefault="00D1238D" w:rsidP="001A6584">
      <w:pPr>
        <w:keepNext/>
        <w:tabs>
          <w:tab w:val="left" w:pos="142"/>
        </w:tabs>
        <w:ind w:left="0" w:firstLine="0"/>
      </w:pPr>
      <w:r w:rsidRPr="007E4DA1">
        <w:rPr>
          <w:i/>
          <w:u w:val="single"/>
        </w:rPr>
        <w:t>Małopłytkowoś</w:t>
      </w:r>
      <w:r w:rsidR="00F72323" w:rsidRPr="007E4DA1">
        <w:rPr>
          <w:i/>
          <w:u w:val="single"/>
        </w:rPr>
        <w:t>ć w przebiegu zakażenia WZW</w:t>
      </w:r>
      <w:r w:rsidRPr="007E4DA1">
        <w:rPr>
          <w:i/>
          <w:u w:val="single"/>
        </w:rPr>
        <w:t xml:space="preserve"> C u dorosłych pacjentów</w:t>
      </w:r>
    </w:p>
    <w:p w14:paraId="32626125" w14:textId="77777777" w:rsidR="00F72323" w:rsidRPr="007E4DA1" w:rsidRDefault="00F72323" w:rsidP="001A6584">
      <w:pPr>
        <w:keepNext/>
        <w:tabs>
          <w:tab w:val="left" w:pos="142"/>
        </w:tabs>
        <w:ind w:left="0" w:firstLine="0"/>
      </w:pPr>
    </w:p>
    <w:p w14:paraId="0335A49B" w14:textId="7E172E09" w:rsidR="00D479BC" w:rsidRPr="007E4DA1" w:rsidRDefault="00F72323" w:rsidP="001A6584">
      <w:pPr>
        <w:tabs>
          <w:tab w:val="left" w:pos="142"/>
        </w:tabs>
        <w:ind w:left="0" w:firstLine="0"/>
      </w:pPr>
      <w:r w:rsidRPr="007E4DA1">
        <w:t>ENABLE 1 (TPL103922 n=716</w:t>
      </w:r>
      <w:r w:rsidR="0007677D" w:rsidRPr="007E4DA1">
        <w:t>, 715 pacjentów leczonych eltrombopagiem</w:t>
      </w:r>
      <w:r w:rsidRPr="007E4DA1">
        <w:t>) i ENABLE 2 (TPL108390 n=805)</w:t>
      </w:r>
      <w:r w:rsidRPr="007E4DA1">
        <w:rPr>
          <w:bCs/>
        </w:rPr>
        <w:t xml:space="preserve"> </w:t>
      </w:r>
      <w:r w:rsidRPr="007E4DA1">
        <w:t xml:space="preserve">były randomizowanymi, wieloośrodkowymi badaniami </w:t>
      </w:r>
      <w:r w:rsidR="008F2E2A" w:rsidRPr="007E4DA1">
        <w:t>kontrolowanymi placebo,</w:t>
      </w:r>
      <w:r w:rsidR="00FE01E6" w:rsidRPr="007E4DA1">
        <w:t xml:space="preserve"> prowadzonymi metoda podwójnie ś</w:t>
      </w:r>
      <w:r w:rsidR="008F2E2A" w:rsidRPr="007E4DA1">
        <w:t xml:space="preserve">lepej próby, w celu oceny skuteczności </w:t>
      </w:r>
      <w:r w:rsidR="00FE01E6" w:rsidRPr="007E4DA1">
        <w:t xml:space="preserve">i bezpieczeństwa stosowania </w:t>
      </w:r>
      <w:r w:rsidR="008F2E2A" w:rsidRPr="007E4DA1">
        <w:t>produktu leczniczego</w:t>
      </w:r>
      <w:r w:rsidRPr="007E4DA1">
        <w:t xml:space="preserve"> Revolade </w:t>
      </w:r>
      <w:r w:rsidR="008F2E2A" w:rsidRPr="007E4DA1">
        <w:t>u pacjentów z małopłytkowością z zakażeniem WZW C</w:t>
      </w:r>
      <w:r w:rsidR="00121BD7" w:rsidRPr="007E4DA1">
        <w:t>, którzy pod innymi względami kwalifikowali się do rozpoczęcia leczenia przeciwwirusowego</w:t>
      </w:r>
      <w:r w:rsidRPr="007E4DA1">
        <w:t xml:space="preserve">. </w:t>
      </w:r>
      <w:r w:rsidR="00121BD7" w:rsidRPr="007E4DA1">
        <w:t>W badaniach z WZW C populacja do oceny bezpieczeństwa składała się z</w:t>
      </w:r>
      <w:r w:rsidR="002259DF" w:rsidRPr="007E4DA1">
        <w:t>e</w:t>
      </w:r>
      <w:r w:rsidR="00121BD7" w:rsidRPr="007E4DA1">
        <w:t xml:space="preserve"> wszystkich pacjentów losowo przydzielonych do grup terapii, którzy otrzymali</w:t>
      </w:r>
      <w:r w:rsidR="00FE01E6" w:rsidRPr="007E4DA1">
        <w:t xml:space="preserve"> badany produkt leczniczy metodą</w:t>
      </w:r>
      <w:r w:rsidR="00121BD7" w:rsidRPr="007E4DA1">
        <w:t xml:space="preserve"> </w:t>
      </w:r>
      <w:r w:rsidR="00FE01E6" w:rsidRPr="007E4DA1">
        <w:t>podwójnie ślepej</w:t>
      </w:r>
      <w:r w:rsidR="00121BD7" w:rsidRPr="007E4DA1">
        <w:t xml:space="preserve"> </w:t>
      </w:r>
      <w:r w:rsidR="00FE01E6" w:rsidRPr="007E4DA1">
        <w:t>próby</w:t>
      </w:r>
      <w:r w:rsidR="00121BD7" w:rsidRPr="007E4DA1">
        <w:t xml:space="preserve"> w </w:t>
      </w:r>
      <w:r w:rsidR="00FE01E6" w:rsidRPr="007E4DA1">
        <w:t>części</w:t>
      </w:r>
      <w:r w:rsidRPr="007E4DA1">
        <w:t xml:space="preserve"> 2 </w:t>
      </w:r>
      <w:r w:rsidR="00121BD7" w:rsidRPr="007E4DA1">
        <w:t>badania</w:t>
      </w:r>
      <w:r w:rsidRPr="007E4DA1">
        <w:t xml:space="preserve"> ENABLE 1 (</w:t>
      </w:r>
      <w:r w:rsidR="00121BD7" w:rsidRPr="007E4DA1">
        <w:t xml:space="preserve">leczenie produktem </w:t>
      </w:r>
      <w:r w:rsidRPr="007E4DA1">
        <w:t xml:space="preserve">Revolade n=450, </w:t>
      </w:r>
      <w:r w:rsidR="00121BD7" w:rsidRPr="007E4DA1">
        <w:t xml:space="preserve">leczenie </w:t>
      </w:r>
      <w:r w:rsidRPr="007E4DA1">
        <w:t xml:space="preserve">placebo n=232) </w:t>
      </w:r>
      <w:r w:rsidR="00121BD7" w:rsidRPr="007E4DA1">
        <w:t>i</w:t>
      </w:r>
      <w:r w:rsidRPr="007E4DA1">
        <w:t xml:space="preserve"> ENABLE 2 (</w:t>
      </w:r>
      <w:r w:rsidR="00121BD7" w:rsidRPr="007E4DA1">
        <w:t xml:space="preserve">leczenie produktem </w:t>
      </w:r>
      <w:r w:rsidRPr="007E4DA1">
        <w:t xml:space="preserve">Revolade n=506, </w:t>
      </w:r>
      <w:r w:rsidR="00121BD7" w:rsidRPr="007E4DA1">
        <w:t xml:space="preserve">leczenie </w:t>
      </w:r>
      <w:r w:rsidRPr="007E4DA1">
        <w:t>placebo n=25</w:t>
      </w:r>
      <w:r w:rsidR="0007677D" w:rsidRPr="007E4DA1">
        <w:t>2</w:t>
      </w:r>
      <w:r w:rsidRPr="007E4DA1">
        <w:t xml:space="preserve">). </w:t>
      </w:r>
      <w:r w:rsidR="00121BD7" w:rsidRPr="007E4DA1">
        <w:t>Analiz</w:t>
      </w:r>
      <w:r w:rsidR="00FE01E6" w:rsidRPr="007E4DA1">
        <w:t>ę</w:t>
      </w:r>
      <w:r w:rsidR="00121BD7" w:rsidRPr="007E4DA1">
        <w:t xml:space="preserve"> pacjentów przeprowadzono według otrzymanego leczenia</w:t>
      </w:r>
      <w:r w:rsidRPr="007E4DA1">
        <w:t xml:space="preserve"> (</w:t>
      </w:r>
      <w:r w:rsidR="00121BD7" w:rsidRPr="007E4DA1">
        <w:t>całkowita populacja do oceny bezpieczeństwa otrzymująca leczenie metodą podwójnie ślepej próby, Revolade n=955 i</w:t>
      </w:r>
      <w:r w:rsidRPr="007E4DA1">
        <w:t xml:space="preserve"> placebo n=484).</w:t>
      </w:r>
      <w:r w:rsidR="00D479BC" w:rsidRPr="007E4DA1">
        <w:t xml:space="preserve"> Najcięższymi stwierdzonymi działaniami niepożądanymi był toksyczny wpływ na wątrobę oraz zdarzenia zakrzepowe/zakrzepowo-zatorowe. Do najczęstszych dzi</w:t>
      </w:r>
      <w:r w:rsidR="00466A69" w:rsidRPr="007E4DA1">
        <w:t>a</w:t>
      </w:r>
      <w:r w:rsidR="00D479BC" w:rsidRPr="007E4DA1">
        <w:t>łań niepożądanych występujących u przynajmniej 10% pacjentów należały: ból głowy, niedokrwistość, zmniejsz</w:t>
      </w:r>
      <w:r w:rsidR="002F51AC" w:rsidRPr="007E4DA1">
        <w:t>enie</w:t>
      </w:r>
      <w:r w:rsidR="00D479BC" w:rsidRPr="007E4DA1">
        <w:t xml:space="preserve"> apety</w:t>
      </w:r>
      <w:r w:rsidR="00466A69" w:rsidRPr="007E4DA1">
        <w:t>tu</w:t>
      </w:r>
      <w:r w:rsidR="00D479BC" w:rsidRPr="007E4DA1">
        <w:t xml:space="preserve">, kaszel, nudności, biegunka, </w:t>
      </w:r>
      <w:r w:rsidR="00121BD7" w:rsidRPr="007E4DA1">
        <w:t xml:space="preserve">hiperbilirubinemia, </w:t>
      </w:r>
      <w:r w:rsidR="00D479BC" w:rsidRPr="007E4DA1">
        <w:t>łysienie, świąd, ból mięś</w:t>
      </w:r>
      <w:r w:rsidR="00437E3E" w:rsidRPr="007E4DA1">
        <w:t>n</w:t>
      </w:r>
      <w:r w:rsidR="00D479BC" w:rsidRPr="007E4DA1">
        <w:t>i, gorączka, uczucie zmęczenia, choroba grypopodobna, osłabienie, dreszcze i obrzęki.</w:t>
      </w:r>
    </w:p>
    <w:p w14:paraId="3BF891D2" w14:textId="77777777" w:rsidR="00D479BC" w:rsidRPr="007E4DA1" w:rsidRDefault="00D479BC" w:rsidP="001A6584">
      <w:pPr>
        <w:tabs>
          <w:tab w:val="left" w:pos="142"/>
        </w:tabs>
        <w:ind w:left="0" w:firstLine="0"/>
        <w:rPr>
          <w:szCs w:val="22"/>
        </w:rPr>
      </w:pPr>
    </w:p>
    <w:p w14:paraId="49FEF205" w14:textId="425C0FDF" w:rsidR="00121BD7" w:rsidRPr="007E4DA1" w:rsidRDefault="00121BD7" w:rsidP="001A6584">
      <w:pPr>
        <w:keepNext/>
        <w:tabs>
          <w:tab w:val="left" w:pos="142"/>
        </w:tabs>
        <w:ind w:left="0" w:firstLine="0"/>
        <w:rPr>
          <w:szCs w:val="22"/>
        </w:rPr>
      </w:pPr>
      <w:r w:rsidRPr="007E4DA1">
        <w:rPr>
          <w:i/>
          <w:szCs w:val="22"/>
          <w:u w:val="single"/>
        </w:rPr>
        <w:t>Ciężka postać niedokrwistości aplastycznej u dorosłych pacjentów</w:t>
      </w:r>
    </w:p>
    <w:p w14:paraId="5497744B" w14:textId="77777777" w:rsidR="00121BD7" w:rsidRPr="007E4DA1" w:rsidRDefault="00121BD7" w:rsidP="001A6584">
      <w:pPr>
        <w:keepNext/>
        <w:tabs>
          <w:tab w:val="left" w:pos="142"/>
        </w:tabs>
        <w:ind w:left="0" w:firstLine="0"/>
        <w:rPr>
          <w:szCs w:val="22"/>
        </w:rPr>
      </w:pPr>
    </w:p>
    <w:p w14:paraId="51555037" w14:textId="2DA1944D" w:rsidR="00802FF6" w:rsidRDefault="00BB7729" w:rsidP="001A6584">
      <w:pPr>
        <w:tabs>
          <w:tab w:val="left" w:pos="142"/>
        </w:tabs>
        <w:autoSpaceDE w:val="0"/>
        <w:autoSpaceDN w:val="0"/>
        <w:adjustRightInd w:val="0"/>
        <w:ind w:left="0" w:firstLine="0"/>
      </w:pPr>
      <w:r w:rsidRPr="007E4DA1">
        <w:rPr>
          <w:szCs w:val="22"/>
        </w:rPr>
        <w:t xml:space="preserve">Bezpieczeństwo stosowania </w:t>
      </w:r>
      <w:r w:rsidR="0007677D" w:rsidRPr="007E4DA1">
        <w:rPr>
          <w:szCs w:val="22"/>
        </w:rPr>
        <w:t>produktu leczniczego Revolade</w:t>
      </w:r>
      <w:r w:rsidRPr="007E4DA1">
        <w:rPr>
          <w:szCs w:val="22"/>
        </w:rPr>
        <w:t xml:space="preserve"> </w:t>
      </w:r>
      <w:r w:rsidR="009C0D5C">
        <w:rPr>
          <w:szCs w:val="22"/>
        </w:rPr>
        <w:t xml:space="preserve">u dorosłych pacjentów z SAA </w:t>
      </w:r>
      <w:r w:rsidRPr="007E4DA1">
        <w:rPr>
          <w:szCs w:val="22"/>
        </w:rPr>
        <w:t>było oceniane w jednoramiennym, otwartym badaniu (n=43), w którym 1</w:t>
      </w:r>
      <w:r w:rsidR="00121BD7" w:rsidRPr="007E4DA1">
        <w:rPr>
          <w:szCs w:val="22"/>
        </w:rPr>
        <w:t>1</w:t>
      </w:r>
      <w:r w:rsidR="009B1E58" w:rsidRPr="007E4DA1">
        <w:rPr>
          <w:szCs w:val="22"/>
        </w:rPr>
        <w:t> </w:t>
      </w:r>
      <w:r w:rsidRPr="007E4DA1">
        <w:rPr>
          <w:szCs w:val="22"/>
        </w:rPr>
        <w:t>pacjentów (2</w:t>
      </w:r>
      <w:r w:rsidR="00121BD7" w:rsidRPr="007E4DA1">
        <w:rPr>
          <w:szCs w:val="22"/>
        </w:rPr>
        <w:t>6</w:t>
      </w:r>
      <w:r w:rsidRPr="007E4DA1">
        <w:rPr>
          <w:szCs w:val="22"/>
        </w:rPr>
        <w:t>%) leczono przez &gt;6</w:t>
      </w:r>
      <w:r w:rsidR="009B1E58" w:rsidRPr="007E4DA1">
        <w:rPr>
          <w:szCs w:val="22"/>
        </w:rPr>
        <w:t> </w:t>
      </w:r>
      <w:r w:rsidRPr="007E4DA1">
        <w:rPr>
          <w:szCs w:val="22"/>
        </w:rPr>
        <w:t xml:space="preserve">miesięcy, a </w:t>
      </w:r>
      <w:r w:rsidR="00121BD7" w:rsidRPr="007E4DA1">
        <w:rPr>
          <w:szCs w:val="22"/>
        </w:rPr>
        <w:t>7</w:t>
      </w:r>
      <w:r w:rsidR="009B1E58" w:rsidRPr="007E4DA1">
        <w:rPr>
          <w:szCs w:val="22"/>
        </w:rPr>
        <w:t> </w:t>
      </w:r>
      <w:r w:rsidRPr="007E4DA1">
        <w:rPr>
          <w:szCs w:val="22"/>
        </w:rPr>
        <w:t>pacjentów (</w:t>
      </w:r>
      <w:r w:rsidR="0007677D" w:rsidRPr="007E4DA1">
        <w:rPr>
          <w:szCs w:val="22"/>
        </w:rPr>
        <w:t>16</w:t>
      </w:r>
      <w:r w:rsidRPr="007E4DA1">
        <w:rPr>
          <w:szCs w:val="22"/>
        </w:rPr>
        <w:t>%) leczono przez &gt;1</w:t>
      </w:r>
      <w:r w:rsidR="009B1E58" w:rsidRPr="007E4DA1">
        <w:rPr>
          <w:szCs w:val="22"/>
        </w:rPr>
        <w:t> </w:t>
      </w:r>
      <w:r w:rsidRPr="007E4DA1">
        <w:rPr>
          <w:szCs w:val="22"/>
        </w:rPr>
        <w:t>rok</w:t>
      </w:r>
      <w:r w:rsidR="0007677D" w:rsidRPr="007E4DA1">
        <w:rPr>
          <w:szCs w:val="22"/>
        </w:rPr>
        <w:t xml:space="preserve"> (patrz punkt 5.1)</w:t>
      </w:r>
      <w:r w:rsidRPr="007E4DA1">
        <w:rPr>
          <w:szCs w:val="22"/>
        </w:rPr>
        <w:t>.</w:t>
      </w:r>
      <w:r w:rsidR="00193736" w:rsidRPr="007E4DA1">
        <w:t xml:space="preserve"> </w:t>
      </w:r>
      <w:r w:rsidR="00802FF6" w:rsidRPr="007E4DA1">
        <w:t>Najczęstszymi działaniami niepożądanymi</w:t>
      </w:r>
      <w:r w:rsidR="00880214" w:rsidRPr="007E4DA1">
        <w:t xml:space="preserve">, </w:t>
      </w:r>
      <w:r w:rsidR="00802FF6" w:rsidRPr="007E4DA1">
        <w:t>które wystąpiły u co najmniej 10% pacjentów</w:t>
      </w:r>
      <w:r w:rsidR="00880214" w:rsidRPr="007E4DA1">
        <w:t>, były</w:t>
      </w:r>
      <w:r w:rsidR="00802FF6" w:rsidRPr="007E4DA1">
        <w:t xml:space="preserve">: ból głowy, </w:t>
      </w:r>
      <w:r w:rsidR="00193736" w:rsidRPr="007E4DA1">
        <w:t xml:space="preserve">zawroty głowy, </w:t>
      </w:r>
      <w:r w:rsidR="00802FF6" w:rsidRPr="007E4DA1">
        <w:t xml:space="preserve">kaszel, </w:t>
      </w:r>
      <w:r w:rsidR="00193736" w:rsidRPr="007E4DA1">
        <w:t xml:space="preserve">ból jamy ustnej i gardła, </w:t>
      </w:r>
      <w:r w:rsidR="0007677D" w:rsidRPr="007E4DA1">
        <w:t xml:space="preserve">wodnisty wyciek z nosa, </w:t>
      </w:r>
      <w:r w:rsidR="00802FF6" w:rsidRPr="007E4DA1">
        <w:t xml:space="preserve">nudności, biegunka, </w:t>
      </w:r>
      <w:r w:rsidR="00880214" w:rsidRPr="007E4DA1">
        <w:t xml:space="preserve">ból brzucha, wzrost aktywności transaminaz, ból stawów, ból kończyn, </w:t>
      </w:r>
      <w:r w:rsidR="0007677D" w:rsidRPr="007E4DA1">
        <w:t xml:space="preserve">skurcze mięśni, </w:t>
      </w:r>
      <w:r w:rsidR="00802FF6" w:rsidRPr="007E4DA1">
        <w:t>uczucie zmęczenia</w:t>
      </w:r>
      <w:r w:rsidR="00880214" w:rsidRPr="007E4DA1">
        <w:t>, i gorączka</w:t>
      </w:r>
      <w:r w:rsidR="00802FF6" w:rsidRPr="007E4DA1">
        <w:t>.</w:t>
      </w:r>
    </w:p>
    <w:p w14:paraId="2170A58B" w14:textId="77777777" w:rsidR="00A930FB" w:rsidRDefault="00A930FB" w:rsidP="001A6584">
      <w:pPr>
        <w:tabs>
          <w:tab w:val="left" w:pos="142"/>
        </w:tabs>
        <w:autoSpaceDE w:val="0"/>
        <w:autoSpaceDN w:val="0"/>
        <w:adjustRightInd w:val="0"/>
        <w:ind w:left="0" w:firstLine="0"/>
      </w:pPr>
    </w:p>
    <w:p w14:paraId="6E8E4697" w14:textId="54ABD5FA" w:rsidR="00314DDE" w:rsidRPr="00BC1959" w:rsidRDefault="00314DDE" w:rsidP="00BC1959">
      <w:pPr>
        <w:keepNext/>
        <w:tabs>
          <w:tab w:val="left" w:pos="142"/>
        </w:tabs>
        <w:autoSpaceDE w:val="0"/>
        <w:autoSpaceDN w:val="0"/>
        <w:adjustRightInd w:val="0"/>
        <w:ind w:left="0" w:firstLine="0"/>
      </w:pPr>
      <w:bookmarkStart w:id="4" w:name="_Hlk199749215"/>
      <w:bookmarkStart w:id="5" w:name="_Hlk199749231"/>
      <w:r>
        <w:rPr>
          <w:i/>
          <w:iCs/>
          <w:u w:val="single"/>
        </w:rPr>
        <w:t>Ciężka niedokrwistość aplastyczna u dzieci i młodzieży</w:t>
      </w:r>
      <w:bookmarkStart w:id="6" w:name="_Hlk199749176"/>
    </w:p>
    <w:p w14:paraId="3CB913AF" w14:textId="77777777" w:rsidR="00314DDE" w:rsidRDefault="00314DDE" w:rsidP="00BC1959">
      <w:pPr>
        <w:keepNext/>
        <w:tabs>
          <w:tab w:val="left" w:pos="142"/>
        </w:tabs>
        <w:autoSpaceDE w:val="0"/>
        <w:autoSpaceDN w:val="0"/>
        <w:adjustRightInd w:val="0"/>
        <w:ind w:left="0" w:firstLine="0"/>
      </w:pPr>
      <w:bookmarkStart w:id="7" w:name="_Hlk192581610"/>
      <w:bookmarkEnd w:id="4"/>
    </w:p>
    <w:p w14:paraId="5E521C64" w14:textId="77777777" w:rsidR="00041A08" w:rsidRPr="00041A08" w:rsidRDefault="00A930FB" w:rsidP="001A6584">
      <w:pPr>
        <w:tabs>
          <w:tab w:val="left" w:pos="142"/>
        </w:tabs>
        <w:autoSpaceDE w:val="0"/>
        <w:autoSpaceDN w:val="0"/>
        <w:adjustRightInd w:val="0"/>
        <w:ind w:left="0" w:firstLine="0"/>
        <w:rPr>
          <w:rFonts w:eastAsia="MS Mincho"/>
          <w:szCs w:val="22"/>
        </w:rPr>
      </w:pPr>
      <w:r>
        <w:t>Bezpieczeństwo stosowania produktu leczniczego Revolade u dzieci i młodzieży z oporną na leczenie/nawracającą</w:t>
      </w:r>
      <w:r w:rsidR="00314DDE">
        <w:t xml:space="preserve"> (kohorta</w:t>
      </w:r>
      <w:r w:rsidR="00BC1959">
        <w:t> </w:t>
      </w:r>
      <w:r w:rsidR="00314DDE">
        <w:t>A; n=14) lub wcześniej nieleczoną (kohorta</w:t>
      </w:r>
      <w:r w:rsidR="00BC1959">
        <w:t> </w:t>
      </w:r>
      <w:r w:rsidR="00314DDE">
        <w:t>B; n=37)</w:t>
      </w:r>
      <w:r>
        <w:t xml:space="preserve"> SAA </w:t>
      </w:r>
      <w:r w:rsidR="00314DDE">
        <w:t>jest</w:t>
      </w:r>
      <w:r>
        <w:t xml:space="preserve"> oceniane w </w:t>
      </w:r>
      <w:r w:rsidR="00314DDE">
        <w:t xml:space="preserve">trwającym </w:t>
      </w:r>
      <w:r>
        <w:t>otwartym</w:t>
      </w:r>
      <w:r w:rsidR="004F1F49">
        <w:t>, niekontrolowanym,</w:t>
      </w:r>
      <w:r>
        <w:t xml:space="preserve"> </w:t>
      </w:r>
      <w:r w:rsidR="004F1F49">
        <w:t>wewnątrzosobniczym badaniu z eskalacją dawki (N=</w:t>
      </w:r>
      <w:r w:rsidR="00314DDE">
        <w:t>51 łącznie</w:t>
      </w:r>
      <w:r w:rsidR="004F1F49">
        <w:t>)</w:t>
      </w:r>
      <w:r w:rsidR="00314DDE">
        <w:t xml:space="preserve"> (patrz także punkt 5.1 zawierający szczegółowe informacje o badaniu)</w:t>
      </w:r>
      <w:r w:rsidR="004F1F49">
        <w:t xml:space="preserve">. </w:t>
      </w:r>
      <w:r w:rsidR="00314DDE">
        <w:t>Zdarzenia niepożądane o szczególnym znaczeniu, w tym ostr</w:t>
      </w:r>
      <w:r w:rsidR="00E143EE">
        <w:t>e uszkodzenie</w:t>
      </w:r>
      <w:r w:rsidR="00314DDE">
        <w:t xml:space="preserve"> nerek, toksyczne działanie na wątrobę, zdarzenia zakrzepowo-zatorowe </w:t>
      </w:r>
      <w:r w:rsidR="00706F3D">
        <w:t>oraz</w:t>
      </w:r>
      <w:r w:rsidR="00314DDE">
        <w:t xml:space="preserve"> ewolucja k</w:t>
      </w:r>
      <w:r w:rsidR="002459E7">
        <w:t>l</w:t>
      </w:r>
      <w:r w:rsidR="00314DDE">
        <w:t>onalna lub nieprawidłowości cytogenetyczne były zgłaszane odpowiednio u 29 (56,9%), 39 (76,5%), 2 (3,9%) i 1 (2,0%) pacjentów. Ogółem częstość</w:t>
      </w:r>
      <w:r w:rsidR="000E4499">
        <w:t>, rodzaj i nasilenie działań niepożądanych obserwowanych po zastosowaniu eltrombopagu u dzieci i młodzieży z SAA były spójne z działaniami niepożądanymi obserwowanymi u dorosłych pacjentów z SAA.</w:t>
      </w:r>
      <w:bookmarkEnd w:id="6"/>
      <w:bookmarkEnd w:id="7"/>
    </w:p>
    <w:bookmarkEnd w:id="5"/>
    <w:p w14:paraId="0F957800" w14:textId="2248CFA1" w:rsidR="00041A08" w:rsidRPr="00041A08" w:rsidRDefault="00041A08" w:rsidP="001A6584">
      <w:pPr>
        <w:tabs>
          <w:tab w:val="left" w:pos="142"/>
        </w:tabs>
        <w:ind w:left="0" w:firstLine="0"/>
      </w:pPr>
    </w:p>
    <w:p w14:paraId="6EBD1EF0" w14:textId="77777777" w:rsidR="00041A08" w:rsidRPr="00041A08" w:rsidRDefault="00ED405D" w:rsidP="001A6584">
      <w:pPr>
        <w:keepNext/>
        <w:tabs>
          <w:tab w:val="left" w:pos="142"/>
        </w:tabs>
        <w:ind w:left="0" w:firstLine="0"/>
      </w:pPr>
      <w:r w:rsidRPr="007E4DA1">
        <w:rPr>
          <w:u w:val="single"/>
        </w:rPr>
        <w:t>Zestawienie działań niepożądanych</w:t>
      </w:r>
    </w:p>
    <w:p w14:paraId="6032EC35" w14:textId="74294807" w:rsidR="00802FF6" w:rsidRPr="007E4DA1" w:rsidRDefault="00802FF6" w:rsidP="001A6584">
      <w:pPr>
        <w:keepNext/>
        <w:tabs>
          <w:tab w:val="left" w:pos="142"/>
        </w:tabs>
        <w:ind w:left="0" w:firstLine="0"/>
        <w:rPr>
          <w:szCs w:val="22"/>
        </w:rPr>
      </w:pPr>
    </w:p>
    <w:p w14:paraId="1C9CA3B8" w14:textId="3CD431BF" w:rsidR="00802FF6" w:rsidRPr="007E4DA1" w:rsidRDefault="00802FF6" w:rsidP="001A6584">
      <w:pPr>
        <w:tabs>
          <w:tab w:val="left" w:pos="142"/>
        </w:tabs>
        <w:ind w:left="0" w:firstLine="0"/>
      </w:pPr>
      <w:r w:rsidRPr="007E4DA1">
        <w:t xml:space="preserve">Wymienione poniżej działania niepożądane, </w:t>
      </w:r>
      <w:r w:rsidR="00BA2C9A" w:rsidRPr="007E4DA1">
        <w:t xml:space="preserve">zaobserwowane </w:t>
      </w:r>
      <w:r w:rsidRPr="007E4DA1">
        <w:t xml:space="preserve">w badaniach dotyczących pierwotnej małopłytkowości immunologicznej </w:t>
      </w:r>
      <w:r w:rsidR="002E193C" w:rsidRPr="007E4DA1">
        <w:t xml:space="preserve">u dorosłych </w:t>
      </w:r>
      <w:r w:rsidRPr="007E4DA1">
        <w:t>(N=</w:t>
      </w:r>
      <w:r w:rsidR="00121BD7" w:rsidRPr="007E4DA1">
        <w:t>763</w:t>
      </w:r>
      <w:r w:rsidRPr="007E4DA1">
        <w:t xml:space="preserve">), </w:t>
      </w:r>
      <w:r w:rsidR="002E193C" w:rsidRPr="007E4DA1">
        <w:t>w badaniach dotyczących pierwotnej małopłytkowości immunologicznej u dzieci (N=17</w:t>
      </w:r>
      <w:r w:rsidR="00121BD7" w:rsidRPr="007E4DA1">
        <w:t>1</w:t>
      </w:r>
      <w:r w:rsidR="002E193C" w:rsidRPr="007E4DA1">
        <w:t xml:space="preserve">), </w:t>
      </w:r>
      <w:r w:rsidRPr="007E4DA1">
        <w:t xml:space="preserve">w badaniach dotyczących zakażenia wirusem </w:t>
      </w:r>
      <w:r w:rsidRPr="007E4DA1">
        <w:lastRenderedPageBreak/>
        <w:t>WZW C (N=</w:t>
      </w:r>
      <w:r w:rsidR="00121BD7" w:rsidRPr="007E4DA1">
        <w:t>1</w:t>
      </w:r>
      <w:r w:rsidR="007154BC" w:rsidRPr="007E4DA1">
        <w:t> </w:t>
      </w:r>
      <w:r w:rsidR="00121BD7" w:rsidRPr="007E4DA1">
        <w:t>520</w:t>
      </w:r>
      <w:r w:rsidRPr="007E4DA1">
        <w:t>),</w:t>
      </w:r>
      <w:r w:rsidR="004613A1" w:rsidRPr="007E4DA1">
        <w:t xml:space="preserve"> </w:t>
      </w:r>
      <w:r w:rsidR="00BB7729" w:rsidRPr="007E4DA1">
        <w:t>w badani</w:t>
      </w:r>
      <w:r w:rsidR="004F1F49">
        <w:t>u</w:t>
      </w:r>
      <w:r w:rsidR="00BB7729" w:rsidRPr="007E4DA1">
        <w:t xml:space="preserve"> z SAA</w:t>
      </w:r>
      <w:r w:rsidR="004F1F49">
        <w:t xml:space="preserve"> u dorosłych</w:t>
      </w:r>
      <w:r w:rsidR="00BB7729" w:rsidRPr="007E4DA1">
        <w:t xml:space="preserve"> (</w:t>
      </w:r>
      <w:r w:rsidR="003B4F52" w:rsidRPr="007E4DA1">
        <w:t>N</w:t>
      </w:r>
      <w:r w:rsidR="00BB7729" w:rsidRPr="007E4DA1">
        <w:t>=43)</w:t>
      </w:r>
      <w:r w:rsidR="004F1F49">
        <w:t>, w badaniu z SAA u dzieci i młodzieży (N=</w:t>
      </w:r>
      <w:r w:rsidR="000E4499">
        <w:t>51</w:t>
      </w:r>
      <w:r w:rsidR="004F1F49">
        <w:t>)</w:t>
      </w:r>
      <w:r w:rsidR="00BB7729" w:rsidRPr="007E4DA1">
        <w:t xml:space="preserve"> i w zgłoszeniach po wprowadzeniu leku do obrotu </w:t>
      </w:r>
      <w:r w:rsidRPr="007E4DA1">
        <w:t>podano zgodnie z klasyfikacją układów i narządów według MedDRA oraz z uwzględnieniem częstości ich występowania</w:t>
      </w:r>
      <w:r w:rsidR="004F1F49">
        <w:t xml:space="preserve"> (</w:t>
      </w:r>
      <w:r w:rsidR="00E52F84">
        <w:t>t</w:t>
      </w:r>
      <w:r w:rsidR="004F1F49">
        <w:t>abel</w:t>
      </w:r>
      <w:r w:rsidR="00545251">
        <w:t>e</w:t>
      </w:r>
      <w:r w:rsidR="004F1F49">
        <w:t> 4, 5 i 6)</w:t>
      </w:r>
      <w:r w:rsidRPr="007E4DA1">
        <w:t>.</w:t>
      </w:r>
      <w:r w:rsidR="00121BD7" w:rsidRPr="007E4DA1">
        <w:t xml:space="preserve"> W obrębie każdej grupy układów i narządów działania niepożądane podano według częstości występowania, </w:t>
      </w:r>
      <w:r w:rsidR="002259DF" w:rsidRPr="007E4DA1">
        <w:t>roz</w:t>
      </w:r>
      <w:r w:rsidR="00121BD7" w:rsidRPr="007E4DA1">
        <w:t xml:space="preserve">poczynając od najczęstszych. </w:t>
      </w:r>
      <w:r w:rsidR="00FE01E6" w:rsidRPr="007E4DA1">
        <w:t xml:space="preserve">Poszczególne </w:t>
      </w:r>
      <w:r w:rsidR="00121BD7" w:rsidRPr="007E4DA1">
        <w:t>kategorie częstości występowania każdego działania niepożądanego opierają się na następującej konwencji (CIOMSIII): bardzo często (≥1/10); często (≥1/100 do &lt;1/10); niezbyt często (≥1/1</w:t>
      </w:r>
      <w:r w:rsidR="009E47AF" w:rsidRPr="007E4DA1">
        <w:t> </w:t>
      </w:r>
      <w:r w:rsidR="00121BD7" w:rsidRPr="007E4DA1">
        <w:t>000 do &lt;1/100); rzadko (≥1/10 000 do &lt;1/1 000); nieznana (częstość nie może być oszacowana na podstawie dostępnych danych)</w:t>
      </w:r>
      <w:r w:rsidR="005C0CBE" w:rsidRPr="007E4DA1">
        <w:t>.</w:t>
      </w:r>
    </w:p>
    <w:p w14:paraId="404183FD" w14:textId="77777777" w:rsidR="00CB2D0A" w:rsidRPr="007E4DA1" w:rsidRDefault="00CB2D0A" w:rsidP="001A6584">
      <w:pPr>
        <w:tabs>
          <w:tab w:val="left" w:pos="142"/>
        </w:tabs>
        <w:ind w:left="0" w:firstLine="0"/>
      </w:pPr>
    </w:p>
    <w:p w14:paraId="3E7F2A61" w14:textId="17B39579" w:rsidR="00041A08" w:rsidRPr="00041A08" w:rsidRDefault="004F1F49">
      <w:pPr>
        <w:keepNext/>
        <w:tabs>
          <w:tab w:val="left" w:pos="142"/>
        </w:tabs>
        <w:ind w:left="1134" w:hanging="1134"/>
      </w:pPr>
      <w:r>
        <w:rPr>
          <w:b/>
        </w:rPr>
        <w:t>Tabela 4</w:t>
      </w:r>
      <w:r>
        <w:rPr>
          <w:b/>
        </w:rPr>
        <w:tab/>
        <w:t>Działania niepożądane w p</w:t>
      </w:r>
      <w:r w:rsidR="00802FF6" w:rsidRPr="007E4DA1">
        <w:rPr>
          <w:b/>
        </w:rPr>
        <w:t>opulacj</w:t>
      </w:r>
      <w:r>
        <w:rPr>
          <w:b/>
        </w:rPr>
        <w:t>i</w:t>
      </w:r>
      <w:r w:rsidR="00802FF6" w:rsidRPr="007E4DA1">
        <w:rPr>
          <w:b/>
        </w:rPr>
        <w:t xml:space="preserve"> pacjentów uczestniczących w badaniach dotyczących pierwotnej małopłytkowości immunologicznej</w:t>
      </w:r>
    </w:p>
    <w:p w14:paraId="136E4C87" w14:textId="5875E92C" w:rsidR="008C1953" w:rsidRPr="007E4DA1" w:rsidRDefault="008C1953" w:rsidP="001A6584">
      <w:pPr>
        <w:keepNext/>
        <w:tabs>
          <w:tab w:val="left" w:pos="142"/>
        </w:tabs>
        <w:ind w:left="0" w:firstLine="0"/>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1537"/>
        <w:gridCol w:w="4921"/>
      </w:tblGrid>
      <w:tr w:rsidR="00D9791E" w:rsidRPr="007E4DA1" w14:paraId="65DBB300" w14:textId="77777777" w:rsidTr="00EE3105">
        <w:trPr>
          <w:cantSplit/>
        </w:trPr>
        <w:tc>
          <w:tcPr>
            <w:tcW w:w="2751" w:type="dxa"/>
            <w:tcBorders>
              <w:bottom w:val="single" w:sz="4" w:space="0" w:color="auto"/>
            </w:tcBorders>
            <w:shd w:val="clear" w:color="auto" w:fill="auto"/>
          </w:tcPr>
          <w:p w14:paraId="097AA040" w14:textId="77777777" w:rsidR="00D9791E" w:rsidRPr="007E4DA1" w:rsidRDefault="00D9791E" w:rsidP="001A6584">
            <w:pPr>
              <w:keepNext/>
              <w:ind w:left="0" w:firstLine="0"/>
              <w:rPr>
                <w:b/>
                <w:szCs w:val="24"/>
                <w:lang w:eastAsia="ja-JP"/>
              </w:rPr>
            </w:pPr>
            <w:r w:rsidRPr="007E4DA1">
              <w:rPr>
                <w:b/>
                <w:szCs w:val="24"/>
                <w:lang w:eastAsia="ja-JP"/>
              </w:rPr>
              <w:t>Klasyfikacja układów i narządów</w:t>
            </w:r>
          </w:p>
        </w:tc>
        <w:tc>
          <w:tcPr>
            <w:tcW w:w="1537" w:type="dxa"/>
            <w:shd w:val="clear" w:color="auto" w:fill="auto"/>
          </w:tcPr>
          <w:p w14:paraId="40627C7C" w14:textId="77777777" w:rsidR="00D9791E" w:rsidRPr="007E4DA1" w:rsidRDefault="00D9791E" w:rsidP="001A6584">
            <w:pPr>
              <w:keepNext/>
              <w:keepLines/>
              <w:autoSpaceDE w:val="0"/>
              <w:autoSpaceDN w:val="0"/>
              <w:adjustRightInd w:val="0"/>
              <w:ind w:left="0" w:firstLine="0"/>
              <w:rPr>
                <w:b/>
                <w:iCs/>
                <w:szCs w:val="24"/>
                <w:lang w:eastAsia="ja-JP"/>
              </w:rPr>
            </w:pPr>
            <w:r w:rsidRPr="007E4DA1">
              <w:rPr>
                <w:b/>
                <w:iCs/>
                <w:szCs w:val="24"/>
                <w:lang w:eastAsia="ja-JP"/>
              </w:rPr>
              <w:t>Częstość występowania</w:t>
            </w:r>
          </w:p>
        </w:tc>
        <w:tc>
          <w:tcPr>
            <w:tcW w:w="4921" w:type="dxa"/>
            <w:shd w:val="clear" w:color="auto" w:fill="auto"/>
          </w:tcPr>
          <w:p w14:paraId="1D4E7498" w14:textId="77777777" w:rsidR="00D9791E" w:rsidRPr="007E4DA1" w:rsidRDefault="00D9791E" w:rsidP="001A6584">
            <w:pPr>
              <w:keepNext/>
              <w:keepLines/>
              <w:autoSpaceDE w:val="0"/>
              <w:autoSpaceDN w:val="0"/>
              <w:adjustRightInd w:val="0"/>
              <w:ind w:left="0" w:firstLine="0"/>
              <w:rPr>
                <w:b/>
                <w:szCs w:val="24"/>
                <w:lang w:eastAsia="ja-JP"/>
              </w:rPr>
            </w:pPr>
            <w:r w:rsidRPr="007E4DA1">
              <w:rPr>
                <w:b/>
                <w:szCs w:val="24"/>
                <w:lang w:eastAsia="ja-JP"/>
              </w:rPr>
              <w:t>Działani</w:t>
            </w:r>
            <w:r w:rsidR="005C0CBE" w:rsidRPr="007E4DA1">
              <w:rPr>
                <w:b/>
                <w:szCs w:val="24"/>
                <w:lang w:eastAsia="ja-JP"/>
              </w:rPr>
              <w:t>e</w:t>
            </w:r>
            <w:r w:rsidRPr="007E4DA1">
              <w:rPr>
                <w:b/>
                <w:szCs w:val="24"/>
                <w:lang w:eastAsia="ja-JP"/>
              </w:rPr>
              <w:t xml:space="preserve"> niepożądane</w:t>
            </w:r>
          </w:p>
        </w:tc>
      </w:tr>
      <w:tr w:rsidR="00D9791E" w:rsidRPr="007E4DA1" w14:paraId="08FE7905" w14:textId="77777777" w:rsidTr="00EE3105">
        <w:trPr>
          <w:cantSplit/>
        </w:trPr>
        <w:tc>
          <w:tcPr>
            <w:tcW w:w="2751" w:type="dxa"/>
            <w:vMerge w:val="restart"/>
            <w:shd w:val="clear" w:color="auto" w:fill="auto"/>
          </w:tcPr>
          <w:p w14:paraId="386EE14A" w14:textId="77777777" w:rsidR="00D9791E" w:rsidRPr="007E4DA1" w:rsidRDefault="00D9791E" w:rsidP="001A6584">
            <w:pPr>
              <w:keepNext/>
              <w:keepLines/>
              <w:ind w:left="0" w:firstLine="0"/>
              <w:rPr>
                <w:szCs w:val="24"/>
                <w:lang w:eastAsia="ja-JP"/>
              </w:rPr>
            </w:pPr>
            <w:r w:rsidRPr="007E4DA1">
              <w:rPr>
                <w:szCs w:val="24"/>
                <w:lang w:eastAsia="ja-JP"/>
              </w:rPr>
              <w:t>Zakażenia i zarażenia pasożytnicze</w:t>
            </w:r>
          </w:p>
        </w:tc>
        <w:tc>
          <w:tcPr>
            <w:tcW w:w="1537" w:type="dxa"/>
            <w:shd w:val="clear" w:color="auto" w:fill="auto"/>
          </w:tcPr>
          <w:p w14:paraId="10C5A901" w14:textId="77777777" w:rsidR="00D9791E" w:rsidRPr="007E4DA1" w:rsidRDefault="00D9791E" w:rsidP="001A6584">
            <w:pPr>
              <w:keepNext/>
              <w:keepLines/>
              <w:autoSpaceDE w:val="0"/>
              <w:autoSpaceDN w:val="0"/>
              <w:adjustRightInd w:val="0"/>
              <w:ind w:left="26" w:hanging="26"/>
              <w:rPr>
                <w:szCs w:val="24"/>
                <w:lang w:eastAsia="ja-JP"/>
              </w:rPr>
            </w:pPr>
            <w:r w:rsidRPr="007E4DA1">
              <w:rPr>
                <w:iCs/>
                <w:szCs w:val="24"/>
                <w:lang w:eastAsia="ja-JP"/>
              </w:rPr>
              <w:t>Bardzo często</w:t>
            </w:r>
          </w:p>
        </w:tc>
        <w:tc>
          <w:tcPr>
            <w:tcW w:w="4921" w:type="dxa"/>
            <w:shd w:val="clear" w:color="auto" w:fill="auto"/>
          </w:tcPr>
          <w:p w14:paraId="09F14C08" w14:textId="77777777" w:rsidR="00D9791E" w:rsidRPr="007E4DA1" w:rsidRDefault="00D9791E" w:rsidP="00C00A76">
            <w:pPr>
              <w:keepNext/>
              <w:keepLines/>
              <w:autoSpaceDE w:val="0"/>
              <w:autoSpaceDN w:val="0"/>
              <w:adjustRightInd w:val="0"/>
              <w:ind w:left="-7" w:firstLine="0"/>
              <w:rPr>
                <w:szCs w:val="24"/>
                <w:lang w:eastAsia="ja-JP"/>
              </w:rPr>
            </w:pPr>
            <w:r w:rsidRPr="007E4DA1">
              <w:rPr>
                <w:rFonts w:eastAsia="MS Mincho"/>
                <w:szCs w:val="22"/>
                <w:lang w:eastAsia="ja-JP"/>
              </w:rPr>
              <w:t xml:space="preserve">Zapalenie </w:t>
            </w:r>
            <w:r w:rsidR="00FF66FE" w:rsidRPr="007E4DA1">
              <w:rPr>
                <w:rFonts w:eastAsia="MS Mincho"/>
                <w:szCs w:val="22"/>
                <w:lang w:eastAsia="ja-JP"/>
              </w:rPr>
              <w:t>nosogardła</w:t>
            </w:r>
            <w:r w:rsidR="009E47AF" w:rsidRPr="007E4DA1">
              <w:rPr>
                <w:rFonts w:eastAsia="MS Mincho"/>
                <w:szCs w:val="22"/>
                <w:vertAlign w:val="superscript"/>
                <w:lang w:eastAsia="ja-JP"/>
              </w:rPr>
              <w:t>♦</w:t>
            </w:r>
            <w:r w:rsidRPr="007E4DA1">
              <w:rPr>
                <w:rFonts w:eastAsia="MS Mincho"/>
                <w:szCs w:val="22"/>
                <w:lang w:eastAsia="ja-JP"/>
              </w:rPr>
              <w:t>, zakażenie górnych dróg oddechowych</w:t>
            </w:r>
            <w:r w:rsidRPr="007E4DA1">
              <w:rPr>
                <w:rFonts w:eastAsia="MS Mincho"/>
                <w:szCs w:val="22"/>
                <w:vertAlign w:val="superscript"/>
                <w:lang w:eastAsia="ja-JP"/>
              </w:rPr>
              <w:t>♦</w:t>
            </w:r>
          </w:p>
        </w:tc>
      </w:tr>
      <w:tr w:rsidR="00D9791E" w:rsidRPr="007E4DA1" w14:paraId="4F490595" w14:textId="77777777" w:rsidTr="00EE3105">
        <w:trPr>
          <w:cantSplit/>
        </w:trPr>
        <w:tc>
          <w:tcPr>
            <w:tcW w:w="2751" w:type="dxa"/>
            <w:vMerge/>
            <w:shd w:val="clear" w:color="auto" w:fill="auto"/>
          </w:tcPr>
          <w:p w14:paraId="25756B71" w14:textId="77777777" w:rsidR="00D9791E" w:rsidRPr="007E4DA1" w:rsidRDefault="00D9791E" w:rsidP="001A6584">
            <w:pPr>
              <w:keepNext/>
              <w:keepLines/>
              <w:autoSpaceDE w:val="0"/>
              <w:autoSpaceDN w:val="0"/>
              <w:adjustRightInd w:val="0"/>
              <w:rPr>
                <w:szCs w:val="24"/>
                <w:lang w:eastAsia="ja-JP"/>
              </w:rPr>
            </w:pPr>
          </w:p>
        </w:tc>
        <w:tc>
          <w:tcPr>
            <w:tcW w:w="1537" w:type="dxa"/>
            <w:shd w:val="clear" w:color="auto" w:fill="auto"/>
          </w:tcPr>
          <w:p w14:paraId="24A7917D" w14:textId="77777777" w:rsidR="00D9791E" w:rsidRPr="007E4DA1" w:rsidRDefault="00D9791E" w:rsidP="001A6584">
            <w:pPr>
              <w:keepNext/>
              <w:keepLines/>
              <w:autoSpaceDE w:val="0"/>
              <w:autoSpaceDN w:val="0"/>
              <w:adjustRightInd w:val="0"/>
              <w:rPr>
                <w:szCs w:val="24"/>
                <w:lang w:eastAsia="ja-JP"/>
              </w:rPr>
            </w:pPr>
            <w:r w:rsidRPr="007E4DA1">
              <w:rPr>
                <w:iCs/>
                <w:szCs w:val="24"/>
                <w:lang w:eastAsia="ja-JP"/>
              </w:rPr>
              <w:t>Często</w:t>
            </w:r>
          </w:p>
        </w:tc>
        <w:tc>
          <w:tcPr>
            <w:tcW w:w="4921" w:type="dxa"/>
            <w:shd w:val="clear" w:color="auto" w:fill="auto"/>
          </w:tcPr>
          <w:p w14:paraId="4B852E2B" w14:textId="77777777" w:rsidR="00D9791E" w:rsidRPr="007E4DA1" w:rsidRDefault="00D9791E" w:rsidP="00C00A76">
            <w:pPr>
              <w:keepNext/>
              <w:keepLines/>
              <w:autoSpaceDE w:val="0"/>
              <w:autoSpaceDN w:val="0"/>
              <w:adjustRightInd w:val="0"/>
              <w:ind w:left="-7" w:firstLine="0"/>
              <w:rPr>
                <w:szCs w:val="24"/>
                <w:lang w:eastAsia="ja-JP"/>
              </w:rPr>
            </w:pPr>
            <w:r w:rsidRPr="007E4DA1">
              <w:rPr>
                <w:szCs w:val="24"/>
                <w:lang w:eastAsia="ja-JP"/>
              </w:rPr>
              <w:t xml:space="preserve">Zapalenie gardła, grypa, opryszczka </w:t>
            </w:r>
            <w:r w:rsidR="00020D13" w:rsidRPr="007E4DA1">
              <w:rPr>
                <w:szCs w:val="24"/>
                <w:lang w:eastAsia="ja-JP"/>
              </w:rPr>
              <w:t>wargowa</w:t>
            </w:r>
            <w:r w:rsidRPr="007E4DA1">
              <w:rPr>
                <w:szCs w:val="24"/>
                <w:lang w:eastAsia="ja-JP"/>
              </w:rPr>
              <w:t>, zapalenie płuc, zapalenie zatok, zapalenie migdałków, zakażenie układu oddechowego, zapalenie dziąseł</w:t>
            </w:r>
          </w:p>
        </w:tc>
      </w:tr>
      <w:tr w:rsidR="00D9791E" w:rsidRPr="007E4DA1" w14:paraId="20D33F55" w14:textId="77777777" w:rsidTr="00EE3105">
        <w:trPr>
          <w:cantSplit/>
        </w:trPr>
        <w:tc>
          <w:tcPr>
            <w:tcW w:w="2751" w:type="dxa"/>
            <w:vMerge/>
            <w:shd w:val="clear" w:color="auto" w:fill="auto"/>
          </w:tcPr>
          <w:p w14:paraId="3F67F66D" w14:textId="77777777" w:rsidR="00D9791E" w:rsidRPr="007E4DA1" w:rsidRDefault="00D9791E" w:rsidP="001A6584">
            <w:pPr>
              <w:keepNext/>
              <w:keepLines/>
              <w:autoSpaceDE w:val="0"/>
              <w:autoSpaceDN w:val="0"/>
              <w:adjustRightInd w:val="0"/>
              <w:rPr>
                <w:szCs w:val="24"/>
                <w:lang w:eastAsia="ja-JP"/>
              </w:rPr>
            </w:pPr>
          </w:p>
        </w:tc>
        <w:tc>
          <w:tcPr>
            <w:tcW w:w="1537" w:type="dxa"/>
            <w:shd w:val="clear" w:color="auto" w:fill="auto"/>
          </w:tcPr>
          <w:p w14:paraId="12659083" w14:textId="77777777" w:rsidR="00D9791E" w:rsidRPr="007E4DA1" w:rsidRDefault="00D9791E" w:rsidP="001A6584">
            <w:pPr>
              <w:keepNext/>
              <w:keepLines/>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5D65AE0E" w14:textId="77777777" w:rsidR="00D9791E" w:rsidRPr="007E4DA1" w:rsidRDefault="00D9791E" w:rsidP="00C00A76">
            <w:pPr>
              <w:keepNext/>
              <w:keepLines/>
              <w:autoSpaceDE w:val="0"/>
              <w:autoSpaceDN w:val="0"/>
              <w:adjustRightInd w:val="0"/>
              <w:ind w:left="-7" w:firstLine="0"/>
              <w:rPr>
                <w:szCs w:val="24"/>
                <w:lang w:eastAsia="ja-JP"/>
              </w:rPr>
            </w:pPr>
            <w:r w:rsidRPr="007E4DA1">
              <w:rPr>
                <w:szCs w:val="24"/>
                <w:lang w:eastAsia="ja-JP"/>
              </w:rPr>
              <w:t>Zakażenie skóry</w:t>
            </w:r>
          </w:p>
        </w:tc>
      </w:tr>
      <w:tr w:rsidR="00D9791E" w:rsidRPr="007E4DA1" w14:paraId="6C2B9E97" w14:textId="77777777" w:rsidTr="00EE3105">
        <w:trPr>
          <w:cantSplit/>
        </w:trPr>
        <w:tc>
          <w:tcPr>
            <w:tcW w:w="2751" w:type="dxa"/>
            <w:shd w:val="clear" w:color="auto" w:fill="auto"/>
          </w:tcPr>
          <w:p w14:paraId="63315719" w14:textId="77777777" w:rsidR="00D9791E" w:rsidRPr="007E4DA1" w:rsidRDefault="00D9791E" w:rsidP="001A6584">
            <w:pPr>
              <w:keepLines/>
              <w:autoSpaceDE w:val="0"/>
              <w:autoSpaceDN w:val="0"/>
              <w:adjustRightInd w:val="0"/>
              <w:ind w:left="0" w:firstLine="0"/>
              <w:rPr>
                <w:szCs w:val="24"/>
                <w:lang w:eastAsia="ja-JP"/>
              </w:rPr>
            </w:pPr>
            <w:r w:rsidRPr="007E4DA1">
              <w:rPr>
                <w:szCs w:val="24"/>
                <w:lang w:eastAsia="ja-JP"/>
              </w:rPr>
              <w:t>Nowotwory łagodne, złośliwe i nieokreślone (w tym torbiele i polipy)</w:t>
            </w:r>
          </w:p>
        </w:tc>
        <w:tc>
          <w:tcPr>
            <w:tcW w:w="1537" w:type="dxa"/>
            <w:shd w:val="clear" w:color="auto" w:fill="auto"/>
          </w:tcPr>
          <w:p w14:paraId="76E75543" w14:textId="77777777" w:rsidR="00D9791E" w:rsidRPr="007E4DA1" w:rsidRDefault="00D9791E" w:rsidP="001A6584">
            <w:pPr>
              <w:keepLines/>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23BEDCDC" w14:textId="77777777" w:rsidR="00D9791E" w:rsidRPr="007E4DA1" w:rsidRDefault="00D9791E" w:rsidP="00C00A76">
            <w:pPr>
              <w:keepLines/>
              <w:autoSpaceDE w:val="0"/>
              <w:autoSpaceDN w:val="0"/>
              <w:adjustRightInd w:val="0"/>
              <w:ind w:left="-7" w:firstLine="0"/>
              <w:rPr>
                <w:szCs w:val="24"/>
                <w:lang w:eastAsia="ja-JP"/>
              </w:rPr>
            </w:pPr>
            <w:r w:rsidRPr="007E4DA1">
              <w:rPr>
                <w:szCs w:val="24"/>
                <w:lang w:eastAsia="ja-JP"/>
              </w:rPr>
              <w:t xml:space="preserve">Rak </w:t>
            </w:r>
            <w:r w:rsidR="00FF66FE" w:rsidRPr="007E4DA1">
              <w:rPr>
                <w:szCs w:val="24"/>
                <w:lang w:eastAsia="ja-JP"/>
              </w:rPr>
              <w:t>zgięcia esiczo-odbytniczego</w:t>
            </w:r>
          </w:p>
        </w:tc>
      </w:tr>
      <w:tr w:rsidR="00D9791E" w:rsidRPr="007E4DA1" w14:paraId="02728A2E" w14:textId="77777777" w:rsidTr="00EE3105">
        <w:trPr>
          <w:cantSplit/>
        </w:trPr>
        <w:tc>
          <w:tcPr>
            <w:tcW w:w="2751" w:type="dxa"/>
            <w:vMerge w:val="restart"/>
            <w:shd w:val="clear" w:color="auto" w:fill="auto"/>
          </w:tcPr>
          <w:p w14:paraId="606FE94F" w14:textId="77777777" w:rsidR="00D9791E" w:rsidRPr="007E4DA1" w:rsidRDefault="00D9791E" w:rsidP="001A6584">
            <w:pPr>
              <w:keepNext/>
              <w:keepLines/>
              <w:autoSpaceDE w:val="0"/>
              <w:autoSpaceDN w:val="0"/>
              <w:adjustRightInd w:val="0"/>
              <w:ind w:left="0" w:firstLine="0"/>
              <w:rPr>
                <w:szCs w:val="24"/>
                <w:lang w:eastAsia="ja-JP"/>
              </w:rPr>
            </w:pPr>
            <w:r w:rsidRPr="007E4DA1">
              <w:rPr>
                <w:szCs w:val="24"/>
                <w:lang w:eastAsia="ja-JP"/>
              </w:rPr>
              <w:t>Zaburzenia krwi i układu chłonnego</w:t>
            </w:r>
          </w:p>
        </w:tc>
        <w:tc>
          <w:tcPr>
            <w:tcW w:w="1537" w:type="dxa"/>
            <w:shd w:val="clear" w:color="auto" w:fill="auto"/>
          </w:tcPr>
          <w:p w14:paraId="40566F9D" w14:textId="77777777" w:rsidR="00D9791E" w:rsidRPr="007E4DA1" w:rsidRDefault="00D9791E" w:rsidP="001A6584">
            <w:pPr>
              <w:keepNext/>
              <w:keepLines/>
              <w:autoSpaceDE w:val="0"/>
              <w:autoSpaceDN w:val="0"/>
              <w:adjustRightInd w:val="0"/>
              <w:rPr>
                <w:szCs w:val="24"/>
                <w:lang w:eastAsia="ja-JP"/>
              </w:rPr>
            </w:pPr>
            <w:r w:rsidRPr="007E4DA1">
              <w:rPr>
                <w:iCs/>
                <w:szCs w:val="24"/>
                <w:lang w:eastAsia="ja-JP"/>
              </w:rPr>
              <w:t>Często</w:t>
            </w:r>
          </w:p>
        </w:tc>
        <w:tc>
          <w:tcPr>
            <w:tcW w:w="4921" w:type="dxa"/>
            <w:shd w:val="clear" w:color="auto" w:fill="auto"/>
          </w:tcPr>
          <w:p w14:paraId="4F04B3CC" w14:textId="77777777" w:rsidR="00D9791E" w:rsidRPr="007E4DA1" w:rsidRDefault="00D9791E" w:rsidP="00C00A76">
            <w:pPr>
              <w:keepNext/>
              <w:keepLines/>
              <w:autoSpaceDE w:val="0"/>
              <w:autoSpaceDN w:val="0"/>
              <w:adjustRightInd w:val="0"/>
              <w:ind w:left="-7" w:firstLine="0"/>
              <w:rPr>
                <w:szCs w:val="24"/>
                <w:lang w:eastAsia="ja-JP"/>
              </w:rPr>
            </w:pPr>
            <w:r w:rsidRPr="007E4DA1">
              <w:rPr>
                <w:szCs w:val="24"/>
                <w:lang w:eastAsia="ja-JP"/>
              </w:rPr>
              <w:t>Niedokrwistość, eozynofilia, leukocytoza, małopłytkowość, zmniejszenie stężenia hemoglobiny, zmniejszenie liczby</w:t>
            </w:r>
            <w:r w:rsidR="00FF66FE" w:rsidRPr="007E4DA1">
              <w:rPr>
                <w:szCs w:val="24"/>
                <w:lang w:eastAsia="ja-JP"/>
              </w:rPr>
              <w:t xml:space="preserve"> krwinek białych</w:t>
            </w:r>
          </w:p>
        </w:tc>
      </w:tr>
      <w:tr w:rsidR="00D9791E" w:rsidRPr="007E4DA1" w14:paraId="561B30C5" w14:textId="77777777" w:rsidTr="00EE3105">
        <w:trPr>
          <w:cantSplit/>
        </w:trPr>
        <w:tc>
          <w:tcPr>
            <w:tcW w:w="2751" w:type="dxa"/>
            <w:vMerge/>
            <w:shd w:val="clear" w:color="auto" w:fill="auto"/>
          </w:tcPr>
          <w:p w14:paraId="7F2BBDDB" w14:textId="77777777" w:rsidR="00D9791E" w:rsidRPr="007E4DA1" w:rsidRDefault="00D9791E" w:rsidP="001A6584">
            <w:pPr>
              <w:keepNext/>
              <w:keepLines/>
              <w:autoSpaceDE w:val="0"/>
              <w:autoSpaceDN w:val="0"/>
              <w:adjustRightInd w:val="0"/>
              <w:rPr>
                <w:szCs w:val="24"/>
                <w:lang w:eastAsia="ja-JP"/>
              </w:rPr>
            </w:pPr>
          </w:p>
        </w:tc>
        <w:tc>
          <w:tcPr>
            <w:tcW w:w="1537" w:type="dxa"/>
            <w:shd w:val="clear" w:color="auto" w:fill="auto"/>
          </w:tcPr>
          <w:p w14:paraId="4C1F6EC6" w14:textId="77777777" w:rsidR="00D9791E" w:rsidRPr="007E4DA1" w:rsidRDefault="00D9791E" w:rsidP="001A6584">
            <w:pPr>
              <w:keepLines/>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6CE98834" w14:textId="77777777" w:rsidR="00D9791E" w:rsidRPr="007E4DA1" w:rsidRDefault="00D9791E" w:rsidP="00C00A76">
            <w:pPr>
              <w:keepLines/>
              <w:autoSpaceDE w:val="0"/>
              <w:autoSpaceDN w:val="0"/>
              <w:adjustRightInd w:val="0"/>
              <w:ind w:left="0" w:firstLine="0"/>
              <w:rPr>
                <w:szCs w:val="24"/>
                <w:lang w:eastAsia="ja-JP"/>
              </w:rPr>
            </w:pPr>
            <w:r w:rsidRPr="007E4DA1">
              <w:rPr>
                <w:szCs w:val="24"/>
                <w:lang w:eastAsia="ja-JP"/>
              </w:rPr>
              <w:t>Anizocytoza, niedokrwistość hemolityczna, mielocytoza, zwiększenie liczby pałeczkowatych granulocytów obojętnochłonnych, obecność mielocytów, zwiększenie liczby płytek krwi, zwiększenie stężenia hemoglobiny</w:t>
            </w:r>
          </w:p>
        </w:tc>
      </w:tr>
      <w:tr w:rsidR="00D9791E" w:rsidRPr="007E4DA1" w14:paraId="3FA35898" w14:textId="77777777" w:rsidTr="00EE3105">
        <w:trPr>
          <w:cantSplit/>
        </w:trPr>
        <w:tc>
          <w:tcPr>
            <w:tcW w:w="2751" w:type="dxa"/>
            <w:shd w:val="clear" w:color="auto" w:fill="auto"/>
          </w:tcPr>
          <w:p w14:paraId="6C2AD566" w14:textId="77777777" w:rsidR="00D9791E" w:rsidRPr="007E4DA1" w:rsidRDefault="00D9791E" w:rsidP="001A6584">
            <w:pPr>
              <w:keepLines/>
              <w:autoSpaceDE w:val="0"/>
              <w:autoSpaceDN w:val="0"/>
              <w:adjustRightInd w:val="0"/>
              <w:ind w:left="0" w:firstLine="0"/>
              <w:rPr>
                <w:szCs w:val="24"/>
                <w:lang w:eastAsia="ja-JP"/>
              </w:rPr>
            </w:pPr>
            <w:r w:rsidRPr="007E4DA1">
              <w:rPr>
                <w:szCs w:val="24"/>
                <w:lang w:eastAsia="ja-JP"/>
              </w:rPr>
              <w:t>Zaburzenia układu immunologicznego</w:t>
            </w:r>
          </w:p>
        </w:tc>
        <w:tc>
          <w:tcPr>
            <w:tcW w:w="1537" w:type="dxa"/>
            <w:shd w:val="clear" w:color="auto" w:fill="auto"/>
          </w:tcPr>
          <w:p w14:paraId="4249901B" w14:textId="77777777" w:rsidR="00D9791E" w:rsidRPr="007E4DA1" w:rsidRDefault="00D9791E" w:rsidP="001A6584">
            <w:pPr>
              <w:keepLines/>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1B2A44F0" w14:textId="77777777" w:rsidR="00D9791E" w:rsidRPr="007E4DA1" w:rsidRDefault="00D9791E" w:rsidP="00C00A76">
            <w:pPr>
              <w:keepLines/>
              <w:autoSpaceDE w:val="0"/>
              <w:autoSpaceDN w:val="0"/>
              <w:adjustRightInd w:val="0"/>
              <w:ind w:left="0" w:firstLine="0"/>
              <w:rPr>
                <w:szCs w:val="24"/>
                <w:lang w:eastAsia="ja-JP"/>
              </w:rPr>
            </w:pPr>
            <w:r w:rsidRPr="007E4DA1">
              <w:rPr>
                <w:szCs w:val="24"/>
                <w:lang w:eastAsia="ja-JP"/>
              </w:rPr>
              <w:t>Nadwrażliwość</w:t>
            </w:r>
          </w:p>
        </w:tc>
      </w:tr>
      <w:tr w:rsidR="00D9791E" w:rsidRPr="007E4DA1" w14:paraId="5126D8AC" w14:textId="77777777" w:rsidTr="00EE3105">
        <w:trPr>
          <w:cantSplit/>
        </w:trPr>
        <w:tc>
          <w:tcPr>
            <w:tcW w:w="2751" w:type="dxa"/>
            <w:vMerge w:val="restart"/>
            <w:shd w:val="clear" w:color="auto" w:fill="auto"/>
          </w:tcPr>
          <w:p w14:paraId="788A9BE7" w14:textId="77777777" w:rsidR="00D9791E" w:rsidRPr="007E4DA1" w:rsidRDefault="00D9791E" w:rsidP="001A6584">
            <w:pPr>
              <w:keepNext/>
              <w:keepLines/>
              <w:autoSpaceDE w:val="0"/>
              <w:autoSpaceDN w:val="0"/>
              <w:adjustRightInd w:val="0"/>
              <w:ind w:left="0" w:firstLine="0"/>
              <w:rPr>
                <w:szCs w:val="24"/>
                <w:lang w:eastAsia="ja-JP"/>
              </w:rPr>
            </w:pPr>
            <w:r w:rsidRPr="007E4DA1">
              <w:rPr>
                <w:szCs w:val="24"/>
                <w:lang w:eastAsia="ja-JP"/>
              </w:rPr>
              <w:t>Zaburzenia metabolizmu i odżywiania</w:t>
            </w:r>
          </w:p>
        </w:tc>
        <w:tc>
          <w:tcPr>
            <w:tcW w:w="1537" w:type="dxa"/>
            <w:shd w:val="clear" w:color="auto" w:fill="auto"/>
          </w:tcPr>
          <w:p w14:paraId="788BE134" w14:textId="77777777" w:rsidR="00D9791E" w:rsidRPr="007E4DA1" w:rsidRDefault="00D9791E" w:rsidP="001A6584">
            <w:pPr>
              <w:keepNext/>
              <w:keepLines/>
              <w:autoSpaceDE w:val="0"/>
              <w:autoSpaceDN w:val="0"/>
              <w:adjustRightInd w:val="0"/>
              <w:rPr>
                <w:szCs w:val="24"/>
                <w:lang w:eastAsia="ja-JP"/>
              </w:rPr>
            </w:pPr>
            <w:r w:rsidRPr="007E4DA1">
              <w:rPr>
                <w:iCs/>
                <w:szCs w:val="24"/>
                <w:lang w:eastAsia="ja-JP"/>
              </w:rPr>
              <w:t>Często</w:t>
            </w:r>
          </w:p>
        </w:tc>
        <w:tc>
          <w:tcPr>
            <w:tcW w:w="4921" w:type="dxa"/>
            <w:shd w:val="clear" w:color="auto" w:fill="auto"/>
          </w:tcPr>
          <w:p w14:paraId="294B8480" w14:textId="77777777" w:rsidR="00D9791E" w:rsidRPr="007E4DA1" w:rsidRDefault="00D9791E" w:rsidP="00C00A76">
            <w:pPr>
              <w:keepNext/>
              <w:keepLines/>
              <w:autoSpaceDE w:val="0"/>
              <w:autoSpaceDN w:val="0"/>
              <w:adjustRightInd w:val="0"/>
              <w:ind w:left="0" w:firstLine="0"/>
              <w:rPr>
                <w:szCs w:val="24"/>
                <w:lang w:eastAsia="ja-JP"/>
              </w:rPr>
            </w:pPr>
            <w:r w:rsidRPr="007E4DA1">
              <w:rPr>
                <w:szCs w:val="24"/>
                <w:lang w:eastAsia="ja-JP"/>
              </w:rPr>
              <w:t>Hipokaliemia, zmniejszenie apetytu, zwiększenie stężenia kwasu moczowego we krwi</w:t>
            </w:r>
          </w:p>
        </w:tc>
      </w:tr>
      <w:tr w:rsidR="00D9791E" w:rsidRPr="007E4DA1" w14:paraId="1BFEDF16" w14:textId="77777777" w:rsidTr="00EE3105">
        <w:trPr>
          <w:cantSplit/>
        </w:trPr>
        <w:tc>
          <w:tcPr>
            <w:tcW w:w="2751" w:type="dxa"/>
            <w:vMerge/>
            <w:tcBorders>
              <w:bottom w:val="single" w:sz="4" w:space="0" w:color="auto"/>
            </w:tcBorders>
            <w:shd w:val="clear" w:color="auto" w:fill="auto"/>
          </w:tcPr>
          <w:p w14:paraId="5A5324D6" w14:textId="77777777" w:rsidR="00D9791E" w:rsidRPr="007E4DA1" w:rsidRDefault="00D9791E" w:rsidP="001A6584">
            <w:pPr>
              <w:keepNext/>
              <w:keepLines/>
              <w:autoSpaceDE w:val="0"/>
              <w:autoSpaceDN w:val="0"/>
              <w:adjustRightInd w:val="0"/>
              <w:rPr>
                <w:szCs w:val="24"/>
                <w:lang w:eastAsia="ja-JP"/>
              </w:rPr>
            </w:pPr>
          </w:p>
        </w:tc>
        <w:tc>
          <w:tcPr>
            <w:tcW w:w="1537" w:type="dxa"/>
            <w:shd w:val="clear" w:color="auto" w:fill="auto"/>
          </w:tcPr>
          <w:p w14:paraId="42B9043A" w14:textId="77777777" w:rsidR="00D9791E" w:rsidRPr="007E4DA1" w:rsidRDefault="00D9791E" w:rsidP="001A6584">
            <w:pPr>
              <w:keepLines/>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4EE400C8" w14:textId="77777777" w:rsidR="00D9791E" w:rsidRPr="007E4DA1" w:rsidRDefault="00D9791E" w:rsidP="00C00A76">
            <w:pPr>
              <w:keepLines/>
              <w:autoSpaceDE w:val="0"/>
              <w:autoSpaceDN w:val="0"/>
              <w:adjustRightInd w:val="0"/>
              <w:ind w:left="0" w:firstLine="0"/>
              <w:rPr>
                <w:szCs w:val="24"/>
                <w:lang w:eastAsia="ja-JP"/>
              </w:rPr>
            </w:pPr>
            <w:r w:rsidRPr="007E4DA1">
              <w:rPr>
                <w:szCs w:val="24"/>
                <w:lang w:eastAsia="ja-JP"/>
              </w:rPr>
              <w:t>Jadłowstręt, dna moczanowa, hipokalcemia</w:t>
            </w:r>
          </w:p>
        </w:tc>
      </w:tr>
      <w:tr w:rsidR="00D9791E" w:rsidRPr="007E4DA1" w14:paraId="52FC975F" w14:textId="77777777" w:rsidTr="00EE3105">
        <w:trPr>
          <w:cantSplit/>
        </w:trPr>
        <w:tc>
          <w:tcPr>
            <w:tcW w:w="2751" w:type="dxa"/>
            <w:vMerge w:val="restart"/>
            <w:shd w:val="clear" w:color="auto" w:fill="auto"/>
          </w:tcPr>
          <w:p w14:paraId="1BC10E16" w14:textId="77777777" w:rsidR="00D9791E" w:rsidRPr="007E4DA1" w:rsidRDefault="00D9791E" w:rsidP="001A6584">
            <w:pPr>
              <w:keepLines/>
              <w:autoSpaceDE w:val="0"/>
              <w:autoSpaceDN w:val="0"/>
              <w:adjustRightInd w:val="0"/>
              <w:rPr>
                <w:szCs w:val="24"/>
                <w:lang w:eastAsia="ja-JP"/>
              </w:rPr>
            </w:pPr>
            <w:r w:rsidRPr="007E4DA1">
              <w:rPr>
                <w:szCs w:val="24"/>
                <w:lang w:eastAsia="ja-JP"/>
              </w:rPr>
              <w:t>Zaburzenia psychiczne</w:t>
            </w:r>
          </w:p>
        </w:tc>
        <w:tc>
          <w:tcPr>
            <w:tcW w:w="1537" w:type="dxa"/>
            <w:shd w:val="clear" w:color="auto" w:fill="auto"/>
          </w:tcPr>
          <w:p w14:paraId="58461338" w14:textId="77777777" w:rsidR="00D9791E" w:rsidRPr="007E4DA1" w:rsidRDefault="00D9791E" w:rsidP="001A6584">
            <w:pPr>
              <w:keepLines/>
              <w:autoSpaceDE w:val="0"/>
              <w:autoSpaceDN w:val="0"/>
              <w:adjustRightInd w:val="0"/>
              <w:rPr>
                <w:szCs w:val="24"/>
                <w:lang w:eastAsia="ja-JP"/>
              </w:rPr>
            </w:pPr>
            <w:r w:rsidRPr="007E4DA1">
              <w:rPr>
                <w:iCs/>
                <w:szCs w:val="24"/>
                <w:lang w:eastAsia="ja-JP"/>
              </w:rPr>
              <w:t>Często</w:t>
            </w:r>
          </w:p>
        </w:tc>
        <w:tc>
          <w:tcPr>
            <w:tcW w:w="4921" w:type="dxa"/>
            <w:shd w:val="clear" w:color="auto" w:fill="auto"/>
          </w:tcPr>
          <w:p w14:paraId="135C3226" w14:textId="77777777" w:rsidR="00D9791E" w:rsidRPr="007E4DA1" w:rsidRDefault="00D9791E" w:rsidP="00C00A76">
            <w:pPr>
              <w:keepLines/>
              <w:autoSpaceDE w:val="0"/>
              <w:autoSpaceDN w:val="0"/>
              <w:adjustRightInd w:val="0"/>
              <w:ind w:left="0" w:firstLine="0"/>
              <w:rPr>
                <w:szCs w:val="24"/>
                <w:lang w:eastAsia="ja-JP"/>
              </w:rPr>
            </w:pPr>
            <w:r w:rsidRPr="007E4DA1">
              <w:rPr>
                <w:szCs w:val="24"/>
                <w:lang w:eastAsia="ja-JP"/>
              </w:rPr>
              <w:t>Zaburzenia snu, depresja</w:t>
            </w:r>
          </w:p>
        </w:tc>
      </w:tr>
      <w:tr w:rsidR="00D9791E" w:rsidRPr="007E4DA1" w14:paraId="17061C55" w14:textId="77777777" w:rsidTr="00EE3105">
        <w:trPr>
          <w:cantSplit/>
        </w:trPr>
        <w:tc>
          <w:tcPr>
            <w:tcW w:w="2751" w:type="dxa"/>
            <w:vMerge/>
            <w:tcBorders>
              <w:bottom w:val="single" w:sz="4" w:space="0" w:color="auto"/>
            </w:tcBorders>
            <w:shd w:val="clear" w:color="auto" w:fill="auto"/>
          </w:tcPr>
          <w:p w14:paraId="3F4800DC" w14:textId="77777777" w:rsidR="00D9791E" w:rsidRPr="007E4DA1" w:rsidRDefault="00D9791E" w:rsidP="001A6584">
            <w:pPr>
              <w:keepLines/>
              <w:autoSpaceDE w:val="0"/>
              <w:autoSpaceDN w:val="0"/>
              <w:adjustRightInd w:val="0"/>
              <w:rPr>
                <w:szCs w:val="24"/>
                <w:lang w:eastAsia="ja-JP"/>
              </w:rPr>
            </w:pPr>
          </w:p>
        </w:tc>
        <w:tc>
          <w:tcPr>
            <w:tcW w:w="1537" w:type="dxa"/>
            <w:shd w:val="clear" w:color="auto" w:fill="auto"/>
          </w:tcPr>
          <w:p w14:paraId="4855E099" w14:textId="77777777" w:rsidR="00D9791E" w:rsidRPr="007E4DA1" w:rsidRDefault="00D9791E" w:rsidP="001A6584">
            <w:pPr>
              <w:keepLines/>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21961DE8" w14:textId="77777777" w:rsidR="00D9791E" w:rsidRPr="007E4DA1" w:rsidRDefault="00D9791E" w:rsidP="00C00A76">
            <w:pPr>
              <w:keepLines/>
              <w:autoSpaceDE w:val="0"/>
              <w:autoSpaceDN w:val="0"/>
              <w:adjustRightInd w:val="0"/>
              <w:ind w:left="0" w:firstLine="0"/>
              <w:rPr>
                <w:szCs w:val="24"/>
                <w:lang w:eastAsia="ja-JP"/>
              </w:rPr>
            </w:pPr>
            <w:r w:rsidRPr="007E4DA1">
              <w:rPr>
                <w:szCs w:val="24"/>
                <w:lang w:eastAsia="ja-JP"/>
              </w:rPr>
              <w:t xml:space="preserve">Apatia, </w:t>
            </w:r>
            <w:r w:rsidR="00FF66FE" w:rsidRPr="007E4DA1">
              <w:rPr>
                <w:szCs w:val="24"/>
                <w:lang w:eastAsia="ja-JP"/>
              </w:rPr>
              <w:t>zmiany</w:t>
            </w:r>
            <w:r w:rsidRPr="007E4DA1">
              <w:rPr>
                <w:szCs w:val="24"/>
                <w:lang w:eastAsia="ja-JP"/>
              </w:rPr>
              <w:t xml:space="preserve"> nastroju, płaczliwość</w:t>
            </w:r>
          </w:p>
        </w:tc>
      </w:tr>
      <w:tr w:rsidR="00D9791E" w:rsidRPr="007E4DA1" w14:paraId="06FE92E0" w14:textId="77777777" w:rsidTr="00EE3105">
        <w:trPr>
          <w:cantSplit/>
        </w:trPr>
        <w:tc>
          <w:tcPr>
            <w:tcW w:w="2751" w:type="dxa"/>
            <w:vMerge w:val="restart"/>
            <w:shd w:val="clear" w:color="auto" w:fill="auto"/>
          </w:tcPr>
          <w:p w14:paraId="6079B48E" w14:textId="77777777" w:rsidR="00D9791E" w:rsidRPr="007E4DA1" w:rsidRDefault="00D9791E" w:rsidP="00BC1959">
            <w:pPr>
              <w:keepNext/>
              <w:keepLines/>
              <w:autoSpaceDE w:val="0"/>
              <w:autoSpaceDN w:val="0"/>
              <w:adjustRightInd w:val="0"/>
              <w:ind w:left="0" w:firstLine="0"/>
              <w:rPr>
                <w:iCs/>
                <w:szCs w:val="24"/>
                <w:lang w:eastAsia="ja-JP"/>
              </w:rPr>
            </w:pPr>
            <w:r w:rsidRPr="007E4DA1">
              <w:rPr>
                <w:iCs/>
                <w:szCs w:val="24"/>
                <w:lang w:eastAsia="ja-JP"/>
              </w:rPr>
              <w:t>Zaburzenia układu nerwowego</w:t>
            </w:r>
          </w:p>
        </w:tc>
        <w:tc>
          <w:tcPr>
            <w:tcW w:w="1537" w:type="dxa"/>
            <w:shd w:val="clear" w:color="auto" w:fill="auto"/>
          </w:tcPr>
          <w:p w14:paraId="381096F6" w14:textId="77777777" w:rsidR="00D9791E" w:rsidRPr="007E4DA1" w:rsidRDefault="00D9791E" w:rsidP="00BC1959">
            <w:pPr>
              <w:keepNext/>
              <w:keepLines/>
              <w:autoSpaceDE w:val="0"/>
              <w:autoSpaceDN w:val="0"/>
              <w:adjustRightInd w:val="0"/>
              <w:rPr>
                <w:szCs w:val="24"/>
                <w:lang w:eastAsia="ja-JP"/>
              </w:rPr>
            </w:pPr>
            <w:r w:rsidRPr="007E4DA1">
              <w:rPr>
                <w:iCs/>
                <w:szCs w:val="24"/>
                <w:lang w:eastAsia="ja-JP"/>
              </w:rPr>
              <w:t>Często</w:t>
            </w:r>
          </w:p>
        </w:tc>
        <w:tc>
          <w:tcPr>
            <w:tcW w:w="4921" w:type="dxa"/>
            <w:shd w:val="clear" w:color="auto" w:fill="auto"/>
          </w:tcPr>
          <w:p w14:paraId="6F7C1A01" w14:textId="77777777" w:rsidR="00D9791E" w:rsidRPr="007E4DA1" w:rsidRDefault="00D9791E" w:rsidP="00BC1959">
            <w:pPr>
              <w:keepNext/>
              <w:keepLines/>
              <w:autoSpaceDE w:val="0"/>
              <w:autoSpaceDN w:val="0"/>
              <w:adjustRightInd w:val="0"/>
              <w:ind w:left="0" w:firstLine="0"/>
              <w:rPr>
                <w:szCs w:val="24"/>
                <w:lang w:eastAsia="ja-JP"/>
              </w:rPr>
            </w:pPr>
            <w:r w:rsidRPr="007E4DA1">
              <w:rPr>
                <w:szCs w:val="24"/>
                <w:lang w:eastAsia="ja-JP"/>
              </w:rPr>
              <w:t>Parestezje, niedoczulica, senność, migrena</w:t>
            </w:r>
          </w:p>
        </w:tc>
      </w:tr>
      <w:tr w:rsidR="00D9791E" w:rsidRPr="007E4DA1" w14:paraId="43C353FA" w14:textId="77777777" w:rsidTr="00EE3105">
        <w:trPr>
          <w:cantSplit/>
        </w:trPr>
        <w:tc>
          <w:tcPr>
            <w:tcW w:w="2751" w:type="dxa"/>
            <w:vMerge/>
            <w:tcBorders>
              <w:bottom w:val="single" w:sz="4" w:space="0" w:color="auto"/>
            </w:tcBorders>
            <w:shd w:val="clear" w:color="auto" w:fill="auto"/>
          </w:tcPr>
          <w:p w14:paraId="6F554E40" w14:textId="77777777" w:rsidR="00D9791E" w:rsidRPr="007E4DA1" w:rsidRDefault="00D9791E" w:rsidP="00BC1959">
            <w:pPr>
              <w:keepNext/>
              <w:keepLines/>
              <w:autoSpaceDE w:val="0"/>
              <w:autoSpaceDN w:val="0"/>
              <w:adjustRightInd w:val="0"/>
              <w:rPr>
                <w:szCs w:val="24"/>
                <w:lang w:eastAsia="ja-JP"/>
              </w:rPr>
            </w:pPr>
          </w:p>
        </w:tc>
        <w:tc>
          <w:tcPr>
            <w:tcW w:w="1537" w:type="dxa"/>
            <w:shd w:val="clear" w:color="auto" w:fill="auto"/>
          </w:tcPr>
          <w:p w14:paraId="36A7D3E7" w14:textId="77777777" w:rsidR="00D9791E" w:rsidRPr="007E4DA1" w:rsidRDefault="00D9791E" w:rsidP="00BC1959">
            <w:pPr>
              <w:keepNext/>
              <w:keepLines/>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5F791910" w14:textId="77777777" w:rsidR="00D9791E" w:rsidRPr="007E4DA1" w:rsidRDefault="00D9791E" w:rsidP="00BC1959">
            <w:pPr>
              <w:keepNext/>
              <w:keepLines/>
              <w:autoSpaceDE w:val="0"/>
              <w:autoSpaceDN w:val="0"/>
              <w:adjustRightInd w:val="0"/>
              <w:ind w:left="0" w:firstLine="0"/>
              <w:rPr>
                <w:szCs w:val="24"/>
                <w:lang w:eastAsia="ja-JP"/>
              </w:rPr>
            </w:pPr>
            <w:r w:rsidRPr="007E4DA1">
              <w:rPr>
                <w:szCs w:val="24"/>
                <w:lang w:eastAsia="ja-JP"/>
              </w:rPr>
              <w:t>Drżenia, zaburzenia równowagi, dyzestezja, porażenie połowicze, migrena z aurą, neuropatia obwodowa, obwodowa neuropatia czuciowa, zaburzenia mowy, toksyczna neuropatia, ból głowy pochodzenia naczyniowego</w:t>
            </w:r>
          </w:p>
        </w:tc>
      </w:tr>
      <w:tr w:rsidR="00D9791E" w:rsidRPr="007E4DA1" w14:paraId="5E9409B7" w14:textId="77777777" w:rsidTr="00EE3105">
        <w:trPr>
          <w:cantSplit/>
        </w:trPr>
        <w:tc>
          <w:tcPr>
            <w:tcW w:w="2751" w:type="dxa"/>
            <w:vMerge w:val="restart"/>
            <w:shd w:val="clear" w:color="auto" w:fill="auto"/>
          </w:tcPr>
          <w:p w14:paraId="37797D81" w14:textId="77777777" w:rsidR="00D9791E" w:rsidRPr="007E4DA1" w:rsidRDefault="00D9791E" w:rsidP="00BC1959">
            <w:pPr>
              <w:keepLines/>
              <w:autoSpaceDE w:val="0"/>
              <w:autoSpaceDN w:val="0"/>
              <w:adjustRightInd w:val="0"/>
              <w:rPr>
                <w:iCs/>
                <w:szCs w:val="24"/>
                <w:lang w:eastAsia="ja-JP"/>
              </w:rPr>
            </w:pPr>
            <w:r w:rsidRPr="007E4DA1">
              <w:rPr>
                <w:iCs/>
                <w:szCs w:val="24"/>
                <w:lang w:eastAsia="ja-JP"/>
              </w:rPr>
              <w:t>Zaburzenia oka</w:t>
            </w:r>
          </w:p>
        </w:tc>
        <w:tc>
          <w:tcPr>
            <w:tcW w:w="1537" w:type="dxa"/>
            <w:tcBorders>
              <w:bottom w:val="single" w:sz="4" w:space="0" w:color="auto"/>
            </w:tcBorders>
            <w:shd w:val="clear" w:color="auto" w:fill="auto"/>
          </w:tcPr>
          <w:p w14:paraId="4AD095FB" w14:textId="77777777" w:rsidR="00D9791E" w:rsidRPr="007E4DA1" w:rsidRDefault="00D9791E" w:rsidP="00BC1959">
            <w:pPr>
              <w:keepLines/>
              <w:autoSpaceDE w:val="0"/>
              <w:autoSpaceDN w:val="0"/>
              <w:adjustRightInd w:val="0"/>
              <w:rPr>
                <w:szCs w:val="24"/>
                <w:lang w:eastAsia="ja-JP"/>
              </w:rPr>
            </w:pPr>
            <w:r w:rsidRPr="007E4DA1">
              <w:rPr>
                <w:iCs/>
                <w:szCs w:val="24"/>
                <w:lang w:eastAsia="ja-JP"/>
              </w:rPr>
              <w:t>Często</w:t>
            </w:r>
          </w:p>
        </w:tc>
        <w:tc>
          <w:tcPr>
            <w:tcW w:w="4921" w:type="dxa"/>
            <w:tcBorders>
              <w:bottom w:val="single" w:sz="4" w:space="0" w:color="auto"/>
            </w:tcBorders>
            <w:shd w:val="clear" w:color="auto" w:fill="auto"/>
          </w:tcPr>
          <w:p w14:paraId="3F16890A" w14:textId="77777777" w:rsidR="00D9791E" w:rsidRPr="007E4DA1" w:rsidRDefault="00D9791E" w:rsidP="00BC1959">
            <w:pPr>
              <w:keepLines/>
              <w:autoSpaceDE w:val="0"/>
              <w:autoSpaceDN w:val="0"/>
              <w:adjustRightInd w:val="0"/>
              <w:ind w:left="0" w:firstLine="0"/>
              <w:rPr>
                <w:szCs w:val="24"/>
                <w:lang w:eastAsia="ja-JP"/>
              </w:rPr>
            </w:pPr>
            <w:r w:rsidRPr="007E4DA1">
              <w:rPr>
                <w:szCs w:val="24"/>
                <w:lang w:eastAsia="ja-JP"/>
              </w:rPr>
              <w:t>Zespół suchego oka, niewyraźne widzenie, ból oka, zmniejszenie ostrości wzroku</w:t>
            </w:r>
          </w:p>
        </w:tc>
      </w:tr>
      <w:tr w:rsidR="00D9791E" w:rsidRPr="007E4DA1" w14:paraId="271AD546" w14:textId="77777777" w:rsidTr="00EE3105">
        <w:trPr>
          <w:cantSplit/>
        </w:trPr>
        <w:tc>
          <w:tcPr>
            <w:tcW w:w="2751" w:type="dxa"/>
            <w:vMerge/>
            <w:tcBorders>
              <w:bottom w:val="single" w:sz="4" w:space="0" w:color="auto"/>
            </w:tcBorders>
            <w:shd w:val="clear" w:color="auto" w:fill="auto"/>
          </w:tcPr>
          <w:p w14:paraId="70459D73" w14:textId="77777777" w:rsidR="00D9791E" w:rsidRPr="007E4DA1" w:rsidRDefault="00D9791E" w:rsidP="00EE3105">
            <w:pPr>
              <w:keepLines/>
              <w:autoSpaceDE w:val="0"/>
              <w:autoSpaceDN w:val="0"/>
              <w:adjustRightInd w:val="0"/>
              <w:rPr>
                <w:szCs w:val="24"/>
                <w:lang w:eastAsia="ja-JP"/>
              </w:rPr>
            </w:pPr>
          </w:p>
        </w:tc>
        <w:tc>
          <w:tcPr>
            <w:tcW w:w="1537" w:type="dxa"/>
            <w:tcBorders>
              <w:bottom w:val="single" w:sz="4" w:space="0" w:color="auto"/>
            </w:tcBorders>
            <w:shd w:val="clear" w:color="auto" w:fill="auto"/>
          </w:tcPr>
          <w:p w14:paraId="39B63B2A" w14:textId="77777777" w:rsidR="00D9791E" w:rsidRPr="007E4DA1" w:rsidRDefault="00D9791E" w:rsidP="00BC1959">
            <w:pPr>
              <w:keepLines/>
              <w:autoSpaceDE w:val="0"/>
              <w:autoSpaceDN w:val="0"/>
              <w:adjustRightInd w:val="0"/>
              <w:rPr>
                <w:szCs w:val="24"/>
                <w:lang w:eastAsia="ja-JP"/>
              </w:rPr>
            </w:pPr>
            <w:r w:rsidRPr="007E4DA1">
              <w:rPr>
                <w:szCs w:val="24"/>
                <w:lang w:eastAsia="ja-JP"/>
              </w:rPr>
              <w:t>Niezbyt często</w:t>
            </w:r>
          </w:p>
        </w:tc>
        <w:tc>
          <w:tcPr>
            <w:tcW w:w="4921" w:type="dxa"/>
            <w:tcBorders>
              <w:bottom w:val="single" w:sz="4" w:space="0" w:color="auto"/>
            </w:tcBorders>
            <w:shd w:val="clear" w:color="auto" w:fill="auto"/>
          </w:tcPr>
          <w:p w14:paraId="1F0893CD" w14:textId="77777777" w:rsidR="00D9791E" w:rsidRPr="007E4DA1" w:rsidRDefault="00D9791E" w:rsidP="00BC1959">
            <w:pPr>
              <w:keepLines/>
              <w:autoSpaceDE w:val="0"/>
              <w:autoSpaceDN w:val="0"/>
              <w:adjustRightInd w:val="0"/>
              <w:ind w:left="0" w:firstLine="0"/>
              <w:rPr>
                <w:szCs w:val="24"/>
                <w:lang w:eastAsia="ja-JP"/>
              </w:rPr>
            </w:pPr>
            <w:r w:rsidRPr="007E4DA1">
              <w:rPr>
                <w:szCs w:val="24"/>
                <w:lang w:eastAsia="ja-JP"/>
              </w:rPr>
              <w:t xml:space="preserve">Zmętnienie soczewki, astygmatyzm, zaćma korowa, zwiększone łzawienie, krwotok siatkówkowy, epiteliopatia barwnikowa siatkówki, zaburzenia </w:t>
            </w:r>
            <w:r w:rsidR="00FF66FE" w:rsidRPr="007E4DA1">
              <w:rPr>
                <w:szCs w:val="24"/>
                <w:lang w:eastAsia="ja-JP"/>
              </w:rPr>
              <w:t>widzenia,</w:t>
            </w:r>
            <w:r w:rsidRPr="007E4DA1">
              <w:rPr>
                <w:szCs w:val="24"/>
                <w:lang w:eastAsia="ja-JP"/>
              </w:rPr>
              <w:t xml:space="preserve"> nieprawidłowe wyniki badania ostrości wzroku, zapalenie powiek, suche zapalenie rogówki i </w:t>
            </w:r>
            <w:r w:rsidR="00D40BCA" w:rsidRPr="007E4DA1">
              <w:rPr>
                <w:szCs w:val="24"/>
                <w:lang w:eastAsia="ja-JP"/>
              </w:rPr>
              <w:t>spojówki</w:t>
            </w:r>
          </w:p>
        </w:tc>
      </w:tr>
      <w:tr w:rsidR="00D9791E" w:rsidRPr="007E4DA1" w14:paraId="45746086" w14:textId="77777777" w:rsidTr="00EE3105">
        <w:trPr>
          <w:cantSplit/>
        </w:trPr>
        <w:tc>
          <w:tcPr>
            <w:tcW w:w="2751" w:type="dxa"/>
            <w:tcBorders>
              <w:top w:val="single" w:sz="4" w:space="0" w:color="auto"/>
            </w:tcBorders>
            <w:shd w:val="clear" w:color="auto" w:fill="auto"/>
          </w:tcPr>
          <w:p w14:paraId="4B74A1F1" w14:textId="77777777" w:rsidR="00D9791E" w:rsidRPr="007E4DA1" w:rsidRDefault="00D9791E" w:rsidP="001A6584">
            <w:pPr>
              <w:keepNext/>
              <w:keepLines/>
              <w:autoSpaceDE w:val="0"/>
              <w:autoSpaceDN w:val="0"/>
              <w:adjustRightInd w:val="0"/>
              <w:rPr>
                <w:szCs w:val="22"/>
                <w:lang w:eastAsia="ja-JP"/>
              </w:rPr>
            </w:pPr>
            <w:r w:rsidRPr="007E4DA1">
              <w:rPr>
                <w:szCs w:val="22"/>
                <w:lang w:eastAsia="ja-JP"/>
              </w:rPr>
              <w:lastRenderedPageBreak/>
              <w:t>Zaburzenia ucha i błędnika</w:t>
            </w:r>
          </w:p>
        </w:tc>
        <w:tc>
          <w:tcPr>
            <w:tcW w:w="1537" w:type="dxa"/>
            <w:tcBorders>
              <w:top w:val="single" w:sz="4" w:space="0" w:color="auto"/>
            </w:tcBorders>
            <w:shd w:val="clear" w:color="auto" w:fill="auto"/>
          </w:tcPr>
          <w:p w14:paraId="54756747" w14:textId="77777777" w:rsidR="00D9791E" w:rsidRPr="007E4DA1" w:rsidRDefault="00D9791E" w:rsidP="001A6584">
            <w:pPr>
              <w:keepNext/>
              <w:keepLines/>
              <w:autoSpaceDE w:val="0"/>
              <w:autoSpaceDN w:val="0"/>
              <w:adjustRightInd w:val="0"/>
              <w:rPr>
                <w:szCs w:val="22"/>
                <w:lang w:eastAsia="ja-JP"/>
              </w:rPr>
            </w:pPr>
            <w:r w:rsidRPr="007E4DA1">
              <w:rPr>
                <w:iCs/>
                <w:szCs w:val="24"/>
                <w:lang w:eastAsia="ja-JP"/>
              </w:rPr>
              <w:t>Często</w:t>
            </w:r>
          </w:p>
        </w:tc>
        <w:tc>
          <w:tcPr>
            <w:tcW w:w="4921" w:type="dxa"/>
            <w:tcBorders>
              <w:top w:val="single" w:sz="4" w:space="0" w:color="auto"/>
            </w:tcBorders>
            <w:shd w:val="clear" w:color="auto" w:fill="auto"/>
          </w:tcPr>
          <w:p w14:paraId="3707E8A2" w14:textId="77777777" w:rsidR="00D9791E" w:rsidRPr="007E4DA1" w:rsidRDefault="00D9791E" w:rsidP="00C00A76">
            <w:pPr>
              <w:keepNext/>
              <w:keepLines/>
              <w:autoSpaceDE w:val="0"/>
              <w:autoSpaceDN w:val="0"/>
              <w:adjustRightInd w:val="0"/>
              <w:ind w:left="0" w:firstLine="0"/>
              <w:rPr>
                <w:szCs w:val="22"/>
                <w:lang w:eastAsia="ja-JP"/>
              </w:rPr>
            </w:pPr>
            <w:r w:rsidRPr="007E4DA1">
              <w:rPr>
                <w:szCs w:val="22"/>
                <w:lang w:eastAsia="ja-JP"/>
              </w:rPr>
              <w:t>Ból ucha, zawroty głowy</w:t>
            </w:r>
          </w:p>
        </w:tc>
      </w:tr>
      <w:tr w:rsidR="00D9791E" w:rsidRPr="007E4DA1" w14:paraId="5EA14B0E" w14:textId="77777777" w:rsidTr="00EE3105">
        <w:trPr>
          <w:cantSplit/>
        </w:trPr>
        <w:tc>
          <w:tcPr>
            <w:tcW w:w="2751" w:type="dxa"/>
            <w:shd w:val="clear" w:color="auto" w:fill="auto"/>
          </w:tcPr>
          <w:p w14:paraId="1CA7CE12" w14:textId="77777777" w:rsidR="00D9791E" w:rsidRPr="007E4DA1" w:rsidRDefault="00D9791E" w:rsidP="001A6584">
            <w:pPr>
              <w:keepLines/>
              <w:autoSpaceDE w:val="0"/>
              <w:autoSpaceDN w:val="0"/>
              <w:adjustRightInd w:val="0"/>
              <w:rPr>
                <w:szCs w:val="24"/>
                <w:lang w:eastAsia="ja-JP"/>
              </w:rPr>
            </w:pPr>
            <w:r w:rsidRPr="007E4DA1">
              <w:rPr>
                <w:szCs w:val="24"/>
                <w:lang w:eastAsia="ja-JP"/>
              </w:rPr>
              <w:t>Zaburzenia serca</w:t>
            </w:r>
          </w:p>
        </w:tc>
        <w:tc>
          <w:tcPr>
            <w:tcW w:w="1537" w:type="dxa"/>
            <w:shd w:val="clear" w:color="auto" w:fill="auto"/>
          </w:tcPr>
          <w:p w14:paraId="6C9956C3" w14:textId="77777777" w:rsidR="00D9791E" w:rsidRPr="007E4DA1" w:rsidRDefault="00D9791E" w:rsidP="001A6584">
            <w:pPr>
              <w:keepLines/>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51A268F4" w14:textId="77777777" w:rsidR="00D9791E" w:rsidRPr="007E4DA1" w:rsidRDefault="00D9791E" w:rsidP="00C00A76">
            <w:pPr>
              <w:keepLines/>
              <w:autoSpaceDE w:val="0"/>
              <w:autoSpaceDN w:val="0"/>
              <w:adjustRightInd w:val="0"/>
              <w:ind w:left="0" w:firstLine="0"/>
              <w:rPr>
                <w:szCs w:val="24"/>
                <w:lang w:eastAsia="ja-JP"/>
              </w:rPr>
            </w:pPr>
            <w:r w:rsidRPr="007E4DA1">
              <w:rPr>
                <w:szCs w:val="24"/>
                <w:lang w:eastAsia="ja-JP"/>
              </w:rPr>
              <w:t>Tachykardia, ostry zawał mięśnia sercowego, zaburzenia sercowo-naczyniowe, sinica, częstoskurcz zatokowy, wydłużenie</w:t>
            </w:r>
            <w:r w:rsidR="00D40BCA" w:rsidRPr="007E4DA1">
              <w:rPr>
                <w:szCs w:val="24"/>
                <w:lang w:eastAsia="ja-JP"/>
              </w:rPr>
              <w:t xml:space="preserve"> odstępu</w:t>
            </w:r>
            <w:r w:rsidRPr="007E4DA1">
              <w:rPr>
                <w:szCs w:val="24"/>
                <w:lang w:eastAsia="ja-JP"/>
              </w:rPr>
              <w:t xml:space="preserve"> QT w zapisie elektrokardiograficznym</w:t>
            </w:r>
          </w:p>
        </w:tc>
      </w:tr>
      <w:tr w:rsidR="00D9791E" w:rsidRPr="007E4DA1" w14:paraId="5034D317" w14:textId="77777777" w:rsidTr="00EE3105">
        <w:trPr>
          <w:cantSplit/>
        </w:trPr>
        <w:tc>
          <w:tcPr>
            <w:tcW w:w="2751" w:type="dxa"/>
            <w:vMerge w:val="restart"/>
            <w:shd w:val="clear" w:color="auto" w:fill="auto"/>
          </w:tcPr>
          <w:p w14:paraId="6CC93FEF" w14:textId="77777777" w:rsidR="00D9791E" w:rsidRPr="007E4DA1" w:rsidRDefault="00D9791E" w:rsidP="001A6584">
            <w:pPr>
              <w:keepNext/>
              <w:keepLines/>
              <w:autoSpaceDE w:val="0"/>
              <w:autoSpaceDN w:val="0"/>
              <w:adjustRightInd w:val="0"/>
              <w:rPr>
                <w:szCs w:val="24"/>
                <w:lang w:eastAsia="ja-JP"/>
              </w:rPr>
            </w:pPr>
            <w:r w:rsidRPr="007E4DA1">
              <w:rPr>
                <w:szCs w:val="24"/>
                <w:lang w:eastAsia="ja-JP"/>
              </w:rPr>
              <w:t>Zaburzenia naczyniowe</w:t>
            </w:r>
          </w:p>
        </w:tc>
        <w:tc>
          <w:tcPr>
            <w:tcW w:w="1537" w:type="dxa"/>
            <w:shd w:val="clear" w:color="auto" w:fill="auto"/>
          </w:tcPr>
          <w:p w14:paraId="7FA6AA95" w14:textId="77777777" w:rsidR="00D9791E" w:rsidRPr="007E4DA1" w:rsidRDefault="00D9791E" w:rsidP="001A6584">
            <w:pPr>
              <w:keepNext/>
              <w:keepLines/>
              <w:autoSpaceDE w:val="0"/>
              <w:autoSpaceDN w:val="0"/>
              <w:adjustRightInd w:val="0"/>
              <w:rPr>
                <w:szCs w:val="24"/>
                <w:lang w:eastAsia="ja-JP"/>
              </w:rPr>
            </w:pPr>
            <w:r w:rsidRPr="007E4DA1">
              <w:rPr>
                <w:iCs/>
                <w:szCs w:val="24"/>
                <w:lang w:eastAsia="ja-JP"/>
              </w:rPr>
              <w:t>Często</w:t>
            </w:r>
          </w:p>
        </w:tc>
        <w:tc>
          <w:tcPr>
            <w:tcW w:w="4921" w:type="dxa"/>
            <w:shd w:val="clear" w:color="auto" w:fill="auto"/>
          </w:tcPr>
          <w:p w14:paraId="37EB1296" w14:textId="77777777" w:rsidR="00D9791E" w:rsidRPr="007E4DA1" w:rsidRDefault="00D9791E" w:rsidP="001A6584">
            <w:pPr>
              <w:keepNext/>
              <w:keepLines/>
              <w:autoSpaceDE w:val="0"/>
              <w:autoSpaceDN w:val="0"/>
              <w:adjustRightInd w:val="0"/>
              <w:rPr>
                <w:szCs w:val="24"/>
                <w:lang w:eastAsia="ja-JP"/>
              </w:rPr>
            </w:pPr>
            <w:r w:rsidRPr="007E4DA1">
              <w:rPr>
                <w:szCs w:val="24"/>
                <w:lang w:eastAsia="ja-JP"/>
              </w:rPr>
              <w:t>Zakrzepica żył głębokich, krwiak, uderzenia gorąca</w:t>
            </w:r>
          </w:p>
        </w:tc>
      </w:tr>
      <w:tr w:rsidR="00D9791E" w:rsidRPr="007E4DA1" w14:paraId="6BD3D3BE" w14:textId="77777777" w:rsidTr="00EE3105">
        <w:trPr>
          <w:cantSplit/>
        </w:trPr>
        <w:tc>
          <w:tcPr>
            <w:tcW w:w="2751" w:type="dxa"/>
            <w:vMerge/>
            <w:tcBorders>
              <w:bottom w:val="single" w:sz="4" w:space="0" w:color="auto"/>
            </w:tcBorders>
            <w:shd w:val="clear" w:color="auto" w:fill="auto"/>
          </w:tcPr>
          <w:p w14:paraId="159307F4" w14:textId="77777777" w:rsidR="00D9791E" w:rsidRPr="007E4DA1" w:rsidRDefault="00D9791E" w:rsidP="001A6584">
            <w:pPr>
              <w:keepNext/>
              <w:keepLines/>
              <w:autoSpaceDE w:val="0"/>
              <w:autoSpaceDN w:val="0"/>
              <w:adjustRightInd w:val="0"/>
              <w:rPr>
                <w:szCs w:val="24"/>
                <w:lang w:eastAsia="ja-JP"/>
              </w:rPr>
            </w:pPr>
          </w:p>
        </w:tc>
        <w:tc>
          <w:tcPr>
            <w:tcW w:w="1537" w:type="dxa"/>
            <w:shd w:val="clear" w:color="auto" w:fill="auto"/>
          </w:tcPr>
          <w:p w14:paraId="44A4D303" w14:textId="77777777" w:rsidR="00D9791E" w:rsidRPr="007E4DA1" w:rsidRDefault="00D9791E" w:rsidP="001A6584">
            <w:pPr>
              <w:keepLines/>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023FFCD9" w14:textId="77777777" w:rsidR="00D9791E" w:rsidRPr="007E4DA1" w:rsidRDefault="00D9791E" w:rsidP="00C00A76">
            <w:pPr>
              <w:keepLines/>
              <w:autoSpaceDE w:val="0"/>
              <w:autoSpaceDN w:val="0"/>
              <w:adjustRightInd w:val="0"/>
              <w:ind w:left="0" w:firstLine="0"/>
              <w:rPr>
                <w:szCs w:val="24"/>
                <w:lang w:eastAsia="ja-JP"/>
              </w:rPr>
            </w:pPr>
            <w:r w:rsidRPr="007E4DA1">
              <w:rPr>
                <w:szCs w:val="24"/>
                <w:lang w:eastAsia="ja-JP"/>
              </w:rPr>
              <w:t>Zator, zakrzepowe zapalenie żył powierzchownych, zaczerwienienie</w:t>
            </w:r>
          </w:p>
        </w:tc>
      </w:tr>
      <w:tr w:rsidR="00D9791E" w:rsidRPr="007E4DA1" w14:paraId="77B81087" w14:textId="77777777" w:rsidTr="00EE3105">
        <w:trPr>
          <w:cantSplit/>
        </w:trPr>
        <w:tc>
          <w:tcPr>
            <w:tcW w:w="2751" w:type="dxa"/>
            <w:vMerge w:val="restart"/>
            <w:shd w:val="clear" w:color="auto" w:fill="auto"/>
          </w:tcPr>
          <w:p w14:paraId="386F01BC" w14:textId="77777777" w:rsidR="00D9791E" w:rsidRPr="007E4DA1" w:rsidRDefault="00D9791E" w:rsidP="001A6584">
            <w:pPr>
              <w:keepNext/>
              <w:keepLines/>
              <w:autoSpaceDE w:val="0"/>
              <w:autoSpaceDN w:val="0"/>
              <w:adjustRightInd w:val="0"/>
              <w:ind w:left="0" w:firstLine="0"/>
              <w:rPr>
                <w:szCs w:val="24"/>
                <w:lang w:eastAsia="ja-JP"/>
              </w:rPr>
            </w:pPr>
            <w:r w:rsidRPr="007E4DA1">
              <w:rPr>
                <w:szCs w:val="24"/>
                <w:lang w:eastAsia="ja-JP"/>
              </w:rPr>
              <w:t>Zaburzenia układu oddechowego, klatki piersiowej i śródpiersia</w:t>
            </w:r>
          </w:p>
        </w:tc>
        <w:tc>
          <w:tcPr>
            <w:tcW w:w="1537" w:type="dxa"/>
            <w:shd w:val="clear" w:color="auto" w:fill="auto"/>
          </w:tcPr>
          <w:p w14:paraId="15A24E75" w14:textId="77777777" w:rsidR="00D9791E" w:rsidRPr="007E4DA1" w:rsidRDefault="00D9791E" w:rsidP="001A6584">
            <w:pPr>
              <w:keepNext/>
              <w:keepLines/>
              <w:autoSpaceDE w:val="0"/>
              <w:autoSpaceDN w:val="0"/>
              <w:adjustRightInd w:val="0"/>
              <w:ind w:left="0" w:firstLine="0"/>
              <w:rPr>
                <w:iCs/>
                <w:szCs w:val="24"/>
                <w:lang w:eastAsia="ja-JP"/>
              </w:rPr>
            </w:pPr>
            <w:r w:rsidRPr="007E4DA1">
              <w:rPr>
                <w:iCs/>
                <w:szCs w:val="24"/>
                <w:lang w:eastAsia="ja-JP"/>
              </w:rPr>
              <w:t>Bardzo często</w:t>
            </w:r>
          </w:p>
        </w:tc>
        <w:tc>
          <w:tcPr>
            <w:tcW w:w="4921" w:type="dxa"/>
            <w:shd w:val="clear" w:color="auto" w:fill="auto"/>
          </w:tcPr>
          <w:p w14:paraId="0EA8AB15" w14:textId="77777777" w:rsidR="00D9791E" w:rsidRPr="007E4DA1" w:rsidRDefault="00D9791E" w:rsidP="001A6584">
            <w:pPr>
              <w:keepNext/>
              <w:keepLines/>
              <w:autoSpaceDE w:val="0"/>
              <w:autoSpaceDN w:val="0"/>
              <w:adjustRightInd w:val="0"/>
              <w:rPr>
                <w:szCs w:val="24"/>
                <w:lang w:eastAsia="ja-JP"/>
              </w:rPr>
            </w:pPr>
            <w:r w:rsidRPr="007E4DA1">
              <w:rPr>
                <w:szCs w:val="24"/>
                <w:lang w:eastAsia="ja-JP"/>
              </w:rPr>
              <w:t>Kaszel</w:t>
            </w:r>
            <w:r w:rsidRPr="007E4DA1">
              <w:rPr>
                <w:szCs w:val="24"/>
                <w:vertAlign w:val="superscript"/>
              </w:rPr>
              <w:t>♦</w:t>
            </w:r>
          </w:p>
        </w:tc>
      </w:tr>
      <w:tr w:rsidR="00D9791E" w:rsidRPr="007E4DA1" w14:paraId="6C0DDBE7" w14:textId="77777777" w:rsidTr="00EE3105">
        <w:trPr>
          <w:cantSplit/>
        </w:trPr>
        <w:tc>
          <w:tcPr>
            <w:tcW w:w="2751" w:type="dxa"/>
            <w:vMerge/>
            <w:shd w:val="clear" w:color="auto" w:fill="auto"/>
          </w:tcPr>
          <w:p w14:paraId="6B5F0B51" w14:textId="77777777" w:rsidR="00D9791E" w:rsidRPr="007E4DA1" w:rsidRDefault="00D9791E" w:rsidP="001A6584">
            <w:pPr>
              <w:keepNext/>
              <w:keepLines/>
              <w:autoSpaceDE w:val="0"/>
              <w:autoSpaceDN w:val="0"/>
              <w:adjustRightInd w:val="0"/>
              <w:rPr>
                <w:szCs w:val="24"/>
                <w:lang w:eastAsia="ja-JP"/>
              </w:rPr>
            </w:pPr>
          </w:p>
        </w:tc>
        <w:tc>
          <w:tcPr>
            <w:tcW w:w="1537" w:type="dxa"/>
            <w:shd w:val="clear" w:color="auto" w:fill="auto"/>
          </w:tcPr>
          <w:p w14:paraId="3842216E" w14:textId="77777777" w:rsidR="00D9791E" w:rsidRPr="007E4DA1" w:rsidRDefault="00D9791E" w:rsidP="001A6584">
            <w:pPr>
              <w:keepNext/>
              <w:keepLines/>
              <w:autoSpaceDE w:val="0"/>
              <w:autoSpaceDN w:val="0"/>
              <w:adjustRightInd w:val="0"/>
              <w:rPr>
                <w:szCs w:val="24"/>
                <w:lang w:eastAsia="ja-JP"/>
              </w:rPr>
            </w:pPr>
            <w:r w:rsidRPr="007E4DA1">
              <w:rPr>
                <w:iCs/>
                <w:szCs w:val="24"/>
                <w:lang w:eastAsia="ja-JP"/>
              </w:rPr>
              <w:t>Często</w:t>
            </w:r>
          </w:p>
        </w:tc>
        <w:tc>
          <w:tcPr>
            <w:tcW w:w="4921" w:type="dxa"/>
            <w:shd w:val="clear" w:color="auto" w:fill="auto"/>
          </w:tcPr>
          <w:p w14:paraId="5C094E4E" w14:textId="77777777" w:rsidR="00D9791E" w:rsidRPr="007E4DA1" w:rsidRDefault="00D9791E" w:rsidP="001A6584">
            <w:pPr>
              <w:keepNext/>
              <w:keepLines/>
              <w:autoSpaceDE w:val="0"/>
              <w:autoSpaceDN w:val="0"/>
              <w:adjustRightInd w:val="0"/>
              <w:rPr>
                <w:szCs w:val="24"/>
                <w:vertAlign w:val="superscript"/>
              </w:rPr>
            </w:pPr>
            <w:r w:rsidRPr="007E4DA1">
              <w:rPr>
                <w:szCs w:val="24"/>
                <w:lang w:eastAsia="ja-JP"/>
              </w:rPr>
              <w:t xml:space="preserve">Ból </w:t>
            </w:r>
            <w:r w:rsidR="00D40BCA" w:rsidRPr="007E4DA1">
              <w:rPr>
                <w:szCs w:val="24"/>
                <w:lang w:eastAsia="ja-JP"/>
              </w:rPr>
              <w:t>jamy ustnej i gardła</w:t>
            </w:r>
            <w:r w:rsidR="0007677D" w:rsidRPr="007E4DA1">
              <w:rPr>
                <w:szCs w:val="24"/>
                <w:vertAlign w:val="superscript"/>
              </w:rPr>
              <w:t>♦</w:t>
            </w:r>
            <w:r w:rsidRPr="007E4DA1">
              <w:rPr>
                <w:szCs w:val="24"/>
                <w:lang w:eastAsia="ja-JP"/>
              </w:rPr>
              <w:t>, wodnisty wyciek z nosa</w:t>
            </w:r>
            <w:r w:rsidRPr="007E4DA1">
              <w:rPr>
                <w:szCs w:val="24"/>
                <w:vertAlign w:val="superscript"/>
              </w:rPr>
              <w:t>♦</w:t>
            </w:r>
          </w:p>
        </w:tc>
      </w:tr>
      <w:tr w:rsidR="00D9791E" w:rsidRPr="007E4DA1" w14:paraId="3570E44C" w14:textId="77777777" w:rsidTr="00EE3105">
        <w:trPr>
          <w:cantSplit/>
        </w:trPr>
        <w:tc>
          <w:tcPr>
            <w:tcW w:w="2751" w:type="dxa"/>
            <w:vMerge/>
            <w:tcBorders>
              <w:bottom w:val="single" w:sz="4" w:space="0" w:color="auto"/>
            </w:tcBorders>
            <w:shd w:val="clear" w:color="auto" w:fill="auto"/>
          </w:tcPr>
          <w:p w14:paraId="6ABA1764" w14:textId="77777777" w:rsidR="00D9791E" w:rsidRPr="007E4DA1" w:rsidRDefault="00D9791E" w:rsidP="001A6584">
            <w:pPr>
              <w:keepNext/>
              <w:keepLines/>
              <w:autoSpaceDE w:val="0"/>
              <w:autoSpaceDN w:val="0"/>
              <w:adjustRightInd w:val="0"/>
              <w:rPr>
                <w:szCs w:val="24"/>
                <w:lang w:eastAsia="ja-JP"/>
              </w:rPr>
            </w:pPr>
          </w:p>
        </w:tc>
        <w:tc>
          <w:tcPr>
            <w:tcW w:w="1537" w:type="dxa"/>
            <w:shd w:val="clear" w:color="auto" w:fill="auto"/>
          </w:tcPr>
          <w:p w14:paraId="00203584" w14:textId="77777777" w:rsidR="00D9791E" w:rsidRPr="007E4DA1" w:rsidRDefault="00D9791E" w:rsidP="001A6584">
            <w:pPr>
              <w:keepLines/>
              <w:autoSpaceDE w:val="0"/>
              <w:autoSpaceDN w:val="0"/>
              <w:adjustRightInd w:val="0"/>
              <w:rPr>
                <w:iCs/>
                <w:szCs w:val="24"/>
                <w:lang w:eastAsia="ja-JP"/>
              </w:rPr>
            </w:pPr>
            <w:r w:rsidRPr="007E4DA1">
              <w:rPr>
                <w:szCs w:val="24"/>
                <w:lang w:eastAsia="ja-JP"/>
              </w:rPr>
              <w:t>Niezbyt często</w:t>
            </w:r>
          </w:p>
        </w:tc>
        <w:tc>
          <w:tcPr>
            <w:tcW w:w="4921" w:type="dxa"/>
            <w:shd w:val="clear" w:color="auto" w:fill="auto"/>
          </w:tcPr>
          <w:p w14:paraId="6EB1C8CA" w14:textId="77777777" w:rsidR="00D9791E" w:rsidRPr="007E4DA1" w:rsidRDefault="00D9791E" w:rsidP="00C00A76">
            <w:pPr>
              <w:keepLines/>
              <w:autoSpaceDE w:val="0"/>
              <w:autoSpaceDN w:val="0"/>
              <w:adjustRightInd w:val="0"/>
              <w:ind w:left="0" w:firstLine="0"/>
              <w:rPr>
                <w:szCs w:val="24"/>
                <w:lang w:eastAsia="ja-JP"/>
              </w:rPr>
            </w:pPr>
            <w:r w:rsidRPr="007E4DA1">
              <w:rPr>
                <w:rFonts w:eastAsia="MS Mincho"/>
                <w:color w:val="000000"/>
                <w:szCs w:val="22"/>
                <w:lang w:eastAsia="ja-JP"/>
              </w:rPr>
              <w:t>Zatorowość płucna, zawał płuca, dyskomfort w jamie nosowej, zmiany pęcherzowe w jamie ustnej i gardle, zaburzenia zatok, zespół bezdechu sennego</w:t>
            </w:r>
          </w:p>
        </w:tc>
      </w:tr>
      <w:tr w:rsidR="00D9791E" w:rsidRPr="007E4DA1" w14:paraId="057DC59E" w14:textId="77777777" w:rsidTr="00EE3105">
        <w:trPr>
          <w:cantSplit/>
        </w:trPr>
        <w:tc>
          <w:tcPr>
            <w:tcW w:w="2751" w:type="dxa"/>
            <w:vMerge w:val="restart"/>
            <w:shd w:val="clear" w:color="auto" w:fill="auto"/>
          </w:tcPr>
          <w:p w14:paraId="46F303A9" w14:textId="77777777" w:rsidR="00D9791E" w:rsidRPr="007E4DA1" w:rsidRDefault="00D9791E" w:rsidP="001A6584">
            <w:pPr>
              <w:keepNext/>
              <w:keepLines/>
              <w:autoSpaceDE w:val="0"/>
              <w:autoSpaceDN w:val="0"/>
              <w:adjustRightInd w:val="0"/>
              <w:rPr>
                <w:iCs/>
                <w:szCs w:val="24"/>
                <w:lang w:eastAsia="ja-JP"/>
              </w:rPr>
            </w:pPr>
            <w:r w:rsidRPr="007E4DA1">
              <w:rPr>
                <w:iCs/>
                <w:szCs w:val="24"/>
                <w:lang w:eastAsia="ja-JP"/>
              </w:rPr>
              <w:t>Zaburzenia żołądka i jelit</w:t>
            </w:r>
          </w:p>
        </w:tc>
        <w:tc>
          <w:tcPr>
            <w:tcW w:w="1537" w:type="dxa"/>
            <w:shd w:val="clear" w:color="auto" w:fill="auto"/>
          </w:tcPr>
          <w:p w14:paraId="73E0523E" w14:textId="77777777" w:rsidR="00D9791E" w:rsidRPr="007E4DA1" w:rsidRDefault="00D9791E" w:rsidP="001A6584">
            <w:pPr>
              <w:keepNext/>
              <w:keepLines/>
              <w:autoSpaceDE w:val="0"/>
              <w:autoSpaceDN w:val="0"/>
              <w:adjustRightInd w:val="0"/>
              <w:ind w:left="26" w:hanging="26"/>
              <w:rPr>
                <w:iCs/>
                <w:szCs w:val="24"/>
                <w:lang w:eastAsia="ja-JP"/>
              </w:rPr>
            </w:pPr>
            <w:r w:rsidRPr="007E4DA1">
              <w:rPr>
                <w:iCs/>
                <w:szCs w:val="24"/>
                <w:lang w:eastAsia="ja-JP"/>
              </w:rPr>
              <w:t>Bardzo często</w:t>
            </w:r>
          </w:p>
        </w:tc>
        <w:tc>
          <w:tcPr>
            <w:tcW w:w="4921" w:type="dxa"/>
            <w:shd w:val="clear" w:color="auto" w:fill="auto"/>
          </w:tcPr>
          <w:p w14:paraId="7FC00B48" w14:textId="337587A9" w:rsidR="00D9791E" w:rsidRPr="007E4DA1" w:rsidRDefault="00D9791E" w:rsidP="001A6584">
            <w:pPr>
              <w:keepNext/>
              <w:keepLines/>
              <w:autoSpaceDE w:val="0"/>
              <w:autoSpaceDN w:val="0"/>
              <w:adjustRightInd w:val="0"/>
              <w:rPr>
                <w:szCs w:val="24"/>
                <w:lang w:eastAsia="ja-JP"/>
              </w:rPr>
            </w:pPr>
            <w:r w:rsidRPr="007E4DA1">
              <w:rPr>
                <w:szCs w:val="24"/>
                <w:lang w:eastAsia="ja-JP"/>
              </w:rPr>
              <w:t>Nudności, biegunka</w:t>
            </w:r>
          </w:p>
        </w:tc>
      </w:tr>
      <w:tr w:rsidR="00D9791E" w:rsidRPr="007E4DA1" w14:paraId="6DDEC0AF" w14:textId="77777777" w:rsidTr="00EE3105">
        <w:trPr>
          <w:cantSplit/>
        </w:trPr>
        <w:tc>
          <w:tcPr>
            <w:tcW w:w="2751" w:type="dxa"/>
            <w:vMerge/>
            <w:shd w:val="clear" w:color="auto" w:fill="auto"/>
          </w:tcPr>
          <w:p w14:paraId="4512E6A3" w14:textId="77777777" w:rsidR="00D9791E" w:rsidRPr="007E4DA1" w:rsidRDefault="00D9791E" w:rsidP="001A6584">
            <w:pPr>
              <w:keepNext/>
              <w:keepLines/>
              <w:autoSpaceDE w:val="0"/>
              <w:autoSpaceDN w:val="0"/>
              <w:adjustRightInd w:val="0"/>
              <w:rPr>
                <w:szCs w:val="24"/>
                <w:lang w:eastAsia="ja-JP"/>
              </w:rPr>
            </w:pPr>
          </w:p>
        </w:tc>
        <w:tc>
          <w:tcPr>
            <w:tcW w:w="1537" w:type="dxa"/>
            <w:shd w:val="clear" w:color="auto" w:fill="auto"/>
          </w:tcPr>
          <w:p w14:paraId="0126C373" w14:textId="77777777" w:rsidR="00D9791E" w:rsidRPr="007E4DA1" w:rsidRDefault="00D9791E" w:rsidP="001A6584">
            <w:pPr>
              <w:keepNext/>
              <w:keepLines/>
              <w:autoSpaceDE w:val="0"/>
              <w:autoSpaceDN w:val="0"/>
              <w:adjustRightInd w:val="0"/>
              <w:rPr>
                <w:szCs w:val="24"/>
                <w:lang w:eastAsia="ja-JP"/>
              </w:rPr>
            </w:pPr>
            <w:r w:rsidRPr="007E4DA1">
              <w:rPr>
                <w:iCs/>
                <w:szCs w:val="24"/>
                <w:lang w:eastAsia="ja-JP"/>
              </w:rPr>
              <w:t>Często</w:t>
            </w:r>
          </w:p>
        </w:tc>
        <w:tc>
          <w:tcPr>
            <w:tcW w:w="4921" w:type="dxa"/>
            <w:shd w:val="clear" w:color="auto" w:fill="auto"/>
          </w:tcPr>
          <w:p w14:paraId="4724CA26" w14:textId="77777777" w:rsidR="00D9791E" w:rsidRPr="007E4DA1" w:rsidRDefault="00D9791E" w:rsidP="00C00A76">
            <w:pPr>
              <w:keepNext/>
              <w:keepLines/>
              <w:autoSpaceDE w:val="0"/>
              <w:autoSpaceDN w:val="0"/>
              <w:adjustRightInd w:val="0"/>
              <w:ind w:left="0" w:firstLine="0"/>
              <w:rPr>
                <w:szCs w:val="24"/>
                <w:lang w:eastAsia="ja-JP"/>
              </w:rPr>
            </w:pPr>
            <w:r w:rsidRPr="007E4DA1">
              <w:rPr>
                <w:szCs w:val="24"/>
                <w:lang w:eastAsia="ja-JP"/>
              </w:rPr>
              <w:t>Owrzodzenie jamy ustnej, ból zębów</w:t>
            </w:r>
            <w:r w:rsidRPr="007E4DA1">
              <w:rPr>
                <w:szCs w:val="24"/>
                <w:vertAlign w:val="superscript"/>
                <w:lang w:eastAsia="ja-JP"/>
              </w:rPr>
              <w:t>♦</w:t>
            </w:r>
            <w:r w:rsidRPr="007E4DA1">
              <w:rPr>
                <w:szCs w:val="24"/>
                <w:lang w:eastAsia="ja-JP"/>
              </w:rPr>
              <w:t xml:space="preserve">, wymioty, ból brzucha *, krwawienie z jamy ustnej, </w:t>
            </w:r>
            <w:r w:rsidR="00D40BCA" w:rsidRPr="007E4DA1">
              <w:rPr>
                <w:szCs w:val="24"/>
                <w:lang w:eastAsia="ja-JP"/>
              </w:rPr>
              <w:t>wzdęcia</w:t>
            </w:r>
          </w:p>
          <w:p w14:paraId="696BF68F" w14:textId="77777777" w:rsidR="00D9791E" w:rsidRPr="007E4DA1" w:rsidRDefault="00D9791E" w:rsidP="001A6584">
            <w:pPr>
              <w:keepNext/>
              <w:keepLines/>
              <w:autoSpaceDE w:val="0"/>
              <w:autoSpaceDN w:val="0"/>
              <w:adjustRightInd w:val="0"/>
              <w:rPr>
                <w:szCs w:val="24"/>
                <w:lang w:eastAsia="ja-JP"/>
              </w:rPr>
            </w:pPr>
            <w:r w:rsidRPr="007E4DA1">
              <w:rPr>
                <w:szCs w:val="24"/>
                <w:lang w:eastAsia="ja-JP"/>
              </w:rPr>
              <w:t>* Bardzo często u dzieci i młodzieży z ITP</w:t>
            </w:r>
          </w:p>
        </w:tc>
      </w:tr>
      <w:tr w:rsidR="00D9791E" w:rsidRPr="007E4DA1" w14:paraId="2FE25DF9" w14:textId="77777777" w:rsidTr="00EE3105">
        <w:trPr>
          <w:cantSplit/>
        </w:trPr>
        <w:tc>
          <w:tcPr>
            <w:tcW w:w="2751" w:type="dxa"/>
            <w:vMerge/>
            <w:tcBorders>
              <w:bottom w:val="single" w:sz="4" w:space="0" w:color="auto"/>
            </w:tcBorders>
            <w:shd w:val="clear" w:color="auto" w:fill="auto"/>
          </w:tcPr>
          <w:p w14:paraId="1592F9A1" w14:textId="77777777" w:rsidR="00D9791E" w:rsidRPr="007E4DA1" w:rsidRDefault="00D9791E" w:rsidP="001A6584">
            <w:pPr>
              <w:keepLines/>
              <w:autoSpaceDE w:val="0"/>
              <w:autoSpaceDN w:val="0"/>
              <w:adjustRightInd w:val="0"/>
              <w:rPr>
                <w:szCs w:val="24"/>
                <w:lang w:eastAsia="ja-JP"/>
              </w:rPr>
            </w:pPr>
          </w:p>
        </w:tc>
        <w:tc>
          <w:tcPr>
            <w:tcW w:w="1537" w:type="dxa"/>
            <w:shd w:val="clear" w:color="auto" w:fill="auto"/>
          </w:tcPr>
          <w:p w14:paraId="427F594C" w14:textId="77777777" w:rsidR="00D9791E" w:rsidRPr="007E4DA1" w:rsidRDefault="00D9791E" w:rsidP="001A6584">
            <w:pPr>
              <w:keepLines/>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2A91A136" w14:textId="77777777" w:rsidR="00D9791E" w:rsidRPr="007E4DA1" w:rsidRDefault="00D9791E" w:rsidP="001A6584">
            <w:pPr>
              <w:keepLines/>
              <w:autoSpaceDE w:val="0"/>
              <w:autoSpaceDN w:val="0"/>
              <w:adjustRightInd w:val="0"/>
              <w:ind w:left="47" w:hanging="47"/>
              <w:rPr>
                <w:szCs w:val="24"/>
                <w:lang w:eastAsia="ja-JP"/>
              </w:rPr>
            </w:pPr>
            <w:r w:rsidRPr="007E4DA1">
              <w:rPr>
                <w:szCs w:val="24"/>
                <w:lang w:eastAsia="ja-JP"/>
              </w:rPr>
              <w:t>Suchość w jamie ustnej, glosodynia, bolesność uciskowa w jamie brzusznej, odbarwienie stolca, zatrucie pokarmowe, częste oddawanie stolca, wymioty krwawe, uczucie dyskomfortu w jamie ustnej</w:t>
            </w:r>
          </w:p>
        </w:tc>
      </w:tr>
      <w:tr w:rsidR="00D9791E" w:rsidRPr="007E4DA1" w14:paraId="21887A0A" w14:textId="77777777" w:rsidTr="00EE3105">
        <w:trPr>
          <w:cantSplit/>
        </w:trPr>
        <w:tc>
          <w:tcPr>
            <w:tcW w:w="2751" w:type="dxa"/>
            <w:vMerge w:val="restart"/>
            <w:shd w:val="clear" w:color="auto" w:fill="auto"/>
          </w:tcPr>
          <w:p w14:paraId="1A3BECA1" w14:textId="77777777" w:rsidR="00D9791E" w:rsidRPr="007E4DA1" w:rsidRDefault="00D9791E" w:rsidP="001A6584">
            <w:pPr>
              <w:keepLines/>
              <w:autoSpaceDE w:val="0"/>
              <w:autoSpaceDN w:val="0"/>
              <w:adjustRightInd w:val="0"/>
              <w:ind w:left="0" w:firstLine="0"/>
              <w:rPr>
                <w:szCs w:val="24"/>
                <w:lang w:eastAsia="ja-JP"/>
              </w:rPr>
            </w:pPr>
            <w:r w:rsidRPr="007E4DA1">
              <w:rPr>
                <w:szCs w:val="24"/>
                <w:lang w:eastAsia="ja-JP"/>
              </w:rPr>
              <w:t>Zaburzenia wątroby i dróg żółciowych</w:t>
            </w:r>
          </w:p>
        </w:tc>
        <w:tc>
          <w:tcPr>
            <w:tcW w:w="1537" w:type="dxa"/>
            <w:shd w:val="clear" w:color="auto" w:fill="auto"/>
          </w:tcPr>
          <w:p w14:paraId="07F1A7CC" w14:textId="77777777" w:rsidR="00D9791E" w:rsidRPr="007E4DA1" w:rsidRDefault="00D9791E" w:rsidP="001A6584">
            <w:pPr>
              <w:keepLines/>
              <w:autoSpaceDE w:val="0"/>
              <w:autoSpaceDN w:val="0"/>
              <w:adjustRightInd w:val="0"/>
              <w:ind w:left="26" w:hanging="26"/>
              <w:rPr>
                <w:szCs w:val="24"/>
                <w:lang w:eastAsia="ja-JP"/>
              </w:rPr>
            </w:pPr>
            <w:r w:rsidRPr="007E4DA1">
              <w:rPr>
                <w:iCs/>
                <w:szCs w:val="24"/>
                <w:lang w:eastAsia="ja-JP"/>
              </w:rPr>
              <w:t>Bardzo często</w:t>
            </w:r>
          </w:p>
        </w:tc>
        <w:tc>
          <w:tcPr>
            <w:tcW w:w="4921" w:type="dxa"/>
            <w:shd w:val="clear" w:color="auto" w:fill="auto"/>
          </w:tcPr>
          <w:p w14:paraId="5CBEDF46" w14:textId="77777777" w:rsidR="00D9791E" w:rsidRPr="007E4DA1" w:rsidRDefault="00D9791E" w:rsidP="00C00A76">
            <w:pPr>
              <w:keepLines/>
              <w:autoSpaceDE w:val="0"/>
              <w:autoSpaceDN w:val="0"/>
              <w:adjustRightInd w:val="0"/>
              <w:ind w:left="0" w:firstLine="0"/>
              <w:rPr>
                <w:szCs w:val="24"/>
                <w:lang w:eastAsia="ja-JP"/>
              </w:rPr>
            </w:pPr>
            <w:r w:rsidRPr="007E4DA1">
              <w:rPr>
                <w:szCs w:val="24"/>
                <w:lang w:eastAsia="ja-JP"/>
              </w:rPr>
              <w:t>Zwiększenie aktywności aminotransferazy alaninowej</w:t>
            </w:r>
            <w:r w:rsidRPr="007E4DA1">
              <w:rPr>
                <w:szCs w:val="24"/>
                <w:vertAlign w:val="superscript"/>
                <w:lang w:eastAsia="ja-JP"/>
              </w:rPr>
              <w:t>†</w:t>
            </w:r>
          </w:p>
        </w:tc>
      </w:tr>
      <w:tr w:rsidR="00D9791E" w:rsidRPr="007E4DA1" w14:paraId="3A7C787C" w14:textId="77777777" w:rsidTr="00EE3105">
        <w:trPr>
          <w:cantSplit/>
        </w:trPr>
        <w:tc>
          <w:tcPr>
            <w:tcW w:w="2751" w:type="dxa"/>
            <w:vMerge/>
            <w:shd w:val="clear" w:color="auto" w:fill="auto"/>
          </w:tcPr>
          <w:p w14:paraId="0BBEA3E8" w14:textId="77777777" w:rsidR="00D9791E" w:rsidRPr="007E4DA1" w:rsidRDefault="00D9791E" w:rsidP="001A6584">
            <w:pPr>
              <w:keepLines/>
              <w:autoSpaceDE w:val="0"/>
              <w:autoSpaceDN w:val="0"/>
              <w:adjustRightInd w:val="0"/>
              <w:rPr>
                <w:szCs w:val="24"/>
                <w:lang w:eastAsia="ja-JP"/>
              </w:rPr>
            </w:pPr>
          </w:p>
        </w:tc>
        <w:tc>
          <w:tcPr>
            <w:tcW w:w="1537" w:type="dxa"/>
            <w:shd w:val="clear" w:color="auto" w:fill="auto"/>
          </w:tcPr>
          <w:p w14:paraId="2BA2BFB1" w14:textId="77777777" w:rsidR="00D9791E" w:rsidRPr="007E4DA1" w:rsidRDefault="00D9791E" w:rsidP="001A6584">
            <w:pPr>
              <w:keepLines/>
              <w:autoSpaceDE w:val="0"/>
              <w:autoSpaceDN w:val="0"/>
              <w:adjustRightInd w:val="0"/>
              <w:rPr>
                <w:szCs w:val="24"/>
                <w:lang w:eastAsia="ja-JP"/>
              </w:rPr>
            </w:pPr>
            <w:r w:rsidRPr="007E4DA1">
              <w:rPr>
                <w:iCs/>
                <w:szCs w:val="24"/>
                <w:lang w:eastAsia="ja-JP"/>
              </w:rPr>
              <w:t>Często</w:t>
            </w:r>
          </w:p>
        </w:tc>
        <w:tc>
          <w:tcPr>
            <w:tcW w:w="4921" w:type="dxa"/>
            <w:shd w:val="clear" w:color="auto" w:fill="auto"/>
          </w:tcPr>
          <w:p w14:paraId="1DA0BCEC" w14:textId="77777777" w:rsidR="00D9791E" w:rsidRPr="007E4DA1" w:rsidRDefault="00D9791E" w:rsidP="001A6584">
            <w:pPr>
              <w:keepLines/>
              <w:autoSpaceDE w:val="0"/>
              <w:autoSpaceDN w:val="0"/>
              <w:adjustRightInd w:val="0"/>
              <w:ind w:left="0" w:firstLine="0"/>
              <w:rPr>
                <w:szCs w:val="24"/>
                <w:lang w:eastAsia="ja-JP"/>
              </w:rPr>
            </w:pPr>
            <w:r w:rsidRPr="007E4DA1">
              <w:rPr>
                <w:szCs w:val="24"/>
                <w:lang w:eastAsia="ja-JP"/>
              </w:rPr>
              <w:t>Zwiększenie aktywności aminotransferazy asparaginianowej</w:t>
            </w:r>
            <w:r w:rsidRPr="007E4DA1">
              <w:rPr>
                <w:szCs w:val="24"/>
                <w:vertAlign w:val="superscript"/>
                <w:lang w:eastAsia="ja-JP"/>
              </w:rPr>
              <w:t xml:space="preserve"> †</w:t>
            </w:r>
            <w:r w:rsidRPr="007E4DA1">
              <w:rPr>
                <w:szCs w:val="24"/>
                <w:lang w:eastAsia="ja-JP"/>
              </w:rPr>
              <w:t>, hiperbilirubinemia, zaburzenia czynności wątroby</w:t>
            </w:r>
          </w:p>
        </w:tc>
      </w:tr>
      <w:tr w:rsidR="00D9791E" w:rsidRPr="007E4DA1" w14:paraId="27CF5C1A" w14:textId="77777777" w:rsidTr="00EE3105">
        <w:trPr>
          <w:cantSplit/>
        </w:trPr>
        <w:tc>
          <w:tcPr>
            <w:tcW w:w="2751" w:type="dxa"/>
            <w:vMerge/>
            <w:tcBorders>
              <w:bottom w:val="single" w:sz="4" w:space="0" w:color="auto"/>
            </w:tcBorders>
            <w:shd w:val="clear" w:color="auto" w:fill="auto"/>
          </w:tcPr>
          <w:p w14:paraId="54270337" w14:textId="77777777" w:rsidR="00D9791E" w:rsidRPr="007E4DA1" w:rsidRDefault="00D9791E" w:rsidP="001A6584">
            <w:pPr>
              <w:keepLines/>
              <w:autoSpaceDE w:val="0"/>
              <w:autoSpaceDN w:val="0"/>
              <w:adjustRightInd w:val="0"/>
              <w:rPr>
                <w:szCs w:val="24"/>
                <w:lang w:eastAsia="ja-JP"/>
              </w:rPr>
            </w:pPr>
          </w:p>
        </w:tc>
        <w:tc>
          <w:tcPr>
            <w:tcW w:w="1537" w:type="dxa"/>
            <w:shd w:val="clear" w:color="auto" w:fill="auto"/>
          </w:tcPr>
          <w:p w14:paraId="77B32A78" w14:textId="77777777" w:rsidR="00D9791E" w:rsidRPr="007E4DA1" w:rsidRDefault="00D9791E" w:rsidP="001A6584">
            <w:pPr>
              <w:keepLines/>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2F714777" w14:textId="77777777" w:rsidR="00D9791E" w:rsidRPr="007E4DA1" w:rsidRDefault="00D9791E" w:rsidP="001A6584">
            <w:pPr>
              <w:keepLines/>
              <w:autoSpaceDE w:val="0"/>
              <w:autoSpaceDN w:val="0"/>
              <w:adjustRightInd w:val="0"/>
              <w:ind w:left="0" w:firstLine="0"/>
              <w:rPr>
                <w:szCs w:val="24"/>
                <w:lang w:eastAsia="ja-JP"/>
              </w:rPr>
            </w:pPr>
            <w:r w:rsidRPr="007E4DA1">
              <w:rPr>
                <w:szCs w:val="24"/>
                <w:lang w:eastAsia="ja-JP"/>
              </w:rPr>
              <w:t>Cholestaza, zmiany w wątrobie, zapalenie wątroby, polekowe uszkodzenie wątroby</w:t>
            </w:r>
          </w:p>
        </w:tc>
      </w:tr>
      <w:tr w:rsidR="00D9791E" w:rsidRPr="007E4DA1" w14:paraId="3AC3B1CC" w14:textId="77777777" w:rsidTr="00EE3105">
        <w:trPr>
          <w:cantSplit/>
        </w:trPr>
        <w:tc>
          <w:tcPr>
            <w:tcW w:w="2751" w:type="dxa"/>
            <w:vMerge w:val="restart"/>
            <w:shd w:val="clear" w:color="auto" w:fill="auto"/>
          </w:tcPr>
          <w:p w14:paraId="590D09F1" w14:textId="77777777" w:rsidR="00D9791E" w:rsidRPr="007E4DA1" w:rsidRDefault="00D9791E" w:rsidP="001A6584">
            <w:pPr>
              <w:keepNext/>
              <w:keepLines/>
              <w:autoSpaceDE w:val="0"/>
              <w:autoSpaceDN w:val="0"/>
              <w:adjustRightInd w:val="0"/>
              <w:ind w:left="0" w:firstLine="0"/>
              <w:rPr>
                <w:szCs w:val="24"/>
                <w:lang w:eastAsia="ja-JP"/>
              </w:rPr>
            </w:pPr>
            <w:r w:rsidRPr="007E4DA1">
              <w:rPr>
                <w:szCs w:val="24"/>
                <w:lang w:eastAsia="ja-JP"/>
              </w:rPr>
              <w:t>Zaburzenia skóry i tkanki podskórnej</w:t>
            </w:r>
          </w:p>
        </w:tc>
        <w:tc>
          <w:tcPr>
            <w:tcW w:w="1537" w:type="dxa"/>
            <w:shd w:val="clear" w:color="auto" w:fill="auto"/>
          </w:tcPr>
          <w:p w14:paraId="64433ABD" w14:textId="77777777" w:rsidR="00D9791E" w:rsidRPr="007E4DA1" w:rsidRDefault="00D9791E" w:rsidP="001A6584">
            <w:pPr>
              <w:keepNext/>
              <w:keepLines/>
              <w:autoSpaceDE w:val="0"/>
              <w:autoSpaceDN w:val="0"/>
              <w:adjustRightInd w:val="0"/>
              <w:rPr>
                <w:szCs w:val="24"/>
                <w:lang w:eastAsia="ja-JP"/>
              </w:rPr>
            </w:pPr>
            <w:r w:rsidRPr="007E4DA1">
              <w:rPr>
                <w:iCs/>
                <w:szCs w:val="24"/>
                <w:lang w:eastAsia="ja-JP"/>
              </w:rPr>
              <w:t>Często</w:t>
            </w:r>
          </w:p>
        </w:tc>
        <w:tc>
          <w:tcPr>
            <w:tcW w:w="4921" w:type="dxa"/>
            <w:shd w:val="clear" w:color="auto" w:fill="auto"/>
          </w:tcPr>
          <w:p w14:paraId="02315CD9" w14:textId="77777777" w:rsidR="00D9791E" w:rsidRPr="007E4DA1" w:rsidRDefault="00D9791E" w:rsidP="001A6584">
            <w:pPr>
              <w:keepNext/>
              <w:keepLines/>
              <w:autoSpaceDE w:val="0"/>
              <w:autoSpaceDN w:val="0"/>
              <w:adjustRightInd w:val="0"/>
              <w:ind w:left="0" w:firstLine="0"/>
              <w:rPr>
                <w:szCs w:val="24"/>
                <w:lang w:eastAsia="ja-JP"/>
              </w:rPr>
            </w:pPr>
            <w:r w:rsidRPr="007E4DA1">
              <w:rPr>
                <w:szCs w:val="24"/>
                <w:lang w:eastAsia="ja-JP"/>
              </w:rPr>
              <w:t>Wysypka, łysienie, nadmierna potliwość, uogólniony świąd, wybroczyny</w:t>
            </w:r>
          </w:p>
        </w:tc>
      </w:tr>
      <w:tr w:rsidR="00D9791E" w:rsidRPr="007E4DA1" w14:paraId="5211B28C" w14:textId="77777777" w:rsidTr="00EE3105">
        <w:trPr>
          <w:cantSplit/>
        </w:trPr>
        <w:tc>
          <w:tcPr>
            <w:tcW w:w="2751" w:type="dxa"/>
            <w:vMerge/>
            <w:tcBorders>
              <w:bottom w:val="single" w:sz="4" w:space="0" w:color="auto"/>
            </w:tcBorders>
            <w:shd w:val="clear" w:color="auto" w:fill="auto"/>
          </w:tcPr>
          <w:p w14:paraId="0088A519" w14:textId="77777777" w:rsidR="00D9791E" w:rsidRPr="007E4DA1" w:rsidRDefault="00D9791E" w:rsidP="001A6584">
            <w:pPr>
              <w:keepNext/>
              <w:keepLines/>
              <w:autoSpaceDE w:val="0"/>
              <w:autoSpaceDN w:val="0"/>
              <w:adjustRightInd w:val="0"/>
              <w:rPr>
                <w:szCs w:val="24"/>
                <w:lang w:eastAsia="ja-JP"/>
              </w:rPr>
            </w:pPr>
          </w:p>
        </w:tc>
        <w:tc>
          <w:tcPr>
            <w:tcW w:w="1537" w:type="dxa"/>
            <w:shd w:val="clear" w:color="auto" w:fill="auto"/>
          </w:tcPr>
          <w:p w14:paraId="15326D3A" w14:textId="77777777" w:rsidR="00D9791E" w:rsidRPr="007E4DA1" w:rsidRDefault="00D9791E" w:rsidP="001A6584">
            <w:pPr>
              <w:keepLines/>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4A9505F0" w14:textId="77777777" w:rsidR="00D9791E" w:rsidRPr="007E4DA1" w:rsidRDefault="00D9791E" w:rsidP="001A6584">
            <w:pPr>
              <w:keepLines/>
              <w:autoSpaceDE w:val="0"/>
              <w:autoSpaceDN w:val="0"/>
              <w:adjustRightInd w:val="0"/>
              <w:ind w:left="0" w:firstLine="0"/>
              <w:rPr>
                <w:szCs w:val="24"/>
                <w:lang w:eastAsia="ja-JP"/>
              </w:rPr>
            </w:pPr>
            <w:r w:rsidRPr="007E4DA1">
              <w:rPr>
                <w:szCs w:val="24"/>
                <w:lang w:eastAsia="ja-JP"/>
              </w:rPr>
              <w:t>Pokrzywka, dermatoza, zimne poty, rumień, melanoza, zaburzenia pigmentacji, odbarwienie skóry, złuszczanie skóry</w:t>
            </w:r>
          </w:p>
        </w:tc>
      </w:tr>
      <w:tr w:rsidR="0007677D" w:rsidRPr="007E4DA1" w14:paraId="192DC02D" w14:textId="77777777" w:rsidTr="00EE3105">
        <w:trPr>
          <w:cantSplit/>
        </w:trPr>
        <w:tc>
          <w:tcPr>
            <w:tcW w:w="2751" w:type="dxa"/>
            <w:vMerge w:val="restart"/>
            <w:shd w:val="clear" w:color="auto" w:fill="auto"/>
          </w:tcPr>
          <w:p w14:paraId="0BFB8BAA" w14:textId="3EE23370" w:rsidR="0007677D" w:rsidRPr="007E4DA1" w:rsidRDefault="0032696C" w:rsidP="00C00A76">
            <w:pPr>
              <w:keepNext/>
              <w:keepLines/>
              <w:autoSpaceDE w:val="0"/>
              <w:autoSpaceDN w:val="0"/>
              <w:adjustRightInd w:val="0"/>
              <w:ind w:left="0" w:firstLine="0"/>
              <w:rPr>
                <w:iCs/>
                <w:szCs w:val="24"/>
                <w:lang w:eastAsia="ja-JP"/>
              </w:rPr>
            </w:pPr>
            <w:r w:rsidRPr="007E4DA1">
              <w:rPr>
                <w:iCs/>
                <w:szCs w:val="24"/>
                <w:lang w:eastAsia="ja-JP"/>
              </w:rPr>
              <w:t>Zaburzenia</w:t>
            </w:r>
            <w:r w:rsidR="0007677D" w:rsidRPr="007E4DA1">
              <w:rPr>
                <w:iCs/>
                <w:szCs w:val="24"/>
                <w:lang w:eastAsia="ja-JP"/>
              </w:rPr>
              <w:t xml:space="preserve"> mięśniowo-szkieletowe i tkanki łącznej</w:t>
            </w:r>
          </w:p>
        </w:tc>
        <w:tc>
          <w:tcPr>
            <w:tcW w:w="1537" w:type="dxa"/>
            <w:shd w:val="clear" w:color="auto" w:fill="auto"/>
          </w:tcPr>
          <w:p w14:paraId="4C29B453" w14:textId="77777777" w:rsidR="0007677D" w:rsidRPr="007E4DA1" w:rsidRDefault="0007677D" w:rsidP="001A6584">
            <w:pPr>
              <w:keepNext/>
              <w:keepLines/>
              <w:autoSpaceDE w:val="0"/>
              <w:autoSpaceDN w:val="0"/>
              <w:adjustRightInd w:val="0"/>
              <w:rPr>
                <w:iCs/>
                <w:szCs w:val="24"/>
                <w:lang w:eastAsia="ja-JP"/>
              </w:rPr>
            </w:pPr>
            <w:r w:rsidRPr="007E4DA1">
              <w:rPr>
                <w:iCs/>
                <w:szCs w:val="24"/>
                <w:lang w:eastAsia="ja-JP"/>
              </w:rPr>
              <w:t>Bardzo często</w:t>
            </w:r>
          </w:p>
        </w:tc>
        <w:tc>
          <w:tcPr>
            <w:tcW w:w="4921" w:type="dxa"/>
            <w:shd w:val="clear" w:color="auto" w:fill="auto"/>
          </w:tcPr>
          <w:p w14:paraId="76F7BD80" w14:textId="2567B3CD" w:rsidR="0007677D" w:rsidRPr="007E4DA1" w:rsidRDefault="0007677D" w:rsidP="001A6584">
            <w:pPr>
              <w:keepNext/>
              <w:keepLines/>
              <w:autoSpaceDE w:val="0"/>
              <w:autoSpaceDN w:val="0"/>
              <w:adjustRightInd w:val="0"/>
              <w:ind w:left="0" w:firstLine="0"/>
              <w:rPr>
                <w:szCs w:val="24"/>
                <w:lang w:eastAsia="ja-JP"/>
              </w:rPr>
            </w:pPr>
            <w:r w:rsidRPr="007E4DA1">
              <w:rPr>
                <w:szCs w:val="24"/>
                <w:lang w:eastAsia="ja-JP"/>
              </w:rPr>
              <w:t>Ból pleców</w:t>
            </w:r>
          </w:p>
        </w:tc>
      </w:tr>
      <w:tr w:rsidR="0007677D" w:rsidRPr="007E4DA1" w14:paraId="330EFAFD" w14:textId="77777777" w:rsidTr="00EE3105">
        <w:trPr>
          <w:cantSplit/>
        </w:trPr>
        <w:tc>
          <w:tcPr>
            <w:tcW w:w="2751" w:type="dxa"/>
            <w:vMerge/>
            <w:shd w:val="clear" w:color="auto" w:fill="auto"/>
          </w:tcPr>
          <w:p w14:paraId="0B324EC0" w14:textId="77777777" w:rsidR="0007677D" w:rsidRPr="007E4DA1" w:rsidRDefault="0007677D" w:rsidP="001A6584">
            <w:pPr>
              <w:keepNext/>
              <w:keepLines/>
              <w:autoSpaceDE w:val="0"/>
              <w:autoSpaceDN w:val="0"/>
              <w:adjustRightInd w:val="0"/>
              <w:ind w:left="0" w:firstLine="0"/>
              <w:rPr>
                <w:iCs/>
                <w:szCs w:val="24"/>
                <w:lang w:eastAsia="ja-JP"/>
              </w:rPr>
            </w:pPr>
          </w:p>
        </w:tc>
        <w:tc>
          <w:tcPr>
            <w:tcW w:w="1537" w:type="dxa"/>
            <w:shd w:val="clear" w:color="auto" w:fill="auto"/>
          </w:tcPr>
          <w:p w14:paraId="2403CB68" w14:textId="77777777" w:rsidR="0007677D" w:rsidRPr="007E4DA1" w:rsidRDefault="0007677D" w:rsidP="001A6584">
            <w:pPr>
              <w:keepNext/>
              <w:keepLines/>
              <w:autoSpaceDE w:val="0"/>
              <w:autoSpaceDN w:val="0"/>
              <w:adjustRightInd w:val="0"/>
              <w:rPr>
                <w:szCs w:val="24"/>
                <w:lang w:eastAsia="ja-JP"/>
              </w:rPr>
            </w:pPr>
            <w:r w:rsidRPr="007E4DA1">
              <w:rPr>
                <w:iCs/>
                <w:szCs w:val="24"/>
                <w:lang w:eastAsia="ja-JP"/>
              </w:rPr>
              <w:t>Często</w:t>
            </w:r>
          </w:p>
        </w:tc>
        <w:tc>
          <w:tcPr>
            <w:tcW w:w="4921" w:type="dxa"/>
            <w:shd w:val="clear" w:color="auto" w:fill="auto"/>
          </w:tcPr>
          <w:p w14:paraId="409F1C57" w14:textId="06DC2FC0" w:rsidR="0007677D" w:rsidRPr="007E4DA1" w:rsidRDefault="0007677D" w:rsidP="001A6584">
            <w:pPr>
              <w:keepNext/>
              <w:keepLines/>
              <w:autoSpaceDE w:val="0"/>
              <w:autoSpaceDN w:val="0"/>
              <w:adjustRightInd w:val="0"/>
              <w:ind w:left="0" w:firstLine="0"/>
              <w:rPr>
                <w:szCs w:val="24"/>
                <w:lang w:eastAsia="ja-JP"/>
              </w:rPr>
            </w:pPr>
            <w:r w:rsidRPr="007E4DA1">
              <w:rPr>
                <w:szCs w:val="24"/>
                <w:lang w:eastAsia="ja-JP"/>
              </w:rPr>
              <w:t>Bóle mięśni, skurcze mięśni, bóle mięśniowo-szkieletowe, bóle kości</w:t>
            </w:r>
          </w:p>
        </w:tc>
      </w:tr>
      <w:tr w:rsidR="0007677D" w:rsidRPr="007E4DA1" w14:paraId="24911D09" w14:textId="77777777" w:rsidTr="00EE3105">
        <w:trPr>
          <w:cantSplit/>
        </w:trPr>
        <w:tc>
          <w:tcPr>
            <w:tcW w:w="2751" w:type="dxa"/>
            <w:vMerge/>
            <w:shd w:val="clear" w:color="auto" w:fill="auto"/>
          </w:tcPr>
          <w:p w14:paraId="60BF9D64" w14:textId="77777777" w:rsidR="0007677D" w:rsidRPr="007E4DA1" w:rsidRDefault="0007677D" w:rsidP="001A6584">
            <w:pPr>
              <w:keepNext/>
              <w:keepLines/>
              <w:autoSpaceDE w:val="0"/>
              <w:autoSpaceDN w:val="0"/>
              <w:adjustRightInd w:val="0"/>
              <w:rPr>
                <w:szCs w:val="24"/>
                <w:lang w:eastAsia="ja-JP"/>
              </w:rPr>
            </w:pPr>
          </w:p>
        </w:tc>
        <w:tc>
          <w:tcPr>
            <w:tcW w:w="1537" w:type="dxa"/>
            <w:shd w:val="clear" w:color="auto" w:fill="auto"/>
          </w:tcPr>
          <w:p w14:paraId="3205EB3B" w14:textId="77777777" w:rsidR="0007677D" w:rsidRPr="007E4DA1" w:rsidRDefault="0007677D" w:rsidP="001A6584">
            <w:pPr>
              <w:keepNext/>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281E1179" w14:textId="77777777" w:rsidR="0007677D" w:rsidRPr="007E4DA1" w:rsidRDefault="0007677D" w:rsidP="001A6584">
            <w:pPr>
              <w:keepNext/>
              <w:autoSpaceDE w:val="0"/>
              <w:autoSpaceDN w:val="0"/>
              <w:adjustRightInd w:val="0"/>
              <w:rPr>
                <w:szCs w:val="24"/>
                <w:lang w:eastAsia="ja-JP"/>
              </w:rPr>
            </w:pPr>
            <w:r w:rsidRPr="007E4DA1">
              <w:rPr>
                <w:szCs w:val="24"/>
                <w:lang w:eastAsia="ja-JP"/>
              </w:rPr>
              <w:t>Osłabienie siły mięśniowej</w:t>
            </w:r>
          </w:p>
        </w:tc>
      </w:tr>
      <w:tr w:rsidR="00D9791E" w:rsidRPr="007E4DA1" w14:paraId="711C9C50" w14:textId="77777777" w:rsidTr="00EE3105">
        <w:trPr>
          <w:cantSplit/>
        </w:trPr>
        <w:tc>
          <w:tcPr>
            <w:tcW w:w="2751" w:type="dxa"/>
            <w:vMerge w:val="restart"/>
            <w:shd w:val="clear" w:color="auto" w:fill="auto"/>
          </w:tcPr>
          <w:p w14:paraId="6E13A015" w14:textId="77777777" w:rsidR="00D9791E" w:rsidRPr="007E4DA1" w:rsidRDefault="00D9791E" w:rsidP="001A6584">
            <w:pPr>
              <w:keepNext/>
              <w:keepLines/>
              <w:autoSpaceDE w:val="0"/>
              <w:autoSpaceDN w:val="0"/>
              <w:adjustRightInd w:val="0"/>
              <w:ind w:left="0" w:firstLine="0"/>
              <w:rPr>
                <w:szCs w:val="24"/>
                <w:lang w:eastAsia="ja-JP"/>
              </w:rPr>
            </w:pPr>
            <w:r w:rsidRPr="007E4DA1">
              <w:rPr>
                <w:szCs w:val="24"/>
                <w:lang w:eastAsia="ja-JP"/>
              </w:rPr>
              <w:t>Zaburzenia nerek i dróg moczowych</w:t>
            </w:r>
          </w:p>
        </w:tc>
        <w:tc>
          <w:tcPr>
            <w:tcW w:w="1537" w:type="dxa"/>
            <w:shd w:val="clear" w:color="auto" w:fill="auto"/>
          </w:tcPr>
          <w:p w14:paraId="01F14037" w14:textId="77777777" w:rsidR="00D9791E" w:rsidRPr="007E4DA1" w:rsidRDefault="00D9791E" w:rsidP="001A6584">
            <w:pPr>
              <w:keepNext/>
              <w:keepLines/>
              <w:autoSpaceDE w:val="0"/>
              <w:autoSpaceDN w:val="0"/>
              <w:adjustRightInd w:val="0"/>
              <w:rPr>
                <w:iCs/>
                <w:szCs w:val="24"/>
                <w:lang w:eastAsia="ja-JP"/>
              </w:rPr>
            </w:pPr>
            <w:r w:rsidRPr="007E4DA1">
              <w:rPr>
                <w:iCs/>
                <w:szCs w:val="24"/>
                <w:lang w:eastAsia="ja-JP"/>
              </w:rPr>
              <w:t>Często</w:t>
            </w:r>
          </w:p>
        </w:tc>
        <w:tc>
          <w:tcPr>
            <w:tcW w:w="4921" w:type="dxa"/>
            <w:shd w:val="clear" w:color="auto" w:fill="auto"/>
          </w:tcPr>
          <w:p w14:paraId="1F3937C1" w14:textId="77777777" w:rsidR="00D9791E" w:rsidRPr="007E4DA1" w:rsidRDefault="00D9791E" w:rsidP="00C00A76">
            <w:pPr>
              <w:keepNext/>
              <w:keepLines/>
              <w:autoSpaceDE w:val="0"/>
              <w:autoSpaceDN w:val="0"/>
              <w:adjustRightInd w:val="0"/>
              <w:ind w:left="0" w:firstLine="0"/>
              <w:rPr>
                <w:szCs w:val="24"/>
                <w:lang w:eastAsia="ja-JP"/>
              </w:rPr>
            </w:pPr>
            <w:r w:rsidRPr="007E4DA1">
              <w:rPr>
                <w:szCs w:val="24"/>
                <w:lang w:eastAsia="ja-JP"/>
              </w:rPr>
              <w:t>Białkomocz, zwiększenie stężenia kreatyniny</w:t>
            </w:r>
            <w:r w:rsidR="00D40BCA" w:rsidRPr="007E4DA1">
              <w:rPr>
                <w:szCs w:val="24"/>
                <w:lang w:eastAsia="ja-JP"/>
              </w:rPr>
              <w:t xml:space="preserve"> we krwi</w:t>
            </w:r>
            <w:r w:rsidRPr="007E4DA1">
              <w:rPr>
                <w:szCs w:val="24"/>
                <w:lang w:eastAsia="ja-JP"/>
              </w:rPr>
              <w:t>, mikroangiopatia zakrzepowa z niewydolnością nerek</w:t>
            </w:r>
            <w:r w:rsidRPr="007E4DA1">
              <w:rPr>
                <w:szCs w:val="24"/>
                <w:vertAlign w:val="superscript"/>
                <w:lang w:eastAsia="ja-JP"/>
              </w:rPr>
              <w:t xml:space="preserve"> ‡</w:t>
            </w:r>
          </w:p>
        </w:tc>
      </w:tr>
      <w:tr w:rsidR="00D9791E" w:rsidRPr="007E4DA1" w14:paraId="4E3BACA8" w14:textId="77777777" w:rsidTr="00EE3105">
        <w:trPr>
          <w:cantSplit/>
        </w:trPr>
        <w:tc>
          <w:tcPr>
            <w:tcW w:w="2751" w:type="dxa"/>
            <w:vMerge/>
            <w:shd w:val="clear" w:color="auto" w:fill="auto"/>
          </w:tcPr>
          <w:p w14:paraId="71A5988E" w14:textId="77777777" w:rsidR="00D9791E" w:rsidRPr="007E4DA1" w:rsidRDefault="00D9791E" w:rsidP="001A6584">
            <w:pPr>
              <w:keepNext/>
              <w:autoSpaceDE w:val="0"/>
              <w:autoSpaceDN w:val="0"/>
              <w:adjustRightInd w:val="0"/>
              <w:rPr>
                <w:szCs w:val="24"/>
                <w:lang w:eastAsia="ja-JP"/>
              </w:rPr>
            </w:pPr>
          </w:p>
        </w:tc>
        <w:tc>
          <w:tcPr>
            <w:tcW w:w="1537" w:type="dxa"/>
            <w:shd w:val="clear" w:color="auto" w:fill="auto"/>
          </w:tcPr>
          <w:p w14:paraId="78DA6436" w14:textId="77777777" w:rsidR="00D9791E" w:rsidRPr="007E4DA1" w:rsidRDefault="00D9791E" w:rsidP="001A6584">
            <w:pPr>
              <w:keepLines/>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6D4369B8" w14:textId="77777777" w:rsidR="00D9791E" w:rsidRPr="007E4DA1" w:rsidRDefault="00D9791E" w:rsidP="001A6584">
            <w:pPr>
              <w:keepLines/>
              <w:autoSpaceDE w:val="0"/>
              <w:autoSpaceDN w:val="0"/>
              <w:adjustRightInd w:val="0"/>
              <w:ind w:left="0" w:firstLine="0"/>
              <w:rPr>
                <w:szCs w:val="24"/>
              </w:rPr>
            </w:pPr>
            <w:r w:rsidRPr="007E4DA1">
              <w:rPr>
                <w:szCs w:val="24"/>
                <w:lang w:eastAsia="ja-JP"/>
              </w:rPr>
              <w:t>Niewydolność nerek, leukocyturia, toczniowe zapalenie nerek, nokturia, zwiększenie stężenia mocznika we krwi, zwiększenie wskaźnika białko-kreatynin</w:t>
            </w:r>
            <w:r w:rsidR="00D40BCA" w:rsidRPr="007E4DA1">
              <w:rPr>
                <w:szCs w:val="24"/>
                <w:lang w:eastAsia="ja-JP"/>
              </w:rPr>
              <w:t>a w moczu</w:t>
            </w:r>
          </w:p>
        </w:tc>
      </w:tr>
      <w:tr w:rsidR="00D9791E" w:rsidRPr="007E4DA1" w14:paraId="416ED4AF" w14:textId="77777777" w:rsidTr="00EE3105">
        <w:trPr>
          <w:cantSplit/>
        </w:trPr>
        <w:tc>
          <w:tcPr>
            <w:tcW w:w="2751" w:type="dxa"/>
            <w:tcBorders>
              <w:bottom w:val="single" w:sz="4" w:space="0" w:color="auto"/>
            </w:tcBorders>
            <w:shd w:val="clear" w:color="auto" w:fill="auto"/>
          </w:tcPr>
          <w:p w14:paraId="625B89C3" w14:textId="77777777" w:rsidR="00D9791E" w:rsidRPr="007E4DA1" w:rsidRDefault="00D9791E" w:rsidP="00BC1959">
            <w:pPr>
              <w:keepNext/>
              <w:keepLines/>
              <w:autoSpaceDE w:val="0"/>
              <w:autoSpaceDN w:val="0"/>
              <w:adjustRightInd w:val="0"/>
              <w:ind w:left="0" w:firstLine="0"/>
              <w:rPr>
                <w:iCs/>
                <w:szCs w:val="24"/>
                <w:lang w:eastAsia="ja-JP"/>
              </w:rPr>
            </w:pPr>
            <w:r w:rsidRPr="007E4DA1">
              <w:rPr>
                <w:iCs/>
                <w:szCs w:val="24"/>
                <w:lang w:eastAsia="ja-JP"/>
              </w:rPr>
              <w:t>Zaburzenia układu rozrodczego i piersi</w:t>
            </w:r>
          </w:p>
        </w:tc>
        <w:tc>
          <w:tcPr>
            <w:tcW w:w="1537" w:type="dxa"/>
            <w:shd w:val="clear" w:color="auto" w:fill="auto"/>
          </w:tcPr>
          <w:p w14:paraId="6CC0EAC8" w14:textId="77777777" w:rsidR="00D9791E" w:rsidRPr="007E4DA1" w:rsidRDefault="00D9791E" w:rsidP="00BC1959">
            <w:pPr>
              <w:keepNext/>
              <w:keepLines/>
              <w:autoSpaceDE w:val="0"/>
              <w:autoSpaceDN w:val="0"/>
              <w:adjustRightInd w:val="0"/>
              <w:rPr>
                <w:szCs w:val="24"/>
                <w:lang w:eastAsia="ja-JP"/>
              </w:rPr>
            </w:pPr>
            <w:r w:rsidRPr="007E4DA1">
              <w:rPr>
                <w:iCs/>
                <w:szCs w:val="24"/>
                <w:lang w:eastAsia="ja-JP"/>
              </w:rPr>
              <w:t>Często</w:t>
            </w:r>
          </w:p>
        </w:tc>
        <w:tc>
          <w:tcPr>
            <w:tcW w:w="4921" w:type="dxa"/>
            <w:shd w:val="clear" w:color="auto" w:fill="auto"/>
          </w:tcPr>
          <w:p w14:paraId="3FFBFEE8" w14:textId="77777777" w:rsidR="00D9791E" w:rsidRPr="007E4DA1" w:rsidRDefault="00D9791E" w:rsidP="00BC1959">
            <w:pPr>
              <w:keepNext/>
              <w:keepLines/>
              <w:autoSpaceDE w:val="0"/>
              <w:autoSpaceDN w:val="0"/>
              <w:adjustRightInd w:val="0"/>
              <w:rPr>
                <w:szCs w:val="24"/>
                <w:lang w:eastAsia="ja-JP"/>
              </w:rPr>
            </w:pPr>
            <w:r w:rsidRPr="007E4DA1">
              <w:rPr>
                <w:szCs w:val="24"/>
                <w:lang w:eastAsia="ja-JP"/>
              </w:rPr>
              <w:t>Krwotok miesiączkowy</w:t>
            </w:r>
          </w:p>
        </w:tc>
      </w:tr>
      <w:tr w:rsidR="00D9791E" w:rsidRPr="007E4DA1" w14:paraId="0A5412FB" w14:textId="77777777" w:rsidTr="00EE3105">
        <w:trPr>
          <w:cantSplit/>
        </w:trPr>
        <w:tc>
          <w:tcPr>
            <w:tcW w:w="2751" w:type="dxa"/>
            <w:vMerge w:val="restart"/>
            <w:shd w:val="clear" w:color="auto" w:fill="auto"/>
          </w:tcPr>
          <w:p w14:paraId="53E22593" w14:textId="77777777" w:rsidR="00D9791E" w:rsidRPr="007E4DA1" w:rsidRDefault="00D9791E" w:rsidP="00BC1959">
            <w:pPr>
              <w:keepLines/>
              <w:autoSpaceDE w:val="0"/>
              <w:autoSpaceDN w:val="0"/>
              <w:adjustRightInd w:val="0"/>
              <w:ind w:left="0" w:firstLine="0"/>
              <w:rPr>
                <w:iCs/>
                <w:szCs w:val="24"/>
                <w:lang w:eastAsia="ja-JP"/>
              </w:rPr>
            </w:pPr>
            <w:r w:rsidRPr="007E4DA1">
              <w:rPr>
                <w:iCs/>
                <w:szCs w:val="24"/>
                <w:lang w:eastAsia="ja-JP"/>
              </w:rPr>
              <w:t>Zaburzenia ogólne i stany w miejscu podania</w:t>
            </w:r>
          </w:p>
        </w:tc>
        <w:tc>
          <w:tcPr>
            <w:tcW w:w="1537" w:type="dxa"/>
            <w:shd w:val="clear" w:color="auto" w:fill="auto"/>
          </w:tcPr>
          <w:p w14:paraId="25C856BD" w14:textId="77777777" w:rsidR="00D9791E" w:rsidRPr="007E4DA1" w:rsidRDefault="00D9791E" w:rsidP="00BC1959">
            <w:pPr>
              <w:keepLines/>
              <w:autoSpaceDE w:val="0"/>
              <w:autoSpaceDN w:val="0"/>
              <w:adjustRightInd w:val="0"/>
              <w:rPr>
                <w:szCs w:val="24"/>
                <w:lang w:eastAsia="ja-JP"/>
              </w:rPr>
            </w:pPr>
            <w:r w:rsidRPr="007E4DA1">
              <w:rPr>
                <w:iCs/>
                <w:szCs w:val="24"/>
                <w:lang w:eastAsia="ja-JP"/>
              </w:rPr>
              <w:t>Często</w:t>
            </w:r>
          </w:p>
        </w:tc>
        <w:tc>
          <w:tcPr>
            <w:tcW w:w="4921" w:type="dxa"/>
            <w:shd w:val="clear" w:color="auto" w:fill="auto"/>
          </w:tcPr>
          <w:p w14:paraId="11B45E70" w14:textId="77777777" w:rsidR="00D9791E" w:rsidRPr="007E4DA1" w:rsidRDefault="00D9791E" w:rsidP="00BC1959">
            <w:pPr>
              <w:keepLines/>
              <w:autoSpaceDE w:val="0"/>
              <w:autoSpaceDN w:val="0"/>
              <w:adjustRightInd w:val="0"/>
              <w:rPr>
                <w:szCs w:val="24"/>
                <w:lang w:eastAsia="ja-JP"/>
              </w:rPr>
            </w:pPr>
            <w:r w:rsidRPr="007E4DA1">
              <w:rPr>
                <w:szCs w:val="24"/>
                <w:lang w:eastAsia="ja-JP"/>
              </w:rPr>
              <w:t>Gorączka</w:t>
            </w:r>
            <w:r w:rsidRPr="007E4DA1">
              <w:rPr>
                <w:szCs w:val="24"/>
              </w:rPr>
              <w:t>*, ból w klatce piersiowej</w:t>
            </w:r>
            <w:r w:rsidRPr="007E4DA1">
              <w:rPr>
                <w:szCs w:val="24"/>
                <w:lang w:eastAsia="ja-JP"/>
              </w:rPr>
              <w:t>, osłabienie</w:t>
            </w:r>
          </w:p>
          <w:p w14:paraId="4F97B6FE" w14:textId="77777777" w:rsidR="00D9791E" w:rsidRPr="007E4DA1" w:rsidRDefault="00D9791E" w:rsidP="00BC1959">
            <w:pPr>
              <w:keepLines/>
              <w:autoSpaceDE w:val="0"/>
              <w:autoSpaceDN w:val="0"/>
              <w:adjustRightInd w:val="0"/>
              <w:rPr>
                <w:szCs w:val="24"/>
                <w:lang w:eastAsia="ja-JP"/>
              </w:rPr>
            </w:pPr>
            <w:r w:rsidRPr="007E4DA1">
              <w:rPr>
                <w:szCs w:val="24"/>
                <w:lang w:eastAsia="ja-JP"/>
              </w:rPr>
              <w:t>*Bardzo często u dzieci i młodzieży z ITP</w:t>
            </w:r>
          </w:p>
        </w:tc>
      </w:tr>
      <w:tr w:rsidR="00D9791E" w:rsidRPr="007E4DA1" w14:paraId="696C95E0" w14:textId="77777777" w:rsidTr="00EE3105">
        <w:trPr>
          <w:cantSplit/>
        </w:trPr>
        <w:tc>
          <w:tcPr>
            <w:tcW w:w="2751" w:type="dxa"/>
            <w:vMerge/>
            <w:shd w:val="clear" w:color="auto" w:fill="auto"/>
          </w:tcPr>
          <w:p w14:paraId="5668DF74" w14:textId="77777777" w:rsidR="00D9791E" w:rsidRPr="007E4DA1" w:rsidRDefault="00D9791E" w:rsidP="00EE3105">
            <w:pPr>
              <w:keepLines/>
              <w:autoSpaceDE w:val="0"/>
              <w:autoSpaceDN w:val="0"/>
              <w:adjustRightInd w:val="0"/>
              <w:rPr>
                <w:szCs w:val="24"/>
                <w:lang w:eastAsia="ja-JP"/>
              </w:rPr>
            </w:pPr>
          </w:p>
        </w:tc>
        <w:tc>
          <w:tcPr>
            <w:tcW w:w="1537" w:type="dxa"/>
            <w:shd w:val="clear" w:color="auto" w:fill="auto"/>
          </w:tcPr>
          <w:p w14:paraId="10514ECB" w14:textId="77777777" w:rsidR="00D9791E" w:rsidRPr="007E4DA1" w:rsidRDefault="00D9791E" w:rsidP="00BC1959">
            <w:pPr>
              <w:keepLines/>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1A487992" w14:textId="77777777" w:rsidR="00D9791E" w:rsidRPr="007E4DA1" w:rsidRDefault="00D9791E" w:rsidP="00BC1959">
            <w:pPr>
              <w:keepLines/>
              <w:autoSpaceDE w:val="0"/>
              <w:autoSpaceDN w:val="0"/>
              <w:adjustRightInd w:val="0"/>
              <w:ind w:left="-7" w:firstLine="7"/>
              <w:rPr>
                <w:szCs w:val="24"/>
                <w:lang w:eastAsia="ja-JP"/>
              </w:rPr>
            </w:pPr>
            <w:r w:rsidRPr="007E4DA1">
              <w:rPr>
                <w:szCs w:val="24"/>
                <w:lang w:eastAsia="ja-JP"/>
              </w:rPr>
              <w:t>Uczucie gorąca, krwotok w miejscu nakłucia naczynia, podenerwowanie, stan zapalny rany, złe samopoczucie, uczucie obecności ciała obcego</w:t>
            </w:r>
          </w:p>
        </w:tc>
      </w:tr>
      <w:tr w:rsidR="00D9791E" w:rsidRPr="007E4DA1" w14:paraId="756F7F6B" w14:textId="77777777" w:rsidTr="00EE3105">
        <w:trPr>
          <w:cantSplit/>
        </w:trPr>
        <w:tc>
          <w:tcPr>
            <w:tcW w:w="2751" w:type="dxa"/>
            <w:vMerge w:val="restart"/>
            <w:shd w:val="clear" w:color="auto" w:fill="auto"/>
          </w:tcPr>
          <w:p w14:paraId="05BEA94A" w14:textId="77777777" w:rsidR="00D9791E" w:rsidRPr="007E4DA1" w:rsidRDefault="00D9791E" w:rsidP="001A6584">
            <w:pPr>
              <w:keepNext/>
              <w:keepLines/>
              <w:autoSpaceDE w:val="0"/>
              <w:autoSpaceDN w:val="0"/>
              <w:adjustRightInd w:val="0"/>
              <w:rPr>
                <w:iCs/>
                <w:szCs w:val="24"/>
                <w:lang w:eastAsia="ja-JP"/>
              </w:rPr>
            </w:pPr>
            <w:r w:rsidRPr="007E4DA1">
              <w:rPr>
                <w:iCs/>
                <w:szCs w:val="24"/>
                <w:lang w:eastAsia="ja-JP"/>
              </w:rPr>
              <w:lastRenderedPageBreak/>
              <w:t>Badania diagnostyczne</w:t>
            </w:r>
          </w:p>
        </w:tc>
        <w:tc>
          <w:tcPr>
            <w:tcW w:w="1537" w:type="dxa"/>
            <w:shd w:val="clear" w:color="auto" w:fill="auto"/>
          </w:tcPr>
          <w:p w14:paraId="7E713978" w14:textId="77777777" w:rsidR="00D9791E" w:rsidRPr="007E4DA1" w:rsidRDefault="00D9791E" w:rsidP="001A6584">
            <w:pPr>
              <w:keepNext/>
              <w:keepLines/>
              <w:autoSpaceDE w:val="0"/>
              <w:autoSpaceDN w:val="0"/>
              <w:adjustRightInd w:val="0"/>
              <w:rPr>
                <w:iCs/>
                <w:szCs w:val="24"/>
                <w:lang w:eastAsia="ja-JP"/>
              </w:rPr>
            </w:pPr>
            <w:r w:rsidRPr="007E4DA1">
              <w:rPr>
                <w:iCs/>
                <w:szCs w:val="24"/>
                <w:lang w:eastAsia="ja-JP"/>
              </w:rPr>
              <w:t>Często</w:t>
            </w:r>
          </w:p>
        </w:tc>
        <w:tc>
          <w:tcPr>
            <w:tcW w:w="4921" w:type="dxa"/>
            <w:shd w:val="clear" w:color="auto" w:fill="auto"/>
          </w:tcPr>
          <w:p w14:paraId="58B6BCA2" w14:textId="77777777" w:rsidR="00D9791E" w:rsidRPr="007E4DA1" w:rsidRDefault="00D9791E" w:rsidP="00C00A76">
            <w:pPr>
              <w:keepNext/>
              <w:keepLines/>
              <w:autoSpaceDE w:val="0"/>
              <w:autoSpaceDN w:val="0"/>
              <w:adjustRightInd w:val="0"/>
              <w:ind w:left="-7" w:firstLine="7"/>
              <w:rPr>
                <w:szCs w:val="24"/>
              </w:rPr>
            </w:pPr>
            <w:r w:rsidRPr="007E4DA1">
              <w:rPr>
                <w:szCs w:val="24"/>
              </w:rPr>
              <w:t>Zwiększenie aktywności fosfatazy alkalicznej we krwi</w:t>
            </w:r>
          </w:p>
        </w:tc>
      </w:tr>
      <w:tr w:rsidR="00D9791E" w:rsidRPr="007E4DA1" w14:paraId="54B99473" w14:textId="77777777" w:rsidTr="00EE3105">
        <w:trPr>
          <w:cantSplit/>
        </w:trPr>
        <w:tc>
          <w:tcPr>
            <w:tcW w:w="2751" w:type="dxa"/>
            <w:vMerge/>
            <w:shd w:val="clear" w:color="auto" w:fill="auto"/>
          </w:tcPr>
          <w:p w14:paraId="517833A4" w14:textId="77777777" w:rsidR="00D9791E" w:rsidRPr="007E4DA1" w:rsidRDefault="00D9791E" w:rsidP="001A6584">
            <w:pPr>
              <w:keepNext/>
              <w:autoSpaceDE w:val="0"/>
              <w:autoSpaceDN w:val="0"/>
              <w:adjustRightInd w:val="0"/>
              <w:rPr>
                <w:iCs/>
                <w:szCs w:val="24"/>
                <w:lang w:eastAsia="ja-JP"/>
              </w:rPr>
            </w:pPr>
          </w:p>
        </w:tc>
        <w:tc>
          <w:tcPr>
            <w:tcW w:w="1537" w:type="dxa"/>
            <w:shd w:val="clear" w:color="auto" w:fill="auto"/>
          </w:tcPr>
          <w:p w14:paraId="0B61F984" w14:textId="77777777" w:rsidR="00D9791E" w:rsidRPr="007E4DA1" w:rsidRDefault="00D9791E" w:rsidP="001A6584">
            <w:pPr>
              <w:keepLines/>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48ADF5C0" w14:textId="77777777" w:rsidR="00D9791E" w:rsidRPr="007E4DA1" w:rsidRDefault="00D9791E" w:rsidP="00C00A76">
            <w:pPr>
              <w:keepLines/>
              <w:autoSpaceDE w:val="0"/>
              <w:autoSpaceDN w:val="0"/>
              <w:adjustRightInd w:val="0"/>
              <w:ind w:left="0" w:firstLine="0"/>
              <w:rPr>
                <w:szCs w:val="24"/>
              </w:rPr>
            </w:pPr>
            <w:r w:rsidRPr="007E4DA1">
              <w:rPr>
                <w:szCs w:val="24"/>
              </w:rPr>
              <w:t xml:space="preserve">Zwiększenie stężenia albuminy we krwi, zwiększenie </w:t>
            </w:r>
            <w:r w:rsidR="00D40BCA" w:rsidRPr="007E4DA1">
              <w:rPr>
                <w:szCs w:val="24"/>
              </w:rPr>
              <w:t xml:space="preserve">stężenia </w:t>
            </w:r>
            <w:r w:rsidRPr="007E4DA1">
              <w:rPr>
                <w:szCs w:val="24"/>
              </w:rPr>
              <w:t>białka</w:t>
            </w:r>
            <w:r w:rsidR="00D40BCA" w:rsidRPr="007E4DA1">
              <w:rPr>
                <w:szCs w:val="24"/>
              </w:rPr>
              <w:t xml:space="preserve"> całkowitego</w:t>
            </w:r>
            <w:r w:rsidRPr="007E4DA1">
              <w:rPr>
                <w:szCs w:val="24"/>
              </w:rPr>
              <w:t>, zmniejszenie stężenia albuminy we krwi, zwiększenie pH moczu</w:t>
            </w:r>
          </w:p>
        </w:tc>
      </w:tr>
      <w:tr w:rsidR="00D9791E" w:rsidRPr="007E4DA1" w14:paraId="5017C111" w14:textId="77777777" w:rsidTr="00EE3105">
        <w:trPr>
          <w:cantSplit/>
        </w:trPr>
        <w:tc>
          <w:tcPr>
            <w:tcW w:w="2751" w:type="dxa"/>
            <w:shd w:val="clear" w:color="auto" w:fill="auto"/>
          </w:tcPr>
          <w:p w14:paraId="6E80E77A" w14:textId="77777777" w:rsidR="00D9791E" w:rsidRPr="007E4DA1" w:rsidRDefault="00D9791E" w:rsidP="001A6584">
            <w:pPr>
              <w:keepNext/>
              <w:keepLines/>
              <w:autoSpaceDE w:val="0"/>
              <w:autoSpaceDN w:val="0"/>
              <w:adjustRightInd w:val="0"/>
              <w:ind w:left="0" w:firstLine="0"/>
              <w:rPr>
                <w:szCs w:val="24"/>
              </w:rPr>
            </w:pPr>
            <w:r w:rsidRPr="007E4DA1">
              <w:rPr>
                <w:szCs w:val="24"/>
              </w:rPr>
              <w:t>Urazy, zatrucia i powikłania po zabiegach</w:t>
            </w:r>
          </w:p>
        </w:tc>
        <w:tc>
          <w:tcPr>
            <w:tcW w:w="1537" w:type="dxa"/>
            <w:shd w:val="clear" w:color="auto" w:fill="auto"/>
          </w:tcPr>
          <w:p w14:paraId="623D1C25" w14:textId="77777777" w:rsidR="00D9791E" w:rsidRPr="007E4DA1" w:rsidRDefault="00D9791E" w:rsidP="001A6584">
            <w:pPr>
              <w:keepNext/>
              <w:keepLines/>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5D6D95C6" w14:textId="77777777" w:rsidR="00D9791E" w:rsidRPr="007E4DA1" w:rsidRDefault="00D9791E" w:rsidP="001A6584">
            <w:pPr>
              <w:keepNext/>
              <w:keepLines/>
              <w:autoSpaceDE w:val="0"/>
              <w:autoSpaceDN w:val="0"/>
              <w:adjustRightInd w:val="0"/>
              <w:rPr>
                <w:szCs w:val="24"/>
              </w:rPr>
            </w:pPr>
            <w:r w:rsidRPr="007E4DA1">
              <w:rPr>
                <w:szCs w:val="24"/>
              </w:rPr>
              <w:t>Oparzenie słoneczne</w:t>
            </w:r>
          </w:p>
        </w:tc>
      </w:tr>
      <w:tr w:rsidR="00D45872" w:rsidRPr="007E4DA1" w14:paraId="1FCDE18C" w14:textId="77777777" w:rsidTr="00EE3105">
        <w:trPr>
          <w:cantSplit/>
        </w:trPr>
        <w:tc>
          <w:tcPr>
            <w:tcW w:w="9209" w:type="dxa"/>
            <w:gridSpan w:val="3"/>
            <w:shd w:val="clear" w:color="auto" w:fill="auto"/>
          </w:tcPr>
          <w:p w14:paraId="2D6818D3" w14:textId="77777777" w:rsidR="00D45872" w:rsidRPr="00DF2BFE" w:rsidRDefault="00D45872" w:rsidP="001A6584">
            <w:pPr>
              <w:keepNext/>
              <w:keepLines/>
              <w:rPr>
                <w:sz w:val="20"/>
                <w:szCs w:val="20"/>
              </w:rPr>
            </w:pPr>
            <w:r w:rsidRPr="00DF2BFE">
              <w:rPr>
                <w:sz w:val="20"/>
                <w:szCs w:val="20"/>
                <w:vertAlign w:val="superscript"/>
              </w:rPr>
              <w:t>♦</w:t>
            </w:r>
            <w:r w:rsidRPr="00DF2BFE">
              <w:rPr>
                <w:sz w:val="20"/>
                <w:szCs w:val="20"/>
                <w:vertAlign w:val="superscript"/>
              </w:rPr>
              <w:tab/>
            </w:r>
            <w:r w:rsidRPr="00DF2BFE">
              <w:rPr>
                <w:sz w:val="20"/>
                <w:szCs w:val="20"/>
              </w:rPr>
              <w:t>Dodatkowe działania niepożądane obserwowane w badaniach z udziałem dzieci i młodzieży (w wieku od 1 do 17 lat).</w:t>
            </w:r>
          </w:p>
          <w:p w14:paraId="0D8D22C8" w14:textId="77777777" w:rsidR="00D45872" w:rsidRPr="00DF2BFE" w:rsidRDefault="00D45872" w:rsidP="001A6584">
            <w:pPr>
              <w:keepLines/>
              <w:autoSpaceDE w:val="0"/>
              <w:autoSpaceDN w:val="0"/>
              <w:adjustRightInd w:val="0"/>
              <w:rPr>
                <w:rFonts w:eastAsia="MS Mincho"/>
                <w:color w:val="000000"/>
                <w:sz w:val="20"/>
                <w:szCs w:val="20"/>
                <w:lang w:eastAsia="ja-JP"/>
              </w:rPr>
            </w:pPr>
            <w:r w:rsidRPr="00DF2BFE">
              <w:rPr>
                <w:sz w:val="20"/>
                <w:szCs w:val="20"/>
                <w:vertAlign w:val="superscript"/>
                <w:lang w:eastAsia="ja-JP"/>
              </w:rPr>
              <w:t>†</w:t>
            </w:r>
            <w:r w:rsidRPr="00DF2BFE">
              <w:rPr>
                <w:rFonts w:eastAsia="MS Mincho"/>
                <w:color w:val="000000"/>
                <w:sz w:val="20"/>
                <w:szCs w:val="20"/>
                <w:lang w:eastAsia="ja-JP"/>
              </w:rPr>
              <w:tab/>
              <w:t>Zwiększenie aktywności aminotransferazy alaninowej i aminotransferazy asparaginianowej może występować jednocześnie, chociaż z mniejszą częstością.</w:t>
            </w:r>
          </w:p>
          <w:p w14:paraId="327DD129" w14:textId="7A7C1B1C" w:rsidR="00D45872" w:rsidRPr="00DF2BFE" w:rsidRDefault="00D45872" w:rsidP="001A6584">
            <w:pPr>
              <w:keepNext/>
              <w:keepLines/>
              <w:autoSpaceDE w:val="0"/>
              <w:autoSpaceDN w:val="0"/>
              <w:adjustRightInd w:val="0"/>
              <w:rPr>
                <w:sz w:val="20"/>
                <w:szCs w:val="20"/>
              </w:rPr>
            </w:pPr>
            <w:r w:rsidRPr="00DF2BFE">
              <w:rPr>
                <w:sz w:val="20"/>
                <w:szCs w:val="20"/>
                <w:vertAlign w:val="superscript"/>
                <w:lang w:eastAsia="ja-JP"/>
              </w:rPr>
              <w:t>‡</w:t>
            </w:r>
            <w:r w:rsidRPr="00DF2BFE">
              <w:rPr>
                <w:sz w:val="20"/>
                <w:szCs w:val="20"/>
                <w:lang w:eastAsia="ja-JP"/>
              </w:rPr>
              <w:tab/>
            </w:r>
            <w:r w:rsidRPr="00DF2BFE">
              <w:rPr>
                <w:sz w:val="20"/>
                <w:szCs w:val="20"/>
              </w:rPr>
              <w:t>Termin zbiorczy obejmujący preferowane terminy oznaczające ostre uszkodzenie nerek i niewydolność nerek</w:t>
            </w:r>
          </w:p>
        </w:tc>
      </w:tr>
    </w:tbl>
    <w:p w14:paraId="5164030C" w14:textId="77777777" w:rsidR="00551363" w:rsidRPr="007E4DA1" w:rsidRDefault="00551363" w:rsidP="001A6584">
      <w:pPr>
        <w:tabs>
          <w:tab w:val="left" w:pos="142"/>
        </w:tabs>
        <w:ind w:left="0" w:firstLine="0"/>
        <w:rPr>
          <w:color w:val="000000"/>
          <w:szCs w:val="22"/>
        </w:rPr>
      </w:pPr>
    </w:p>
    <w:p w14:paraId="4FAE3501" w14:textId="7102ED0D" w:rsidR="00041A08" w:rsidRPr="00041A08" w:rsidRDefault="00D45872">
      <w:pPr>
        <w:keepNext/>
        <w:tabs>
          <w:tab w:val="left" w:pos="142"/>
        </w:tabs>
        <w:autoSpaceDE w:val="0"/>
        <w:autoSpaceDN w:val="0"/>
        <w:adjustRightInd w:val="0"/>
        <w:ind w:left="1134" w:hanging="1134"/>
        <w:rPr>
          <w:rFonts w:eastAsia="MS Mincho"/>
          <w:szCs w:val="22"/>
        </w:rPr>
      </w:pPr>
      <w:bookmarkStart w:id="8" w:name="_Hlk192582191"/>
      <w:r>
        <w:rPr>
          <w:b/>
        </w:rPr>
        <w:t>Tabela 5</w:t>
      </w:r>
      <w:r>
        <w:rPr>
          <w:b/>
        </w:rPr>
        <w:tab/>
        <w:t>Działania niepożądane w p</w:t>
      </w:r>
      <w:r w:rsidR="00802FF6" w:rsidRPr="007E4DA1">
        <w:rPr>
          <w:b/>
        </w:rPr>
        <w:t>opulacj</w:t>
      </w:r>
      <w:r>
        <w:rPr>
          <w:b/>
        </w:rPr>
        <w:t>i</w:t>
      </w:r>
      <w:r w:rsidR="00802FF6" w:rsidRPr="007E4DA1">
        <w:rPr>
          <w:b/>
        </w:rPr>
        <w:t xml:space="preserve"> pacjentów uczestniczących w badaniach dotyczących zakażenia wirusem WZW C (leczenie w skojarzeniu z terapią przeciwwirusową zawierającą interferon i rybawirynę)</w:t>
      </w:r>
    </w:p>
    <w:bookmarkEnd w:id="8"/>
    <w:p w14:paraId="176ED7B3" w14:textId="2F89AC92" w:rsidR="00802FF6" w:rsidRPr="007E4DA1" w:rsidRDefault="00802FF6" w:rsidP="001A6584">
      <w:pPr>
        <w:keepNext/>
        <w:tabs>
          <w:tab w:val="left" w:pos="142"/>
        </w:tabs>
        <w:autoSpaceDE w:val="0"/>
        <w:autoSpaceDN w:val="0"/>
        <w:adjustRightInd w:val="0"/>
        <w:ind w:left="0" w:firstLine="0"/>
        <w:rPr>
          <w:rFonts w:eastAsia="MS Mincho"/>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gridCol w:w="4990"/>
      </w:tblGrid>
      <w:tr w:rsidR="004C2A28" w:rsidRPr="007E4DA1" w14:paraId="4102B9DE" w14:textId="77777777" w:rsidTr="00EE3105">
        <w:trPr>
          <w:cantSplit/>
        </w:trPr>
        <w:tc>
          <w:tcPr>
            <w:tcW w:w="2943" w:type="dxa"/>
            <w:shd w:val="clear" w:color="auto" w:fill="auto"/>
          </w:tcPr>
          <w:p w14:paraId="1255BE94" w14:textId="77777777" w:rsidR="004C2A28" w:rsidRPr="007E4DA1" w:rsidRDefault="004C2A28" w:rsidP="001A6584">
            <w:pPr>
              <w:keepNext/>
              <w:ind w:left="0" w:firstLine="0"/>
              <w:rPr>
                <w:b/>
                <w:color w:val="000000"/>
                <w:szCs w:val="22"/>
                <w:lang w:eastAsia="ja-JP"/>
              </w:rPr>
            </w:pPr>
            <w:r w:rsidRPr="007E4DA1">
              <w:rPr>
                <w:b/>
                <w:color w:val="000000"/>
                <w:szCs w:val="22"/>
                <w:lang w:eastAsia="ja-JP"/>
              </w:rPr>
              <w:t>Klasyfikacja układów i narządów</w:t>
            </w:r>
          </w:p>
        </w:tc>
        <w:tc>
          <w:tcPr>
            <w:tcW w:w="1276" w:type="dxa"/>
            <w:shd w:val="clear" w:color="auto" w:fill="auto"/>
          </w:tcPr>
          <w:p w14:paraId="7E7CF15A" w14:textId="77777777" w:rsidR="004C2A28" w:rsidRPr="007E4DA1" w:rsidRDefault="004C2A28" w:rsidP="001A6584">
            <w:pPr>
              <w:keepNext/>
              <w:keepLines/>
              <w:autoSpaceDE w:val="0"/>
              <w:autoSpaceDN w:val="0"/>
              <w:adjustRightInd w:val="0"/>
              <w:ind w:left="34" w:hanging="34"/>
              <w:rPr>
                <w:b/>
                <w:iCs/>
                <w:szCs w:val="22"/>
                <w:lang w:eastAsia="ja-JP"/>
              </w:rPr>
            </w:pPr>
            <w:r w:rsidRPr="007E4DA1">
              <w:rPr>
                <w:b/>
                <w:iCs/>
                <w:szCs w:val="22"/>
                <w:lang w:eastAsia="ja-JP"/>
              </w:rPr>
              <w:t>Częstość występowania</w:t>
            </w:r>
          </w:p>
        </w:tc>
        <w:tc>
          <w:tcPr>
            <w:tcW w:w="4990" w:type="dxa"/>
            <w:shd w:val="clear" w:color="auto" w:fill="auto"/>
          </w:tcPr>
          <w:p w14:paraId="1A4415BD" w14:textId="77777777" w:rsidR="004C2A28" w:rsidRPr="007E4DA1" w:rsidRDefault="004C2A28" w:rsidP="001A6584">
            <w:pPr>
              <w:keepNext/>
              <w:keepLines/>
              <w:autoSpaceDE w:val="0"/>
              <w:autoSpaceDN w:val="0"/>
              <w:adjustRightInd w:val="0"/>
              <w:rPr>
                <w:b/>
                <w:color w:val="000000"/>
                <w:szCs w:val="22"/>
                <w:lang w:eastAsia="ja-JP"/>
              </w:rPr>
            </w:pPr>
            <w:r w:rsidRPr="007E4DA1">
              <w:rPr>
                <w:b/>
                <w:color w:val="000000"/>
                <w:szCs w:val="22"/>
                <w:lang w:eastAsia="ja-JP"/>
              </w:rPr>
              <w:t>Działanie niepożądane</w:t>
            </w:r>
          </w:p>
        </w:tc>
      </w:tr>
      <w:tr w:rsidR="004C2A28" w:rsidRPr="007E4DA1" w14:paraId="7BB02985" w14:textId="77777777" w:rsidTr="00EE3105">
        <w:trPr>
          <w:cantSplit/>
        </w:trPr>
        <w:tc>
          <w:tcPr>
            <w:tcW w:w="2943" w:type="dxa"/>
            <w:vMerge w:val="restart"/>
            <w:shd w:val="clear" w:color="auto" w:fill="auto"/>
          </w:tcPr>
          <w:p w14:paraId="20A15B0F" w14:textId="77777777" w:rsidR="004C2A28" w:rsidRPr="007E4DA1" w:rsidRDefault="004C2A28" w:rsidP="001A6584">
            <w:pPr>
              <w:keepNext/>
              <w:keepLines/>
              <w:ind w:left="0" w:firstLine="0"/>
              <w:rPr>
                <w:color w:val="000000"/>
                <w:szCs w:val="22"/>
                <w:lang w:eastAsia="ja-JP"/>
              </w:rPr>
            </w:pPr>
            <w:r w:rsidRPr="007E4DA1">
              <w:rPr>
                <w:color w:val="000000"/>
                <w:szCs w:val="22"/>
                <w:lang w:eastAsia="ja-JP"/>
              </w:rPr>
              <w:t>Zakażenia i zarażenia pasożytnicze</w:t>
            </w:r>
          </w:p>
        </w:tc>
        <w:tc>
          <w:tcPr>
            <w:tcW w:w="1276" w:type="dxa"/>
            <w:shd w:val="clear" w:color="auto" w:fill="auto"/>
          </w:tcPr>
          <w:p w14:paraId="692F0705" w14:textId="77777777" w:rsidR="004C2A28" w:rsidRPr="007E4DA1" w:rsidRDefault="004C2A28" w:rsidP="001A6584">
            <w:pPr>
              <w:keepNext/>
              <w:keepLines/>
              <w:autoSpaceDE w:val="0"/>
              <w:autoSpaceDN w:val="0"/>
              <w:adjustRightInd w:val="0"/>
              <w:rPr>
                <w:iCs/>
                <w:szCs w:val="22"/>
                <w:lang w:eastAsia="ja-JP"/>
              </w:rPr>
            </w:pPr>
            <w:r w:rsidRPr="007E4DA1">
              <w:rPr>
                <w:iCs/>
                <w:szCs w:val="22"/>
                <w:lang w:eastAsia="ja-JP"/>
              </w:rPr>
              <w:t>Często</w:t>
            </w:r>
          </w:p>
        </w:tc>
        <w:tc>
          <w:tcPr>
            <w:tcW w:w="4990" w:type="dxa"/>
            <w:shd w:val="clear" w:color="auto" w:fill="auto"/>
          </w:tcPr>
          <w:p w14:paraId="4C2D29FA" w14:textId="77777777" w:rsidR="004C2A28" w:rsidRPr="007E4DA1" w:rsidRDefault="004C2A28" w:rsidP="00C00A76">
            <w:pPr>
              <w:keepLines/>
              <w:autoSpaceDE w:val="0"/>
              <w:autoSpaceDN w:val="0"/>
              <w:adjustRightInd w:val="0"/>
              <w:ind w:left="0" w:firstLine="0"/>
              <w:rPr>
                <w:szCs w:val="22"/>
                <w:lang w:eastAsia="ja-JP"/>
              </w:rPr>
            </w:pPr>
            <w:r w:rsidRPr="007E4DA1">
              <w:rPr>
                <w:szCs w:val="22"/>
                <w:lang w:eastAsia="ja-JP"/>
              </w:rPr>
              <w:t xml:space="preserve">Zakażenie układu moczowego, zakażenie górnych dróg oddechowych, zapalenie oskrzeli, zapalenie </w:t>
            </w:r>
            <w:r w:rsidR="00D40BCA" w:rsidRPr="007E4DA1">
              <w:rPr>
                <w:szCs w:val="22"/>
                <w:lang w:eastAsia="ja-JP"/>
              </w:rPr>
              <w:t>nosogardła</w:t>
            </w:r>
            <w:r w:rsidRPr="007E4DA1">
              <w:rPr>
                <w:szCs w:val="22"/>
                <w:lang w:eastAsia="ja-JP"/>
              </w:rPr>
              <w:t>, grypa, opryszczka wargowa</w:t>
            </w:r>
          </w:p>
        </w:tc>
      </w:tr>
      <w:tr w:rsidR="004C2A28" w:rsidRPr="007E4DA1" w14:paraId="309ED2E5" w14:textId="77777777" w:rsidTr="00EE3105">
        <w:trPr>
          <w:cantSplit/>
        </w:trPr>
        <w:tc>
          <w:tcPr>
            <w:tcW w:w="2943" w:type="dxa"/>
            <w:vMerge/>
            <w:shd w:val="clear" w:color="auto" w:fill="auto"/>
          </w:tcPr>
          <w:p w14:paraId="3035BB05" w14:textId="77777777" w:rsidR="004C2A28" w:rsidRPr="007E4DA1" w:rsidRDefault="004C2A28" w:rsidP="001A6584">
            <w:pPr>
              <w:keepNext/>
              <w:rPr>
                <w:color w:val="000000"/>
                <w:szCs w:val="22"/>
                <w:lang w:eastAsia="ja-JP"/>
              </w:rPr>
            </w:pPr>
          </w:p>
        </w:tc>
        <w:tc>
          <w:tcPr>
            <w:tcW w:w="1276" w:type="dxa"/>
            <w:shd w:val="clear" w:color="auto" w:fill="auto"/>
          </w:tcPr>
          <w:p w14:paraId="18547148" w14:textId="77777777" w:rsidR="004C2A28" w:rsidRPr="007E4DA1" w:rsidRDefault="004C2A28" w:rsidP="001A6584">
            <w:pPr>
              <w:keepNext/>
              <w:keepLines/>
              <w:autoSpaceDE w:val="0"/>
              <w:autoSpaceDN w:val="0"/>
              <w:adjustRightInd w:val="0"/>
              <w:ind w:left="0" w:firstLine="0"/>
              <w:rPr>
                <w:iCs/>
                <w:szCs w:val="22"/>
                <w:lang w:eastAsia="ja-JP"/>
              </w:rPr>
            </w:pPr>
            <w:r w:rsidRPr="007E4DA1">
              <w:rPr>
                <w:iCs/>
                <w:szCs w:val="22"/>
                <w:lang w:eastAsia="ja-JP"/>
              </w:rPr>
              <w:t>Niezbyt często</w:t>
            </w:r>
          </w:p>
        </w:tc>
        <w:tc>
          <w:tcPr>
            <w:tcW w:w="4990" w:type="dxa"/>
            <w:shd w:val="clear" w:color="auto" w:fill="auto"/>
          </w:tcPr>
          <w:p w14:paraId="7A8A8F0D" w14:textId="77777777" w:rsidR="004C2A28" w:rsidRPr="007E4DA1" w:rsidRDefault="004C2A28" w:rsidP="001A6584">
            <w:pPr>
              <w:keepNext/>
              <w:keepLines/>
              <w:autoSpaceDE w:val="0"/>
              <w:autoSpaceDN w:val="0"/>
              <w:adjustRightInd w:val="0"/>
              <w:rPr>
                <w:szCs w:val="22"/>
                <w:lang w:eastAsia="ja-JP"/>
              </w:rPr>
            </w:pPr>
            <w:r w:rsidRPr="007E4DA1">
              <w:rPr>
                <w:szCs w:val="22"/>
                <w:lang w:eastAsia="ja-JP"/>
              </w:rPr>
              <w:t>Zapalenie żołądka i jelit, zapalenie gardła</w:t>
            </w:r>
          </w:p>
        </w:tc>
      </w:tr>
      <w:tr w:rsidR="004C2A28" w:rsidRPr="007E4DA1" w14:paraId="1C6700AB" w14:textId="77777777" w:rsidTr="00EE3105">
        <w:trPr>
          <w:cantSplit/>
        </w:trPr>
        <w:tc>
          <w:tcPr>
            <w:tcW w:w="2943" w:type="dxa"/>
            <w:tcBorders>
              <w:bottom w:val="single" w:sz="4" w:space="0" w:color="auto"/>
            </w:tcBorders>
            <w:shd w:val="clear" w:color="auto" w:fill="auto"/>
          </w:tcPr>
          <w:p w14:paraId="580D67B1" w14:textId="77777777" w:rsidR="004C2A28" w:rsidRPr="007E4DA1" w:rsidRDefault="004C2A28" w:rsidP="001A6584">
            <w:pPr>
              <w:keepLines/>
              <w:ind w:left="0" w:firstLine="0"/>
              <w:rPr>
                <w:color w:val="000000"/>
                <w:szCs w:val="22"/>
                <w:lang w:eastAsia="ja-JP"/>
              </w:rPr>
            </w:pPr>
            <w:r w:rsidRPr="007E4DA1">
              <w:rPr>
                <w:color w:val="000000"/>
                <w:szCs w:val="22"/>
                <w:lang w:eastAsia="ja-JP"/>
              </w:rPr>
              <w:t>Nowotwory łagodne, złośliwe i nieokreślone (w tym torbiele i polipy)</w:t>
            </w:r>
          </w:p>
        </w:tc>
        <w:tc>
          <w:tcPr>
            <w:tcW w:w="1276" w:type="dxa"/>
            <w:shd w:val="clear" w:color="auto" w:fill="auto"/>
          </w:tcPr>
          <w:p w14:paraId="154FDC9A" w14:textId="77777777" w:rsidR="004C2A28" w:rsidRPr="007E4DA1" w:rsidRDefault="004C2A28" w:rsidP="001A6584">
            <w:pPr>
              <w:keepLines/>
              <w:autoSpaceDE w:val="0"/>
              <w:autoSpaceDN w:val="0"/>
              <w:adjustRightInd w:val="0"/>
              <w:rPr>
                <w:iCs/>
                <w:szCs w:val="22"/>
                <w:lang w:eastAsia="ja-JP"/>
              </w:rPr>
            </w:pPr>
            <w:r w:rsidRPr="007E4DA1">
              <w:rPr>
                <w:iCs/>
                <w:szCs w:val="22"/>
                <w:lang w:eastAsia="ja-JP"/>
              </w:rPr>
              <w:t>Często</w:t>
            </w:r>
          </w:p>
        </w:tc>
        <w:tc>
          <w:tcPr>
            <w:tcW w:w="4990" w:type="dxa"/>
            <w:shd w:val="clear" w:color="auto" w:fill="auto"/>
          </w:tcPr>
          <w:p w14:paraId="33CEB79E" w14:textId="77777777" w:rsidR="004C2A28" w:rsidRPr="007E4DA1" w:rsidRDefault="004C2A28" w:rsidP="001A6584">
            <w:pPr>
              <w:keepLines/>
              <w:autoSpaceDE w:val="0"/>
              <w:autoSpaceDN w:val="0"/>
              <w:adjustRightInd w:val="0"/>
              <w:rPr>
                <w:color w:val="000000"/>
                <w:szCs w:val="22"/>
                <w:lang w:eastAsia="ja-JP"/>
              </w:rPr>
            </w:pPr>
            <w:r w:rsidRPr="007E4DA1">
              <w:rPr>
                <w:color w:val="000000"/>
                <w:szCs w:val="22"/>
                <w:lang w:eastAsia="ja-JP"/>
              </w:rPr>
              <w:t>Nowotwór złośliwy wątroby</w:t>
            </w:r>
          </w:p>
        </w:tc>
      </w:tr>
      <w:tr w:rsidR="004C2A28" w:rsidRPr="007E4DA1" w14:paraId="554202C0" w14:textId="77777777" w:rsidTr="00EE3105">
        <w:trPr>
          <w:cantSplit/>
        </w:trPr>
        <w:tc>
          <w:tcPr>
            <w:tcW w:w="2943" w:type="dxa"/>
            <w:vMerge w:val="restart"/>
            <w:shd w:val="clear" w:color="auto" w:fill="auto"/>
          </w:tcPr>
          <w:p w14:paraId="3691528C" w14:textId="77777777" w:rsidR="004C2A28" w:rsidRPr="007E4DA1" w:rsidRDefault="004C2A28" w:rsidP="001A6584">
            <w:pPr>
              <w:keepNext/>
              <w:keepLines/>
              <w:autoSpaceDE w:val="0"/>
              <w:autoSpaceDN w:val="0"/>
              <w:adjustRightInd w:val="0"/>
              <w:ind w:left="0" w:firstLine="0"/>
              <w:rPr>
                <w:szCs w:val="22"/>
                <w:lang w:eastAsia="ja-JP"/>
              </w:rPr>
            </w:pPr>
            <w:r w:rsidRPr="007E4DA1">
              <w:rPr>
                <w:szCs w:val="22"/>
                <w:lang w:eastAsia="ja-JP"/>
              </w:rPr>
              <w:t>Zaburzenia krwi i układu chłonnego</w:t>
            </w:r>
          </w:p>
        </w:tc>
        <w:tc>
          <w:tcPr>
            <w:tcW w:w="1276" w:type="dxa"/>
            <w:shd w:val="clear" w:color="auto" w:fill="auto"/>
          </w:tcPr>
          <w:p w14:paraId="0018A812" w14:textId="77777777" w:rsidR="004C2A28" w:rsidRPr="007E4DA1" w:rsidRDefault="004C2A28" w:rsidP="001A6584">
            <w:pPr>
              <w:keepNext/>
              <w:keepLines/>
              <w:autoSpaceDE w:val="0"/>
              <w:autoSpaceDN w:val="0"/>
              <w:adjustRightInd w:val="0"/>
              <w:ind w:left="34" w:hanging="34"/>
              <w:rPr>
                <w:iCs/>
                <w:szCs w:val="22"/>
                <w:lang w:eastAsia="ja-JP"/>
              </w:rPr>
            </w:pPr>
            <w:r w:rsidRPr="007E4DA1">
              <w:rPr>
                <w:iCs/>
                <w:szCs w:val="22"/>
                <w:lang w:eastAsia="ja-JP"/>
              </w:rPr>
              <w:t>Bardzo często</w:t>
            </w:r>
          </w:p>
        </w:tc>
        <w:tc>
          <w:tcPr>
            <w:tcW w:w="4990" w:type="dxa"/>
            <w:shd w:val="clear" w:color="auto" w:fill="auto"/>
          </w:tcPr>
          <w:p w14:paraId="4CF45A88" w14:textId="77777777" w:rsidR="004C2A28" w:rsidRPr="007E4DA1" w:rsidRDefault="004C2A28" w:rsidP="001A6584">
            <w:pPr>
              <w:keepNext/>
              <w:keepLines/>
              <w:autoSpaceDE w:val="0"/>
              <w:autoSpaceDN w:val="0"/>
              <w:adjustRightInd w:val="0"/>
              <w:rPr>
                <w:color w:val="000000"/>
                <w:szCs w:val="22"/>
                <w:lang w:eastAsia="ja-JP"/>
              </w:rPr>
            </w:pPr>
            <w:r w:rsidRPr="007E4DA1">
              <w:rPr>
                <w:szCs w:val="22"/>
                <w:lang w:eastAsia="ja-JP"/>
              </w:rPr>
              <w:t>Niedokrwistość</w:t>
            </w:r>
          </w:p>
        </w:tc>
      </w:tr>
      <w:tr w:rsidR="004C2A28" w:rsidRPr="007E4DA1" w14:paraId="378DCFF0" w14:textId="77777777" w:rsidTr="00EE3105">
        <w:trPr>
          <w:cantSplit/>
        </w:trPr>
        <w:tc>
          <w:tcPr>
            <w:tcW w:w="2943" w:type="dxa"/>
            <w:vMerge/>
            <w:shd w:val="clear" w:color="auto" w:fill="auto"/>
          </w:tcPr>
          <w:p w14:paraId="60706414" w14:textId="77777777" w:rsidR="004C2A28" w:rsidRPr="007E4DA1" w:rsidRDefault="004C2A28" w:rsidP="001A6584">
            <w:pPr>
              <w:keepNext/>
              <w:rPr>
                <w:color w:val="000000"/>
                <w:szCs w:val="22"/>
                <w:lang w:eastAsia="ja-JP"/>
              </w:rPr>
            </w:pPr>
          </w:p>
        </w:tc>
        <w:tc>
          <w:tcPr>
            <w:tcW w:w="1276" w:type="dxa"/>
            <w:shd w:val="clear" w:color="auto" w:fill="auto"/>
          </w:tcPr>
          <w:p w14:paraId="52BC356C" w14:textId="77777777" w:rsidR="004C2A28" w:rsidRPr="007E4DA1" w:rsidRDefault="004C2A28" w:rsidP="001A6584">
            <w:pPr>
              <w:keepLines/>
              <w:autoSpaceDE w:val="0"/>
              <w:autoSpaceDN w:val="0"/>
              <w:adjustRightInd w:val="0"/>
              <w:rPr>
                <w:iCs/>
                <w:szCs w:val="22"/>
                <w:lang w:eastAsia="ja-JP"/>
              </w:rPr>
            </w:pPr>
            <w:r w:rsidRPr="007E4DA1">
              <w:rPr>
                <w:iCs/>
                <w:szCs w:val="22"/>
                <w:lang w:eastAsia="ja-JP"/>
              </w:rPr>
              <w:t>Często</w:t>
            </w:r>
          </w:p>
        </w:tc>
        <w:tc>
          <w:tcPr>
            <w:tcW w:w="4990" w:type="dxa"/>
            <w:shd w:val="clear" w:color="auto" w:fill="auto"/>
          </w:tcPr>
          <w:p w14:paraId="195A4821" w14:textId="77777777" w:rsidR="004C2A28" w:rsidRPr="007E4DA1" w:rsidRDefault="004C2A28" w:rsidP="001A6584">
            <w:pPr>
              <w:autoSpaceDE w:val="0"/>
              <w:autoSpaceDN w:val="0"/>
              <w:adjustRightInd w:val="0"/>
              <w:ind w:left="0" w:firstLine="0"/>
              <w:rPr>
                <w:szCs w:val="22"/>
                <w:lang w:eastAsia="ja-JP"/>
              </w:rPr>
            </w:pPr>
            <w:r w:rsidRPr="007E4DA1">
              <w:rPr>
                <w:szCs w:val="22"/>
                <w:lang w:eastAsia="ja-JP"/>
              </w:rPr>
              <w:t>Limfopenia</w:t>
            </w:r>
          </w:p>
        </w:tc>
      </w:tr>
      <w:tr w:rsidR="004C2A28" w:rsidRPr="007E4DA1" w14:paraId="75DFB119" w14:textId="77777777" w:rsidTr="00EE3105">
        <w:trPr>
          <w:cantSplit/>
        </w:trPr>
        <w:tc>
          <w:tcPr>
            <w:tcW w:w="2943" w:type="dxa"/>
            <w:vMerge/>
            <w:tcBorders>
              <w:bottom w:val="single" w:sz="4" w:space="0" w:color="auto"/>
            </w:tcBorders>
            <w:shd w:val="clear" w:color="auto" w:fill="auto"/>
          </w:tcPr>
          <w:p w14:paraId="566EFBA2" w14:textId="77777777" w:rsidR="004C2A28" w:rsidRPr="007E4DA1" w:rsidRDefault="004C2A28" w:rsidP="001A6584">
            <w:pPr>
              <w:keepNext/>
              <w:rPr>
                <w:color w:val="000000"/>
                <w:szCs w:val="22"/>
                <w:lang w:eastAsia="ja-JP"/>
              </w:rPr>
            </w:pPr>
          </w:p>
        </w:tc>
        <w:tc>
          <w:tcPr>
            <w:tcW w:w="1276" w:type="dxa"/>
            <w:shd w:val="clear" w:color="auto" w:fill="auto"/>
          </w:tcPr>
          <w:p w14:paraId="7AB860B2" w14:textId="77777777" w:rsidR="004C2A28" w:rsidRPr="007E4DA1" w:rsidRDefault="004C2A28" w:rsidP="001A6584">
            <w:pPr>
              <w:keepLines/>
              <w:autoSpaceDE w:val="0"/>
              <w:autoSpaceDN w:val="0"/>
              <w:adjustRightInd w:val="0"/>
              <w:ind w:left="0" w:firstLine="0"/>
              <w:rPr>
                <w:iCs/>
                <w:szCs w:val="22"/>
                <w:lang w:eastAsia="ja-JP"/>
              </w:rPr>
            </w:pPr>
            <w:r w:rsidRPr="007E4DA1">
              <w:rPr>
                <w:iCs/>
                <w:szCs w:val="22"/>
                <w:lang w:eastAsia="ja-JP"/>
              </w:rPr>
              <w:t>Niezbyt często</w:t>
            </w:r>
          </w:p>
        </w:tc>
        <w:tc>
          <w:tcPr>
            <w:tcW w:w="4990" w:type="dxa"/>
            <w:shd w:val="clear" w:color="auto" w:fill="auto"/>
          </w:tcPr>
          <w:p w14:paraId="0E628D9E" w14:textId="77777777" w:rsidR="004C2A28" w:rsidRPr="007E4DA1" w:rsidRDefault="004C2A28" w:rsidP="001A6584">
            <w:pPr>
              <w:autoSpaceDE w:val="0"/>
              <w:autoSpaceDN w:val="0"/>
              <w:adjustRightInd w:val="0"/>
              <w:ind w:left="0" w:firstLine="0"/>
              <w:rPr>
                <w:szCs w:val="22"/>
                <w:lang w:eastAsia="ja-JP"/>
              </w:rPr>
            </w:pPr>
            <w:r w:rsidRPr="007E4DA1">
              <w:rPr>
                <w:szCs w:val="22"/>
                <w:lang w:eastAsia="ja-JP"/>
              </w:rPr>
              <w:t>Niedokrwistość hemolityczna</w:t>
            </w:r>
          </w:p>
        </w:tc>
      </w:tr>
      <w:tr w:rsidR="004C2A28" w:rsidRPr="007E4DA1" w14:paraId="058EDAF7" w14:textId="77777777" w:rsidTr="00EE3105">
        <w:trPr>
          <w:cantSplit/>
        </w:trPr>
        <w:tc>
          <w:tcPr>
            <w:tcW w:w="2943" w:type="dxa"/>
            <w:vMerge w:val="restart"/>
            <w:shd w:val="clear" w:color="auto" w:fill="auto"/>
          </w:tcPr>
          <w:p w14:paraId="219A0FF5" w14:textId="77777777" w:rsidR="004C2A28" w:rsidRPr="007E4DA1" w:rsidRDefault="004C2A28" w:rsidP="001A6584">
            <w:pPr>
              <w:keepNext/>
              <w:keepLines/>
              <w:autoSpaceDE w:val="0"/>
              <w:autoSpaceDN w:val="0"/>
              <w:adjustRightInd w:val="0"/>
              <w:ind w:left="0" w:firstLine="0"/>
              <w:rPr>
                <w:iCs/>
                <w:szCs w:val="22"/>
                <w:lang w:eastAsia="ja-JP"/>
              </w:rPr>
            </w:pPr>
            <w:r w:rsidRPr="007E4DA1">
              <w:rPr>
                <w:iCs/>
                <w:szCs w:val="22"/>
                <w:lang w:eastAsia="ja-JP"/>
              </w:rPr>
              <w:t>Zaburzenia metabolizmu i odżywiania</w:t>
            </w:r>
          </w:p>
        </w:tc>
        <w:tc>
          <w:tcPr>
            <w:tcW w:w="1276" w:type="dxa"/>
            <w:shd w:val="clear" w:color="auto" w:fill="auto"/>
          </w:tcPr>
          <w:p w14:paraId="2E62F7DB" w14:textId="77777777" w:rsidR="004C2A28" w:rsidRPr="007E4DA1" w:rsidRDefault="004C2A28" w:rsidP="001A6584">
            <w:pPr>
              <w:keepNext/>
              <w:keepLines/>
              <w:autoSpaceDE w:val="0"/>
              <w:autoSpaceDN w:val="0"/>
              <w:adjustRightInd w:val="0"/>
              <w:ind w:left="34" w:hanging="34"/>
              <w:rPr>
                <w:iCs/>
                <w:szCs w:val="22"/>
                <w:lang w:eastAsia="ja-JP"/>
              </w:rPr>
            </w:pPr>
            <w:r w:rsidRPr="007E4DA1">
              <w:rPr>
                <w:iCs/>
                <w:szCs w:val="22"/>
                <w:lang w:eastAsia="ja-JP"/>
              </w:rPr>
              <w:t>Bardzo często</w:t>
            </w:r>
          </w:p>
        </w:tc>
        <w:tc>
          <w:tcPr>
            <w:tcW w:w="4990" w:type="dxa"/>
            <w:shd w:val="clear" w:color="auto" w:fill="auto"/>
          </w:tcPr>
          <w:p w14:paraId="25CB5BD6" w14:textId="77777777" w:rsidR="004C2A28" w:rsidRPr="007E4DA1" w:rsidRDefault="004C2A28" w:rsidP="001A6584">
            <w:pPr>
              <w:keepNext/>
              <w:keepLines/>
              <w:autoSpaceDE w:val="0"/>
              <w:autoSpaceDN w:val="0"/>
              <w:adjustRightInd w:val="0"/>
              <w:rPr>
                <w:color w:val="000000"/>
                <w:szCs w:val="22"/>
                <w:lang w:eastAsia="ja-JP"/>
              </w:rPr>
            </w:pPr>
            <w:r w:rsidRPr="007E4DA1">
              <w:rPr>
                <w:color w:val="000000"/>
                <w:szCs w:val="22"/>
                <w:lang w:eastAsia="ja-JP"/>
              </w:rPr>
              <w:t>Zmniejszenie łaknienia</w:t>
            </w:r>
          </w:p>
        </w:tc>
      </w:tr>
      <w:tr w:rsidR="004C2A28" w:rsidRPr="007E4DA1" w14:paraId="58DDCFA0" w14:textId="77777777" w:rsidTr="00EE3105">
        <w:trPr>
          <w:cantSplit/>
        </w:trPr>
        <w:tc>
          <w:tcPr>
            <w:tcW w:w="2943" w:type="dxa"/>
            <w:vMerge/>
            <w:tcBorders>
              <w:bottom w:val="single" w:sz="4" w:space="0" w:color="auto"/>
            </w:tcBorders>
            <w:shd w:val="clear" w:color="auto" w:fill="auto"/>
          </w:tcPr>
          <w:p w14:paraId="5472EE60" w14:textId="77777777" w:rsidR="004C2A28" w:rsidRPr="007E4DA1" w:rsidRDefault="004C2A28" w:rsidP="001A6584">
            <w:pPr>
              <w:keepNext/>
              <w:rPr>
                <w:color w:val="000000"/>
                <w:szCs w:val="22"/>
                <w:lang w:eastAsia="ja-JP"/>
              </w:rPr>
            </w:pPr>
          </w:p>
        </w:tc>
        <w:tc>
          <w:tcPr>
            <w:tcW w:w="1276" w:type="dxa"/>
            <w:shd w:val="clear" w:color="auto" w:fill="auto"/>
          </w:tcPr>
          <w:p w14:paraId="582FBF00" w14:textId="77777777" w:rsidR="004C2A28" w:rsidRPr="007E4DA1" w:rsidRDefault="004C2A28" w:rsidP="001A6584">
            <w:pPr>
              <w:keepLines/>
              <w:autoSpaceDE w:val="0"/>
              <w:autoSpaceDN w:val="0"/>
              <w:adjustRightInd w:val="0"/>
              <w:rPr>
                <w:iCs/>
                <w:szCs w:val="22"/>
                <w:lang w:eastAsia="ja-JP"/>
              </w:rPr>
            </w:pPr>
            <w:r w:rsidRPr="007E4DA1">
              <w:rPr>
                <w:iCs/>
                <w:szCs w:val="22"/>
                <w:lang w:eastAsia="ja-JP"/>
              </w:rPr>
              <w:t>Często</w:t>
            </w:r>
          </w:p>
        </w:tc>
        <w:tc>
          <w:tcPr>
            <w:tcW w:w="4990" w:type="dxa"/>
            <w:shd w:val="clear" w:color="auto" w:fill="auto"/>
          </w:tcPr>
          <w:p w14:paraId="3ABF52F2" w14:textId="77777777" w:rsidR="004C2A28" w:rsidRPr="007E4DA1" w:rsidRDefault="004C2A28" w:rsidP="001A6584">
            <w:pPr>
              <w:keepLines/>
              <w:autoSpaceDE w:val="0"/>
              <w:autoSpaceDN w:val="0"/>
              <w:adjustRightInd w:val="0"/>
              <w:ind w:left="0" w:firstLine="0"/>
              <w:rPr>
                <w:color w:val="000000"/>
                <w:szCs w:val="22"/>
                <w:lang w:eastAsia="ja-JP"/>
              </w:rPr>
            </w:pPr>
            <w:r w:rsidRPr="007E4DA1">
              <w:rPr>
                <w:color w:val="000000"/>
                <w:szCs w:val="22"/>
                <w:lang w:eastAsia="ja-JP"/>
              </w:rPr>
              <w:t xml:space="preserve">Hiperglikemia, </w:t>
            </w:r>
            <w:r w:rsidR="00D40BCA" w:rsidRPr="007E4DA1">
              <w:rPr>
                <w:color w:val="000000"/>
                <w:szCs w:val="22"/>
                <w:lang w:eastAsia="ja-JP"/>
              </w:rPr>
              <w:t>nieprawidłowa</w:t>
            </w:r>
            <w:r w:rsidRPr="007E4DA1">
              <w:rPr>
                <w:color w:val="000000"/>
                <w:szCs w:val="22"/>
                <w:lang w:eastAsia="ja-JP"/>
              </w:rPr>
              <w:t xml:space="preserve"> utrata masy ciała</w:t>
            </w:r>
          </w:p>
        </w:tc>
      </w:tr>
      <w:tr w:rsidR="004C2A28" w:rsidRPr="007E4DA1" w14:paraId="100E4573" w14:textId="77777777" w:rsidTr="00EE3105">
        <w:trPr>
          <w:cantSplit/>
        </w:trPr>
        <w:tc>
          <w:tcPr>
            <w:tcW w:w="2943" w:type="dxa"/>
            <w:vMerge w:val="restart"/>
            <w:tcBorders>
              <w:top w:val="single" w:sz="4" w:space="0" w:color="auto"/>
            </w:tcBorders>
            <w:shd w:val="clear" w:color="auto" w:fill="auto"/>
          </w:tcPr>
          <w:p w14:paraId="5073126D" w14:textId="77777777" w:rsidR="004C2A28" w:rsidRPr="007E4DA1" w:rsidRDefault="004C2A28" w:rsidP="001A6584">
            <w:pPr>
              <w:keepLines/>
              <w:rPr>
                <w:color w:val="000000"/>
                <w:szCs w:val="22"/>
                <w:lang w:eastAsia="ja-JP"/>
              </w:rPr>
            </w:pPr>
            <w:r w:rsidRPr="007E4DA1">
              <w:rPr>
                <w:color w:val="000000"/>
                <w:szCs w:val="22"/>
                <w:lang w:eastAsia="ja-JP"/>
              </w:rPr>
              <w:t>Zaburzenia psychiczne</w:t>
            </w:r>
          </w:p>
        </w:tc>
        <w:tc>
          <w:tcPr>
            <w:tcW w:w="1276" w:type="dxa"/>
            <w:shd w:val="clear" w:color="auto" w:fill="auto"/>
          </w:tcPr>
          <w:p w14:paraId="6996CF9D" w14:textId="77777777" w:rsidR="004C2A28" w:rsidRPr="007E4DA1" w:rsidRDefault="004C2A28" w:rsidP="001A6584">
            <w:pPr>
              <w:keepLines/>
              <w:autoSpaceDE w:val="0"/>
              <w:autoSpaceDN w:val="0"/>
              <w:adjustRightInd w:val="0"/>
              <w:rPr>
                <w:iCs/>
                <w:szCs w:val="22"/>
                <w:lang w:eastAsia="ja-JP"/>
              </w:rPr>
            </w:pPr>
            <w:r w:rsidRPr="007E4DA1">
              <w:rPr>
                <w:iCs/>
                <w:szCs w:val="22"/>
                <w:lang w:eastAsia="ja-JP"/>
              </w:rPr>
              <w:t>Często</w:t>
            </w:r>
          </w:p>
        </w:tc>
        <w:tc>
          <w:tcPr>
            <w:tcW w:w="4990" w:type="dxa"/>
            <w:shd w:val="clear" w:color="auto" w:fill="auto"/>
          </w:tcPr>
          <w:p w14:paraId="59A7A914" w14:textId="77777777" w:rsidR="004C2A28" w:rsidRPr="007E4DA1" w:rsidRDefault="004C2A28" w:rsidP="001A6584">
            <w:pPr>
              <w:keepLines/>
              <w:autoSpaceDE w:val="0"/>
              <w:autoSpaceDN w:val="0"/>
              <w:adjustRightInd w:val="0"/>
              <w:rPr>
                <w:szCs w:val="22"/>
                <w:lang w:eastAsia="ja-JP"/>
              </w:rPr>
            </w:pPr>
            <w:r w:rsidRPr="007E4DA1">
              <w:rPr>
                <w:szCs w:val="22"/>
                <w:lang w:eastAsia="ja-JP"/>
              </w:rPr>
              <w:t>Depresja, niepokój, zaburzenia snu</w:t>
            </w:r>
          </w:p>
        </w:tc>
      </w:tr>
      <w:tr w:rsidR="004C2A28" w:rsidRPr="007E4DA1" w14:paraId="596451E7" w14:textId="77777777" w:rsidTr="00EE3105">
        <w:trPr>
          <w:cantSplit/>
        </w:trPr>
        <w:tc>
          <w:tcPr>
            <w:tcW w:w="2943" w:type="dxa"/>
            <w:vMerge/>
            <w:tcBorders>
              <w:bottom w:val="single" w:sz="4" w:space="0" w:color="auto"/>
            </w:tcBorders>
            <w:shd w:val="clear" w:color="auto" w:fill="auto"/>
          </w:tcPr>
          <w:p w14:paraId="0E8B16CF" w14:textId="77777777" w:rsidR="004C2A28" w:rsidRPr="007E4DA1" w:rsidRDefault="004C2A28" w:rsidP="001A6584">
            <w:pPr>
              <w:keepLines/>
              <w:rPr>
                <w:color w:val="000000"/>
                <w:szCs w:val="22"/>
                <w:lang w:eastAsia="ja-JP"/>
              </w:rPr>
            </w:pPr>
          </w:p>
        </w:tc>
        <w:tc>
          <w:tcPr>
            <w:tcW w:w="1276" w:type="dxa"/>
            <w:shd w:val="clear" w:color="auto" w:fill="auto"/>
          </w:tcPr>
          <w:p w14:paraId="08F6C85D" w14:textId="77777777" w:rsidR="004C2A28" w:rsidRPr="007E4DA1" w:rsidRDefault="004C2A28" w:rsidP="001A6584">
            <w:pPr>
              <w:keepLines/>
              <w:autoSpaceDE w:val="0"/>
              <w:autoSpaceDN w:val="0"/>
              <w:adjustRightInd w:val="0"/>
              <w:ind w:left="0" w:firstLine="0"/>
              <w:rPr>
                <w:iCs/>
                <w:szCs w:val="22"/>
                <w:lang w:eastAsia="ja-JP"/>
              </w:rPr>
            </w:pPr>
            <w:r w:rsidRPr="007E4DA1">
              <w:rPr>
                <w:iCs/>
                <w:szCs w:val="22"/>
                <w:lang w:eastAsia="ja-JP"/>
              </w:rPr>
              <w:t>Niezbyt często</w:t>
            </w:r>
          </w:p>
        </w:tc>
        <w:tc>
          <w:tcPr>
            <w:tcW w:w="4990" w:type="dxa"/>
            <w:shd w:val="clear" w:color="auto" w:fill="auto"/>
          </w:tcPr>
          <w:p w14:paraId="7E713DFF" w14:textId="77777777" w:rsidR="004C2A28" w:rsidRPr="007E4DA1" w:rsidRDefault="004C2A28" w:rsidP="001A6584">
            <w:pPr>
              <w:keepLines/>
              <w:autoSpaceDE w:val="0"/>
              <w:autoSpaceDN w:val="0"/>
              <w:adjustRightInd w:val="0"/>
              <w:rPr>
                <w:szCs w:val="22"/>
                <w:lang w:eastAsia="ja-JP"/>
              </w:rPr>
            </w:pPr>
            <w:r w:rsidRPr="007E4DA1">
              <w:rPr>
                <w:szCs w:val="22"/>
                <w:lang w:eastAsia="ja-JP"/>
              </w:rPr>
              <w:t>Stan splątania, pobudzenie</w:t>
            </w:r>
          </w:p>
        </w:tc>
      </w:tr>
      <w:tr w:rsidR="004C2A28" w:rsidRPr="007E4DA1" w14:paraId="3EA5E3CC" w14:textId="77777777" w:rsidTr="00EE3105">
        <w:trPr>
          <w:cantSplit/>
        </w:trPr>
        <w:tc>
          <w:tcPr>
            <w:tcW w:w="2943" w:type="dxa"/>
            <w:vMerge w:val="restart"/>
            <w:shd w:val="clear" w:color="auto" w:fill="auto"/>
          </w:tcPr>
          <w:p w14:paraId="78A6E4E7" w14:textId="77777777" w:rsidR="004C2A28" w:rsidRPr="007E4DA1" w:rsidRDefault="004C2A28" w:rsidP="001A6584">
            <w:pPr>
              <w:keepNext/>
              <w:keepLines/>
              <w:autoSpaceDE w:val="0"/>
              <w:autoSpaceDN w:val="0"/>
              <w:adjustRightInd w:val="0"/>
              <w:rPr>
                <w:iCs/>
                <w:color w:val="000000"/>
                <w:szCs w:val="22"/>
                <w:lang w:eastAsia="ja-JP"/>
              </w:rPr>
            </w:pPr>
            <w:r w:rsidRPr="007E4DA1">
              <w:rPr>
                <w:iCs/>
                <w:color w:val="000000"/>
                <w:szCs w:val="22"/>
                <w:lang w:eastAsia="ja-JP"/>
              </w:rPr>
              <w:t>Zaburzenia układu nerwowego</w:t>
            </w:r>
          </w:p>
        </w:tc>
        <w:tc>
          <w:tcPr>
            <w:tcW w:w="1276" w:type="dxa"/>
            <w:shd w:val="clear" w:color="auto" w:fill="auto"/>
          </w:tcPr>
          <w:p w14:paraId="35A877E4" w14:textId="77777777" w:rsidR="004C2A28" w:rsidRPr="007E4DA1" w:rsidRDefault="004C2A28" w:rsidP="001A6584">
            <w:pPr>
              <w:keepNext/>
              <w:keepLines/>
              <w:autoSpaceDE w:val="0"/>
              <w:autoSpaceDN w:val="0"/>
              <w:adjustRightInd w:val="0"/>
              <w:ind w:left="0" w:firstLine="0"/>
              <w:rPr>
                <w:iCs/>
                <w:szCs w:val="22"/>
                <w:lang w:eastAsia="ja-JP"/>
              </w:rPr>
            </w:pPr>
            <w:r w:rsidRPr="007E4DA1">
              <w:rPr>
                <w:iCs/>
                <w:szCs w:val="22"/>
                <w:lang w:eastAsia="ja-JP"/>
              </w:rPr>
              <w:t>Bardzo często</w:t>
            </w:r>
          </w:p>
        </w:tc>
        <w:tc>
          <w:tcPr>
            <w:tcW w:w="4990" w:type="dxa"/>
            <w:shd w:val="clear" w:color="auto" w:fill="auto"/>
          </w:tcPr>
          <w:p w14:paraId="1B0C36FA" w14:textId="77777777" w:rsidR="004C2A28" w:rsidRPr="007E4DA1" w:rsidRDefault="004C2A28" w:rsidP="001A6584">
            <w:pPr>
              <w:keepNext/>
              <w:keepLines/>
              <w:autoSpaceDE w:val="0"/>
              <w:autoSpaceDN w:val="0"/>
              <w:adjustRightInd w:val="0"/>
              <w:rPr>
                <w:szCs w:val="22"/>
                <w:lang w:eastAsia="ja-JP"/>
              </w:rPr>
            </w:pPr>
            <w:r w:rsidRPr="007E4DA1">
              <w:rPr>
                <w:szCs w:val="22"/>
                <w:lang w:eastAsia="ja-JP"/>
              </w:rPr>
              <w:t>Ból głowy</w:t>
            </w:r>
          </w:p>
        </w:tc>
      </w:tr>
      <w:tr w:rsidR="004C2A28" w:rsidRPr="007E4DA1" w14:paraId="4958293E" w14:textId="77777777" w:rsidTr="00EE3105">
        <w:trPr>
          <w:cantSplit/>
        </w:trPr>
        <w:tc>
          <w:tcPr>
            <w:tcW w:w="2943" w:type="dxa"/>
            <w:vMerge/>
            <w:shd w:val="clear" w:color="auto" w:fill="auto"/>
          </w:tcPr>
          <w:p w14:paraId="7D20CDD1" w14:textId="77777777" w:rsidR="004C2A28" w:rsidRPr="007E4DA1" w:rsidRDefault="004C2A28" w:rsidP="001A6584">
            <w:pPr>
              <w:keepNext/>
              <w:rPr>
                <w:color w:val="000000"/>
                <w:szCs w:val="22"/>
                <w:lang w:eastAsia="ja-JP"/>
              </w:rPr>
            </w:pPr>
          </w:p>
        </w:tc>
        <w:tc>
          <w:tcPr>
            <w:tcW w:w="1276" w:type="dxa"/>
            <w:shd w:val="clear" w:color="auto" w:fill="auto"/>
          </w:tcPr>
          <w:p w14:paraId="6E84BA6B" w14:textId="77777777" w:rsidR="004C2A28" w:rsidRPr="007E4DA1" w:rsidRDefault="004C2A28" w:rsidP="001A6584">
            <w:pPr>
              <w:keepLines/>
              <w:autoSpaceDE w:val="0"/>
              <w:autoSpaceDN w:val="0"/>
              <w:adjustRightInd w:val="0"/>
              <w:rPr>
                <w:iCs/>
                <w:szCs w:val="22"/>
                <w:lang w:eastAsia="ja-JP"/>
              </w:rPr>
            </w:pPr>
            <w:r w:rsidRPr="007E4DA1">
              <w:rPr>
                <w:iCs/>
                <w:szCs w:val="22"/>
                <w:lang w:eastAsia="ja-JP"/>
              </w:rPr>
              <w:t>Często</w:t>
            </w:r>
          </w:p>
        </w:tc>
        <w:tc>
          <w:tcPr>
            <w:tcW w:w="4990" w:type="dxa"/>
            <w:shd w:val="clear" w:color="auto" w:fill="auto"/>
          </w:tcPr>
          <w:p w14:paraId="74F07F7F" w14:textId="77777777" w:rsidR="004C2A28" w:rsidRPr="007E4DA1" w:rsidRDefault="004C2A28" w:rsidP="00C00A76">
            <w:pPr>
              <w:keepLines/>
              <w:autoSpaceDE w:val="0"/>
              <w:autoSpaceDN w:val="0"/>
              <w:adjustRightInd w:val="0"/>
              <w:ind w:left="0" w:firstLine="0"/>
              <w:rPr>
                <w:szCs w:val="22"/>
                <w:lang w:eastAsia="ja-JP"/>
              </w:rPr>
            </w:pPr>
            <w:r w:rsidRPr="007E4DA1">
              <w:rPr>
                <w:szCs w:val="22"/>
                <w:lang w:eastAsia="ja-JP"/>
              </w:rPr>
              <w:t>Zawroty głowy, zaburzenia uwagi, zaburzenia smaku, encefalopatia wątrobowa, letarg, zaburzenia pamięci, parestezje</w:t>
            </w:r>
          </w:p>
        </w:tc>
      </w:tr>
      <w:tr w:rsidR="004C2A28" w:rsidRPr="007E4DA1" w14:paraId="02D473AD" w14:textId="77777777" w:rsidTr="00EE3105">
        <w:trPr>
          <w:cantSplit/>
        </w:trPr>
        <w:tc>
          <w:tcPr>
            <w:tcW w:w="2943" w:type="dxa"/>
            <w:shd w:val="clear" w:color="auto" w:fill="auto"/>
          </w:tcPr>
          <w:p w14:paraId="5632FDF9" w14:textId="77777777" w:rsidR="004C2A28" w:rsidRPr="007E4DA1" w:rsidRDefault="004C2A28" w:rsidP="001A6584">
            <w:pPr>
              <w:keepLines/>
              <w:autoSpaceDE w:val="0"/>
              <w:autoSpaceDN w:val="0"/>
              <w:adjustRightInd w:val="0"/>
              <w:rPr>
                <w:color w:val="000000"/>
                <w:szCs w:val="22"/>
                <w:lang w:eastAsia="ja-JP"/>
              </w:rPr>
            </w:pPr>
            <w:r w:rsidRPr="007E4DA1">
              <w:rPr>
                <w:iCs/>
                <w:color w:val="000000"/>
                <w:szCs w:val="22"/>
                <w:lang w:eastAsia="ja-JP"/>
              </w:rPr>
              <w:t>Zaburzenia oka</w:t>
            </w:r>
          </w:p>
        </w:tc>
        <w:tc>
          <w:tcPr>
            <w:tcW w:w="1276" w:type="dxa"/>
            <w:shd w:val="clear" w:color="auto" w:fill="auto"/>
          </w:tcPr>
          <w:p w14:paraId="7D461A1C" w14:textId="77777777" w:rsidR="004C2A28" w:rsidRPr="007E4DA1" w:rsidRDefault="004C2A28" w:rsidP="001A6584">
            <w:pPr>
              <w:keepLines/>
              <w:autoSpaceDE w:val="0"/>
              <w:autoSpaceDN w:val="0"/>
              <w:adjustRightInd w:val="0"/>
              <w:rPr>
                <w:iCs/>
                <w:szCs w:val="22"/>
                <w:lang w:eastAsia="ja-JP"/>
              </w:rPr>
            </w:pPr>
            <w:r w:rsidRPr="007E4DA1">
              <w:rPr>
                <w:iCs/>
                <w:szCs w:val="22"/>
                <w:lang w:eastAsia="ja-JP"/>
              </w:rPr>
              <w:t>Często</w:t>
            </w:r>
          </w:p>
        </w:tc>
        <w:tc>
          <w:tcPr>
            <w:tcW w:w="4990" w:type="dxa"/>
            <w:shd w:val="clear" w:color="auto" w:fill="auto"/>
          </w:tcPr>
          <w:p w14:paraId="0564B084" w14:textId="77777777" w:rsidR="004C2A28" w:rsidRPr="007E4DA1" w:rsidRDefault="004C2A28" w:rsidP="00C00A76">
            <w:pPr>
              <w:keepLines/>
              <w:autoSpaceDE w:val="0"/>
              <w:autoSpaceDN w:val="0"/>
              <w:adjustRightInd w:val="0"/>
              <w:ind w:left="0" w:firstLine="0"/>
              <w:rPr>
                <w:szCs w:val="22"/>
                <w:lang w:eastAsia="ja-JP"/>
              </w:rPr>
            </w:pPr>
            <w:r w:rsidRPr="007E4DA1">
              <w:rPr>
                <w:szCs w:val="22"/>
                <w:lang w:eastAsia="ja-JP"/>
              </w:rPr>
              <w:t xml:space="preserve">Zaćma, wysięki w siatkówce, zespół suchego oka, </w:t>
            </w:r>
            <w:r w:rsidR="00D40BCA" w:rsidRPr="007E4DA1">
              <w:rPr>
                <w:szCs w:val="22"/>
                <w:lang w:eastAsia="ja-JP"/>
              </w:rPr>
              <w:t>zażółcenie oczu</w:t>
            </w:r>
            <w:r w:rsidRPr="007E4DA1">
              <w:rPr>
                <w:szCs w:val="22"/>
                <w:lang w:eastAsia="ja-JP"/>
              </w:rPr>
              <w:t>, krwawienie do siatkówki</w:t>
            </w:r>
          </w:p>
        </w:tc>
      </w:tr>
      <w:tr w:rsidR="004C2A28" w:rsidRPr="007E4DA1" w14:paraId="38484864" w14:textId="77777777" w:rsidTr="00EE3105">
        <w:trPr>
          <w:cantSplit/>
        </w:trPr>
        <w:tc>
          <w:tcPr>
            <w:tcW w:w="2943" w:type="dxa"/>
            <w:shd w:val="clear" w:color="auto" w:fill="auto"/>
          </w:tcPr>
          <w:p w14:paraId="2B665E69" w14:textId="77777777" w:rsidR="004C2A28" w:rsidRPr="007E4DA1" w:rsidRDefault="004C2A28" w:rsidP="001A6584">
            <w:pPr>
              <w:keepLines/>
              <w:autoSpaceDE w:val="0"/>
              <w:autoSpaceDN w:val="0"/>
              <w:adjustRightInd w:val="0"/>
              <w:rPr>
                <w:iCs/>
                <w:color w:val="000000"/>
                <w:szCs w:val="22"/>
                <w:lang w:eastAsia="ja-JP"/>
              </w:rPr>
            </w:pPr>
            <w:r w:rsidRPr="007E4DA1">
              <w:rPr>
                <w:iCs/>
                <w:color w:val="000000"/>
                <w:szCs w:val="22"/>
                <w:lang w:eastAsia="ja-JP"/>
              </w:rPr>
              <w:t>Zaburzenia ucha i błędnika</w:t>
            </w:r>
          </w:p>
        </w:tc>
        <w:tc>
          <w:tcPr>
            <w:tcW w:w="1276" w:type="dxa"/>
            <w:shd w:val="clear" w:color="auto" w:fill="auto"/>
          </w:tcPr>
          <w:p w14:paraId="11409C38" w14:textId="77777777" w:rsidR="004C2A28" w:rsidRPr="007E4DA1" w:rsidRDefault="004C2A28" w:rsidP="001A6584">
            <w:pPr>
              <w:keepLines/>
              <w:autoSpaceDE w:val="0"/>
              <w:autoSpaceDN w:val="0"/>
              <w:adjustRightInd w:val="0"/>
              <w:rPr>
                <w:iCs/>
                <w:szCs w:val="22"/>
                <w:lang w:eastAsia="ja-JP"/>
              </w:rPr>
            </w:pPr>
            <w:r w:rsidRPr="007E4DA1">
              <w:rPr>
                <w:iCs/>
                <w:szCs w:val="22"/>
                <w:lang w:eastAsia="ja-JP"/>
              </w:rPr>
              <w:t>Często</w:t>
            </w:r>
          </w:p>
        </w:tc>
        <w:tc>
          <w:tcPr>
            <w:tcW w:w="4990" w:type="dxa"/>
            <w:shd w:val="clear" w:color="auto" w:fill="auto"/>
          </w:tcPr>
          <w:p w14:paraId="76B5D20E" w14:textId="77777777" w:rsidR="004C2A28" w:rsidRPr="007E4DA1" w:rsidRDefault="004C2A28" w:rsidP="001A6584">
            <w:pPr>
              <w:keepLines/>
              <w:autoSpaceDE w:val="0"/>
              <w:autoSpaceDN w:val="0"/>
              <w:adjustRightInd w:val="0"/>
              <w:rPr>
                <w:color w:val="000000"/>
                <w:szCs w:val="22"/>
                <w:lang w:eastAsia="ja-JP"/>
              </w:rPr>
            </w:pPr>
            <w:r w:rsidRPr="007E4DA1">
              <w:rPr>
                <w:szCs w:val="22"/>
                <w:lang w:eastAsia="ja-JP"/>
              </w:rPr>
              <w:t>Zawroty głowy</w:t>
            </w:r>
          </w:p>
        </w:tc>
      </w:tr>
      <w:tr w:rsidR="004C2A28" w:rsidRPr="007E4DA1" w14:paraId="66121EA4" w14:textId="77777777" w:rsidTr="00EE3105">
        <w:trPr>
          <w:cantSplit/>
        </w:trPr>
        <w:tc>
          <w:tcPr>
            <w:tcW w:w="2943" w:type="dxa"/>
            <w:tcBorders>
              <w:bottom w:val="single" w:sz="4" w:space="0" w:color="auto"/>
            </w:tcBorders>
            <w:shd w:val="clear" w:color="auto" w:fill="auto"/>
          </w:tcPr>
          <w:p w14:paraId="480DEDFC" w14:textId="77777777" w:rsidR="004C2A28" w:rsidRPr="007E4DA1" w:rsidRDefault="004C2A28" w:rsidP="00BC1959">
            <w:pPr>
              <w:keepNext/>
              <w:keepLines/>
              <w:autoSpaceDE w:val="0"/>
              <w:autoSpaceDN w:val="0"/>
              <w:adjustRightInd w:val="0"/>
              <w:rPr>
                <w:iCs/>
                <w:color w:val="000000"/>
                <w:szCs w:val="22"/>
                <w:lang w:eastAsia="ja-JP"/>
              </w:rPr>
            </w:pPr>
            <w:r w:rsidRPr="007E4DA1">
              <w:rPr>
                <w:iCs/>
                <w:color w:val="000000"/>
                <w:szCs w:val="22"/>
                <w:lang w:eastAsia="ja-JP"/>
              </w:rPr>
              <w:t>Zaburzenia serca</w:t>
            </w:r>
          </w:p>
        </w:tc>
        <w:tc>
          <w:tcPr>
            <w:tcW w:w="1276" w:type="dxa"/>
            <w:shd w:val="clear" w:color="auto" w:fill="auto"/>
          </w:tcPr>
          <w:p w14:paraId="596FA53A" w14:textId="77777777" w:rsidR="004C2A28" w:rsidRPr="007E4DA1" w:rsidRDefault="004C2A28" w:rsidP="00BC1959">
            <w:pPr>
              <w:keepNext/>
              <w:keepLines/>
              <w:autoSpaceDE w:val="0"/>
              <w:autoSpaceDN w:val="0"/>
              <w:adjustRightInd w:val="0"/>
              <w:rPr>
                <w:iCs/>
                <w:szCs w:val="22"/>
                <w:lang w:eastAsia="ja-JP"/>
              </w:rPr>
            </w:pPr>
            <w:r w:rsidRPr="007E4DA1">
              <w:rPr>
                <w:iCs/>
                <w:szCs w:val="22"/>
                <w:lang w:eastAsia="ja-JP"/>
              </w:rPr>
              <w:t>Często</w:t>
            </w:r>
          </w:p>
        </w:tc>
        <w:tc>
          <w:tcPr>
            <w:tcW w:w="4990" w:type="dxa"/>
            <w:shd w:val="clear" w:color="auto" w:fill="auto"/>
          </w:tcPr>
          <w:p w14:paraId="2B228341" w14:textId="77777777" w:rsidR="004C2A28" w:rsidRPr="007E4DA1" w:rsidRDefault="004C2A28" w:rsidP="00BC1959">
            <w:pPr>
              <w:keepNext/>
              <w:keepLines/>
              <w:autoSpaceDE w:val="0"/>
              <w:autoSpaceDN w:val="0"/>
              <w:adjustRightInd w:val="0"/>
              <w:rPr>
                <w:color w:val="000000"/>
                <w:szCs w:val="22"/>
                <w:lang w:eastAsia="ja-JP"/>
              </w:rPr>
            </w:pPr>
            <w:r w:rsidRPr="007E4DA1">
              <w:rPr>
                <w:szCs w:val="22"/>
                <w:lang w:eastAsia="ja-JP"/>
              </w:rPr>
              <w:t>Kołatanie serca</w:t>
            </w:r>
          </w:p>
        </w:tc>
      </w:tr>
      <w:tr w:rsidR="004C2A28" w:rsidRPr="007E4DA1" w14:paraId="37CB649E" w14:textId="77777777" w:rsidTr="00EE3105">
        <w:trPr>
          <w:cantSplit/>
        </w:trPr>
        <w:tc>
          <w:tcPr>
            <w:tcW w:w="2943" w:type="dxa"/>
            <w:vMerge w:val="restart"/>
            <w:shd w:val="clear" w:color="auto" w:fill="auto"/>
          </w:tcPr>
          <w:p w14:paraId="602E6519" w14:textId="77777777" w:rsidR="004C2A28" w:rsidRPr="007E4DA1" w:rsidRDefault="004C2A28" w:rsidP="00BC1959">
            <w:pPr>
              <w:keepLines/>
              <w:autoSpaceDE w:val="0"/>
              <w:autoSpaceDN w:val="0"/>
              <w:adjustRightInd w:val="0"/>
              <w:ind w:left="0" w:firstLine="0"/>
              <w:rPr>
                <w:iCs/>
                <w:color w:val="000000"/>
                <w:szCs w:val="22"/>
                <w:lang w:eastAsia="ja-JP"/>
              </w:rPr>
            </w:pPr>
            <w:r w:rsidRPr="007E4DA1">
              <w:rPr>
                <w:iCs/>
                <w:color w:val="000000"/>
                <w:szCs w:val="22"/>
                <w:lang w:eastAsia="ja-JP"/>
              </w:rPr>
              <w:t>Zaburzenia oddechowe, klatki piersiowej i śródpiersia</w:t>
            </w:r>
          </w:p>
        </w:tc>
        <w:tc>
          <w:tcPr>
            <w:tcW w:w="1276" w:type="dxa"/>
            <w:shd w:val="clear" w:color="auto" w:fill="auto"/>
          </w:tcPr>
          <w:p w14:paraId="6EE96305" w14:textId="77777777" w:rsidR="004C2A28" w:rsidRPr="007E4DA1" w:rsidRDefault="004C2A28" w:rsidP="00BC1959">
            <w:pPr>
              <w:keepLines/>
              <w:autoSpaceDE w:val="0"/>
              <w:autoSpaceDN w:val="0"/>
              <w:adjustRightInd w:val="0"/>
              <w:ind w:left="34" w:hanging="34"/>
              <w:rPr>
                <w:iCs/>
                <w:szCs w:val="22"/>
                <w:lang w:eastAsia="ja-JP"/>
              </w:rPr>
            </w:pPr>
            <w:r w:rsidRPr="007E4DA1">
              <w:rPr>
                <w:iCs/>
                <w:szCs w:val="22"/>
                <w:lang w:eastAsia="ja-JP"/>
              </w:rPr>
              <w:t>Bardzo często</w:t>
            </w:r>
          </w:p>
        </w:tc>
        <w:tc>
          <w:tcPr>
            <w:tcW w:w="4990" w:type="dxa"/>
            <w:shd w:val="clear" w:color="auto" w:fill="auto"/>
          </w:tcPr>
          <w:p w14:paraId="0A88A916" w14:textId="77777777" w:rsidR="004C2A28" w:rsidRPr="007E4DA1" w:rsidRDefault="004C2A28" w:rsidP="00BC1959">
            <w:pPr>
              <w:keepLines/>
              <w:autoSpaceDE w:val="0"/>
              <w:autoSpaceDN w:val="0"/>
              <w:adjustRightInd w:val="0"/>
              <w:rPr>
                <w:color w:val="000000"/>
                <w:szCs w:val="22"/>
                <w:lang w:eastAsia="ja-JP"/>
              </w:rPr>
            </w:pPr>
            <w:r w:rsidRPr="007E4DA1">
              <w:rPr>
                <w:szCs w:val="22"/>
                <w:lang w:eastAsia="ja-JP"/>
              </w:rPr>
              <w:t>Kaszel</w:t>
            </w:r>
          </w:p>
        </w:tc>
      </w:tr>
      <w:tr w:rsidR="004C2A28" w:rsidRPr="007E4DA1" w14:paraId="1B0F4B8F" w14:textId="77777777" w:rsidTr="00EE3105">
        <w:trPr>
          <w:cantSplit/>
        </w:trPr>
        <w:tc>
          <w:tcPr>
            <w:tcW w:w="2943" w:type="dxa"/>
            <w:vMerge/>
            <w:shd w:val="clear" w:color="auto" w:fill="auto"/>
          </w:tcPr>
          <w:p w14:paraId="10DFE103" w14:textId="77777777" w:rsidR="004C2A28" w:rsidRPr="007E4DA1" w:rsidRDefault="004C2A28" w:rsidP="00EE3105">
            <w:pPr>
              <w:keepLines/>
              <w:rPr>
                <w:color w:val="000000"/>
                <w:szCs w:val="22"/>
                <w:lang w:eastAsia="ja-JP"/>
              </w:rPr>
            </w:pPr>
          </w:p>
        </w:tc>
        <w:tc>
          <w:tcPr>
            <w:tcW w:w="1276" w:type="dxa"/>
            <w:shd w:val="clear" w:color="auto" w:fill="auto"/>
          </w:tcPr>
          <w:p w14:paraId="77C7DADF" w14:textId="77777777" w:rsidR="004C2A28" w:rsidRPr="007E4DA1" w:rsidRDefault="004C2A28" w:rsidP="00BC1959">
            <w:pPr>
              <w:keepLines/>
              <w:autoSpaceDE w:val="0"/>
              <w:autoSpaceDN w:val="0"/>
              <w:adjustRightInd w:val="0"/>
              <w:rPr>
                <w:iCs/>
                <w:szCs w:val="22"/>
                <w:lang w:eastAsia="ja-JP"/>
              </w:rPr>
            </w:pPr>
            <w:r w:rsidRPr="007E4DA1">
              <w:rPr>
                <w:iCs/>
                <w:szCs w:val="22"/>
                <w:lang w:eastAsia="ja-JP"/>
              </w:rPr>
              <w:t>Często</w:t>
            </w:r>
          </w:p>
        </w:tc>
        <w:tc>
          <w:tcPr>
            <w:tcW w:w="4990" w:type="dxa"/>
            <w:shd w:val="clear" w:color="auto" w:fill="auto"/>
          </w:tcPr>
          <w:p w14:paraId="49249259" w14:textId="77777777" w:rsidR="004C2A28" w:rsidRPr="007E4DA1" w:rsidRDefault="004C2A28" w:rsidP="00BC1959">
            <w:pPr>
              <w:keepLines/>
              <w:autoSpaceDE w:val="0"/>
              <w:autoSpaceDN w:val="0"/>
              <w:adjustRightInd w:val="0"/>
              <w:ind w:left="0" w:firstLine="0"/>
              <w:rPr>
                <w:color w:val="000000"/>
                <w:szCs w:val="22"/>
                <w:lang w:eastAsia="ja-JP"/>
              </w:rPr>
            </w:pPr>
            <w:r w:rsidRPr="007E4DA1">
              <w:rPr>
                <w:szCs w:val="22"/>
                <w:lang w:eastAsia="ja-JP"/>
              </w:rPr>
              <w:t>Duszność, ból jamy ustnej i gardła, duszność wysiłkowa, produktywny kaszel</w:t>
            </w:r>
          </w:p>
        </w:tc>
      </w:tr>
      <w:tr w:rsidR="004C2A28" w:rsidRPr="007E4DA1" w14:paraId="556DAE3A" w14:textId="77777777" w:rsidTr="00EE3105">
        <w:trPr>
          <w:cantSplit/>
        </w:trPr>
        <w:tc>
          <w:tcPr>
            <w:tcW w:w="2943" w:type="dxa"/>
            <w:vMerge w:val="restart"/>
            <w:shd w:val="clear" w:color="auto" w:fill="auto"/>
          </w:tcPr>
          <w:p w14:paraId="34D25DA7" w14:textId="77777777" w:rsidR="004C2A28" w:rsidRPr="007E4DA1" w:rsidRDefault="004C2A28" w:rsidP="001A6584">
            <w:pPr>
              <w:keepNext/>
              <w:keepLines/>
              <w:autoSpaceDE w:val="0"/>
              <w:autoSpaceDN w:val="0"/>
              <w:adjustRightInd w:val="0"/>
              <w:rPr>
                <w:color w:val="000000"/>
                <w:szCs w:val="22"/>
                <w:lang w:eastAsia="ja-JP"/>
              </w:rPr>
            </w:pPr>
            <w:r w:rsidRPr="007E4DA1">
              <w:rPr>
                <w:iCs/>
                <w:color w:val="000000"/>
                <w:szCs w:val="22"/>
                <w:lang w:eastAsia="ja-JP"/>
              </w:rPr>
              <w:lastRenderedPageBreak/>
              <w:t>Zaburzenia żołądka i jelit</w:t>
            </w:r>
          </w:p>
        </w:tc>
        <w:tc>
          <w:tcPr>
            <w:tcW w:w="1276" w:type="dxa"/>
            <w:shd w:val="clear" w:color="auto" w:fill="auto"/>
          </w:tcPr>
          <w:p w14:paraId="055FAC0F" w14:textId="77777777" w:rsidR="004C2A28" w:rsidRPr="007E4DA1" w:rsidRDefault="004C2A28" w:rsidP="001A6584">
            <w:pPr>
              <w:keepNext/>
              <w:keepLines/>
              <w:autoSpaceDE w:val="0"/>
              <w:autoSpaceDN w:val="0"/>
              <w:adjustRightInd w:val="0"/>
              <w:ind w:left="0" w:firstLine="0"/>
              <w:rPr>
                <w:iCs/>
                <w:szCs w:val="22"/>
                <w:lang w:eastAsia="ja-JP"/>
              </w:rPr>
            </w:pPr>
            <w:r w:rsidRPr="007E4DA1">
              <w:rPr>
                <w:iCs/>
                <w:szCs w:val="22"/>
                <w:lang w:eastAsia="ja-JP"/>
              </w:rPr>
              <w:t>Bardzo często</w:t>
            </w:r>
          </w:p>
        </w:tc>
        <w:tc>
          <w:tcPr>
            <w:tcW w:w="4990" w:type="dxa"/>
            <w:shd w:val="clear" w:color="auto" w:fill="auto"/>
          </w:tcPr>
          <w:p w14:paraId="42586D80" w14:textId="77777777" w:rsidR="004C2A28" w:rsidRPr="007E4DA1" w:rsidRDefault="004C2A28" w:rsidP="001A6584">
            <w:pPr>
              <w:keepNext/>
              <w:keepLines/>
              <w:autoSpaceDE w:val="0"/>
              <w:autoSpaceDN w:val="0"/>
              <w:adjustRightInd w:val="0"/>
              <w:rPr>
                <w:color w:val="000000"/>
                <w:szCs w:val="22"/>
                <w:lang w:eastAsia="ja-JP"/>
              </w:rPr>
            </w:pPr>
            <w:r w:rsidRPr="007E4DA1">
              <w:rPr>
                <w:szCs w:val="22"/>
                <w:lang w:eastAsia="ja-JP"/>
              </w:rPr>
              <w:t>Nudności, biegunka</w:t>
            </w:r>
          </w:p>
        </w:tc>
      </w:tr>
      <w:tr w:rsidR="004C2A28" w:rsidRPr="007E4DA1" w14:paraId="6D329B10" w14:textId="77777777" w:rsidTr="00EE3105">
        <w:trPr>
          <w:cantSplit/>
        </w:trPr>
        <w:tc>
          <w:tcPr>
            <w:tcW w:w="2943" w:type="dxa"/>
            <w:vMerge/>
            <w:shd w:val="clear" w:color="auto" w:fill="auto"/>
          </w:tcPr>
          <w:p w14:paraId="6BC1C208" w14:textId="77777777" w:rsidR="004C2A28" w:rsidRPr="007E4DA1" w:rsidRDefault="004C2A28" w:rsidP="001A6584">
            <w:pPr>
              <w:keepNext/>
              <w:keepLines/>
              <w:autoSpaceDE w:val="0"/>
              <w:autoSpaceDN w:val="0"/>
              <w:adjustRightInd w:val="0"/>
              <w:rPr>
                <w:iCs/>
                <w:color w:val="000000"/>
                <w:szCs w:val="22"/>
                <w:lang w:eastAsia="ja-JP"/>
              </w:rPr>
            </w:pPr>
          </w:p>
        </w:tc>
        <w:tc>
          <w:tcPr>
            <w:tcW w:w="1276" w:type="dxa"/>
            <w:shd w:val="clear" w:color="auto" w:fill="auto"/>
          </w:tcPr>
          <w:p w14:paraId="033D9A61" w14:textId="77777777" w:rsidR="004C2A28" w:rsidRPr="007E4DA1" w:rsidRDefault="004C2A28" w:rsidP="001A6584">
            <w:pPr>
              <w:keepNext/>
              <w:keepLines/>
              <w:autoSpaceDE w:val="0"/>
              <w:autoSpaceDN w:val="0"/>
              <w:adjustRightInd w:val="0"/>
              <w:rPr>
                <w:iCs/>
                <w:szCs w:val="22"/>
                <w:lang w:eastAsia="ja-JP"/>
              </w:rPr>
            </w:pPr>
            <w:r w:rsidRPr="007E4DA1">
              <w:rPr>
                <w:iCs/>
                <w:szCs w:val="22"/>
                <w:lang w:eastAsia="ja-JP"/>
              </w:rPr>
              <w:t>Często</w:t>
            </w:r>
          </w:p>
        </w:tc>
        <w:tc>
          <w:tcPr>
            <w:tcW w:w="4990" w:type="dxa"/>
            <w:shd w:val="clear" w:color="auto" w:fill="auto"/>
          </w:tcPr>
          <w:p w14:paraId="6D583D3F" w14:textId="77777777" w:rsidR="004C2A28" w:rsidRPr="007E4DA1" w:rsidRDefault="004C2A28" w:rsidP="00C00A76">
            <w:pPr>
              <w:keepLines/>
              <w:autoSpaceDE w:val="0"/>
              <w:autoSpaceDN w:val="0"/>
              <w:adjustRightInd w:val="0"/>
              <w:ind w:left="0" w:firstLine="0"/>
              <w:rPr>
                <w:szCs w:val="22"/>
                <w:lang w:eastAsia="ja-JP"/>
              </w:rPr>
            </w:pPr>
            <w:r w:rsidRPr="007E4DA1">
              <w:rPr>
                <w:szCs w:val="22"/>
                <w:lang w:eastAsia="ja-JP"/>
              </w:rPr>
              <w:t>Wymioty, wodobrzusze, bóle brzucha, bóle w nadbrzuszu, niestrawność, suchość w jamie ustnej, zaparcia, wzdęci</w:t>
            </w:r>
            <w:r w:rsidR="00D40BCA" w:rsidRPr="007E4DA1">
              <w:rPr>
                <w:szCs w:val="22"/>
                <w:lang w:eastAsia="ja-JP"/>
              </w:rPr>
              <w:t>e jamy brzusznej,</w:t>
            </w:r>
            <w:r w:rsidRPr="007E4DA1">
              <w:rPr>
                <w:szCs w:val="22"/>
                <w:lang w:eastAsia="ja-JP"/>
              </w:rPr>
              <w:t xml:space="preserve"> ból zęb</w:t>
            </w:r>
            <w:r w:rsidR="00D40BCA" w:rsidRPr="007E4DA1">
              <w:rPr>
                <w:szCs w:val="22"/>
                <w:lang w:eastAsia="ja-JP"/>
              </w:rPr>
              <w:t>a</w:t>
            </w:r>
            <w:r w:rsidRPr="007E4DA1">
              <w:rPr>
                <w:szCs w:val="22"/>
                <w:lang w:eastAsia="ja-JP"/>
              </w:rPr>
              <w:t>, zapalenie jamy ustnej, choroba refluksowa żołądkowo-przełykowa, żylaki odbytu, dyskomfort w jamie brzusznej, żylaki przełyku</w:t>
            </w:r>
          </w:p>
        </w:tc>
      </w:tr>
      <w:tr w:rsidR="004C2A28" w:rsidRPr="007E4DA1" w14:paraId="554534C4" w14:textId="77777777" w:rsidTr="00EE3105">
        <w:trPr>
          <w:cantSplit/>
        </w:trPr>
        <w:tc>
          <w:tcPr>
            <w:tcW w:w="2943" w:type="dxa"/>
            <w:vMerge/>
            <w:tcBorders>
              <w:bottom w:val="single" w:sz="4" w:space="0" w:color="auto"/>
            </w:tcBorders>
            <w:shd w:val="clear" w:color="auto" w:fill="auto"/>
          </w:tcPr>
          <w:p w14:paraId="4973AB6C" w14:textId="77777777" w:rsidR="004C2A28" w:rsidRPr="007E4DA1" w:rsidRDefault="004C2A28" w:rsidP="001A6584">
            <w:pPr>
              <w:keepNext/>
              <w:keepLines/>
              <w:autoSpaceDE w:val="0"/>
              <w:autoSpaceDN w:val="0"/>
              <w:adjustRightInd w:val="0"/>
              <w:rPr>
                <w:iCs/>
                <w:color w:val="000000"/>
                <w:szCs w:val="22"/>
                <w:lang w:eastAsia="ja-JP"/>
              </w:rPr>
            </w:pPr>
          </w:p>
        </w:tc>
        <w:tc>
          <w:tcPr>
            <w:tcW w:w="1276" w:type="dxa"/>
            <w:shd w:val="clear" w:color="auto" w:fill="auto"/>
          </w:tcPr>
          <w:p w14:paraId="75843CC0" w14:textId="77777777" w:rsidR="004C2A28" w:rsidRPr="007E4DA1" w:rsidRDefault="004C2A28" w:rsidP="001A6584">
            <w:pPr>
              <w:keepLines/>
              <w:autoSpaceDE w:val="0"/>
              <w:autoSpaceDN w:val="0"/>
              <w:adjustRightInd w:val="0"/>
              <w:ind w:left="0" w:firstLine="0"/>
              <w:rPr>
                <w:iCs/>
                <w:szCs w:val="22"/>
                <w:lang w:eastAsia="ja-JP"/>
              </w:rPr>
            </w:pPr>
            <w:r w:rsidRPr="007E4DA1">
              <w:rPr>
                <w:iCs/>
                <w:szCs w:val="22"/>
                <w:lang w:eastAsia="ja-JP"/>
              </w:rPr>
              <w:t>Niezbyt często</w:t>
            </w:r>
          </w:p>
        </w:tc>
        <w:tc>
          <w:tcPr>
            <w:tcW w:w="4990" w:type="dxa"/>
            <w:shd w:val="clear" w:color="auto" w:fill="auto"/>
          </w:tcPr>
          <w:p w14:paraId="6D1B8EE1" w14:textId="77777777" w:rsidR="004C2A28" w:rsidRPr="007E4DA1" w:rsidRDefault="004C2A28" w:rsidP="00C00A76">
            <w:pPr>
              <w:keepLines/>
              <w:autoSpaceDE w:val="0"/>
              <w:autoSpaceDN w:val="0"/>
              <w:adjustRightInd w:val="0"/>
              <w:ind w:left="0" w:firstLine="0"/>
              <w:rPr>
                <w:szCs w:val="22"/>
                <w:lang w:eastAsia="ja-JP"/>
              </w:rPr>
            </w:pPr>
            <w:r w:rsidRPr="007E4DA1">
              <w:rPr>
                <w:szCs w:val="22"/>
                <w:lang w:eastAsia="ja-JP"/>
              </w:rPr>
              <w:t>Krwawienie z żylaków przełyku, zapalenie błony śluzowej żołądka, aftowe zapalenie jamy ustnej</w:t>
            </w:r>
          </w:p>
        </w:tc>
      </w:tr>
      <w:tr w:rsidR="004C2A28" w:rsidRPr="007E4DA1" w14:paraId="3F168BAC" w14:textId="77777777" w:rsidTr="00EE3105">
        <w:trPr>
          <w:cantSplit/>
        </w:trPr>
        <w:tc>
          <w:tcPr>
            <w:tcW w:w="2943" w:type="dxa"/>
            <w:vMerge w:val="restart"/>
            <w:shd w:val="clear" w:color="auto" w:fill="auto"/>
          </w:tcPr>
          <w:p w14:paraId="5B0613C0" w14:textId="77777777" w:rsidR="004C2A28" w:rsidRPr="007E4DA1" w:rsidRDefault="004C2A28" w:rsidP="001A6584">
            <w:pPr>
              <w:keepLines/>
              <w:autoSpaceDE w:val="0"/>
              <w:autoSpaceDN w:val="0"/>
              <w:adjustRightInd w:val="0"/>
              <w:ind w:left="0" w:firstLine="0"/>
              <w:rPr>
                <w:iCs/>
                <w:color w:val="000000"/>
                <w:szCs w:val="22"/>
                <w:lang w:eastAsia="ja-JP"/>
              </w:rPr>
            </w:pPr>
            <w:r w:rsidRPr="007E4DA1">
              <w:rPr>
                <w:iCs/>
                <w:color w:val="000000"/>
                <w:szCs w:val="22"/>
                <w:lang w:eastAsia="ja-JP"/>
              </w:rPr>
              <w:t>Zaburzenia wątroby i dróg żółciowych</w:t>
            </w:r>
          </w:p>
        </w:tc>
        <w:tc>
          <w:tcPr>
            <w:tcW w:w="1276" w:type="dxa"/>
            <w:shd w:val="clear" w:color="auto" w:fill="auto"/>
          </w:tcPr>
          <w:p w14:paraId="133090B5" w14:textId="77777777" w:rsidR="004C2A28" w:rsidRPr="007E4DA1" w:rsidRDefault="004C2A28" w:rsidP="001A6584">
            <w:pPr>
              <w:keepLines/>
              <w:autoSpaceDE w:val="0"/>
              <w:autoSpaceDN w:val="0"/>
              <w:adjustRightInd w:val="0"/>
              <w:rPr>
                <w:iCs/>
                <w:szCs w:val="22"/>
                <w:lang w:eastAsia="ja-JP"/>
              </w:rPr>
            </w:pPr>
            <w:r w:rsidRPr="007E4DA1">
              <w:rPr>
                <w:iCs/>
                <w:szCs w:val="22"/>
                <w:lang w:eastAsia="ja-JP"/>
              </w:rPr>
              <w:t>Często</w:t>
            </w:r>
          </w:p>
        </w:tc>
        <w:tc>
          <w:tcPr>
            <w:tcW w:w="4990" w:type="dxa"/>
            <w:shd w:val="clear" w:color="auto" w:fill="auto"/>
          </w:tcPr>
          <w:p w14:paraId="492C2F11" w14:textId="77777777" w:rsidR="004C2A28" w:rsidRPr="007E4DA1" w:rsidRDefault="004C2A28" w:rsidP="00C00A76">
            <w:pPr>
              <w:keepLines/>
              <w:autoSpaceDE w:val="0"/>
              <w:autoSpaceDN w:val="0"/>
              <w:adjustRightInd w:val="0"/>
              <w:ind w:left="0" w:firstLine="0"/>
              <w:rPr>
                <w:szCs w:val="22"/>
                <w:lang w:eastAsia="ja-JP"/>
              </w:rPr>
            </w:pPr>
            <w:r w:rsidRPr="007E4DA1">
              <w:rPr>
                <w:szCs w:val="22"/>
                <w:lang w:eastAsia="ja-JP"/>
              </w:rPr>
              <w:t>Hiperbilirubinemia, żółtaczka, polekowe uszkodzenie wątroby</w:t>
            </w:r>
          </w:p>
        </w:tc>
      </w:tr>
      <w:tr w:rsidR="004C2A28" w:rsidRPr="007E4DA1" w14:paraId="214F31D8" w14:textId="77777777" w:rsidTr="00EE3105">
        <w:trPr>
          <w:cantSplit/>
        </w:trPr>
        <w:tc>
          <w:tcPr>
            <w:tcW w:w="2943" w:type="dxa"/>
            <w:vMerge/>
            <w:tcBorders>
              <w:bottom w:val="single" w:sz="4" w:space="0" w:color="auto"/>
            </w:tcBorders>
            <w:shd w:val="clear" w:color="auto" w:fill="auto"/>
          </w:tcPr>
          <w:p w14:paraId="5EF91FEC" w14:textId="77777777" w:rsidR="004C2A28" w:rsidRPr="007E4DA1" w:rsidRDefault="004C2A28" w:rsidP="001A6584">
            <w:pPr>
              <w:keepLines/>
              <w:autoSpaceDE w:val="0"/>
              <w:autoSpaceDN w:val="0"/>
              <w:adjustRightInd w:val="0"/>
              <w:rPr>
                <w:iCs/>
                <w:color w:val="000000"/>
                <w:szCs w:val="22"/>
                <w:lang w:eastAsia="ja-JP"/>
              </w:rPr>
            </w:pPr>
          </w:p>
        </w:tc>
        <w:tc>
          <w:tcPr>
            <w:tcW w:w="1276" w:type="dxa"/>
            <w:shd w:val="clear" w:color="auto" w:fill="auto"/>
          </w:tcPr>
          <w:p w14:paraId="164A83CB" w14:textId="77777777" w:rsidR="004C2A28" w:rsidRPr="007E4DA1" w:rsidRDefault="004C2A28" w:rsidP="001A6584">
            <w:pPr>
              <w:keepLines/>
              <w:autoSpaceDE w:val="0"/>
              <w:autoSpaceDN w:val="0"/>
              <w:adjustRightInd w:val="0"/>
              <w:ind w:left="0" w:firstLine="0"/>
              <w:rPr>
                <w:iCs/>
                <w:szCs w:val="22"/>
                <w:lang w:eastAsia="ja-JP"/>
              </w:rPr>
            </w:pPr>
            <w:r w:rsidRPr="007E4DA1">
              <w:rPr>
                <w:iCs/>
                <w:szCs w:val="22"/>
                <w:lang w:eastAsia="ja-JP"/>
              </w:rPr>
              <w:t>Niezbyt często</w:t>
            </w:r>
          </w:p>
        </w:tc>
        <w:tc>
          <w:tcPr>
            <w:tcW w:w="4990" w:type="dxa"/>
            <w:shd w:val="clear" w:color="auto" w:fill="auto"/>
          </w:tcPr>
          <w:p w14:paraId="43AEBB2B" w14:textId="77777777" w:rsidR="004C2A28" w:rsidRPr="007E4DA1" w:rsidRDefault="004C2A28" w:rsidP="001A6584">
            <w:pPr>
              <w:keepLines/>
              <w:autoSpaceDE w:val="0"/>
              <w:autoSpaceDN w:val="0"/>
              <w:adjustRightInd w:val="0"/>
              <w:rPr>
                <w:szCs w:val="22"/>
                <w:lang w:eastAsia="ja-JP"/>
              </w:rPr>
            </w:pPr>
            <w:r w:rsidRPr="007E4DA1">
              <w:rPr>
                <w:szCs w:val="22"/>
                <w:lang w:eastAsia="ja-JP"/>
              </w:rPr>
              <w:t>Zakrzepica żyły wrotnej, niewydolność wątroby</w:t>
            </w:r>
          </w:p>
        </w:tc>
      </w:tr>
      <w:tr w:rsidR="004C2A28" w:rsidRPr="007E4DA1" w14:paraId="520D8357" w14:textId="77777777" w:rsidTr="00EE3105">
        <w:trPr>
          <w:cantSplit/>
        </w:trPr>
        <w:tc>
          <w:tcPr>
            <w:tcW w:w="2943" w:type="dxa"/>
            <w:vMerge w:val="restart"/>
            <w:shd w:val="clear" w:color="auto" w:fill="auto"/>
          </w:tcPr>
          <w:p w14:paraId="76380169" w14:textId="77777777" w:rsidR="004C2A28" w:rsidRPr="007E4DA1" w:rsidRDefault="004C2A28" w:rsidP="001A6584">
            <w:pPr>
              <w:keepNext/>
              <w:keepLines/>
              <w:autoSpaceDE w:val="0"/>
              <w:autoSpaceDN w:val="0"/>
              <w:adjustRightInd w:val="0"/>
              <w:ind w:left="0" w:firstLine="0"/>
              <w:rPr>
                <w:iCs/>
                <w:color w:val="000000"/>
                <w:szCs w:val="22"/>
                <w:lang w:eastAsia="ja-JP"/>
              </w:rPr>
            </w:pPr>
            <w:r w:rsidRPr="007E4DA1">
              <w:rPr>
                <w:iCs/>
                <w:color w:val="000000"/>
                <w:szCs w:val="22"/>
                <w:lang w:eastAsia="ja-JP"/>
              </w:rPr>
              <w:t>Zaburzenia skóry i tkanki podskórnej</w:t>
            </w:r>
          </w:p>
        </w:tc>
        <w:tc>
          <w:tcPr>
            <w:tcW w:w="1276" w:type="dxa"/>
            <w:shd w:val="clear" w:color="auto" w:fill="auto"/>
          </w:tcPr>
          <w:p w14:paraId="5D9B0018" w14:textId="77777777" w:rsidR="004C2A28" w:rsidRPr="007E4DA1" w:rsidRDefault="004C2A28" w:rsidP="001A6584">
            <w:pPr>
              <w:keepNext/>
              <w:keepLines/>
              <w:autoSpaceDE w:val="0"/>
              <w:autoSpaceDN w:val="0"/>
              <w:adjustRightInd w:val="0"/>
              <w:ind w:left="34" w:hanging="34"/>
              <w:rPr>
                <w:iCs/>
                <w:szCs w:val="22"/>
                <w:lang w:eastAsia="ja-JP"/>
              </w:rPr>
            </w:pPr>
            <w:r w:rsidRPr="007E4DA1">
              <w:rPr>
                <w:iCs/>
                <w:szCs w:val="22"/>
                <w:lang w:eastAsia="ja-JP"/>
              </w:rPr>
              <w:t>Bardzo często</w:t>
            </w:r>
          </w:p>
        </w:tc>
        <w:tc>
          <w:tcPr>
            <w:tcW w:w="4990" w:type="dxa"/>
            <w:shd w:val="clear" w:color="auto" w:fill="auto"/>
          </w:tcPr>
          <w:p w14:paraId="1E5F88BD" w14:textId="77777777" w:rsidR="004C2A28" w:rsidRPr="007E4DA1" w:rsidRDefault="004C2A28" w:rsidP="001A6584">
            <w:pPr>
              <w:keepNext/>
              <w:keepLines/>
              <w:autoSpaceDE w:val="0"/>
              <w:autoSpaceDN w:val="0"/>
              <w:adjustRightInd w:val="0"/>
              <w:rPr>
                <w:szCs w:val="22"/>
                <w:lang w:eastAsia="ja-JP"/>
              </w:rPr>
            </w:pPr>
            <w:r w:rsidRPr="007E4DA1">
              <w:rPr>
                <w:szCs w:val="22"/>
                <w:lang w:eastAsia="ja-JP"/>
              </w:rPr>
              <w:t>Świąd</w:t>
            </w:r>
          </w:p>
        </w:tc>
      </w:tr>
      <w:tr w:rsidR="004C2A28" w:rsidRPr="007E4DA1" w14:paraId="764963C5" w14:textId="77777777" w:rsidTr="00EE3105">
        <w:trPr>
          <w:cantSplit/>
        </w:trPr>
        <w:tc>
          <w:tcPr>
            <w:tcW w:w="2943" w:type="dxa"/>
            <w:vMerge/>
            <w:shd w:val="clear" w:color="auto" w:fill="auto"/>
          </w:tcPr>
          <w:p w14:paraId="6B7481C9" w14:textId="77777777" w:rsidR="004C2A28" w:rsidRPr="007E4DA1" w:rsidRDefault="004C2A28" w:rsidP="001A6584">
            <w:pPr>
              <w:keepNext/>
              <w:keepLines/>
              <w:autoSpaceDE w:val="0"/>
              <w:autoSpaceDN w:val="0"/>
              <w:adjustRightInd w:val="0"/>
              <w:rPr>
                <w:iCs/>
                <w:color w:val="000000"/>
                <w:szCs w:val="22"/>
                <w:lang w:eastAsia="ja-JP"/>
              </w:rPr>
            </w:pPr>
          </w:p>
        </w:tc>
        <w:tc>
          <w:tcPr>
            <w:tcW w:w="1276" w:type="dxa"/>
            <w:shd w:val="clear" w:color="auto" w:fill="auto"/>
          </w:tcPr>
          <w:p w14:paraId="6FA3EC69" w14:textId="77777777" w:rsidR="004C2A28" w:rsidRPr="007E4DA1" w:rsidRDefault="004C2A28" w:rsidP="001A6584">
            <w:pPr>
              <w:keepNext/>
              <w:keepLines/>
              <w:autoSpaceDE w:val="0"/>
              <w:autoSpaceDN w:val="0"/>
              <w:adjustRightInd w:val="0"/>
              <w:rPr>
                <w:iCs/>
                <w:szCs w:val="22"/>
                <w:lang w:eastAsia="ja-JP"/>
              </w:rPr>
            </w:pPr>
            <w:r w:rsidRPr="007E4DA1">
              <w:rPr>
                <w:iCs/>
                <w:szCs w:val="22"/>
                <w:lang w:eastAsia="ja-JP"/>
              </w:rPr>
              <w:t>Często</w:t>
            </w:r>
          </w:p>
        </w:tc>
        <w:tc>
          <w:tcPr>
            <w:tcW w:w="4990" w:type="dxa"/>
            <w:shd w:val="clear" w:color="auto" w:fill="auto"/>
          </w:tcPr>
          <w:p w14:paraId="7EB163AA" w14:textId="77777777" w:rsidR="004C2A28" w:rsidRPr="007E4DA1" w:rsidRDefault="004C2A28" w:rsidP="001A6584">
            <w:pPr>
              <w:keepNext/>
              <w:keepLines/>
              <w:autoSpaceDE w:val="0"/>
              <w:autoSpaceDN w:val="0"/>
              <w:adjustRightInd w:val="0"/>
              <w:ind w:left="0" w:firstLine="0"/>
              <w:rPr>
                <w:szCs w:val="22"/>
                <w:lang w:eastAsia="ja-JP"/>
              </w:rPr>
            </w:pPr>
            <w:r w:rsidRPr="007E4DA1">
              <w:rPr>
                <w:szCs w:val="22"/>
                <w:lang w:eastAsia="ja-JP"/>
              </w:rPr>
              <w:t>Wysypka, suchość skóry, wyprysk, swędząca wysypka, rumień, nadmierna potliwość, uogólniony świąd, łysienie</w:t>
            </w:r>
          </w:p>
        </w:tc>
      </w:tr>
      <w:tr w:rsidR="004C2A28" w:rsidRPr="007E4DA1" w14:paraId="4B7E0A8E" w14:textId="77777777" w:rsidTr="00EE3105">
        <w:trPr>
          <w:cantSplit/>
        </w:trPr>
        <w:tc>
          <w:tcPr>
            <w:tcW w:w="2943" w:type="dxa"/>
            <w:vMerge/>
            <w:tcBorders>
              <w:bottom w:val="nil"/>
            </w:tcBorders>
            <w:shd w:val="clear" w:color="auto" w:fill="auto"/>
          </w:tcPr>
          <w:p w14:paraId="788575DF" w14:textId="77777777" w:rsidR="004C2A28" w:rsidRPr="007E4DA1" w:rsidRDefault="004C2A28" w:rsidP="001A6584">
            <w:pPr>
              <w:keepNext/>
              <w:keepLines/>
              <w:autoSpaceDE w:val="0"/>
              <w:autoSpaceDN w:val="0"/>
              <w:adjustRightInd w:val="0"/>
              <w:rPr>
                <w:iCs/>
                <w:color w:val="000000"/>
                <w:szCs w:val="22"/>
                <w:lang w:eastAsia="ja-JP"/>
              </w:rPr>
            </w:pPr>
          </w:p>
        </w:tc>
        <w:tc>
          <w:tcPr>
            <w:tcW w:w="1276" w:type="dxa"/>
            <w:shd w:val="clear" w:color="auto" w:fill="auto"/>
          </w:tcPr>
          <w:p w14:paraId="3307EF36" w14:textId="77777777" w:rsidR="004C2A28" w:rsidRPr="007E4DA1" w:rsidRDefault="004C2A28" w:rsidP="001A6584">
            <w:pPr>
              <w:keepLines/>
              <w:autoSpaceDE w:val="0"/>
              <w:autoSpaceDN w:val="0"/>
              <w:adjustRightInd w:val="0"/>
              <w:ind w:left="0" w:firstLine="0"/>
              <w:rPr>
                <w:iCs/>
                <w:szCs w:val="22"/>
                <w:lang w:eastAsia="ja-JP"/>
              </w:rPr>
            </w:pPr>
            <w:r w:rsidRPr="007E4DA1">
              <w:rPr>
                <w:iCs/>
                <w:szCs w:val="22"/>
                <w:lang w:eastAsia="ja-JP"/>
              </w:rPr>
              <w:t>Niezbyt często</w:t>
            </w:r>
          </w:p>
        </w:tc>
        <w:tc>
          <w:tcPr>
            <w:tcW w:w="4990" w:type="dxa"/>
            <w:shd w:val="clear" w:color="auto" w:fill="auto"/>
          </w:tcPr>
          <w:p w14:paraId="5270C68E" w14:textId="77777777" w:rsidR="004C2A28" w:rsidRPr="007E4DA1" w:rsidRDefault="004C2A28" w:rsidP="001A6584">
            <w:pPr>
              <w:keepLines/>
              <w:autoSpaceDE w:val="0"/>
              <w:autoSpaceDN w:val="0"/>
              <w:adjustRightInd w:val="0"/>
              <w:ind w:left="0" w:firstLine="0"/>
              <w:rPr>
                <w:szCs w:val="22"/>
                <w:lang w:eastAsia="ja-JP"/>
              </w:rPr>
            </w:pPr>
            <w:r w:rsidRPr="007E4DA1">
              <w:rPr>
                <w:szCs w:val="22"/>
                <w:lang w:eastAsia="ja-JP"/>
              </w:rPr>
              <w:t>Zmiany skórne, odbarwienie skóry</w:t>
            </w:r>
            <w:r w:rsidRPr="007E4DA1">
              <w:rPr>
                <w:szCs w:val="22"/>
              </w:rPr>
              <w:t>, nadmierna pigmentacja skóry,</w:t>
            </w:r>
            <w:r w:rsidRPr="007E4DA1">
              <w:rPr>
                <w:szCs w:val="22"/>
                <w:lang w:eastAsia="ja-JP"/>
              </w:rPr>
              <w:t xml:space="preserve"> nocne poty</w:t>
            </w:r>
          </w:p>
        </w:tc>
      </w:tr>
      <w:tr w:rsidR="004C2A28" w:rsidRPr="007E4DA1" w14:paraId="27BD12B4" w14:textId="77777777" w:rsidTr="00EE3105">
        <w:trPr>
          <w:cantSplit/>
        </w:trPr>
        <w:tc>
          <w:tcPr>
            <w:tcW w:w="2943" w:type="dxa"/>
            <w:vMerge w:val="restart"/>
            <w:shd w:val="clear" w:color="auto" w:fill="auto"/>
          </w:tcPr>
          <w:p w14:paraId="3D67C2AD" w14:textId="77777777" w:rsidR="004C2A28" w:rsidRPr="007E4DA1" w:rsidRDefault="004C2A28" w:rsidP="001A6584">
            <w:pPr>
              <w:keepNext/>
              <w:keepLines/>
              <w:autoSpaceDE w:val="0"/>
              <w:autoSpaceDN w:val="0"/>
              <w:adjustRightInd w:val="0"/>
              <w:ind w:left="0" w:firstLine="0"/>
              <w:rPr>
                <w:iCs/>
                <w:color w:val="000000"/>
                <w:szCs w:val="22"/>
                <w:lang w:eastAsia="ja-JP"/>
              </w:rPr>
            </w:pPr>
            <w:r w:rsidRPr="007E4DA1">
              <w:rPr>
                <w:iCs/>
                <w:color w:val="000000"/>
                <w:szCs w:val="22"/>
                <w:lang w:eastAsia="ja-JP"/>
              </w:rPr>
              <w:t>Zaburzenia mięśniowo-szkieletowe i tkanki łącznej</w:t>
            </w:r>
          </w:p>
        </w:tc>
        <w:tc>
          <w:tcPr>
            <w:tcW w:w="1276" w:type="dxa"/>
            <w:shd w:val="clear" w:color="auto" w:fill="auto"/>
          </w:tcPr>
          <w:p w14:paraId="50A43F90" w14:textId="77777777" w:rsidR="004C2A28" w:rsidRPr="007E4DA1" w:rsidRDefault="004C2A28" w:rsidP="001A6584">
            <w:pPr>
              <w:keepNext/>
              <w:keepLines/>
              <w:autoSpaceDE w:val="0"/>
              <w:autoSpaceDN w:val="0"/>
              <w:adjustRightInd w:val="0"/>
              <w:ind w:left="0" w:firstLine="0"/>
              <w:rPr>
                <w:szCs w:val="22"/>
              </w:rPr>
            </w:pPr>
            <w:r w:rsidRPr="007E4DA1">
              <w:rPr>
                <w:iCs/>
                <w:szCs w:val="22"/>
                <w:lang w:eastAsia="ja-JP"/>
              </w:rPr>
              <w:t>Bardzo często</w:t>
            </w:r>
          </w:p>
        </w:tc>
        <w:tc>
          <w:tcPr>
            <w:tcW w:w="4990" w:type="dxa"/>
            <w:shd w:val="clear" w:color="auto" w:fill="auto"/>
          </w:tcPr>
          <w:p w14:paraId="4827538D" w14:textId="77777777" w:rsidR="004C2A28" w:rsidRPr="007E4DA1" w:rsidRDefault="004C2A28" w:rsidP="001A6584">
            <w:pPr>
              <w:keepNext/>
              <w:keepLines/>
              <w:autoSpaceDE w:val="0"/>
              <w:autoSpaceDN w:val="0"/>
              <w:adjustRightInd w:val="0"/>
              <w:rPr>
                <w:szCs w:val="22"/>
              </w:rPr>
            </w:pPr>
            <w:r w:rsidRPr="007E4DA1">
              <w:rPr>
                <w:szCs w:val="22"/>
              </w:rPr>
              <w:t>Bóle mięśni</w:t>
            </w:r>
          </w:p>
        </w:tc>
      </w:tr>
      <w:tr w:rsidR="004C2A28" w:rsidRPr="007E4DA1" w14:paraId="25A5171E" w14:textId="77777777" w:rsidTr="00EE3105">
        <w:trPr>
          <w:cantSplit/>
        </w:trPr>
        <w:tc>
          <w:tcPr>
            <w:tcW w:w="2943" w:type="dxa"/>
            <w:vMerge/>
            <w:shd w:val="clear" w:color="auto" w:fill="auto"/>
          </w:tcPr>
          <w:p w14:paraId="1B834C00" w14:textId="77777777" w:rsidR="004C2A28" w:rsidRPr="007E4DA1" w:rsidRDefault="004C2A28" w:rsidP="001A6584">
            <w:pPr>
              <w:keepNext/>
              <w:keepLines/>
              <w:autoSpaceDE w:val="0"/>
              <w:autoSpaceDN w:val="0"/>
              <w:adjustRightInd w:val="0"/>
              <w:rPr>
                <w:iCs/>
                <w:color w:val="000000"/>
                <w:szCs w:val="22"/>
                <w:lang w:eastAsia="ja-JP"/>
              </w:rPr>
            </w:pPr>
          </w:p>
        </w:tc>
        <w:tc>
          <w:tcPr>
            <w:tcW w:w="1276" w:type="dxa"/>
            <w:shd w:val="clear" w:color="auto" w:fill="auto"/>
          </w:tcPr>
          <w:p w14:paraId="17074FDA" w14:textId="77777777" w:rsidR="004C2A28" w:rsidRPr="007E4DA1" w:rsidRDefault="004C2A28" w:rsidP="001A6584">
            <w:pPr>
              <w:keepLines/>
              <w:autoSpaceDE w:val="0"/>
              <w:autoSpaceDN w:val="0"/>
              <w:adjustRightInd w:val="0"/>
              <w:rPr>
                <w:szCs w:val="22"/>
              </w:rPr>
            </w:pPr>
            <w:r w:rsidRPr="007E4DA1">
              <w:rPr>
                <w:iCs/>
                <w:szCs w:val="22"/>
                <w:lang w:eastAsia="ja-JP"/>
              </w:rPr>
              <w:t>Często</w:t>
            </w:r>
          </w:p>
        </w:tc>
        <w:tc>
          <w:tcPr>
            <w:tcW w:w="4990" w:type="dxa"/>
            <w:shd w:val="clear" w:color="auto" w:fill="auto"/>
          </w:tcPr>
          <w:p w14:paraId="0E8F2C59" w14:textId="77777777" w:rsidR="004C2A28" w:rsidRPr="007E4DA1" w:rsidRDefault="004C2A28" w:rsidP="001A6584">
            <w:pPr>
              <w:keepLines/>
              <w:autoSpaceDE w:val="0"/>
              <w:autoSpaceDN w:val="0"/>
              <w:adjustRightInd w:val="0"/>
              <w:ind w:left="0" w:firstLine="0"/>
              <w:rPr>
                <w:szCs w:val="22"/>
              </w:rPr>
            </w:pPr>
            <w:r w:rsidRPr="007E4DA1">
              <w:t>Bóle stawów, skurcze mięśni, bóle pleców, bóle kończyn, bóle mięśniowo-szkieletowe, bóle kości</w:t>
            </w:r>
          </w:p>
        </w:tc>
      </w:tr>
      <w:tr w:rsidR="004C2A28" w:rsidRPr="007E4DA1" w14:paraId="45E6ABEF" w14:textId="77777777" w:rsidTr="00EE3105">
        <w:trPr>
          <w:cantSplit/>
        </w:trPr>
        <w:tc>
          <w:tcPr>
            <w:tcW w:w="2943" w:type="dxa"/>
            <w:shd w:val="clear" w:color="auto" w:fill="auto"/>
          </w:tcPr>
          <w:p w14:paraId="4974A9FF" w14:textId="77777777" w:rsidR="004C2A28" w:rsidRPr="007E4DA1" w:rsidRDefault="004C2A28" w:rsidP="001A6584">
            <w:pPr>
              <w:keepNext/>
              <w:keepLines/>
              <w:autoSpaceDE w:val="0"/>
              <w:autoSpaceDN w:val="0"/>
              <w:adjustRightInd w:val="0"/>
              <w:ind w:left="0" w:firstLine="0"/>
              <w:rPr>
                <w:iCs/>
                <w:color w:val="000000"/>
                <w:szCs w:val="22"/>
                <w:lang w:eastAsia="ja-JP"/>
              </w:rPr>
            </w:pPr>
            <w:r w:rsidRPr="007E4DA1">
              <w:rPr>
                <w:iCs/>
                <w:color w:val="000000"/>
                <w:szCs w:val="22"/>
                <w:lang w:eastAsia="ja-JP"/>
              </w:rPr>
              <w:t>Zaburzenia nerek i dróg moczowych</w:t>
            </w:r>
          </w:p>
        </w:tc>
        <w:tc>
          <w:tcPr>
            <w:tcW w:w="1276" w:type="dxa"/>
            <w:shd w:val="clear" w:color="auto" w:fill="auto"/>
          </w:tcPr>
          <w:p w14:paraId="1BAA7C26" w14:textId="77777777" w:rsidR="004C2A28" w:rsidRPr="007E4DA1" w:rsidRDefault="004C2A28" w:rsidP="001A6584">
            <w:pPr>
              <w:keepLines/>
              <w:autoSpaceDE w:val="0"/>
              <w:autoSpaceDN w:val="0"/>
              <w:adjustRightInd w:val="0"/>
              <w:ind w:left="0" w:firstLine="0"/>
              <w:rPr>
                <w:szCs w:val="22"/>
              </w:rPr>
            </w:pPr>
            <w:r w:rsidRPr="007E4DA1">
              <w:rPr>
                <w:iCs/>
                <w:szCs w:val="22"/>
                <w:lang w:eastAsia="ja-JP"/>
              </w:rPr>
              <w:t>Niezbyt często</w:t>
            </w:r>
          </w:p>
        </w:tc>
        <w:tc>
          <w:tcPr>
            <w:tcW w:w="4990" w:type="dxa"/>
            <w:shd w:val="clear" w:color="auto" w:fill="auto"/>
          </w:tcPr>
          <w:p w14:paraId="76696F7B" w14:textId="77777777" w:rsidR="004C2A28" w:rsidRPr="007E4DA1" w:rsidRDefault="004C2A28" w:rsidP="001A6584">
            <w:pPr>
              <w:keepLines/>
              <w:autoSpaceDE w:val="0"/>
              <w:autoSpaceDN w:val="0"/>
              <w:adjustRightInd w:val="0"/>
              <w:ind w:left="0" w:firstLine="0"/>
              <w:rPr>
                <w:szCs w:val="22"/>
              </w:rPr>
            </w:pPr>
            <w:r w:rsidRPr="007E4DA1">
              <w:rPr>
                <w:szCs w:val="22"/>
              </w:rPr>
              <w:t>Mikroangiopatia zakrzepowa z ostrą niewydolnością nerek</w:t>
            </w:r>
            <w:r w:rsidRPr="007E4DA1">
              <w:rPr>
                <w:szCs w:val="22"/>
                <w:vertAlign w:val="superscript"/>
              </w:rPr>
              <w:t xml:space="preserve"> †</w:t>
            </w:r>
            <w:r w:rsidRPr="007E4DA1">
              <w:rPr>
                <w:szCs w:val="22"/>
              </w:rPr>
              <w:t>, bolesne oddawanie moczu</w:t>
            </w:r>
            <w:r w:rsidRPr="007E4DA1">
              <w:rPr>
                <w:szCs w:val="22"/>
                <w:vertAlign w:val="superscript"/>
              </w:rPr>
              <w:t xml:space="preserve"> </w:t>
            </w:r>
          </w:p>
        </w:tc>
      </w:tr>
      <w:tr w:rsidR="004C2A28" w:rsidRPr="007E4DA1" w14:paraId="701D0F62" w14:textId="77777777" w:rsidTr="00EE3105">
        <w:trPr>
          <w:cantSplit/>
        </w:trPr>
        <w:tc>
          <w:tcPr>
            <w:tcW w:w="2943" w:type="dxa"/>
            <w:vMerge w:val="restart"/>
            <w:shd w:val="clear" w:color="auto" w:fill="auto"/>
          </w:tcPr>
          <w:p w14:paraId="3D5EB92E" w14:textId="77777777" w:rsidR="004C2A28" w:rsidRPr="007E4DA1" w:rsidRDefault="004C2A28" w:rsidP="001A6584">
            <w:pPr>
              <w:keepNext/>
              <w:keepLines/>
              <w:autoSpaceDE w:val="0"/>
              <w:autoSpaceDN w:val="0"/>
              <w:adjustRightInd w:val="0"/>
              <w:ind w:left="0" w:firstLine="0"/>
              <w:rPr>
                <w:iCs/>
                <w:color w:val="000000"/>
                <w:szCs w:val="22"/>
                <w:lang w:eastAsia="ja-JP"/>
              </w:rPr>
            </w:pPr>
            <w:r w:rsidRPr="007E4DA1">
              <w:rPr>
                <w:iCs/>
                <w:color w:val="000000"/>
                <w:szCs w:val="22"/>
                <w:lang w:eastAsia="ja-JP"/>
              </w:rPr>
              <w:t>Zaburzenia ogólne i stany w miejscu podania</w:t>
            </w:r>
          </w:p>
        </w:tc>
        <w:tc>
          <w:tcPr>
            <w:tcW w:w="1276" w:type="dxa"/>
            <w:shd w:val="clear" w:color="auto" w:fill="auto"/>
          </w:tcPr>
          <w:p w14:paraId="75F2ECE1" w14:textId="77777777" w:rsidR="004C2A28" w:rsidRPr="007E4DA1" w:rsidRDefault="004C2A28" w:rsidP="001A6584">
            <w:pPr>
              <w:keepNext/>
              <w:keepLines/>
              <w:autoSpaceDE w:val="0"/>
              <w:autoSpaceDN w:val="0"/>
              <w:adjustRightInd w:val="0"/>
              <w:ind w:left="34" w:hanging="34"/>
              <w:rPr>
                <w:szCs w:val="22"/>
              </w:rPr>
            </w:pPr>
            <w:r w:rsidRPr="007E4DA1">
              <w:rPr>
                <w:iCs/>
                <w:szCs w:val="22"/>
                <w:lang w:eastAsia="ja-JP"/>
              </w:rPr>
              <w:t>Bardzo często</w:t>
            </w:r>
          </w:p>
        </w:tc>
        <w:tc>
          <w:tcPr>
            <w:tcW w:w="4990" w:type="dxa"/>
            <w:shd w:val="clear" w:color="auto" w:fill="auto"/>
          </w:tcPr>
          <w:p w14:paraId="03766569" w14:textId="77777777" w:rsidR="004C2A28" w:rsidRPr="007E4DA1" w:rsidRDefault="004C2A28" w:rsidP="00C00A76">
            <w:pPr>
              <w:keepLines/>
              <w:autoSpaceDE w:val="0"/>
              <w:autoSpaceDN w:val="0"/>
              <w:adjustRightInd w:val="0"/>
              <w:ind w:left="0" w:firstLine="0"/>
              <w:rPr>
                <w:szCs w:val="22"/>
              </w:rPr>
            </w:pPr>
            <w:r w:rsidRPr="007E4DA1">
              <w:t xml:space="preserve">Gorączka, uczucie zmęczenia, objawy grypopodobne, </w:t>
            </w:r>
            <w:r w:rsidRPr="00C00A76">
              <w:rPr>
                <w:szCs w:val="22"/>
                <w:lang w:eastAsia="ja-JP"/>
              </w:rPr>
              <w:t>osłabienie</w:t>
            </w:r>
            <w:r w:rsidRPr="007E4DA1">
              <w:t>, dreszcze</w:t>
            </w:r>
          </w:p>
        </w:tc>
      </w:tr>
      <w:tr w:rsidR="004C2A28" w:rsidRPr="007E4DA1" w14:paraId="371A6AA3" w14:textId="77777777" w:rsidTr="00EE3105">
        <w:trPr>
          <w:cantSplit/>
        </w:trPr>
        <w:tc>
          <w:tcPr>
            <w:tcW w:w="2943" w:type="dxa"/>
            <w:vMerge/>
            <w:shd w:val="clear" w:color="auto" w:fill="auto"/>
          </w:tcPr>
          <w:p w14:paraId="25E4232E" w14:textId="77777777" w:rsidR="004C2A28" w:rsidRPr="007E4DA1" w:rsidRDefault="004C2A28" w:rsidP="001A6584">
            <w:pPr>
              <w:keepNext/>
              <w:keepLines/>
              <w:autoSpaceDE w:val="0"/>
              <w:autoSpaceDN w:val="0"/>
              <w:adjustRightInd w:val="0"/>
              <w:rPr>
                <w:iCs/>
                <w:color w:val="000000"/>
                <w:szCs w:val="22"/>
                <w:lang w:eastAsia="ja-JP"/>
              </w:rPr>
            </w:pPr>
          </w:p>
        </w:tc>
        <w:tc>
          <w:tcPr>
            <w:tcW w:w="1276" w:type="dxa"/>
            <w:shd w:val="clear" w:color="auto" w:fill="auto"/>
          </w:tcPr>
          <w:p w14:paraId="3C2669DD" w14:textId="77777777" w:rsidR="004C2A28" w:rsidRPr="007E4DA1" w:rsidRDefault="004C2A28" w:rsidP="001A6584">
            <w:pPr>
              <w:keepNext/>
              <w:keepLines/>
              <w:autoSpaceDE w:val="0"/>
              <w:autoSpaceDN w:val="0"/>
              <w:adjustRightInd w:val="0"/>
              <w:rPr>
                <w:szCs w:val="22"/>
              </w:rPr>
            </w:pPr>
            <w:r w:rsidRPr="007E4DA1">
              <w:rPr>
                <w:iCs/>
                <w:szCs w:val="22"/>
                <w:lang w:eastAsia="ja-JP"/>
              </w:rPr>
              <w:t>Często</w:t>
            </w:r>
          </w:p>
        </w:tc>
        <w:tc>
          <w:tcPr>
            <w:tcW w:w="4990" w:type="dxa"/>
            <w:shd w:val="clear" w:color="auto" w:fill="auto"/>
          </w:tcPr>
          <w:p w14:paraId="28B80812" w14:textId="77777777" w:rsidR="004C2A28" w:rsidRPr="007E4DA1" w:rsidRDefault="004C2A28" w:rsidP="001A6584">
            <w:pPr>
              <w:keepNext/>
              <w:keepLines/>
              <w:autoSpaceDE w:val="0"/>
              <w:autoSpaceDN w:val="0"/>
              <w:adjustRightInd w:val="0"/>
              <w:ind w:left="0" w:firstLine="0"/>
              <w:rPr>
                <w:szCs w:val="22"/>
              </w:rPr>
            </w:pPr>
            <w:r w:rsidRPr="007E4DA1">
              <w:t>Drażliwość, dolegliwości bólowe, złe samopoczucie, reakcja w miejscu wstrzyknięcia, ból w klatce piersiowej pochodzenia pozasercowego, obrzęk, obrzęki obwodowe</w:t>
            </w:r>
          </w:p>
        </w:tc>
      </w:tr>
      <w:tr w:rsidR="004C2A28" w:rsidRPr="007E4DA1" w14:paraId="38B2FAEC" w14:textId="77777777" w:rsidTr="00EE3105">
        <w:trPr>
          <w:cantSplit/>
        </w:trPr>
        <w:tc>
          <w:tcPr>
            <w:tcW w:w="2943" w:type="dxa"/>
            <w:vMerge/>
            <w:tcBorders>
              <w:bottom w:val="single" w:sz="4" w:space="0" w:color="auto"/>
            </w:tcBorders>
            <w:shd w:val="clear" w:color="auto" w:fill="auto"/>
          </w:tcPr>
          <w:p w14:paraId="0B79CFBA" w14:textId="77777777" w:rsidR="004C2A28" w:rsidRPr="007E4DA1" w:rsidRDefault="004C2A28" w:rsidP="001A6584">
            <w:pPr>
              <w:keepNext/>
              <w:keepLines/>
              <w:autoSpaceDE w:val="0"/>
              <w:autoSpaceDN w:val="0"/>
              <w:adjustRightInd w:val="0"/>
              <w:rPr>
                <w:iCs/>
                <w:color w:val="000000"/>
                <w:szCs w:val="22"/>
                <w:lang w:eastAsia="ja-JP"/>
              </w:rPr>
            </w:pPr>
          </w:p>
        </w:tc>
        <w:tc>
          <w:tcPr>
            <w:tcW w:w="1276" w:type="dxa"/>
            <w:shd w:val="clear" w:color="auto" w:fill="auto"/>
          </w:tcPr>
          <w:p w14:paraId="5B22C43F" w14:textId="77777777" w:rsidR="004C2A28" w:rsidRPr="007E4DA1" w:rsidRDefault="004C2A28" w:rsidP="001A6584">
            <w:pPr>
              <w:keepLines/>
              <w:autoSpaceDE w:val="0"/>
              <w:autoSpaceDN w:val="0"/>
              <w:adjustRightInd w:val="0"/>
              <w:ind w:left="0" w:firstLine="0"/>
              <w:rPr>
                <w:szCs w:val="22"/>
              </w:rPr>
            </w:pPr>
            <w:r w:rsidRPr="007E4DA1">
              <w:rPr>
                <w:iCs/>
                <w:szCs w:val="22"/>
                <w:lang w:eastAsia="ja-JP"/>
              </w:rPr>
              <w:t>Niezbyt często</w:t>
            </w:r>
          </w:p>
        </w:tc>
        <w:tc>
          <w:tcPr>
            <w:tcW w:w="4990" w:type="dxa"/>
            <w:shd w:val="clear" w:color="auto" w:fill="auto"/>
          </w:tcPr>
          <w:p w14:paraId="5FCF8F22" w14:textId="77777777" w:rsidR="004C2A28" w:rsidRPr="007E4DA1" w:rsidRDefault="004C2A28" w:rsidP="00C00A76">
            <w:pPr>
              <w:keepLines/>
              <w:autoSpaceDE w:val="0"/>
              <w:autoSpaceDN w:val="0"/>
              <w:adjustRightInd w:val="0"/>
              <w:ind w:left="0" w:firstLine="0"/>
              <w:rPr>
                <w:szCs w:val="22"/>
              </w:rPr>
            </w:pPr>
            <w:r w:rsidRPr="007E4DA1">
              <w:rPr>
                <w:szCs w:val="22"/>
              </w:rPr>
              <w:t xml:space="preserve">Świąd w miejscu wstrzyknięcia, wysypka w miejscu </w:t>
            </w:r>
            <w:r w:rsidRPr="007E4DA1">
              <w:rPr>
                <w:szCs w:val="22"/>
                <w:lang w:eastAsia="ja-JP"/>
              </w:rPr>
              <w:t>wstrzyknięcia</w:t>
            </w:r>
            <w:r w:rsidRPr="007E4DA1">
              <w:rPr>
                <w:szCs w:val="22"/>
              </w:rPr>
              <w:t>, uczucie dyskomfortu w klatce piersiowej</w:t>
            </w:r>
          </w:p>
        </w:tc>
      </w:tr>
      <w:tr w:rsidR="004C2A28" w:rsidRPr="007E4DA1" w14:paraId="3D6C1BB6" w14:textId="77777777" w:rsidTr="00EE3105">
        <w:trPr>
          <w:cantSplit/>
        </w:trPr>
        <w:tc>
          <w:tcPr>
            <w:tcW w:w="2943" w:type="dxa"/>
            <w:vMerge w:val="restart"/>
            <w:shd w:val="clear" w:color="auto" w:fill="auto"/>
          </w:tcPr>
          <w:p w14:paraId="4550F4F8" w14:textId="77777777" w:rsidR="004C2A28" w:rsidRPr="007E4DA1" w:rsidRDefault="004C2A28" w:rsidP="001A6584">
            <w:pPr>
              <w:keepNext/>
              <w:keepLines/>
              <w:autoSpaceDE w:val="0"/>
              <w:autoSpaceDN w:val="0"/>
              <w:adjustRightInd w:val="0"/>
              <w:ind w:left="0" w:firstLine="0"/>
              <w:rPr>
                <w:iCs/>
                <w:color w:val="000000"/>
                <w:szCs w:val="22"/>
                <w:lang w:eastAsia="ja-JP"/>
              </w:rPr>
            </w:pPr>
            <w:r w:rsidRPr="007E4DA1">
              <w:rPr>
                <w:iCs/>
                <w:color w:val="000000"/>
                <w:szCs w:val="22"/>
                <w:lang w:eastAsia="ja-JP"/>
              </w:rPr>
              <w:t>Badania diagnostyczne</w:t>
            </w:r>
          </w:p>
        </w:tc>
        <w:tc>
          <w:tcPr>
            <w:tcW w:w="1276" w:type="dxa"/>
            <w:shd w:val="clear" w:color="auto" w:fill="auto"/>
          </w:tcPr>
          <w:p w14:paraId="4DD2A1A3" w14:textId="77777777" w:rsidR="004C2A28" w:rsidRPr="007E4DA1" w:rsidRDefault="004C2A28" w:rsidP="001A6584">
            <w:pPr>
              <w:keepNext/>
              <w:keepLines/>
              <w:autoSpaceDE w:val="0"/>
              <w:autoSpaceDN w:val="0"/>
              <w:adjustRightInd w:val="0"/>
              <w:rPr>
                <w:iCs/>
                <w:szCs w:val="22"/>
                <w:lang w:eastAsia="ja-JP"/>
              </w:rPr>
            </w:pPr>
            <w:r w:rsidRPr="007E4DA1">
              <w:rPr>
                <w:iCs/>
                <w:szCs w:val="22"/>
                <w:lang w:eastAsia="ja-JP"/>
              </w:rPr>
              <w:t>Często</w:t>
            </w:r>
          </w:p>
        </w:tc>
        <w:tc>
          <w:tcPr>
            <w:tcW w:w="4990" w:type="dxa"/>
            <w:shd w:val="clear" w:color="auto" w:fill="auto"/>
          </w:tcPr>
          <w:p w14:paraId="248FD85D" w14:textId="77777777" w:rsidR="004C2A28" w:rsidRPr="007E4DA1" w:rsidRDefault="004C2A28" w:rsidP="001A6584">
            <w:pPr>
              <w:keepNext/>
              <w:keepLines/>
              <w:autoSpaceDE w:val="0"/>
              <w:autoSpaceDN w:val="0"/>
              <w:adjustRightInd w:val="0"/>
              <w:ind w:left="0" w:firstLine="0"/>
              <w:rPr>
                <w:szCs w:val="22"/>
                <w:lang w:eastAsia="ja-JP"/>
              </w:rPr>
            </w:pPr>
            <w:r w:rsidRPr="007E4DA1">
              <w:t>Zwiększenie stężenia bilirubiny we krwi, zmniejszenie masy ciała, zmniejszenie liczby krwinek białych, zmniejszenie stężenia hemoglobiny, zmniejszenie liczby neutrofilów, zwiększenie międzynarodowego współczynnika znormalizowanego, wydłużenie czasu częściowej tromboplastyny po aktywacji, zwiększenie stężenia glukozy we krwi, zmniejszenie stężenia albumin we krwi</w:t>
            </w:r>
          </w:p>
        </w:tc>
      </w:tr>
      <w:tr w:rsidR="004C2A28" w:rsidRPr="007E4DA1" w14:paraId="3E36717B" w14:textId="77777777" w:rsidTr="00EE3105">
        <w:trPr>
          <w:cantSplit/>
        </w:trPr>
        <w:tc>
          <w:tcPr>
            <w:tcW w:w="2943" w:type="dxa"/>
            <w:vMerge/>
            <w:shd w:val="clear" w:color="auto" w:fill="auto"/>
          </w:tcPr>
          <w:p w14:paraId="776FEA3C" w14:textId="77777777" w:rsidR="004C2A28" w:rsidRPr="007E4DA1" w:rsidRDefault="004C2A28" w:rsidP="001A6584">
            <w:pPr>
              <w:keepNext/>
              <w:keepLines/>
              <w:autoSpaceDE w:val="0"/>
              <w:autoSpaceDN w:val="0"/>
              <w:adjustRightInd w:val="0"/>
              <w:rPr>
                <w:iCs/>
                <w:color w:val="000000"/>
                <w:szCs w:val="22"/>
                <w:lang w:eastAsia="ja-JP"/>
              </w:rPr>
            </w:pPr>
          </w:p>
        </w:tc>
        <w:tc>
          <w:tcPr>
            <w:tcW w:w="1276" w:type="dxa"/>
            <w:shd w:val="clear" w:color="auto" w:fill="auto"/>
          </w:tcPr>
          <w:p w14:paraId="1B79E6D3" w14:textId="77777777" w:rsidR="004C2A28" w:rsidRPr="007E4DA1" w:rsidRDefault="004C2A28" w:rsidP="001A6584">
            <w:pPr>
              <w:keepNext/>
              <w:keepLines/>
              <w:autoSpaceDE w:val="0"/>
              <w:autoSpaceDN w:val="0"/>
              <w:adjustRightInd w:val="0"/>
              <w:ind w:left="34" w:hanging="34"/>
              <w:rPr>
                <w:iCs/>
                <w:szCs w:val="22"/>
                <w:lang w:eastAsia="ja-JP"/>
              </w:rPr>
            </w:pPr>
            <w:r w:rsidRPr="007E4DA1">
              <w:rPr>
                <w:iCs/>
                <w:szCs w:val="22"/>
                <w:lang w:eastAsia="ja-JP"/>
              </w:rPr>
              <w:t>Niezbyt często</w:t>
            </w:r>
          </w:p>
        </w:tc>
        <w:tc>
          <w:tcPr>
            <w:tcW w:w="4990" w:type="dxa"/>
            <w:shd w:val="clear" w:color="auto" w:fill="auto"/>
          </w:tcPr>
          <w:p w14:paraId="2E98FD34" w14:textId="77777777" w:rsidR="004C2A28" w:rsidRPr="007E4DA1" w:rsidRDefault="004C2A28" w:rsidP="00C00A76">
            <w:pPr>
              <w:keepLines/>
              <w:autoSpaceDE w:val="0"/>
              <w:autoSpaceDN w:val="0"/>
              <w:adjustRightInd w:val="0"/>
              <w:ind w:left="0" w:firstLine="0"/>
              <w:rPr>
                <w:szCs w:val="22"/>
                <w:lang w:eastAsia="ja-JP"/>
              </w:rPr>
            </w:pPr>
            <w:r w:rsidRPr="007E4DA1">
              <w:rPr>
                <w:szCs w:val="22"/>
                <w:lang w:eastAsia="ja-JP"/>
              </w:rPr>
              <w:t>Wydłużenie odstępu QT w zapisie elektrokardiograficznym</w:t>
            </w:r>
          </w:p>
        </w:tc>
      </w:tr>
      <w:tr w:rsidR="00D45872" w:rsidRPr="007E4DA1" w14:paraId="4F2B716B" w14:textId="77777777" w:rsidTr="00EE3105">
        <w:trPr>
          <w:cantSplit/>
        </w:trPr>
        <w:tc>
          <w:tcPr>
            <w:tcW w:w="9209" w:type="dxa"/>
            <w:gridSpan w:val="3"/>
            <w:tcBorders>
              <w:bottom w:val="single" w:sz="4" w:space="0" w:color="auto"/>
            </w:tcBorders>
            <w:shd w:val="clear" w:color="auto" w:fill="auto"/>
          </w:tcPr>
          <w:p w14:paraId="2D4F1D80" w14:textId="4E9F9229" w:rsidR="00D45872" w:rsidRPr="00DF2BFE" w:rsidRDefault="00D45872" w:rsidP="00DF2BFE">
            <w:pPr>
              <w:autoSpaceDE w:val="0"/>
              <w:autoSpaceDN w:val="0"/>
              <w:adjustRightInd w:val="0"/>
              <w:rPr>
                <w:sz w:val="20"/>
                <w:szCs w:val="20"/>
                <w:lang w:eastAsia="ja-JP"/>
              </w:rPr>
            </w:pPr>
            <w:r w:rsidRPr="00DF2BFE">
              <w:rPr>
                <w:rFonts w:eastAsia="MS Mincho"/>
                <w:sz w:val="20"/>
                <w:szCs w:val="20"/>
                <w:vertAlign w:val="superscript"/>
                <w:lang w:eastAsia="ja-JP"/>
              </w:rPr>
              <w:t>†</w:t>
            </w:r>
            <w:r w:rsidRPr="00DF2BFE">
              <w:rPr>
                <w:rFonts w:eastAsia="MS Mincho"/>
                <w:sz w:val="20"/>
                <w:szCs w:val="20"/>
                <w:lang w:eastAsia="ja-JP"/>
              </w:rPr>
              <w:tab/>
            </w:r>
            <w:r w:rsidRPr="00DF2BFE">
              <w:rPr>
                <w:sz w:val="20"/>
                <w:szCs w:val="20"/>
              </w:rPr>
              <w:t>Termin zbiorczy obejmujący preferowane terminy oznaczające skąpomocz, niewydolność nerek i zaburzenia czynności nerek</w:t>
            </w:r>
            <w:r w:rsidR="00706F3D">
              <w:rPr>
                <w:sz w:val="20"/>
                <w:szCs w:val="20"/>
              </w:rPr>
              <w:t>.</w:t>
            </w:r>
          </w:p>
        </w:tc>
      </w:tr>
    </w:tbl>
    <w:p w14:paraId="751FF2EA" w14:textId="77777777" w:rsidR="00237B46" w:rsidRPr="007E4DA1" w:rsidRDefault="00237B46" w:rsidP="001A6584">
      <w:pPr>
        <w:rPr>
          <w:szCs w:val="22"/>
        </w:rPr>
      </w:pPr>
    </w:p>
    <w:p w14:paraId="16206945" w14:textId="307D4253" w:rsidR="00041A08" w:rsidRPr="00041A08" w:rsidRDefault="00D45872">
      <w:pPr>
        <w:keepNext/>
        <w:tabs>
          <w:tab w:val="left" w:pos="142"/>
        </w:tabs>
        <w:ind w:left="1134" w:hanging="1134"/>
        <w:rPr>
          <w:szCs w:val="22"/>
        </w:rPr>
      </w:pPr>
      <w:r>
        <w:rPr>
          <w:b/>
          <w:szCs w:val="22"/>
        </w:rPr>
        <w:lastRenderedPageBreak/>
        <w:t>Tabela 6</w:t>
      </w:r>
      <w:r>
        <w:rPr>
          <w:b/>
          <w:szCs w:val="22"/>
        </w:rPr>
        <w:tab/>
        <w:t>Działania niepożądane w p</w:t>
      </w:r>
      <w:r w:rsidR="00237B46" w:rsidRPr="007E4DA1">
        <w:rPr>
          <w:b/>
          <w:szCs w:val="22"/>
        </w:rPr>
        <w:t>opulacj</w:t>
      </w:r>
      <w:r>
        <w:rPr>
          <w:b/>
          <w:szCs w:val="22"/>
        </w:rPr>
        <w:t>i</w:t>
      </w:r>
      <w:r w:rsidR="00237B46" w:rsidRPr="007E4DA1">
        <w:rPr>
          <w:b/>
          <w:szCs w:val="22"/>
        </w:rPr>
        <w:t xml:space="preserve"> pacjentów uczestniczących w badaniu </w:t>
      </w:r>
      <w:r w:rsidR="00D40BCA" w:rsidRPr="007E4DA1">
        <w:rPr>
          <w:b/>
          <w:szCs w:val="22"/>
        </w:rPr>
        <w:t>dotyczącym</w:t>
      </w:r>
      <w:r w:rsidR="00237B46" w:rsidRPr="007E4DA1">
        <w:rPr>
          <w:b/>
          <w:szCs w:val="22"/>
        </w:rPr>
        <w:t xml:space="preserve"> SAA</w:t>
      </w:r>
    </w:p>
    <w:p w14:paraId="37E71755" w14:textId="69344AA4" w:rsidR="002F1C27" w:rsidRPr="007E4DA1" w:rsidRDefault="002F1C27" w:rsidP="001A6584">
      <w:pPr>
        <w:keepNext/>
        <w:tabs>
          <w:tab w:val="left" w:pos="142"/>
        </w:tabs>
        <w:ind w:left="0" w:firstLine="0"/>
        <w:rPr>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9"/>
        <w:gridCol w:w="4957"/>
      </w:tblGrid>
      <w:tr w:rsidR="00C551EC" w:rsidRPr="007E4DA1" w14:paraId="26C51C9F" w14:textId="77777777" w:rsidTr="00DF1403">
        <w:trPr>
          <w:cantSplit/>
        </w:trPr>
        <w:tc>
          <w:tcPr>
            <w:tcW w:w="2943" w:type="dxa"/>
            <w:shd w:val="clear" w:color="auto" w:fill="auto"/>
          </w:tcPr>
          <w:p w14:paraId="3776D745" w14:textId="77777777" w:rsidR="00C551EC" w:rsidRPr="007E4DA1" w:rsidRDefault="00C551EC" w:rsidP="001A6584">
            <w:pPr>
              <w:keepNext/>
              <w:ind w:left="0" w:firstLine="0"/>
              <w:rPr>
                <w:b/>
                <w:szCs w:val="22"/>
                <w:lang w:eastAsia="ja-JP"/>
              </w:rPr>
            </w:pPr>
            <w:r w:rsidRPr="007E4DA1">
              <w:rPr>
                <w:b/>
                <w:szCs w:val="22"/>
                <w:lang w:eastAsia="ja-JP"/>
              </w:rPr>
              <w:t>Klasyfikacja układów i narządów</w:t>
            </w:r>
          </w:p>
        </w:tc>
        <w:tc>
          <w:tcPr>
            <w:tcW w:w="1309" w:type="dxa"/>
            <w:shd w:val="clear" w:color="auto" w:fill="auto"/>
          </w:tcPr>
          <w:p w14:paraId="652D3F2A" w14:textId="77777777" w:rsidR="00C551EC" w:rsidRPr="007E4DA1" w:rsidRDefault="00C551EC" w:rsidP="001A6584">
            <w:pPr>
              <w:keepNext/>
              <w:keepLines/>
              <w:autoSpaceDE w:val="0"/>
              <w:autoSpaceDN w:val="0"/>
              <w:adjustRightInd w:val="0"/>
              <w:ind w:left="0" w:firstLine="0"/>
              <w:rPr>
                <w:b/>
                <w:iCs/>
                <w:szCs w:val="22"/>
                <w:lang w:eastAsia="ja-JP"/>
              </w:rPr>
            </w:pPr>
            <w:r w:rsidRPr="007E4DA1">
              <w:rPr>
                <w:b/>
                <w:iCs/>
                <w:szCs w:val="22"/>
                <w:lang w:eastAsia="ja-JP"/>
              </w:rPr>
              <w:t>Częstość występowania</w:t>
            </w:r>
          </w:p>
        </w:tc>
        <w:tc>
          <w:tcPr>
            <w:tcW w:w="4957" w:type="dxa"/>
            <w:shd w:val="clear" w:color="auto" w:fill="auto"/>
          </w:tcPr>
          <w:p w14:paraId="13DD2AF1" w14:textId="77777777" w:rsidR="00C551EC" w:rsidRPr="007E4DA1" w:rsidRDefault="00C551EC" w:rsidP="00DF1403">
            <w:pPr>
              <w:keepNext/>
              <w:keepLines/>
              <w:autoSpaceDE w:val="0"/>
              <w:autoSpaceDN w:val="0"/>
              <w:adjustRightInd w:val="0"/>
              <w:ind w:left="0" w:firstLine="0"/>
              <w:rPr>
                <w:b/>
                <w:szCs w:val="22"/>
                <w:lang w:eastAsia="ja-JP"/>
              </w:rPr>
            </w:pPr>
            <w:r w:rsidRPr="007E4DA1">
              <w:rPr>
                <w:b/>
                <w:szCs w:val="22"/>
                <w:lang w:eastAsia="ja-JP"/>
              </w:rPr>
              <w:t>Działanie niepożądane</w:t>
            </w:r>
          </w:p>
        </w:tc>
      </w:tr>
      <w:tr w:rsidR="00C551EC" w:rsidRPr="007E4DA1" w14:paraId="6EAF3783" w14:textId="77777777" w:rsidTr="00DF1403">
        <w:trPr>
          <w:cantSplit/>
        </w:trPr>
        <w:tc>
          <w:tcPr>
            <w:tcW w:w="2943" w:type="dxa"/>
            <w:shd w:val="clear" w:color="auto" w:fill="auto"/>
          </w:tcPr>
          <w:p w14:paraId="72E7B4A9" w14:textId="77777777" w:rsidR="00C551EC" w:rsidRPr="007E4DA1" w:rsidRDefault="00C551EC" w:rsidP="001A6584">
            <w:pPr>
              <w:keepNext/>
              <w:autoSpaceDE w:val="0"/>
              <w:autoSpaceDN w:val="0"/>
              <w:adjustRightInd w:val="0"/>
              <w:ind w:left="0" w:firstLine="0"/>
              <w:rPr>
                <w:szCs w:val="22"/>
                <w:lang w:eastAsia="ja-JP"/>
              </w:rPr>
            </w:pPr>
            <w:r w:rsidRPr="007E4DA1">
              <w:rPr>
                <w:szCs w:val="22"/>
                <w:lang w:eastAsia="ja-JP"/>
              </w:rPr>
              <w:t>Zaburzenia krwi i układu chłonnego</w:t>
            </w:r>
          </w:p>
        </w:tc>
        <w:tc>
          <w:tcPr>
            <w:tcW w:w="1309" w:type="dxa"/>
            <w:shd w:val="clear" w:color="auto" w:fill="auto"/>
          </w:tcPr>
          <w:p w14:paraId="3E0A9A60" w14:textId="77777777" w:rsidR="00C551EC" w:rsidRPr="007E4DA1" w:rsidRDefault="00C551EC" w:rsidP="001A6584">
            <w:pPr>
              <w:keepNext/>
              <w:keepLines/>
              <w:autoSpaceDE w:val="0"/>
              <w:autoSpaceDN w:val="0"/>
              <w:adjustRightInd w:val="0"/>
              <w:rPr>
                <w:iCs/>
                <w:szCs w:val="22"/>
                <w:lang w:eastAsia="ja-JP"/>
              </w:rPr>
            </w:pPr>
            <w:r w:rsidRPr="007E4DA1">
              <w:rPr>
                <w:szCs w:val="22"/>
              </w:rPr>
              <w:t>Często</w:t>
            </w:r>
          </w:p>
        </w:tc>
        <w:tc>
          <w:tcPr>
            <w:tcW w:w="4957" w:type="dxa"/>
            <w:shd w:val="clear" w:color="auto" w:fill="auto"/>
          </w:tcPr>
          <w:p w14:paraId="37D12CC4" w14:textId="77777777" w:rsidR="00C551EC" w:rsidRPr="007E4DA1" w:rsidRDefault="00C551EC" w:rsidP="00DF1403">
            <w:pPr>
              <w:autoSpaceDE w:val="0"/>
              <w:autoSpaceDN w:val="0"/>
              <w:adjustRightInd w:val="0"/>
              <w:ind w:left="0" w:firstLine="0"/>
              <w:rPr>
                <w:szCs w:val="22"/>
              </w:rPr>
            </w:pPr>
            <w:r w:rsidRPr="007E4DA1">
              <w:rPr>
                <w:szCs w:val="22"/>
              </w:rPr>
              <w:t>Neutropenia, zawał śledziony</w:t>
            </w:r>
          </w:p>
        </w:tc>
      </w:tr>
      <w:tr w:rsidR="00C551EC" w:rsidRPr="007E4DA1" w14:paraId="739836BE" w14:textId="77777777" w:rsidTr="00DF1403">
        <w:trPr>
          <w:cantSplit/>
        </w:trPr>
        <w:tc>
          <w:tcPr>
            <w:tcW w:w="2943" w:type="dxa"/>
            <w:tcBorders>
              <w:bottom w:val="single" w:sz="4" w:space="0" w:color="auto"/>
            </w:tcBorders>
            <w:shd w:val="clear" w:color="auto" w:fill="auto"/>
          </w:tcPr>
          <w:p w14:paraId="52F19466" w14:textId="77777777" w:rsidR="00C551EC" w:rsidRPr="007E4DA1" w:rsidRDefault="00C551EC" w:rsidP="001A6584">
            <w:pPr>
              <w:keepLines/>
              <w:ind w:left="0" w:firstLine="0"/>
              <w:rPr>
                <w:szCs w:val="22"/>
              </w:rPr>
            </w:pPr>
            <w:r w:rsidRPr="007E4DA1">
              <w:rPr>
                <w:szCs w:val="22"/>
              </w:rPr>
              <w:t>Zaburzenia metabolizmu i odżywiania</w:t>
            </w:r>
          </w:p>
        </w:tc>
        <w:tc>
          <w:tcPr>
            <w:tcW w:w="1309" w:type="dxa"/>
            <w:shd w:val="clear" w:color="auto" w:fill="auto"/>
          </w:tcPr>
          <w:p w14:paraId="18D6F7FB" w14:textId="77777777" w:rsidR="00C551EC" w:rsidRPr="007E4DA1" w:rsidRDefault="00C551EC" w:rsidP="001A6584">
            <w:pPr>
              <w:keepLines/>
              <w:autoSpaceDE w:val="0"/>
              <w:autoSpaceDN w:val="0"/>
              <w:adjustRightInd w:val="0"/>
              <w:rPr>
                <w:iCs/>
                <w:szCs w:val="22"/>
                <w:lang w:eastAsia="ja-JP"/>
              </w:rPr>
            </w:pPr>
            <w:r w:rsidRPr="007E4DA1">
              <w:rPr>
                <w:szCs w:val="22"/>
              </w:rPr>
              <w:t>Często</w:t>
            </w:r>
          </w:p>
        </w:tc>
        <w:tc>
          <w:tcPr>
            <w:tcW w:w="4957" w:type="dxa"/>
            <w:shd w:val="clear" w:color="auto" w:fill="auto"/>
          </w:tcPr>
          <w:p w14:paraId="09F41361" w14:textId="77777777" w:rsidR="00C551EC" w:rsidRPr="007E4DA1" w:rsidRDefault="00C551EC" w:rsidP="00DF1403">
            <w:pPr>
              <w:keepLines/>
              <w:ind w:left="0" w:firstLine="0"/>
              <w:rPr>
                <w:szCs w:val="22"/>
              </w:rPr>
            </w:pPr>
            <w:r w:rsidRPr="007E4DA1">
              <w:rPr>
                <w:szCs w:val="22"/>
              </w:rPr>
              <w:t>Nadmierne obciążenie żelazem, zmniejszony apetyt, hipoglikemia, zwiększony apetyt</w:t>
            </w:r>
          </w:p>
        </w:tc>
      </w:tr>
      <w:tr w:rsidR="00C551EC" w:rsidRPr="007E4DA1" w14:paraId="43DDC7D3" w14:textId="77777777" w:rsidTr="00DF1403">
        <w:trPr>
          <w:cantSplit/>
        </w:trPr>
        <w:tc>
          <w:tcPr>
            <w:tcW w:w="2943" w:type="dxa"/>
            <w:tcBorders>
              <w:top w:val="nil"/>
              <w:bottom w:val="single" w:sz="4" w:space="0" w:color="auto"/>
            </w:tcBorders>
            <w:shd w:val="clear" w:color="auto" w:fill="auto"/>
          </w:tcPr>
          <w:p w14:paraId="3179144E" w14:textId="77777777" w:rsidR="00C551EC" w:rsidRPr="007E4DA1" w:rsidRDefault="00C551EC" w:rsidP="001A6584">
            <w:pPr>
              <w:keepLines/>
              <w:rPr>
                <w:szCs w:val="22"/>
                <w:lang w:eastAsia="ja-JP"/>
              </w:rPr>
            </w:pPr>
            <w:r w:rsidRPr="007E4DA1">
              <w:rPr>
                <w:szCs w:val="22"/>
              </w:rPr>
              <w:t>Zaburzenia psychiczne</w:t>
            </w:r>
          </w:p>
        </w:tc>
        <w:tc>
          <w:tcPr>
            <w:tcW w:w="1309" w:type="dxa"/>
            <w:shd w:val="clear" w:color="auto" w:fill="auto"/>
          </w:tcPr>
          <w:p w14:paraId="0D0CC2CA" w14:textId="77777777" w:rsidR="00C551EC" w:rsidRPr="007E4DA1" w:rsidRDefault="00C551EC" w:rsidP="001A6584">
            <w:pPr>
              <w:keepLines/>
              <w:autoSpaceDE w:val="0"/>
              <w:autoSpaceDN w:val="0"/>
              <w:adjustRightInd w:val="0"/>
              <w:rPr>
                <w:iCs/>
                <w:szCs w:val="22"/>
                <w:lang w:eastAsia="ja-JP"/>
              </w:rPr>
            </w:pPr>
            <w:r w:rsidRPr="007E4DA1">
              <w:rPr>
                <w:szCs w:val="22"/>
              </w:rPr>
              <w:t>Często</w:t>
            </w:r>
          </w:p>
        </w:tc>
        <w:tc>
          <w:tcPr>
            <w:tcW w:w="4957" w:type="dxa"/>
            <w:shd w:val="clear" w:color="auto" w:fill="auto"/>
          </w:tcPr>
          <w:p w14:paraId="3D9979AD" w14:textId="77777777" w:rsidR="00C551EC" w:rsidRPr="007E4DA1" w:rsidRDefault="00C551EC" w:rsidP="00DF1403">
            <w:pPr>
              <w:keepLines/>
              <w:autoSpaceDE w:val="0"/>
              <w:autoSpaceDN w:val="0"/>
              <w:adjustRightInd w:val="0"/>
              <w:ind w:left="0" w:firstLine="0"/>
              <w:rPr>
                <w:szCs w:val="22"/>
                <w:lang w:eastAsia="ja-JP"/>
              </w:rPr>
            </w:pPr>
            <w:r w:rsidRPr="007E4DA1">
              <w:rPr>
                <w:szCs w:val="22"/>
              </w:rPr>
              <w:t>Lęk, depresja</w:t>
            </w:r>
          </w:p>
        </w:tc>
      </w:tr>
      <w:tr w:rsidR="00C551EC" w:rsidRPr="007E4DA1" w14:paraId="3EA6A32A" w14:textId="77777777" w:rsidTr="00DF1403">
        <w:trPr>
          <w:cantSplit/>
        </w:trPr>
        <w:tc>
          <w:tcPr>
            <w:tcW w:w="2943" w:type="dxa"/>
            <w:vMerge w:val="restart"/>
            <w:shd w:val="clear" w:color="auto" w:fill="auto"/>
          </w:tcPr>
          <w:p w14:paraId="2E47CBA9" w14:textId="77777777" w:rsidR="00C551EC" w:rsidRPr="007E4DA1" w:rsidRDefault="00C551EC" w:rsidP="001A6584">
            <w:pPr>
              <w:pStyle w:val="LBLBulletStyle1"/>
              <w:keepNext/>
              <w:keepLines/>
              <w:numPr>
                <w:ilvl w:val="0"/>
                <w:numId w:val="0"/>
              </w:numPr>
              <w:spacing w:line="240" w:lineRule="auto"/>
              <w:rPr>
                <w:sz w:val="22"/>
                <w:szCs w:val="22"/>
                <w:lang w:val="pl-PL"/>
              </w:rPr>
            </w:pPr>
            <w:r w:rsidRPr="007E4DA1">
              <w:rPr>
                <w:sz w:val="22"/>
                <w:szCs w:val="22"/>
                <w:lang w:val="pl-PL"/>
              </w:rPr>
              <w:t>Zaburzenia układu nerwowego</w:t>
            </w:r>
          </w:p>
        </w:tc>
        <w:tc>
          <w:tcPr>
            <w:tcW w:w="1309" w:type="dxa"/>
            <w:shd w:val="clear" w:color="auto" w:fill="auto"/>
          </w:tcPr>
          <w:p w14:paraId="135CDC5A" w14:textId="77777777" w:rsidR="00C551EC" w:rsidRPr="007E4DA1" w:rsidRDefault="00C551EC" w:rsidP="001A6584">
            <w:pPr>
              <w:keepNext/>
              <w:keepLines/>
              <w:autoSpaceDE w:val="0"/>
              <w:autoSpaceDN w:val="0"/>
              <w:adjustRightInd w:val="0"/>
              <w:ind w:left="34" w:hanging="34"/>
              <w:rPr>
                <w:iCs/>
                <w:szCs w:val="22"/>
                <w:lang w:eastAsia="ja-JP"/>
              </w:rPr>
            </w:pPr>
            <w:r w:rsidRPr="007E4DA1">
              <w:rPr>
                <w:szCs w:val="22"/>
              </w:rPr>
              <w:t>Bardzo często</w:t>
            </w:r>
          </w:p>
        </w:tc>
        <w:tc>
          <w:tcPr>
            <w:tcW w:w="4957" w:type="dxa"/>
            <w:shd w:val="clear" w:color="auto" w:fill="auto"/>
          </w:tcPr>
          <w:p w14:paraId="6C7E26E2" w14:textId="77777777" w:rsidR="00C551EC" w:rsidRPr="007E4DA1" w:rsidRDefault="00C551EC" w:rsidP="00DF1403">
            <w:pPr>
              <w:pStyle w:val="LBLBulletStyle1"/>
              <w:keepNext/>
              <w:keepLines/>
              <w:numPr>
                <w:ilvl w:val="0"/>
                <w:numId w:val="0"/>
              </w:numPr>
              <w:spacing w:line="240" w:lineRule="auto"/>
              <w:rPr>
                <w:sz w:val="22"/>
                <w:szCs w:val="22"/>
                <w:lang w:val="pl-PL"/>
              </w:rPr>
            </w:pPr>
            <w:r w:rsidRPr="007E4DA1">
              <w:rPr>
                <w:sz w:val="22"/>
                <w:szCs w:val="22"/>
                <w:lang w:val="pl-PL"/>
              </w:rPr>
              <w:t>Ból głowy, zawroty głowy</w:t>
            </w:r>
          </w:p>
        </w:tc>
      </w:tr>
      <w:tr w:rsidR="00C551EC" w:rsidRPr="007E4DA1" w14:paraId="31200990" w14:textId="77777777" w:rsidTr="00DF1403">
        <w:trPr>
          <w:cantSplit/>
        </w:trPr>
        <w:tc>
          <w:tcPr>
            <w:tcW w:w="2943" w:type="dxa"/>
            <w:vMerge/>
            <w:shd w:val="clear" w:color="auto" w:fill="auto"/>
          </w:tcPr>
          <w:p w14:paraId="19CE4DDD" w14:textId="77777777" w:rsidR="00C551EC" w:rsidRPr="007E4DA1" w:rsidRDefault="00C551EC" w:rsidP="001A6584">
            <w:pPr>
              <w:keepNext/>
              <w:rPr>
                <w:szCs w:val="22"/>
                <w:lang w:eastAsia="ja-JP"/>
              </w:rPr>
            </w:pPr>
          </w:p>
        </w:tc>
        <w:tc>
          <w:tcPr>
            <w:tcW w:w="1309" w:type="dxa"/>
            <w:shd w:val="clear" w:color="auto" w:fill="auto"/>
          </w:tcPr>
          <w:p w14:paraId="1A8DD554" w14:textId="77777777" w:rsidR="00C551EC" w:rsidRPr="007E4DA1" w:rsidRDefault="00C551EC" w:rsidP="001A6584">
            <w:pPr>
              <w:keepLines/>
              <w:autoSpaceDE w:val="0"/>
              <w:autoSpaceDN w:val="0"/>
              <w:adjustRightInd w:val="0"/>
              <w:rPr>
                <w:iCs/>
                <w:szCs w:val="22"/>
                <w:lang w:eastAsia="ja-JP"/>
              </w:rPr>
            </w:pPr>
            <w:r w:rsidRPr="007E4DA1">
              <w:rPr>
                <w:szCs w:val="22"/>
              </w:rPr>
              <w:t>Często</w:t>
            </w:r>
          </w:p>
        </w:tc>
        <w:tc>
          <w:tcPr>
            <w:tcW w:w="4957" w:type="dxa"/>
            <w:shd w:val="clear" w:color="auto" w:fill="auto"/>
          </w:tcPr>
          <w:p w14:paraId="4E3DBA47" w14:textId="77777777" w:rsidR="00C551EC" w:rsidRPr="007E4DA1" w:rsidRDefault="00C551EC" w:rsidP="00DF1403">
            <w:pPr>
              <w:keepLines/>
              <w:ind w:left="0" w:firstLine="0"/>
              <w:rPr>
                <w:szCs w:val="22"/>
              </w:rPr>
            </w:pPr>
            <w:r w:rsidRPr="007E4DA1">
              <w:rPr>
                <w:szCs w:val="22"/>
              </w:rPr>
              <w:t>Omdlenie</w:t>
            </w:r>
          </w:p>
        </w:tc>
      </w:tr>
      <w:tr w:rsidR="00C551EC" w:rsidRPr="007E4DA1" w14:paraId="7E271B11" w14:textId="77777777" w:rsidTr="00DF1403">
        <w:trPr>
          <w:cantSplit/>
        </w:trPr>
        <w:tc>
          <w:tcPr>
            <w:tcW w:w="2943" w:type="dxa"/>
            <w:tcBorders>
              <w:bottom w:val="nil"/>
            </w:tcBorders>
            <w:shd w:val="clear" w:color="auto" w:fill="auto"/>
          </w:tcPr>
          <w:p w14:paraId="351BB600" w14:textId="77777777" w:rsidR="00C551EC" w:rsidRPr="007E4DA1" w:rsidRDefault="00C551EC" w:rsidP="001A6584">
            <w:pPr>
              <w:pStyle w:val="LBLBulletStyle1"/>
              <w:keepLines/>
              <w:numPr>
                <w:ilvl w:val="0"/>
                <w:numId w:val="0"/>
              </w:numPr>
              <w:spacing w:line="240" w:lineRule="auto"/>
              <w:ind w:left="360" w:hanging="360"/>
              <w:rPr>
                <w:sz w:val="22"/>
                <w:szCs w:val="22"/>
                <w:lang w:val="pl-PL"/>
              </w:rPr>
            </w:pPr>
            <w:r w:rsidRPr="007E4DA1">
              <w:rPr>
                <w:sz w:val="22"/>
                <w:szCs w:val="22"/>
                <w:lang w:val="pl-PL"/>
              </w:rPr>
              <w:t>Zaburzenia oka</w:t>
            </w:r>
          </w:p>
        </w:tc>
        <w:tc>
          <w:tcPr>
            <w:tcW w:w="1309" w:type="dxa"/>
            <w:shd w:val="clear" w:color="auto" w:fill="auto"/>
          </w:tcPr>
          <w:p w14:paraId="0321EBEE" w14:textId="77777777" w:rsidR="00C551EC" w:rsidRPr="007E4DA1" w:rsidRDefault="00C551EC" w:rsidP="001A6584">
            <w:pPr>
              <w:keepLines/>
              <w:autoSpaceDE w:val="0"/>
              <w:autoSpaceDN w:val="0"/>
              <w:adjustRightInd w:val="0"/>
              <w:rPr>
                <w:iCs/>
                <w:szCs w:val="22"/>
                <w:lang w:eastAsia="ja-JP"/>
              </w:rPr>
            </w:pPr>
            <w:r w:rsidRPr="007E4DA1">
              <w:rPr>
                <w:szCs w:val="22"/>
              </w:rPr>
              <w:t>Często</w:t>
            </w:r>
          </w:p>
        </w:tc>
        <w:tc>
          <w:tcPr>
            <w:tcW w:w="4957" w:type="dxa"/>
            <w:shd w:val="clear" w:color="auto" w:fill="auto"/>
          </w:tcPr>
          <w:p w14:paraId="4764B957" w14:textId="77777777" w:rsidR="00C551EC" w:rsidRPr="007E4DA1" w:rsidRDefault="00D40BCA" w:rsidP="00DF1403">
            <w:pPr>
              <w:keepLines/>
              <w:ind w:left="0" w:firstLine="0"/>
              <w:rPr>
                <w:szCs w:val="22"/>
              </w:rPr>
            </w:pPr>
            <w:r w:rsidRPr="007E4DA1">
              <w:rPr>
                <w:szCs w:val="22"/>
              </w:rPr>
              <w:t xml:space="preserve">Zespół suchego oka, </w:t>
            </w:r>
            <w:r w:rsidR="00C551EC" w:rsidRPr="007E4DA1">
              <w:rPr>
                <w:szCs w:val="22"/>
              </w:rPr>
              <w:t xml:space="preserve">zaćma, zażółcenie </w:t>
            </w:r>
            <w:r w:rsidR="00784D80" w:rsidRPr="007E4DA1">
              <w:rPr>
                <w:szCs w:val="22"/>
              </w:rPr>
              <w:t>oczu</w:t>
            </w:r>
            <w:r w:rsidR="00C551EC" w:rsidRPr="007E4DA1">
              <w:rPr>
                <w:szCs w:val="22"/>
              </w:rPr>
              <w:t xml:space="preserve">, </w:t>
            </w:r>
            <w:r w:rsidR="00784D80" w:rsidRPr="007E4DA1">
              <w:rPr>
                <w:szCs w:val="22"/>
              </w:rPr>
              <w:t>niewyraźne</w:t>
            </w:r>
            <w:r w:rsidR="00C551EC" w:rsidRPr="007E4DA1">
              <w:rPr>
                <w:szCs w:val="22"/>
              </w:rPr>
              <w:t xml:space="preserve"> widzenie, zaburzenia widzenia, męty w ciele szklistym</w:t>
            </w:r>
          </w:p>
        </w:tc>
      </w:tr>
      <w:tr w:rsidR="00C551EC" w:rsidRPr="007E4DA1" w14:paraId="2CD6C1EF" w14:textId="77777777" w:rsidTr="00DF1403">
        <w:trPr>
          <w:cantSplit/>
        </w:trPr>
        <w:tc>
          <w:tcPr>
            <w:tcW w:w="2943" w:type="dxa"/>
            <w:vMerge w:val="restart"/>
            <w:shd w:val="clear" w:color="auto" w:fill="auto"/>
          </w:tcPr>
          <w:p w14:paraId="3D465190" w14:textId="77777777" w:rsidR="00C551EC" w:rsidRPr="007E4DA1" w:rsidRDefault="00C551EC" w:rsidP="001A6584">
            <w:pPr>
              <w:keepNext/>
              <w:keepLines/>
              <w:ind w:left="0" w:firstLine="0"/>
              <w:rPr>
                <w:szCs w:val="22"/>
              </w:rPr>
            </w:pPr>
            <w:r w:rsidRPr="007E4DA1">
              <w:rPr>
                <w:szCs w:val="22"/>
              </w:rPr>
              <w:t>Zaburzenia układu oddechowego, klatki piersiowej i śródpiersia</w:t>
            </w:r>
          </w:p>
        </w:tc>
        <w:tc>
          <w:tcPr>
            <w:tcW w:w="1309" w:type="dxa"/>
            <w:shd w:val="clear" w:color="auto" w:fill="auto"/>
          </w:tcPr>
          <w:p w14:paraId="4DB3DADA" w14:textId="77777777" w:rsidR="00C551EC" w:rsidRPr="007E4DA1" w:rsidRDefault="00C551EC" w:rsidP="001A6584">
            <w:pPr>
              <w:keepNext/>
              <w:keepLines/>
              <w:autoSpaceDE w:val="0"/>
              <w:autoSpaceDN w:val="0"/>
              <w:adjustRightInd w:val="0"/>
              <w:ind w:left="34" w:hanging="34"/>
              <w:rPr>
                <w:iCs/>
                <w:szCs w:val="22"/>
                <w:lang w:eastAsia="ja-JP"/>
              </w:rPr>
            </w:pPr>
            <w:r w:rsidRPr="007E4DA1">
              <w:rPr>
                <w:szCs w:val="22"/>
              </w:rPr>
              <w:t>Bardzo często</w:t>
            </w:r>
          </w:p>
        </w:tc>
        <w:tc>
          <w:tcPr>
            <w:tcW w:w="4957" w:type="dxa"/>
            <w:shd w:val="clear" w:color="auto" w:fill="auto"/>
          </w:tcPr>
          <w:p w14:paraId="07DFB95C" w14:textId="77777777" w:rsidR="00C551EC" w:rsidRPr="007E4DA1" w:rsidRDefault="00C551EC" w:rsidP="00DF1403">
            <w:pPr>
              <w:keepNext/>
              <w:keepLines/>
              <w:ind w:left="0" w:firstLine="0"/>
              <w:rPr>
                <w:strike/>
                <w:szCs w:val="22"/>
              </w:rPr>
            </w:pPr>
            <w:r w:rsidRPr="007E4DA1">
              <w:rPr>
                <w:szCs w:val="22"/>
              </w:rPr>
              <w:t>Kaszel, ból jamy ustnej i gardła, wodnisty wyciek z nosa</w:t>
            </w:r>
          </w:p>
        </w:tc>
      </w:tr>
      <w:tr w:rsidR="00C551EC" w:rsidRPr="007E4DA1" w14:paraId="67631E96" w14:textId="77777777" w:rsidTr="00DF1403">
        <w:trPr>
          <w:cantSplit/>
        </w:trPr>
        <w:tc>
          <w:tcPr>
            <w:tcW w:w="2943" w:type="dxa"/>
            <w:vMerge/>
            <w:tcBorders>
              <w:bottom w:val="single" w:sz="4" w:space="0" w:color="auto"/>
            </w:tcBorders>
            <w:shd w:val="clear" w:color="auto" w:fill="auto"/>
          </w:tcPr>
          <w:p w14:paraId="45DABA8D" w14:textId="77777777" w:rsidR="00C551EC" w:rsidRPr="007E4DA1" w:rsidRDefault="00C551EC" w:rsidP="001A6584">
            <w:pPr>
              <w:keepLines/>
              <w:rPr>
                <w:szCs w:val="22"/>
              </w:rPr>
            </w:pPr>
          </w:p>
        </w:tc>
        <w:tc>
          <w:tcPr>
            <w:tcW w:w="1309" w:type="dxa"/>
            <w:shd w:val="clear" w:color="auto" w:fill="auto"/>
          </w:tcPr>
          <w:p w14:paraId="73338D0F" w14:textId="77777777" w:rsidR="00C551EC" w:rsidRPr="007E4DA1" w:rsidRDefault="00C551EC" w:rsidP="001A6584">
            <w:pPr>
              <w:keepLines/>
              <w:autoSpaceDE w:val="0"/>
              <w:autoSpaceDN w:val="0"/>
              <w:adjustRightInd w:val="0"/>
              <w:rPr>
                <w:szCs w:val="22"/>
              </w:rPr>
            </w:pPr>
            <w:r w:rsidRPr="007E4DA1">
              <w:rPr>
                <w:szCs w:val="22"/>
              </w:rPr>
              <w:t>Często</w:t>
            </w:r>
          </w:p>
        </w:tc>
        <w:tc>
          <w:tcPr>
            <w:tcW w:w="4957" w:type="dxa"/>
            <w:shd w:val="clear" w:color="auto" w:fill="auto"/>
          </w:tcPr>
          <w:p w14:paraId="1BB7707D" w14:textId="77777777" w:rsidR="00C551EC" w:rsidRPr="007E4DA1" w:rsidRDefault="00C551EC" w:rsidP="00DF1403">
            <w:pPr>
              <w:keepLines/>
              <w:ind w:left="0" w:firstLine="0"/>
              <w:rPr>
                <w:szCs w:val="22"/>
              </w:rPr>
            </w:pPr>
            <w:r w:rsidRPr="007E4DA1">
              <w:rPr>
                <w:szCs w:val="22"/>
              </w:rPr>
              <w:t>Krwawienie z nosa</w:t>
            </w:r>
          </w:p>
        </w:tc>
      </w:tr>
      <w:tr w:rsidR="00C551EC" w:rsidRPr="007E4DA1" w14:paraId="650A7D8B" w14:textId="77777777" w:rsidTr="00DF1403">
        <w:trPr>
          <w:cantSplit/>
        </w:trPr>
        <w:tc>
          <w:tcPr>
            <w:tcW w:w="2943" w:type="dxa"/>
            <w:vMerge w:val="restart"/>
            <w:shd w:val="clear" w:color="auto" w:fill="auto"/>
          </w:tcPr>
          <w:p w14:paraId="60993CA7" w14:textId="77777777" w:rsidR="00C551EC" w:rsidRPr="007E4DA1" w:rsidRDefault="00C551EC" w:rsidP="001A6584">
            <w:pPr>
              <w:keepNext/>
              <w:keepLines/>
              <w:rPr>
                <w:szCs w:val="22"/>
              </w:rPr>
            </w:pPr>
            <w:r w:rsidRPr="007E4DA1">
              <w:rPr>
                <w:szCs w:val="22"/>
              </w:rPr>
              <w:t>Zaburzenia żołądka i jelit</w:t>
            </w:r>
          </w:p>
        </w:tc>
        <w:tc>
          <w:tcPr>
            <w:tcW w:w="1309" w:type="dxa"/>
            <w:shd w:val="clear" w:color="auto" w:fill="auto"/>
          </w:tcPr>
          <w:p w14:paraId="71B8BC8A" w14:textId="77777777" w:rsidR="00C551EC" w:rsidRPr="007E4DA1" w:rsidRDefault="00C551EC" w:rsidP="001A6584">
            <w:pPr>
              <w:keepNext/>
              <w:keepLines/>
              <w:autoSpaceDE w:val="0"/>
              <w:autoSpaceDN w:val="0"/>
              <w:adjustRightInd w:val="0"/>
              <w:ind w:left="34" w:hanging="34"/>
              <w:rPr>
                <w:iCs/>
                <w:szCs w:val="22"/>
                <w:lang w:eastAsia="ja-JP"/>
              </w:rPr>
            </w:pPr>
            <w:r w:rsidRPr="007E4DA1">
              <w:rPr>
                <w:szCs w:val="22"/>
              </w:rPr>
              <w:t>Bardzo często</w:t>
            </w:r>
          </w:p>
        </w:tc>
        <w:tc>
          <w:tcPr>
            <w:tcW w:w="4957" w:type="dxa"/>
            <w:shd w:val="clear" w:color="auto" w:fill="auto"/>
          </w:tcPr>
          <w:p w14:paraId="5725ED39" w14:textId="50662E09" w:rsidR="00C551EC" w:rsidRPr="007E4DA1" w:rsidRDefault="00C551EC" w:rsidP="00DF1403">
            <w:pPr>
              <w:keepNext/>
              <w:keepLines/>
              <w:autoSpaceDE w:val="0"/>
              <w:autoSpaceDN w:val="0"/>
              <w:adjustRightInd w:val="0"/>
              <w:ind w:left="0" w:firstLine="0"/>
              <w:rPr>
                <w:szCs w:val="22"/>
                <w:lang w:eastAsia="ja-JP"/>
              </w:rPr>
            </w:pPr>
            <w:r w:rsidRPr="007E4DA1">
              <w:rPr>
                <w:szCs w:val="22"/>
                <w:lang w:eastAsia="ja-JP"/>
              </w:rPr>
              <w:t>Biegunka, nudności, ból brzucha</w:t>
            </w:r>
          </w:p>
        </w:tc>
      </w:tr>
      <w:tr w:rsidR="00C551EC" w:rsidRPr="007E4DA1" w14:paraId="6DE821FE" w14:textId="77777777" w:rsidTr="00DF1403">
        <w:trPr>
          <w:cantSplit/>
        </w:trPr>
        <w:tc>
          <w:tcPr>
            <w:tcW w:w="2943" w:type="dxa"/>
            <w:vMerge/>
            <w:tcBorders>
              <w:bottom w:val="single" w:sz="4" w:space="0" w:color="auto"/>
            </w:tcBorders>
            <w:shd w:val="clear" w:color="auto" w:fill="auto"/>
          </w:tcPr>
          <w:p w14:paraId="5E7F3588" w14:textId="77777777" w:rsidR="00C551EC" w:rsidRPr="007E4DA1" w:rsidRDefault="00C551EC" w:rsidP="001A6584">
            <w:pPr>
              <w:keepNext/>
              <w:rPr>
                <w:szCs w:val="22"/>
                <w:lang w:eastAsia="ja-JP"/>
              </w:rPr>
            </w:pPr>
          </w:p>
        </w:tc>
        <w:tc>
          <w:tcPr>
            <w:tcW w:w="1309" w:type="dxa"/>
            <w:shd w:val="clear" w:color="auto" w:fill="auto"/>
          </w:tcPr>
          <w:p w14:paraId="51357BCC" w14:textId="77777777" w:rsidR="00C551EC" w:rsidRPr="007E4DA1" w:rsidRDefault="00C551EC" w:rsidP="001A6584">
            <w:pPr>
              <w:keepLines/>
              <w:autoSpaceDE w:val="0"/>
              <w:autoSpaceDN w:val="0"/>
              <w:adjustRightInd w:val="0"/>
              <w:rPr>
                <w:iCs/>
                <w:szCs w:val="22"/>
                <w:lang w:eastAsia="ja-JP"/>
              </w:rPr>
            </w:pPr>
            <w:r w:rsidRPr="007E4DA1">
              <w:rPr>
                <w:szCs w:val="22"/>
              </w:rPr>
              <w:t>Często</w:t>
            </w:r>
          </w:p>
        </w:tc>
        <w:tc>
          <w:tcPr>
            <w:tcW w:w="4957" w:type="dxa"/>
            <w:shd w:val="clear" w:color="auto" w:fill="auto"/>
          </w:tcPr>
          <w:p w14:paraId="0BDB0F57" w14:textId="1071911F" w:rsidR="00C551EC" w:rsidRPr="007E4DA1" w:rsidRDefault="00C551EC" w:rsidP="00DF1403">
            <w:pPr>
              <w:keepLines/>
              <w:autoSpaceDE w:val="0"/>
              <w:autoSpaceDN w:val="0"/>
              <w:adjustRightInd w:val="0"/>
              <w:ind w:left="1" w:firstLine="0"/>
              <w:rPr>
                <w:szCs w:val="22"/>
                <w:lang w:eastAsia="ja-JP"/>
              </w:rPr>
            </w:pPr>
            <w:r w:rsidRPr="007E4DA1">
              <w:rPr>
                <w:szCs w:val="22"/>
              </w:rPr>
              <w:t xml:space="preserve">Powstawanie pęcherzy na śluzówce jamy ustnej, ból w jamie ustnej, wymioty, uczucie dyskomfortu w jamie brzusznej, zaparcie, </w:t>
            </w:r>
            <w:r w:rsidR="00D45872" w:rsidRPr="007E4DA1">
              <w:rPr>
                <w:szCs w:val="22"/>
                <w:lang w:eastAsia="ja-JP"/>
              </w:rPr>
              <w:t>krwawienie z dziąseł</w:t>
            </w:r>
            <w:r w:rsidR="00D45872">
              <w:rPr>
                <w:szCs w:val="22"/>
                <w:lang w:eastAsia="ja-JP"/>
              </w:rPr>
              <w:t>,</w:t>
            </w:r>
            <w:r w:rsidR="00D45872" w:rsidRPr="007E4DA1">
              <w:rPr>
                <w:szCs w:val="22"/>
              </w:rPr>
              <w:t xml:space="preserve"> </w:t>
            </w:r>
            <w:r w:rsidRPr="007E4DA1">
              <w:rPr>
                <w:szCs w:val="22"/>
              </w:rPr>
              <w:t xml:space="preserve">wzdęcie </w:t>
            </w:r>
            <w:r w:rsidR="00784D80" w:rsidRPr="007E4DA1">
              <w:rPr>
                <w:szCs w:val="22"/>
              </w:rPr>
              <w:t>jamy brzusznej</w:t>
            </w:r>
            <w:r w:rsidRPr="007E4DA1">
              <w:rPr>
                <w:szCs w:val="22"/>
              </w:rPr>
              <w:t>, dysfagia, odbarwienie stolca, obrzęk języka, zaburzenia motoryki przewodu pokarmowego, wzdęcia</w:t>
            </w:r>
          </w:p>
        </w:tc>
      </w:tr>
      <w:tr w:rsidR="00C551EC" w:rsidRPr="007E4DA1" w14:paraId="49CD8D1F" w14:textId="77777777" w:rsidTr="00DF1403">
        <w:trPr>
          <w:cantSplit/>
        </w:trPr>
        <w:tc>
          <w:tcPr>
            <w:tcW w:w="2943" w:type="dxa"/>
            <w:vMerge w:val="restart"/>
            <w:tcBorders>
              <w:top w:val="single" w:sz="4" w:space="0" w:color="auto"/>
            </w:tcBorders>
            <w:shd w:val="clear" w:color="auto" w:fill="auto"/>
          </w:tcPr>
          <w:p w14:paraId="7D6CFF9C" w14:textId="77777777" w:rsidR="00C551EC" w:rsidRPr="007E4DA1" w:rsidRDefault="00C551EC" w:rsidP="001A6584">
            <w:pPr>
              <w:keepNext/>
              <w:keepLines/>
              <w:ind w:left="0" w:firstLine="0"/>
              <w:rPr>
                <w:szCs w:val="22"/>
              </w:rPr>
            </w:pPr>
            <w:r w:rsidRPr="007E4DA1">
              <w:rPr>
                <w:szCs w:val="22"/>
              </w:rPr>
              <w:t>Zaburzenia wątroby i dróg żółciowych</w:t>
            </w:r>
          </w:p>
        </w:tc>
        <w:tc>
          <w:tcPr>
            <w:tcW w:w="1309" w:type="dxa"/>
            <w:shd w:val="clear" w:color="auto" w:fill="auto"/>
          </w:tcPr>
          <w:p w14:paraId="59970B11" w14:textId="77777777" w:rsidR="00C551EC" w:rsidRPr="007E4DA1" w:rsidRDefault="00C551EC" w:rsidP="001A6584">
            <w:pPr>
              <w:keepNext/>
              <w:keepLines/>
              <w:autoSpaceDE w:val="0"/>
              <w:autoSpaceDN w:val="0"/>
              <w:adjustRightInd w:val="0"/>
              <w:ind w:left="0" w:firstLine="0"/>
              <w:rPr>
                <w:szCs w:val="22"/>
              </w:rPr>
            </w:pPr>
            <w:r w:rsidRPr="007E4DA1">
              <w:rPr>
                <w:szCs w:val="22"/>
              </w:rPr>
              <w:t>Bardzo często</w:t>
            </w:r>
          </w:p>
        </w:tc>
        <w:tc>
          <w:tcPr>
            <w:tcW w:w="4957" w:type="dxa"/>
            <w:shd w:val="clear" w:color="auto" w:fill="auto"/>
          </w:tcPr>
          <w:p w14:paraId="12906DB6" w14:textId="77777777" w:rsidR="00C551EC" w:rsidRPr="007E4DA1" w:rsidRDefault="00C551EC" w:rsidP="00DF1403">
            <w:pPr>
              <w:keepNext/>
              <w:keepLines/>
              <w:ind w:left="0" w:firstLine="0"/>
              <w:rPr>
                <w:szCs w:val="22"/>
              </w:rPr>
            </w:pPr>
            <w:r w:rsidRPr="007E4DA1">
              <w:rPr>
                <w:szCs w:val="22"/>
              </w:rPr>
              <w:t>Zwiększenie aktywności transaminaz</w:t>
            </w:r>
          </w:p>
        </w:tc>
      </w:tr>
      <w:tr w:rsidR="00C551EC" w:rsidRPr="007E4DA1" w14:paraId="1246BAEF" w14:textId="77777777" w:rsidTr="00DF1403">
        <w:trPr>
          <w:cantSplit/>
        </w:trPr>
        <w:tc>
          <w:tcPr>
            <w:tcW w:w="2943" w:type="dxa"/>
            <w:vMerge/>
            <w:shd w:val="clear" w:color="auto" w:fill="auto"/>
          </w:tcPr>
          <w:p w14:paraId="6DABCC54" w14:textId="77777777" w:rsidR="00C551EC" w:rsidRPr="007E4DA1" w:rsidRDefault="00C551EC" w:rsidP="001A6584">
            <w:pPr>
              <w:keepNext/>
              <w:keepLines/>
              <w:rPr>
                <w:szCs w:val="22"/>
              </w:rPr>
            </w:pPr>
          </w:p>
        </w:tc>
        <w:tc>
          <w:tcPr>
            <w:tcW w:w="1309" w:type="dxa"/>
            <w:shd w:val="clear" w:color="auto" w:fill="auto"/>
          </w:tcPr>
          <w:p w14:paraId="72CAAC32" w14:textId="77777777" w:rsidR="00C551EC" w:rsidRPr="007E4DA1" w:rsidRDefault="00C551EC" w:rsidP="001A6584">
            <w:pPr>
              <w:keepNext/>
              <w:keepLines/>
              <w:autoSpaceDE w:val="0"/>
              <w:autoSpaceDN w:val="0"/>
              <w:adjustRightInd w:val="0"/>
              <w:rPr>
                <w:szCs w:val="22"/>
              </w:rPr>
            </w:pPr>
            <w:r w:rsidRPr="007E4DA1">
              <w:rPr>
                <w:szCs w:val="22"/>
              </w:rPr>
              <w:t>Często</w:t>
            </w:r>
          </w:p>
        </w:tc>
        <w:tc>
          <w:tcPr>
            <w:tcW w:w="4957" w:type="dxa"/>
            <w:shd w:val="clear" w:color="auto" w:fill="auto"/>
          </w:tcPr>
          <w:p w14:paraId="643CF9C4" w14:textId="77777777" w:rsidR="00C551EC" w:rsidRPr="007E4DA1" w:rsidRDefault="00C551EC" w:rsidP="00DF1403">
            <w:pPr>
              <w:keepNext/>
              <w:keepLines/>
              <w:ind w:left="1" w:firstLine="0"/>
              <w:rPr>
                <w:szCs w:val="22"/>
              </w:rPr>
            </w:pPr>
            <w:r w:rsidRPr="007E4DA1">
              <w:rPr>
                <w:szCs w:val="22"/>
              </w:rPr>
              <w:t>Zwiększenie stężenia bilirubiny we krwi (hiperbilirubinemia), żółtaczka</w:t>
            </w:r>
          </w:p>
        </w:tc>
      </w:tr>
      <w:tr w:rsidR="00C551EC" w:rsidRPr="007E4DA1" w14:paraId="6BCA1D18" w14:textId="77777777" w:rsidTr="00DF1403">
        <w:trPr>
          <w:cantSplit/>
        </w:trPr>
        <w:tc>
          <w:tcPr>
            <w:tcW w:w="2943" w:type="dxa"/>
            <w:vMerge/>
            <w:tcBorders>
              <w:bottom w:val="single" w:sz="4" w:space="0" w:color="auto"/>
            </w:tcBorders>
            <w:shd w:val="clear" w:color="auto" w:fill="auto"/>
          </w:tcPr>
          <w:p w14:paraId="3E7E176D" w14:textId="77777777" w:rsidR="00C551EC" w:rsidRPr="007E4DA1" w:rsidRDefault="00C551EC" w:rsidP="001A6584">
            <w:pPr>
              <w:keepNext/>
              <w:rPr>
                <w:szCs w:val="22"/>
              </w:rPr>
            </w:pPr>
          </w:p>
        </w:tc>
        <w:tc>
          <w:tcPr>
            <w:tcW w:w="1309" w:type="dxa"/>
            <w:shd w:val="clear" w:color="auto" w:fill="auto"/>
          </w:tcPr>
          <w:p w14:paraId="065577B5" w14:textId="77777777" w:rsidR="00C551EC" w:rsidRPr="007E4DA1" w:rsidRDefault="00C551EC" w:rsidP="001A6584">
            <w:pPr>
              <w:keepLines/>
              <w:autoSpaceDE w:val="0"/>
              <w:autoSpaceDN w:val="0"/>
              <w:adjustRightInd w:val="0"/>
              <w:rPr>
                <w:szCs w:val="22"/>
              </w:rPr>
            </w:pPr>
            <w:r w:rsidRPr="007E4DA1">
              <w:rPr>
                <w:szCs w:val="22"/>
                <w:lang w:eastAsia="ja-JP"/>
              </w:rPr>
              <w:t>Nieznana</w:t>
            </w:r>
          </w:p>
        </w:tc>
        <w:tc>
          <w:tcPr>
            <w:tcW w:w="4957" w:type="dxa"/>
            <w:shd w:val="clear" w:color="auto" w:fill="auto"/>
          </w:tcPr>
          <w:p w14:paraId="3EFF8625" w14:textId="3D93BB83" w:rsidR="00C551EC" w:rsidRPr="007E4DA1" w:rsidRDefault="00C551EC" w:rsidP="00EE3105">
            <w:pPr>
              <w:keepLines/>
              <w:ind w:left="0" w:firstLine="0"/>
              <w:rPr>
                <w:szCs w:val="22"/>
              </w:rPr>
            </w:pPr>
            <w:r w:rsidRPr="007E4DA1">
              <w:rPr>
                <w:szCs w:val="22"/>
                <w:lang w:eastAsia="ja-JP"/>
              </w:rPr>
              <w:t>Polekowe uszkodzenie wątroby</w:t>
            </w:r>
          </w:p>
        </w:tc>
      </w:tr>
      <w:tr w:rsidR="00C551EC" w:rsidRPr="007E4DA1" w14:paraId="0DA4A3B6" w14:textId="77777777" w:rsidTr="00DF1403">
        <w:trPr>
          <w:cantSplit/>
          <w:trHeight w:val="206"/>
        </w:trPr>
        <w:tc>
          <w:tcPr>
            <w:tcW w:w="2943" w:type="dxa"/>
            <w:vMerge w:val="restart"/>
            <w:tcBorders>
              <w:top w:val="nil"/>
            </w:tcBorders>
            <w:shd w:val="clear" w:color="auto" w:fill="auto"/>
          </w:tcPr>
          <w:p w14:paraId="43CB11E3" w14:textId="77777777" w:rsidR="00C551EC" w:rsidRPr="007E4DA1" w:rsidRDefault="00C551EC" w:rsidP="001A6584">
            <w:pPr>
              <w:keepNext/>
              <w:keepLines/>
              <w:ind w:left="0" w:firstLine="0"/>
              <w:rPr>
                <w:szCs w:val="22"/>
              </w:rPr>
            </w:pPr>
            <w:r w:rsidRPr="007E4DA1">
              <w:rPr>
                <w:szCs w:val="22"/>
              </w:rPr>
              <w:t>Zaburzenia skóry i tkanki podskórnej</w:t>
            </w:r>
          </w:p>
        </w:tc>
        <w:tc>
          <w:tcPr>
            <w:tcW w:w="1309" w:type="dxa"/>
            <w:shd w:val="clear" w:color="auto" w:fill="auto"/>
          </w:tcPr>
          <w:p w14:paraId="607A0828" w14:textId="77777777" w:rsidR="00C551EC" w:rsidRPr="007E4DA1" w:rsidRDefault="00C551EC" w:rsidP="001A6584">
            <w:pPr>
              <w:keepNext/>
              <w:keepLines/>
              <w:autoSpaceDE w:val="0"/>
              <w:autoSpaceDN w:val="0"/>
              <w:adjustRightInd w:val="0"/>
              <w:rPr>
                <w:szCs w:val="22"/>
              </w:rPr>
            </w:pPr>
            <w:r w:rsidRPr="007E4DA1">
              <w:rPr>
                <w:szCs w:val="22"/>
              </w:rPr>
              <w:t>Często</w:t>
            </w:r>
          </w:p>
        </w:tc>
        <w:tc>
          <w:tcPr>
            <w:tcW w:w="4957" w:type="dxa"/>
            <w:shd w:val="clear" w:color="auto" w:fill="auto"/>
          </w:tcPr>
          <w:p w14:paraId="4497C671" w14:textId="77777777" w:rsidR="00C551EC" w:rsidRPr="007E4DA1" w:rsidRDefault="00C551EC" w:rsidP="00DF1403">
            <w:pPr>
              <w:keepNext/>
              <w:keepLines/>
              <w:ind w:left="1" w:firstLine="0"/>
              <w:rPr>
                <w:szCs w:val="22"/>
              </w:rPr>
            </w:pPr>
            <w:r w:rsidRPr="007E4DA1">
              <w:rPr>
                <w:szCs w:val="22"/>
              </w:rPr>
              <w:t xml:space="preserve">Wybroczyny, wysypka, świąd, pokrzywka, zmiany skórne, wysypka </w:t>
            </w:r>
            <w:r w:rsidR="00784D80" w:rsidRPr="007E4DA1">
              <w:rPr>
                <w:szCs w:val="22"/>
              </w:rPr>
              <w:t>plamista</w:t>
            </w:r>
          </w:p>
        </w:tc>
      </w:tr>
      <w:tr w:rsidR="00C551EC" w:rsidRPr="007E4DA1" w14:paraId="170C0AC4" w14:textId="77777777" w:rsidTr="00DF1403">
        <w:trPr>
          <w:cantSplit/>
        </w:trPr>
        <w:tc>
          <w:tcPr>
            <w:tcW w:w="2943" w:type="dxa"/>
            <w:vMerge/>
            <w:tcBorders>
              <w:bottom w:val="single" w:sz="4" w:space="0" w:color="auto"/>
            </w:tcBorders>
            <w:shd w:val="clear" w:color="auto" w:fill="auto"/>
          </w:tcPr>
          <w:p w14:paraId="00293B9D" w14:textId="77777777" w:rsidR="00C551EC" w:rsidRPr="007E4DA1" w:rsidRDefault="00C551EC" w:rsidP="001A6584">
            <w:pPr>
              <w:keepNext/>
              <w:rPr>
                <w:szCs w:val="22"/>
              </w:rPr>
            </w:pPr>
          </w:p>
        </w:tc>
        <w:tc>
          <w:tcPr>
            <w:tcW w:w="1309" w:type="dxa"/>
            <w:shd w:val="clear" w:color="auto" w:fill="auto"/>
          </w:tcPr>
          <w:p w14:paraId="48E095E1" w14:textId="77777777" w:rsidR="00C551EC" w:rsidRPr="007E4DA1" w:rsidRDefault="00C551EC" w:rsidP="001A6584">
            <w:pPr>
              <w:keepLines/>
              <w:autoSpaceDE w:val="0"/>
              <w:autoSpaceDN w:val="0"/>
              <w:adjustRightInd w:val="0"/>
              <w:rPr>
                <w:szCs w:val="22"/>
              </w:rPr>
            </w:pPr>
            <w:r w:rsidRPr="007E4DA1">
              <w:rPr>
                <w:szCs w:val="22"/>
              </w:rPr>
              <w:t>Nieznana</w:t>
            </w:r>
          </w:p>
        </w:tc>
        <w:tc>
          <w:tcPr>
            <w:tcW w:w="4957" w:type="dxa"/>
            <w:shd w:val="clear" w:color="auto" w:fill="auto"/>
          </w:tcPr>
          <w:p w14:paraId="6AE2BA25" w14:textId="77777777" w:rsidR="00C551EC" w:rsidRPr="007E4DA1" w:rsidRDefault="00C551EC" w:rsidP="00DF1403">
            <w:pPr>
              <w:keepLines/>
              <w:ind w:left="0" w:firstLine="0"/>
              <w:rPr>
                <w:szCs w:val="22"/>
              </w:rPr>
            </w:pPr>
            <w:r w:rsidRPr="007E4DA1">
              <w:rPr>
                <w:szCs w:val="22"/>
              </w:rPr>
              <w:t>Odbarwienie skóry, hiperpigmentacja skóry</w:t>
            </w:r>
          </w:p>
        </w:tc>
      </w:tr>
      <w:tr w:rsidR="00C551EC" w:rsidRPr="007E4DA1" w14:paraId="4D3E349F" w14:textId="77777777" w:rsidTr="00DF1403">
        <w:trPr>
          <w:cantSplit/>
        </w:trPr>
        <w:tc>
          <w:tcPr>
            <w:tcW w:w="2943" w:type="dxa"/>
            <w:vMerge w:val="restart"/>
            <w:shd w:val="clear" w:color="auto" w:fill="auto"/>
          </w:tcPr>
          <w:p w14:paraId="4405B547" w14:textId="77777777" w:rsidR="00C551EC" w:rsidRPr="007E4DA1" w:rsidRDefault="00C551EC" w:rsidP="001A6584">
            <w:pPr>
              <w:keepNext/>
              <w:keepLines/>
              <w:ind w:left="0" w:firstLine="0"/>
              <w:rPr>
                <w:szCs w:val="22"/>
              </w:rPr>
            </w:pPr>
            <w:r w:rsidRPr="007E4DA1">
              <w:rPr>
                <w:szCs w:val="22"/>
              </w:rPr>
              <w:t>Zaburzenia mięśniowo-szkieletowe i tkanki łącznej</w:t>
            </w:r>
          </w:p>
        </w:tc>
        <w:tc>
          <w:tcPr>
            <w:tcW w:w="1309" w:type="dxa"/>
            <w:shd w:val="clear" w:color="auto" w:fill="auto"/>
          </w:tcPr>
          <w:p w14:paraId="2A0847DA" w14:textId="77777777" w:rsidR="00C551EC" w:rsidRPr="007E4DA1" w:rsidRDefault="00C551EC" w:rsidP="001A6584">
            <w:pPr>
              <w:keepNext/>
              <w:keepLines/>
              <w:autoSpaceDE w:val="0"/>
              <w:autoSpaceDN w:val="0"/>
              <w:adjustRightInd w:val="0"/>
              <w:ind w:left="0" w:firstLine="0"/>
              <w:rPr>
                <w:szCs w:val="22"/>
              </w:rPr>
            </w:pPr>
            <w:r w:rsidRPr="007E4DA1">
              <w:rPr>
                <w:szCs w:val="22"/>
              </w:rPr>
              <w:t>Bardzo często</w:t>
            </w:r>
          </w:p>
        </w:tc>
        <w:tc>
          <w:tcPr>
            <w:tcW w:w="4957" w:type="dxa"/>
            <w:shd w:val="clear" w:color="auto" w:fill="auto"/>
          </w:tcPr>
          <w:p w14:paraId="1AB92E9E" w14:textId="77777777" w:rsidR="00C551EC" w:rsidRPr="007E4DA1" w:rsidRDefault="00C551EC" w:rsidP="00DF1403">
            <w:pPr>
              <w:keepNext/>
              <w:keepLines/>
              <w:ind w:left="0" w:firstLine="0"/>
              <w:rPr>
                <w:szCs w:val="22"/>
              </w:rPr>
            </w:pPr>
            <w:r w:rsidRPr="007E4DA1">
              <w:rPr>
                <w:szCs w:val="22"/>
              </w:rPr>
              <w:t>Bóle stawów, ból w kończynie, skurcze mięśni</w:t>
            </w:r>
          </w:p>
        </w:tc>
      </w:tr>
      <w:tr w:rsidR="00C551EC" w:rsidRPr="007E4DA1" w14:paraId="3EA71911" w14:textId="77777777" w:rsidTr="00DF1403">
        <w:trPr>
          <w:cantSplit/>
        </w:trPr>
        <w:tc>
          <w:tcPr>
            <w:tcW w:w="2943" w:type="dxa"/>
            <w:vMerge/>
            <w:shd w:val="clear" w:color="auto" w:fill="auto"/>
          </w:tcPr>
          <w:p w14:paraId="66758DB4" w14:textId="77777777" w:rsidR="00C551EC" w:rsidRPr="007E4DA1" w:rsidRDefault="00C551EC" w:rsidP="001A6584">
            <w:pPr>
              <w:keepNext/>
              <w:rPr>
                <w:szCs w:val="22"/>
              </w:rPr>
            </w:pPr>
          </w:p>
        </w:tc>
        <w:tc>
          <w:tcPr>
            <w:tcW w:w="1309" w:type="dxa"/>
            <w:shd w:val="clear" w:color="auto" w:fill="auto"/>
          </w:tcPr>
          <w:p w14:paraId="46CA1958" w14:textId="77777777" w:rsidR="00C551EC" w:rsidRPr="007E4DA1" w:rsidRDefault="00C551EC" w:rsidP="001A6584">
            <w:pPr>
              <w:keepLines/>
              <w:autoSpaceDE w:val="0"/>
              <w:autoSpaceDN w:val="0"/>
              <w:adjustRightInd w:val="0"/>
              <w:rPr>
                <w:szCs w:val="22"/>
              </w:rPr>
            </w:pPr>
            <w:r w:rsidRPr="007E4DA1">
              <w:rPr>
                <w:szCs w:val="22"/>
              </w:rPr>
              <w:t>Często</w:t>
            </w:r>
          </w:p>
        </w:tc>
        <w:tc>
          <w:tcPr>
            <w:tcW w:w="4957" w:type="dxa"/>
            <w:shd w:val="clear" w:color="auto" w:fill="auto"/>
          </w:tcPr>
          <w:p w14:paraId="523B0E79" w14:textId="77777777" w:rsidR="00C551EC" w:rsidRPr="007E4DA1" w:rsidRDefault="00C551EC" w:rsidP="00DF1403">
            <w:pPr>
              <w:keepLines/>
              <w:ind w:left="0" w:firstLine="0"/>
              <w:rPr>
                <w:szCs w:val="22"/>
              </w:rPr>
            </w:pPr>
            <w:r w:rsidRPr="007E4DA1">
              <w:rPr>
                <w:szCs w:val="22"/>
              </w:rPr>
              <w:t>Ból pleców, ból mięśni, ból kości</w:t>
            </w:r>
          </w:p>
        </w:tc>
      </w:tr>
      <w:tr w:rsidR="00C551EC" w:rsidRPr="007E4DA1" w14:paraId="4154851D" w14:textId="77777777" w:rsidTr="00DF1403">
        <w:trPr>
          <w:cantSplit/>
        </w:trPr>
        <w:tc>
          <w:tcPr>
            <w:tcW w:w="2943" w:type="dxa"/>
            <w:tcBorders>
              <w:bottom w:val="single" w:sz="4" w:space="0" w:color="auto"/>
            </w:tcBorders>
            <w:shd w:val="clear" w:color="auto" w:fill="auto"/>
          </w:tcPr>
          <w:p w14:paraId="2B79643D" w14:textId="77777777" w:rsidR="00C551EC" w:rsidRPr="007E4DA1" w:rsidRDefault="00C551EC" w:rsidP="001A6584">
            <w:pPr>
              <w:keepLines/>
              <w:ind w:left="0" w:firstLine="0"/>
              <w:rPr>
                <w:szCs w:val="22"/>
              </w:rPr>
            </w:pPr>
            <w:r w:rsidRPr="007E4DA1">
              <w:rPr>
                <w:szCs w:val="22"/>
              </w:rPr>
              <w:t>Zaburzenia nerek i dróg moczowych</w:t>
            </w:r>
          </w:p>
        </w:tc>
        <w:tc>
          <w:tcPr>
            <w:tcW w:w="1309" w:type="dxa"/>
            <w:shd w:val="clear" w:color="auto" w:fill="auto"/>
          </w:tcPr>
          <w:p w14:paraId="6B074170" w14:textId="77777777" w:rsidR="00C551EC" w:rsidRPr="007E4DA1" w:rsidRDefault="00C551EC" w:rsidP="001A6584">
            <w:pPr>
              <w:keepLines/>
              <w:autoSpaceDE w:val="0"/>
              <w:autoSpaceDN w:val="0"/>
              <w:adjustRightInd w:val="0"/>
              <w:rPr>
                <w:szCs w:val="22"/>
              </w:rPr>
            </w:pPr>
            <w:r w:rsidRPr="007E4DA1">
              <w:rPr>
                <w:szCs w:val="22"/>
              </w:rPr>
              <w:t>Często</w:t>
            </w:r>
          </w:p>
        </w:tc>
        <w:tc>
          <w:tcPr>
            <w:tcW w:w="4957" w:type="dxa"/>
            <w:shd w:val="clear" w:color="auto" w:fill="auto"/>
          </w:tcPr>
          <w:p w14:paraId="10665842" w14:textId="77777777" w:rsidR="00C551EC" w:rsidRPr="007E4DA1" w:rsidRDefault="00C551EC" w:rsidP="00DF1403">
            <w:pPr>
              <w:keepLines/>
              <w:ind w:left="0" w:firstLine="0"/>
              <w:rPr>
                <w:szCs w:val="22"/>
              </w:rPr>
            </w:pPr>
            <w:r w:rsidRPr="007E4DA1">
              <w:rPr>
                <w:szCs w:val="22"/>
              </w:rPr>
              <w:t>Nieprawidłowa barwa moczu</w:t>
            </w:r>
          </w:p>
        </w:tc>
      </w:tr>
      <w:tr w:rsidR="00C551EC" w:rsidRPr="007E4DA1" w14:paraId="71E0FF7A" w14:textId="77777777" w:rsidTr="00DF1403">
        <w:trPr>
          <w:cantSplit/>
        </w:trPr>
        <w:tc>
          <w:tcPr>
            <w:tcW w:w="2943" w:type="dxa"/>
            <w:vMerge w:val="restart"/>
            <w:shd w:val="clear" w:color="auto" w:fill="auto"/>
          </w:tcPr>
          <w:p w14:paraId="628378A8" w14:textId="77777777" w:rsidR="00C551EC" w:rsidRPr="007E4DA1" w:rsidRDefault="00C551EC" w:rsidP="001A6584">
            <w:pPr>
              <w:keepNext/>
              <w:keepLines/>
              <w:ind w:left="0" w:firstLine="0"/>
              <w:rPr>
                <w:szCs w:val="22"/>
              </w:rPr>
            </w:pPr>
            <w:r w:rsidRPr="007E4DA1">
              <w:rPr>
                <w:szCs w:val="22"/>
              </w:rPr>
              <w:t>Zaburzenia ogólne i stany w miejscu podania</w:t>
            </w:r>
          </w:p>
        </w:tc>
        <w:tc>
          <w:tcPr>
            <w:tcW w:w="1309" w:type="dxa"/>
            <w:shd w:val="clear" w:color="auto" w:fill="auto"/>
          </w:tcPr>
          <w:p w14:paraId="68B8BE0A" w14:textId="77777777" w:rsidR="00C551EC" w:rsidRPr="007E4DA1" w:rsidRDefault="00C551EC" w:rsidP="001A6584">
            <w:pPr>
              <w:keepNext/>
              <w:keepLines/>
              <w:autoSpaceDE w:val="0"/>
              <w:autoSpaceDN w:val="0"/>
              <w:adjustRightInd w:val="0"/>
              <w:ind w:left="0" w:firstLine="0"/>
              <w:rPr>
                <w:szCs w:val="22"/>
              </w:rPr>
            </w:pPr>
            <w:r w:rsidRPr="007E4DA1">
              <w:rPr>
                <w:szCs w:val="22"/>
              </w:rPr>
              <w:t>Bardzo często</w:t>
            </w:r>
          </w:p>
        </w:tc>
        <w:tc>
          <w:tcPr>
            <w:tcW w:w="4957" w:type="dxa"/>
            <w:shd w:val="clear" w:color="auto" w:fill="auto"/>
          </w:tcPr>
          <w:p w14:paraId="125F6CE3" w14:textId="77777777" w:rsidR="00C551EC" w:rsidRPr="007E4DA1" w:rsidRDefault="00C551EC" w:rsidP="00DF1403">
            <w:pPr>
              <w:keepNext/>
              <w:keepLines/>
              <w:ind w:left="0" w:firstLine="0"/>
              <w:rPr>
                <w:szCs w:val="22"/>
              </w:rPr>
            </w:pPr>
            <w:r w:rsidRPr="007E4DA1">
              <w:rPr>
                <w:szCs w:val="22"/>
              </w:rPr>
              <w:t>Uczucie zmęczenia, gorączka, dreszcze</w:t>
            </w:r>
          </w:p>
        </w:tc>
      </w:tr>
      <w:tr w:rsidR="00C551EC" w:rsidRPr="007E4DA1" w14:paraId="2682FC47" w14:textId="77777777" w:rsidTr="00DF1403">
        <w:trPr>
          <w:cantSplit/>
        </w:trPr>
        <w:tc>
          <w:tcPr>
            <w:tcW w:w="2943" w:type="dxa"/>
            <w:vMerge/>
            <w:shd w:val="clear" w:color="auto" w:fill="auto"/>
          </w:tcPr>
          <w:p w14:paraId="5FB5E24E" w14:textId="77777777" w:rsidR="00C551EC" w:rsidRPr="007E4DA1" w:rsidRDefault="00C551EC" w:rsidP="001A6584">
            <w:pPr>
              <w:keepNext/>
              <w:keepLines/>
              <w:rPr>
                <w:szCs w:val="22"/>
              </w:rPr>
            </w:pPr>
          </w:p>
        </w:tc>
        <w:tc>
          <w:tcPr>
            <w:tcW w:w="1309" w:type="dxa"/>
            <w:shd w:val="clear" w:color="auto" w:fill="auto"/>
          </w:tcPr>
          <w:p w14:paraId="5FB7B542" w14:textId="77777777" w:rsidR="00C551EC" w:rsidRPr="007E4DA1" w:rsidRDefault="00C551EC" w:rsidP="001A6584">
            <w:pPr>
              <w:keepNext/>
              <w:keepLines/>
              <w:autoSpaceDE w:val="0"/>
              <w:autoSpaceDN w:val="0"/>
              <w:adjustRightInd w:val="0"/>
              <w:rPr>
                <w:szCs w:val="22"/>
              </w:rPr>
            </w:pPr>
            <w:r w:rsidRPr="007E4DA1">
              <w:rPr>
                <w:szCs w:val="22"/>
              </w:rPr>
              <w:t>Często</w:t>
            </w:r>
          </w:p>
        </w:tc>
        <w:tc>
          <w:tcPr>
            <w:tcW w:w="4957" w:type="dxa"/>
            <w:shd w:val="clear" w:color="auto" w:fill="auto"/>
          </w:tcPr>
          <w:p w14:paraId="25B18689" w14:textId="77777777" w:rsidR="00C551EC" w:rsidRPr="007E4DA1" w:rsidRDefault="00C551EC" w:rsidP="00DF1403">
            <w:pPr>
              <w:keepNext/>
              <w:keepLines/>
              <w:ind w:left="0" w:firstLine="0"/>
              <w:rPr>
                <w:szCs w:val="22"/>
              </w:rPr>
            </w:pPr>
            <w:r w:rsidRPr="007E4DA1">
              <w:rPr>
                <w:szCs w:val="22"/>
              </w:rPr>
              <w:t>Osłabienie, obrzęki obwodowe, złe samopoczucie</w:t>
            </w:r>
          </w:p>
        </w:tc>
      </w:tr>
      <w:tr w:rsidR="00C551EC" w:rsidRPr="007E4DA1" w14:paraId="0002C3DC" w14:textId="77777777" w:rsidTr="00DF1403">
        <w:trPr>
          <w:cantSplit/>
        </w:trPr>
        <w:tc>
          <w:tcPr>
            <w:tcW w:w="2943" w:type="dxa"/>
            <w:shd w:val="clear" w:color="auto" w:fill="auto"/>
          </w:tcPr>
          <w:p w14:paraId="0A1506B7" w14:textId="77777777" w:rsidR="00C551EC" w:rsidRPr="007E4DA1" w:rsidRDefault="00C551EC" w:rsidP="001A6584">
            <w:pPr>
              <w:keepLines/>
              <w:rPr>
                <w:szCs w:val="22"/>
              </w:rPr>
            </w:pPr>
            <w:r w:rsidRPr="007E4DA1">
              <w:rPr>
                <w:szCs w:val="22"/>
              </w:rPr>
              <w:t>Badania diagnostyczne</w:t>
            </w:r>
          </w:p>
        </w:tc>
        <w:tc>
          <w:tcPr>
            <w:tcW w:w="1309" w:type="dxa"/>
            <w:shd w:val="clear" w:color="auto" w:fill="auto"/>
          </w:tcPr>
          <w:p w14:paraId="63AF4291" w14:textId="77777777" w:rsidR="00C551EC" w:rsidRPr="007E4DA1" w:rsidRDefault="00C551EC" w:rsidP="001A6584">
            <w:pPr>
              <w:keepLines/>
              <w:autoSpaceDE w:val="0"/>
              <w:autoSpaceDN w:val="0"/>
              <w:adjustRightInd w:val="0"/>
              <w:rPr>
                <w:szCs w:val="22"/>
              </w:rPr>
            </w:pPr>
            <w:r w:rsidRPr="007E4DA1">
              <w:rPr>
                <w:szCs w:val="22"/>
              </w:rPr>
              <w:t>Często</w:t>
            </w:r>
          </w:p>
        </w:tc>
        <w:tc>
          <w:tcPr>
            <w:tcW w:w="4957" w:type="dxa"/>
            <w:shd w:val="clear" w:color="auto" w:fill="auto"/>
          </w:tcPr>
          <w:p w14:paraId="55999555" w14:textId="77777777" w:rsidR="00C551EC" w:rsidRPr="007E4DA1" w:rsidRDefault="00C551EC" w:rsidP="00DF1403">
            <w:pPr>
              <w:keepLines/>
              <w:ind w:left="0" w:firstLine="0"/>
              <w:rPr>
                <w:szCs w:val="22"/>
              </w:rPr>
            </w:pPr>
            <w:r w:rsidRPr="007E4DA1">
              <w:rPr>
                <w:szCs w:val="22"/>
              </w:rPr>
              <w:t>Zwiększenie aktywności fosfokinazy kreatynowej we krwi</w:t>
            </w:r>
          </w:p>
        </w:tc>
      </w:tr>
    </w:tbl>
    <w:p w14:paraId="4DEB4201" w14:textId="77777777" w:rsidR="00D45872" w:rsidRPr="007E4DA1" w:rsidRDefault="00D45872" w:rsidP="001A6584">
      <w:pPr>
        <w:tabs>
          <w:tab w:val="left" w:pos="142"/>
        </w:tabs>
        <w:ind w:left="0" w:firstLine="0"/>
      </w:pPr>
    </w:p>
    <w:p w14:paraId="33CA9BBB" w14:textId="77777777" w:rsidR="00041A08" w:rsidRPr="00041A08" w:rsidRDefault="00802FF6" w:rsidP="001A6584">
      <w:pPr>
        <w:keepNext/>
        <w:tabs>
          <w:tab w:val="left" w:pos="142"/>
        </w:tabs>
        <w:ind w:left="0" w:firstLine="0"/>
        <w:rPr>
          <w:szCs w:val="22"/>
        </w:rPr>
      </w:pPr>
      <w:r w:rsidRPr="007E4DA1">
        <w:rPr>
          <w:u w:val="single"/>
        </w:rPr>
        <w:t>Opis wybranych działań niepożądanych</w:t>
      </w:r>
    </w:p>
    <w:p w14:paraId="18B560E1" w14:textId="6858DAB1" w:rsidR="00802FF6" w:rsidRPr="007E4DA1" w:rsidRDefault="00802FF6" w:rsidP="001A6584">
      <w:pPr>
        <w:keepNext/>
        <w:tabs>
          <w:tab w:val="left" w:pos="142"/>
        </w:tabs>
        <w:ind w:left="0" w:firstLine="0"/>
        <w:rPr>
          <w:color w:val="000000"/>
          <w:szCs w:val="22"/>
        </w:rPr>
      </w:pPr>
    </w:p>
    <w:p w14:paraId="6DD6D124" w14:textId="77777777" w:rsidR="00041A08" w:rsidRPr="00041A08" w:rsidRDefault="00802FF6" w:rsidP="001A6584">
      <w:pPr>
        <w:keepNext/>
        <w:tabs>
          <w:tab w:val="left" w:pos="142"/>
        </w:tabs>
        <w:ind w:left="0" w:firstLine="0"/>
        <w:rPr>
          <w:color w:val="000000"/>
          <w:szCs w:val="22"/>
        </w:rPr>
      </w:pPr>
      <w:r w:rsidRPr="007E4DA1">
        <w:rPr>
          <w:i/>
          <w:color w:val="000000"/>
          <w:szCs w:val="22"/>
          <w:u w:val="single"/>
        </w:rPr>
        <w:t xml:space="preserve">Incydenty zakrzepowe </w:t>
      </w:r>
      <w:r w:rsidR="00784D80" w:rsidRPr="007E4DA1">
        <w:rPr>
          <w:i/>
          <w:color w:val="000000"/>
          <w:szCs w:val="22"/>
          <w:u w:val="single"/>
        </w:rPr>
        <w:t xml:space="preserve">/ </w:t>
      </w:r>
      <w:r w:rsidRPr="007E4DA1">
        <w:rPr>
          <w:i/>
          <w:color w:val="000000"/>
          <w:szCs w:val="22"/>
          <w:u w:val="single"/>
        </w:rPr>
        <w:t>zakrzepowo-zatorowe</w:t>
      </w:r>
    </w:p>
    <w:p w14:paraId="4E194345" w14:textId="7EC53031" w:rsidR="00802FF6" w:rsidRPr="007E4DA1" w:rsidRDefault="00802FF6" w:rsidP="001A6584">
      <w:pPr>
        <w:keepNext/>
        <w:tabs>
          <w:tab w:val="left" w:pos="142"/>
        </w:tabs>
        <w:ind w:left="0" w:firstLine="0"/>
        <w:rPr>
          <w:szCs w:val="22"/>
        </w:rPr>
      </w:pPr>
    </w:p>
    <w:p w14:paraId="3A369C70" w14:textId="77777777" w:rsidR="00802FF6" w:rsidRPr="007E4DA1" w:rsidRDefault="00802FF6" w:rsidP="001A6584">
      <w:pPr>
        <w:tabs>
          <w:tab w:val="left" w:pos="142"/>
        </w:tabs>
        <w:ind w:left="0" w:firstLine="0"/>
      </w:pPr>
      <w:r w:rsidRPr="007E4DA1">
        <w:t>W 3</w:t>
      </w:r>
      <w:r w:rsidR="00880214" w:rsidRPr="007E4DA1">
        <w:t> </w:t>
      </w:r>
      <w:r w:rsidRPr="007E4DA1">
        <w:t>kontrolowanych i 2</w:t>
      </w:r>
      <w:r w:rsidR="00880214" w:rsidRPr="007E4DA1">
        <w:t> </w:t>
      </w:r>
      <w:r w:rsidRPr="007E4DA1">
        <w:t xml:space="preserve">niekontrolowanych badaniach klinicznych prowadzonych u dorosłych pacjentów z </w:t>
      </w:r>
      <w:r w:rsidRPr="007E4DA1">
        <w:rPr>
          <w:szCs w:val="22"/>
        </w:rPr>
        <w:t>pierwotną małopłytkowością immunologiczną</w:t>
      </w:r>
      <w:r w:rsidRPr="007E4DA1">
        <w:t xml:space="preserve"> przyjmujących eltrombopag (n=446) u 17</w:t>
      </w:r>
      <w:r w:rsidR="002B3D7F" w:rsidRPr="007E4DA1">
        <w:t> </w:t>
      </w:r>
      <w:r w:rsidRPr="007E4DA1">
        <w:t>pacjentów doszło w sumie do 19 incydentów zakrzepowo-zatorowych, w tym (w kolejności zmniejszającej się częstości występowania) do zakrzepicy żył głębokich</w:t>
      </w:r>
      <w:r w:rsidRPr="007E4DA1">
        <w:rPr>
          <w:szCs w:val="22"/>
        </w:rPr>
        <w:t xml:space="preserve"> (n=6)</w:t>
      </w:r>
      <w:r w:rsidRPr="007E4DA1">
        <w:t xml:space="preserve">, zatorowości płucnej </w:t>
      </w:r>
      <w:r w:rsidRPr="007E4DA1">
        <w:rPr>
          <w:szCs w:val="22"/>
        </w:rPr>
        <w:t>(n=6)</w:t>
      </w:r>
      <w:r w:rsidRPr="007E4DA1">
        <w:t xml:space="preserve">, ostrego zawału mięśnia sercowego </w:t>
      </w:r>
      <w:r w:rsidRPr="007E4DA1">
        <w:rPr>
          <w:szCs w:val="22"/>
        </w:rPr>
        <w:t>(n=2)</w:t>
      </w:r>
      <w:r w:rsidRPr="007E4DA1">
        <w:t xml:space="preserve">, zawału mózgu </w:t>
      </w:r>
      <w:r w:rsidRPr="007E4DA1">
        <w:rPr>
          <w:szCs w:val="22"/>
        </w:rPr>
        <w:t>(n=2)</w:t>
      </w:r>
      <w:r w:rsidRPr="007E4DA1">
        <w:t xml:space="preserve">, zatoru </w:t>
      </w:r>
      <w:r w:rsidRPr="007E4DA1">
        <w:rPr>
          <w:szCs w:val="22"/>
        </w:rPr>
        <w:t>(n=1)</w:t>
      </w:r>
      <w:r w:rsidRPr="007E4DA1">
        <w:t xml:space="preserve"> (patrz punkt</w:t>
      </w:r>
      <w:r w:rsidR="002B3D7F" w:rsidRPr="007E4DA1">
        <w:t> </w:t>
      </w:r>
      <w:r w:rsidRPr="007E4DA1">
        <w:t>4.4).</w:t>
      </w:r>
    </w:p>
    <w:p w14:paraId="5C1C48FB" w14:textId="77777777" w:rsidR="00802FF6" w:rsidRPr="007E4DA1" w:rsidRDefault="00802FF6" w:rsidP="001A6584">
      <w:pPr>
        <w:tabs>
          <w:tab w:val="left" w:pos="142"/>
        </w:tabs>
        <w:ind w:left="0" w:firstLine="0"/>
        <w:rPr>
          <w:szCs w:val="22"/>
        </w:rPr>
      </w:pPr>
    </w:p>
    <w:p w14:paraId="4428AC49" w14:textId="77777777" w:rsidR="00802FF6" w:rsidRPr="007E4DA1" w:rsidRDefault="00802FF6" w:rsidP="001A6584">
      <w:pPr>
        <w:tabs>
          <w:tab w:val="left" w:pos="142"/>
        </w:tabs>
        <w:ind w:left="0" w:firstLine="0"/>
        <w:rPr>
          <w:szCs w:val="22"/>
        </w:rPr>
      </w:pPr>
      <w:r w:rsidRPr="007E4DA1">
        <w:rPr>
          <w:szCs w:val="22"/>
        </w:rPr>
        <w:t>W badaniu klinicznym kontrolowanym placebo (n=288, populacja, w której oceniano bezpieczeństwo stosowania) po dwóch tygodniach leczenia w celu przygotowania do procedur inwazyjnych u 6 spośród 143 (4%) dorosłych pacjentów z przewlekłą chorobą wątroby otrzymujących eltrombopag stwierdzono 7 incydentów zakrzepowo-zatorowych w obrębie układu żyły wrotnej oraz u 2 spośród 145 (1%) pacjentów z grupy placebo wystąpiły 3 incydenty zakrzepowo-zatorowe. U pięciu z 6</w:t>
      </w:r>
      <w:r w:rsidR="002B3D7F" w:rsidRPr="007E4DA1">
        <w:rPr>
          <w:szCs w:val="22"/>
        </w:rPr>
        <w:t> </w:t>
      </w:r>
      <w:r w:rsidRPr="007E4DA1">
        <w:rPr>
          <w:szCs w:val="22"/>
        </w:rPr>
        <w:t>pacjentów leczonych eltrombopagiem stwierdzono incydenty zakrzepowo zatorowe przy liczbie płytek &gt;200 000/µl.</w:t>
      </w:r>
    </w:p>
    <w:p w14:paraId="676643F5" w14:textId="77777777" w:rsidR="00802FF6" w:rsidRPr="007E4DA1" w:rsidRDefault="00802FF6" w:rsidP="001A6584">
      <w:pPr>
        <w:tabs>
          <w:tab w:val="left" w:pos="142"/>
        </w:tabs>
        <w:ind w:left="0" w:firstLine="0"/>
        <w:rPr>
          <w:szCs w:val="22"/>
        </w:rPr>
      </w:pPr>
    </w:p>
    <w:p w14:paraId="594A0D3B" w14:textId="77777777" w:rsidR="00802FF6" w:rsidRPr="007E4DA1" w:rsidRDefault="00802FF6" w:rsidP="001A6584">
      <w:pPr>
        <w:tabs>
          <w:tab w:val="left" w:pos="142"/>
        </w:tabs>
        <w:ind w:left="0" w:firstLine="0"/>
        <w:rPr>
          <w:szCs w:val="22"/>
        </w:rPr>
      </w:pPr>
      <w:r w:rsidRPr="007E4DA1">
        <w:rPr>
          <w:szCs w:val="22"/>
        </w:rPr>
        <w:t>Oprócz liczby płytek ≥200 000/µl nie zidentyfikowano szczególnych czynników ryzyka u pacjentów, u których stwierdzono incydenty zakrzepowo-zatorowe</w:t>
      </w:r>
      <w:r w:rsidR="00640C9D" w:rsidRPr="007E4DA1">
        <w:rPr>
          <w:szCs w:val="22"/>
        </w:rPr>
        <w:t xml:space="preserve"> (patrz punkt 4.4)</w:t>
      </w:r>
      <w:r w:rsidRPr="007E4DA1">
        <w:rPr>
          <w:szCs w:val="22"/>
        </w:rPr>
        <w:t>.</w:t>
      </w:r>
    </w:p>
    <w:p w14:paraId="08EA7A9C" w14:textId="77777777" w:rsidR="00802FF6" w:rsidRPr="007E4DA1" w:rsidRDefault="00802FF6" w:rsidP="001A6584">
      <w:pPr>
        <w:tabs>
          <w:tab w:val="left" w:pos="142"/>
        </w:tabs>
        <w:ind w:left="0" w:firstLine="0"/>
        <w:rPr>
          <w:szCs w:val="22"/>
        </w:rPr>
      </w:pPr>
    </w:p>
    <w:p w14:paraId="266E74E9" w14:textId="09ED5955" w:rsidR="00802FF6" w:rsidRPr="007E4DA1" w:rsidRDefault="00802FF6" w:rsidP="001A6584">
      <w:pPr>
        <w:tabs>
          <w:tab w:val="left" w:pos="142"/>
        </w:tabs>
        <w:ind w:left="0" w:firstLine="0"/>
      </w:pPr>
      <w:r w:rsidRPr="007E4DA1">
        <w:t>W kontrolowanych badaniach z udziałem pacjentów z małopłytkowością i zakażeniem wirusem WZW C (n=1</w:t>
      </w:r>
      <w:r w:rsidR="00C12D0D" w:rsidRPr="007E4DA1">
        <w:t> </w:t>
      </w:r>
      <w:r w:rsidRPr="007E4DA1">
        <w:t>439), incydenty zakrzepowo-zatorowe wystąpiły u 38 z 955 pacjentów (4%) leczonych eltrombopagiem oraz u 6 z 484 pacjentów (1%) w grupie placebo. Najczęstszym incydentem zakrzepowo-zatorowym w obu grupach leczenia była zakrzepica żyły wrotnej (zaburzenie to wystąpiło u 2% pacjentów leczonych eltrombopagiem oraz u &lt;</w:t>
      </w:r>
      <w:r w:rsidR="002B3D7F" w:rsidRPr="007E4DA1">
        <w:t> </w:t>
      </w:r>
      <w:r w:rsidRPr="007E4DA1">
        <w:t>1% pacjentów otrzymujących placebo) (patrz punkt 4.4). U pacjentów ze zmniejszonym stężeniem</w:t>
      </w:r>
      <w:r w:rsidR="003577F9" w:rsidRPr="007E4DA1">
        <w:t xml:space="preserve"> </w:t>
      </w:r>
      <w:r w:rsidRPr="007E4DA1">
        <w:t xml:space="preserve">albumin (≤35 g/l) lub z wynikiem ≥10 w skali MELD ryzyko wystąpienia incydentu zakrzepowo-zatorowego było </w:t>
      </w:r>
      <w:r w:rsidR="007A3FF7" w:rsidRPr="007E4DA1">
        <w:t>2</w:t>
      </w:r>
      <w:r w:rsidR="002F1C27" w:rsidRPr="007E4DA1">
        <w:t> </w:t>
      </w:r>
      <w:r w:rsidR="007A3FF7" w:rsidRPr="007E4DA1">
        <w:t>razy</w:t>
      </w:r>
      <w:r w:rsidRPr="007E4DA1">
        <w:t xml:space="preserve"> wyższe niż u pacjentów z większym stężeniem albumin; w grupie pacjentów w wieku ≥60 lat ryzyko wystąpienia incydentu zakrzepowo-zatorowego było dwukrotnie większe niż u pacjentów młodszych.</w:t>
      </w:r>
    </w:p>
    <w:p w14:paraId="7687D7FF" w14:textId="77777777" w:rsidR="00802FF6" w:rsidRPr="007E4DA1" w:rsidRDefault="00802FF6" w:rsidP="001A6584">
      <w:pPr>
        <w:tabs>
          <w:tab w:val="left" w:pos="142"/>
        </w:tabs>
        <w:ind w:left="0" w:firstLine="0"/>
        <w:rPr>
          <w:szCs w:val="22"/>
        </w:rPr>
      </w:pPr>
    </w:p>
    <w:p w14:paraId="7070A943" w14:textId="77777777" w:rsidR="00041A08" w:rsidRPr="00041A08" w:rsidRDefault="00802FF6" w:rsidP="001A6584">
      <w:pPr>
        <w:keepNext/>
        <w:tabs>
          <w:tab w:val="left" w:pos="142"/>
        </w:tabs>
        <w:ind w:left="0" w:firstLine="0"/>
        <w:rPr>
          <w:szCs w:val="22"/>
        </w:rPr>
      </w:pPr>
      <w:r w:rsidRPr="007E4DA1">
        <w:rPr>
          <w:i/>
          <w:u w:val="single"/>
        </w:rPr>
        <w:t>Dekompensacja czynności wątroby (podczas stosowania równocześnie z interferonem)</w:t>
      </w:r>
    </w:p>
    <w:p w14:paraId="592EA270" w14:textId="65225055" w:rsidR="00802FF6" w:rsidRPr="007E4DA1" w:rsidRDefault="00802FF6" w:rsidP="001A6584">
      <w:pPr>
        <w:keepNext/>
        <w:tabs>
          <w:tab w:val="left" w:pos="142"/>
        </w:tabs>
        <w:ind w:left="0" w:firstLine="0"/>
        <w:rPr>
          <w:szCs w:val="22"/>
        </w:rPr>
      </w:pPr>
    </w:p>
    <w:p w14:paraId="6D1A7927" w14:textId="77777777" w:rsidR="00802FF6" w:rsidRPr="007E4DA1" w:rsidRDefault="00802FF6" w:rsidP="001A6584">
      <w:pPr>
        <w:tabs>
          <w:tab w:val="left" w:pos="142"/>
        </w:tabs>
        <w:ind w:left="0" w:firstLine="0"/>
        <w:rPr>
          <w:szCs w:val="22"/>
        </w:rPr>
      </w:pPr>
      <w:r w:rsidRPr="007E4DA1">
        <w:t>Pacjenci z przewlekłym zakażeniem wirusem WZW C i marskością wątroby mogą być w grupie zwiększonego ryzyka dekompensacji czynności wątroby podczas otrzymywania leczenia interferonem alfa. W 2 kontrolowanych badaniach klinicznych z udziałem pacjentów z małopłytkowością i zakażeniem wirusem WZW C, dekompensację czynności wątroby (wodobrzusze, encefalopatia wątrobowa, krwawienie z żylaków, spontaniczne bakteryjne zapalenie otrzewnej) obserwowano częściej w grupie eltrombopagu (11%) niż w grupie placebo (6%). U pacjentów z</w:t>
      </w:r>
      <w:r w:rsidR="00871AA9" w:rsidRPr="007E4DA1">
        <w:t xml:space="preserve">e zmniejszonym </w:t>
      </w:r>
      <w:r w:rsidR="00E34F0A" w:rsidRPr="007E4DA1">
        <w:t>stężeni</w:t>
      </w:r>
      <w:r w:rsidRPr="007E4DA1">
        <w:t xml:space="preserve">em albumin (≤35 g/l) lub wyjściowym wynikiem ≥10 w skali MELD ryzyko dekompensacji czynności wątroby było </w:t>
      </w:r>
      <w:r w:rsidR="007A3FF7" w:rsidRPr="007E4DA1">
        <w:t>3</w:t>
      </w:r>
      <w:r w:rsidR="002F1C27" w:rsidRPr="007E4DA1">
        <w:t> </w:t>
      </w:r>
      <w:r w:rsidR="007A3FF7" w:rsidRPr="007E4DA1">
        <w:t>razy</w:t>
      </w:r>
      <w:r w:rsidRPr="007E4DA1">
        <w:t xml:space="preserve"> większe, jak też częściej występowały zdarzenia niepożądane ze skutkiem śmiertelnym niż wśród pacjentów z mniej zaawansowaną chorobą wątroby. Eltrombopag należy podawać takim pacjentom tylko po starannym rozważeniu spodziewanych korzyści w stosunku do ryzyka. Pacjentów z tej grupy należy uważnie monitorować </w:t>
      </w:r>
      <w:r w:rsidR="00E34F0A" w:rsidRPr="007E4DA1">
        <w:t>w celu wykrycia</w:t>
      </w:r>
      <w:r w:rsidRPr="007E4DA1">
        <w:t xml:space="preserve"> występowania objawów przedmiotowych lub podmiotowych dekompensacji czynności wątroby (patrz punkt 4.4).</w:t>
      </w:r>
    </w:p>
    <w:p w14:paraId="2BA6BE89" w14:textId="77777777" w:rsidR="00802FF6" w:rsidRPr="007E4DA1" w:rsidRDefault="00802FF6" w:rsidP="001A6584">
      <w:pPr>
        <w:tabs>
          <w:tab w:val="left" w:pos="142"/>
        </w:tabs>
        <w:ind w:left="0" w:firstLine="0"/>
        <w:rPr>
          <w:szCs w:val="22"/>
        </w:rPr>
      </w:pPr>
    </w:p>
    <w:p w14:paraId="36E860DE" w14:textId="77777777" w:rsidR="007A3FF7" w:rsidRPr="007E4DA1" w:rsidRDefault="007A3FF7" w:rsidP="001A6584">
      <w:pPr>
        <w:keepNext/>
        <w:tabs>
          <w:tab w:val="left" w:pos="142"/>
        </w:tabs>
        <w:ind w:left="0" w:firstLine="0"/>
        <w:rPr>
          <w:szCs w:val="22"/>
        </w:rPr>
      </w:pPr>
      <w:r w:rsidRPr="007E4DA1">
        <w:rPr>
          <w:i/>
          <w:szCs w:val="22"/>
          <w:u w:val="single"/>
        </w:rPr>
        <w:t>Toksyczne działanie na wątrobę</w:t>
      </w:r>
    </w:p>
    <w:p w14:paraId="0BD8E8FD" w14:textId="77777777" w:rsidR="007A3FF7" w:rsidRPr="007E4DA1" w:rsidRDefault="007A3FF7" w:rsidP="001A6584">
      <w:pPr>
        <w:keepNext/>
        <w:tabs>
          <w:tab w:val="left" w:pos="142"/>
        </w:tabs>
        <w:ind w:left="0" w:firstLine="0"/>
        <w:rPr>
          <w:szCs w:val="22"/>
        </w:rPr>
      </w:pPr>
    </w:p>
    <w:p w14:paraId="1B6ED833" w14:textId="77777777" w:rsidR="007A3FF7" w:rsidRPr="007E4DA1" w:rsidRDefault="00BB2FD7" w:rsidP="001A6584">
      <w:pPr>
        <w:tabs>
          <w:tab w:val="left" w:pos="142"/>
        </w:tabs>
        <w:ind w:left="0" w:firstLine="0"/>
        <w:rPr>
          <w:szCs w:val="22"/>
        </w:rPr>
      </w:pPr>
      <w:r w:rsidRPr="007E4DA1">
        <w:rPr>
          <w:szCs w:val="22"/>
        </w:rPr>
        <w:t>W kontrolowanych badaniach klinicznych ze stosowaniem eltrombopagu w przewlekłej ITP obserwowano zwiększenie aktywności AlAT, AspA</w:t>
      </w:r>
      <w:r w:rsidR="001547B7" w:rsidRPr="007E4DA1">
        <w:rPr>
          <w:szCs w:val="22"/>
        </w:rPr>
        <w:t>T</w:t>
      </w:r>
      <w:r w:rsidRPr="007E4DA1">
        <w:rPr>
          <w:szCs w:val="22"/>
        </w:rPr>
        <w:t xml:space="preserve"> i stężenia bilirubiny w surowicy (patrz punkt 4.4).</w:t>
      </w:r>
    </w:p>
    <w:p w14:paraId="0668EF67" w14:textId="77777777" w:rsidR="00BB2FD7" w:rsidRPr="007E4DA1" w:rsidRDefault="00BB2FD7" w:rsidP="001A6584">
      <w:pPr>
        <w:tabs>
          <w:tab w:val="left" w:pos="142"/>
        </w:tabs>
        <w:ind w:left="0" w:firstLine="0"/>
        <w:rPr>
          <w:szCs w:val="22"/>
        </w:rPr>
      </w:pPr>
    </w:p>
    <w:p w14:paraId="02B4F1DA" w14:textId="77777777" w:rsidR="00BB2FD7" w:rsidRPr="007E4DA1" w:rsidRDefault="00BB2FD7" w:rsidP="001A6584">
      <w:pPr>
        <w:tabs>
          <w:tab w:val="left" w:pos="142"/>
        </w:tabs>
        <w:ind w:left="0" w:firstLine="0"/>
        <w:rPr>
          <w:szCs w:val="22"/>
        </w:rPr>
      </w:pPr>
      <w:r w:rsidRPr="007E4DA1">
        <w:rPr>
          <w:szCs w:val="22"/>
        </w:rPr>
        <w:t xml:space="preserve">Zmiany te były w większości łagodne (stopnia 1-2), odwracalne i nie towarzyszyły im klinicznie istotne objawy wskazujące na zaburzenia czynności wątroby. W 3 badaniach kontrolowanych placebo prowadzonych z udziałem dorosłych pacjentów z przewlekłą ITP u 1 pacjenta z grupy placebo i 1 pacjenta z grupy eltrombopagu wystąpiły nieprawidłowe wyniki badania czynności wątroby stopnia 4. W dwóch badaniach kontrolowanych placebo z udziałem dzieci i młodzieży (w wieku od 1 do 17 lat) z przewlekłą ITP </w:t>
      </w:r>
      <w:r w:rsidR="001547B7" w:rsidRPr="007E4DA1">
        <w:rPr>
          <w:szCs w:val="22"/>
        </w:rPr>
        <w:t xml:space="preserve">aktywność </w:t>
      </w:r>
      <w:r w:rsidRPr="007E4DA1">
        <w:rPr>
          <w:szCs w:val="22"/>
        </w:rPr>
        <w:t>AlAT ≥3</w:t>
      </w:r>
      <w:r w:rsidR="00E77041" w:rsidRPr="007E4DA1">
        <w:rPr>
          <w:szCs w:val="22"/>
        </w:rPr>
        <w:t> </w:t>
      </w:r>
      <w:r w:rsidRPr="007E4DA1">
        <w:rPr>
          <w:szCs w:val="22"/>
        </w:rPr>
        <w:t>x</w:t>
      </w:r>
      <w:r w:rsidR="00E77041" w:rsidRPr="007E4DA1">
        <w:rPr>
          <w:szCs w:val="22"/>
        </w:rPr>
        <w:t> </w:t>
      </w:r>
      <w:r w:rsidRPr="007E4DA1">
        <w:rPr>
          <w:szCs w:val="22"/>
        </w:rPr>
        <w:t>GGN zgłaszano u 4,7% pacjentów z grupy eltrombopagu i 0% pacjentów z grupy placebo.</w:t>
      </w:r>
    </w:p>
    <w:p w14:paraId="72AEEAD8" w14:textId="77777777" w:rsidR="00BB2FD7" w:rsidRPr="007E4DA1" w:rsidRDefault="00BB2FD7" w:rsidP="001A6584">
      <w:pPr>
        <w:tabs>
          <w:tab w:val="left" w:pos="142"/>
        </w:tabs>
        <w:ind w:left="0" w:firstLine="0"/>
        <w:rPr>
          <w:szCs w:val="22"/>
        </w:rPr>
      </w:pPr>
    </w:p>
    <w:p w14:paraId="3B745895" w14:textId="77777777" w:rsidR="00BB2FD7" w:rsidRPr="007E4DA1" w:rsidRDefault="00BB2FD7" w:rsidP="001A6584">
      <w:pPr>
        <w:tabs>
          <w:tab w:val="left" w:pos="142"/>
        </w:tabs>
        <w:ind w:left="0" w:firstLine="0"/>
        <w:rPr>
          <w:szCs w:val="22"/>
        </w:rPr>
      </w:pPr>
      <w:r w:rsidRPr="007E4DA1">
        <w:rPr>
          <w:szCs w:val="22"/>
        </w:rPr>
        <w:t>W 2</w:t>
      </w:r>
      <w:r w:rsidR="00E77041" w:rsidRPr="007E4DA1">
        <w:rPr>
          <w:szCs w:val="22"/>
        </w:rPr>
        <w:t> </w:t>
      </w:r>
      <w:r w:rsidRPr="007E4DA1">
        <w:rPr>
          <w:szCs w:val="22"/>
        </w:rPr>
        <w:t xml:space="preserve">kontrolowanych badaniach klinicznych z udziałem pacjentów z WZW C, </w:t>
      </w:r>
      <w:r w:rsidR="001547B7" w:rsidRPr="007E4DA1">
        <w:rPr>
          <w:szCs w:val="22"/>
        </w:rPr>
        <w:t xml:space="preserve">aktywność </w:t>
      </w:r>
      <w:r w:rsidRPr="007E4DA1">
        <w:rPr>
          <w:szCs w:val="22"/>
        </w:rPr>
        <w:t>AlAT lub AspAT ≥3</w:t>
      </w:r>
      <w:r w:rsidR="00E77041" w:rsidRPr="007E4DA1">
        <w:rPr>
          <w:szCs w:val="22"/>
        </w:rPr>
        <w:t> </w:t>
      </w:r>
      <w:r w:rsidRPr="007E4DA1">
        <w:rPr>
          <w:szCs w:val="22"/>
        </w:rPr>
        <w:t>x</w:t>
      </w:r>
      <w:r w:rsidR="00E77041" w:rsidRPr="007E4DA1">
        <w:rPr>
          <w:szCs w:val="22"/>
        </w:rPr>
        <w:t> </w:t>
      </w:r>
      <w:r w:rsidRPr="007E4DA1">
        <w:rPr>
          <w:szCs w:val="22"/>
        </w:rPr>
        <w:t>GGN zgłaszano u 34% i 38% pacjentów odpowiednio z grupy eltrombopagu i placebo. U większości pacjentów otrzymujących eltrombopag w skojarzeniu z peginterferonem / rybawiryną wystąpi pośrednia hiperbilirubinemia. Ogółem, stężenie bilirubiny całkowitej ≥1,5</w:t>
      </w:r>
      <w:r w:rsidR="00E77041" w:rsidRPr="007E4DA1">
        <w:rPr>
          <w:szCs w:val="22"/>
        </w:rPr>
        <w:t> </w:t>
      </w:r>
      <w:r w:rsidRPr="007E4DA1">
        <w:rPr>
          <w:szCs w:val="22"/>
        </w:rPr>
        <w:t>x</w:t>
      </w:r>
      <w:r w:rsidR="00E77041" w:rsidRPr="007E4DA1">
        <w:rPr>
          <w:szCs w:val="22"/>
        </w:rPr>
        <w:t> </w:t>
      </w:r>
      <w:r w:rsidRPr="007E4DA1">
        <w:rPr>
          <w:szCs w:val="22"/>
        </w:rPr>
        <w:t>GGN zgłaszano u 76% i 50% pacjentów odpowiednio z grupy eltrombopagu i placebo.</w:t>
      </w:r>
    </w:p>
    <w:p w14:paraId="79771D20" w14:textId="77777777" w:rsidR="00BB2FD7" w:rsidRPr="007E4DA1" w:rsidRDefault="00BB2FD7" w:rsidP="001A6584">
      <w:pPr>
        <w:tabs>
          <w:tab w:val="left" w:pos="142"/>
        </w:tabs>
        <w:ind w:left="0" w:firstLine="0"/>
        <w:rPr>
          <w:szCs w:val="22"/>
        </w:rPr>
      </w:pPr>
    </w:p>
    <w:p w14:paraId="69A53C06" w14:textId="77777777" w:rsidR="00BB2FD7" w:rsidRPr="007E4DA1" w:rsidRDefault="00BB2FD7" w:rsidP="001A6584">
      <w:pPr>
        <w:tabs>
          <w:tab w:val="left" w:pos="142"/>
        </w:tabs>
        <w:ind w:left="0" w:firstLine="0"/>
        <w:rPr>
          <w:szCs w:val="22"/>
        </w:rPr>
      </w:pPr>
      <w:r w:rsidRPr="007E4DA1">
        <w:rPr>
          <w:szCs w:val="22"/>
        </w:rPr>
        <w:lastRenderedPageBreak/>
        <w:t xml:space="preserve">W badaniu II fazy z jedną grupą terapeutyczną otrzymującą monoterapię z powodu opornej SAA, jednoczesne występowanie </w:t>
      </w:r>
      <w:r w:rsidR="001547B7" w:rsidRPr="007E4DA1">
        <w:rPr>
          <w:szCs w:val="22"/>
        </w:rPr>
        <w:t xml:space="preserve">aktywności </w:t>
      </w:r>
      <w:r w:rsidRPr="007E4DA1">
        <w:rPr>
          <w:szCs w:val="22"/>
        </w:rPr>
        <w:t xml:space="preserve">AlAT </w:t>
      </w:r>
      <w:r w:rsidR="001547B7" w:rsidRPr="007E4DA1">
        <w:rPr>
          <w:szCs w:val="22"/>
        </w:rPr>
        <w:t>lub</w:t>
      </w:r>
      <w:r w:rsidRPr="007E4DA1">
        <w:rPr>
          <w:szCs w:val="22"/>
        </w:rPr>
        <w:t xml:space="preserve"> AspAT &gt;3</w:t>
      </w:r>
      <w:r w:rsidR="00E77041" w:rsidRPr="007E4DA1">
        <w:rPr>
          <w:szCs w:val="22"/>
        </w:rPr>
        <w:t> </w:t>
      </w:r>
      <w:r w:rsidRPr="007E4DA1">
        <w:rPr>
          <w:szCs w:val="22"/>
        </w:rPr>
        <w:t>x</w:t>
      </w:r>
      <w:r w:rsidR="00E77041" w:rsidRPr="007E4DA1">
        <w:rPr>
          <w:szCs w:val="22"/>
        </w:rPr>
        <w:t> </w:t>
      </w:r>
      <w:r w:rsidRPr="007E4DA1">
        <w:rPr>
          <w:szCs w:val="22"/>
        </w:rPr>
        <w:t>GGN przy stężeniu bilirubiny całkowitej (pośredniej) &gt;1,5</w:t>
      </w:r>
      <w:r w:rsidR="00E77041" w:rsidRPr="007E4DA1">
        <w:rPr>
          <w:szCs w:val="22"/>
        </w:rPr>
        <w:t> </w:t>
      </w:r>
      <w:r w:rsidRPr="007E4DA1">
        <w:rPr>
          <w:szCs w:val="22"/>
        </w:rPr>
        <w:t>x</w:t>
      </w:r>
      <w:r w:rsidR="00E77041" w:rsidRPr="007E4DA1">
        <w:rPr>
          <w:szCs w:val="22"/>
        </w:rPr>
        <w:t> </w:t>
      </w:r>
      <w:r w:rsidRPr="007E4DA1">
        <w:rPr>
          <w:szCs w:val="22"/>
        </w:rPr>
        <w:t>GGN zgłaszano u 5% pacjentów. Stężenie bilirubiny całkowitej &gt;1,5</w:t>
      </w:r>
      <w:r w:rsidR="00E77041" w:rsidRPr="007E4DA1">
        <w:rPr>
          <w:szCs w:val="22"/>
        </w:rPr>
        <w:t> </w:t>
      </w:r>
      <w:r w:rsidRPr="007E4DA1">
        <w:rPr>
          <w:szCs w:val="22"/>
        </w:rPr>
        <w:t>x</w:t>
      </w:r>
      <w:r w:rsidR="00E77041" w:rsidRPr="007E4DA1">
        <w:rPr>
          <w:szCs w:val="22"/>
        </w:rPr>
        <w:t> </w:t>
      </w:r>
      <w:r w:rsidRPr="007E4DA1">
        <w:rPr>
          <w:szCs w:val="22"/>
        </w:rPr>
        <w:t>GGN wystąpiło u 14% pacjentów.</w:t>
      </w:r>
    </w:p>
    <w:p w14:paraId="02FCA580" w14:textId="77777777" w:rsidR="00BB2FD7" w:rsidRPr="007E4DA1" w:rsidRDefault="00BB2FD7" w:rsidP="001A6584">
      <w:pPr>
        <w:tabs>
          <w:tab w:val="left" w:pos="142"/>
        </w:tabs>
        <w:ind w:left="0" w:firstLine="0"/>
        <w:rPr>
          <w:szCs w:val="22"/>
        </w:rPr>
      </w:pPr>
    </w:p>
    <w:p w14:paraId="69FF5B9F" w14:textId="77777777" w:rsidR="00041A08" w:rsidRPr="00041A08" w:rsidRDefault="00802FF6" w:rsidP="001A6584">
      <w:pPr>
        <w:keepNext/>
        <w:tabs>
          <w:tab w:val="left" w:pos="142"/>
        </w:tabs>
        <w:ind w:left="0" w:firstLine="0"/>
        <w:rPr>
          <w:szCs w:val="22"/>
        </w:rPr>
      </w:pPr>
      <w:r w:rsidRPr="007E4DA1">
        <w:rPr>
          <w:i/>
          <w:szCs w:val="22"/>
          <w:u w:val="single"/>
        </w:rPr>
        <w:t>Małopłytkowość po przerwaniu leczenia</w:t>
      </w:r>
    </w:p>
    <w:p w14:paraId="27BDD0A1" w14:textId="2D1A6E1F" w:rsidR="00802FF6" w:rsidRPr="007E4DA1" w:rsidRDefault="00802FF6" w:rsidP="001A6584">
      <w:pPr>
        <w:keepNext/>
        <w:tabs>
          <w:tab w:val="left" w:pos="142"/>
        </w:tabs>
        <w:ind w:left="0" w:firstLine="0"/>
        <w:rPr>
          <w:szCs w:val="22"/>
        </w:rPr>
      </w:pPr>
    </w:p>
    <w:p w14:paraId="37F97BA4" w14:textId="77777777" w:rsidR="00802FF6" w:rsidRPr="007E4DA1" w:rsidRDefault="00802FF6" w:rsidP="001A6584">
      <w:pPr>
        <w:tabs>
          <w:tab w:val="left" w:pos="142"/>
        </w:tabs>
        <w:ind w:left="0" w:firstLine="0"/>
      </w:pPr>
      <w:r w:rsidRPr="007E4DA1">
        <w:t>W 3 kontrolowanych badaniach klinicznych dotyczących pierwotnej małopłytkowości immunologicznej po przerwaniu leczenia obserwowano przemijające zmniejszenie liczby płytek krwi poniżej liczby początkowej, odpowiednio u 8% pacjentów z grupy eltrombopagu i u 8% pacjentów z grupy placebo (patrz punkt</w:t>
      </w:r>
      <w:r w:rsidR="002B3D7F" w:rsidRPr="007E4DA1">
        <w:t> </w:t>
      </w:r>
      <w:r w:rsidRPr="007E4DA1">
        <w:t>4.4).</w:t>
      </w:r>
    </w:p>
    <w:p w14:paraId="046AE418" w14:textId="77777777" w:rsidR="00041A08" w:rsidRPr="00041A08" w:rsidRDefault="00041A08" w:rsidP="001A6584">
      <w:pPr>
        <w:tabs>
          <w:tab w:val="left" w:pos="142"/>
        </w:tabs>
        <w:ind w:left="0" w:firstLine="0"/>
        <w:rPr>
          <w:szCs w:val="22"/>
        </w:rPr>
      </w:pPr>
    </w:p>
    <w:p w14:paraId="56BA502B" w14:textId="77777777" w:rsidR="00041A08" w:rsidRPr="00041A08" w:rsidRDefault="00802FF6" w:rsidP="001A6584">
      <w:pPr>
        <w:keepNext/>
        <w:tabs>
          <w:tab w:val="left" w:pos="142"/>
        </w:tabs>
        <w:ind w:left="0" w:firstLine="0"/>
        <w:rPr>
          <w:szCs w:val="22"/>
        </w:rPr>
      </w:pPr>
      <w:r w:rsidRPr="007E4DA1">
        <w:rPr>
          <w:i/>
          <w:szCs w:val="22"/>
          <w:u w:val="single"/>
        </w:rPr>
        <w:t>Zwiększenie ilości retykuliny w szpiku kostnym</w:t>
      </w:r>
    </w:p>
    <w:p w14:paraId="4EED2793" w14:textId="13BD0D77" w:rsidR="00802FF6" w:rsidRPr="007E4DA1" w:rsidRDefault="00802FF6" w:rsidP="001A6584">
      <w:pPr>
        <w:keepNext/>
        <w:tabs>
          <w:tab w:val="left" w:pos="142"/>
        </w:tabs>
        <w:ind w:left="0" w:firstLine="0"/>
        <w:rPr>
          <w:szCs w:val="22"/>
        </w:rPr>
      </w:pPr>
    </w:p>
    <w:p w14:paraId="7B1404E5" w14:textId="77777777" w:rsidR="00802FF6" w:rsidRPr="007E4DA1" w:rsidRDefault="00802FF6" w:rsidP="001A6584">
      <w:pPr>
        <w:tabs>
          <w:tab w:val="left" w:pos="142"/>
        </w:tabs>
        <w:ind w:left="0" w:firstLine="0"/>
      </w:pPr>
      <w:r w:rsidRPr="007E4DA1">
        <w:t xml:space="preserve">W całym programie badań u pacjentów nie stwierdzono istotnych klinicznie nieprawidłowości szpiku kostnego ani objawów klinicznych wskazujących na zaburzenia czynności szpiku kostnego. U </w:t>
      </w:r>
      <w:r w:rsidR="009A642D" w:rsidRPr="007E4DA1">
        <w:t xml:space="preserve">niewielkiej liczby </w:t>
      </w:r>
      <w:r w:rsidRPr="007E4DA1">
        <w:t>pacjent</w:t>
      </w:r>
      <w:r w:rsidR="009A642D" w:rsidRPr="007E4DA1">
        <w:t>ów</w:t>
      </w:r>
      <w:r w:rsidRPr="007E4DA1">
        <w:t xml:space="preserve"> z pierwotną małopłytkowością immunologiczną przerwano leczenie eltrombopagiem z powodu zwiększenia ilości retykuliny w szpiku kostnym (patrz punkt</w:t>
      </w:r>
      <w:r w:rsidR="002B3D7F" w:rsidRPr="007E4DA1">
        <w:t> </w:t>
      </w:r>
      <w:r w:rsidRPr="007E4DA1">
        <w:t>4.4).</w:t>
      </w:r>
    </w:p>
    <w:p w14:paraId="4A0CC4DE" w14:textId="77777777" w:rsidR="00CB2D0A" w:rsidRPr="007E4DA1" w:rsidRDefault="00CB2D0A" w:rsidP="001A6584">
      <w:pPr>
        <w:tabs>
          <w:tab w:val="left" w:pos="142"/>
        </w:tabs>
        <w:ind w:left="0" w:firstLine="0"/>
        <w:rPr>
          <w:szCs w:val="22"/>
        </w:rPr>
      </w:pPr>
    </w:p>
    <w:p w14:paraId="22B599E3" w14:textId="77777777" w:rsidR="00041A08" w:rsidRPr="00041A08" w:rsidRDefault="006E1C1F" w:rsidP="001A6584">
      <w:pPr>
        <w:keepNext/>
        <w:tabs>
          <w:tab w:val="left" w:pos="142"/>
        </w:tabs>
        <w:ind w:left="0" w:firstLine="0"/>
        <w:rPr>
          <w:szCs w:val="22"/>
        </w:rPr>
      </w:pPr>
      <w:r w:rsidRPr="007E4DA1">
        <w:rPr>
          <w:i/>
          <w:szCs w:val="22"/>
          <w:u w:val="single"/>
        </w:rPr>
        <w:t>Nieprawidłowości cytogenetyczne</w:t>
      </w:r>
    </w:p>
    <w:p w14:paraId="230534F1" w14:textId="44A25577" w:rsidR="006E1C1F" w:rsidRPr="007E4DA1" w:rsidRDefault="006E1C1F" w:rsidP="001A6584">
      <w:pPr>
        <w:keepNext/>
        <w:tabs>
          <w:tab w:val="left" w:pos="142"/>
        </w:tabs>
        <w:ind w:left="0" w:firstLine="0"/>
        <w:rPr>
          <w:szCs w:val="22"/>
        </w:rPr>
      </w:pPr>
    </w:p>
    <w:p w14:paraId="19CCCD28" w14:textId="77777777" w:rsidR="004650AC" w:rsidRPr="007E4DA1" w:rsidRDefault="004650AC" w:rsidP="001A6584">
      <w:pPr>
        <w:tabs>
          <w:tab w:val="left" w:pos="142"/>
        </w:tabs>
        <w:ind w:left="0" w:firstLine="0"/>
        <w:rPr>
          <w:color w:val="000000"/>
          <w:szCs w:val="22"/>
        </w:rPr>
      </w:pPr>
      <w:r w:rsidRPr="007E4DA1">
        <w:rPr>
          <w:color w:val="000000"/>
          <w:szCs w:val="22"/>
        </w:rPr>
        <w:t>W badaniu klinicznym II fazy z eltrombopagiem w leczeniu opornej SAA, w którym stosowano dawkę początkową 50 mg/dobę (zwiększaną co 2</w:t>
      </w:r>
      <w:r w:rsidR="00E77041" w:rsidRPr="007E4DA1">
        <w:rPr>
          <w:color w:val="000000"/>
          <w:szCs w:val="22"/>
        </w:rPr>
        <w:t> </w:t>
      </w:r>
      <w:r w:rsidRPr="007E4DA1">
        <w:rPr>
          <w:color w:val="000000"/>
          <w:szCs w:val="22"/>
        </w:rPr>
        <w:t>tygodnie do maksymalnej dawki 150 mg/dobę) (ELT112523) wystąpienie nowych nieprawidłowości cytogenetycznych obserwowano u 17,1% dorosłych pacjentów [7/41 (z których 4 miało zmiany w chromosomie</w:t>
      </w:r>
      <w:r w:rsidR="00E77041" w:rsidRPr="007E4DA1">
        <w:rPr>
          <w:color w:val="000000"/>
          <w:szCs w:val="22"/>
        </w:rPr>
        <w:t> </w:t>
      </w:r>
      <w:r w:rsidRPr="007E4DA1">
        <w:rPr>
          <w:color w:val="000000"/>
          <w:szCs w:val="22"/>
        </w:rPr>
        <w:t>7)]. Mediana czasu do wystąpienia nieprawidłowości cytogenetycznych w tym badaniu wyniosła 2,9 miesięcy.</w:t>
      </w:r>
    </w:p>
    <w:p w14:paraId="60E73592" w14:textId="77777777" w:rsidR="004650AC" w:rsidRPr="007E4DA1" w:rsidRDefault="004650AC" w:rsidP="001A6584">
      <w:pPr>
        <w:tabs>
          <w:tab w:val="left" w:pos="142"/>
        </w:tabs>
        <w:ind w:left="0" w:firstLine="0"/>
        <w:rPr>
          <w:color w:val="000000"/>
          <w:szCs w:val="22"/>
        </w:rPr>
      </w:pPr>
    </w:p>
    <w:p w14:paraId="20FF0B2A" w14:textId="77777777" w:rsidR="001547B7" w:rsidRPr="007E4DA1" w:rsidRDefault="004650AC" w:rsidP="001A6584">
      <w:pPr>
        <w:tabs>
          <w:tab w:val="left" w:pos="142"/>
        </w:tabs>
        <w:ind w:left="0" w:firstLine="0"/>
        <w:rPr>
          <w:color w:val="000000"/>
          <w:szCs w:val="22"/>
        </w:rPr>
      </w:pPr>
      <w:r w:rsidRPr="007E4DA1">
        <w:rPr>
          <w:color w:val="000000"/>
          <w:szCs w:val="22"/>
        </w:rPr>
        <w:t>W badaniu klinicznym II fazy z eltrombopagiem w leczeniu opornej SAA, w którym stosowano dawkę 150 mg/dobę (z uwzględnieniem modyfikacji dawkowania ze względu na pochodzenie etniczne lub wiek</w:t>
      </w:r>
      <w:r w:rsidR="00C10130" w:rsidRPr="007E4DA1">
        <w:rPr>
          <w:color w:val="000000"/>
          <w:szCs w:val="22"/>
        </w:rPr>
        <w:t>,</w:t>
      </w:r>
      <w:r w:rsidRPr="007E4DA1">
        <w:rPr>
          <w:color w:val="000000"/>
          <w:szCs w:val="22"/>
        </w:rPr>
        <w:t xml:space="preserve"> zgodnie ze wskazaniami (ELT116826), wystąpienie nowych nieprawidłowości cytogenetycznych obserwowano u 22,6% dorosłych pacjentów [7/31 (z których 3 miało zmiany w chromosomie</w:t>
      </w:r>
      <w:r w:rsidR="00E77041" w:rsidRPr="007E4DA1">
        <w:rPr>
          <w:color w:val="000000"/>
          <w:szCs w:val="22"/>
        </w:rPr>
        <w:t> </w:t>
      </w:r>
      <w:r w:rsidRPr="007E4DA1">
        <w:rPr>
          <w:color w:val="000000"/>
          <w:szCs w:val="22"/>
        </w:rPr>
        <w:t>7)]. U wszystkich 7</w:t>
      </w:r>
      <w:r w:rsidR="00E77041" w:rsidRPr="007E4DA1">
        <w:rPr>
          <w:color w:val="000000"/>
          <w:szCs w:val="22"/>
        </w:rPr>
        <w:t> </w:t>
      </w:r>
      <w:r w:rsidRPr="007E4DA1">
        <w:rPr>
          <w:color w:val="000000"/>
          <w:szCs w:val="22"/>
        </w:rPr>
        <w:t>pacjentów wyjściowy wynik badania cytogenetycznego był prawidłowy. U sześciu pacjentów nieprawidłowości cytogenetyczne wystąpiły w 3.</w:t>
      </w:r>
      <w:r w:rsidR="00E77041" w:rsidRPr="007E4DA1">
        <w:rPr>
          <w:color w:val="000000"/>
          <w:szCs w:val="22"/>
        </w:rPr>
        <w:t> </w:t>
      </w:r>
      <w:r w:rsidRPr="007E4DA1">
        <w:rPr>
          <w:color w:val="000000"/>
          <w:szCs w:val="22"/>
        </w:rPr>
        <w:t>miesiącu leczenia eltrombopagiem, a u jednego pacjenta nieprawidłowości cytogenetyczne wystąpiły w miesiącu</w:t>
      </w:r>
      <w:r w:rsidR="00E77041" w:rsidRPr="007E4DA1">
        <w:rPr>
          <w:color w:val="000000"/>
          <w:szCs w:val="22"/>
        </w:rPr>
        <w:t> </w:t>
      </w:r>
      <w:r w:rsidRPr="007E4DA1">
        <w:rPr>
          <w:color w:val="000000"/>
          <w:szCs w:val="22"/>
        </w:rPr>
        <w:t>6</w:t>
      </w:r>
      <w:r w:rsidR="00C10130" w:rsidRPr="007E4DA1">
        <w:rPr>
          <w:color w:val="000000"/>
          <w:szCs w:val="22"/>
        </w:rPr>
        <w:t>.</w:t>
      </w:r>
    </w:p>
    <w:p w14:paraId="735C1E06" w14:textId="77777777" w:rsidR="006E1C1F" w:rsidRPr="007E4DA1" w:rsidRDefault="006E1C1F" w:rsidP="001A6584">
      <w:pPr>
        <w:tabs>
          <w:tab w:val="left" w:pos="142"/>
        </w:tabs>
        <w:ind w:left="0" w:firstLine="0"/>
        <w:rPr>
          <w:szCs w:val="22"/>
        </w:rPr>
      </w:pPr>
    </w:p>
    <w:p w14:paraId="673624AE" w14:textId="77777777" w:rsidR="00041A08" w:rsidRPr="00041A08" w:rsidRDefault="006E1C1F" w:rsidP="001A6584">
      <w:pPr>
        <w:keepNext/>
        <w:tabs>
          <w:tab w:val="left" w:pos="142"/>
        </w:tabs>
        <w:ind w:left="0" w:firstLine="0"/>
        <w:rPr>
          <w:szCs w:val="22"/>
        </w:rPr>
      </w:pPr>
      <w:r w:rsidRPr="007E4DA1">
        <w:rPr>
          <w:i/>
          <w:szCs w:val="22"/>
          <w:u w:val="single"/>
        </w:rPr>
        <w:t>Hematologiczne nowotwory złośliwe</w:t>
      </w:r>
    </w:p>
    <w:p w14:paraId="7732D86E" w14:textId="2BDD6345" w:rsidR="006E1C1F" w:rsidRPr="007E4DA1" w:rsidRDefault="006E1C1F" w:rsidP="001A6584">
      <w:pPr>
        <w:keepNext/>
        <w:tabs>
          <w:tab w:val="left" w:pos="142"/>
        </w:tabs>
        <w:ind w:left="0" w:firstLine="0"/>
        <w:rPr>
          <w:szCs w:val="22"/>
        </w:rPr>
      </w:pPr>
    </w:p>
    <w:p w14:paraId="74A5F788" w14:textId="77777777" w:rsidR="00606F27" w:rsidRPr="007E4DA1" w:rsidRDefault="006E1C1F" w:rsidP="001A6584">
      <w:pPr>
        <w:tabs>
          <w:tab w:val="left" w:pos="142"/>
        </w:tabs>
        <w:ind w:left="0" w:firstLine="0"/>
        <w:rPr>
          <w:szCs w:val="22"/>
        </w:rPr>
      </w:pPr>
      <w:r w:rsidRPr="007E4DA1">
        <w:rPr>
          <w:szCs w:val="22"/>
        </w:rPr>
        <w:t>W jednoramiennym, otwartym badaniu z zastosowaniem eltrombopagu w leczeniu SAA, u trzech (7%) pacjentów rozpoznano MDS w czasie leczenia eltrombopagiem, w dwóch toczących się badaniach (ELT116826 i ELT116643) u 1/28 (4%) pacjentów i 1/62 (2%) pacjentów rozpoznano MDS lub AML w każdym z tych badań.</w:t>
      </w:r>
    </w:p>
    <w:p w14:paraId="232A2684" w14:textId="77777777" w:rsidR="00041A08" w:rsidRPr="00041A08" w:rsidRDefault="00041A08" w:rsidP="001A6584">
      <w:pPr>
        <w:tabs>
          <w:tab w:val="left" w:pos="142"/>
        </w:tabs>
        <w:ind w:left="0" w:firstLine="0"/>
        <w:rPr>
          <w:szCs w:val="22"/>
        </w:rPr>
      </w:pPr>
    </w:p>
    <w:p w14:paraId="5FCFCA69" w14:textId="77777777" w:rsidR="00041A08" w:rsidRPr="00041A08" w:rsidRDefault="00CB2D0A" w:rsidP="001A6584">
      <w:pPr>
        <w:keepNext/>
        <w:tabs>
          <w:tab w:val="left" w:pos="142"/>
        </w:tabs>
        <w:ind w:left="0" w:firstLine="0"/>
        <w:rPr>
          <w:szCs w:val="22"/>
        </w:rPr>
      </w:pPr>
      <w:r w:rsidRPr="007E4DA1">
        <w:rPr>
          <w:szCs w:val="22"/>
          <w:u w:val="single"/>
        </w:rPr>
        <w:t xml:space="preserve">Zgłaszanie </w:t>
      </w:r>
      <w:r w:rsidR="002E193C" w:rsidRPr="007E4DA1">
        <w:rPr>
          <w:szCs w:val="22"/>
          <w:u w:val="single"/>
        </w:rPr>
        <w:t xml:space="preserve">podejrzewanych </w:t>
      </w:r>
      <w:r w:rsidRPr="007E4DA1">
        <w:rPr>
          <w:szCs w:val="22"/>
          <w:u w:val="single"/>
        </w:rPr>
        <w:t>działań niepożądanych</w:t>
      </w:r>
    </w:p>
    <w:p w14:paraId="41950E3D" w14:textId="77777777" w:rsidR="00041A08" w:rsidRPr="00041A08" w:rsidRDefault="00041A08" w:rsidP="001A6584">
      <w:pPr>
        <w:keepNext/>
        <w:tabs>
          <w:tab w:val="left" w:pos="142"/>
        </w:tabs>
        <w:ind w:left="0" w:firstLine="0"/>
        <w:rPr>
          <w:szCs w:val="22"/>
        </w:rPr>
      </w:pPr>
    </w:p>
    <w:p w14:paraId="43D9D07C" w14:textId="678D688E" w:rsidR="00CB2D0A" w:rsidRPr="007E4DA1" w:rsidRDefault="00CB2D0A" w:rsidP="001A6584">
      <w:pPr>
        <w:tabs>
          <w:tab w:val="left" w:pos="142"/>
        </w:tabs>
        <w:ind w:left="0" w:firstLine="0"/>
        <w:rPr>
          <w:noProof/>
          <w:szCs w:val="22"/>
        </w:rPr>
      </w:pPr>
      <w:r w:rsidRPr="007E4DA1">
        <w:rPr>
          <w:noProof/>
          <w:szCs w:val="22"/>
        </w:rPr>
        <w:t>Po dopuszczeniu produktu leczniczego do obrotu istotne jest zgłaszanie podejrzewanych działań niepożądanych.</w:t>
      </w:r>
      <w:r w:rsidRPr="007E4DA1">
        <w:rPr>
          <w:szCs w:val="22"/>
        </w:rPr>
        <w:t xml:space="preserve"> </w:t>
      </w:r>
      <w:r w:rsidRPr="007E4DA1">
        <w:rPr>
          <w:noProof/>
          <w:szCs w:val="22"/>
        </w:rPr>
        <w:t>Umożliwia to nieprzerwane monitorowanie stosunku korzyści do ryzyka stosowania produktu leczniczego.</w:t>
      </w:r>
      <w:r w:rsidRPr="007E4DA1">
        <w:rPr>
          <w:szCs w:val="22"/>
        </w:rPr>
        <w:t xml:space="preserve"> </w:t>
      </w:r>
      <w:r w:rsidRPr="007E4DA1">
        <w:rPr>
          <w:noProof/>
          <w:szCs w:val="22"/>
        </w:rPr>
        <w:t>Osoby należące do fachowego personelu medycznego powinny zgłaszać wszelkie podejrzewane działania niepożądane</w:t>
      </w:r>
      <w:r w:rsidRPr="007E4DA1">
        <w:rPr>
          <w:szCs w:val="22"/>
        </w:rPr>
        <w:t xml:space="preserve"> za pośrednictwem</w:t>
      </w:r>
      <w:r w:rsidRPr="007E4DA1">
        <w:rPr>
          <w:noProof/>
          <w:szCs w:val="22"/>
        </w:rPr>
        <w:t xml:space="preserve"> </w:t>
      </w:r>
      <w:r w:rsidRPr="00DF2BFE">
        <w:rPr>
          <w:szCs w:val="22"/>
          <w:shd w:val="pct15" w:color="auto" w:fill="auto"/>
        </w:rPr>
        <w:t>krajowego systemu</w:t>
      </w:r>
      <w:r w:rsidRPr="007E4DA1">
        <w:rPr>
          <w:szCs w:val="22"/>
          <w:shd w:val="pct15" w:color="auto" w:fill="auto"/>
        </w:rPr>
        <w:t xml:space="preserve"> </w:t>
      </w:r>
      <w:r w:rsidRPr="00DF2BFE">
        <w:rPr>
          <w:szCs w:val="22"/>
          <w:shd w:val="pct15" w:color="auto" w:fill="auto"/>
        </w:rPr>
        <w:t xml:space="preserve">zgłaszania wymienionego w </w:t>
      </w:r>
      <w:r>
        <w:fldChar w:fldCharType="begin"/>
      </w:r>
      <w:r>
        <w:instrText>HYPERLINK "https://www.ema.europa.eu/documents/template-form/qrd-appendix-v-adverse-drug-reaction-reporting-details_en.docx"</w:instrText>
      </w:r>
      <w:r>
        <w:fldChar w:fldCharType="separate"/>
      </w:r>
      <w:r w:rsidRPr="00DF2BFE">
        <w:rPr>
          <w:rStyle w:val="Hyperlink"/>
          <w:shd w:val="pct15" w:color="auto" w:fill="auto"/>
        </w:rPr>
        <w:t>załączniku</w:t>
      </w:r>
      <w:r w:rsidR="00DF2BFE" w:rsidRPr="00DF2BFE">
        <w:rPr>
          <w:rStyle w:val="Hyperlink"/>
          <w:shd w:val="pct15" w:color="auto" w:fill="auto"/>
        </w:rPr>
        <w:t> </w:t>
      </w:r>
      <w:r w:rsidRPr="00DF2BFE">
        <w:rPr>
          <w:rStyle w:val="Hyperlink"/>
          <w:shd w:val="pct15" w:color="auto" w:fill="auto"/>
        </w:rPr>
        <w:t>V</w:t>
      </w:r>
      <w:r>
        <w:fldChar w:fldCharType="end"/>
      </w:r>
      <w:r w:rsidRPr="00DF2BFE">
        <w:rPr>
          <w:noProof/>
          <w:szCs w:val="22"/>
        </w:rPr>
        <w:t>.</w:t>
      </w:r>
    </w:p>
    <w:p w14:paraId="161FEAE2" w14:textId="77777777" w:rsidR="00802FF6" w:rsidRPr="007E4DA1" w:rsidRDefault="00802FF6" w:rsidP="001A6584">
      <w:pPr>
        <w:tabs>
          <w:tab w:val="left" w:pos="142"/>
        </w:tabs>
        <w:ind w:left="0" w:firstLine="0"/>
        <w:rPr>
          <w:szCs w:val="22"/>
        </w:rPr>
      </w:pPr>
    </w:p>
    <w:p w14:paraId="61829EAA" w14:textId="77777777" w:rsidR="00802FF6" w:rsidRPr="007E4DA1" w:rsidRDefault="00802FF6" w:rsidP="001A6584">
      <w:pPr>
        <w:keepNext/>
        <w:tabs>
          <w:tab w:val="left" w:pos="-3828"/>
        </w:tabs>
        <w:rPr>
          <w:szCs w:val="22"/>
        </w:rPr>
      </w:pPr>
      <w:r w:rsidRPr="007E4DA1">
        <w:rPr>
          <w:b/>
          <w:szCs w:val="22"/>
        </w:rPr>
        <w:t>4.9</w:t>
      </w:r>
      <w:r w:rsidRPr="007E4DA1">
        <w:rPr>
          <w:b/>
          <w:szCs w:val="22"/>
        </w:rPr>
        <w:tab/>
        <w:t>Przedawkowanie</w:t>
      </w:r>
    </w:p>
    <w:p w14:paraId="6B0DD34C" w14:textId="77777777" w:rsidR="00802FF6" w:rsidRPr="007E4DA1" w:rsidRDefault="00802FF6" w:rsidP="001A6584">
      <w:pPr>
        <w:keepNext/>
        <w:tabs>
          <w:tab w:val="left" w:pos="142"/>
        </w:tabs>
        <w:ind w:left="0" w:firstLine="0"/>
        <w:rPr>
          <w:szCs w:val="22"/>
        </w:rPr>
      </w:pPr>
    </w:p>
    <w:p w14:paraId="0C6FE7E6" w14:textId="77777777" w:rsidR="00802FF6" w:rsidRPr="007E4DA1" w:rsidRDefault="00802FF6" w:rsidP="001A6584">
      <w:pPr>
        <w:tabs>
          <w:tab w:val="left" w:pos="142"/>
        </w:tabs>
        <w:ind w:left="0" w:firstLine="0"/>
        <w:rPr>
          <w:color w:val="000000"/>
        </w:rPr>
      </w:pPr>
      <w:r w:rsidRPr="007E4DA1">
        <w:rPr>
          <w:color w:val="000000"/>
        </w:rPr>
        <w:t xml:space="preserve">W przypadku przedawkowania eltrombopagu liczba płytek krwi może się nadmiernie zwiększyć, co może prowadzić do powikłań zakrzepowych/zakrzepowo-zatorowych. W przypadku przedawkowania należy rozważyć doustne podanie preparatu zawierającego kationy metali, takiego jak preparaty wapnia, glinu czy magnezu, w celu chelatowania eltrombopagu i ograniczenia jego wchłaniania. </w:t>
      </w:r>
      <w:r w:rsidRPr="007E4DA1">
        <w:rPr>
          <w:color w:val="000000"/>
        </w:rPr>
        <w:lastRenderedPageBreak/>
        <w:t>Należy ściśle monitorować liczbę płytek krwi. Leczenie eltrombopagiem należy wznowić zgodnie z zaleceniami dotyczącymi dawkowania (patrz punkt</w:t>
      </w:r>
      <w:r w:rsidR="002B3D7F" w:rsidRPr="007E4DA1">
        <w:rPr>
          <w:color w:val="000000"/>
        </w:rPr>
        <w:t> </w:t>
      </w:r>
      <w:r w:rsidRPr="007E4DA1">
        <w:rPr>
          <w:color w:val="000000"/>
        </w:rPr>
        <w:t>4.2).</w:t>
      </w:r>
    </w:p>
    <w:p w14:paraId="3C201B93" w14:textId="77777777" w:rsidR="00802FF6" w:rsidRPr="007E4DA1" w:rsidRDefault="00802FF6" w:rsidP="001A6584">
      <w:pPr>
        <w:tabs>
          <w:tab w:val="left" w:pos="142"/>
        </w:tabs>
        <w:ind w:left="0" w:firstLine="0"/>
        <w:rPr>
          <w:szCs w:val="22"/>
        </w:rPr>
      </w:pPr>
    </w:p>
    <w:p w14:paraId="36CEB902" w14:textId="49083784" w:rsidR="00802FF6" w:rsidRPr="007E4DA1" w:rsidRDefault="00802FF6" w:rsidP="001A6584">
      <w:pPr>
        <w:tabs>
          <w:tab w:val="left" w:pos="142"/>
        </w:tabs>
        <w:autoSpaceDE w:val="0"/>
        <w:autoSpaceDN w:val="0"/>
        <w:adjustRightInd w:val="0"/>
        <w:ind w:left="0" w:firstLine="0"/>
        <w:rPr>
          <w:rFonts w:eastAsia="MS Mincho"/>
          <w:color w:val="000000"/>
          <w:lang w:eastAsia="ja-JP"/>
        </w:rPr>
      </w:pPr>
      <w:r w:rsidRPr="007E4DA1">
        <w:rPr>
          <w:snapToGrid w:val="0"/>
        </w:rPr>
        <w:t xml:space="preserve">W badaniach klinicznych odnotowano jeden przypadek przedawkowania, kiedy pacjent przyjął 5000 mg eltrombopagu. Zgłoszone działania niepożądane obejmowały niewielką wysypkę, przemijającą bradykardię, zwiększenie aktywności AlAT i AspAT oraz zmęczenie. Największe wartości parametrów czynności wątroby w badaniach wykonanych między dniem </w:t>
      </w:r>
      <w:smartTag w:uri="urn:schemas-microsoft-com:office:smarttags" w:element="metricconverter">
        <w:smartTagPr>
          <w:attr w:name="ProductID" w:val="2. a"/>
        </w:smartTagPr>
        <w:r w:rsidRPr="007E4DA1">
          <w:rPr>
            <w:rFonts w:eastAsia="MS Mincho"/>
            <w:color w:val="000000"/>
            <w:lang w:eastAsia="ja-JP"/>
          </w:rPr>
          <w:t>2. a</w:t>
        </w:r>
      </w:smartTag>
      <w:r w:rsidRPr="007E4DA1">
        <w:rPr>
          <w:rFonts w:eastAsia="MS Mincho"/>
          <w:color w:val="000000"/>
          <w:lang w:eastAsia="ja-JP"/>
        </w:rPr>
        <w:t xml:space="preserve"> 18. po przedawkowaniu wyniosły: aktywność AspAT 1,6</w:t>
      </w:r>
      <w:r w:rsidR="00640C9D" w:rsidRPr="007E4DA1">
        <w:rPr>
          <w:rFonts w:eastAsia="MS Mincho"/>
          <w:color w:val="000000"/>
          <w:lang w:eastAsia="ja-JP"/>
        </w:rPr>
        <w:t> </w:t>
      </w:r>
      <w:r w:rsidRPr="007E4DA1">
        <w:rPr>
          <w:rFonts w:eastAsia="MS Mincho"/>
          <w:color w:val="000000"/>
          <w:lang w:eastAsia="ja-JP"/>
        </w:rPr>
        <w:t>x większa niż górna granica normy, aktywność AlAT 3,9</w:t>
      </w:r>
      <w:r w:rsidR="00640C9D" w:rsidRPr="007E4DA1">
        <w:rPr>
          <w:rFonts w:eastAsia="MS Mincho"/>
          <w:color w:val="000000"/>
          <w:lang w:eastAsia="ja-JP"/>
        </w:rPr>
        <w:t> </w:t>
      </w:r>
      <w:r w:rsidRPr="007E4DA1">
        <w:rPr>
          <w:rFonts w:eastAsia="MS Mincho"/>
          <w:color w:val="000000"/>
          <w:lang w:eastAsia="ja-JP"/>
        </w:rPr>
        <w:t>x większa niż górna granica normy i stężenie bilirubiny całkowitej 2,4</w:t>
      </w:r>
      <w:r w:rsidR="00640C9D" w:rsidRPr="007E4DA1">
        <w:rPr>
          <w:rFonts w:eastAsia="MS Mincho"/>
          <w:color w:val="000000"/>
          <w:lang w:eastAsia="ja-JP"/>
        </w:rPr>
        <w:t> </w:t>
      </w:r>
      <w:r w:rsidRPr="007E4DA1">
        <w:rPr>
          <w:rFonts w:eastAsia="MS Mincho"/>
          <w:color w:val="000000"/>
          <w:lang w:eastAsia="ja-JP"/>
        </w:rPr>
        <w:t>x większe niż górna granica normy. Liczba płytek krwi w 18. dniu po przedawkowaniu wyniosła 672 000/µl, a maksymalna liczba płytek krwi osiągnęła wartość 929 000/µl. Pod wpływem leczenia wszystkie objawy ustąpiły bez żadnych następstw.</w:t>
      </w:r>
    </w:p>
    <w:p w14:paraId="339C5D11" w14:textId="77777777" w:rsidR="00802FF6" w:rsidRPr="007E4DA1" w:rsidRDefault="00802FF6" w:rsidP="001A6584">
      <w:pPr>
        <w:tabs>
          <w:tab w:val="left" w:pos="142"/>
        </w:tabs>
        <w:ind w:left="0" w:firstLine="0"/>
        <w:rPr>
          <w:szCs w:val="22"/>
        </w:rPr>
      </w:pPr>
    </w:p>
    <w:p w14:paraId="10AB18C4" w14:textId="77777777" w:rsidR="00802FF6" w:rsidRPr="007E4DA1" w:rsidRDefault="00802FF6" w:rsidP="001A6584">
      <w:pPr>
        <w:tabs>
          <w:tab w:val="left" w:pos="142"/>
        </w:tabs>
        <w:ind w:left="0" w:firstLine="0"/>
        <w:rPr>
          <w:color w:val="000000"/>
        </w:rPr>
      </w:pPr>
      <w:r w:rsidRPr="007E4DA1">
        <w:rPr>
          <w:color w:val="000000"/>
        </w:rPr>
        <w:t>Ponieważ eltrombopag nie jest w sposób znaczący wydalany z moczem i silnie wiąże się z białkami osocza, uważa się, że hemodializa nie jest skuteczną metodą zwiększenia eliminacji eltrombopagu.</w:t>
      </w:r>
    </w:p>
    <w:p w14:paraId="0EE1C48A" w14:textId="77777777" w:rsidR="00802FF6" w:rsidRPr="007E4DA1" w:rsidRDefault="00802FF6" w:rsidP="001A6584">
      <w:pPr>
        <w:tabs>
          <w:tab w:val="left" w:pos="142"/>
        </w:tabs>
        <w:ind w:left="0" w:firstLine="0"/>
        <w:rPr>
          <w:szCs w:val="22"/>
        </w:rPr>
      </w:pPr>
    </w:p>
    <w:p w14:paraId="063D917E" w14:textId="77777777" w:rsidR="00802FF6" w:rsidRPr="007E4DA1" w:rsidRDefault="00802FF6" w:rsidP="001A6584">
      <w:pPr>
        <w:tabs>
          <w:tab w:val="left" w:pos="142"/>
        </w:tabs>
        <w:ind w:left="0" w:firstLine="0"/>
        <w:rPr>
          <w:szCs w:val="22"/>
        </w:rPr>
      </w:pPr>
    </w:p>
    <w:p w14:paraId="048E9B2B" w14:textId="77777777" w:rsidR="00041A08" w:rsidRPr="00041A08" w:rsidRDefault="00802FF6" w:rsidP="001A6584">
      <w:pPr>
        <w:keepNext/>
      </w:pPr>
      <w:r w:rsidRPr="007E4DA1">
        <w:rPr>
          <w:b/>
        </w:rPr>
        <w:t>5.</w:t>
      </w:r>
      <w:r w:rsidRPr="007E4DA1">
        <w:rPr>
          <w:b/>
        </w:rPr>
        <w:tab/>
        <w:t>WŁAŚCIWOŚCI FARMAKOLOGICZNE</w:t>
      </w:r>
    </w:p>
    <w:p w14:paraId="2DE67060" w14:textId="747340EC" w:rsidR="00802FF6" w:rsidRPr="007E4DA1" w:rsidRDefault="00802FF6" w:rsidP="001A6584">
      <w:pPr>
        <w:keepNext/>
        <w:tabs>
          <w:tab w:val="left" w:pos="142"/>
        </w:tabs>
        <w:ind w:left="0" w:firstLine="0"/>
      </w:pPr>
    </w:p>
    <w:p w14:paraId="4A513019" w14:textId="77777777" w:rsidR="00041A08" w:rsidRPr="00041A08" w:rsidRDefault="00802FF6" w:rsidP="001A6584">
      <w:pPr>
        <w:keepNext/>
        <w:tabs>
          <w:tab w:val="left" w:pos="-2552"/>
        </w:tabs>
      </w:pPr>
      <w:r w:rsidRPr="007E4DA1">
        <w:rPr>
          <w:b/>
        </w:rPr>
        <w:t>5.1</w:t>
      </w:r>
      <w:r w:rsidRPr="007E4DA1">
        <w:rPr>
          <w:b/>
        </w:rPr>
        <w:tab/>
        <w:t>Właściwości farmakodynamiczne</w:t>
      </w:r>
    </w:p>
    <w:p w14:paraId="34BF08C4" w14:textId="6DE376CB" w:rsidR="00802FF6" w:rsidRPr="007E4DA1" w:rsidRDefault="00802FF6" w:rsidP="001A6584">
      <w:pPr>
        <w:keepNext/>
        <w:tabs>
          <w:tab w:val="left" w:pos="142"/>
        </w:tabs>
        <w:ind w:left="0" w:firstLine="0"/>
      </w:pPr>
    </w:p>
    <w:p w14:paraId="1FC01EF2" w14:textId="77777777" w:rsidR="00802FF6" w:rsidRPr="007E4DA1" w:rsidRDefault="00802FF6" w:rsidP="001A6584">
      <w:pPr>
        <w:tabs>
          <w:tab w:val="left" w:pos="142"/>
        </w:tabs>
        <w:ind w:left="0" w:firstLine="0"/>
      </w:pPr>
      <w:r w:rsidRPr="007E4DA1">
        <w:t>Grupa farmakoterapeutyczna: środki przeciwkrwotoczne, kod ATC: B02BX 05.</w:t>
      </w:r>
    </w:p>
    <w:p w14:paraId="286FF84A" w14:textId="77777777" w:rsidR="00802FF6" w:rsidRPr="007E4DA1" w:rsidRDefault="00802FF6" w:rsidP="001A6584">
      <w:pPr>
        <w:tabs>
          <w:tab w:val="left" w:pos="142"/>
        </w:tabs>
        <w:ind w:left="0" w:firstLine="0"/>
        <w:rPr>
          <w:szCs w:val="22"/>
        </w:rPr>
      </w:pPr>
    </w:p>
    <w:p w14:paraId="2F952743" w14:textId="77777777" w:rsidR="00041A08" w:rsidRPr="00041A08" w:rsidRDefault="00802FF6" w:rsidP="001A6584">
      <w:pPr>
        <w:keepNext/>
        <w:tabs>
          <w:tab w:val="left" w:pos="142"/>
        </w:tabs>
        <w:ind w:left="0" w:firstLine="0"/>
        <w:rPr>
          <w:szCs w:val="22"/>
        </w:rPr>
      </w:pPr>
      <w:r w:rsidRPr="007E4DA1">
        <w:rPr>
          <w:szCs w:val="22"/>
          <w:u w:val="single"/>
        </w:rPr>
        <w:t>Mechanizm działania</w:t>
      </w:r>
    </w:p>
    <w:p w14:paraId="7276B323" w14:textId="0E5009D0" w:rsidR="00802FF6" w:rsidRPr="007E4DA1" w:rsidRDefault="00802FF6" w:rsidP="001A6584">
      <w:pPr>
        <w:keepNext/>
        <w:tabs>
          <w:tab w:val="left" w:pos="142"/>
        </w:tabs>
        <w:ind w:left="0" w:firstLine="0"/>
        <w:rPr>
          <w:iCs/>
          <w:szCs w:val="22"/>
        </w:rPr>
      </w:pPr>
    </w:p>
    <w:p w14:paraId="4EC32759" w14:textId="77777777" w:rsidR="00802FF6" w:rsidRPr="007E4DA1" w:rsidRDefault="00802FF6" w:rsidP="001A6584">
      <w:pPr>
        <w:tabs>
          <w:tab w:val="left" w:pos="142"/>
        </w:tabs>
        <w:ind w:left="0" w:firstLine="0"/>
      </w:pPr>
      <w:r w:rsidRPr="007E4DA1">
        <w:t>Trombopoetyna jest główną cytokiną uczestniczącą w regulacji megakariopoezy i wytwarzania płytek krwi oraz jest endogennym ligandem dla receptora trombopoetyny. Eltrombopag oddziałuje na przezbłonową domenę ludzkiego receptora trombopoetyny i inicjuje kaskady sygnałowe podobne, lecz nie identyczne, do kaskad wyzwalanych przez endogenną trombopoetynę, indukując proliferację i różnicowanie z komórek progenitorowych w szpiku kostnym.</w:t>
      </w:r>
    </w:p>
    <w:p w14:paraId="2FC94EE2" w14:textId="77777777" w:rsidR="00802FF6" w:rsidRPr="007E4DA1" w:rsidRDefault="00802FF6" w:rsidP="001A6584">
      <w:pPr>
        <w:tabs>
          <w:tab w:val="left" w:pos="142"/>
        </w:tabs>
        <w:ind w:left="0" w:firstLine="0"/>
        <w:rPr>
          <w:iCs/>
          <w:szCs w:val="22"/>
        </w:rPr>
      </w:pPr>
    </w:p>
    <w:p w14:paraId="68D30406" w14:textId="77777777" w:rsidR="00041A08" w:rsidRPr="00041A08" w:rsidRDefault="00802FF6" w:rsidP="001A6584">
      <w:pPr>
        <w:keepNext/>
        <w:tabs>
          <w:tab w:val="left" w:pos="142"/>
        </w:tabs>
        <w:ind w:left="0" w:firstLine="0"/>
        <w:rPr>
          <w:szCs w:val="22"/>
        </w:rPr>
      </w:pPr>
      <w:r w:rsidRPr="007E4DA1">
        <w:rPr>
          <w:u w:val="single"/>
        </w:rPr>
        <w:t>Skuteczność kliniczna i bezpieczeństwo stosowania</w:t>
      </w:r>
    </w:p>
    <w:p w14:paraId="3FF4C85A" w14:textId="080FFFBF" w:rsidR="00802FF6" w:rsidRPr="007E4DA1" w:rsidRDefault="00802FF6" w:rsidP="001A6584">
      <w:pPr>
        <w:keepNext/>
        <w:tabs>
          <w:tab w:val="left" w:pos="142"/>
        </w:tabs>
        <w:ind w:left="0" w:firstLine="0"/>
        <w:rPr>
          <w:bCs/>
          <w:color w:val="000000"/>
          <w:szCs w:val="22"/>
        </w:rPr>
      </w:pPr>
    </w:p>
    <w:p w14:paraId="0DDAEDBB" w14:textId="77777777" w:rsidR="00041A08" w:rsidRPr="00041A08" w:rsidRDefault="00802FF6" w:rsidP="001A6584">
      <w:pPr>
        <w:keepNext/>
        <w:tabs>
          <w:tab w:val="left" w:pos="142"/>
        </w:tabs>
        <w:ind w:left="0" w:firstLine="0"/>
        <w:rPr>
          <w:szCs w:val="24"/>
        </w:rPr>
      </w:pPr>
      <w:r w:rsidRPr="007E4DA1">
        <w:rPr>
          <w:i/>
          <w:u w:val="single"/>
        </w:rPr>
        <w:t>Badania dotyczące małopłytkowości immunologicznej</w:t>
      </w:r>
      <w:r w:rsidR="00851248" w:rsidRPr="007E4DA1">
        <w:rPr>
          <w:i/>
          <w:u w:val="single"/>
        </w:rPr>
        <w:t xml:space="preserve"> (pierwotnej)</w:t>
      </w:r>
    </w:p>
    <w:p w14:paraId="03DC791C" w14:textId="024E3885" w:rsidR="00802FF6" w:rsidRPr="007E4DA1" w:rsidRDefault="00802FF6" w:rsidP="001A6584">
      <w:pPr>
        <w:keepNext/>
        <w:tabs>
          <w:tab w:val="left" w:pos="142"/>
        </w:tabs>
        <w:ind w:left="0" w:firstLine="0"/>
        <w:rPr>
          <w:bCs/>
          <w:color w:val="000000"/>
          <w:szCs w:val="22"/>
        </w:rPr>
      </w:pPr>
    </w:p>
    <w:p w14:paraId="3C1ED015" w14:textId="69112759" w:rsidR="00802FF6" w:rsidRPr="007E4DA1" w:rsidRDefault="00802FF6" w:rsidP="001A6584">
      <w:pPr>
        <w:tabs>
          <w:tab w:val="left" w:pos="142"/>
        </w:tabs>
        <w:autoSpaceDE w:val="0"/>
        <w:autoSpaceDN w:val="0"/>
        <w:adjustRightInd w:val="0"/>
        <w:ind w:left="0" w:firstLine="0"/>
        <w:rPr>
          <w:bCs/>
        </w:rPr>
      </w:pPr>
      <w:r w:rsidRPr="007E4DA1">
        <w:t xml:space="preserve">Bezpieczeństwo stosowania i skuteczność eltrombopagu u dorosłych pacjentów z leczoną wcześniej </w:t>
      </w:r>
      <w:r w:rsidRPr="007E4DA1">
        <w:rPr>
          <w:szCs w:val="22"/>
        </w:rPr>
        <w:t>pierwotną małopłytkowością immunologiczną</w:t>
      </w:r>
      <w:r w:rsidRPr="007E4DA1">
        <w:t xml:space="preserve"> oceniano w dwóch randomizowanych, kontrolowanych placebo badaniach </w:t>
      </w:r>
      <w:smartTag w:uri="urn:schemas-microsoft-com:office:smarttags" w:element="stockticker">
        <w:r w:rsidRPr="007E4DA1">
          <w:t>III</w:t>
        </w:r>
      </w:smartTag>
      <w:r w:rsidRPr="007E4DA1">
        <w:t xml:space="preserve"> fazy, przeprowadzonych metodą podwójnie ślepej próby: RAISE (</w:t>
      </w:r>
      <w:smartTag w:uri="urn:schemas-microsoft-com:office:smarttags" w:element="stockticker">
        <w:r w:rsidRPr="007E4DA1">
          <w:t>TRA</w:t>
        </w:r>
      </w:smartTag>
      <w:r w:rsidRPr="007E4DA1">
        <w:t xml:space="preserve">102537) i </w:t>
      </w:r>
      <w:smartTag w:uri="urn:schemas-microsoft-com:office:smarttags" w:element="stockticker">
        <w:r w:rsidRPr="007E4DA1">
          <w:t>TRA</w:t>
        </w:r>
      </w:smartTag>
      <w:r w:rsidRPr="007E4DA1">
        <w:t>100773B oraz w dwóch otwartych badaniach: REPEAT (</w:t>
      </w:r>
      <w:smartTag w:uri="urn:schemas-microsoft-com:office:smarttags" w:element="stockticker">
        <w:r w:rsidRPr="007E4DA1">
          <w:t>TRA</w:t>
        </w:r>
      </w:smartTag>
      <w:r w:rsidRPr="007E4DA1">
        <w:t>108057) i EXTEND (</w:t>
      </w:r>
      <w:smartTag w:uri="urn:schemas-microsoft-com:office:smarttags" w:element="stockticker">
        <w:r w:rsidRPr="007E4DA1">
          <w:t>TRA</w:t>
        </w:r>
      </w:smartTag>
      <w:r w:rsidRPr="007E4DA1">
        <w:t xml:space="preserve">105325). </w:t>
      </w:r>
      <w:r w:rsidRPr="007E4DA1">
        <w:rPr>
          <w:bCs/>
        </w:rPr>
        <w:t xml:space="preserve">W sumie </w:t>
      </w:r>
      <w:r w:rsidRPr="007E4DA1">
        <w:t>eltrombopag podawano 277</w:t>
      </w:r>
      <w:r w:rsidR="002B3D7F" w:rsidRPr="007E4DA1">
        <w:t> </w:t>
      </w:r>
      <w:r w:rsidRPr="007E4DA1">
        <w:t>pacjentom z pierwotną małopłytkowością immunologiczną przez co najmniej 6</w:t>
      </w:r>
      <w:r w:rsidR="002B3D7F" w:rsidRPr="007E4DA1">
        <w:t> </w:t>
      </w:r>
      <w:r w:rsidRPr="007E4DA1">
        <w:t>miesięcy i 202</w:t>
      </w:r>
      <w:r w:rsidR="002B3D7F" w:rsidRPr="007E4DA1">
        <w:t> </w:t>
      </w:r>
      <w:r w:rsidRPr="007E4DA1">
        <w:t>pacjentom przez co najmniej rok.</w:t>
      </w:r>
      <w:r w:rsidR="00BA7ECA" w:rsidRPr="007E4DA1">
        <w:t xml:space="preserve"> W badaniu II</w:t>
      </w:r>
      <w:r w:rsidR="00DC1C12" w:rsidRPr="007E4DA1">
        <w:t> </w:t>
      </w:r>
      <w:r w:rsidR="00BA7ECA" w:rsidRPr="007E4DA1">
        <w:t>fazy TAPER (CETB115J2411) z jedną grupą badaną oceniano bezpieczeństwo stosowania i skuteczność eltrombopagu oraz jego zdolność do wywoływania trwałej odpowiedzi po zakończeniu leczenia u 105 dorosłych pacjentów z ITP, u których doszło do nawrotu choroby, lub którzy nie odpowiedzieli na leczenie pierwszego rzutu kortykosteroidami.</w:t>
      </w:r>
    </w:p>
    <w:p w14:paraId="05219637" w14:textId="77777777" w:rsidR="00802FF6" w:rsidRPr="007E4DA1" w:rsidRDefault="00802FF6" w:rsidP="001A6584">
      <w:pPr>
        <w:tabs>
          <w:tab w:val="left" w:pos="142"/>
        </w:tabs>
        <w:ind w:left="0" w:firstLine="0"/>
        <w:rPr>
          <w:szCs w:val="22"/>
        </w:rPr>
      </w:pPr>
    </w:p>
    <w:p w14:paraId="7B00128A" w14:textId="77777777" w:rsidR="00041A08" w:rsidRPr="00041A08" w:rsidRDefault="00802FF6" w:rsidP="001A6584">
      <w:pPr>
        <w:keepNext/>
        <w:tabs>
          <w:tab w:val="left" w:pos="142"/>
        </w:tabs>
        <w:ind w:left="0" w:firstLine="0"/>
        <w:rPr>
          <w:szCs w:val="22"/>
        </w:rPr>
      </w:pPr>
      <w:r w:rsidRPr="007E4DA1">
        <w:rPr>
          <w:i/>
          <w:szCs w:val="22"/>
        </w:rPr>
        <w:t>Badania kontrolowane placebo, przeprowadzone metodą podwójnie ślepej próby</w:t>
      </w:r>
    </w:p>
    <w:p w14:paraId="7D4F939C" w14:textId="418A8AEA" w:rsidR="00E7033C" w:rsidRPr="007E4DA1" w:rsidRDefault="00802FF6" w:rsidP="001A6584">
      <w:pPr>
        <w:keepNext/>
        <w:tabs>
          <w:tab w:val="left" w:pos="142"/>
        </w:tabs>
        <w:autoSpaceDE w:val="0"/>
        <w:autoSpaceDN w:val="0"/>
        <w:adjustRightInd w:val="0"/>
        <w:ind w:left="0" w:firstLine="0"/>
        <w:rPr>
          <w:szCs w:val="22"/>
        </w:rPr>
      </w:pPr>
      <w:r w:rsidRPr="007E4DA1">
        <w:rPr>
          <w:szCs w:val="22"/>
        </w:rPr>
        <w:t>Badanie RAISE:</w:t>
      </w:r>
    </w:p>
    <w:p w14:paraId="4B630440" w14:textId="6C150437" w:rsidR="00802FF6" w:rsidRPr="007E4DA1" w:rsidRDefault="00802FF6" w:rsidP="001A6584">
      <w:pPr>
        <w:tabs>
          <w:tab w:val="left" w:pos="142"/>
        </w:tabs>
        <w:autoSpaceDE w:val="0"/>
        <w:autoSpaceDN w:val="0"/>
        <w:adjustRightInd w:val="0"/>
        <w:ind w:left="0" w:firstLine="0"/>
        <w:rPr>
          <w:bCs/>
          <w:szCs w:val="22"/>
        </w:rPr>
      </w:pPr>
      <w:r w:rsidRPr="007E4DA1">
        <w:t>197</w:t>
      </w:r>
      <w:r w:rsidR="002B3D7F" w:rsidRPr="007E4DA1">
        <w:t> </w:t>
      </w:r>
      <w:r w:rsidRPr="007E4DA1">
        <w:t>pacjentów z pierwotną małopłytkowością immunologiczną randomizowano w stosunku 2:1 do grup eltrombopagu (n=135) i placebo (n=62).</w:t>
      </w:r>
      <w:r w:rsidRPr="007E4DA1">
        <w:rPr>
          <w:szCs w:val="22"/>
        </w:rPr>
        <w:t xml:space="preserve"> </w:t>
      </w:r>
      <w:r w:rsidRPr="007E4DA1">
        <w:t>Randomizację stratyfikowano pod względem statusu splenektomii, leczenia pierwotnej małopłytkowości immunologicznej stosowanego w momencie rozpoczęcia badania oraz początkowej liczby płytek krwi</w:t>
      </w:r>
      <w:r w:rsidRPr="007E4DA1">
        <w:rPr>
          <w:bCs/>
        </w:rPr>
        <w:t>.</w:t>
      </w:r>
      <w:r w:rsidRPr="007E4DA1">
        <w:rPr>
          <w:bCs/>
          <w:szCs w:val="22"/>
        </w:rPr>
        <w:t xml:space="preserve"> </w:t>
      </w:r>
      <w:r w:rsidRPr="007E4DA1">
        <w:rPr>
          <w:bCs/>
        </w:rPr>
        <w:t xml:space="preserve">Dawkę eltrombopagu u poszczególnych pacjentów korygowano w czasie 6-miesięcznego okresu leczenia na podstawie </w:t>
      </w:r>
      <w:r w:rsidRPr="007E4DA1">
        <w:t>liczby płytek krwi</w:t>
      </w:r>
      <w:r w:rsidRPr="007E4DA1">
        <w:rPr>
          <w:bCs/>
        </w:rPr>
        <w:t>.</w:t>
      </w:r>
      <w:r w:rsidRPr="007E4DA1">
        <w:rPr>
          <w:bCs/>
          <w:szCs w:val="22"/>
        </w:rPr>
        <w:t xml:space="preserve"> </w:t>
      </w:r>
      <w:r w:rsidRPr="007E4DA1">
        <w:rPr>
          <w:bCs/>
        </w:rPr>
        <w:t>U wszystkich pacjentów leczenie rozpoczęto od dawki eltrombopagu 50 mg. Od dnia</w:t>
      </w:r>
      <w:r w:rsidR="00EB207A" w:rsidRPr="007E4DA1">
        <w:rPr>
          <w:bCs/>
        </w:rPr>
        <w:t> </w:t>
      </w:r>
      <w:r w:rsidRPr="007E4DA1">
        <w:rPr>
          <w:bCs/>
        </w:rPr>
        <w:t>29. do zakończenia leczenia 15–28% pacjentów otrzymujących eltrombopag przyjmowało dawkę ≤25 mg, a 29–53% pacjentów dawkę 75 mg.</w:t>
      </w:r>
    </w:p>
    <w:p w14:paraId="30A6FB45" w14:textId="77777777" w:rsidR="00802FF6" w:rsidRPr="007E4DA1" w:rsidRDefault="00802FF6" w:rsidP="001A6584">
      <w:pPr>
        <w:tabs>
          <w:tab w:val="left" w:pos="142"/>
        </w:tabs>
        <w:autoSpaceDE w:val="0"/>
        <w:autoSpaceDN w:val="0"/>
        <w:adjustRightInd w:val="0"/>
        <w:ind w:left="0" w:firstLine="0"/>
        <w:rPr>
          <w:bCs/>
          <w:szCs w:val="22"/>
        </w:rPr>
      </w:pPr>
    </w:p>
    <w:p w14:paraId="02294819" w14:textId="77777777" w:rsidR="00041A08" w:rsidRPr="00041A08" w:rsidRDefault="00802FF6" w:rsidP="001A6584">
      <w:pPr>
        <w:tabs>
          <w:tab w:val="left" w:pos="142"/>
        </w:tabs>
        <w:autoSpaceDE w:val="0"/>
        <w:autoSpaceDN w:val="0"/>
        <w:adjustRightInd w:val="0"/>
        <w:ind w:left="0" w:firstLine="0"/>
        <w:rPr>
          <w:szCs w:val="22"/>
        </w:rPr>
      </w:pPr>
      <w:r w:rsidRPr="007E4DA1">
        <w:rPr>
          <w:bCs/>
          <w:szCs w:val="22"/>
        </w:rPr>
        <w:lastRenderedPageBreak/>
        <w:t xml:space="preserve">Oprócz tego u pacjentów można było zmniejszać ilość produktów leczniczych stosowanych jednocześnie w leczeniu </w:t>
      </w:r>
      <w:r w:rsidRPr="007E4DA1">
        <w:t>pierwotnej małopłytkowości immunologicznej</w:t>
      </w:r>
      <w:r w:rsidRPr="007E4DA1">
        <w:rPr>
          <w:bCs/>
          <w:szCs w:val="22"/>
        </w:rPr>
        <w:t xml:space="preserve"> oraz stosować doraźne leczenie ratunkowe zgodnie z lokalnymi standardami postępowania.</w:t>
      </w:r>
      <w:r w:rsidRPr="007E4DA1">
        <w:rPr>
          <w:color w:val="000000"/>
          <w:szCs w:val="22"/>
        </w:rPr>
        <w:t xml:space="preserve"> Więcej niż połowa pacjentów z obu grup otrzymało uprzednio ≥3</w:t>
      </w:r>
      <w:r w:rsidR="00E77041" w:rsidRPr="007E4DA1">
        <w:rPr>
          <w:color w:val="000000"/>
          <w:szCs w:val="22"/>
        </w:rPr>
        <w:t> </w:t>
      </w:r>
      <w:r w:rsidRPr="007E4DA1">
        <w:rPr>
          <w:color w:val="000000"/>
          <w:szCs w:val="22"/>
        </w:rPr>
        <w:t xml:space="preserve">kursy terapii </w:t>
      </w:r>
      <w:r w:rsidRPr="007E4DA1">
        <w:t xml:space="preserve">pierwotnej małopłytkowości immunologicznej, </w:t>
      </w:r>
      <w:r w:rsidRPr="007E4DA1">
        <w:rPr>
          <w:color w:val="000000"/>
          <w:szCs w:val="22"/>
        </w:rPr>
        <w:t>a u</w:t>
      </w:r>
      <w:r w:rsidRPr="007E4DA1">
        <w:rPr>
          <w:szCs w:val="22"/>
        </w:rPr>
        <w:t xml:space="preserve"> 36% pacjentów wykonano uprzednio splenektomię.</w:t>
      </w:r>
    </w:p>
    <w:p w14:paraId="2093D692" w14:textId="4CD428AD" w:rsidR="00802FF6" w:rsidRPr="007E4DA1" w:rsidRDefault="00802FF6" w:rsidP="001A6584">
      <w:pPr>
        <w:pStyle w:val="Caption"/>
        <w:tabs>
          <w:tab w:val="left" w:pos="142"/>
        </w:tabs>
        <w:spacing w:before="0" w:after="0"/>
        <w:rPr>
          <w:b w:val="0"/>
          <w:sz w:val="22"/>
          <w:szCs w:val="22"/>
          <w:lang w:val="pl-PL"/>
        </w:rPr>
      </w:pPr>
    </w:p>
    <w:p w14:paraId="629B6911" w14:textId="77777777" w:rsidR="00802FF6" w:rsidRPr="007E4DA1" w:rsidRDefault="00802FF6" w:rsidP="001A6584">
      <w:pPr>
        <w:tabs>
          <w:tab w:val="left" w:pos="142"/>
        </w:tabs>
        <w:autoSpaceDE w:val="0"/>
        <w:autoSpaceDN w:val="0"/>
        <w:adjustRightInd w:val="0"/>
        <w:ind w:left="0" w:firstLine="0"/>
        <w:rPr>
          <w:bCs/>
          <w:color w:val="000000"/>
        </w:rPr>
      </w:pPr>
      <w:r w:rsidRPr="007E4DA1">
        <w:t>Mediana liczby płytek krwi w momencie rozpoczęcia leczenia wyniosła 16 000/</w:t>
      </w:r>
      <w:r w:rsidRPr="007E4DA1">
        <w:sym w:font="Symbol" w:char="F06D"/>
      </w:r>
      <w:r w:rsidRPr="007E4DA1">
        <w:t>l w obu grupach pacjentów. W grupie eltrombopagu wartość ta utrzymywała się powyżej 50 000/µl w czasie wszystkich wizyt kontrolnych począwszy od dnia 15., natomiast mediana liczby płytek krwi w grupie placebo pozostawała &lt;30 000/µl w czasie całego badania.</w:t>
      </w:r>
    </w:p>
    <w:p w14:paraId="7F1A9CB2" w14:textId="77777777" w:rsidR="00802FF6" w:rsidRPr="007E4DA1" w:rsidRDefault="00802FF6" w:rsidP="001A6584">
      <w:pPr>
        <w:tabs>
          <w:tab w:val="left" w:pos="142"/>
        </w:tabs>
        <w:ind w:left="0" w:firstLine="0"/>
        <w:rPr>
          <w:szCs w:val="22"/>
        </w:rPr>
      </w:pPr>
    </w:p>
    <w:p w14:paraId="3AFA4B9B" w14:textId="31553377" w:rsidR="00802FF6" w:rsidRPr="007E4DA1" w:rsidRDefault="00802FF6" w:rsidP="001A6584">
      <w:pPr>
        <w:tabs>
          <w:tab w:val="left" w:pos="142"/>
        </w:tabs>
        <w:ind w:left="0" w:firstLine="0"/>
      </w:pPr>
      <w:r w:rsidRPr="007E4DA1">
        <w:t>Odpowiedź na leczenie w postaci liczby płytek krwi w zakresie 50 000</w:t>
      </w:r>
      <w:r w:rsidR="00F865DC" w:rsidRPr="007E4DA1">
        <w:noBreakHyphen/>
      </w:r>
      <w:r w:rsidRPr="007E4DA1">
        <w:t>400 000/</w:t>
      </w:r>
      <w:r w:rsidRPr="007E4DA1">
        <w:sym w:font="Symbol" w:char="F06D"/>
      </w:r>
      <w:r w:rsidRPr="007E4DA1">
        <w:t xml:space="preserve">l bez konieczności </w:t>
      </w:r>
      <w:r w:rsidRPr="007E4DA1">
        <w:rPr>
          <w:bCs/>
          <w:szCs w:val="22"/>
        </w:rPr>
        <w:t>doraźnego leczenia ratunkowego</w:t>
      </w:r>
      <w:r w:rsidRPr="007E4DA1">
        <w:t xml:space="preserve"> uzyskano u znamiennie większej liczby pacjentów w grupie otrzymującej eltrombopag w czasie 6-miesięcznego okresu terapii (p &lt;0,001)</w:t>
      </w:r>
      <w:r w:rsidR="00541154">
        <w:t xml:space="preserve"> (</w:t>
      </w:r>
      <w:r w:rsidR="00E52F84">
        <w:t>t</w:t>
      </w:r>
      <w:r w:rsidR="00541154">
        <w:t>abela 7)</w:t>
      </w:r>
      <w:r w:rsidRPr="007E4DA1">
        <w:t>. Taką odpowiedź po 6</w:t>
      </w:r>
      <w:r w:rsidR="00EB207A" w:rsidRPr="007E4DA1">
        <w:t> </w:t>
      </w:r>
      <w:r w:rsidRPr="007E4DA1">
        <w:t>tygodniach leczenia uzyskano u pięćdziesięciu czterech procent pacjentów leczonych eltrombopagiem oraz u 13% pacjentów otrzymujących placebo. Podobna odpowiedź w zakresie liczby płytek krwi utrzymywała się przez cały okres badania, a odsetek pacjentów odpowiadających na leczenie na końcu 6-miesięcznego okresu leczenia wyniósł odpowiednio u 52% i 16%.</w:t>
      </w:r>
    </w:p>
    <w:p w14:paraId="2F33455D" w14:textId="77777777" w:rsidR="00802FF6" w:rsidRPr="007E4DA1" w:rsidRDefault="00802FF6" w:rsidP="001A6584">
      <w:pPr>
        <w:tabs>
          <w:tab w:val="left" w:pos="142"/>
        </w:tabs>
        <w:ind w:left="0" w:firstLine="0"/>
        <w:rPr>
          <w:szCs w:val="22"/>
        </w:rPr>
      </w:pPr>
    </w:p>
    <w:p w14:paraId="01AE0F22" w14:textId="36F0F2DE" w:rsidR="00041A08" w:rsidRPr="00041A08" w:rsidRDefault="00802FF6">
      <w:pPr>
        <w:pStyle w:val="Caption"/>
        <w:keepNext/>
        <w:tabs>
          <w:tab w:val="left" w:pos="142"/>
          <w:tab w:val="left" w:pos="1134"/>
        </w:tabs>
        <w:spacing w:before="0" w:after="0"/>
        <w:ind w:left="1134" w:hanging="1134"/>
        <w:rPr>
          <w:b w:val="0"/>
          <w:sz w:val="22"/>
          <w:szCs w:val="22"/>
          <w:lang w:val="pl-PL"/>
        </w:rPr>
      </w:pPr>
      <w:r w:rsidRPr="007E4DA1">
        <w:rPr>
          <w:sz w:val="22"/>
          <w:szCs w:val="22"/>
          <w:lang w:val="pl-PL"/>
        </w:rPr>
        <w:t>Tabela</w:t>
      </w:r>
      <w:r w:rsidR="008B1151" w:rsidRPr="007E4DA1">
        <w:rPr>
          <w:sz w:val="22"/>
          <w:szCs w:val="22"/>
          <w:lang w:val="pl-PL"/>
        </w:rPr>
        <w:t> </w:t>
      </w:r>
      <w:r w:rsidR="00541154">
        <w:rPr>
          <w:sz w:val="22"/>
          <w:szCs w:val="22"/>
          <w:lang w:val="pl-PL"/>
        </w:rPr>
        <w:t>7</w:t>
      </w:r>
      <w:r w:rsidR="004650AC" w:rsidRPr="007E4DA1">
        <w:rPr>
          <w:sz w:val="22"/>
          <w:szCs w:val="22"/>
          <w:lang w:val="pl-PL"/>
        </w:rPr>
        <w:tab/>
      </w:r>
      <w:r w:rsidRPr="007E4DA1">
        <w:rPr>
          <w:sz w:val="22"/>
          <w:szCs w:val="22"/>
          <w:lang w:val="pl-PL"/>
        </w:rPr>
        <w:t>Drugorzędowe wyniki skuteczności z badania RAISE</w:t>
      </w:r>
    </w:p>
    <w:p w14:paraId="4E41C7D4" w14:textId="27AF0DB8" w:rsidR="0051523E" w:rsidRPr="007E4DA1" w:rsidRDefault="0051523E" w:rsidP="001A6584">
      <w:pPr>
        <w:keepNext/>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9"/>
        <w:gridCol w:w="1428"/>
        <w:gridCol w:w="1053"/>
      </w:tblGrid>
      <w:tr w:rsidR="00802FF6" w:rsidRPr="007E4DA1" w14:paraId="6AEAF485" w14:textId="77777777" w:rsidTr="00EE3105">
        <w:trPr>
          <w:cantSplit/>
        </w:trPr>
        <w:tc>
          <w:tcPr>
            <w:tcW w:w="3631" w:type="pct"/>
            <w:vAlign w:val="bottom"/>
          </w:tcPr>
          <w:p w14:paraId="4C9BE608" w14:textId="77777777" w:rsidR="00802FF6" w:rsidRPr="007E4DA1" w:rsidRDefault="00802FF6" w:rsidP="001A6584">
            <w:pPr>
              <w:keepNext/>
              <w:tabs>
                <w:tab w:val="left" w:pos="142"/>
              </w:tabs>
              <w:ind w:left="0" w:firstLine="0"/>
            </w:pPr>
          </w:p>
        </w:tc>
        <w:tc>
          <w:tcPr>
            <w:tcW w:w="788" w:type="pct"/>
          </w:tcPr>
          <w:p w14:paraId="13D4AED4" w14:textId="77777777" w:rsidR="00802FF6" w:rsidRPr="007E4DA1" w:rsidRDefault="00802FF6" w:rsidP="001A6584">
            <w:pPr>
              <w:keepNext/>
              <w:tabs>
                <w:tab w:val="left" w:pos="142"/>
              </w:tabs>
              <w:ind w:left="0" w:firstLine="0"/>
              <w:jc w:val="center"/>
            </w:pPr>
            <w:r w:rsidRPr="007E4DA1">
              <w:t>Eltrombopag</w:t>
            </w:r>
          </w:p>
          <w:p w14:paraId="6143C066" w14:textId="77777777" w:rsidR="00802FF6" w:rsidRPr="007E4DA1" w:rsidRDefault="00802FF6" w:rsidP="001A6584">
            <w:pPr>
              <w:keepNext/>
              <w:tabs>
                <w:tab w:val="left" w:pos="142"/>
              </w:tabs>
              <w:ind w:left="0" w:firstLine="0"/>
              <w:jc w:val="center"/>
            </w:pPr>
            <w:r w:rsidRPr="007E4DA1">
              <w:t>N=135</w:t>
            </w:r>
          </w:p>
        </w:tc>
        <w:tc>
          <w:tcPr>
            <w:tcW w:w="581" w:type="pct"/>
            <w:vAlign w:val="bottom"/>
          </w:tcPr>
          <w:p w14:paraId="7F38EA88" w14:textId="77777777" w:rsidR="00802FF6" w:rsidRPr="007E4DA1" w:rsidRDefault="00802FF6" w:rsidP="001A6584">
            <w:pPr>
              <w:keepNext/>
              <w:tabs>
                <w:tab w:val="left" w:pos="142"/>
              </w:tabs>
              <w:ind w:left="0" w:firstLine="0"/>
              <w:jc w:val="center"/>
            </w:pPr>
            <w:r w:rsidRPr="007E4DA1">
              <w:t>Placebo</w:t>
            </w:r>
          </w:p>
          <w:p w14:paraId="458A6FAC" w14:textId="77777777" w:rsidR="00802FF6" w:rsidRPr="007E4DA1" w:rsidRDefault="00802FF6" w:rsidP="001A6584">
            <w:pPr>
              <w:keepNext/>
              <w:tabs>
                <w:tab w:val="left" w:pos="142"/>
              </w:tabs>
              <w:ind w:left="0" w:firstLine="0"/>
              <w:jc w:val="center"/>
            </w:pPr>
            <w:r w:rsidRPr="007E4DA1">
              <w:t>N=62</w:t>
            </w:r>
          </w:p>
        </w:tc>
      </w:tr>
      <w:tr w:rsidR="00802FF6" w:rsidRPr="007E4DA1" w14:paraId="4C457E71" w14:textId="77777777" w:rsidTr="00EE3105">
        <w:trPr>
          <w:cantSplit/>
        </w:trPr>
        <w:tc>
          <w:tcPr>
            <w:tcW w:w="5000" w:type="pct"/>
            <w:gridSpan w:val="3"/>
          </w:tcPr>
          <w:p w14:paraId="52B386C1" w14:textId="77777777" w:rsidR="00802FF6" w:rsidRPr="007E4DA1" w:rsidRDefault="00802FF6" w:rsidP="001A6584">
            <w:pPr>
              <w:keepNext/>
              <w:tabs>
                <w:tab w:val="left" w:pos="142"/>
              </w:tabs>
              <w:ind w:left="0" w:firstLine="0"/>
            </w:pPr>
            <w:r w:rsidRPr="007E4DA1">
              <w:t>Najważniejsze drugorzędowe punkty końcowe</w:t>
            </w:r>
          </w:p>
        </w:tc>
      </w:tr>
      <w:tr w:rsidR="00802FF6" w:rsidRPr="007E4DA1" w14:paraId="4F24EC8F" w14:textId="77777777" w:rsidTr="00EE3105">
        <w:trPr>
          <w:cantSplit/>
        </w:trPr>
        <w:tc>
          <w:tcPr>
            <w:tcW w:w="3631" w:type="pct"/>
          </w:tcPr>
          <w:p w14:paraId="21109736" w14:textId="77777777" w:rsidR="00802FF6" w:rsidRPr="007E4DA1" w:rsidRDefault="00802FF6" w:rsidP="001A6584">
            <w:pPr>
              <w:keepNext/>
              <w:tabs>
                <w:tab w:val="left" w:pos="142"/>
              </w:tabs>
              <w:ind w:left="0" w:firstLine="0"/>
            </w:pPr>
            <w:r w:rsidRPr="007E4DA1">
              <w:t xml:space="preserve">Sumaryczna liczba tygodni w których liczba płytek krwi była </w:t>
            </w:r>
            <w:r w:rsidRPr="007E4DA1">
              <w:sym w:font="Symbol" w:char="F0B3"/>
            </w:r>
            <w:r w:rsidRPr="007E4DA1">
              <w:rPr>
                <w:bCs/>
              </w:rPr>
              <w:t>50 000</w:t>
            </w:r>
            <w:r w:rsidR="00F865DC" w:rsidRPr="007E4DA1">
              <w:rPr>
                <w:bCs/>
              </w:rPr>
              <w:noBreakHyphen/>
            </w:r>
            <w:r w:rsidRPr="007E4DA1">
              <w:rPr>
                <w:bCs/>
              </w:rPr>
              <w:t>400 </w:t>
            </w:r>
            <w:r w:rsidRPr="007E4DA1">
              <w:t>000/µl, średnia (SD)</w:t>
            </w:r>
          </w:p>
        </w:tc>
        <w:tc>
          <w:tcPr>
            <w:tcW w:w="788" w:type="pct"/>
            <w:vAlign w:val="center"/>
          </w:tcPr>
          <w:p w14:paraId="1485A426" w14:textId="77777777" w:rsidR="00802FF6" w:rsidRPr="007E4DA1" w:rsidRDefault="00802FF6" w:rsidP="001A6584">
            <w:pPr>
              <w:keepNext/>
              <w:tabs>
                <w:tab w:val="left" w:pos="142"/>
              </w:tabs>
              <w:ind w:left="0" w:firstLine="0"/>
              <w:jc w:val="center"/>
            </w:pPr>
            <w:r w:rsidRPr="007E4DA1">
              <w:t>11,3 (9,46)</w:t>
            </w:r>
          </w:p>
        </w:tc>
        <w:tc>
          <w:tcPr>
            <w:tcW w:w="581" w:type="pct"/>
            <w:vAlign w:val="center"/>
          </w:tcPr>
          <w:p w14:paraId="65F6FBC0" w14:textId="77777777" w:rsidR="00802FF6" w:rsidRPr="007E4DA1" w:rsidRDefault="00802FF6" w:rsidP="001A6584">
            <w:pPr>
              <w:keepNext/>
              <w:tabs>
                <w:tab w:val="left" w:pos="142"/>
              </w:tabs>
              <w:ind w:left="0" w:firstLine="0"/>
              <w:jc w:val="center"/>
            </w:pPr>
            <w:r w:rsidRPr="007E4DA1">
              <w:t>2,4 (5,95)</w:t>
            </w:r>
          </w:p>
        </w:tc>
      </w:tr>
      <w:tr w:rsidR="00802FF6" w:rsidRPr="007E4DA1" w14:paraId="0B90A561" w14:textId="77777777" w:rsidTr="00EE3105">
        <w:trPr>
          <w:cantSplit/>
        </w:trPr>
        <w:tc>
          <w:tcPr>
            <w:tcW w:w="3631" w:type="pct"/>
            <w:vMerge w:val="restart"/>
          </w:tcPr>
          <w:p w14:paraId="569414CC" w14:textId="77777777" w:rsidR="00802FF6" w:rsidRPr="007E4DA1" w:rsidRDefault="00802FF6" w:rsidP="001A6584">
            <w:pPr>
              <w:keepNext/>
              <w:tabs>
                <w:tab w:val="left" w:pos="142"/>
              </w:tabs>
              <w:ind w:left="0" w:firstLine="0"/>
              <w:rPr>
                <w:rFonts w:ascii="TimesNewRoman" w:hAnsi="TimesNewRoman" w:cs="TimesNewRoman"/>
                <w:color w:val="000000"/>
                <w:szCs w:val="22"/>
              </w:rPr>
            </w:pPr>
            <w:r w:rsidRPr="007E4DA1">
              <w:rPr>
                <w:color w:val="000000"/>
                <w:szCs w:val="22"/>
              </w:rPr>
              <w:t>Pacjenci, u których</w:t>
            </w:r>
            <w:r w:rsidRPr="007E4DA1">
              <w:rPr>
                <w:rFonts w:ascii="TimesNewRoman" w:hAnsi="TimesNewRoman" w:cs="TimesNewRoman"/>
                <w:color w:val="000000"/>
                <w:szCs w:val="22"/>
              </w:rPr>
              <w:t xml:space="preserve"> </w:t>
            </w:r>
            <w:r w:rsidRPr="007E4DA1">
              <w:rPr>
                <w:color w:val="000000"/>
                <w:szCs w:val="22"/>
              </w:rPr>
              <w:t>liczba płytek krwi w ≥75% oznaczeń mieściła się w zakresie docelowym (50 000 do 400 000/</w:t>
            </w:r>
            <w:r w:rsidRPr="007E4DA1">
              <w:rPr>
                <w:color w:val="000000"/>
                <w:szCs w:val="22"/>
              </w:rPr>
              <w:sym w:font="Symbol" w:char="F06D"/>
            </w:r>
            <w:r w:rsidRPr="007E4DA1">
              <w:rPr>
                <w:color w:val="000000"/>
                <w:szCs w:val="22"/>
              </w:rPr>
              <w:t>l) n (%)</w:t>
            </w:r>
          </w:p>
          <w:p w14:paraId="09EEB0B4" w14:textId="77777777" w:rsidR="00802FF6" w:rsidRPr="007E4DA1" w:rsidRDefault="00802FF6" w:rsidP="001A6584">
            <w:pPr>
              <w:keepNext/>
              <w:tabs>
                <w:tab w:val="left" w:pos="567"/>
              </w:tabs>
              <w:ind w:left="0" w:firstLine="0"/>
            </w:pPr>
            <w:r w:rsidRPr="007E4DA1">
              <w:tab/>
              <w:t>Wartość</w:t>
            </w:r>
            <w:r w:rsidRPr="007E4DA1">
              <w:rPr>
                <w:i/>
              </w:rPr>
              <w:t xml:space="preserve"> </w:t>
            </w:r>
            <w:r w:rsidR="00880214" w:rsidRPr="007E4DA1">
              <w:rPr>
                <w:i/>
              </w:rPr>
              <w:t>p</w:t>
            </w:r>
            <w:r w:rsidRPr="007E4DA1">
              <w:rPr>
                <w:bCs/>
                <w:vertAlign w:val="superscript"/>
              </w:rPr>
              <w:t xml:space="preserve"> a</w:t>
            </w:r>
          </w:p>
        </w:tc>
        <w:tc>
          <w:tcPr>
            <w:tcW w:w="788" w:type="pct"/>
            <w:vAlign w:val="center"/>
          </w:tcPr>
          <w:p w14:paraId="24FD8DA8" w14:textId="77777777" w:rsidR="00802FF6" w:rsidRPr="007E4DA1" w:rsidRDefault="00802FF6" w:rsidP="001A6584">
            <w:pPr>
              <w:keepNext/>
              <w:tabs>
                <w:tab w:val="left" w:pos="142"/>
              </w:tabs>
              <w:ind w:left="0" w:firstLine="0"/>
              <w:jc w:val="center"/>
              <w:rPr>
                <w:color w:val="000000"/>
                <w:szCs w:val="22"/>
              </w:rPr>
            </w:pPr>
            <w:r w:rsidRPr="007E4DA1">
              <w:rPr>
                <w:color w:val="000000"/>
                <w:szCs w:val="22"/>
              </w:rPr>
              <w:t>51 (38)</w:t>
            </w:r>
          </w:p>
        </w:tc>
        <w:tc>
          <w:tcPr>
            <w:tcW w:w="581" w:type="pct"/>
            <w:vAlign w:val="center"/>
          </w:tcPr>
          <w:p w14:paraId="2E303C93" w14:textId="77777777" w:rsidR="00802FF6" w:rsidRPr="007E4DA1" w:rsidRDefault="00802FF6" w:rsidP="001A6584">
            <w:pPr>
              <w:keepNext/>
              <w:tabs>
                <w:tab w:val="left" w:pos="142"/>
              </w:tabs>
              <w:ind w:left="0" w:firstLine="0"/>
              <w:jc w:val="center"/>
            </w:pPr>
            <w:r w:rsidRPr="007E4DA1">
              <w:rPr>
                <w:color w:val="000000"/>
                <w:szCs w:val="22"/>
              </w:rPr>
              <w:t>4 (7)</w:t>
            </w:r>
          </w:p>
        </w:tc>
      </w:tr>
      <w:tr w:rsidR="00802FF6" w:rsidRPr="007E4DA1" w14:paraId="6F262885" w14:textId="77777777" w:rsidTr="00EE3105">
        <w:trPr>
          <w:cantSplit/>
        </w:trPr>
        <w:tc>
          <w:tcPr>
            <w:tcW w:w="3631" w:type="pct"/>
            <w:vMerge/>
          </w:tcPr>
          <w:p w14:paraId="472522C6" w14:textId="77777777" w:rsidR="00802FF6" w:rsidRPr="007E4DA1" w:rsidRDefault="00802FF6" w:rsidP="001A6584">
            <w:pPr>
              <w:keepNext/>
              <w:tabs>
                <w:tab w:val="left" w:pos="142"/>
              </w:tabs>
              <w:ind w:left="0" w:firstLine="0"/>
              <w:rPr>
                <w:color w:val="000000"/>
              </w:rPr>
            </w:pPr>
          </w:p>
        </w:tc>
        <w:tc>
          <w:tcPr>
            <w:tcW w:w="1369" w:type="pct"/>
            <w:gridSpan w:val="2"/>
            <w:vAlign w:val="center"/>
          </w:tcPr>
          <w:p w14:paraId="76B3EA08" w14:textId="77777777" w:rsidR="00802FF6" w:rsidRPr="007E4DA1" w:rsidRDefault="00802FF6" w:rsidP="001A6584">
            <w:pPr>
              <w:keepNext/>
              <w:tabs>
                <w:tab w:val="left" w:pos="142"/>
              </w:tabs>
              <w:ind w:left="0" w:firstLine="0"/>
              <w:jc w:val="center"/>
              <w:rPr>
                <w:color w:val="000000"/>
                <w:szCs w:val="22"/>
              </w:rPr>
            </w:pPr>
            <w:r w:rsidRPr="007E4DA1">
              <w:rPr>
                <w:color w:val="000000"/>
                <w:szCs w:val="22"/>
              </w:rPr>
              <w:t>&lt;0,001</w:t>
            </w:r>
          </w:p>
        </w:tc>
      </w:tr>
      <w:tr w:rsidR="00802FF6" w:rsidRPr="007E4DA1" w14:paraId="276952A9" w14:textId="77777777" w:rsidTr="00EE3105">
        <w:trPr>
          <w:cantSplit/>
        </w:trPr>
        <w:tc>
          <w:tcPr>
            <w:tcW w:w="3631" w:type="pct"/>
            <w:tcBorders>
              <w:bottom w:val="nil"/>
            </w:tcBorders>
          </w:tcPr>
          <w:p w14:paraId="25ED5AA6" w14:textId="77777777" w:rsidR="00802FF6" w:rsidRPr="007E4DA1" w:rsidRDefault="00802FF6" w:rsidP="001A6584">
            <w:pPr>
              <w:keepNext/>
              <w:tabs>
                <w:tab w:val="left" w:pos="142"/>
              </w:tabs>
              <w:ind w:left="0" w:firstLine="0"/>
            </w:pPr>
            <w:r w:rsidRPr="007E4DA1">
              <w:t>Liczba pacjentów, u których wystąpiło krwawienie (stopnie WHO 1</w:t>
            </w:r>
            <w:r w:rsidR="00F865DC" w:rsidRPr="007E4DA1">
              <w:noBreakHyphen/>
            </w:r>
            <w:r w:rsidRPr="007E4DA1">
              <w:t>4) w dowolnym momencie w czasie 6 miesięcy, n (%)</w:t>
            </w:r>
          </w:p>
        </w:tc>
        <w:tc>
          <w:tcPr>
            <w:tcW w:w="788" w:type="pct"/>
            <w:vAlign w:val="center"/>
          </w:tcPr>
          <w:p w14:paraId="1DBB4E2D" w14:textId="77777777" w:rsidR="00802FF6" w:rsidRPr="007E4DA1" w:rsidRDefault="00802FF6" w:rsidP="001A6584">
            <w:pPr>
              <w:keepNext/>
              <w:tabs>
                <w:tab w:val="left" w:pos="142"/>
              </w:tabs>
              <w:ind w:left="0" w:firstLine="0"/>
              <w:jc w:val="center"/>
            </w:pPr>
            <w:r w:rsidRPr="007E4DA1">
              <w:t>106 (79)</w:t>
            </w:r>
          </w:p>
        </w:tc>
        <w:tc>
          <w:tcPr>
            <w:tcW w:w="581" w:type="pct"/>
            <w:vAlign w:val="center"/>
          </w:tcPr>
          <w:p w14:paraId="35B2CCD8" w14:textId="77777777" w:rsidR="00802FF6" w:rsidRPr="007E4DA1" w:rsidRDefault="00802FF6" w:rsidP="001A6584">
            <w:pPr>
              <w:keepNext/>
              <w:tabs>
                <w:tab w:val="left" w:pos="142"/>
              </w:tabs>
              <w:ind w:left="0" w:firstLine="0"/>
              <w:jc w:val="center"/>
            </w:pPr>
            <w:r w:rsidRPr="007E4DA1">
              <w:t>56 (93)</w:t>
            </w:r>
          </w:p>
        </w:tc>
      </w:tr>
      <w:tr w:rsidR="00802FF6" w:rsidRPr="007E4DA1" w14:paraId="4DA7B4AF" w14:textId="77777777" w:rsidTr="00EE3105">
        <w:trPr>
          <w:cantSplit/>
        </w:trPr>
        <w:tc>
          <w:tcPr>
            <w:tcW w:w="3631" w:type="pct"/>
            <w:tcBorders>
              <w:top w:val="nil"/>
              <w:bottom w:val="single" w:sz="4" w:space="0" w:color="auto"/>
            </w:tcBorders>
          </w:tcPr>
          <w:p w14:paraId="0E94EF38" w14:textId="77777777" w:rsidR="00802FF6" w:rsidRPr="007E4DA1" w:rsidRDefault="00802FF6" w:rsidP="001A6584">
            <w:pPr>
              <w:keepNext/>
              <w:tabs>
                <w:tab w:val="left" w:pos="567"/>
              </w:tabs>
              <w:ind w:left="0" w:firstLine="0"/>
            </w:pPr>
            <w:r w:rsidRPr="007E4DA1">
              <w:tab/>
              <w:t xml:space="preserve">Wartość </w:t>
            </w:r>
            <w:r w:rsidR="00880214" w:rsidRPr="007E4DA1">
              <w:rPr>
                <w:i/>
              </w:rPr>
              <w:t>p</w:t>
            </w:r>
            <w:r w:rsidRPr="007E4DA1">
              <w:rPr>
                <w:bCs/>
                <w:vertAlign w:val="superscript"/>
              </w:rPr>
              <w:t xml:space="preserve"> a</w:t>
            </w:r>
          </w:p>
        </w:tc>
        <w:tc>
          <w:tcPr>
            <w:tcW w:w="1369" w:type="pct"/>
            <w:gridSpan w:val="2"/>
          </w:tcPr>
          <w:p w14:paraId="02A9F850" w14:textId="77777777" w:rsidR="00802FF6" w:rsidRPr="007E4DA1" w:rsidRDefault="00802FF6" w:rsidP="001A6584">
            <w:pPr>
              <w:keepNext/>
              <w:tabs>
                <w:tab w:val="left" w:pos="142"/>
              </w:tabs>
              <w:ind w:left="0" w:firstLine="0"/>
              <w:jc w:val="center"/>
            </w:pPr>
            <w:r w:rsidRPr="007E4DA1">
              <w:t>0,012</w:t>
            </w:r>
          </w:p>
        </w:tc>
      </w:tr>
      <w:tr w:rsidR="00802FF6" w:rsidRPr="007E4DA1" w14:paraId="30309903" w14:textId="77777777" w:rsidTr="00EE3105">
        <w:trPr>
          <w:cantSplit/>
        </w:trPr>
        <w:tc>
          <w:tcPr>
            <w:tcW w:w="3631" w:type="pct"/>
            <w:tcBorders>
              <w:bottom w:val="nil"/>
            </w:tcBorders>
          </w:tcPr>
          <w:p w14:paraId="35CB6A14" w14:textId="77777777" w:rsidR="00802FF6" w:rsidRPr="007E4DA1" w:rsidRDefault="00802FF6" w:rsidP="001A6584">
            <w:pPr>
              <w:keepNext/>
              <w:tabs>
                <w:tab w:val="left" w:pos="142"/>
              </w:tabs>
              <w:ind w:left="0" w:firstLine="0"/>
            </w:pPr>
            <w:r w:rsidRPr="007E4DA1">
              <w:t>Liczba pacjentów, u których wystąpiło krwawienie (stopnie WHO 2</w:t>
            </w:r>
            <w:r w:rsidR="00F865DC" w:rsidRPr="007E4DA1">
              <w:noBreakHyphen/>
            </w:r>
            <w:r w:rsidRPr="007E4DA1">
              <w:t>4) w dowolnym momencie w czasie 6 miesięcy, n (%)</w:t>
            </w:r>
          </w:p>
        </w:tc>
        <w:tc>
          <w:tcPr>
            <w:tcW w:w="788" w:type="pct"/>
            <w:vAlign w:val="center"/>
          </w:tcPr>
          <w:p w14:paraId="57B15D34" w14:textId="77777777" w:rsidR="00802FF6" w:rsidRPr="007E4DA1" w:rsidRDefault="00802FF6" w:rsidP="001A6584">
            <w:pPr>
              <w:keepNext/>
              <w:tabs>
                <w:tab w:val="left" w:pos="142"/>
              </w:tabs>
              <w:ind w:left="0" w:firstLine="0"/>
              <w:jc w:val="center"/>
            </w:pPr>
            <w:r w:rsidRPr="007E4DA1">
              <w:t>44 (33)</w:t>
            </w:r>
          </w:p>
        </w:tc>
        <w:tc>
          <w:tcPr>
            <w:tcW w:w="581" w:type="pct"/>
            <w:vAlign w:val="center"/>
          </w:tcPr>
          <w:p w14:paraId="4A5168DC" w14:textId="77777777" w:rsidR="00802FF6" w:rsidRPr="007E4DA1" w:rsidRDefault="00802FF6" w:rsidP="001A6584">
            <w:pPr>
              <w:keepNext/>
              <w:tabs>
                <w:tab w:val="left" w:pos="142"/>
              </w:tabs>
              <w:ind w:left="0" w:firstLine="0"/>
              <w:jc w:val="center"/>
            </w:pPr>
            <w:r w:rsidRPr="007E4DA1">
              <w:t>32 (53)</w:t>
            </w:r>
          </w:p>
        </w:tc>
      </w:tr>
      <w:tr w:rsidR="00802FF6" w:rsidRPr="007E4DA1" w14:paraId="7DFE7261" w14:textId="77777777" w:rsidTr="00EE3105">
        <w:trPr>
          <w:cantSplit/>
        </w:trPr>
        <w:tc>
          <w:tcPr>
            <w:tcW w:w="3631" w:type="pct"/>
            <w:tcBorders>
              <w:top w:val="nil"/>
            </w:tcBorders>
          </w:tcPr>
          <w:p w14:paraId="536AE0CE" w14:textId="77777777" w:rsidR="00802FF6" w:rsidRPr="007E4DA1" w:rsidRDefault="00802FF6" w:rsidP="001A6584">
            <w:pPr>
              <w:keepNext/>
              <w:tabs>
                <w:tab w:val="left" w:pos="567"/>
              </w:tabs>
              <w:ind w:left="0" w:firstLine="0"/>
            </w:pPr>
            <w:r w:rsidRPr="007E4DA1">
              <w:tab/>
              <w:t xml:space="preserve">Wartość </w:t>
            </w:r>
            <w:r w:rsidR="00880214" w:rsidRPr="007E4DA1">
              <w:rPr>
                <w:i/>
              </w:rPr>
              <w:t>p</w:t>
            </w:r>
            <w:r w:rsidRPr="007E4DA1">
              <w:rPr>
                <w:bCs/>
                <w:vertAlign w:val="superscript"/>
              </w:rPr>
              <w:t xml:space="preserve"> a</w:t>
            </w:r>
          </w:p>
        </w:tc>
        <w:tc>
          <w:tcPr>
            <w:tcW w:w="1369" w:type="pct"/>
            <w:gridSpan w:val="2"/>
            <w:vAlign w:val="center"/>
          </w:tcPr>
          <w:p w14:paraId="463F1B13" w14:textId="77777777" w:rsidR="00802FF6" w:rsidRPr="007E4DA1" w:rsidRDefault="00802FF6" w:rsidP="001A6584">
            <w:pPr>
              <w:keepNext/>
              <w:tabs>
                <w:tab w:val="left" w:pos="142"/>
              </w:tabs>
              <w:ind w:left="0" w:firstLine="0"/>
              <w:jc w:val="center"/>
            </w:pPr>
            <w:r w:rsidRPr="007E4DA1">
              <w:t>0,002</w:t>
            </w:r>
          </w:p>
        </w:tc>
      </w:tr>
      <w:tr w:rsidR="00802FF6" w:rsidRPr="007E4DA1" w14:paraId="5FCE5649" w14:textId="77777777" w:rsidTr="00EE3105">
        <w:trPr>
          <w:cantSplit/>
        </w:trPr>
        <w:tc>
          <w:tcPr>
            <w:tcW w:w="3631" w:type="pct"/>
            <w:vMerge w:val="restart"/>
          </w:tcPr>
          <w:p w14:paraId="2576E236" w14:textId="77777777" w:rsidR="00802FF6" w:rsidRPr="007E4DA1" w:rsidRDefault="00802FF6" w:rsidP="001A6584">
            <w:pPr>
              <w:keepNext/>
              <w:tabs>
                <w:tab w:val="left" w:pos="142"/>
              </w:tabs>
              <w:ind w:left="0" w:firstLine="0"/>
            </w:pPr>
            <w:r w:rsidRPr="007E4DA1">
              <w:t xml:space="preserve">Liczba pacjentów wymagających </w:t>
            </w:r>
            <w:r w:rsidRPr="007E4DA1">
              <w:rPr>
                <w:bCs/>
                <w:szCs w:val="22"/>
              </w:rPr>
              <w:t>doraźnego leczenia ratunkowego</w:t>
            </w:r>
            <w:r w:rsidRPr="007E4DA1">
              <w:t>, n (%)</w:t>
            </w:r>
          </w:p>
          <w:p w14:paraId="5CD0E58B" w14:textId="77777777" w:rsidR="00802FF6" w:rsidRPr="007E4DA1" w:rsidRDefault="00802FF6" w:rsidP="001A6584">
            <w:pPr>
              <w:keepNext/>
              <w:tabs>
                <w:tab w:val="left" w:pos="567"/>
              </w:tabs>
              <w:ind w:left="0" w:firstLine="0"/>
            </w:pPr>
            <w:r w:rsidRPr="007E4DA1">
              <w:tab/>
              <w:t xml:space="preserve">Wartość </w:t>
            </w:r>
            <w:r w:rsidR="00880214" w:rsidRPr="007E4DA1">
              <w:rPr>
                <w:i/>
              </w:rPr>
              <w:t>p</w:t>
            </w:r>
            <w:r w:rsidRPr="007E4DA1">
              <w:rPr>
                <w:bCs/>
                <w:vertAlign w:val="superscript"/>
              </w:rPr>
              <w:t xml:space="preserve"> a</w:t>
            </w:r>
          </w:p>
        </w:tc>
        <w:tc>
          <w:tcPr>
            <w:tcW w:w="788" w:type="pct"/>
            <w:vAlign w:val="center"/>
          </w:tcPr>
          <w:p w14:paraId="5502DA9D" w14:textId="77777777" w:rsidR="00802FF6" w:rsidRPr="007E4DA1" w:rsidRDefault="00802FF6" w:rsidP="001A6584">
            <w:pPr>
              <w:keepNext/>
              <w:tabs>
                <w:tab w:val="left" w:pos="142"/>
              </w:tabs>
              <w:ind w:left="0" w:firstLine="0"/>
              <w:jc w:val="center"/>
            </w:pPr>
            <w:r w:rsidRPr="007E4DA1">
              <w:t>24 (18)</w:t>
            </w:r>
          </w:p>
        </w:tc>
        <w:tc>
          <w:tcPr>
            <w:tcW w:w="581" w:type="pct"/>
            <w:vAlign w:val="center"/>
          </w:tcPr>
          <w:p w14:paraId="6989A00F" w14:textId="77777777" w:rsidR="00802FF6" w:rsidRPr="007E4DA1" w:rsidRDefault="00802FF6" w:rsidP="001A6584">
            <w:pPr>
              <w:keepNext/>
              <w:tabs>
                <w:tab w:val="left" w:pos="142"/>
              </w:tabs>
              <w:ind w:left="0" w:firstLine="0"/>
              <w:jc w:val="center"/>
            </w:pPr>
            <w:r w:rsidRPr="007E4DA1">
              <w:t>25 (40)</w:t>
            </w:r>
          </w:p>
        </w:tc>
      </w:tr>
      <w:tr w:rsidR="00802FF6" w:rsidRPr="007E4DA1" w14:paraId="7E516883" w14:textId="77777777" w:rsidTr="00EE3105">
        <w:trPr>
          <w:cantSplit/>
        </w:trPr>
        <w:tc>
          <w:tcPr>
            <w:tcW w:w="3631" w:type="pct"/>
            <w:vMerge/>
          </w:tcPr>
          <w:p w14:paraId="09D10B82" w14:textId="77777777" w:rsidR="00802FF6" w:rsidRPr="007E4DA1" w:rsidRDefault="00802FF6" w:rsidP="001A6584">
            <w:pPr>
              <w:keepNext/>
              <w:tabs>
                <w:tab w:val="left" w:pos="142"/>
              </w:tabs>
              <w:ind w:left="0" w:firstLine="0"/>
            </w:pPr>
          </w:p>
        </w:tc>
        <w:tc>
          <w:tcPr>
            <w:tcW w:w="1369" w:type="pct"/>
            <w:gridSpan w:val="2"/>
            <w:vAlign w:val="center"/>
          </w:tcPr>
          <w:p w14:paraId="33B33DAA" w14:textId="77777777" w:rsidR="00802FF6" w:rsidRPr="007E4DA1" w:rsidRDefault="00802FF6" w:rsidP="001A6584">
            <w:pPr>
              <w:keepNext/>
              <w:tabs>
                <w:tab w:val="left" w:pos="142"/>
              </w:tabs>
              <w:ind w:left="0" w:firstLine="0"/>
              <w:jc w:val="center"/>
            </w:pPr>
            <w:r w:rsidRPr="007E4DA1">
              <w:t>0,001</w:t>
            </w:r>
          </w:p>
        </w:tc>
      </w:tr>
      <w:tr w:rsidR="00802FF6" w:rsidRPr="007E4DA1" w14:paraId="2DC7F380" w14:textId="77777777" w:rsidTr="00EE3105">
        <w:trPr>
          <w:cantSplit/>
        </w:trPr>
        <w:tc>
          <w:tcPr>
            <w:tcW w:w="3631" w:type="pct"/>
          </w:tcPr>
          <w:p w14:paraId="14236DEB" w14:textId="77777777" w:rsidR="00802FF6" w:rsidRPr="007E4DA1" w:rsidRDefault="00802FF6" w:rsidP="001A6584">
            <w:pPr>
              <w:keepNext/>
              <w:tabs>
                <w:tab w:val="left" w:pos="142"/>
              </w:tabs>
              <w:ind w:left="0" w:firstLine="0"/>
            </w:pPr>
            <w:r w:rsidRPr="007E4DA1">
              <w:t>Liczba pacjentów przyjmujących leczenie pierwotnej małopłytkowości immunologicznej w momencie rozpoczęcia badania (n)</w:t>
            </w:r>
          </w:p>
        </w:tc>
        <w:tc>
          <w:tcPr>
            <w:tcW w:w="788" w:type="pct"/>
            <w:vAlign w:val="center"/>
          </w:tcPr>
          <w:p w14:paraId="2E3C7B75" w14:textId="77777777" w:rsidR="00802FF6" w:rsidRPr="007E4DA1" w:rsidRDefault="00802FF6" w:rsidP="001A6584">
            <w:pPr>
              <w:keepNext/>
              <w:tabs>
                <w:tab w:val="left" w:pos="142"/>
              </w:tabs>
              <w:ind w:left="0" w:firstLine="0"/>
              <w:jc w:val="center"/>
            </w:pPr>
            <w:r w:rsidRPr="007E4DA1">
              <w:t>63</w:t>
            </w:r>
          </w:p>
        </w:tc>
        <w:tc>
          <w:tcPr>
            <w:tcW w:w="581" w:type="pct"/>
            <w:vAlign w:val="center"/>
          </w:tcPr>
          <w:p w14:paraId="6158FBFD" w14:textId="77777777" w:rsidR="00802FF6" w:rsidRPr="007E4DA1" w:rsidRDefault="00802FF6" w:rsidP="001A6584">
            <w:pPr>
              <w:keepNext/>
              <w:tabs>
                <w:tab w:val="left" w:pos="142"/>
              </w:tabs>
              <w:ind w:left="0" w:firstLine="0"/>
              <w:jc w:val="center"/>
            </w:pPr>
            <w:r w:rsidRPr="007E4DA1">
              <w:t>31</w:t>
            </w:r>
          </w:p>
        </w:tc>
      </w:tr>
      <w:tr w:rsidR="00802FF6" w:rsidRPr="007E4DA1" w14:paraId="1681B7B6" w14:textId="77777777" w:rsidTr="00EE3105">
        <w:trPr>
          <w:cantSplit/>
        </w:trPr>
        <w:tc>
          <w:tcPr>
            <w:tcW w:w="3631" w:type="pct"/>
            <w:vMerge w:val="restart"/>
          </w:tcPr>
          <w:p w14:paraId="6AD54020" w14:textId="77777777" w:rsidR="00802FF6" w:rsidRPr="007E4DA1" w:rsidRDefault="00802FF6" w:rsidP="001A6584">
            <w:pPr>
              <w:keepNext/>
              <w:tabs>
                <w:tab w:val="left" w:pos="142"/>
              </w:tabs>
              <w:ind w:left="0" w:firstLine="0"/>
              <w:rPr>
                <w:lang w:eastAsia="en-GB"/>
              </w:rPr>
            </w:pPr>
            <w:r w:rsidRPr="007E4DA1">
              <w:rPr>
                <w:lang w:eastAsia="en-GB"/>
              </w:rPr>
              <w:t>Liczba pacjentów, u których próbowano zmniejszyć/przerwać terapię otrzymywaną w momencie rozpoczęcia badania, n (%)</w:t>
            </w:r>
            <w:r w:rsidRPr="007E4DA1">
              <w:rPr>
                <w:vertAlign w:val="superscript"/>
                <w:lang w:eastAsia="en-GB"/>
              </w:rPr>
              <w:t>b</w:t>
            </w:r>
          </w:p>
          <w:p w14:paraId="120A0889" w14:textId="77777777" w:rsidR="00802FF6" w:rsidRPr="007E4DA1" w:rsidRDefault="00802FF6" w:rsidP="001A6584">
            <w:pPr>
              <w:keepNext/>
              <w:tabs>
                <w:tab w:val="left" w:pos="567"/>
              </w:tabs>
              <w:ind w:left="0" w:firstLine="0"/>
              <w:rPr>
                <w:lang w:eastAsia="en-GB"/>
              </w:rPr>
            </w:pPr>
            <w:r w:rsidRPr="007E4DA1">
              <w:rPr>
                <w:lang w:eastAsia="en-GB"/>
              </w:rPr>
              <w:tab/>
              <w:t xml:space="preserve">Wartość </w:t>
            </w:r>
            <w:r w:rsidR="00880214" w:rsidRPr="007E4DA1">
              <w:rPr>
                <w:i/>
                <w:lang w:eastAsia="en-GB"/>
              </w:rPr>
              <w:t>p</w:t>
            </w:r>
            <w:r w:rsidRPr="007E4DA1">
              <w:rPr>
                <w:rFonts w:ascii="Arial Narrow" w:hAnsi="Arial Narrow"/>
                <w:bCs/>
                <w:sz w:val="24"/>
                <w:vertAlign w:val="superscript"/>
                <w:lang w:eastAsia="en-GB"/>
              </w:rPr>
              <w:t>a</w:t>
            </w:r>
          </w:p>
        </w:tc>
        <w:tc>
          <w:tcPr>
            <w:tcW w:w="788" w:type="pct"/>
            <w:vAlign w:val="center"/>
          </w:tcPr>
          <w:p w14:paraId="25F61B74" w14:textId="77777777" w:rsidR="00802FF6" w:rsidRPr="007E4DA1" w:rsidRDefault="00802FF6" w:rsidP="001A6584">
            <w:pPr>
              <w:keepNext/>
              <w:tabs>
                <w:tab w:val="left" w:pos="142"/>
              </w:tabs>
              <w:ind w:left="0" w:firstLine="0"/>
              <w:jc w:val="center"/>
              <w:rPr>
                <w:lang w:eastAsia="en-GB"/>
              </w:rPr>
            </w:pPr>
            <w:r w:rsidRPr="007E4DA1">
              <w:rPr>
                <w:lang w:eastAsia="en-GB"/>
              </w:rPr>
              <w:t>37 (59)</w:t>
            </w:r>
          </w:p>
        </w:tc>
        <w:tc>
          <w:tcPr>
            <w:tcW w:w="581" w:type="pct"/>
            <w:vAlign w:val="center"/>
          </w:tcPr>
          <w:p w14:paraId="6D880702" w14:textId="77777777" w:rsidR="00802FF6" w:rsidRPr="007E4DA1" w:rsidRDefault="00802FF6" w:rsidP="001A6584">
            <w:pPr>
              <w:keepNext/>
              <w:tabs>
                <w:tab w:val="left" w:pos="142"/>
              </w:tabs>
              <w:ind w:left="0" w:firstLine="0"/>
              <w:jc w:val="center"/>
              <w:rPr>
                <w:lang w:eastAsia="en-GB"/>
              </w:rPr>
            </w:pPr>
            <w:r w:rsidRPr="007E4DA1">
              <w:rPr>
                <w:lang w:eastAsia="en-GB"/>
              </w:rPr>
              <w:t>10 (32)</w:t>
            </w:r>
          </w:p>
        </w:tc>
      </w:tr>
      <w:tr w:rsidR="00802FF6" w:rsidRPr="007E4DA1" w14:paraId="3CAA15F3" w14:textId="77777777" w:rsidTr="00EE3105">
        <w:trPr>
          <w:cantSplit/>
        </w:trPr>
        <w:tc>
          <w:tcPr>
            <w:tcW w:w="3631" w:type="pct"/>
            <w:vMerge/>
          </w:tcPr>
          <w:p w14:paraId="09718ED2" w14:textId="77777777" w:rsidR="00802FF6" w:rsidRPr="007E4DA1" w:rsidRDefault="00802FF6" w:rsidP="001A6584">
            <w:pPr>
              <w:keepNext/>
              <w:tabs>
                <w:tab w:val="left" w:pos="142"/>
              </w:tabs>
              <w:ind w:left="0" w:firstLine="0"/>
            </w:pPr>
          </w:p>
        </w:tc>
        <w:tc>
          <w:tcPr>
            <w:tcW w:w="1369" w:type="pct"/>
            <w:gridSpan w:val="2"/>
            <w:vAlign w:val="center"/>
          </w:tcPr>
          <w:p w14:paraId="6480CFA0" w14:textId="77777777" w:rsidR="00802FF6" w:rsidRPr="007E4DA1" w:rsidRDefault="00802FF6" w:rsidP="001A6584">
            <w:pPr>
              <w:keepNext/>
              <w:tabs>
                <w:tab w:val="left" w:pos="142"/>
              </w:tabs>
              <w:ind w:left="0" w:firstLine="0"/>
              <w:jc w:val="center"/>
            </w:pPr>
            <w:r w:rsidRPr="007E4DA1">
              <w:t>0,016</w:t>
            </w:r>
          </w:p>
        </w:tc>
      </w:tr>
      <w:tr w:rsidR="00541154" w:rsidRPr="007E4DA1" w14:paraId="66084414" w14:textId="77777777" w:rsidTr="00EE3105">
        <w:trPr>
          <w:cantSplit/>
        </w:trPr>
        <w:tc>
          <w:tcPr>
            <w:tcW w:w="5000" w:type="pct"/>
            <w:gridSpan w:val="3"/>
          </w:tcPr>
          <w:p w14:paraId="1A6CC9A7" w14:textId="77777777" w:rsidR="00541154" w:rsidRPr="00DF2BFE" w:rsidRDefault="00541154" w:rsidP="001A6584">
            <w:pPr>
              <w:keepNext/>
              <w:rPr>
                <w:sz w:val="20"/>
                <w:szCs w:val="20"/>
              </w:rPr>
            </w:pPr>
            <w:r w:rsidRPr="00DF2BFE">
              <w:rPr>
                <w:sz w:val="20"/>
                <w:szCs w:val="20"/>
                <w:vertAlign w:val="superscript"/>
              </w:rPr>
              <w:t>a</w:t>
            </w:r>
            <w:r w:rsidRPr="00DF2BFE">
              <w:rPr>
                <w:sz w:val="20"/>
                <w:szCs w:val="20"/>
              </w:rPr>
              <w:tab/>
              <w:t>Model regresji logistycznej skorygowany dla zmiennych stratyfikacji randomizacji</w:t>
            </w:r>
          </w:p>
          <w:p w14:paraId="72669FAA" w14:textId="748744CC" w:rsidR="00541154" w:rsidRPr="007E4DA1" w:rsidRDefault="00541154" w:rsidP="00DF2BFE">
            <w:pPr>
              <w:tabs>
                <w:tab w:val="left" w:pos="-3828"/>
              </w:tabs>
            </w:pPr>
            <w:r w:rsidRPr="00DF2BFE">
              <w:rPr>
                <w:sz w:val="20"/>
                <w:szCs w:val="20"/>
                <w:vertAlign w:val="superscript"/>
              </w:rPr>
              <w:t>b</w:t>
            </w:r>
            <w:r w:rsidRPr="00DF2BFE">
              <w:rPr>
                <w:sz w:val="20"/>
                <w:szCs w:val="20"/>
              </w:rPr>
              <w:tab/>
              <w:t>U 21 z 63 (33%) pacjentów leczonych eltrombopagiem, otrzymujących w momencie rozpoczęcia badania inne leczenie pierwotnej małopłytkowości immunologicznej, udało się całkowicie odstawić wszystkie inne produkty lecznicze stosowane w pierwotnej małopłytkowości immunologicznej.</w:t>
            </w:r>
          </w:p>
        </w:tc>
      </w:tr>
    </w:tbl>
    <w:p w14:paraId="4023FEFA" w14:textId="77777777" w:rsidR="00802FF6" w:rsidRPr="007E4DA1" w:rsidRDefault="00802FF6" w:rsidP="001A6584">
      <w:pPr>
        <w:tabs>
          <w:tab w:val="left" w:pos="142"/>
        </w:tabs>
        <w:ind w:left="0" w:firstLine="0"/>
        <w:rPr>
          <w:szCs w:val="22"/>
        </w:rPr>
      </w:pPr>
    </w:p>
    <w:p w14:paraId="3FF9A126" w14:textId="77777777" w:rsidR="00802FF6" w:rsidRPr="007E4DA1" w:rsidRDefault="00802FF6" w:rsidP="001A6584">
      <w:pPr>
        <w:tabs>
          <w:tab w:val="left" w:pos="142"/>
        </w:tabs>
        <w:ind w:left="0" w:firstLine="0"/>
        <w:rPr>
          <w:bCs/>
          <w:color w:val="000000"/>
        </w:rPr>
      </w:pPr>
      <w:r w:rsidRPr="007E4DA1">
        <w:t>W momencie rozpoczęcia badania ponad 70% pacjentów z pierwotną małopłytkowością immunologiczną w każdej grupie leczniczej zgłaszało jakiekolwiek krwawienie (stopnie WHO 1</w:t>
      </w:r>
      <w:r w:rsidR="002B3D7F" w:rsidRPr="007E4DA1">
        <w:noBreakHyphen/>
      </w:r>
      <w:r w:rsidRPr="007E4DA1">
        <w:t>4), a ponad 20% pacjentów zgłaszało znamienne klinicznie krwawienie (stopnie WHO 2</w:t>
      </w:r>
      <w:r w:rsidR="002B3D7F" w:rsidRPr="007E4DA1">
        <w:noBreakHyphen/>
      </w:r>
      <w:r w:rsidRPr="007E4DA1">
        <w:t>4). Odsetek pacjentów leczonych eltrombopagiem, u których wystąpiło jakiekolwiek krwawienie (stopnie</w:t>
      </w:r>
      <w:r w:rsidR="00E77041" w:rsidRPr="007E4DA1">
        <w:t> </w:t>
      </w:r>
      <w:r w:rsidRPr="007E4DA1">
        <w:t>1</w:t>
      </w:r>
      <w:r w:rsidR="002B3D7F" w:rsidRPr="007E4DA1">
        <w:noBreakHyphen/>
      </w:r>
      <w:r w:rsidRPr="007E4DA1">
        <w:t>4) oraz krwawienie znamienne klinicznie (stopnie</w:t>
      </w:r>
      <w:r w:rsidR="00E77041" w:rsidRPr="007E4DA1">
        <w:t> </w:t>
      </w:r>
      <w:r w:rsidRPr="007E4DA1">
        <w:t>2</w:t>
      </w:r>
      <w:r w:rsidR="002B3D7F" w:rsidRPr="007E4DA1">
        <w:noBreakHyphen/>
      </w:r>
      <w:r w:rsidRPr="007E4DA1">
        <w:t>4) zmniejszył się o około 50% od dnia 15. do końca 6-miesięcznego okresu leczenia.</w:t>
      </w:r>
    </w:p>
    <w:p w14:paraId="66A810F5" w14:textId="77777777" w:rsidR="00802FF6" w:rsidRPr="007E4DA1" w:rsidRDefault="00802FF6" w:rsidP="001A6584">
      <w:pPr>
        <w:tabs>
          <w:tab w:val="left" w:pos="142"/>
        </w:tabs>
        <w:ind w:left="0" w:firstLine="0"/>
        <w:rPr>
          <w:szCs w:val="22"/>
        </w:rPr>
      </w:pPr>
    </w:p>
    <w:p w14:paraId="25A1E296" w14:textId="7672880F" w:rsidR="00E7033C" w:rsidRPr="007E4DA1" w:rsidRDefault="00802FF6" w:rsidP="001A6584">
      <w:pPr>
        <w:keepNext/>
        <w:tabs>
          <w:tab w:val="left" w:pos="142"/>
        </w:tabs>
        <w:ind w:left="0" w:firstLine="0"/>
        <w:rPr>
          <w:szCs w:val="22"/>
        </w:rPr>
      </w:pPr>
      <w:r w:rsidRPr="007E4DA1">
        <w:rPr>
          <w:szCs w:val="22"/>
        </w:rPr>
        <w:lastRenderedPageBreak/>
        <w:t xml:space="preserve">Badanie </w:t>
      </w:r>
      <w:smartTag w:uri="urn:schemas-microsoft-com:office:smarttags" w:element="stockticker">
        <w:r w:rsidRPr="007E4DA1">
          <w:rPr>
            <w:szCs w:val="22"/>
          </w:rPr>
          <w:t>TRA</w:t>
        </w:r>
      </w:smartTag>
      <w:r w:rsidRPr="007E4DA1">
        <w:rPr>
          <w:szCs w:val="22"/>
        </w:rPr>
        <w:t>100773B:</w:t>
      </w:r>
    </w:p>
    <w:p w14:paraId="589F8542" w14:textId="1E7DEB5D" w:rsidR="00802FF6" w:rsidRPr="007E4DA1" w:rsidRDefault="00802FF6" w:rsidP="001A6584">
      <w:pPr>
        <w:tabs>
          <w:tab w:val="left" w:pos="142"/>
        </w:tabs>
        <w:ind w:left="0" w:firstLine="0"/>
      </w:pPr>
      <w:r w:rsidRPr="007E4DA1">
        <w:t>Pierwszorzędowym punktem końcowym był odsetek pacjentów z pierwotną małopłytkowością immunologiczną, u których uzyskano odpowiedź na leczenie zdefiniowaną jako zwiększenie liczby płytek krwi od wartości początkowej &lt;30 000/</w:t>
      </w:r>
      <w:r w:rsidRPr="007E4DA1">
        <w:sym w:font="Symbol" w:char="F06D"/>
      </w:r>
      <w:r w:rsidRPr="007E4DA1">
        <w:t xml:space="preserve">l do wartości </w:t>
      </w:r>
      <w:r w:rsidRPr="007E4DA1">
        <w:sym w:font="Symbol" w:char="F0B3"/>
      </w:r>
      <w:r w:rsidRPr="007E4DA1">
        <w:t>50 000/</w:t>
      </w:r>
      <w:r w:rsidRPr="007E4DA1">
        <w:sym w:font="Symbol" w:char="F06D"/>
      </w:r>
      <w:r w:rsidRPr="007E4DA1">
        <w:t>l w dniu</w:t>
      </w:r>
      <w:r w:rsidR="00350E5B" w:rsidRPr="007E4DA1">
        <w:t> </w:t>
      </w:r>
      <w:r w:rsidRPr="007E4DA1">
        <w:t xml:space="preserve">43.; pacjentów, których wycofano z badania z powodu osiągnięcia liczby płytek krwi </w:t>
      </w:r>
      <w:r w:rsidRPr="007E4DA1">
        <w:sym w:font="Symbol" w:char="F03E"/>
      </w:r>
      <w:r w:rsidRPr="007E4DA1">
        <w:t>200 000/</w:t>
      </w:r>
      <w:r w:rsidRPr="007E4DA1">
        <w:sym w:font="Symbol" w:char="F06D"/>
      </w:r>
      <w:r w:rsidRPr="007E4DA1">
        <w:t xml:space="preserve">l uznano za odpowiadających na leczenie; pacjentów, których wycofano z badania z jakiegokolwiek innego powodu uznano za nieodpowiadających na leczenie, niezależnie od liczby płytek krwi. </w:t>
      </w:r>
      <w:r w:rsidRPr="007E4DA1">
        <w:rPr>
          <w:bCs/>
        </w:rPr>
        <w:t xml:space="preserve">W sumie </w:t>
      </w:r>
      <w:r w:rsidRPr="007E4DA1">
        <w:t>114</w:t>
      </w:r>
      <w:r w:rsidR="00535EDC" w:rsidRPr="007E4DA1">
        <w:t> </w:t>
      </w:r>
      <w:r w:rsidRPr="007E4DA1">
        <w:t xml:space="preserve">pacjentów z wcześniej leczoną </w:t>
      </w:r>
      <w:r w:rsidRPr="007E4DA1">
        <w:rPr>
          <w:szCs w:val="22"/>
        </w:rPr>
        <w:t>pierwotną małopłytkowością immunologiczną</w:t>
      </w:r>
      <w:r w:rsidRPr="007E4DA1" w:rsidDel="007C2944">
        <w:t xml:space="preserve"> </w:t>
      </w:r>
      <w:r w:rsidRPr="007E4DA1">
        <w:t>randomizowano w stosunku 2:1 do grup eltrombopagu (n=76) i placebo (n=38)</w:t>
      </w:r>
      <w:r w:rsidR="00541154">
        <w:t xml:space="preserve"> (</w:t>
      </w:r>
      <w:r w:rsidR="00E52F84">
        <w:t>t</w:t>
      </w:r>
      <w:r w:rsidR="00541154">
        <w:t>abela 8)</w:t>
      </w:r>
      <w:r w:rsidRPr="007E4DA1">
        <w:t>.</w:t>
      </w:r>
    </w:p>
    <w:p w14:paraId="7AC81149" w14:textId="77777777" w:rsidR="00802FF6" w:rsidRPr="007E4DA1" w:rsidRDefault="00802FF6" w:rsidP="001A6584">
      <w:pPr>
        <w:tabs>
          <w:tab w:val="left" w:pos="142"/>
        </w:tabs>
        <w:ind w:left="0" w:firstLine="0"/>
        <w:rPr>
          <w:szCs w:val="22"/>
        </w:rPr>
      </w:pPr>
    </w:p>
    <w:p w14:paraId="1928D531" w14:textId="3FA56C47" w:rsidR="00041A08" w:rsidRPr="00041A08" w:rsidRDefault="00802FF6">
      <w:pPr>
        <w:keepNext/>
        <w:tabs>
          <w:tab w:val="left" w:pos="142"/>
          <w:tab w:val="left" w:pos="1134"/>
        </w:tabs>
        <w:ind w:left="1134" w:hanging="1134"/>
      </w:pPr>
      <w:r w:rsidRPr="007E4DA1">
        <w:rPr>
          <w:b/>
        </w:rPr>
        <w:t>Tabela</w:t>
      </w:r>
      <w:r w:rsidR="008B1151" w:rsidRPr="007E4DA1">
        <w:rPr>
          <w:b/>
        </w:rPr>
        <w:t> </w:t>
      </w:r>
      <w:r w:rsidR="00541154">
        <w:rPr>
          <w:b/>
        </w:rPr>
        <w:t>8</w:t>
      </w:r>
      <w:r w:rsidR="004650AC" w:rsidRPr="007E4DA1">
        <w:rPr>
          <w:b/>
        </w:rPr>
        <w:tab/>
      </w:r>
      <w:r w:rsidRPr="007E4DA1">
        <w:rPr>
          <w:b/>
        </w:rPr>
        <w:t xml:space="preserve">Wyniki skuteczności z badania </w:t>
      </w:r>
      <w:smartTag w:uri="urn:schemas-microsoft-com:office:smarttags" w:element="stockticker">
        <w:r w:rsidRPr="007E4DA1">
          <w:rPr>
            <w:b/>
          </w:rPr>
          <w:t>TRA</w:t>
        </w:r>
      </w:smartTag>
      <w:r w:rsidRPr="007E4DA1">
        <w:rPr>
          <w:b/>
        </w:rPr>
        <w:t>100773B</w:t>
      </w:r>
    </w:p>
    <w:p w14:paraId="49DB2270" w14:textId="0D87432D" w:rsidR="0051523E" w:rsidRPr="007E4DA1" w:rsidRDefault="0051523E" w:rsidP="001A6584">
      <w:pPr>
        <w:keepNext/>
        <w:tabs>
          <w:tab w:val="left" w:pos="142"/>
        </w:tabs>
        <w:ind w:left="0" w:firstLine="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76"/>
        <w:gridCol w:w="1582"/>
        <w:gridCol w:w="1402"/>
      </w:tblGrid>
      <w:tr w:rsidR="00802FF6" w:rsidRPr="007E4DA1" w14:paraId="78A9674F" w14:textId="77777777" w:rsidTr="00EE3105">
        <w:trPr>
          <w:cantSplit/>
        </w:trPr>
        <w:tc>
          <w:tcPr>
            <w:tcW w:w="3353" w:type="pct"/>
            <w:vAlign w:val="bottom"/>
          </w:tcPr>
          <w:p w14:paraId="76C5043E" w14:textId="77777777" w:rsidR="00802FF6" w:rsidRPr="007E4DA1" w:rsidRDefault="00802FF6" w:rsidP="001A6584">
            <w:pPr>
              <w:keepNext/>
              <w:tabs>
                <w:tab w:val="left" w:pos="142"/>
              </w:tabs>
              <w:ind w:left="0" w:firstLine="0"/>
            </w:pPr>
          </w:p>
        </w:tc>
        <w:tc>
          <w:tcPr>
            <w:tcW w:w="873" w:type="pct"/>
          </w:tcPr>
          <w:p w14:paraId="7F40AB64" w14:textId="77777777" w:rsidR="00802FF6" w:rsidRPr="007E4DA1" w:rsidRDefault="00802FF6" w:rsidP="001A6584">
            <w:pPr>
              <w:keepNext/>
              <w:tabs>
                <w:tab w:val="left" w:pos="142"/>
              </w:tabs>
              <w:ind w:left="0" w:firstLine="0"/>
              <w:jc w:val="center"/>
            </w:pPr>
            <w:r w:rsidRPr="007E4DA1">
              <w:t>Eltrombopag</w:t>
            </w:r>
          </w:p>
          <w:p w14:paraId="6EFC18AE" w14:textId="4837BC2E" w:rsidR="00802FF6" w:rsidRPr="007E4DA1" w:rsidRDefault="00802FF6" w:rsidP="001A6584">
            <w:pPr>
              <w:keepNext/>
              <w:tabs>
                <w:tab w:val="left" w:pos="142"/>
              </w:tabs>
              <w:ind w:left="0" w:firstLine="0"/>
              <w:jc w:val="center"/>
            </w:pPr>
            <w:r w:rsidRPr="007E4DA1">
              <w:t>N=7</w:t>
            </w:r>
            <w:r w:rsidR="00541154">
              <w:t>6</w:t>
            </w:r>
          </w:p>
        </w:tc>
        <w:tc>
          <w:tcPr>
            <w:tcW w:w="774" w:type="pct"/>
            <w:vAlign w:val="bottom"/>
          </w:tcPr>
          <w:p w14:paraId="584BC711" w14:textId="77777777" w:rsidR="00802FF6" w:rsidRPr="007E4DA1" w:rsidRDefault="00802FF6" w:rsidP="001A6584">
            <w:pPr>
              <w:keepNext/>
              <w:tabs>
                <w:tab w:val="left" w:pos="142"/>
              </w:tabs>
              <w:ind w:left="0" w:firstLine="0"/>
              <w:jc w:val="center"/>
            </w:pPr>
            <w:r w:rsidRPr="007E4DA1">
              <w:t>Placebo</w:t>
            </w:r>
          </w:p>
          <w:p w14:paraId="6E20BAC1" w14:textId="77777777" w:rsidR="00802FF6" w:rsidRPr="007E4DA1" w:rsidRDefault="00802FF6" w:rsidP="001A6584">
            <w:pPr>
              <w:keepNext/>
              <w:tabs>
                <w:tab w:val="left" w:pos="142"/>
              </w:tabs>
              <w:ind w:left="0" w:firstLine="0"/>
              <w:jc w:val="center"/>
            </w:pPr>
            <w:r w:rsidRPr="007E4DA1">
              <w:t>N=38</w:t>
            </w:r>
          </w:p>
        </w:tc>
      </w:tr>
      <w:tr w:rsidR="00802FF6" w:rsidRPr="007E4DA1" w14:paraId="4A288B1D" w14:textId="77777777" w:rsidTr="00EE3105">
        <w:trPr>
          <w:cantSplit/>
        </w:trPr>
        <w:tc>
          <w:tcPr>
            <w:tcW w:w="5000" w:type="pct"/>
            <w:gridSpan w:val="3"/>
          </w:tcPr>
          <w:p w14:paraId="15ED42CE" w14:textId="77777777" w:rsidR="00802FF6" w:rsidRPr="007E4DA1" w:rsidRDefault="00802FF6" w:rsidP="001A6584">
            <w:pPr>
              <w:keepNext/>
              <w:tabs>
                <w:tab w:val="left" w:pos="142"/>
              </w:tabs>
              <w:ind w:left="0" w:firstLine="0"/>
            </w:pPr>
            <w:r w:rsidRPr="007E4DA1">
              <w:t>Najważniejsze pierwszorzędowe punkty końcowe</w:t>
            </w:r>
          </w:p>
        </w:tc>
      </w:tr>
      <w:tr w:rsidR="00802FF6" w:rsidRPr="007E4DA1" w14:paraId="43D5961B" w14:textId="77777777" w:rsidTr="00EE3105">
        <w:trPr>
          <w:cantSplit/>
        </w:trPr>
        <w:tc>
          <w:tcPr>
            <w:tcW w:w="3353" w:type="pct"/>
          </w:tcPr>
          <w:p w14:paraId="106DACCF" w14:textId="77777777" w:rsidR="00802FF6" w:rsidRPr="007E4DA1" w:rsidRDefault="00802FF6" w:rsidP="001A6584">
            <w:pPr>
              <w:keepNext/>
              <w:tabs>
                <w:tab w:val="left" w:pos="142"/>
              </w:tabs>
              <w:ind w:left="0" w:firstLine="0"/>
            </w:pPr>
            <w:r w:rsidRPr="007E4DA1">
              <w:t>Poddani analizie skuteczności, n</w:t>
            </w:r>
          </w:p>
        </w:tc>
        <w:tc>
          <w:tcPr>
            <w:tcW w:w="873" w:type="pct"/>
            <w:vAlign w:val="center"/>
          </w:tcPr>
          <w:p w14:paraId="5A8B296F" w14:textId="77777777" w:rsidR="00802FF6" w:rsidRPr="007E4DA1" w:rsidRDefault="00802FF6" w:rsidP="001A6584">
            <w:pPr>
              <w:keepNext/>
              <w:tabs>
                <w:tab w:val="left" w:pos="142"/>
              </w:tabs>
              <w:ind w:left="0" w:firstLine="0"/>
              <w:jc w:val="center"/>
            </w:pPr>
            <w:r w:rsidRPr="007E4DA1">
              <w:t>73</w:t>
            </w:r>
          </w:p>
        </w:tc>
        <w:tc>
          <w:tcPr>
            <w:tcW w:w="774" w:type="pct"/>
            <w:vAlign w:val="center"/>
          </w:tcPr>
          <w:p w14:paraId="27C175EC" w14:textId="77777777" w:rsidR="00802FF6" w:rsidRPr="007E4DA1" w:rsidRDefault="00802FF6" w:rsidP="001A6584">
            <w:pPr>
              <w:keepNext/>
              <w:tabs>
                <w:tab w:val="left" w:pos="142"/>
              </w:tabs>
              <w:ind w:left="0" w:firstLine="0"/>
              <w:jc w:val="center"/>
            </w:pPr>
            <w:r w:rsidRPr="007E4DA1">
              <w:t>37</w:t>
            </w:r>
          </w:p>
        </w:tc>
      </w:tr>
      <w:tr w:rsidR="00802FF6" w:rsidRPr="007E4DA1" w14:paraId="3B33FA06" w14:textId="77777777" w:rsidTr="00EE3105">
        <w:trPr>
          <w:cantSplit/>
        </w:trPr>
        <w:tc>
          <w:tcPr>
            <w:tcW w:w="3353" w:type="pct"/>
            <w:vMerge w:val="restart"/>
          </w:tcPr>
          <w:p w14:paraId="73EC6C90" w14:textId="77777777" w:rsidR="00802FF6" w:rsidRDefault="00802FF6" w:rsidP="001A6584">
            <w:pPr>
              <w:keepNext/>
              <w:tabs>
                <w:tab w:val="left" w:pos="142"/>
              </w:tabs>
              <w:ind w:left="0" w:firstLine="0"/>
            </w:pPr>
            <w:r w:rsidRPr="007E4DA1">
              <w:t xml:space="preserve">Pacjenci z liczbą płytek krwi </w:t>
            </w:r>
            <w:r w:rsidRPr="007E4DA1">
              <w:sym w:font="Symbol" w:char="F0B3"/>
            </w:r>
            <w:r w:rsidRPr="007E4DA1">
              <w:t>50 000/</w:t>
            </w:r>
            <w:r w:rsidRPr="007E4DA1">
              <w:sym w:font="Symbol" w:char="F06D"/>
            </w:r>
            <w:r w:rsidRPr="007E4DA1">
              <w:t>l po maksymalnie 42 dniach dawkowania (w porównaniu z wartością początkową &lt;30 000/</w:t>
            </w:r>
            <w:r w:rsidRPr="007E4DA1">
              <w:sym w:font="Symbol" w:char="F06D"/>
            </w:r>
            <w:r w:rsidRPr="007E4DA1">
              <w:t>l), n (%)</w:t>
            </w:r>
          </w:p>
          <w:p w14:paraId="703393C0" w14:textId="77777777" w:rsidR="00DF2BFE" w:rsidRPr="007E4DA1" w:rsidRDefault="00DF2BFE" w:rsidP="001A6584">
            <w:pPr>
              <w:keepNext/>
              <w:tabs>
                <w:tab w:val="left" w:pos="142"/>
              </w:tabs>
              <w:ind w:left="0" w:firstLine="0"/>
            </w:pPr>
          </w:p>
          <w:p w14:paraId="500DB996" w14:textId="77777777" w:rsidR="00802FF6" w:rsidRPr="007E4DA1" w:rsidRDefault="00802FF6" w:rsidP="001A6584">
            <w:pPr>
              <w:keepNext/>
              <w:tabs>
                <w:tab w:val="left" w:pos="142"/>
              </w:tabs>
              <w:ind w:left="0" w:firstLine="0"/>
              <w:jc w:val="center"/>
            </w:pPr>
            <w:r w:rsidRPr="007E4DA1">
              <w:t>Wartość</w:t>
            </w:r>
            <w:r w:rsidRPr="007E4DA1">
              <w:rPr>
                <w:i/>
              </w:rPr>
              <w:t xml:space="preserve"> </w:t>
            </w:r>
            <w:r w:rsidR="00880214" w:rsidRPr="007E4DA1">
              <w:rPr>
                <w:i/>
              </w:rPr>
              <w:t>p</w:t>
            </w:r>
            <w:r w:rsidR="00880214" w:rsidRPr="007E4DA1">
              <w:rPr>
                <w:vertAlign w:val="superscript"/>
              </w:rPr>
              <w:t>a</w:t>
            </w:r>
          </w:p>
        </w:tc>
        <w:tc>
          <w:tcPr>
            <w:tcW w:w="873" w:type="pct"/>
            <w:vAlign w:val="center"/>
          </w:tcPr>
          <w:p w14:paraId="39959146" w14:textId="77777777" w:rsidR="00802FF6" w:rsidRPr="007E4DA1" w:rsidRDefault="00802FF6" w:rsidP="001A6584">
            <w:pPr>
              <w:keepNext/>
              <w:tabs>
                <w:tab w:val="left" w:pos="142"/>
              </w:tabs>
              <w:ind w:left="0" w:firstLine="0"/>
              <w:jc w:val="center"/>
            </w:pPr>
            <w:r w:rsidRPr="007E4DA1">
              <w:t>43 (59)</w:t>
            </w:r>
          </w:p>
        </w:tc>
        <w:tc>
          <w:tcPr>
            <w:tcW w:w="774" w:type="pct"/>
            <w:shd w:val="clear" w:color="auto" w:fill="auto"/>
            <w:vAlign w:val="center"/>
          </w:tcPr>
          <w:p w14:paraId="39F305D8" w14:textId="77777777" w:rsidR="00802FF6" w:rsidRPr="007E4DA1" w:rsidRDefault="00802FF6" w:rsidP="001A6584">
            <w:pPr>
              <w:keepNext/>
              <w:tabs>
                <w:tab w:val="left" w:pos="142"/>
              </w:tabs>
              <w:ind w:left="0" w:firstLine="0"/>
              <w:jc w:val="center"/>
            </w:pPr>
            <w:r w:rsidRPr="007E4DA1">
              <w:t>6 (16)</w:t>
            </w:r>
          </w:p>
        </w:tc>
      </w:tr>
      <w:tr w:rsidR="00802FF6" w:rsidRPr="007E4DA1" w14:paraId="64C438C7" w14:textId="77777777" w:rsidTr="00EE3105">
        <w:trPr>
          <w:cantSplit/>
        </w:trPr>
        <w:tc>
          <w:tcPr>
            <w:tcW w:w="3353" w:type="pct"/>
            <w:vMerge/>
          </w:tcPr>
          <w:p w14:paraId="540B87C1" w14:textId="77777777" w:rsidR="00802FF6" w:rsidRPr="007E4DA1" w:rsidRDefault="00802FF6" w:rsidP="001A6584">
            <w:pPr>
              <w:keepNext/>
              <w:tabs>
                <w:tab w:val="left" w:pos="142"/>
              </w:tabs>
              <w:ind w:left="0" w:firstLine="0"/>
            </w:pPr>
          </w:p>
        </w:tc>
        <w:tc>
          <w:tcPr>
            <w:tcW w:w="1647" w:type="pct"/>
            <w:gridSpan w:val="2"/>
            <w:vAlign w:val="center"/>
          </w:tcPr>
          <w:p w14:paraId="5963CD34" w14:textId="77777777" w:rsidR="00802FF6" w:rsidRPr="007E4DA1" w:rsidRDefault="00802FF6" w:rsidP="001A6584">
            <w:pPr>
              <w:keepNext/>
              <w:tabs>
                <w:tab w:val="left" w:pos="142"/>
              </w:tabs>
              <w:ind w:left="0" w:firstLine="0"/>
              <w:jc w:val="center"/>
            </w:pPr>
            <w:r w:rsidRPr="007E4DA1">
              <w:t>&lt;0,001</w:t>
            </w:r>
          </w:p>
        </w:tc>
      </w:tr>
      <w:tr w:rsidR="00802FF6" w:rsidRPr="007E4DA1" w14:paraId="1493463B" w14:textId="77777777" w:rsidTr="00EE3105">
        <w:trPr>
          <w:cantSplit/>
        </w:trPr>
        <w:tc>
          <w:tcPr>
            <w:tcW w:w="5000" w:type="pct"/>
            <w:gridSpan w:val="3"/>
            <w:vAlign w:val="center"/>
          </w:tcPr>
          <w:p w14:paraId="56C311EB" w14:textId="77777777" w:rsidR="00802FF6" w:rsidRPr="007E4DA1" w:rsidRDefault="00802FF6" w:rsidP="001A6584">
            <w:pPr>
              <w:keepNext/>
              <w:tabs>
                <w:tab w:val="left" w:pos="142"/>
              </w:tabs>
              <w:ind w:left="0" w:firstLine="0"/>
            </w:pPr>
            <w:r w:rsidRPr="007E4DA1">
              <w:t>Najważniejsze drugorzędowe punkty końcowe</w:t>
            </w:r>
          </w:p>
        </w:tc>
      </w:tr>
      <w:tr w:rsidR="00802FF6" w:rsidRPr="007E4DA1" w14:paraId="618BD744" w14:textId="77777777" w:rsidTr="00EE3105">
        <w:trPr>
          <w:cantSplit/>
        </w:trPr>
        <w:tc>
          <w:tcPr>
            <w:tcW w:w="3353" w:type="pct"/>
          </w:tcPr>
          <w:p w14:paraId="70FA0173" w14:textId="77777777" w:rsidR="00802FF6" w:rsidRPr="007E4DA1" w:rsidRDefault="00802FF6" w:rsidP="001A6584">
            <w:pPr>
              <w:keepNext/>
              <w:tabs>
                <w:tab w:val="left" w:pos="142"/>
              </w:tabs>
              <w:ind w:left="0" w:firstLine="0"/>
            </w:pPr>
            <w:r w:rsidRPr="007E4DA1">
              <w:t>Pacjenci z oceną krwawienia w dniu 43., n</w:t>
            </w:r>
          </w:p>
        </w:tc>
        <w:tc>
          <w:tcPr>
            <w:tcW w:w="873" w:type="pct"/>
            <w:vAlign w:val="center"/>
          </w:tcPr>
          <w:p w14:paraId="42168593" w14:textId="77777777" w:rsidR="00802FF6" w:rsidRPr="007E4DA1" w:rsidRDefault="00802FF6" w:rsidP="001A6584">
            <w:pPr>
              <w:keepNext/>
              <w:tabs>
                <w:tab w:val="left" w:pos="142"/>
              </w:tabs>
              <w:ind w:left="0" w:firstLine="0"/>
              <w:jc w:val="center"/>
            </w:pPr>
            <w:r w:rsidRPr="007E4DA1">
              <w:t>51</w:t>
            </w:r>
          </w:p>
        </w:tc>
        <w:tc>
          <w:tcPr>
            <w:tcW w:w="774" w:type="pct"/>
            <w:vAlign w:val="center"/>
          </w:tcPr>
          <w:p w14:paraId="750F2859" w14:textId="77777777" w:rsidR="00802FF6" w:rsidRPr="007E4DA1" w:rsidRDefault="00802FF6" w:rsidP="001A6584">
            <w:pPr>
              <w:keepNext/>
              <w:tabs>
                <w:tab w:val="left" w:pos="142"/>
              </w:tabs>
              <w:ind w:left="0" w:firstLine="0"/>
              <w:jc w:val="center"/>
            </w:pPr>
            <w:r w:rsidRPr="007E4DA1">
              <w:t>30</w:t>
            </w:r>
          </w:p>
        </w:tc>
      </w:tr>
      <w:tr w:rsidR="00802FF6" w:rsidRPr="007E4DA1" w14:paraId="0BE5EAA7" w14:textId="77777777" w:rsidTr="00EE3105">
        <w:trPr>
          <w:cantSplit/>
        </w:trPr>
        <w:tc>
          <w:tcPr>
            <w:tcW w:w="3353" w:type="pct"/>
            <w:vMerge w:val="restart"/>
          </w:tcPr>
          <w:p w14:paraId="4CCE2C23" w14:textId="77777777" w:rsidR="00802FF6" w:rsidRDefault="00802FF6" w:rsidP="001A6584">
            <w:pPr>
              <w:keepNext/>
              <w:tabs>
                <w:tab w:val="left" w:pos="142"/>
              </w:tabs>
              <w:ind w:left="0" w:firstLine="0"/>
            </w:pPr>
            <w:r w:rsidRPr="007E4DA1">
              <w:t>Krwawienie (stopień WHO 1-4) n (%)</w:t>
            </w:r>
          </w:p>
          <w:p w14:paraId="5AC7614E" w14:textId="77777777" w:rsidR="00DF2BFE" w:rsidRPr="00DF2BFE" w:rsidRDefault="00DF2BFE" w:rsidP="001A6584">
            <w:pPr>
              <w:keepNext/>
              <w:tabs>
                <w:tab w:val="left" w:pos="142"/>
              </w:tabs>
              <w:ind w:left="0" w:firstLine="0"/>
            </w:pPr>
          </w:p>
          <w:p w14:paraId="1C800BCA" w14:textId="77777777" w:rsidR="00802FF6" w:rsidRPr="007E4DA1" w:rsidRDefault="00802FF6" w:rsidP="001A6584">
            <w:pPr>
              <w:keepNext/>
              <w:tabs>
                <w:tab w:val="left" w:pos="142"/>
              </w:tabs>
              <w:ind w:left="0" w:firstLine="0"/>
              <w:jc w:val="center"/>
            </w:pPr>
            <w:r w:rsidRPr="007E4DA1">
              <w:t xml:space="preserve">Wartość </w:t>
            </w:r>
            <w:r w:rsidR="00880214" w:rsidRPr="007E4DA1">
              <w:rPr>
                <w:i/>
              </w:rPr>
              <w:t>p</w:t>
            </w:r>
            <w:r w:rsidRPr="007E4DA1">
              <w:rPr>
                <w:vertAlign w:val="superscript"/>
              </w:rPr>
              <w:t>a</w:t>
            </w:r>
          </w:p>
        </w:tc>
        <w:tc>
          <w:tcPr>
            <w:tcW w:w="873" w:type="pct"/>
            <w:vAlign w:val="center"/>
          </w:tcPr>
          <w:p w14:paraId="77510C63" w14:textId="77777777" w:rsidR="00802FF6" w:rsidRPr="007E4DA1" w:rsidRDefault="00802FF6" w:rsidP="001A6584">
            <w:pPr>
              <w:keepNext/>
              <w:tabs>
                <w:tab w:val="left" w:pos="142"/>
              </w:tabs>
              <w:ind w:left="0" w:firstLine="0"/>
              <w:jc w:val="center"/>
            </w:pPr>
            <w:r w:rsidRPr="007E4DA1">
              <w:t>20 (39)</w:t>
            </w:r>
          </w:p>
        </w:tc>
        <w:tc>
          <w:tcPr>
            <w:tcW w:w="774" w:type="pct"/>
            <w:vAlign w:val="center"/>
          </w:tcPr>
          <w:p w14:paraId="7B552128" w14:textId="77777777" w:rsidR="00802FF6" w:rsidRPr="007E4DA1" w:rsidRDefault="00802FF6" w:rsidP="001A6584">
            <w:pPr>
              <w:keepNext/>
              <w:tabs>
                <w:tab w:val="left" w:pos="142"/>
              </w:tabs>
              <w:ind w:left="0" w:firstLine="0"/>
              <w:jc w:val="center"/>
            </w:pPr>
            <w:r w:rsidRPr="007E4DA1">
              <w:t>18 (60)</w:t>
            </w:r>
          </w:p>
        </w:tc>
      </w:tr>
      <w:tr w:rsidR="00802FF6" w:rsidRPr="007E4DA1" w14:paraId="089901F0" w14:textId="77777777" w:rsidTr="00EE3105">
        <w:trPr>
          <w:cantSplit/>
        </w:trPr>
        <w:tc>
          <w:tcPr>
            <w:tcW w:w="3353" w:type="pct"/>
            <w:vMerge/>
          </w:tcPr>
          <w:p w14:paraId="0E67CA89" w14:textId="77777777" w:rsidR="00802FF6" w:rsidRPr="007E4DA1" w:rsidRDefault="00802FF6" w:rsidP="001A6584">
            <w:pPr>
              <w:keepNext/>
              <w:tabs>
                <w:tab w:val="left" w:pos="142"/>
              </w:tabs>
              <w:ind w:left="0" w:firstLine="0"/>
            </w:pPr>
          </w:p>
        </w:tc>
        <w:tc>
          <w:tcPr>
            <w:tcW w:w="1647" w:type="pct"/>
            <w:gridSpan w:val="2"/>
            <w:vAlign w:val="center"/>
          </w:tcPr>
          <w:p w14:paraId="3ED19048" w14:textId="77777777" w:rsidR="00802FF6" w:rsidRPr="007E4DA1" w:rsidRDefault="00802FF6" w:rsidP="001A6584">
            <w:pPr>
              <w:keepNext/>
              <w:tabs>
                <w:tab w:val="left" w:pos="142"/>
              </w:tabs>
              <w:ind w:left="0" w:firstLine="0"/>
              <w:jc w:val="center"/>
            </w:pPr>
            <w:r w:rsidRPr="007E4DA1">
              <w:t>0,029</w:t>
            </w:r>
          </w:p>
        </w:tc>
      </w:tr>
      <w:tr w:rsidR="00541154" w:rsidRPr="007E4DA1" w14:paraId="42F57FBE" w14:textId="77777777" w:rsidTr="00EE3105">
        <w:trPr>
          <w:cantSplit/>
        </w:trPr>
        <w:tc>
          <w:tcPr>
            <w:tcW w:w="5000" w:type="pct"/>
            <w:gridSpan w:val="3"/>
          </w:tcPr>
          <w:p w14:paraId="64F26ABB" w14:textId="1E86F578" w:rsidR="00541154" w:rsidRPr="00DF2BFE" w:rsidRDefault="00541154" w:rsidP="00DF2BFE">
            <w:pPr>
              <w:tabs>
                <w:tab w:val="left" w:pos="-6946"/>
              </w:tabs>
              <w:rPr>
                <w:sz w:val="20"/>
                <w:szCs w:val="20"/>
              </w:rPr>
            </w:pPr>
            <w:r w:rsidRPr="00DF2BFE">
              <w:rPr>
                <w:sz w:val="20"/>
                <w:szCs w:val="20"/>
                <w:vertAlign w:val="superscript"/>
              </w:rPr>
              <w:t>a</w:t>
            </w:r>
            <w:r w:rsidRPr="00DF2BFE">
              <w:rPr>
                <w:sz w:val="20"/>
                <w:szCs w:val="20"/>
              </w:rPr>
              <w:tab/>
              <w:t>Model regresji logistycznej skorygowany dla zmiennych stratyfikacji randomizacji</w:t>
            </w:r>
          </w:p>
        </w:tc>
      </w:tr>
    </w:tbl>
    <w:p w14:paraId="277952C1" w14:textId="77777777" w:rsidR="00802FF6" w:rsidRPr="007E4DA1" w:rsidRDefault="00802FF6" w:rsidP="001A6584">
      <w:pPr>
        <w:numPr>
          <w:ilvl w:val="12"/>
          <w:numId w:val="0"/>
        </w:numPr>
        <w:tabs>
          <w:tab w:val="left" w:pos="142"/>
        </w:tabs>
        <w:ind w:right="-2"/>
        <w:rPr>
          <w:color w:val="000000"/>
          <w:szCs w:val="22"/>
        </w:rPr>
      </w:pPr>
    </w:p>
    <w:p w14:paraId="74687D5E" w14:textId="77777777" w:rsidR="00802FF6" w:rsidRPr="007E4DA1" w:rsidRDefault="00802FF6" w:rsidP="001A6584">
      <w:pPr>
        <w:numPr>
          <w:ilvl w:val="12"/>
          <w:numId w:val="0"/>
        </w:numPr>
        <w:tabs>
          <w:tab w:val="left" w:pos="142"/>
        </w:tabs>
        <w:ind w:right="-2"/>
        <w:rPr>
          <w:color w:val="000000"/>
        </w:rPr>
      </w:pPr>
      <w:r w:rsidRPr="007E4DA1">
        <w:rPr>
          <w:color w:val="000000"/>
        </w:rPr>
        <w:t xml:space="preserve">W badaniach RAISE i </w:t>
      </w:r>
      <w:smartTag w:uri="urn:schemas-microsoft-com:office:smarttags" w:element="stockticker">
        <w:r w:rsidRPr="007E4DA1">
          <w:rPr>
            <w:color w:val="000000"/>
          </w:rPr>
          <w:t>TRA</w:t>
        </w:r>
      </w:smartTag>
      <w:r w:rsidRPr="007E4DA1">
        <w:rPr>
          <w:color w:val="000000"/>
        </w:rPr>
        <w:t>100773B odpowiedź na eltrombopag w porównaniu z placebo była podobna, niezależnie od stosowania innego leczenia pierwotnej małopłytkowości immunologicznej, statusu splenektomii i początkowej liczby płytek krwi (≤15 000/µl, &gt;15 000/µl) w momencie randomizacji.</w:t>
      </w:r>
    </w:p>
    <w:p w14:paraId="679E7562" w14:textId="77777777" w:rsidR="0078460A" w:rsidRPr="007E4DA1" w:rsidRDefault="0078460A" w:rsidP="001A6584">
      <w:pPr>
        <w:numPr>
          <w:ilvl w:val="12"/>
          <w:numId w:val="0"/>
        </w:numPr>
        <w:tabs>
          <w:tab w:val="left" w:pos="142"/>
        </w:tabs>
        <w:ind w:right="-2"/>
        <w:rPr>
          <w:color w:val="000000"/>
          <w:szCs w:val="22"/>
        </w:rPr>
      </w:pPr>
    </w:p>
    <w:p w14:paraId="450A22B8" w14:textId="77777777" w:rsidR="00802FF6" w:rsidRPr="007E4DA1" w:rsidRDefault="00802FF6" w:rsidP="001A6584">
      <w:pPr>
        <w:numPr>
          <w:ilvl w:val="12"/>
          <w:numId w:val="0"/>
        </w:numPr>
        <w:tabs>
          <w:tab w:val="left" w:pos="142"/>
        </w:tabs>
        <w:ind w:right="-2"/>
        <w:rPr>
          <w:szCs w:val="22"/>
        </w:rPr>
      </w:pPr>
      <w:r w:rsidRPr="007E4DA1">
        <w:rPr>
          <w:color w:val="000000"/>
          <w:szCs w:val="22"/>
        </w:rPr>
        <w:t xml:space="preserve">W badaniach RAISE i </w:t>
      </w:r>
      <w:smartTag w:uri="urn:schemas-microsoft-com:office:smarttags" w:element="stockticker">
        <w:r w:rsidRPr="007E4DA1">
          <w:rPr>
            <w:color w:val="000000"/>
            <w:szCs w:val="22"/>
          </w:rPr>
          <w:t>TRA</w:t>
        </w:r>
      </w:smartTag>
      <w:r w:rsidRPr="007E4DA1">
        <w:rPr>
          <w:color w:val="000000"/>
          <w:szCs w:val="22"/>
        </w:rPr>
        <w:t xml:space="preserve">100773B w podgrupie pacjentów z </w:t>
      </w:r>
      <w:r w:rsidRPr="007E4DA1">
        <w:rPr>
          <w:szCs w:val="22"/>
        </w:rPr>
        <w:t xml:space="preserve">pierwotną małopłytkowością immunologiczną </w:t>
      </w:r>
      <w:r w:rsidRPr="007E4DA1">
        <w:rPr>
          <w:color w:val="000000"/>
          <w:szCs w:val="22"/>
        </w:rPr>
        <w:t xml:space="preserve">z początkową liczbą płytek krwi ≤15 000/μl mediana liczby płytek krwi nie osiągnęła poziomu docelowego </w:t>
      </w:r>
      <w:r w:rsidRPr="007E4DA1">
        <w:rPr>
          <w:spacing w:val="2"/>
          <w:szCs w:val="22"/>
        </w:rPr>
        <w:t>(&gt;50 000/</w:t>
      </w:r>
      <w:r w:rsidRPr="007E4DA1">
        <w:rPr>
          <w:spacing w:val="2"/>
          <w:szCs w:val="22"/>
        </w:rPr>
        <w:sym w:font="Symbol" w:char="F06D"/>
      </w:r>
      <w:r w:rsidRPr="007E4DA1">
        <w:rPr>
          <w:spacing w:val="2"/>
          <w:szCs w:val="22"/>
        </w:rPr>
        <w:t>l)</w:t>
      </w:r>
      <w:r w:rsidRPr="007E4DA1">
        <w:rPr>
          <w:color w:val="000000"/>
          <w:szCs w:val="22"/>
        </w:rPr>
        <w:t xml:space="preserve">, mimo że w obydwu badaniach u </w:t>
      </w:r>
      <w:r w:rsidRPr="007E4DA1">
        <w:rPr>
          <w:color w:val="000000"/>
          <w:szCs w:val="22"/>
          <w:lang w:eastAsia="en-GB"/>
        </w:rPr>
        <w:t>43%</w:t>
      </w:r>
      <w:r w:rsidRPr="007E4DA1">
        <w:rPr>
          <w:spacing w:val="2"/>
          <w:szCs w:val="22"/>
        </w:rPr>
        <w:t xml:space="preserve"> spośród tych pacjentów, u których stosowano eltrombopag, uzyskano odpowiedź po 6</w:t>
      </w:r>
      <w:r w:rsidR="00741387" w:rsidRPr="007E4DA1">
        <w:rPr>
          <w:spacing w:val="2"/>
          <w:szCs w:val="22"/>
        </w:rPr>
        <w:t> </w:t>
      </w:r>
      <w:r w:rsidRPr="007E4DA1">
        <w:rPr>
          <w:spacing w:val="2"/>
          <w:szCs w:val="22"/>
        </w:rPr>
        <w:t xml:space="preserve">tygodniach leczenia. Ponadto w badaniu RAISE u </w:t>
      </w:r>
      <w:r w:rsidRPr="007E4DA1">
        <w:rPr>
          <w:szCs w:val="22"/>
        </w:rPr>
        <w:t xml:space="preserve">42% </w:t>
      </w:r>
      <w:r w:rsidRPr="007E4DA1">
        <w:rPr>
          <w:color w:val="000000"/>
          <w:szCs w:val="22"/>
        </w:rPr>
        <w:t>pacjentów z początkową liczbą płytek krwi ≤15 000/μl</w:t>
      </w:r>
      <w:r w:rsidRPr="007E4DA1">
        <w:rPr>
          <w:szCs w:val="22"/>
        </w:rPr>
        <w:t xml:space="preserve"> leczonych eltrombopagiem uzyskano odpowiedź na końcu 6-miesięcznego okresu leczenia. 42% do 60% pacjentów leczonych eltrombopagiem otrzymywało dawkę 75</w:t>
      </w:r>
      <w:r w:rsidR="002B3D7F" w:rsidRPr="007E4DA1">
        <w:rPr>
          <w:szCs w:val="22"/>
        </w:rPr>
        <w:t> </w:t>
      </w:r>
      <w:r w:rsidRPr="007E4DA1">
        <w:rPr>
          <w:szCs w:val="22"/>
        </w:rPr>
        <w:t xml:space="preserve">mg </w:t>
      </w:r>
      <w:r w:rsidRPr="007E4DA1">
        <w:rPr>
          <w:spacing w:val="2"/>
          <w:szCs w:val="22"/>
        </w:rPr>
        <w:t xml:space="preserve">od dnia </w:t>
      </w:r>
      <w:r w:rsidRPr="007E4DA1">
        <w:rPr>
          <w:szCs w:val="22"/>
        </w:rPr>
        <w:t>29. do końca leczenia.</w:t>
      </w:r>
    </w:p>
    <w:p w14:paraId="30E2B8D3" w14:textId="71993744" w:rsidR="00802FF6" w:rsidRPr="007E4DA1" w:rsidRDefault="00802FF6" w:rsidP="001A6584">
      <w:pPr>
        <w:tabs>
          <w:tab w:val="left" w:pos="142"/>
        </w:tabs>
        <w:ind w:left="0" w:firstLine="0"/>
        <w:rPr>
          <w:szCs w:val="22"/>
        </w:rPr>
      </w:pPr>
    </w:p>
    <w:p w14:paraId="0D871D93" w14:textId="77777777" w:rsidR="00BA7ECA" w:rsidRPr="007E4DA1" w:rsidRDefault="00BA7ECA" w:rsidP="001A6584">
      <w:pPr>
        <w:keepNext/>
        <w:tabs>
          <w:tab w:val="left" w:pos="142"/>
        </w:tabs>
        <w:ind w:left="0" w:firstLine="0"/>
        <w:rPr>
          <w:szCs w:val="22"/>
        </w:rPr>
      </w:pPr>
      <w:r w:rsidRPr="007E4DA1">
        <w:rPr>
          <w:i/>
          <w:iCs/>
          <w:szCs w:val="22"/>
        </w:rPr>
        <w:t>Otwarte badania bez grupy kontrolnej</w:t>
      </w:r>
    </w:p>
    <w:p w14:paraId="7D5D0B68" w14:textId="22DA9E96" w:rsidR="00E7033C" w:rsidRPr="007E4DA1" w:rsidRDefault="00BA7ECA" w:rsidP="001A6584">
      <w:pPr>
        <w:keepNext/>
        <w:tabs>
          <w:tab w:val="left" w:pos="142"/>
        </w:tabs>
        <w:ind w:left="0" w:firstLine="0"/>
        <w:rPr>
          <w:iCs/>
          <w:lang w:eastAsia="en-GB"/>
        </w:rPr>
      </w:pPr>
      <w:r w:rsidRPr="007E4DA1">
        <w:rPr>
          <w:iCs/>
          <w:lang w:eastAsia="en-GB"/>
        </w:rPr>
        <w:t>REPEAT (TRA108057):</w:t>
      </w:r>
    </w:p>
    <w:p w14:paraId="4476DEAF" w14:textId="77777777" w:rsidR="00041A08" w:rsidRPr="00041A08" w:rsidRDefault="00BA7ECA" w:rsidP="001A6584">
      <w:pPr>
        <w:tabs>
          <w:tab w:val="left" w:pos="142"/>
        </w:tabs>
        <w:ind w:left="0" w:firstLine="0"/>
      </w:pPr>
      <w:r w:rsidRPr="007E4DA1">
        <w:rPr>
          <w:iCs/>
          <w:lang w:eastAsia="en-GB"/>
        </w:rPr>
        <w:t>W</w:t>
      </w:r>
      <w:r w:rsidR="00802FF6" w:rsidRPr="007E4DA1">
        <w:rPr>
          <w:iCs/>
          <w:lang w:eastAsia="en-GB"/>
        </w:rPr>
        <w:t xml:space="preserve"> </w:t>
      </w:r>
      <w:r w:rsidRPr="007E4DA1">
        <w:rPr>
          <w:iCs/>
          <w:lang w:eastAsia="en-GB"/>
        </w:rPr>
        <w:t>tym</w:t>
      </w:r>
      <w:r w:rsidR="00015286" w:rsidRPr="007E4DA1">
        <w:rPr>
          <w:iCs/>
          <w:lang w:eastAsia="en-GB"/>
        </w:rPr>
        <w:t xml:space="preserve"> </w:t>
      </w:r>
      <w:r w:rsidR="00802FF6" w:rsidRPr="007E4DA1">
        <w:rPr>
          <w:iCs/>
          <w:lang w:eastAsia="en-GB"/>
        </w:rPr>
        <w:t>otwartym badaniu z zastosowaniem powtarzanych cykli leczenia (3</w:t>
      </w:r>
      <w:r w:rsidR="002B3D7F" w:rsidRPr="007E4DA1">
        <w:rPr>
          <w:iCs/>
          <w:lang w:eastAsia="en-GB"/>
        </w:rPr>
        <w:t> </w:t>
      </w:r>
      <w:r w:rsidR="00802FF6" w:rsidRPr="007E4DA1">
        <w:rPr>
          <w:iCs/>
          <w:lang w:eastAsia="en-GB"/>
        </w:rPr>
        <w:t>cykle 6-tygodniowe leczenia, po których następowały 4</w:t>
      </w:r>
      <w:r w:rsidR="002B3D7F" w:rsidRPr="007E4DA1">
        <w:rPr>
          <w:iCs/>
          <w:lang w:eastAsia="en-GB"/>
        </w:rPr>
        <w:t> </w:t>
      </w:r>
      <w:r w:rsidR="00802FF6" w:rsidRPr="007E4DA1">
        <w:rPr>
          <w:iCs/>
          <w:lang w:eastAsia="en-GB"/>
        </w:rPr>
        <w:t>tygodnie bez leczenia) wykazano, że epizodyczne zastosowanie wielu cykli leczenia eltrombopagiem nie powoduje utraty odpowiedzi.</w:t>
      </w:r>
    </w:p>
    <w:p w14:paraId="1B403982" w14:textId="04BF92FE" w:rsidR="00802FF6" w:rsidRPr="007E4DA1" w:rsidRDefault="00802FF6" w:rsidP="001A6584">
      <w:pPr>
        <w:tabs>
          <w:tab w:val="left" w:pos="142"/>
        </w:tabs>
        <w:ind w:left="0" w:firstLine="0"/>
        <w:rPr>
          <w:szCs w:val="22"/>
        </w:rPr>
      </w:pPr>
    </w:p>
    <w:p w14:paraId="69B231C4" w14:textId="3802B324" w:rsidR="00E7033C" w:rsidRPr="007E4DA1" w:rsidRDefault="00BA7ECA" w:rsidP="001A6584">
      <w:pPr>
        <w:keepNext/>
        <w:tabs>
          <w:tab w:val="left" w:pos="142"/>
        </w:tabs>
        <w:ind w:left="0" w:firstLine="0"/>
      </w:pPr>
      <w:r w:rsidRPr="007E4DA1">
        <w:t>EXT</w:t>
      </w:r>
      <w:r w:rsidR="00640A59" w:rsidRPr="007E4DA1">
        <w:t>E</w:t>
      </w:r>
      <w:r w:rsidRPr="007E4DA1">
        <w:t>ND (TRA105325):</w:t>
      </w:r>
    </w:p>
    <w:p w14:paraId="09EADF83" w14:textId="070D2F21" w:rsidR="00802FF6" w:rsidRPr="007E4DA1" w:rsidRDefault="00802FF6" w:rsidP="001A6584">
      <w:pPr>
        <w:keepNext/>
        <w:keepLines/>
        <w:tabs>
          <w:tab w:val="left" w:pos="142"/>
        </w:tabs>
        <w:ind w:left="0" w:firstLine="0"/>
      </w:pPr>
      <w:r w:rsidRPr="007E4DA1">
        <w:t xml:space="preserve">Eltrombopag podawano </w:t>
      </w:r>
      <w:r w:rsidR="009A642D" w:rsidRPr="007E4DA1">
        <w:rPr>
          <w:bCs/>
        </w:rPr>
        <w:t>302</w:t>
      </w:r>
      <w:r w:rsidR="009A642D" w:rsidRPr="007E4DA1">
        <w:t> </w:t>
      </w:r>
      <w:r w:rsidRPr="007E4DA1">
        <w:t xml:space="preserve">pacjentom z pierwotną małopłytkowością immunologiczną w ramach </w:t>
      </w:r>
      <w:r w:rsidR="00E7033C" w:rsidRPr="007E4DA1">
        <w:t xml:space="preserve">tego </w:t>
      </w:r>
      <w:r w:rsidRPr="007E4DA1">
        <w:t>otwartego badania</w:t>
      </w:r>
      <w:r w:rsidR="00575C22" w:rsidRPr="007E4DA1">
        <w:t xml:space="preserve"> przedłużonego</w:t>
      </w:r>
      <w:r w:rsidRPr="007E4DA1">
        <w:t xml:space="preserve">. W badaniu tym </w:t>
      </w:r>
      <w:r w:rsidR="00575C22" w:rsidRPr="007E4DA1">
        <w:rPr>
          <w:bCs/>
        </w:rPr>
        <w:t>218</w:t>
      </w:r>
      <w:r w:rsidR="00575C22" w:rsidRPr="007E4DA1">
        <w:t> </w:t>
      </w:r>
      <w:r w:rsidRPr="007E4DA1">
        <w:t xml:space="preserve">pacjentów zakończyło roczne leczenie, </w:t>
      </w:r>
      <w:r w:rsidR="00575C22" w:rsidRPr="007E4DA1">
        <w:t>180 </w:t>
      </w:r>
      <w:r w:rsidRPr="007E4DA1">
        <w:t>pacjentów zakończyło 2-letnie leczenie</w:t>
      </w:r>
      <w:r w:rsidR="00575C22" w:rsidRPr="007E4DA1">
        <w:t>, 107 pacjentów zakończyło 3-letnie leczenie, 75 pacjentów zakończyło 4-letnie leczenie, 34 pacjentów 5-letnie leczenie i 18 pacjentów zakończyło 6-letnie leczenie</w:t>
      </w:r>
      <w:r w:rsidRPr="007E4DA1">
        <w:t>. Mediana liczby płytek krwi przed podaniem eltrombopagu wynosiła 19 </w:t>
      </w:r>
      <w:r w:rsidR="00575C22" w:rsidRPr="007E4DA1">
        <w:t>000</w:t>
      </w:r>
      <w:r w:rsidRPr="007E4DA1">
        <w:t>/</w:t>
      </w:r>
      <w:r w:rsidRPr="007E4DA1">
        <w:sym w:font="Symbol" w:char="F06D"/>
      </w:r>
      <w:r w:rsidRPr="007E4DA1">
        <w:t xml:space="preserve">l. Mediana liczby płytek krwi po </w:t>
      </w:r>
      <w:r w:rsidR="00575C22" w:rsidRPr="007E4DA1">
        <w:t>1, 2, 3, 4, 5, 6 i 7 latach</w:t>
      </w:r>
      <w:r w:rsidRPr="007E4DA1">
        <w:t xml:space="preserve"> badania wyniosła odpowiednio </w:t>
      </w:r>
      <w:r w:rsidR="00575C22" w:rsidRPr="007E4DA1">
        <w:rPr>
          <w:bCs/>
        </w:rPr>
        <w:t>85</w:t>
      </w:r>
      <w:r w:rsidR="00F651B4" w:rsidRPr="007E4DA1">
        <w:rPr>
          <w:bCs/>
        </w:rPr>
        <w:t> </w:t>
      </w:r>
      <w:r w:rsidR="00575C22" w:rsidRPr="007E4DA1">
        <w:rPr>
          <w:bCs/>
        </w:rPr>
        <w:t>000</w:t>
      </w:r>
      <w:r w:rsidRPr="007E4DA1">
        <w:t>/</w:t>
      </w:r>
      <w:r w:rsidRPr="007E4DA1">
        <w:sym w:font="Symbol" w:char="F06D"/>
      </w:r>
      <w:r w:rsidRPr="007E4DA1">
        <w:t>l</w:t>
      </w:r>
      <w:r w:rsidR="00575C22" w:rsidRPr="007E4DA1">
        <w:t>, 85 000/</w:t>
      </w:r>
      <w:r w:rsidR="00575C22" w:rsidRPr="007E4DA1">
        <w:sym w:font="Symbol" w:char="F06D"/>
      </w:r>
      <w:r w:rsidR="00575C22" w:rsidRPr="007E4DA1">
        <w:t>l, 105 000/</w:t>
      </w:r>
      <w:r w:rsidR="00575C22" w:rsidRPr="007E4DA1">
        <w:sym w:font="Symbol" w:char="F06D"/>
      </w:r>
      <w:r w:rsidR="00575C22" w:rsidRPr="007E4DA1">
        <w:t>l, 64</w:t>
      </w:r>
      <w:r w:rsidR="00F651B4" w:rsidRPr="007E4DA1">
        <w:t> </w:t>
      </w:r>
      <w:r w:rsidR="00575C22" w:rsidRPr="007E4DA1">
        <w:t>000/</w:t>
      </w:r>
      <w:r w:rsidR="00575C22" w:rsidRPr="007E4DA1">
        <w:sym w:font="Symbol" w:char="F06D"/>
      </w:r>
      <w:r w:rsidR="00575C22" w:rsidRPr="007E4DA1">
        <w:t>l</w:t>
      </w:r>
      <w:r w:rsidRPr="007E4DA1">
        <w:t xml:space="preserve">, </w:t>
      </w:r>
      <w:r w:rsidRPr="007E4DA1">
        <w:rPr>
          <w:bCs/>
        </w:rPr>
        <w:t>75 </w:t>
      </w:r>
      <w:r w:rsidRPr="007E4DA1">
        <w:t>000/</w:t>
      </w:r>
      <w:r w:rsidRPr="007E4DA1">
        <w:sym w:font="Symbol" w:char="F06D"/>
      </w:r>
      <w:r w:rsidRPr="007E4DA1">
        <w:t>l</w:t>
      </w:r>
      <w:r w:rsidR="002E52D0" w:rsidRPr="007E4DA1">
        <w:t>,</w:t>
      </w:r>
      <w:r w:rsidRPr="007E4DA1">
        <w:t xml:space="preserve"> 119</w:t>
      </w:r>
      <w:r w:rsidRPr="007E4DA1">
        <w:rPr>
          <w:bCs/>
        </w:rPr>
        <w:t> 0</w:t>
      </w:r>
      <w:r w:rsidRPr="007E4DA1">
        <w:t>00/</w:t>
      </w:r>
      <w:r w:rsidRPr="007E4DA1">
        <w:sym w:font="Symbol" w:char="F06D"/>
      </w:r>
      <w:r w:rsidRPr="007E4DA1">
        <w:t>l</w:t>
      </w:r>
      <w:r w:rsidR="001E7B03" w:rsidRPr="007E4DA1">
        <w:t xml:space="preserve"> i 76</w:t>
      </w:r>
      <w:r w:rsidR="00F651B4" w:rsidRPr="007E4DA1">
        <w:t> </w:t>
      </w:r>
      <w:r w:rsidR="001E7B03" w:rsidRPr="007E4DA1">
        <w:t>000/</w:t>
      </w:r>
      <w:r w:rsidR="001E7B03" w:rsidRPr="007E4DA1">
        <w:sym w:font="Symbol" w:char="F06D"/>
      </w:r>
      <w:r w:rsidR="001E7B03" w:rsidRPr="007E4DA1">
        <w:t>l</w:t>
      </w:r>
      <w:r w:rsidRPr="007E4DA1">
        <w:t>.</w:t>
      </w:r>
    </w:p>
    <w:p w14:paraId="128D494F" w14:textId="77777777" w:rsidR="003423EA" w:rsidRPr="007E4DA1" w:rsidRDefault="003423EA" w:rsidP="001A6584">
      <w:pPr>
        <w:tabs>
          <w:tab w:val="left" w:pos="142"/>
        </w:tabs>
        <w:ind w:left="0" w:firstLine="0"/>
      </w:pPr>
    </w:p>
    <w:p w14:paraId="43330E36" w14:textId="5A9F2CF7" w:rsidR="00E7033C" w:rsidRPr="007E4DA1" w:rsidRDefault="00BA7ECA" w:rsidP="001A6584">
      <w:pPr>
        <w:pStyle w:val="CommentText"/>
        <w:keepNext/>
        <w:tabs>
          <w:tab w:val="clear" w:pos="567"/>
          <w:tab w:val="left" w:pos="142"/>
        </w:tabs>
        <w:spacing w:line="240" w:lineRule="auto"/>
        <w:rPr>
          <w:sz w:val="22"/>
          <w:szCs w:val="22"/>
          <w:lang w:val="pl-PL"/>
        </w:rPr>
      </w:pPr>
      <w:r w:rsidRPr="007E4DA1">
        <w:rPr>
          <w:sz w:val="22"/>
          <w:szCs w:val="22"/>
          <w:lang w:val="pl-PL"/>
        </w:rPr>
        <w:lastRenderedPageBreak/>
        <w:t>TAPER (CETB115J2411):</w:t>
      </w:r>
    </w:p>
    <w:p w14:paraId="5BB8E4CF" w14:textId="35095C9F" w:rsidR="00D20E2B" w:rsidRPr="007E4DA1" w:rsidRDefault="00BA7ECA" w:rsidP="001A6584">
      <w:pPr>
        <w:pStyle w:val="CommentText"/>
        <w:tabs>
          <w:tab w:val="clear" w:pos="567"/>
          <w:tab w:val="left" w:pos="142"/>
        </w:tabs>
        <w:spacing w:line="240" w:lineRule="auto"/>
        <w:rPr>
          <w:sz w:val="22"/>
          <w:szCs w:val="22"/>
          <w:lang w:val="pl-PL"/>
        </w:rPr>
      </w:pPr>
      <w:r w:rsidRPr="007E4DA1">
        <w:rPr>
          <w:sz w:val="22"/>
          <w:szCs w:val="22"/>
          <w:lang w:val="pl-PL"/>
        </w:rPr>
        <w:t>Było to badanie II</w:t>
      </w:r>
      <w:r w:rsidR="00DC1C12" w:rsidRPr="007E4DA1">
        <w:rPr>
          <w:sz w:val="22"/>
          <w:szCs w:val="22"/>
          <w:lang w:val="pl-PL"/>
        </w:rPr>
        <w:t> </w:t>
      </w:r>
      <w:r w:rsidRPr="007E4DA1">
        <w:rPr>
          <w:sz w:val="22"/>
          <w:szCs w:val="22"/>
          <w:lang w:val="pl-PL"/>
        </w:rPr>
        <w:t xml:space="preserve">fazy z jedną grupą badaną, </w:t>
      </w:r>
      <w:r w:rsidR="004F3194" w:rsidRPr="007E4DA1">
        <w:rPr>
          <w:sz w:val="22"/>
          <w:szCs w:val="22"/>
          <w:lang w:val="pl-PL"/>
        </w:rPr>
        <w:t>d</w:t>
      </w:r>
      <w:r w:rsidRPr="007E4DA1">
        <w:rPr>
          <w:sz w:val="22"/>
          <w:szCs w:val="22"/>
          <w:lang w:val="pl-PL"/>
        </w:rPr>
        <w:t>o którego włączono pacjentów z ITP leczonych eltrombopagiem po niepowodzeniu leczenia pierwszego rzutu kortykosteroidami, niezależnie od czasu, jak</w:t>
      </w:r>
      <w:r w:rsidR="004F3194" w:rsidRPr="007E4DA1">
        <w:rPr>
          <w:sz w:val="22"/>
          <w:szCs w:val="22"/>
          <w:lang w:val="pl-PL"/>
        </w:rPr>
        <w:t>i</w:t>
      </w:r>
      <w:r w:rsidRPr="007E4DA1">
        <w:rPr>
          <w:sz w:val="22"/>
          <w:szCs w:val="22"/>
          <w:lang w:val="pl-PL"/>
        </w:rPr>
        <w:t xml:space="preserve"> upłynął od rozpoznania choroby. Do badani</w:t>
      </w:r>
      <w:r w:rsidR="004F3194" w:rsidRPr="007E4DA1">
        <w:rPr>
          <w:sz w:val="22"/>
          <w:szCs w:val="22"/>
          <w:lang w:val="pl-PL"/>
        </w:rPr>
        <w:t>a</w:t>
      </w:r>
      <w:r w:rsidRPr="007E4DA1">
        <w:rPr>
          <w:sz w:val="22"/>
          <w:szCs w:val="22"/>
          <w:lang w:val="pl-PL"/>
        </w:rPr>
        <w:t xml:space="preserve"> włączono</w:t>
      </w:r>
      <w:r w:rsidR="000A7881" w:rsidRPr="007E4DA1">
        <w:rPr>
          <w:sz w:val="22"/>
          <w:szCs w:val="22"/>
          <w:lang w:val="pl-PL"/>
        </w:rPr>
        <w:t xml:space="preserve"> łącznie</w:t>
      </w:r>
      <w:r w:rsidRPr="007E4DA1">
        <w:rPr>
          <w:sz w:val="22"/>
          <w:szCs w:val="22"/>
          <w:lang w:val="pl-PL"/>
        </w:rPr>
        <w:t xml:space="preserve"> 105</w:t>
      </w:r>
      <w:r w:rsidR="00DC1C12" w:rsidRPr="007E4DA1">
        <w:rPr>
          <w:sz w:val="22"/>
          <w:szCs w:val="22"/>
          <w:lang w:val="pl-PL"/>
        </w:rPr>
        <w:t> </w:t>
      </w:r>
      <w:r w:rsidRPr="007E4DA1">
        <w:rPr>
          <w:sz w:val="22"/>
          <w:szCs w:val="22"/>
          <w:lang w:val="pl-PL"/>
        </w:rPr>
        <w:t>pacjentów, którzy rozpoczęli leczenie eltrombopagiem w dawce 50 mg podawanej raz na dobę (25 mg raz na dobę u pacjentów pochodzenia wschodnio-/południowo-wschodnioazjatyckiego). Dawkę eltrombopagu dostosowywano w okresie leczenia</w:t>
      </w:r>
      <w:r w:rsidR="004F3194" w:rsidRPr="007E4DA1">
        <w:rPr>
          <w:sz w:val="22"/>
          <w:szCs w:val="22"/>
          <w:lang w:val="pl-PL"/>
        </w:rPr>
        <w:t xml:space="preserve"> w oparciu o liczbę płytek krwi u danego pacjenta, mając na celu osiągnięcie liczby płytek krwi ≥100 000/µl.</w:t>
      </w:r>
    </w:p>
    <w:p w14:paraId="32BDB913" w14:textId="77777777" w:rsidR="00E7033C" w:rsidRPr="007E4DA1" w:rsidRDefault="00E7033C" w:rsidP="001A6584">
      <w:pPr>
        <w:pStyle w:val="CommentText"/>
        <w:tabs>
          <w:tab w:val="clear" w:pos="567"/>
          <w:tab w:val="left" w:pos="142"/>
        </w:tabs>
        <w:spacing w:line="240" w:lineRule="auto"/>
        <w:rPr>
          <w:sz w:val="22"/>
          <w:szCs w:val="22"/>
          <w:lang w:val="pl-PL"/>
        </w:rPr>
      </w:pPr>
      <w:bookmarkStart w:id="9" w:name="_Hlk134604782"/>
    </w:p>
    <w:p w14:paraId="70C32C1B" w14:textId="7EEA76C3" w:rsidR="00E7033C" w:rsidRPr="007E4DA1" w:rsidRDefault="00E7033C" w:rsidP="001A6584">
      <w:pPr>
        <w:pStyle w:val="CommentText"/>
        <w:tabs>
          <w:tab w:val="clear" w:pos="567"/>
          <w:tab w:val="left" w:pos="142"/>
        </w:tabs>
        <w:spacing w:line="240" w:lineRule="auto"/>
        <w:rPr>
          <w:sz w:val="22"/>
          <w:szCs w:val="22"/>
          <w:lang w:val="pl-PL"/>
        </w:rPr>
      </w:pPr>
      <w:r w:rsidRPr="007E4DA1">
        <w:rPr>
          <w:sz w:val="22"/>
          <w:szCs w:val="22"/>
          <w:lang w:val="pl-PL"/>
        </w:rPr>
        <w:t>Spośród 105 pacjentów włączonych do badania, którzy otrzymali co najmniej jedną dawkę eltrombopagu 69</w:t>
      </w:r>
      <w:r w:rsidR="006761C8" w:rsidRPr="007E4DA1">
        <w:rPr>
          <w:sz w:val="22"/>
          <w:szCs w:val="22"/>
          <w:lang w:val="pl-PL"/>
        </w:rPr>
        <w:t> </w:t>
      </w:r>
      <w:r w:rsidRPr="007E4DA1">
        <w:rPr>
          <w:sz w:val="22"/>
          <w:szCs w:val="22"/>
          <w:lang w:val="pl-PL"/>
        </w:rPr>
        <w:t>pacjentów (65,7%) ukończy</w:t>
      </w:r>
      <w:r w:rsidR="00921052" w:rsidRPr="007E4DA1">
        <w:rPr>
          <w:sz w:val="22"/>
          <w:szCs w:val="22"/>
          <w:lang w:val="pl-PL"/>
        </w:rPr>
        <w:t>ł</w:t>
      </w:r>
      <w:r w:rsidRPr="007E4DA1">
        <w:rPr>
          <w:sz w:val="22"/>
          <w:szCs w:val="22"/>
          <w:lang w:val="pl-PL"/>
        </w:rPr>
        <w:t>o leczenie, a 36</w:t>
      </w:r>
      <w:r w:rsidR="006761C8" w:rsidRPr="007E4DA1">
        <w:rPr>
          <w:sz w:val="22"/>
          <w:szCs w:val="22"/>
          <w:lang w:val="pl-PL"/>
        </w:rPr>
        <w:t> </w:t>
      </w:r>
      <w:r w:rsidRPr="007E4DA1">
        <w:rPr>
          <w:sz w:val="22"/>
          <w:szCs w:val="22"/>
          <w:lang w:val="pl-PL"/>
        </w:rPr>
        <w:t>pacjentów (34,3%) zakończyło leczenie</w:t>
      </w:r>
      <w:r w:rsidR="00921052" w:rsidRPr="007E4DA1">
        <w:rPr>
          <w:sz w:val="22"/>
          <w:szCs w:val="22"/>
          <w:lang w:val="pl-PL"/>
        </w:rPr>
        <w:t xml:space="preserve"> przedwcześnie</w:t>
      </w:r>
      <w:r w:rsidRPr="007E4DA1">
        <w:rPr>
          <w:sz w:val="22"/>
          <w:szCs w:val="22"/>
          <w:lang w:val="pl-PL"/>
        </w:rPr>
        <w:t>.</w:t>
      </w:r>
    </w:p>
    <w:p w14:paraId="794D3B9E" w14:textId="77777777" w:rsidR="00E7033C" w:rsidRPr="007E4DA1" w:rsidRDefault="00E7033C" w:rsidP="001A6584">
      <w:pPr>
        <w:pStyle w:val="CommentText"/>
        <w:tabs>
          <w:tab w:val="clear" w:pos="567"/>
          <w:tab w:val="left" w:pos="142"/>
        </w:tabs>
        <w:spacing w:line="240" w:lineRule="auto"/>
        <w:rPr>
          <w:sz w:val="22"/>
          <w:szCs w:val="22"/>
          <w:lang w:val="pl-PL"/>
        </w:rPr>
      </w:pPr>
    </w:p>
    <w:p w14:paraId="15499017" w14:textId="4F57D046" w:rsidR="00E7033C" w:rsidRPr="007E4DA1" w:rsidRDefault="00E7033C" w:rsidP="001A6584">
      <w:pPr>
        <w:pStyle w:val="CommentText"/>
        <w:keepNext/>
        <w:tabs>
          <w:tab w:val="clear" w:pos="567"/>
          <w:tab w:val="left" w:pos="142"/>
        </w:tabs>
        <w:spacing w:line="240" w:lineRule="auto"/>
        <w:rPr>
          <w:sz w:val="22"/>
          <w:szCs w:val="22"/>
          <w:lang w:val="pl-PL"/>
        </w:rPr>
      </w:pPr>
      <w:r w:rsidRPr="007E4DA1">
        <w:rPr>
          <w:sz w:val="22"/>
          <w:szCs w:val="22"/>
          <w:lang w:val="pl-PL"/>
        </w:rPr>
        <w:t>Analiza utrzymywania się odpowiedzi w okresie bez leczenia</w:t>
      </w:r>
    </w:p>
    <w:p w14:paraId="648E9829" w14:textId="632E1B79" w:rsidR="004F3194" w:rsidRPr="007E4DA1" w:rsidRDefault="00E7033C" w:rsidP="001A6584">
      <w:pPr>
        <w:pStyle w:val="CommentText"/>
        <w:tabs>
          <w:tab w:val="clear" w:pos="567"/>
          <w:tab w:val="left" w:pos="142"/>
        </w:tabs>
        <w:spacing w:line="240" w:lineRule="auto"/>
        <w:rPr>
          <w:sz w:val="22"/>
          <w:szCs w:val="22"/>
          <w:lang w:val="pl-PL"/>
        </w:rPr>
      </w:pPr>
      <w:r w:rsidRPr="007E4DA1">
        <w:rPr>
          <w:sz w:val="22"/>
          <w:szCs w:val="22"/>
          <w:lang w:val="pl-PL"/>
        </w:rPr>
        <w:t>Pierwszorzędowym punktem końcowym był odsetek pacjentów z utrzymywaniem się odpowiedzi w okresie bez leczenia do miesiąca 12.</w:t>
      </w:r>
      <w:r w:rsidR="006761C8" w:rsidRPr="007E4DA1">
        <w:rPr>
          <w:sz w:val="22"/>
          <w:szCs w:val="22"/>
          <w:lang w:val="pl-PL"/>
        </w:rPr>
        <w:t> </w:t>
      </w:r>
      <w:r w:rsidRPr="007E4DA1">
        <w:rPr>
          <w:sz w:val="22"/>
          <w:szCs w:val="22"/>
          <w:lang w:val="pl-PL"/>
        </w:rPr>
        <w:t>Pacjenci, którzy uzyskali liczbę płytek</w:t>
      </w:r>
      <w:r w:rsidR="00921052" w:rsidRPr="007E4DA1">
        <w:rPr>
          <w:sz w:val="22"/>
          <w:szCs w:val="22"/>
          <w:lang w:val="pl-PL"/>
        </w:rPr>
        <w:t xml:space="preserve"> krwi</w:t>
      </w:r>
      <w:r w:rsidRPr="007E4DA1">
        <w:rPr>
          <w:sz w:val="22"/>
          <w:szCs w:val="22"/>
          <w:lang w:val="pl-PL"/>
        </w:rPr>
        <w:t xml:space="preserve"> ≥</w:t>
      </w:r>
      <w:r w:rsidR="00921052" w:rsidRPr="007E4DA1">
        <w:rPr>
          <w:sz w:val="22"/>
          <w:szCs w:val="22"/>
          <w:lang w:val="pl-PL"/>
        </w:rPr>
        <w:t>100 000/</w:t>
      </w:r>
      <w:r w:rsidR="00921052" w:rsidRPr="007E4DA1">
        <w:rPr>
          <w:sz w:val="22"/>
          <w:szCs w:val="22"/>
          <w:lang w:val="pl-PL"/>
        </w:rPr>
        <w:sym w:font="Symbol" w:char="F06D"/>
      </w:r>
      <w:r w:rsidR="00921052" w:rsidRPr="007E4DA1">
        <w:rPr>
          <w:sz w:val="22"/>
          <w:szCs w:val="22"/>
          <w:lang w:val="pl-PL"/>
        </w:rPr>
        <w:t>l</w:t>
      </w:r>
      <w:r w:rsidR="00625012" w:rsidRPr="007E4DA1">
        <w:rPr>
          <w:sz w:val="22"/>
          <w:szCs w:val="22"/>
          <w:lang w:val="pl-PL"/>
        </w:rPr>
        <w:t xml:space="preserve"> </w:t>
      </w:r>
      <w:r w:rsidRPr="007E4DA1">
        <w:rPr>
          <w:sz w:val="22"/>
          <w:szCs w:val="22"/>
          <w:lang w:val="pl-PL"/>
        </w:rPr>
        <w:t xml:space="preserve">i </w:t>
      </w:r>
      <w:r w:rsidR="00921052" w:rsidRPr="007E4DA1">
        <w:rPr>
          <w:sz w:val="22"/>
          <w:szCs w:val="22"/>
          <w:lang w:val="pl-PL"/>
        </w:rPr>
        <w:t xml:space="preserve">przez 2 miesiące </w:t>
      </w:r>
      <w:r w:rsidRPr="007E4DA1">
        <w:rPr>
          <w:sz w:val="22"/>
          <w:szCs w:val="22"/>
          <w:lang w:val="pl-PL"/>
        </w:rPr>
        <w:t>utrzy</w:t>
      </w:r>
      <w:r w:rsidR="009B24EA" w:rsidRPr="007E4DA1">
        <w:rPr>
          <w:sz w:val="22"/>
          <w:szCs w:val="22"/>
          <w:lang w:val="pl-PL"/>
        </w:rPr>
        <w:t>m</w:t>
      </w:r>
      <w:r w:rsidRPr="007E4DA1">
        <w:rPr>
          <w:sz w:val="22"/>
          <w:szCs w:val="22"/>
          <w:lang w:val="pl-PL"/>
        </w:rPr>
        <w:t xml:space="preserve">ali liczbę płytek </w:t>
      </w:r>
      <w:r w:rsidR="00921052" w:rsidRPr="007E4DA1">
        <w:rPr>
          <w:sz w:val="22"/>
          <w:szCs w:val="22"/>
          <w:lang w:val="pl-PL"/>
        </w:rPr>
        <w:t>krwi oscylującą wokół wartości</w:t>
      </w:r>
      <w:r w:rsidRPr="007E4DA1">
        <w:rPr>
          <w:sz w:val="22"/>
          <w:szCs w:val="22"/>
          <w:lang w:val="pl-PL"/>
        </w:rPr>
        <w:t xml:space="preserve"> 100 000/</w:t>
      </w:r>
      <w:r w:rsidRPr="007E4DA1">
        <w:rPr>
          <w:sz w:val="22"/>
          <w:szCs w:val="22"/>
          <w:lang w:val="pl-PL"/>
        </w:rPr>
        <w:sym w:font="Symbol" w:char="F06D"/>
      </w:r>
      <w:r w:rsidRPr="007E4DA1">
        <w:rPr>
          <w:sz w:val="22"/>
          <w:szCs w:val="22"/>
          <w:lang w:val="pl-PL"/>
        </w:rPr>
        <w:t>l (brak wyników poniżej 70 000/</w:t>
      </w:r>
      <w:r w:rsidRPr="007E4DA1">
        <w:rPr>
          <w:sz w:val="22"/>
          <w:szCs w:val="22"/>
          <w:lang w:val="pl-PL"/>
        </w:rPr>
        <w:sym w:font="Symbol" w:char="F06D"/>
      </w:r>
      <w:r w:rsidRPr="007E4DA1">
        <w:rPr>
          <w:sz w:val="22"/>
          <w:szCs w:val="22"/>
          <w:lang w:val="pl-PL"/>
        </w:rPr>
        <w:t>l) kwalifikowali się do stopniowego zmniejszania dawki eltrombopagu i zakończenia leczenia. Aby uznać, że pacjent osiągnął odpowiedź</w:t>
      </w:r>
      <w:r w:rsidR="009B24EA" w:rsidRPr="007E4DA1">
        <w:rPr>
          <w:sz w:val="22"/>
          <w:szCs w:val="22"/>
          <w:lang w:val="pl-PL"/>
        </w:rPr>
        <w:t xml:space="preserve"> utrzymującą się</w:t>
      </w:r>
      <w:r w:rsidRPr="007E4DA1">
        <w:rPr>
          <w:sz w:val="22"/>
          <w:szCs w:val="22"/>
          <w:lang w:val="pl-PL"/>
        </w:rPr>
        <w:t xml:space="preserve"> w okresie bez leczenia, pacjent musiał utrzymać liczbę płytek krwi na poziomie ≥30 000/</w:t>
      </w:r>
      <w:r w:rsidRPr="007E4DA1">
        <w:rPr>
          <w:sz w:val="22"/>
          <w:szCs w:val="22"/>
          <w:lang w:val="pl-PL"/>
        </w:rPr>
        <w:sym w:font="Symbol" w:char="F06D"/>
      </w:r>
      <w:r w:rsidRPr="007E4DA1">
        <w:rPr>
          <w:sz w:val="22"/>
          <w:szCs w:val="22"/>
          <w:lang w:val="pl-PL"/>
        </w:rPr>
        <w:t xml:space="preserve">l przy braku zdarzeń krwawienia lub stosowania terapii </w:t>
      </w:r>
      <w:r w:rsidR="009B24EA" w:rsidRPr="007E4DA1">
        <w:rPr>
          <w:sz w:val="22"/>
          <w:szCs w:val="22"/>
          <w:lang w:val="pl-PL"/>
        </w:rPr>
        <w:t>ratunkowej</w:t>
      </w:r>
      <w:r w:rsidRPr="007E4DA1">
        <w:rPr>
          <w:sz w:val="22"/>
          <w:szCs w:val="22"/>
          <w:lang w:val="pl-PL"/>
        </w:rPr>
        <w:t>, zarówno w okresie stopniowego zmniejszania dawki, jak i po zakończeniu leczenia aż do miesiąca</w:t>
      </w:r>
      <w:r w:rsidR="006761C8" w:rsidRPr="007E4DA1">
        <w:rPr>
          <w:sz w:val="22"/>
          <w:szCs w:val="22"/>
          <w:lang w:val="pl-PL"/>
        </w:rPr>
        <w:t> </w:t>
      </w:r>
      <w:r w:rsidRPr="007E4DA1">
        <w:rPr>
          <w:sz w:val="22"/>
          <w:szCs w:val="22"/>
          <w:lang w:val="pl-PL"/>
        </w:rPr>
        <w:t>12.</w:t>
      </w:r>
    </w:p>
    <w:p w14:paraId="31AFA3FA" w14:textId="77777777" w:rsidR="00E7033C" w:rsidRPr="007E4DA1" w:rsidRDefault="00E7033C" w:rsidP="001A6584">
      <w:pPr>
        <w:pStyle w:val="CommentText"/>
        <w:tabs>
          <w:tab w:val="clear" w:pos="567"/>
          <w:tab w:val="left" w:pos="142"/>
        </w:tabs>
        <w:spacing w:line="240" w:lineRule="auto"/>
        <w:rPr>
          <w:sz w:val="22"/>
          <w:szCs w:val="22"/>
          <w:lang w:val="pl-PL"/>
        </w:rPr>
      </w:pPr>
    </w:p>
    <w:p w14:paraId="5D09DEAB" w14:textId="1A00D966" w:rsidR="00E7033C" w:rsidRPr="007E4DA1" w:rsidRDefault="006B3479" w:rsidP="001A6584">
      <w:pPr>
        <w:pStyle w:val="CommentText"/>
        <w:tabs>
          <w:tab w:val="clear" w:pos="567"/>
          <w:tab w:val="left" w:pos="142"/>
        </w:tabs>
        <w:spacing w:line="240" w:lineRule="auto"/>
        <w:rPr>
          <w:sz w:val="22"/>
          <w:szCs w:val="22"/>
          <w:lang w:val="pl-PL"/>
        </w:rPr>
      </w:pPr>
      <w:r w:rsidRPr="007E4DA1">
        <w:rPr>
          <w:sz w:val="22"/>
          <w:szCs w:val="22"/>
          <w:lang w:val="pl-PL"/>
        </w:rPr>
        <w:t xml:space="preserve">Czas trwania okresu zmniejszania dawki był </w:t>
      </w:r>
      <w:r w:rsidR="00921052" w:rsidRPr="007E4DA1">
        <w:rPr>
          <w:sz w:val="22"/>
          <w:szCs w:val="22"/>
          <w:lang w:val="pl-PL"/>
        </w:rPr>
        <w:t>dobierany indywidualnie</w:t>
      </w:r>
      <w:r w:rsidRPr="007E4DA1">
        <w:rPr>
          <w:sz w:val="22"/>
          <w:szCs w:val="22"/>
          <w:lang w:val="pl-PL"/>
        </w:rPr>
        <w:t xml:space="preserve"> w zależności od dawki początkowej i odpowiedzi pacjenta na leczenie. </w:t>
      </w:r>
      <w:r w:rsidR="00921052" w:rsidRPr="007E4DA1">
        <w:rPr>
          <w:sz w:val="22"/>
          <w:szCs w:val="22"/>
          <w:lang w:val="pl-PL"/>
        </w:rPr>
        <w:t>Zgodnie ze schematem</w:t>
      </w:r>
      <w:r w:rsidRPr="007E4DA1">
        <w:rPr>
          <w:sz w:val="22"/>
          <w:szCs w:val="22"/>
          <w:lang w:val="pl-PL"/>
        </w:rPr>
        <w:t xml:space="preserve"> zmniejszania dawki zaleca</w:t>
      </w:r>
      <w:r w:rsidR="00921052" w:rsidRPr="007E4DA1">
        <w:rPr>
          <w:sz w:val="22"/>
          <w:szCs w:val="22"/>
          <w:lang w:val="pl-PL"/>
        </w:rPr>
        <w:t>no</w:t>
      </w:r>
      <w:r w:rsidRPr="007E4DA1">
        <w:rPr>
          <w:sz w:val="22"/>
          <w:szCs w:val="22"/>
          <w:lang w:val="pl-PL"/>
        </w:rPr>
        <w:t xml:space="preserve"> redukcję dawki o 25 mg co 2</w:t>
      </w:r>
      <w:r w:rsidR="006761C8" w:rsidRPr="007E4DA1">
        <w:rPr>
          <w:sz w:val="22"/>
          <w:szCs w:val="22"/>
          <w:lang w:val="pl-PL"/>
        </w:rPr>
        <w:t> </w:t>
      </w:r>
      <w:r w:rsidRPr="007E4DA1">
        <w:rPr>
          <w:sz w:val="22"/>
          <w:szCs w:val="22"/>
          <w:lang w:val="pl-PL"/>
        </w:rPr>
        <w:t>tygodnie, jeśli liczba płytek krwi była stabilna. Po zmniejszeniu dawki dobowej do 25 mg przez 2</w:t>
      </w:r>
      <w:r w:rsidR="006761C8" w:rsidRPr="007E4DA1">
        <w:rPr>
          <w:sz w:val="22"/>
          <w:szCs w:val="22"/>
          <w:lang w:val="pl-PL"/>
        </w:rPr>
        <w:t> </w:t>
      </w:r>
      <w:r w:rsidRPr="007E4DA1">
        <w:rPr>
          <w:sz w:val="22"/>
          <w:szCs w:val="22"/>
          <w:lang w:val="pl-PL"/>
        </w:rPr>
        <w:t>tygodnie, dawkę 25 mg podawano następnie tylko co drugi dzień przez 2</w:t>
      </w:r>
      <w:r w:rsidR="006761C8" w:rsidRPr="007E4DA1">
        <w:rPr>
          <w:sz w:val="22"/>
          <w:szCs w:val="22"/>
          <w:lang w:val="pl-PL"/>
        </w:rPr>
        <w:t> </w:t>
      </w:r>
      <w:r w:rsidRPr="007E4DA1">
        <w:rPr>
          <w:sz w:val="22"/>
          <w:szCs w:val="22"/>
          <w:lang w:val="pl-PL"/>
        </w:rPr>
        <w:t xml:space="preserve">tygodnie aż do zakończenia leczenia. U pacjentów pochodzenia wschodnio-/południowo-wschodnioazjatyckiego dawkę zmniejszano </w:t>
      </w:r>
      <w:r w:rsidR="009B24EA" w:rsidRPr="007E4DA1">
        <w:rPr>
          <w:sz w:val="22"/>
          <w:szCs w:val="22"/>
          <w:lang w:val="pl-PL"/>
        </w:rPr>
        <w:t>wolniej</w:t>
      </w:r>
      <w:r w:rsidRPr="007E4DA1">
        <w:rPr>
          <w:sz w:val="22"/>
          <w:szCs w:val="22"/>
          <w:lang w:val="pl-PL"/>
        </w:rPr>
        <w:t>, o 12,5 mg co drugi tydzień. Jeśli wystąpił nawrót choroby (definiowany jako liczba płytek krwi &lt;30 000/</w:t>
      </w:r>
      <w:r w:rsidRPr="007E4DA1">
        <w:rPr>
          <w:sz w:val="22"/>
          <w:szCs w:val="22"/>
          <w:lang w:val="pl-PL"/>
        </w:rPr>
        <w:sym w:font="Symbol" w:char="F06D"/>
      </w:r>
      <w:r w:rsidRPr="007E4DA1">
        <w:rPr>
          <w:sz w:val="22"/>
          <w:szCs w:val="22"/>
          <w:lang w:val="pl-PL"/>
        </w:rPr>
        <w:t xml:space="preserve">l), pacjentom </w:t>
      </w:r>
      <w:r w:rsidR="00921052" w:rsidRPr="007E4DA1">
        <w:rPr>
          <w:sz w:val="22"/>
          <w:szCs w:val="22"/>
          <w:lang w:val="pl-PL"/>
        </w:rPr>
        <w:t>proponowano</w:t>
      </w:r>
      <w:r w:rsidRPr="007E4DA1">
        <w:rPr>
          <w:sz w:val="22"/>
          <w:szCs w:val="22"/>
          <w:lang w:val="pl-PL"/>
        </w:rPr>
        <w:t xml:space="preserve"> nową kurację eltrombopagiem z zastosowaniem odpowiedniej dawki początkowej.</w:t>
      </w:r>
    </w:p>
    <w:p w14:paraId="093B20AE" w14:textId="75B9B18A" w:rsidR="00171734" w:rsidRPr="007E4DA1" w:rsidRDefault="00171734" w:rsidP="001A6584">
      <w:pPr>
        <w:pStyle w:val="CommentText"/>
        <w:tabs>
          <w:tab w:val="clear" w:pos="567"/>
          <w:tab w:val="left" w:pos="142"/>
        </w:tabs>
        <w:spacing w:line="240" w:lineRule="auto"/>
        <w:rPr>
          <w:sz w:val="22"/>
          <w:szCs w:val="22"/>
          <w:lang w:val="pl-PL"/>
        </w:rPr>
      </w:pPr>
    </w:p>
    <w:p w14:paraId="6FDCF497" w14:textId="11DE86CD" w:rsidR="00171734" w:rsidRPr="007E4DA1" w:rsidRDefault="00171734" w:rsidP="001A6584">
      <w:pPr>
        <w:pStyle w:val="CommentText"/>
        <w:tabs>
          <w:tab w:val="clear" w:pos="567"/>
          <w:tab w:val="left" w:pos="142"/>
        </w:tabs>
        <w:spacing w:line="240" w:lineRule="auto"/>
        <w:rPr>
          <w:sz w:val="22"/>
          <w:szCs w:val="22"/>
          <w:lang w:val="pl-PL"/>
        </w:rPr>
      </w:pPr>
      <w:r w:rsidRPr="007E4DA1">
        <w:rPr>
          <w:sz w:val="22"/>
          <w:szCs w:val="22"/>
          <w:lang w:val="pl-PL"/>
        </w:rPr>
        <w:t>Osiemdziesięciu dziewięciu pacjentów (84,8%) uzyskało odpowiedź całkowitą (liczba płytek krwi ≥100 000/</w:t>
      </w:r>
      <w:r w:rsidRPr="007E4DA1">
        <w:rPr>
          <w:sz w:val="22"/>
          <w:szCs w:val="22"/>
          <w:lang w:val="pl-PL"/>
        </w:rPr>
        <w:sym w:font="Symbol" w:char="F06D"/>
      </w:r>
      <w:r w:rsidRPr="007E4DA1">
        <w:rPr>
          <w:sz w:val="22"/>
          <w:szCs w:val="22"/>
          <w:lang w:val="pl-PL"/>
        </w:rPr>
        <w:t>l) (</w:t>
      </w:r>
      <w:r w:rsidR="00E52F84">
        <w:rPr>
          <w:sz w:val="22"/>
          <w:szCs w:val="22"/>
          <w:lang w:val="pl-PL"/>
        </w:rPr>
        <w:t>e</w:t>
      </w:r>
      <w:r w:rsidRPr="007E4DA1">
        <w:rPr>
          <w:sz w:val="22"/>
          <w:szCs w:val="22"/>
          <w:lang w:val="pl-PL"/>
        </w:rPr>
        <w:t>tap</w:t>
      </w:r>
      <w:r w:rsidR="00153A08" w:rsidRPr="007E4DA1">
        <w:rPr>
          <w:sz w:val="22"/>
          <w:szCs w:val="22"/>
          <w:lang w:val="pl-PL"/>
        </w:rPr>
        <w:t> </w:t>
      </w:r>
      <w:r w:rsidRPr="007E4DA1">
        <w:rPr>
          <w:sz w:val="22"/>
          <w:szCs w:val="22"/>
          <w:lang w:val="pl-PL"/>
        </w:rPr>
        <w:t xml:space="preserve">1, </w:t>
      </w:r>
      <w:r w:rsidR="00E52F84">
        <w:rPr>
          <w:sz w:val="22"/>
          <w:szCs w:val="22"/>
          <w:lang w:val="pl-PL"/>
        </w:rPr>
        <w:t>t</w:t>
      </w:r>
      <w:r w:rsidRPr="007E4DA1">
        <w:rPr>
          <w:sz w:val="22"/>
          <w:szCs w:val="22"/>
          <w:lang w:val="pl-PL"/>
        </w:rPr>
        <w:t>abela</w:t>
      </w:r>
      <w:r w:rsidR="00153A08" w:rsidRPr="007E4DA1">
        <w:rPr>
          <w:sz w:val="22"/>
          <w:szCs w:val="22"/>
          <w:lang w:val="pl-PL"/>
        </w:rPr>
        <w:t> </w:t>
      </w:r>
      <w:r w:rsidR="00541154">
        <w:rPr>
          <w:sz w:val="22"/>
          <w:szCs w:val="22"/>
          <w:lang w:val="pl-PL"/>
        </w:rPr>
        <w:t>9</w:t>
      </w:r>
      <w:r w:rsidRPr="007E4DA1">
        <w:rPr>
          <w:sz w:val="22"/>
          <w:szCs w:val="22"/>
          <w:lang w:val="pl-PL"/>
        </w:rPr>
        <w:t>), a 65 pacjentów (61,9%) utrzymało odpowiedź całkowitą przez co najmniej 2 miesiące przy braku wyniku liczby płytek krwi poniżej 70 000/</w:t>
      </w:r>
      <w:r w:rsidRPr="007E4DA1">
        <w:rPr>
          <w:sz w:val="22"/>
          <w:szCs w:val="22"/>
          <w:lang w:val="pl-PL"/>
        </w:rPr>
        <w:sym w:font="Symbol" w:char="F06D"/>
      </w:r>
      <w:r w:rsidRPr="007E4DA1">
        <w:rPr>
          <w:sz w:val="22"/>
          <w:szCs w:val="22"/>
          <w:lang w:val="pl-PL"/>
        </w:rPr>
        <w:t>l (</w:t>
      </w:r>
      <w:r w:rsidR="00E52F84">
        <w:rPr>
          <w:sz w:val="22"/>
          <w:szCs w:val="22"/>
          <w:lang w:val="pl-PL"/>
        </w:rPr>
        <w:t>e</w:t>
      </w:r>
      <w:r w:rsidRPr="007E4DA1">
        <w:rPr>
          <w:sz w:val="22"/>
          <w:szCs w:val="22"/>
          <w:lang w:val="pl-PL"/>
        </w:rPr>
        <w:t>tap</w:t>
      </w:r>
      <w:r w:rsidR="00153A08" w:rsidRPr="007E4DA1">
        <w:rPr>
          <w:sz w:val="22"/>
          <w:szCs w:val="22"/>
          <w:lang w:val="pl-PL"/>
        </w:rPr>
        <w:t> </w:t>
      </w:r>
      <w:r w:rsidRPr="007E4DA1">
        <w:rPr>
          <w:sz w:val="22"/>
          <w:szCs w:val="22"/>
          <w:lang w:val="pl-PL"/>
        </w:rPr>
        <w:t xml:space="preserve">2, </w:t>
      </w:r>
      <w:r w:rsidR="00E52F84">
        <w:rPr>
          <w:sz w:val="22"/>
          <w:szCs w:val="22"/>
          <w:lang w:val="pl-PL"/>
        </w:rPr>
        <w:t>t</w:t>
      </w:r>
      <w:r w:rsidRPr="007E4DA1">
        <w:rPr>
          <w:sz w:val="22"/>
          <w:szCs w:val="22"/>
          <w:lang w:val="pl-PL"/>
        </w:rPr>
        <w:t>abela</w:t>
      </w:r>
      <w:r w:rsidR="00153A08" w:rsidRPr="007E4DA1">
        <w:rPr>
          <w:sz w:val="22"/>
          <w:szCs w:val="22"/>
          <w:lang w:val="pl-PL"/>
        </w:rPr>
        <w:t> </w:t>
      </w:r>
      <w:r w:rsidR="00541154">
        <w:rPr>
          <w:sz w:val="22"/>
          <w:szCs w:val="22"/>
          <w:lang w:val="pl-PL"/>
        </w:rPr>
        <w:t>9</w:t>
      </w:r>
      <w:r w:rsidRPr="007E4DA1">
        <w:rPr>
          <w:sz w:val="22"/>
          <w:szCs w:val="22"/>
          <w:lang w:val="pl-PL"/>
        </w:rPr>
        <w:t>). Czterdziestu czterech pacjentów (41,9%) było w stanie stopniowo zmniejszać dawkę eltrombopagu aż do całkowitego zakończenia leczenia utrzymując liczbę płytek krwi na poziomie ≥30 000/</w:t>
      </w:r>
      <w:r w:rsidRPr="007E4DA1">
        <w:rPr>
          <w:sz w:val="22"/>
          <w:szCs w:val="22"/>
          <w:lang w:val="pl-PL"/>
        </w:rPr>
        <w:sym w:font="Symbol" w:char="F06D"/>
      </w:r>
      <w:r w:rsidRPr="007E4DA1">
        <w:rPr>
          <w:sz w:val="22"/>
          <w:szCs w:val="22"/>
          <w:lang w:val="pl-PL"/>
        </w:rPr>
        <w:t>l przy braku zdarzeń krwawienia lub stosowania terapii ratunkowej (</w:t>
      </w:r>
      <w:r w:rsidR="00E52F84">
        <w:rPr>
          <w:sz w:val="22"/>
          <w:szCs w:val="22"/>
          <w:lang w:val="pl-PL"/>
        </w:rPr>
        <w:t>e</w:t>
      </w:r>
      <w:r w:rsidRPr="007E4DA1">
        <w:rPr>
          <w:sz w:val="22"/>
          <w:szCs w:val="22"/>
          <w:lang w:val="pl-PL"/>
        </w:rPr>
        <w:t>tap</w:t>
      </w:r>
      <w:r w:rsidR="00153A08" w:rsidRPr="007E4DA1">
        <w:rPr>
          <w:sz w:val="22"/>
          <w:szCs w:val="22"/>
          <w:lang w:val="pl-PL"/>
        </w:rPr>
        <w:t> </w:t>
      </w:r>
      <w:r w:rsidRPr="007E4DA1">
        <w:rPr>
          <w:sz w:val="22"/>
          <w:szCs w:val="22"/>
          <w:lang w:val="pl-PL"/>
        </w:rPr>
        <w:t xml:space="preserve">3, </w:t>
      </w:r>
      <w:r w:rsidR="00E52F84">
        <w:rPr>
          <w:sz w:val="22"/>
          <w:szCs w:val="22"/>
          <w:lang w:val="pl-PL"/>
        </w:rPr>
        <w:t>t</w:t>
      </w:r>
      <w:r w:rsidRPr="007E4DA1">
        <w:rPr>
          <w:sz w:val="22"/>
          <w:szCs w:val="22"/>
          <w:lang w:val="pl-PL"/>
        </w:rPr>
        <w:t>abela </w:t>
      </w:r>
      <w:r w:rsidR="00541154">
        <w:rPr>
          <w:sz w:val="22"/>
          <w:szCs w:val="22"/>
          <w:lang w:val="pl-PL"/>
        </w:rPr>
        <w:t>9</w:t>
      </w:r>
      <w:r w:rsidRPr="007E4DA1">
        <w:rPr>
          <w:sz w:val="22"/>
          <w:szCs w:val="22"/>
          <w:lang w:val="pl-PL"/>
        </w:rPr>
        <w:t>)</w:t>
      </w:r>
      <w:r w:rsidR="00377441" w:rsidRPr="007E4DA1">
        <w:rPr>
          <w:sz w:val="22"/>
          <w:szCs w:val="22"/>
          <w:lang w:val="pl-PL"/>
        </w:rPr>
        <w:t>.</w:t>
      </w:r>
    </w:p>
    <w:p w14:paraId="3A363115" w14:textId="77777777" w:rsidR="006B3479" w:rsidRPr="007E4DA1" w:rsidRDefault="006B3479" w:rsidP="001A6584">
      <w:pPr>
        <w:pStyle w:val="CommentText"/>
        <w:tabs>
          <w:tab w:val="clear" w:pos="567"/>
          <w:tab w:val="left" w:pos="142"/>
        </w:tabs>
        <w:spacing w:line="240" w:lineRule="auto"/>
        <w:rPr>
          <w:sz w:val="22"/>
          <w:szCs w:val="22"/>
          <w:lang w:val="pl-PL"/>
        </w:rPr>
      </w:pPr>
    </w:p>
    <w:p w14:paraId="389E7D7C" w14:textId="789CB0F1" w:rsidR="006B3479" w:rsidRPr="007E4DA1" w:rsidRDefault="006B3479" w:rsidP="001A6584">
      <w:pPr>
        <w:pStyle w:val="CommentText"/>
        <w:tabs>
          <w:tab w:val="clear" w:pos="567"/>
          <w:tab w:val="left" w:pos="142"/>
        </w:tabs>
        <w:spacing w:line="240" w:lineRule="auto"/>
        <w:rPr>
          <w:sz w:val="22"/>
          <w:szCs w:val="22"/>
          <w:lang w:val="pl-PL"/>
        </w:rPr>
      </w:pPr>
      <w:r w:rsidRPr="007E4DA1">
        <w:rPr>
          <w:sz w:val="22"/>
          <w:szCs w:val="22"/>
          <w:lang w:val="pl-PL"/>
        </w:rPr>
        <w:t>Badanie osiągnęło cel główny wykazując, że eltrombopag był w stanie wywołać odpowiedź utrzymując</w:t>
      </w:r>
      <w:r w:rsidR="00921052" w:rsidRPr="007E4DA1">
        <w:rPr>
          <w:sz w:val="22"/>
          <w:szCs w:val="22"/>
          <w:lang w:val="pl-PL"/>
        </w:rPr>
        <w:t>ą</w:t>
      </w:r>
      <w:r w:rsidRPr="007E4DA1">
        <w:rPr>
          <w:sz w:val="22"/>
          <w:szCs w:val="22"/>
          <w:lang w:val="pl-PL"/>
        </w:rPr>
        <w:t xml:space="preserve"> się w okresie bez leczenia, przy braku zdarzeń krwawienia lub stosowania terapii </w:t>
      </w:r>
      <w:r w:rsidR="009B24EA" w:rsidRPr="007E4DA1">
        <w:rPr>
          <w:sz w:val="22"/>
          <w:szCs w:val="22"/>
          <w:lang w:val="pl-PL"/>
        </w:rPr>
        <w:t>ratunkowej</w:t>
      </w:r>
      <w:r w:rsidRPr="007E4DA1">
        <w:rPr>
          <w:sz w:val="22"/>
          <w:szCs w:val="22"/>
          <w:lang w:val="pl-PL"/>
        </w:rPr>
        <w:t xml:space="preserve"> do 12</w:t>
      </w:r>
      <w:r w:rsidR="006761C8" w:rsidRPr="007E4DA1">
        <w:rPr>
          <w:sz w:val="22"/>
          <w:szCs w:val="22"/>
          <w:lang w:val="pl-PL"/>
        </w:rPr>
        <w:t> </w:t>
      </w:r>
      <w:r w:rsidRPr="007E4DA1">
        <w:rPr>
          <w:sz w:val="22"/>
          <w:szCs w:val="22"/>
          <w:lang w:val="pl-PL"/>
        </w:rPr>
        <w:t>miesięcy u 32 ze 105</w:t>
      </w:r>
      <w:r w:rsidR="006761C8" w:rsidRPr="007E4DA1">
        <w:rPr>
          <w:sz w:val="22"/>
          <w:szCs w:val="22"/>
          <w:lang w:val="pl-PL"/>
        </w:rPr>
        <w:t> </w:t>
      </w:r>
      <w:r w:rsidRPr="007E4DA1">
        <w:rPr>
          <w:sz w:val="22"/>
          <w:szCs w:val="22"/>
          <w:lang w:val="pl-PL"/>
        </w:rPr>
        <w:t xml:space="preserve">pacjentów włączonych do badania </w:t>
      </w:r>
      <w:r w:rsidR="00FF5C95" w:rsidRPr="007E4DA1">
        <w:rPr>
          <w:sz w:val="22"/>
          <w:szCs w:val="22"/>
          <w:lang w:val="pl-PL"/>
        </w:rPr>
        <w:t xml:space="preserve">(30,5%; p&lt;0,0001; </w:t>
      </w:r>
      <w:r w:rsidR="00921052" w:rsidRPr="007E4DA1">
        <w:rPr>
          <w:sz w:val="22"/>
          <w:szCs w:val="22"/>
          <w:lang w:val="pl-PL"/>
        </w:rPr>
        <w:t xml:space="preserve">95% </w:t>
      </w:r>
      <w:r w:rsidR="00FF5C95" w:rsidRPr="007E4DA1">
        <w:rPr>
          <w:sz w:val="22"/>
          <w:szCs w:val="22"/>
          <w:lang w:val="pl-PL"/>
        </w:rPr>
        <w:t>CI: 21,9; 40,2)</w:t>
      </w:r>
      <w:r w:rsidR="00171734" w:rsidRPr="007E4DA1">
        <w:rPr>
          <w:sz w:val="22"/>
          <w:szCs w:val="22"/>
          <w:lang w:val="pl-PL"/>
        </w:rPr>
        <w:t xml:space="preserve"> (</w:t>
      </w:r>
      <w:r w:rsidR="00E52F84">
        <w:rPr>
          <w:sz w:val="22"/>
          <w:szCs w:val="22"/>
          <w:lang w:val="pl-PL"/>
        </w:rPr>
        <w:t>e</w:t>
      </w:r>
      <w:r w:rsidR="00171734" w:rsidRPr="007E4DA1">
        <w:rPr>
          <w:sz w:val="22"/>
          <w:szCs w:val="22"/>
          <w:lang w:val="pl-PL"/>
        </w:rPr>
        <w:t>tap</w:t>
      </w:r>
      <w:r w:rsidR="00153A08" w:rsidRPr="007E4DA1">
        <w:rPr>
          <w:sz w:val="22"/>
          <w:szCs w:val="22"/>
          <w:lang w:val="pl-PL"/>
        </w:rPr>
        <w:t> </w:t>
      </w:r>
      <w:r w:rsidR="00171734" w:rsidRPr="007E4DA1">
        <w:rPr>
          <w:sz w:val="22"/>
          <w:szCs w:val="22"/>
          <w:lang w:val="pl-PL"/>
        </w:rPr>
        <w:t xml:space="preserve">4, </w:t>
      </w:r>
      <w:r w:rsidR="00E52F84">
        <w:rPr>
          <w:sz w:val="22"/>
          <w:szCs w:val="22"/>
          <w:lang w:val="pl-PL"/>
        </w:rPr>
        <w:t>t</w:t>
      </w:r>
      <w:r w:rsidR="00171734" w:rsidRPr="007E4DA1">
        <w:rPr>
          <w:sz w:val="22"/>
          <w:szCs w:val="22"/>
          <w:lang w:val="pl-PL"/>
        </w:rPr>
        <w:t>abela</w:t>
      </w:r>
      <w:r w:rsidR="00153A08" w:rsidRPr="007E4DA1">
        <w:rPr>
          <w:sz w:val="22"/>
          <w:szCs w:val="22"/>
          <w:lang w:val="pl-PL"/>
        </w:rPr>
        <w:t> </w:t>
      </w:r>
      <w:r w:rsidR="00541154">
        <w:rPr>
          <w:sz w:val="22"/>
          <w:szCs w:val="22"/>
          <w:lang w:val="pl-PL"/>
        </w:rPr>
        <w:t>9</w:t>
      </w:r>
      <w:r w:rsidR="00171734" w:rsidRPr="007E4DA1">
        <w:rPr>
          <w:sz w:val="22"/>
          <w:szCs w:val="22"/>
          <w:lang w:val="pl-PL"/>
        </w:rPr>
        <w:t>)</w:t>
      </w:r>
      <w:r w:rsidR="00FF5C95" w:rsidRPr="007E4DA1">
        <w:rPr>
          <w:sz w:val="22"/>
          <w:szCs w:val="22"/>
          <w:lang w:val="pl-PL"/>
        </w:rPr>
        <w:t>. Po 24</w:t>
      </w:r>
      <w:r w:rsidR="006761C8" w:rsidRPr="007E4DA1">
        <w:rPr>
          <w:sz w:val="22"/>
          <w:szCs w:val="22"/>
          <w:lang w:val="pl-PL"/>
        </w:rPr>
        <w:t> </w:t>
      </w:r>
      <w:r w:rsidR="00FF5C95" w:rsidRPr="007E4DA1">
        <w:rPr>
          <w:sz w:val="22"/>
          <w:szCs w:val="22"/>
          <w:lang w:val="pl-PL"/>
        </w:rPr>
        <w:t>miesiącach u 20 ze 105</w:t>
      </w:r>
      <w:r w:rsidR="006761C8" w:rsidRPr="007E4DA1">
        <w:rPr>
          <w:sz w:val="22"/>
          <w:szCs w:val="22"/>
          <w:lang w:val="pl-PL"/>
        </w:rPr>
        <w:t> </w:t>
      </w:r>
      <w:r w:rsidR="00FF5C95" w:rsidRPr="007E4DA1">
        <w:rPr>
          <w:sz w:val="22"/>
          <w:szCs w:val="22"/>
          <w:lang w:val="pl-PL"/>
        </w:rPr>
        <w:t xml:space="preserve">pacjentów włączonych do badania </w:t>
      </w:r>
      <w:r w:rsidRPr="007E4DA1">
        <w:rPr>
          <w:sz w:val="22"/>
          <w:szCs w:val="22"/>
          <w:lang w:val="pl-PL"/>
        </w:rPr>
        <w:t>(19,0%; 95% CI: 12,0; 27,9)</w:t>
      </w:r>
      <w:r w:rsidR="00FF5C95" w:rsidRPr="007E4DA1">
        <w:rPr>
          <w:sz w:val="22"/>
          <w:szCs w:val="22"/>
          <w:lang w:val="pl-PL"/>
        </w:rPr>
        <w:t xml:space="preserve"> odpowiedź na leczenie utrzymywała się w okresie bez leczenia przy braku zdarzeń krwawienia lub stosowania terapii </w:t>
      </w:r>
      <w:r w:rsidR="009B24EA" w:rsidRPr="007E4DA1">
        <w:rPr>
          <w:sz w:val="22"/>
          <w:szCs w:val="22"/>
          <w:lang w:val="pl-PL"/>
        </w:rPr>
        <w:t>ratunkowej</w:t>
      </w:r>
      <w:r w:rsidR="00171734" w:rsidRPr="007E4DA1">
        <w:rPr>
          <w:sz w:val="22"/>
          <w:szCs w:val="22"/>
          <w:lang w:val="pl-PL"/>
        </w:rPr>
        <w:t xml:space="preserve"> (</w:t>
      </w:r>
      <w:r w:rsidR="00E52F84">
        <w:rPr>
          <w:sz w:val="22"/>
          <w:szCs w:val="22"/>
          <w:lang w:val="pl-PL"/>
        </w:rPr>
        <w:t>e</w:t>
      </w:r>
      <w:r w:rsidR="00171734" w:rsidRPr="007E4DA1">
        <w:rPr>
          <w:sz w:val="22"/>
          <w:szCs w:val="22"/>
          <w:lang w:val="pl-PL"/>
        </w:rPr>
        <w:t>tap</w:t>
      </w:r>
      <w:r w:rsidR="00153A08" w:rsidRPr="007E4DA1">
        <w:rPr>
          <w:sz w:val="22"/>
          <w:szCs w:val="22"/>
          <w:lang w:val="pl-PL"/>
        </w:rPr>
        <w:t> </w:t>
      </w:r>
      <w:r w:rsidR="00171734" w:rsidRPr="007E4DA1">
        <w:rPr>
          <w:sz w:val="22"/>
          <w:szCs w:val="22"/>
          <w:lang w:val="pl-PL"/>
        </w:rPr>
        <w:t xml:space="preserve">5, </w:t>
      </w:r>
      <w:r w:rsidR="00E52F84">
        <w:rPr>
          <w:sz w:val="22"/>
          <w:szCs w:val="22"/>
          <w:lang w:val="pl-PL"/>
        </w:rPr>
        <w:t>t</w:t>
      </w:r>
      <w:r w:rsidR="00171734" w:rsidRPr="007E4DA1">
        <w:rPr>
          <w:sz w:val="22"/>
          <w:szCs w:val="22"/>
          <w:lang w:val="pl-PL"/>
        </w:rPr>
        <w:t>abela</w:t>
      </w:r>
      <w:r w:rsidR="00153A08" w:rsidRPr="007E4DA1">
        <w:rPr>
          <w:sz w:val="22"/>
          <w:szCs w:val="22"/>
          <w:lang w:val="pl-PL"/>
        </w:rPr>
        <w:t> </w:t>
      </w:r>
      <w:r w:rsidR="00541154">
        <w:rPr>
          <w:sz w:val="22"/>
          <w:szCs w:val="22"/>
          <w:lang w:val="pl-PL"/>
        </w:rPr>
        <w:t>9</w:t>
      </w:r>
      <w:r w:rsidR="00171734" w:rsidRPr="007E4DA1">
        <w:rPr>
          <w:sz w:val="22"/>
          <w:szCs w:val="22"/>
          <w:lang w:val="pl-PL"/>
        </w:rPr>
        <w:t>)</w:t>
      </w:r>
      <w:r w:rsidR="00FF5C95" w:rsidRPr="007E4DA1">
        <w:rPr>
          <w:sz w:val="22"/>
          <w:szCs w:val="22"/>
          <w:lang w:val="pl-PL"/>
        </w:rPr>
        <w:t>.</w:t>
      </w:r>
    </w:p>
    <w:p w14:paraId="281987F7" w14:textId="77777777" w:rsidR="00FF5C95" w:rsidRPr="007E4DA1" w:rsidRDefault="00FF5C95" w:rsidP="001A6584">
      <w:pPr>
        <w:pStyle w:val="CommentText"/>
        <w:tabs>
          <w:tab w:val="clear" w:pos="567"/>
          <w:tab w:val="left" w:pos="142"/>
        </w:tabs>
        <w:spacing w:line="240" w:lineRule="auto"/>
        <w:rPr>
          <w:sz w:val="22"/>
          <w:szCs w:val="22"/>
          <w:lang w:val="pl-PL"/>
        </w:rPr>
      </w:pPr>
    </w:p>
    <w:p w14:paraId="3F9985B3" w14:textId="04CE6A96" w:rsidR="00FF5C95" w:rsidRPr="007E4DA1" w:rsidRDefault="00FF5C95" w:rsidP="001A6584">
      <w:pPr>
        <w:pStyle w:val="CommentText"/>
        <w:tabs>
          <w:tab w:val="clear" w:pos="567"/>
          <w:tab w:val="left" w:pos="142"/>
        </w:tabs>
        <w:spacing w:line="240" w:lineRule="auto"/>
        <w:rPr>
          <w:sz w:val="22"/>
          <w:szCs w:val="22"/>
          <w:lang w:val="pl-PL"/>
        </w:rPr>
      </w:pPr>
      <w:r w:rsidRPr="007E4DA1">
        <w:rPr>
          <w:sz w:val="22"/>
          <w:szCs w:val="22"/>
          <w:lang w:val="pl-PL"/>
        </w:rPr>
        <w:t>Mediana czasu trwania odpowiedzi utrzymującej się po zakończeniu leczenia do miesiąca</w:t>
      </w:r>
      <w:r w:rsidR="006761C8" w:rsidRPr="007E4DA1">
        <w:rPr>
          <w:sz w:val="22"/>
          <w:szCs w:val="22"/>
          <w:lang w:val="pl-PL"/>
        </w:rPr>
        <w:t> </w:t>
      </w:r>
      <w:r w:rsidRPr="007E4DA1">
        <w:rPr>
          <w:sz w:val="22"/>
          <w:szCs w:val="22"/>
          <w:lang w:val="pl-PL"/>
        </w:rPr>
        <w:t>12. wyniosła 33,3</w:t>
      </w:r>
      <w:r w:rsidR="006761C8" w:rsidRPr="007E4DA1">
        <w:rPr>
          <w:sz w:val="22"/>
          <w:szCs w:val="22"/>
          <w:lang w:val="pl-PL"/>
        </w:rPr>
        <w:t> </w:t>
      </w:r>
      <w:r w:rsidRPr="007E4DA1">
        <w:rPr>
          <w:sz w:val="22"/>
          <w:szCs w:val="22"/>
          <w:lang w:val="pl-PL"/>
        </w:rPr>
        <w:t>tygodnia (min.-maks: 4-51), a mediana czasu trwania odpowiedzi utrzymującej się po zakończeniu leczenia do miesiąca</w:t>
      </w:r>
      <w:r w:rsidR="006761C8" w:rsidRPr="007E4DA1">
        <w:rPr>
          <w:sz w:val="22"/>
          <w:szCs w:val="22"/>
          <w:lang w:val="pl-PL"/>
        </w:rPr>
        <w:t> </w:t>
      </w:r>
      <w:r w:rsidRPr="007E4DA1">
        <w:rPr>
          <w:sz w:val="22"/>
          <w:szCs w:val="22"/>
          <w:lang w:val="pl-PL"/>
        </w:rPr>
        <w:t>24. wyniosła 88,6</w:t>
      </w:r>
      <w:r w:rsidR="006761C8" w:rsidRPr="007E4DA1">
        <w:rPr>
          <w:sz w:val="22"/>
          <w:szCs w:val="22"/>
          <w:lang w:val="pl-PL"/>
        </w:rPr>
        <w:t> </w:t>
      </w:r>
      <w:r w:rsidRPr="007E4DA1">
        <w:rPr>
          <w:sz w:val="22"/>
          <w:szCs w:val="22"/>
          <w:lang w:val="pl-PL"/>
        </w:rPr>
        <w:t>tygodnia (min.-maks.: 57-107).</w:t>
      </w:r>
    </w:p>
    <w:p w14:paraId="600CF10A" w14:textId="77777777" w:rsidR="00FF5C95" w:rsidRPr="007E4DA1" w:rsidRDefault="00FF5C95" w:rsidP="001A6584">
      <w:pPr>
        <w:pStyle w:val="CommentText"/>
        <w:tabs>
          <w:tab w:val="clear" w:pos="567"/>
          <w:tab w:val="left" w:pos="142"/>
        </w:tabs>
        <w:spacing w:line="240" w:lineRule="auto"/>
        <w:rPr>
          <w:sz w:val="22"/>
          <w:szCs w:val="22"/>
          <w:lang w:val="pl-PL"/>
        </w:rPr>
      </w:pPr>
    </w:p>
    <w:p w14:paraId="2DC3CAE1" w14:textId="0A825EA4" w:rsidR="00FF5C95" w:rsidRPr="007E4DA1" w:rsidRDefault="00FF5C95" w:rsidP="001A6584">
      <w:pPr>
        <w:pStyle w:val="CommentText"/>
        <w:tabs>
          <w:tab w:val="clear" w:pos="567"/>
          <w:tab w:val="left" w:pos="142"/>
        </w:tabs>
        <w:spacing w:line="240" w:lineRule="auto"/>
        <w:rPr>
          <w:sz w:val="22"/>
          <w:szCs w:val="22"/>
          <w:lang w:val="pl-PL"/>
        </w:rPr>
      </w:pPr>
      <w:r w:rsidRPr="007E4DA1">
        <w:rPr>
          <w:sz w:val="22"/>
          <w:szCs w:val="22"/>
          <w:lang w:val="pl-PL"/>
        </w:rPr>
        <w:t>Po stopniowym zmniejszeniu dawki i zakończeniu leczenia eltrombopagiem u 12</w:t>
      </w:r>
      <w:r w:rsidR="006761C8" w:rsidRPr="007E4DA1">
        <w:rPr>
          <w:sz w:val="22"/>
          <w:szCs w:val="22"/>
          <w:lang w:val="pl-PL"/>
        </w:rPr>
        <w:t> </w:t>
      </w:r>
      <w:r w:rsidRPr="007E4DA1">
        <w:rPr>
          <w:sz w:val="22"/>
          <w:szCs w:val="22"/>
          <w:lang w:val="pl-PL"/>
        </w:rPr>
        <w:t>pacjentów doszło do utraty odpowiedzi na leczeni</w:t>
      </w:r>
      <w:r w:rsidR="009B24EA" w:rsidRPr="007E4DA1">
        <w:rPr>
          <w:sz w:val="22"/>
          <w:szCs w:val="22"/>
          <w:lang w:val="pl-PL"/>
        </w:rPr>
        <w:t>e</w:t>
      </w:r>
      <w:r w:rsidRPr="007E4DA1">
        <w:rPr>
          <w:sz w:val="22"/>
          <w:szCs w:val="22"/>
          <w:lang w:val="pl-PL"/>
        </w:rPr>
        <w:t>, 8 z nich wznowiło leczenie eltrombopagiem, a u 7 wystąpiła odpowied</w:t>
      </w:r>
      <w:r w:rsidR="009B24EA" w:rsidRPr="007E4DA1">
        <w:rPr>
          <w:sz w:val="22"/>
          <w:szCs w:val="22"/>
          <w:lang w:val="pl-PL"/>
        </w:rPr>
        <w:t>ź</w:t>
      </w:r>
      <w:r w:rsidRPr="007E4DA1">
        <w:rPr>
          <w:sz w:val="22"/>
          <w:szCs w:val="22"/>
          <w:lang w:val="pl-PL"/>
        </w:rPr>
        <w:t xml:space="preserve"> w postaci regeneracji.</w:t>
      </w:r>
    </w:p>
    <w:p w14:paraId="2BBF7427" w14:textId="77777777" w:rsidR="00FF5C95" w:rsidRPr="007E4DA1" w:rsidRDefault="00FF5C95" w:rsidP="001A6584">
      <w:pPr>
        <w:pStyle w:val="CommentText"/>
        <w:tabs>
          <w:tab w:val="clear" w:pos="567"/>
          <w:tab w:val="left" w:pos="142"/>
        </w:tabs>
        <w:spacing w:line="240" w:lineRule="auto"/>
        <w:rPr>
          <w:sz w:val="22"/>
          <w:szCs w:val="22"/>
          <w:lang w:val="pl-PL"/>
        </w:rPr>
      </w:pPr>
    </w:p>
    <w:p w14:paraId="69543C44" w14:textId="0309B4D7" w:rsidR="00FF5C95" w:rsidRPr="007E4DA1" w:rsidRDefault="00FF5C95" w:rsidP="001A6584">
      <w:pPr>
        <w:pStyle w:val="CommentText"/>
        <w:tabs>
          <w:tab w:val="clear" w:pos="567"/>
          <w:tab w:val="left" w:pos="142"/>
        </w:tabs>
        <w:spacing w:line="240" w:lineRule="auto"/>
        <w:rPr>
          <w:sz w:val="22"/>
          <w:szCs w:val="22"/>
          <w:lang w:val="pl-PL"/>
        </w:rPr>
      </w:pPr>
      <w:r w:rsidRPr="007E4DA1">
        <w:rPr>
          <w:sz w:val="22"/>
          <w:szCs w:val="22"/>
          <w:lang w:val="pl-PL"/>
        </w:rPr>
        <w:t>Podczas 2-letniego okresu obserwacji, u 6 ze 105</w:t>
      </w:r>
      <w:r w:rsidR="006761C8" w:rsidRPr="007E4DA1">
        <w:rPr>
          <w:sz w:val="22"/>
          <w:szCs w:val="22"/>
          <w:lang w:val="pl-PL"/>
        </w:rPr>
        <w:t> </w:t>
      </w:r>
      <w:r w:rsidRPr="007E4DA1">
        <w:rPr>
          <w:sz w:val="22"/>
          <w:szCs w:val="22"/>
          <w:lang w:val="pl-PL"/>
        </w:rPr>
        <w:t xml:space="preserve">pacjentów (5,7%) wystąpiły zdarzenia zakrzepowo-zatorowe, przy czym u 3 pacjentów (2,9%) wystąpiła zakrzepica żył głębokich, u 1 pacjenta (1,0%) – zakrzepica żył powierzchownych, u 1 pacjenta (1,0%) wystąpiła zakrzepica zatoki jamistej, u </w:t>
      </w:r>
      <w:r w:rsidRPr="007E4DA1">
        <w:rPr>
          <w:sz w:val="22"/>
          <w:szCs w:val="22"/>
          <w:lang w:val="pl-PL"/>
        </w:rPr>
        <w:lastRenderedPageBreak/>
        <w:t>1</w:t>
      </w:r>
      <w:r w:rsidR="00921052" w:rsidRPr="007E4DA1">
        <w:rPr>
          <w:sz w:val="22"/>
          <w:szCs w:val="22"/>
          <w:lang w:val="pl-PL"/>
        </w:rPr>
        <w:t> </w:t>
      </w:r>
      <w:r w:rsidRPr="007E4DA1">
        <w:rPr>
          <w:sz w:val="22"/>
          <w:szCs w:val="22"/>
          <w:lang w:val="pl-PL"/>
        </w:rPr>
        <w:t>pacjenta (1,0%) – incydent naczyniowo-mózgowy i u 1 pacjenta (1,0%) – zatorowość płucna. U 4 spośród 6</w:t>
      </w:r>
      <w:r w:rsidR="006761C8" w:rsidRPr="007E4DA1">
        <w:rPr>
          <w:sz w:val="22"/>
          <w:szCs w:val="22"/>
          <w:lang w:val="pl-PL"/>
        </w:rPr>
        <w:t> </w:t>
      </w:r>
      <w:r w:rsidRPr="007E4DA1">
        <w:rPr>
          <w:sz w:val="22"/>
          <w:szCs w:val="22"/>
          <w:lang w:val="pl-PL"/>
        </w:rPr>
        <w:t>pacjentów wystąpiły zdarzenia zakrzepowo-zatorowe, które zgłaszano w stopniu nasilenia 3. lub wyższym, a u 4 pacjentów wystąpił</w:t>
      </w:r>
      <w:r w:rsidR="002A6D45" w:rsidRPr="007E4DA1">
        <w:rPr>
          <w:sz w:val="22"/>
          <w:szCs w:val="22"/>
          <w:lang w:val="pl-PL"/>
        </w:rPr>
        <w:t>o</w:t>
      </w:r>
      <w:r w:rsidRPr="007E4DA1">
        <w:rPr>
          <w:sz w:val="22"/>
          <w:szCs w:val="22"/>
          <w:lang w:val="pl-PL"/>
        </w:rPr>
        <w:t xml:space="preserve"> zdarzeni</w:t>
      </w:r>
      <w:r w:rsidR="002A6D45" w:rsidRPr="007E4DA1">
        <w:rPr>
          <w:sz w:val="22"/>
          <w:szCs w:val="22"/>
          <w:lang w:val="pl-PL"/>
        </w:rPr>
        <w:t>e</w:t>
      </w:r>
      <w:r w:rsidRPr="007E4DA1">
        <w:rPr>
          <w:sz w:val="22"/>
          <w:szCs w:val="22"/>
          <w:lang w:val="pl-PL"/>
        </w:rPr>
        <w:t xml:space="preserve"> zakrzepowo-zatorowe, które zgłoszono jako ciężkie. Nie zgłoszono żadnych przypadków śmiertelnych.</w:t>
      </w:r>
    </w:p>
    <w:p w14:paraId="369BB218" w14:textId="77777777" w:rsidR="00FF5C95" w:rsidRPr="007E4DA1" w:rsidRDefault="00FF5C95" w:rsidP="001A6584">
      <w:pPr>
        <w:pStyle w:val="CommentText"/>
        <w:tabs>
          <w:tab w:val="clear" w:pos="567"/>
          <w:tab w:val="left" w:pos="142"/>
        </w:tabs>
        <w:spacing w:line="240" w:lineRule="auto"/>
        <w:rPr>
          <w:sz w:val="22"/>
          <w:szCs w:val="22"/>
          <w:lang w:val="pl-PL"/>
        </w:rPr>
      </w:pPr>
    </w:p>
    <w:p w14:paraId="1DF438DC" w14:textId="5F5C3F17" w:rsidR="00FF5C95" w:rsidRPr="007E4DA1" w:rsidRDefault="00FF5C95" w:rsidP="001A6584">
      <w:pPr>
        <w:pStyle w:val="CommentText"/>
        <w:tabs>
          <w:tab w:val="clear" w:pos="567"/>
          <w:tab w:val="left" w:pos="142"/>
        </w:tabs>
        <w:spacing w:line="240" w:lineRule="auto"/>
        <w:rPr>
          <w:sz w:val="22"/>
          <w:szCs w:val="22"/>
          <w:lang w:val="pl-PL"/>
        </w:rPr>
      </w:pPr>
      <w:r w:rsidRPr="007E4DA1">
        <w:rPr>
          <w:sz w:val="22"/>
          <w:szCs w:val="22"/>
          <w:lang w:val="pl-PL"/>
        </w:rPr>
        <w:t>U 20 ze 105</w:t>
      </w:r>
      <w:r w:rsidR="006761C8" w:rsidRPr="007E4DA1">
        <w:rPr>
          <w:sz w:val="22"/>
          <w:szCs w:val="22"/>
          <w:lang w:val="pl-PL"/>
        </w:rPr>
        <w:t> </w:t>
      </w:r>
      <w:r w:rsidRPr="007E4DA1">
        <w:rPr>
          <w:sz w:val="22"/>
          <w:szCs w:val="22"/>
          <w:lang w:val="pl-PL"/>
        </w:rPr>
        <w:t>pacjentów (19,0%) wystąpiły zdarzenia krwotoku o nasileniu łagodnym do ciężkiego, które miały mie</w:t>
      </w:r>
      <w:r w:rsidR="002A6D45" w:rsidRPr="007E4DA1">
        <w:rPr>
          <w:sz w:val="22"/>
          <w:szCs w:val="22"/>
          <w:lang w:val="pl-PL"/>
        </w:rPr>
        <w:t>j</w:t>
      </w:r>
      <w:r w:rsidRPr="007E4DA1">
        <w:rPr>
          <w:sz w:val="22"/>
          <w:szCs w:val="22"/>
          <w:lang w:val="pl-PL"/>
        </w:rPr>
        <w:t>sce podczas leczenia przed rozpoczęciem stopniowego zmniejszania dawki. Podczas zmniejszania dawki u 5 z 65</w:t>
      </w:r>
      <w:r w:rsidR="006761C8" w:rsidRPr="007E4DA1">
        <w:rPr>
          <w:sz w:val="22"/>
          <w:szCs w:val="22"/>
          <w:lang w:val="pl-PL"/>
        </w:rPr>
        <w:t> </w:t>
      </w:r>
      <w:r w:rsidRPr="007E4DA1">
        <w:rPr>
          <w:sz w:val="22"/>
          <w:szCs w:val="22"/>
          <w:lang w:val="pl-PL"/>
        </w:rPr>
        <w:t>pacjentów (7,7%), którzy rozpoczęli zmniejszanie dawki wystąpiły zdarzenia krwotoku o nasileniu łagodnym do umiarkowanego.</w:t>
      </w:r>
      <w:r w:rsidR="002A6D45" w:rsidRPr="007E4DA1">
        <w:rPr>
          <w:sz w:val="22"/>
          <w:szCs w:val="22"/>
          <w:lang w:val="pl-PL"/>
        </w:rPr>
        <w:t xml:space="preserve"> Nie odnotowano żadnego ciężkiego zdarzenia krwotoku w okresie stopniowego zmniejszania dawki.</w:t>
      </w:r>
      <w:r w:rsidRPr="007E4DA1">
        <w:rPr>
          <w:sz w:val="22"/>
          <w:szCs w:val="22"/>
          <w:lang w:val="pl-PL"/>
        </w:rPr>
        <w:t xml:space="preserve"> U 2 z 44</w:t>
      </w:r>
      <w:r w:rsidR="006761C8" w:rsidRPr="007E4DA1">
        <w:rPr>
          <w:sz w:val="22"/>
          <w:szCs w:val="22"/>
          <w:lang w:val="pl-PL"/>
        </w:rPr>
        <w:t> </w:t>
      </w:r>
      <w:r w:rsidRPr="007E4DA1">
        <w:rPr>
          <w:sz w:val="22"/>
          <w:szCs w:val="22"/>
          <w:lang w:val="pl-PL"/>
        </w:rPr>
        <w:t>pacjentów (4,5%), którzy stopniowo zmniejszyli dawkę, a następnie zakończyli leczenie eltrombopagiem wystąpiły zdarzenia krwotoku o nasileniu łagodnym do umiarkowanego w okresie od zakończenia leczenia do miesiąca</w:t>
      </w:r>
      <w:r w:rsidR="006761C8" w:rsidRPr="007E4DA1">
        <w:rPr>
          <w:sz w:val="22"/>
          <w:szCs w:val="22"/>
          <w:lang w:val="pl-PL"/>
        </w:rPr>
        <w:t> </w:t>
      </w:r>
      <w:r w:rsidRPr="007E4DA1">
        <w:rPr>
          <w:sz w:val="22"/>
          <w:szCs w:val="22"/>
          <w:lang w:val="pl-PL"/>
        </w:rPr>
        <w:t xml:space="preserve">12. W tym czasie nie doszło do ciężkich zdarzeń krwotoku. U żadnego z pacjentów, którzy zakończyli leczenie eltrombopagiem i rozpoczęli drugi rok obserwacji nie wystąpiło zdarzenie krwotoku w drugim roku. W 2-letnim okresie obserwacji zgłoszono dwa zdarzenia śmiertelnego krwotoku wewnątrzczaszkowego. Oba zdarzenia wystąpiły podczas stosowania leczenia, nie w kontekście zmniejszania dawki. Zdarzenia </w:t>
      </w:r>
      <w:r w:rsidR="002A6D45" w:rsidRPr="007E4DA1">
        <w:rPr>
          <w:sz w:val="22"/>
          <w:szCs w:val="22"/>
          <w:lang w:val="pl-PL"/>
        </w:rPr>
        <w:t xml:space="preserve">te </w:t>
      </w:r>
      <w:r w:rsidRPr="007E4DA1">
        <w:rPr>
          <w:sz w:val="22"/>
          <w:szCs w:val="22"/>
          <w:lang w:val="pl-PL"/>
        </w:rPr>
        <w:t xml:space="preserve">nie </w:t>
      </w:r>
      <w:r w:rsidR="002A6D45" w:rsidRPr="007E4DA1">
        <w:rPr>
          <w:sz w:val="22"/>
          <w:szCs w:val="22"/>
          <w:lang w:val="pl-PL"/>
        </w:rPr>
        <w:t>zostały uznane</w:t>
      </w:r>
      <w:r w:rsidRPr="007E4DA1">
        <w:rPr>
          <w:sz w:val="22"/>
          <w:szCs w:val="22"/>
          <w:lang w:val="pl-PL"/>
        </w:rPr>
        <w:t xml:space="preserve"> za mające związek z badanym leczeniem.</w:t>
      </w:r>
    </w:p>
    <w:p w14:paraId="60F65FB2" w14:textId="77777777" w:rsidR="00FF5C95" w:rsidRPr="007E4DA1" w:rsidRDefault="00FF5C95" w:rsidP="001A6584">
      <w:pPr>
        <w:pStyle w:val="CommentText"/>
        <w:tabs>
          <w:tab w:val="clear" w:pos="567"/>
          <w:tab w:val="left" w:pos="142"/>
        </w:tabs>
        <w:spacing w:line="240" w:lineRule="auto"/>
        <w:rPr>
          <w:sz w:val="22"/>
          <w:szCs w:val="22"/>
          <w:lang w:val="pl-PL"/>
        </w:rPr>
      </w:pPr>
    </w:p>
    <w:p w14:paraId="10E51F28" w14:textId="3E5AC742" w:rsidR="00FF5C95" w:rsidRPr="007E4DA1" w:rsidRDefault="00FF5C95" w:rsidP="001A6584">
      <w:pPr>
        <w:pStyle w:val="CommentText"/>
        <w:tabs>
          <w:tab w:val="clear" w:pos="567"/>
          <w:tab w:val="left" w:pos="142"/>
        </w:tabs>
        <w:spacing w:line="240" w:lineRule="auto"/>
        <w:rPr>
          <w:sz w:val="22"/>
          <w:szCs w:val="22"/>
          <w:lang w:val="pl-PL"/>
        </w:rPr>
      </w:pPr>
      <w:r w:rsidRPr="007E4DA1">
        <w:rPr>
          <w:sz w:val="22"/>
          <w:szCs w:val="22"/>
          <w:lang w:val="pl-PL"/>
        </w:rPr>
        <w:t>Ogólna analiza bezpieczeństwa stosowania jest spójna z wcześniej zgł</w:t>
      </w:r>
      <w:r w:rsidR="002A6D45" w:rsidRPr="007E4DA1">
        <w:rPr>
          <w:sz w:val="22"/>
          <w:szCs w:val="22"/>
          <w:lang w:val="pl-PL"/>
        </w:rPr>
        <w:t>a</w:t>
      </w:r>
      <w:r w:rsidRPr="007E4DA1">
        <w:rPr>
          <w:sz w:val="22"/>
          <w:szCs w:val="22"/>
          <w:lang w:val="pl-PL"/>
        </w:rPr>
        <w:t>szanymi danymi, a ocena stosunku korzyści do ryzyka nie zmieniała się w odniesieniu do stosowania eltrombopagu u pacjentów z ITP.</w:t>
      </w:r>
    </w:p>
    <w:p w14:paraId="5DA11E23" w14:textId="77777777" w:rsidR="00FF5C95" w:rsidRPr="007E4DA1" w:rsidRDefault="00FF5C95" w:rsidP="001A6584">
      <w:pPr>
        <w:pStyle w:val="CommentText"/>
        <w:tabs>
          <w:tab w:val="clear" w:pos="567"/>
          <w:tab w:val="left" w:pos="142"/>
        </w:tabs>
        <w:spacing w:line="240" w:lineRule="auto"/>
        <w:rPr>
          <w:sz w:val="22"/>
          <w:szCs w:val="22"/>
          <w:lang w:val="pl-PL"/>
        </w:rPr>
      </w:pPr>
    </w:p>
    <w:p w14:paraId="2D1EE4CC" w14:textId="2E3CF780" w:rsidR="00FF5C95" w:rsidRPr="007E4DA1" w:rsidRDefault="00FF5C95" w:rsidP="001A6584">
      <w:pPr>
        <w:pStyle w:val="CommentText"/>
        <w:keepNext/>
        <w:tabs>
          <w:tab w:val="clear" w:pos="567"/>
          <w:tab w:val="left" w:pos="142"/>
        </w:tabs>
        <w:spacing w:line="240" w:lineRule="auto"/>
        <w:ind w:left="1134" w:hanging="1134"/>
        <w:rPr>
          <w:sz w:val="22"/>
          <w:szCs w:val="22"/>
          <w:lang w:val="pl-PL"/>
        </w:rPr>
      </w:pPr>
      <w:r w:rsidRPr="007E4DA1">
        <w:rPr>
          <w:b/>
          <w:bCs/>
          <w:sz w:val="22"/>
          <w:szCs w:val="22"/>
          <w:lang w:val="pl-PL"/>
        </w:rPr>
        <w:t xml:space="preserve">Tabela </w:t>
      </w:r>
      <w:r w:rsidR="00541154">
        <w:rPr>
          <w:b/>
          <w:bCs/>
          <w:sz w:val="22"/>
          <w:szCs w:val="22"/>
          <w:lang w:val="pl-PL"/>
        </w:rPr>
        <w:t>9</w:t>
      </w:r>
      <w:r w:rsidRPr="007E4DA1">
        <w:rPr>
          <w:b/>
          <w:bCs/>
          <w:sz w:val="22"/>
          <w:szCs w:val="22"/>
          <w:lang w:val="pl-PL"/>
        </w:rPr>
        <w:tab/>
        <w:t>Odsetek pacjentów z odpowiedzią na leczenie utrzymująca się w okresie bez leczenia w miesiącu</w:t>
      </w:r>
      <w:r w:rsidR="006761C8" w:rsidRPr="007E4DA1">
        <w:rPr>
          <w:b/>
          <w:bCs/>
          <w:sz w:val="22"/>
          <w:szCs w:val="22"/>
          <w:lang w:val="pl-PL"/>
        </w:rPr>
        <w:t> </w:t>
      </w:r>
      <w:r w:rsidRPr="007E4DA1">
        <w:rPr>
          <w:b/>
          <w:bCs/>
          <w:sz w:val="22"/>
          <w:szCs w:val="22"/>
          <w:lang w:val="pl-PL"/>
        </w:rPr>
        <w:t xml:space="preserve">12. </w:t>
      </w:r>
      <w:r w:rsidR="009B24EA" w:rsidRPr="007E4DA1">
        <w:rPr>
          <w:b/>
          <w:bCs/>
          <w:sz w:val="22"/>
          <w:szCs w:val="22"/>
          <w:lang w:val="pl-PL"/>
        </w:rPr>
        <w:t>i</w:t>
      </w:r>
      <w:r w:rsidRPr="007E4DA1">
        <w:rPr>
          <w:b/>
          <w:bCs/>
          <w:sz w:val="22"/>
          <w:szCs w:val="22"/>
          <w:lang w:val="pl-PL"/>
        </w:rPr>
        <w:t xml:space="preserve"> w miesiącu</w:t>
      </w:r>
      <w:r w:rsidR="006761C8" w:rsidRPr="007E4DA1">
        <w:rPr>
          <w:b/>
          <w:bCs/>
          <w:sz w:val="22"/>
          <w:szCs w:val="22"/>
          <w:lang w:val="pl-PL"/>
        </w:rPr>
        <w:t> </w:t>
      </w:r>
      <w:r w:rsidRPr="007E4DA1">
        <w:rPr>
          <w:b/>
          <w:bCs/>
          <w:sz w:val="22"/>
          <w:szCs w:val="22"/>
          <w:lang w:val="pl-PL"/>
        </w:rPr>
        <w:t>24</w:t>
      </w:r>
      <w:r w:rsidR="009B24EA" w:rsidRPr="007E4DA1">
        <w:rPr>
          <w:b/>
          <w:bCs/>
          <w:sz w:val="22"/>
          <w:szCs w:val="22"/>
          <w:lang w:val="pl-PL"/>
        </w:rPr>
        <w:t>.</w:t>
      </w:r>
      <w:r w:rsidRPr="007E4DA1">
        <w:rPr>
          <w:b/>
          <w:bCs/>
          <w:sz w:val="22"/>
          <w:szCs w:val="22"/>
          <w:lang w:val="pl-PL"/>
        </w:rPr>
        <w:t xml:space="preserve"> (pełna analizowana grupa</w:t>
      </w:r>
      <w:r w:rsidR="002A6D45" w:rsidRPr="007E4DA1">
        <w:rPr>
          <w:b/>
          <w:bCs/>
          <w:sz w:val="22"/>
          <w:szCs w:val="22"/>
          <w:lang w:val="pl-PL"/>
        </w:rPr>
        <w:t>)</w:t>
      </w:r>
      <w:r w:rsidRPr="007E4DA1">
        <w:rPr>
          <w:b/>
          <w:bCs/>
          <w:sz w:val="22"/>
          <w:szCs w:val="22"/>
          <w:lang w:val="pl-PL"/>
        </w:rPr>
        <w:t xml:space="preserve"> w badaniu TAPER</w:t>
      </w:r>
    </w:p>
    <w:p w14:paraId="741D8F7D" w14:textId="77777777" w:rsidR="00FF5C95" w:rsidRPr="007E4DA1" w:rsidRDefault="00FF5C95" w:rsidP="001A6584">
      <w:pPr>
        <w:pStyle w:val="CommentText"/>
        <w:keepNext/>
        <w:tabs>
          <w:tab w:val="clear" w:pos="567"/>
          <w:tab w:val="left" w:pos="142"/>
        </w:tabs>
        <w:spacing w:line="240" w:lineRule="auto"/>
        <w:rPr>
          <w:sz w:val="22"/>
          <w:szCs w:val="22"/>
          <w:lang w:val="pl-PL"/>
        </w:rPr>
      </w:pPr>
    </w:p>
    <w:tbl>
      <w:tblPr>
        <w:tblW w:w="9349" w:type="dxa"/>
        <w:jc w:val="center"/>
        <w:tblLayout w:type="fixed"/>
        <w:tblCellMar>
          <w:left w:w="0" w:type="dxa"/>
          <w:right w:w="0" w:type="dxa"/>
        </w:tblCellMar>
        <w:tblLook w:val="0000" w:firstRow="0" w:lastRow="0" w:firstColumn="0" w:lastColumn="0" w:noHBand="0" w:noVBand="0"/>
      </w:tblPr>
      <w:tblGrid>
        <w:gridCol w:w="5397"/>
        <w:gridCol w:w="979"/>
        <w:gridCol w:w="1083"/>
        <w:gridCol w:w="900"/>
        <w:gridCol w:w="981"/>
        <w:gridCol w:w="9"/>
      </w:tblGrid>
      <w:tr w:rsidR="00FF5C95" w:rsidRPr="007E4DA1" w14:paraId="3FC7D778" w14:textId="77777777" w:rsidTr="00EE3105">
        <w:trPr>
          <w:gridAfter w:val="1"/>
          <w:wAfter w:w="6" w:type="dxa"/>
          <w:cantSplit/>
          <w:jc w:val="center"/>
        </w:trPr>
        <w:tc>
          <w:tcPr>
            <w:tcW w:w="5400" w:type="dxa"/>
            <w:tcBorders>
              <w:top w:val="single" w:sz="4" w:space="0" w:color="000000"/>
              <w:left w:val="nil"/>
              <w:bottom w:val="nil"/>
              <w:right w:val="single" w:sz="4" w:space="0" w:color="auto"/>
            </w:tcBorders>
            <w:shd w:val="clear" w:color="auto" w:fill="FFFFFF"/>
            <w:tcMar>
              <w:left w:w="60" w:type="dxa"/>
              <w:right w:w="60" w:type="dxa"/>
            </w:tcMar>
          </w:tcPr>
          <w:p w14:paraId="423F30CE" w14:textId="77777777" w:rsidR="00FF5C95" w:rsidRPr="007E4DA1" w:rsidRDefault="00FF5C95" w:rsidP="00DF2BFE">
            <w:pPr>
              <w:keepNext/>
              <w:adjustRightInd w:val="0"/>
              <w:rPr>
                <w:b/>
                <w:bCs/>
                <w:color w:val="000000"/>
                <w:sz w:val="20"/>
              </w:rPr>
            </w:pPr>
          </w:p>
        </w:tc>
        <w:tc>
          <w:tcPr>
            <w:tcW w:w="2062"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0D40235C" w14:textId="1962948E" w:rsidR="00FF5C95" w:rsidRPr="007E4DA1" w:rsidRDefault="00FF5C95" w:rsidP="00DF2BFE">
            <w:pPr>
              <w:keepNext/>
              <w:adjustRightInd w:val="0"/>
              <w:ind w:left="0" w:firstLine="0"/>
              <w:jc w:val="center"/>
              <w:rPr>
                <w:b/>
                <w:bCs/>
                <w:color w:val="000000"/>
                <w:sz w:val="20"/>
              </w:rPr>
            </w:pPr>
            <w:r w:rsidRPr="007E4DA1">
              <w:rPr>
                <w:b/>
                <w:bCs/>
                <w:color w:val="000000"/>
                <w:sz w:val="20"/>
              </w:rPr>
              <w:t>Wszyscy pacjenci</w:t>
            </w:r>
            <w:r w:rsidRPr="007E4DA1">
              <w:rPr>
                <w:b/>
                <w:bCs/>
                <w:color w:val="000000"/>
                <w:sz w:val="20"/>
              </w:rPr>
              <w:br/>
              <w:t>N=105</w:t>
            </w:r>
          </w:p>
        </w:tc>
        <w:tc>
          <w:tcPr>
            <w:tcW w:w="1881" w:type="dxa"/>
            <w:gridSpan w:val="2"/>
            <w:tcBorders>
              <w:top w:val="single" w:sz="4" w:space="0" w:color="000000"/>
              <w:left w:val="single" w:sz="4" w:space="0" w:color="auto"/>
              <w:bottom w:val="nil"/>
              <w:right w:val="nil"/>
            </w:tcBorders>
            <w:shd w:val="clear" w:color="auto" w:fill="FFFFFF"/>
            <w:tcMar>
              <w:left w:w="60" w:type="dxa"/>
              <w:right w:w="60" w:type="dxa"/>
            </w:tcMar>
          </w:tcPr>
          <w:p w14:paraId="70992FB3" w14:textId="20F831B4" w:rsidR="00FF5C95" w:rsidRPr="007E4DA1" w:rsidRDefault="00FF5C95" w:rsidP="00DF2BFE">
            <w:pPr>
              <w:keepNext/>
              <w:adjustRightInd w:val="0"/>
              <w:jc w:val="center"/>
              <w:rPr>
                <w:b/>
                <w:bCs/>
                <w:color w:val="000000"/>
                <w:sz w:val="20"/>
              </w:rPr>
            </w:pPr>
            <w:r w:rsidRPr="007E4DA1">
              <w:rPr>
                <w:b/>
                <w:bCs/>
                <w:color w:val="000000"/>
                <w:sz w:val="20"/>
              </w:rPr>
              <w:t>Testowanie hipotez</w:t>
            </w:r>
          </w:p>
        </w:tc>
      </w:tr>
      <w:tr w:rsidR="00FF5C95" w:rsidRPr="007E4DA1" w14:paraId="527CBBDF" w14:textId="77777777" w:rsidTr="00EE3105">
        <w:trPr>
          <w:cantSplit/>
          <w:jc w:val="center"/>
        </w:trPr>
        <w:tc>
          <w:tcPr>
            <w:tcW w:w="5400" w:type="dxa"/>
            <w:tcBorders>
              <w:top w:val="nil"/>
              <w:left w:val="nil"/>
              <w:bottom w:val="single" w:sz="4" w:space="0" w:color="000000"/>
              <w:right w:val="single" w:sz="4" w:space="0" w:color="auto"/>
            </w:tcBorders>
            <w:shd w:val="clear" w:color="auto" w:fill="FFFFFF"/>
            <w:tcMar>
              <w:left w:w="60" w:type="dxa"/>
              <w:right w:w="60" w:type="dxa"/>
            </w:tcMar>
          </w:tcPr>
          <w:p w14:paraId="70A1F0BB" w14:textId="77777777" w:rsidR="00FF5C95" w:rsidRPr="007E4DA1" w:rsidRDefault="00FF5C95" w:rsidP="00DF2BFE">
            <w:pPr>
              <w:keepNext/>
              <w:adjustRightInd w:val="0"/>
              <w:rPr>
                <w:b/>
                <w:bCs/>
                <w:color w:val="000000"/>
                <w:sz w:val="20"/>
              </w:rPr>
            </w:pPr>
          </w:p>
        </w:tc>
        <w:tc>
          <w:tcPr>
            <w:tcW w:w="979"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0F9D237B" w14:textId="77777777" w:rsidR="00FF5C95" w:rsidRPr="007E4DA1" w:rsidRDefault="00FF5C95" w:rsidP="00DF2BFE">
            <w:pPr>
              <w:keepNext/>
              <w:adjustRightInd w:val="0"/>
              <w:jc w:val="center"/>
              <w:rPr>
                <w:b/>
                <w:bCs/>
                <w:color w:val="000000"/>
                <w:sz w:val="20"/>
              </w:rPr>
            </w:pPr>
            <w:r w:rsidRPr="007E4DA1">
              <w:rPr>
                <w:b/>
                <w:bCs/>
                <w:color w:val="000000"/>
                <w:sz w:val="20"/>
              </w:rPr>
              <w:t>n (%)</w:t>
            </w:r>
          </w:p>
        </w:tc>
        <w:tc>
          <w:tcPr>
            <w:tcW w:w="108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1A66EEBE" w14:textId="77777777" w:rsidR="00FF5C95" w:rsidRPr="007E4DA1" w:rsidRDefault="00FF5C95" w:rsidP="00DF2BFE">
            <w:pPr>
              <w:keepNext/>
              <w:adjustRightInd w:val="0"/>
              <w:jc w:val="center"/>
              <w:rPr>
                <w:b/>
                <w:bCs/>
                <w:color w:val="000000"/>
                <w:sz w:val="20"/>
              </w:rPr>
            </w:pPr>
            <w:r w:rsidRPr="007E4DA1">
              <w:rPr>
                <w:b/>
                <w:bCs/>
                <w:color w:val="000000"/>
                <w:sz w:val="20"/>
              </w:rPr>
              <w:t>95% CI</w:t>
            </w:r>
          </w:p>
        </w:tc>
        <w:tc>
          <w:tcPr>
            <w:tcW w:w="90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79E1A651" w14:textId="00024537" w:rsidR="00FF5C95" w:rsidRPr="007E4DA1" w:rsidRDefault="00FF5C95" w:rsidP="00DF2BFE">
            <w:pPr>
              <w:keepNext/>
              <w:adjustRightInd w:val="0"/>
              <w:ind w:left="0" w:firstLine="0"/>
              <w:jc w:val="center"/>
              <w:rPr>
                <w:b/>
                <w:bCs/>
                <w:color w:val="000000"/>
                <w:sz w:val="20"/>
              </w:rPr>
            </w:pPr>
            <w:r w:rsidRPr="007E4DA1">
              <w:rPr>
                <w:b/>
                <w:bCs/>
                <w:color w:val="000000"/>
                <w:sz w:val="20"/>
              </w:rPr>
              <w:t>Wartość p</w:t>
            </w:r>
          </w:p>
        </w:tc>
        <w:tc>
          <w:tcPr>
            <w:tcW w:w="990" w:type="dxa"/>
            <w:gridSpan w:val="2"/>
            <w:tcBorders>
              <w:top w:val="nil"/>
              <w:left w:val="single" w:sz="4" w:space="0" w:color="auto"/>
              <w:bottom w:val="single" w:sz="4" w:space="0" w:color="000000"/>
              <w:right w:val="nil"/>
            </w:tcBorders>
            <w:shd w:val="clear" w:color="auto" w:fill="FFFFFF"/>
            <w:tcMar>
              <w:left w:w="60" w:type="dxa"/>
              <w:right w:w="60" w:type="dxa"/>
            </w:tcMar>
          </w:tcPr>
          <w:p w14:paraId="60B67393" w14:textId="2C78753A" w:rsidR="00FF5C95" w:rsidRPr="007E4DA1" w:rsidRDefault="00FF5C95" w:rsidP="00DF2BFE">
            <w:pPr>
              <w:keepNext/>
              <w:adjustRightInd w:val="0"/>
              <w:ind w:left="0" w:firstLine="0"/>
              <w:jc w:val="center"/>
              <w:rPr>
                <w:b/>
                <w:bCs/>
                <w:color w:val="000000"/>
                <w:sz w:val="20"/>
              </w:rPr>
            </w:pPr>
            <w:r w:rsidRPr="007E4DA1">
              <w:rPr>
                <w:b/>
                <w:bCs/>
                <w:color w:val="000000"/>
                <w:sz w:val="20"/>
              </w:rPr>
              <w:t>Odrzucenie H0</w:t>
            </w:r>
          </w:p>
        </w:tc>
      </w:tr>
      <w:tr w:rsidR="00FF5C95" w:rsidRPr="007E4DA1" w14:paraId="4A247EC5" w14:textId="77777777" w:rsidTr="00EE3105">
        <w:trPr>
          <w:cantSplit/>
          <w:jc w:val="center"/>
        </w:trPr>
        <w:tc>
          <w:tcPr>
            <w:tcW w:w="5400"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16404251" w14:textId="02C0B95C" w:rsidR="00FF5C95" w:rsidRPr="007E4DA1" w:rsidRDefault="009B24EA" w:rsidP="00DF2BFE">
            <w:pPr>
              <w:keepNext/>
              <w:adjustRightInd w:val="0"/>
              <w:ind w:left="624" w:hanging="624"/>
              <w:rPr>
                <w:color w:val="000000"/>
                <w:sz w:val="20"/>
              </w:rPr>
            </w:pPr>
            <w:r w:rsidRPr="007E4DA1">
              <w:rPr>
                <w:color w:val="000000"/>
                <w:sz w:val="20"/>
              </w:rPr>
              <w:t>Etap</w:t>
            </w:r>
            <w:r w:rsidR="00FF5C95" w:rsidRPr="007E4DA1">
              <w:rPr>
                <w:color w:val="000000"/>
                <w:sz w:val="20"/>
              </w:rPr>
              <w:t> 1:</w:t>
            </w:r>
            <w:r w:rsidR="00FF5C95" w:rsidRPr="007E4DA1">
              <w:rPr>
                <w:color w:val="000000"/>
                <w:sz w:val="20"/>
              </w:rPr>
              <w:tab/>
              <w:t>Pacjenci, którzy osiągnęli liczbę płytek krwi ≥100 000/µl przynajmniej jeden raz</w:t>
            </w:r>
          </w:p>
        </w:tc>
        <w:tc>
          <w:tcPr>
            <w:tcW w:w="979"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3A3CCAE8" w14:textId="56DC0215" w:rsidR="00FF5C95" w:rsidRPr="007E4DA1" w:rsidRDefault="00FF5C95" w:rsidP="00DF2BFE">
            <w:pPr>
              <w:keepNext/>
              <w:adjustRightInd w:val="0"/>
              <w:jc w:val="center"/>
              <w:rPr>
                <w:color w:val="000000"/>
                <w:sz w:val="20"/>
              </w:rPr>
            </w:pPr>
            <w:r w:rsidRPr="007E4DA1">
              <w:rPr>
                <w:color w:val="000000"/>
                <w:sz w:val="20"/>
              </w:rPr>
              <w:t>89 (84,8)</w:t>
            </w:r>
          </w:p>
        </w:tc>
        <w:tc>
          <w:tcPr>
            <w:tcW w:w="108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494109F0" w14:textId="100B2B97" w:rsidR="00FF5C95" w:rsidRPr="007E4DA1" w:rsidRDefault="00FF5C95" w:rsidP="00DF2BFE">
            <w:pPr>
              <w:keepNext/>
              <w:adjustRightInd w:val="0"/>
              <w:jc w:val="center"/>
              <w:rPr>
                <w:color w:val="000000"/>
                <w:sz w:val="20"/>
              </w:rPr>
            </w:pPr>
            <w:r w:rsidRPr="007E4DA1">
              <w:rPr>
                <w:color w:val="000000"/>
                <w:sz w:val="20"/>
              </w:rPr>
              <w:t>(76</w:t>
            </w:r>
            <w:r w:rsidR="009B24EA" w:rsidRPr="007E4DA1">
              <w:rPr>
                <w:color w:val="000000"/>
                <w:sz w:val="20"/>
              </w:rPr>
              <w:t>,</w:t>
            </w:r>
            <w:r w:rsidRPr="007E4DA1">
              <w:rPr>
                <w:color w:val="000000"/>
                <w:sz w:val="20"/>
              </w:rPr>
              <w:t>4</w:t>
            </w:r>
            <w:r w:rsidR="009B24EA" w:rsidRPr="007E4DA1">
              <w:rPr>
                <w:color w:val="000000"/>
                <w:sz w:val="20"/>
              </w:rPr>
              <w:t>;</w:t>
            </w:r>
            <w:r w:rsidRPr="007E4DA1">
              <w:rPr>
                <w:color w:val="000000"/>
                <w:sz w:val="20"/>
              </w:rPr>
              <w:t xml:space="preserve"> 91</w:t>
            </w:r>
            <w:r w:rsidR="009B24EA" w:rsidRPr="007E4DA1">
              <w:rPr>
                <w:color w:val="000000"/>
                <w:sz w:val="20"/>
              </w:rPr>
              <w:t>,</w:t>
            </w:r>
            <w:r w:rsidRPr="007E4DA1">
              <w:rPr>
                <w:color w:val="000000"/>
                <w:sz w:val="20"/>
              </w:rPr>
              <w:t>0)</w:t>
            </w:r>
          </w:p>
        </w:tc>
        <w:tc>
          <w:tcPr>
            <w:tcW w:w="90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5F2705FE" w14:textId="77777777" w:rsidR="00FF5C95" w:rsidRPr="007E4DA1" w:rsidRDefault="00FF5C95" w:rsidP="00DF2BFE">
            <w:pPr>
              <w:keepNext/>
              <w:adjustRightInd w:val="0"/>
              <w:jc w:val="center"/>
              <w:rPr>
                <w:color w:val="000000"/>
                <w:sz w:val="20"/>
              </w:rPr>
            </w:pPr>
          </w:p>
        </w:tc>
        <w:tc>
          <w:tcPr>
            <w:tcW w:w="990" w:type="dxa"/>
            <w:gridSpan w:val="2"/>
            <w:tcBorders>
              <w:top w:val="single" w:sz="4" w:space="0" w:color="000000"/>
              <w:left w:val="single" w:sz="4" w:space="0" w:color="auto"/>
              <w:bottom w:val="single" w:sz="4" w:space="0" w:color="auto"/>
              <w:right w:val="nil"/>
            </w:tcBorders>
            <w:shd w:val="clear" w:color="auto" w:fill="FFFFFF"/>
            <w:tcMar>
              <w:left w:w="60" w:type="dxa"/>
              <w:right w:w="60" w:type="dxa"/>
            </w:tcMar>
          </w:tcPr>
          <w:p w14:paraId="771DB7E3" w14:textId="77777777" w:rsidR="00FF5C95" w:rsidRPr="007E4DA1" w:rsidRDefault="00FF5C95" w:rsidP="00DF2BFE">
            <w:pPr>
              <w:keepNext/>
              <w:adjustRightInd w:val="0"/>
              <w:jc w:val="center"/>
              <w:rPr>
                <w:color w:val="000000"/>
                <w:sz w:val="20"/>
              </w:rPr>
            </w:pPr>
          </w:p>
        </w:tc>
      </w:tr>
      <w:tr w:rsidR="00FF5C95" w:rsidRPr="007E4DA1" w14:paraId="2141BB4C" w14:textId="77777777" w:rsidTr="00EE3105">
        <w:trPr>
          <w:cantSplit/>
          <w:jc w:val="center"/>
        </w:trPr>
        <w:tc>
          <w:tcPr>
            <w:tcW w:w="540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7520166B" w14:textId="6C28D697" w:rsidR="00FF5C95" w:rsidRPr="007E4DA1" w:rsidRDefault="009B24EA" w:rsidP="00DF2BFE">
            <w:pPr>
              <w:keepNext/>
              <w:adjustRightInd w:val="0"/>
              <w:ind w:left="624" w:hanging="624"/>
              <w:rPr>
                <w:color w:val="000000"/>
                <w:sz w:val="20"/>
              </w:rPr>
            </w:pPr>
            <w:r w:rsidRPr="007E4DA1">
              <w:rPr>
                <w:color w:val="000000"/>
                <w:sz w:val="20"/>
              </w:rPr>
              <w:t>Etap</w:t>
            </w:r>
            <w:r w:rsidR="00FF5C95" w:rsidRPr="007E4DA1">
              <w:rPr>
                <w:color w:val="000000"/>
                <w:sz w:val="20"/>
              </w:rPr>
              <w:t> 2:</w:t>
            </w:r>
            <w:r w:rsidR="00FF5C95" w:rsidRPr="007E4DA1">
              <w:rPr>
                <w:color w:val="000000"/>
                <w:sz w:val="20"/>
              </w:rPr>
              <w:tab/>
            </w:r>
            <w:r w:rsidRPr="007E4DA1">
              <w:rPr>
                <w:color w:val="000000"/>
                <w:sz w:val="20"/>
              </w:rPr>
              <w:t>Pacjenci, którzy utrzymali stabilną liczbę płytek krwi przez</w:t>
            </w:r>
            <w:r w:rsidR="00FF5C95" w:rsidRPr="007E4DA1">
              <w:rPr>
                <w:color w:val="000000"/>
                <w:sz w:val="20"/>
              </w:rPr>
              <w:t xml:space="preserve"> 2 </w:t>
            </w:r>
            <w:r w:rsidRPr="007E4DA1">
              <w:rPr>
                <w:color w:val="000000"/>
                <w:sz w:val="20"/>
              </w:rPr>
              <w:t>miesiące po osiągnięciu wartości</w:t>
            </w:r>
            <w:r w:rsidR="00FF5C95" w:rsidRPr="007E4DA1">
              <w:rPr>
                <w:color w:val="000000"/>
                <w:sz w:val="20"/>
              </w:rPr>
              <w:t xml:space="preserve"> 100 000/µl (</w:t>
            </w:r>
            <w:r w:rsidRPr="007E4DA1">
              <w:rPr>
                <w:color w:val="000000"/>
                <w:sz w:val="20"/>
              </w:rPr>
              <w:t>brak wyników</w:t>
            </w:r>
            <w:r w:rsidR="00FF5C95" w:rsidRPr="007E4DA1">
              <w:rPr>
                <w:color w:val="000000"/>
                <w:sz w:val="20"/>
              </w:rPr>
              <w:t xml:space="preserve"> &lt;70 000/µl)</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B08F251" w14:textId="4A1C99FB" w:rsidR="00FF5C95" w:rsidRPr="007E4DA1" w:rsidRDefault="00FF5C95" w:rsidP="00DF2BFE">
            <w:pPr>
              <w:keepNext/>
              <w:adjustRightInd w:val="0"/>
              <w:jc w:val="center"/>
              <w:rPr>
                <w:color w:val="000000"/>
                <w:sz w:val="20"/>
              </w:rPr>
            </w:pPr>
            <w:r w:rsidRPr="007E4DA1">
              <w:rPr>
                <w:color w:val="000000"/>
                <w:sz w:val="20"/>
              </w:rPr>
              <w:t>65 (61</w:t>
            </w:r>
            <w:r w:rsidR="009B24EA" w:rsidRPr="007E4DA1">
              <w:rPr>
                <w:color w:val="000000"/>
                <w:sz w:val="20"/>
              </w:rPr>
              <w:t>,</w:t>
            </w:r>
            <w:r w:rsidRPr="007E4DA1">
              <w:rPr>
                <w:color w:val="000000"/>
                <w:sz w:val="20"/>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5144F98C" w14:textId="48903B04" w:rsidR="00FF5C95" w:rsidRPr="007E4DA1" w:rsidRDefault="00FF5C95" w:rsidP="00DF2BFE">
            <w:pPr>
              <w:keepNext/>
              <w:adjustRightInd w:val="0"/>
              <w:jc w:val="center"/>
              <w:rPr>
                <w:color w:val="000000"/>
                <w:sz w:val="20"/>
              </w:rPr>
            </w:pPr>
            <w:r w:rsidRPr="007E4DA1">
              <w:rPr>
                <w:color w:val="000000"/>
                <w:sz w:val="20"/>
              </w:rPr>
              <w:t>(51</w:t>
            </w:r>
            <w:r w:rsidR="009B24EA" w:rsidRPr="007E4DA1">
              <w:rPr>
                <w:color w:val="000000"/>
                <w:sz w:val="20"/>
              </w:rPr>
              <w:t>,</w:t>
            </w:r>
            <w:r w:rsidRPr="007E4DA1">
              <w:rPr>
                <w:color w:val="000000"/>
                <w:sz w:val="20"/>
              </w:rPr>
              <w:t>9</w:t>
            </w:r>
            <w:r w:rsidR="009B24EA" w:rsidRPr="007E4DA1">
              <w:rPr>
                <w:color w:val="000000"/>
                <w:sz w:val="20"/>
              </w:rPr>
              <w:t>;</w:t>
            </w:r>
            <w:r w:rsidRPr="007E4DA1">
              <w:rPr>
                <w:color w:val="000000"/>
                <w:sz w:val="20"/>
              </w:rPr>
              <w:t xml:space="preserve"> 71</w:t>
            </w:r>
            <w:r w:rsidR="009B24EA" w:rsidRPr="007E4DA1">
              <w:rPr>
                <w:color w:val="000000"/>
                <w:sz w:val="20"/>
              </w:rPr>
              <w:t>,</w:t>
            </w:r>
            <w:r w:rsidRPr="007E4DA1">
              <w:rPr>
                <w:color w:val="000000"/>
                <w:sz w:val="20"/>
              </w:rPr>
              <w:t>2)</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5E264DE5" w14:textId="77777777" w:rsidR="00FF5C95" w:rsidRPr="007E4DA1" w:rsidRDefault="00FF5C95" w:rsidP="00DF2BFE">
            <w:pPr>
              <w:keepNext/>
              <w:adjustRightInd w:val="0"/>
              <w:jc w:val="center"/>
              <w:rPr>
                <w:color w:val="000000"/>
                <w:sz w:val="20"/>
              </w:rPr>
            </w:pPr>
          </w:p>
        </w:tc>
        <w:tc>
          <w:tcPr>
            <w:tcW w:w="990"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7E872274" w14:textId="77777777" w:rsidR="00FF5C95" w:rsidRPr="007E4DA1" w:rsidRDefault="00FF5C95" w:rsidP="00DF2BFE">
            <w:pPr>
              <w:keepNext/>
              <w:adjustRightInd w:val="0"/>
              <w:jc w:val="center"/>
              <w:rPr>
                <w:color w:val="000000"/>
                <w:sz w:val="20"/>
              </w:rPr>
            </w:pPr>
          </w:p>
        </w:tc>
      </w:tr>
      <w:tr w:rsidR="00FF5C95" w:rsidRPr="007E4DA1" w14:paraId="5B476D53" w14:textId="77777777" w:rsidTr="00EE3105">
        <w:trPr>
          <w:cantSplit/>
          <w:jc w:val="center"/>
        </w:trPr>
        <w:tc>
          <w:tcPr>
            <w:tcW w:w="540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71BB0F86" w14:textId="43343DDE" w:rsidR="00FF5C95" w:rsidRPr="007E4DA1" w:rsidRDefault="009B24EA" w:rsidP="00DF2BFE">
            <w:pPr>
              <w:keepNext/>
              <w:adjustRightInd w:val="0"/>
              <w:ind w:left="624" w:hanging="624"/>
              <w:rPr>
                <w:color w:val="000000"/>
                <w:sz w:val="20"/>
                <w:lang w:val="x-none"/>
              </w:rPr>
            </w:pPr>
            <w:r w:rsidRPr="007E4DA1">
              <w:rPr>
                <w:color w:val="000000"/>
                <w:sz w:val="20"/>
              </w:rPr>
              <w:t>Etap</w:t>
            </w:r>
            <w:r w:rsidR="00FF5C95" w:rsidRPr="007E4DA1">
              <w:rPr>
                <w:color w:val="000000"/>
                <w:sz w:val="20"/>
              </w:rPr>
              <w:t> 3:</w:t>
            </w:r>
            <w:r w:rsidR="00FF5C95" w:rsidRPr="007E4DA1">
              <w:rPr>
                <w:color w:val="000000"/>
                <w:sz w:val="20"/>
              </w:rPr>
              <w:tab/>
            </w:r>
            <w:r w:rsidRPr="007E4DA1">
              <w:rPr>
                <w:color w:val="000000"/>
                <w:sz w:val="20"/>
              </w:rPr>
              <w:t>Pacjenci, u których można było stopniowo zmniejszyć dawkę</w:t>
            </w:r>
            <w:r w:rsidR="00FF5C95" w:rsidRPr="007E4DA1">
              <w:rPr>
                <w:color w:val="000000"/>
                <w:sz w:val="20"/>
              </w:rPr>
              <w:t xml:space="preserve"> eltrombopag</w:t>
            </w:r>
            <w:r w:rsidRPr="007E4DA1">
              <w:rPr>
                <w:color w:val="000000"/>
                <w:sz w:val="20"/>
              </w:rPr>
              <w:t>u aż do zakończenia leczenia</w:t>
            </w:r>
            <w:r w:rsidR="00FF5C95" w:rsidRPr="007E4DA1">
              <w:rPr>
                <w:color w:val="000000"/>
                <w:sz w:val="20"/>
              </w:rPr>
              <w:t xml:space="preserve">, </w:t>
            </w:r>
            <w:r w:rsidRPr="007E4DA1">
              <w:rPr>
                <w:color w:val="000000"/>
                <w:sz w:val="20"/>
              </w:rPr>
              <w:t>utrzymując liczbę płytek krwi</w:t>
            </w:r>
            <w:r w:rsidR="00FF5C95" w:rsidRPr="007E4DA1">
              <w:rPr>
                <w:color w:val="000000"/>
                <w:sz w:val="20"/>
              </w:rPr>
              <w:t xml:space="preserve"> ≥30</w:t>
            </w:r>
            <w:r w:rsidRPr="007E4DA1">
              <w:rPr>
                <w:color w:val="000000"/>
                <w:sz w:val="20"/>
              </w:rPr>
              <w:t> </w:t>
            </w:r>
            <w:r w:rsidR="00FF5C95" w:rsidRPr="007E4DA1">
              <w:rPr>
                <w:color w:val="000000"/>
                <w:sz w:val="20"/>
              </w:rPr>
              <w:t>000/µ</w:t>
            </w:r>
            <w:r w:rsidRPr="007E4DA1">
              <w:rPr>
                <w:color w:val="000000"/>
                <w:sz w:val="20"/>
              </w:rPr>
              <w:t>l</w:t>
            </w:r>
            <w:r w:rsidR="00FF5C95" w:rsidRPr="007E4DA1">
              <w:rPr>
                <w:color w:val="000000"/>
                <w:sz w:val="20"/>
              </w:rPr>
              <w:t xml:space="preserve"> </w:t>
            </w:r>
            <w:r w:rsidRPr="007E4DA1">
              <w:rPr>
                <w:color w:val="000000"/>
                <w:sz w:val="20"/>
              </w:rPr>
              <w:t>przy braku krwawienia lub zastosowania jakiejkolwiek terapii ratunkowej</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04F7B5F" w14:textId="3AFABAC9" w:rsidR="00FF5C95" w:rsidRPr="007E4DA1" w:rsidRDefault="00FF5C95" w:rsidP="00DF2BFE">
            <w:pPr>
              <w:keepNext/>
              <w:adjustRightInd w:val="0"/>
              <w:jc w:val="center"/>
              <w:rPr>
                <w:color w:val="000000"/>
                <w:sz w:val="20"/>
              </w:rPr>
            </w:pPr>
            <w:r w:rsidRPr="007E4DA1">
              <w:rPr>
                <w:color w:val="000000"/>
                <w:sz w:val="20"/>
              </w:rPr>
              <w:t>44 (41</w:t>
            </w:r>
            <w:r w:rsidR="009B24EA" w:rsidRPr="007E4DA1">
              <w:rPr>
                <w:color w:val="000000"/>
                <w:sz w:val="20"/>
              </w:rPr>
              <w:t>,</w:t>
            </w:r>
            <w:r w:rsidRPr="007E4DA1">
              <w:rPr>
                <w:color w:val="000000"/>
                <w:sz w:val="20"/>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743CB05E" w14:textId="71369E4A" w:rsidR="00FF5C95" w:rsidRPr="007E4DA1" w:rsidRDefault="00FF5C95" w:rsidP="00DF2BFE">
            <w:pPr>
              <w:keepNext/>
              <w:adjustRightInd w:val="0"/>
              <w:jc w:val="center"/>
              <w:rPr>
                <w:color w:val="000000"/>
                <w:sz w:val="20"/>
              </w:rPr>
            </w:pPr>
            <w:r w:rsidRPr="007E4DA1">
              <w:rPr>
                <w:color w:val="000000"/>
                <w:sz w:val="20"/>
              </w:rPr>
              <w:t>(32</w:t>
            </w:r>
            <w:r w:rsidR="009B24EA" w:rsidRPr="007E4DA1">
              <w:rPr>
                <w:color w:val="000000"/>
                <w:sz w:val="20"/>
              </w:rPr>
              <w:t>,</w:t>
            </w:r>
            <w:r w:rsidRPr="007E4DA1">
              <w:rPr>
                <w:color w:val="000000"/>
                <w:sz w:val="20"/>
              </w:rPr>
              <w:t>3</w:t>
            </w:r>
            <w:r w:rsidR="009B24EA" w:rsidRPr="007E4DA1">
              <w:rPr>
                <w:color w:val="000000"/>
                <w:sz w:val="20"/>
              </w:rPr>
              <w:t>;</w:t>
            </w:r>
            <w:r w:rsidRPr="007E4DA1">
              <w:rPr>
                <w:color w:val="000000"/>
                <w:sz w:val="20"/>
              </w:rPr>
              <w:t xml:space="preserve"> 51</w:t>
            </w:r>
            <w:r w:rsidR="009B24EA" w:rsidRPr="007E4DA1">
              <w:rPr>
                <w:color w:val="000000"/>
                <w:sz w:val="20"/>
              </w:rPr>
              <w:t>,</w:t>
            </w:r>
            <w:r w:rsidRPr="007E4DA1">
              <w:rPr>
                <w:color w:val="000000"/>
                <w:sz w:val="20"/>
              </w:rPr>
              <w:t>9)</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57470394" w14:textId="77777777" w:rsidR="00FF5C95" w:rsidRPr="007E4DA1" w:rsidRDefault="00FF5C95" w:rsidP="00DF2BFE">
            <w:pPr>
              <w:keepNext/>
              <w:adjustRightInd w:val="0"/>
              <w:jc w:val="center"/>
              <w:rPr>
                <w:color w:val="000000"/>
                <w:sz w:val="20"/>
              </w:rPr>
            </w:pPr>
          </w:p>
        </w:tc>
        <w:tc>
          <w:tcPr>
            <w:tcW w:w="990"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5A61214D" w14:textId="77777777" w:rsidR="00FF5C95" w:rsidRPr="007E4DA1" w:rsidRDefault="00FF5C95" w:rsidP="00DF2BFE">
            <w:pPr>
              <w:keepNext/>
              <w:adjustRightInd w:val="0"/>
              <w:jc w:val="center"/>
              <w:rPr>
                <w:color w:val="000000"/>
                <w:sz w:val="20"/>
              </w:rPr>
            </w:pPr>
          </w:p>
        </w:tc>
      </w:tr>
      <w:tr w:rsidR="00FF5C95" w:rsidRPr="007E4DA1" w14:paraId="5954403E" w14:textId="77777777" w:rsidTr="00EE3105">
        <w:trPr>
          <w:cantSplit/>
          <w:jc w:val="center"/>
        </w:trPr>
        <w:tc>
          <w:tcPr>
            <w:tcW w:w="5400" w:type="dxa"/>
            <w:tcBorders>
              <w:top w:val="single" w:sz="4" w:space="0" w:color="auto"/>
              <w:left w:val="nil"/>
              <w:bottom w:val="nil"/>
              <w:right w:val="single" w:sz="4" w:space="0" w:color="auto"/>
            </w:tcBorders>
            <w:shd w:val="clear" w:color="auto" w:fill="FFFFFF"/>
            <w:tcMar>
              <w:left w:w="60" w:type="dxa"/>
              <w:right w:w="60" w:type="dxa"/>
            </w:tcMar>
          </w:tcPr>
          <w:p w14:paraId="5E39E7A3" w14:textId="606922AB" w:rsidR="00FF5C95" w:rsidRPr="007E4DA1" w:rsidRDefault="009B24EA" w:rsidP="00DF2BFE">
            <w:pPr>
              <w:keepNext/>
              <w:adjustRightInd w:val="0"/>
              <w:ind w:left="624" w:hanging="624"/>
              <w:rPr>
                <w:color w:val="000000"/>
                <w:sz w:val="20"/>
              </w:rPr>
            </w:pPr>
            <w:r w:rsidRPr="007E4DA1">
              <w:rPr>
                <w:color w:val="000000"/>
                <w:sz w:val="20"/>
              </w:rPr>
              <w:t>Etap</w:t>
            </w:r>
            <w:r w:rsidR="00FF5C95" w:rsidRPr="007E4DA1">
              <w:rPr>
                <w:color w:val="000000"/>
                <w:sz w:val="20"/>
              </w:rPr>
              <w:t> 4:</w:t>
            </w:r>
            <w:r w:rsidR="00FF5C95" w:rsidRPr="007E4DA1">
              <w:rPr>
                <w:color w:val="000000"/>
                <w:sz w:val="20"/>
              </w:rPr>
              <w:tab/>
            </w:r>
            <w:r w:rsidRPr="007E4DA1">
              <w:rPr>
                <w:color w:val="000000"/>
                <w:sz w:val="20"/>
              </w:rPr>
              <w:t>Pacjenci, którzy utrzymali odpowiedź na leczenie w okresie bez leczenia aż do miesiąca</w:t>
            </w:r>
            <w:r w:rsidR="006761C8" w:rsidRPr="007E4DA1">
              <w:rPr>
                <w:color w:val="000000"/>
                <w:sz w:val="20"/>
              </w:rPr>
              <w:t> </w:t>
            </w:r>
            <w:r w:rsidR="00FF5C95" w:rsidRPr="007E4DA1">
              <w:rPr>
                <w:color w:val="000000"/>
                <w:sz w:val="20"/>
              </w:rPr>
              <w:t>12</w:t>
            </w:r>
            <w:r w:rsidRPr="007E4DA1">
              <w:rPr>
                <w:color w:val="000000"/>
                <w:sz w:val="20"/>
              </w:rPr>
              <w:t>.</w:t>
            </w:r>
            <w:r w:rsidR="00FF5C95" w:rsidRPr="007E4DA1">
              <w:rPr>
                <w:color w:val="000000"/>
                <w:sz w:val="20"/>
              </w:rPr>
              <w:t xml:space="preserve">, </w:t>
            </w:r>
            <w:r w:rsidRPr="007E4DA1">
              <w:rPr>
                <w:color w:val="000000"/>
                <w:sz w:val="20"/>
              </w:rPr>
              <w:t>z utrzymaniem liczby płytek krwi</w:t>
            </w:r>
            <w:r w:rsidR="00FF5C95" w:rsidRPr="007E4DA1">
              <w:rPr>
                <w:color w:val="000000"/>
                <w:sz w:val="20"/>
              </w:rPr>
              <w:t xml:space="preserve"> ≥30 000/µl </w:t>
            </w:r>
            <w:r w:rsidRPr="007E4DA1">
              <w:rPr>
                <w:color w:val="000000"/>
                <w:sz w:val="20"/>
              </w:rPr>
              <w:t>i brakiem krwawienia lub brakiem stosowania jakiejkolwiek terapii ratunkowej</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E7833ED" w14:textId="09260D0B" w:rsidR="00FF5C95" w:rsidRPr="007E4DA1" w:rsidRDefault="00FF5C95" w:rsidP="00DF2BFE">
            <w:pPr>
              <w:keepNext/>
              <w:adjustRightInd w:val="0"/>
              <w:jc w:val="center"/>
              <w:rPr>
                <w:color w:val="000000"/>
                <w:sz w:val="20"/>
              </w:rPr>
            </w:pPr>
            <w:r w:rsidRPr="007E4DA1">
              <w:rPr>
                <w:color w:val="000000"/>
                <w:sz w:val="20"/>
              </w:rPr>
              <w:t>32 (30</w:t>
            </w:r>
            <w:r w:rsidR="009B24EA" w:rsidRPr="007E4DA1">
              <w:rPr>
                <w:color w:val="000000"/>
                <w:sz w:val="20"/>
              </w:rPr>
              <w:t>,</w:t>
            </w:r>
            <w:r w:rsidRPr="007E4DA1">
              <w:rPr>
                <w:color w:val="000000"/>
                <w:sz w:val="20"/>
              </w:rPr>
              <w:t>5)</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146CF187" w14:textId="4F3DFF4C" w:rsidR="00FF5C95" w:rsidRPr="007E4DA1" w:rsidRDefault="00FF5C95" w:rsidP="00DF2BFE">
            <w:pPr>
              <w:keepNext/>
              <w:adjustRightInd w:val="0"/>
              <w:jc w:val="center"/>
              <w:rPr>
                <w:color w:val="000000"/>
                <w:sz w:val="20"/>
              </w:rPr>
            </w:pPr>
            <w:r w:rsidRPr="007E4DA1">
              <w:rPr>
                <w:color w:val="000000"/>
                <w:sz w:val="20"/>
              </w:rPr>
              <w:t>(21</w:t>
            </w:r>
            <w:r w:rsidR="009B24EA" w:rsidRPr="007E4DA1">
              <w:rPr>
                <w:color w:val="000000"/>
                <w:sz w:val="20"/>
              </w:rPr>
              <w:t>,</w:t>
            </w:r>
            <w:r w:rsidRPr="007E4DA1">
              <w:rPr>
                <w:color w:val="000000"/>
                <w:sz w:val="20"/>
              </w:rPr>
              <w:t>9</w:t>
            </w:r>
            <w:r w:rsidR="009B24EA" w:rsidRPr="007E4DA1">
              <w:rPr>
                <w:color w:val="000000"/>
                <w:sz w:val="20"/>
              </w:rPr>
              <w:t>;</w:t>
            </w:r>
            <w:r w:rsidRPr="007E4DA1">
              <w:rPr>
                <w:color w:val="000000"/>
                <w:sz w:val="20"/>
              </w:rPr>
              <w:t xml:space="preserve"> 40</w:t>
            </w:r>
            <w:r w:rsidR="009B24EA" w:rsidRPr="007E4DA1">
              <w:rPr>
                <w:color w:val="000000"/>
                <w:sz w:val="20"/>
              </w:rPr>
              <w:t>,</w:t>
            </w:r>
            <w:r w:rsidRPr="007E4DA1">
              <w:rPr>
                <w:color w:val="000000"/>
                <w:sz w:val="20"/>
              </w:rPr>
              <w:t>2)</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327A8735" w14:textId="7E10FB89" w:rsidR="00FF5C95" w:rsidRPr="007E4DA1" w:rsidRDefault="00FF5C95" w:rsidP="00DF2BFE">
            <w:pPr>
              <w:keepNext/>
              <w:adjustRightInd w:val="0"/>
              <w:jc w:val="center"/>
              <w:rPr>
                <w:color w:val="000000"/>
                <w:sz w:val="20"/>
              </w:rPr>
            </w:pPr>
            <w:r w:rsidRPr="007E4DA1">
              <w:rPr>
                <w:color w:val="000000"/>
                <w:sz w:val="20"/>
              </w:rPr>
              <w:t>&lt;0</w:t>
            </w:r>
            <w:r w:rsidR="009B24EA" w:rsidRPr="007E4DA1">
              <w:rPr>
                <w:color w:val="000000"/>
                <w:sz w:val="20"/>
              </w:rPr>
              <w:t>,</w:t>
            </w:r>
            <w:r w:rsidRPr="007E4DA1">
              <w:rPr>
                <w:color w:val="000000"/>
                <w:sz w:val="20"/>
              </w:rPr>
              <w:t>0001*</w:t>
            </w:r>
          </w:p>
        </w:tc>
        <w:tc>
          <w:tcPr>
            <w:tcW w:w="990" w:type="dxa"/>
            <w:gridSpan w:val="2"/>
            <w:tcBorders>
              <w:top w:val="single" w:sz="4" w:space="0" w:color="auto"/>
              <w:left w:val="single" w:sz="4" w:space="0" w:color="auto"/>
              <w:bottom w:val="nil"/>
              <w:right w:val="nil"/>
            </w:tcBorders>
            <w:shd w:val="clear" w:color="auto" w:fill="FFFFFF"/>
            <w:tcMar>
              <w:left w:w="60" w:type="dxa"/>
              <w:right w:w="60" w:type="dxa"/>
            </w:tcMar>
          </w:tcPr>
          <w:p w14:paraId="21A1DAD1" w14:textId="4F31FB8F" w:rsidR="00FF5C95" w:rsidRPr="007E4DA1" w:rsidRDefault="009B24EA" w:rsidP="00DF2BFE">
            <w:pPr>
              <w:keepNext/>
              <w:adjustRightInd w:val="0"/>
              <w:jc w:val="center"/>
              <w:rPr>
                <w:color w:val="000000"/>
                <w:sz w:val="20"/>
              </w:rPr>
            </w:pPr>
            <w:r w:rsidRPr="007E4DA1">
              <w:rPr>
                <w:color w:val="000000"/>
                <w:sz w:val="20"/>
              </w:rPr>
              <w:t>Tak</w:t>
            </w:r>
          </w:p>
        </w:tc>
      </w:tr>
      <w:tr w:rsidR="00FF5C95" w:rsidRPr="007E4DA1" w14:paraId="6A23B387" w14:textId="77777777" w:rsidTr="00EE3105">
        <w:trPr>
          <w:cantSplit/>
          <w:jc w:val="center"/>
        </w:trPr>
        <w:tc>
          <w:tcPr>
            <w:tcW w:w="5400" w:type="dxa"/>
            <w:tcBorders>
              <w:top w:val="single" w:sz="4" w:space="0" w:color="auto"/>
              <w:left w:val="nil"/>
              <w:bottom w:val="nil"/>
              <w:right w:val="single" w:sz="4" w:space="0" w:color="auto"/>
            </w:tcBorders>
            <w:shd w:val="clear" w:color="auto" w:fill="FFFFFF"/>
            <w:tcMar>
              <w:left w:w="60" w:type="dxa"/>
              <w:right w:w="60" w:type="dxa"/>
            </w:tcMar>
          </w:tcPr>
          <w:p w14:paraId="10316CD5" w14:textId="426489F7" w:rsidR="00FF5C95" w:rsidRPr="007E4DA1" w:rsidRDefault="009B24EA" w:rsidP="00DF2BFE">
            <w:pPr>
              <w:keepNext/>
              <w:adjustRightInd w:val="0"/>
              <w:ind w:left="624" w:hanging="624"/>
              <w:rPr>
                <w:color w:val="000000"/>
                <w:sz w:val="20"/>
              </w:rPr>
            </w:pPr>
            <w:r w:rsidRPr="007E4DA1">
              <w:rPr>
                <w:color w:val="000000"/>
                <w:sz w:val="20"/>
              </w:rPr>
              <w:t>Etap</w:t>
            </w:r>
            <w:r w:rsidR="00FF5C95" w:rsidRPr="007E4DA1">
              <w:rPr>
                <w:color w:val="000000"/>
                <w:sz w:val="20"/>
              </w:rPr>
              <w:t> 5:</w:t>
            </w:r>
            <w:r w:rsidR="00FF5C95" w:rsidRPr="007E4DA1">
              <w:rPr>
                <w:color w:val="000000"/>
                <w:sz w:val="20"/>
              </w:rPr>
              <w:tab/>
            </w:r>
            <w:r w:rsidRPr="007E4DA1">
              <w:rPr>
                <w:color w:val="000000"/>
                <w:sz w:val="20"/>
              </w:rPr>
              <w:t>Pacjenci którzy utrzymali odpowiedź na leczenie w okresie bez leczenia, od miesiąca</w:t>
            </w:r>
            <w:r w:rsidR="00FF5C95" w:rsidRPr="007E4DA1">
              <w:rPr>
                <w:color w:val="000000"/>
                <w:sz w:val="20"/>
              </w:rPr>
              <w:t> 12</w:t>
            </w:r>
            <w:r w:rsidRPr="007E4DA1">
              <w:rPr>
                <w:color w:val="000000"/>
                <w:sz w:val="20"/>
              </w:rPr>
              <w:t>. do miesiąca</w:t>
            </w:r>
            <w:r w:rsidR="00FF5C95" w:rsidRPr="007E4DA1">
              <w:rPr>
                <w:color w:val="000000"/>
                <w:sz w:val="20"/>
              </w:rPr>
              <w:t> 24</w:t>
            </w:r>
            <w:r w:rsidRPr="007E4DA1">
              <w:rPr>
                <w:color w:val="000000"/>
                <w:sz w:val="20"/>
              </w:rPr>
              <w:t>.</w:t>
            </w:r>
            <w:r w:rsidR="00FF5C95" w:rsidRPr="007E4DA1">
              <w:rPr>
                <w:color w:val="000000"/>
                <w:sz w:val="20"/>
              </w:rPr>
              <w:t xml:space="preserve">, </w:t>
            </w:r>
            <w:r w:rsidRPr="007E4DA1">
              <w:rPr>
                <w:color w:val="000000"/>
                <w:sz w:val="20"/>
              </w:rPr>
              <w:t>z utrzymaniem liczby płytek krwi</w:t>
            </w:r>
            <w:r w:rsidR="00FF5C95" w:rsidRPr="007E4DA1">
              <w:rPr>
                <w:color w:val="000000"/>
                <w:sz w:val="20"/>
              </w:rPr>
              <w:t xml:space="preserve"> </w:t>
            </w:r>
            <w:r w:rsidRPr="007E4DA1">
              <w:rPr>
                <w:color w:val="000000"/>
                <w:sz w:val="20"/>
              </w:rPr>
              <w:t xml:space="preserve">na poziomie </w:t>
            </w:r>
            <w:r w:rsidR="00FF5C95" w:rsidRPr="007E4DA1">
              <w:rPr>
                <w:color w:val="000000"/>
                <w:sz w:val="20"/>
              </w:rPr>
              <w:t>≥30</w:t>
            </w:r>
            <w:r w:rsidRPr="007E4DA1">
              <w:rPr>
                <w:color w:val="000000"/>
                <w:sz w:val="20"/>
              </w:rPr>
              <w:t> </w:t>
            </w:r>
            <w:r w:rsidR="00FF5C95" w:rsidRPr="007E4DA1">
              <w:rPr>
                <w:color w:val="000000"/>
                <w:sz w:val="20"/>
              </w:rPr>
              <w:t xml:space="preserve">000/µl </w:t>
            </w:r>
            <w:r w:rsidRPr="007E4DA1">
              <w:rPr>
                <w:color w:val="000000"/>
                <w:sz w:val="20"/>
              </w:rPr>
              <w:t>i brakiem krwawienia lub brakiem stosowania jakiejkolwiek terapii ratunkowej</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5328E6D8" w14:textId="46EB1558" w:rsidR="00FF5C95" w:rsidRPr="007E4DA1" w:rsidRDefault="00FF5C95" w:rsidP="00DF2BFE">
            <w:pPr>
              <w:keepNext/>
              <w:adjustRightInd w:val="0"/>
              <w:jc w:val="center"/>
              <w:rPr>
                <w:color w:val="000000"/>
                <w:sz w:val="20"/>
              </w:rPr>
            </w:pPr>
            <w:r w:rsidRPr="007E4DA1">
              <w:rPr>
                <w:color w:val="000000"/>
                <w:sz w:val="20"/>
              </w:rPr>
              <w:t>20 (19</w:t>
            </w:r>
            <w:r w:rsidR="009B24EA" w:rsidRPr="007E4DA1">
              <w:rPr>
                <w:color w:val="000000"/>
                <w:sz w:val="20"/>
              </w:rPr>
              <w:t>,</w:t>
            </w:r>
            <w:r w:rsidRPr="007E4DA1">
              <w:rPr>
                <w:color w:val="000000"/>
                <w:sz w:val="20"/>
              </w:rPr>
              <w:t>0)</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32CC089" w14:textId="73EA731E" w:rsidR="00FF5C95" w:rsidRPr="007E4DA1" w:rsidRDefault="00FF5C95" w:rsidP="00DF2BFE">
            <w:pPr>
              <w:keepNext/>
              <w:adjustRightInd w:val="0"/>
              <w:jc w:val="center"/>
              <w:rPr>
                <w:color w:val="000000"/>
                <w:sz w:val="20"/>
              </w:rPr>
            </w:pPr>
            <w:r w:rsidRPr="007E4DA1">
              <w:rPr>
                <w:color w:val="000000"/>
                <w:sz w:val="20"/>
              </w:rPr>
              <w:t>(12</w:t>
            </w:r>
            <w:r w:rsidR="009B24EA" w:rsidRPr="007E4DA1">
              <w:rPr>
                <w:color w:val="000000"/>
                <w:sz w:val="20"/>
              </w:rPr>
              <w:t>,</w:t>
            </w:r>
            <w:r w:rsidRPr="007E4DA1">
              <w:rPr>
                <w:color w:val="000000"/>
                <w:sz w:val="20"/>
              </w:rPr>
              <w:t>0</w:t>
            </w:r>
            <w:r w:rsidR="009B24EA" w:rsidRPr="007E4DA1">
              <w:rPr>
                <w:color w:val="000000"/>
                <w:sz w:val="20"/>
              </w:rPr>
              <w:t>;</w:t>
            </w:r>
            <w:r w:rsidRPr="007E4DA1">
              <w:rPr>
                <w:color w:val="000000"/>
                <w:sz w:val="20"/>
              </w:rPr>
              <w:t xml:space="preserve"> 27</w:t>
            </w:r>
            <w:r w:rsidR="009B24EA" w:rsidRPr="007E4DA1">
              <w:rPr>
                <w:color w:val="000000"/>
                <w:sz w:val="20"/>
              </w:rPr>
              <w:t>,</w:t>
            </w:r>
            <w:r w:rsidRPr="007E4DA1">
              <w:rPr>
                <w:color w:val="000000"/>
                <w:sz w:val="20"/>
              </w:rPr>
              <w:t>9)</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46E34054" w14:textId="77777777" w:rsidR="00FF5C95" w:rsidRPr="007E4DA1" w:rsidRDefault="00FF5C95" w:rsidP="00DF2BFE">
            <w:pPr>
              <w:keepNext/>
              <w:adjustRightInd w:val="0"/>
              <w:jc w:val="center"/>
              <w:rPr>
                <w:color w:val="000000"/>
                <w:sz w:val="20"/>
              </w:rPr>
            </w:pPr>
          </w:p>
        </w:tc>
        <w:tc>
          <w:tcPr>
            <w:tcW w:w="990" w:type="dxa"/>
            <w:gridSpan w:val="2"/>
            <w:tcBorders>
              <w:top w:val="single" w:sz="4" w:space="0" w:color="auto"/>
              <w:left w:val="single" w:sz="4" w:space="0" w:color="auto"/>
              <w:bottom w:val="nil"/>
              <w:right w:val="nil"/>
            </w:tcBorders>
            <w:shd w:val="clear" w:color="auto" w:fill="FFFFFF"/>
            <w:tcMar>
              <w:left w:w="60" w:type="dxa"/>
              <w:right w:w="60" w:type="dxa"/>
            </w:tcMar>
          </w:tcPr>
          <w:p w14:paraId="1727BA53" w14:textId="77777777" w:rsidR="00FF5C95" w:rsidRPr="007E4DA1" w:rsidRDefault="00FF5C95" w:rsidP="00DF2BFE">
            <w:pPr>
              <w:keepNext/>
              <w:adjustRightInd w:val="0"/>
              <w:jc w:val="center"/>
              <w:rPr>
                <w:color w:val="000000"/>
                <w:sz w:val="20"/>
              </w:rPr>
            </w:pPr>
          </w:p>
        </w:tc>
      </w:tr>
      <w:tr w:rsidR="00FF5C95" w:rsidRPr="007E4DA1" w14:paraId="31526F91" w14:textId="77777777" w:rsidTr="00EE3105">
        <w:trPr>
          <w:cantSplit/>
          <w:jc w:val="center"/>
        </w:trPr>
        <w:tc>
          <w:tcPr>
            <w:tcW w:w="9335" w:type="dxa"/>
            <w:gridSpan w:val="6"/>
            <w:tcBorders>
              <w:top w:val="single" w:sz="2" w:space="0" w:color="000000"/>
              <w:left w:val="nil"/>
              <w:bottom w:val="single" w:sz="4" w:space="0" w:color="000000"/>
              <w:right w:val="nil"/>
            </w:tcBorders>
            <w:shd w:val="clear" w:color="auto" w:fill="FFFFFF"/>
            <w:tcMar>
              <w:left w:w="60" w:type="dxa"/>
              <w:right w:w="60" w:type="dxa"/>
            </w:tcMar>
          </w:tcPr>
          <w:p w14:paraId="76AB36C7" w14:textId="1F043108" w:rsidR="00FF5C95" w:rsidRPr="007E4DA1" w:rsidRDefault="00FF5C95" w:rsidP="001A6584">
            <w:pPr>
              <w:adjustRightInd w:val="0"/>
              <w:rPr>
                <w:color w:val="000000"/>
                <w:sz w:val="18"/>
                <w:szCs w:val="18"/>
              </w:rPr>
            </w:pPr>
            <w:r w:rsidRPr="007E4DA1">
              <w:rPr>
                <w:color w:val="000000"/>
                <w:sz w:val="18"/>
                <w:szCs w:val="18"/>
              </w:rPr>
              <w:t xml:space="preserve">N: </w:t>
            </w:r>
            <w:r w:rsidR="009B24EA" w:rsidRPr="007E4DA1">
              <w:rPr>
                <w:color w:val="000000"/>
                <w:sz w:val="18"/>
                <w:szCs w:val="18"/>
              </w:rPr>
              <w:t>Całkowita liczba pacjentów w grupie terapeutycznej</w:t>
            </w:r>
            <w:r w:rsidRPr="007E4DA1">
              <w:rPr>
                <w:color w:val="000000"/>
                <w:sz w:val="18"/>
                <w:szCs w:val="18"/>
              </w:rPr>
              <w:t xml:space="preserve">. </w:t>
            </w:r>
            <w:r w:rsidR="009B24EA" w:rsidRPr="007E4DA1">
              <w:rPr>
                <w:color w:val="000000"/>
                <w:sz w:val="18"/>
                <w:szCs w:val="18"/>
              </w:rPr>
              <w:t>Jest to mianownik przy obliczaniu odsetka</w:t>
            </w:r>
            <w:r w:rsidRPr="007E4DA1">
              <w:rPr>
                <w:color w:val="000000"/>
                <w:sz w:val="18"/>
                <w:szCs w:val="18"/>
              </w:rPr>
              <w:t xml:space="preserve"> (%).</w:t>
            </w:r>
          </w:p>
          <w:p w14:paraId="21617059" w14:textId="46C3D245" w:rsidR="00FF5C95" w:rsidRPr="007E4DA1" w:rsidRDefault="00FF5C95" w:rsidP="001A6584">
            <w:pPr>
              <w:adjustRightInd w:val="0"/>
              <w:rPr>
                <w:color w:val="000000"/>
                <w:sz w:val="18"/>
                <w:szCs w:val="18"/>
              </w:rPr>
            </w:pPr>
            <w:r w:rsidRPr="007E4DA1">
              <w:rPr>
                <w:color w:val="000000"/>
                <w:sz w:val="18"/>
                <w:szCs w:val="18"/>
              </w:rPr>
              <w:t xml:space="preserve">n: </w:t>
            </w:r>
            <w:r w:rsidR="009B24EA" w:rsidRPr="007E4DA1">
              <w:rPr>
                <w:color w:val="000000"/>
                <w:sz w:val="18"/>
                <w:szCs w:val="18"/>
              </w:rPr>
              <w:t>Liczba pacjentów w odpowiedniej kategorii</w:t>
            </w:r>
            <w:r w:rsidRPr="007E4DA1">
              <w:rPr>
                <w:color w:val="000000"/>
                <w:sz w:val="18"/>
                <w:szCs w:val="18"/>
              </w:rPr>
              <w:t>.</w:t>
            </w:r>
          </w:p>
          <w:p w14:paraId="321FCA25" w14:textId="6433F763" w:rsidR="00FF5C95" w:rsidRPr="007E4DA1" w:rsidRDefault="00FF5C95" w:rsidP="001A6584">
            <w:pPr>
              <w:adjustRightInd w:val="0"/>
              <w:ind w:left="0" w:firstLine="0"/>
              <w:rPr>
                <w:color w:val="000000"/>
                <w:sz w:val="18"/>
                <w:szCs w:val="18"/>
              </w:rPr>
            </w:pPr>
            <w:r w:rsidRPr="007E4DA1">
              <w:rPr>
                <w:color w:val="000000"/>
                <w:sz w:val="18"/>
                <w:szCs w:val="18"/>
              </w:rPr>
              <w:t xml:space="preserve">95% CI </w:t>
            </w:r>
            <w:r w:rsidR="009B24EA" w:rsidRPr="007E4DA1">
              <w:rPr>
                <w:color w:val="000000"/>
                <w:sz w:val="18"/>
                <w:szCs w:val="18"/>
              </w:rPr>
              <w:t xml:space="preserve">dla rozkładu częstości obliczono </w:t>
            </w:r>
            <w:r w:rsidR="002A6D45" w:rsidRPr="007E4DA1">
              <w:rPr>
                <w:color w:val="000000"/>
                <w:sz w:val="18"/>
                <w:szCs w:val="18"/>
              </w:rPr>
              <w:t xml:space="preserve">dokładną </w:t>
            </w:r>
            <w:r w:rsidR="009B24EA" w:rsidRPr="007E4DA1">
              <w:rPr>
                <w:color w:val="000000"/>
                <w:sz w:val="18"/>
                <w:szCs w:val="18"/>
              </w:rPr>
              <w:t>metodą</w:t>
            </w:r>
            <w:r w:rsidRPr="007E4DA1">
              <w:rPr>
                <w:color w:val="000000"/>
                <w:sz w:val="18"/>
                <w:szCs w:val="18"/>
              </w:rPr>
              <w:t xml:space="preserve"> Clopper</w:t>
            </w:r>
            <w:r w:rsidR="009B24EA" w:rsidRPr="007E4DA1">
              <w:rPr>
                <w:color w:val="000000"/>
                <w:sz w:val="18"/>
                <w:szCs w:val="18"/>
              </w:rPr>
              <w:t>a</w:t>
            </w:r>
            <w:r w:rsidRPr="007E4DA1">
              <w:rPr>
                <w:color w:val="000000"/>
                <w:sz w:val="18"/>
                <w:szCs w:val="18"/>
              </w:rPr>
              <w:t>-Pearson</w:t>
            </w:r>
            <w:r w:rsidR="009B24EA" w:rsidRPr="007E4DA1">
              <w:rPr>
                <w:color w:val="000000"/>
                <w:sz w:val="18"/>
                <w:szCs w:val="18"/>
              </w:rPr>
              <w:t>a</w:t>
            </w:r>
            <w:r w:rsidRPr="007E4DA1">
              <w:rPr>
                <w:color w:val="000000"/>
                <w:sz w:val="18"/>
                <w:szCs w:val="18"/>
              </w:rPr>
              <w:t xml:space="preserve">. </w:t>
            </w:r>
            <w:r w:rsidR="009B24EA" w:rsidRPr="007E4DA1">
              <w:rPr>
                <w:color w:val="000000"/>
                <w:sz w:val="18"/>
                <w:szCs w:val="18"/>
              </w:rPr>
              <w:t xml:space="preserve">Test </w:t>
            </w:r>
            <w:r w:rsidRPr="007E4DA1">
              <w:rPr>
                <w:color w:val="000000"/>
                <w:sz w:val="18"/>
                <w:szCs w:val="18"/>
              </w:rPr>
              <w:t>Clopper</w:t>
            </w:r>
            <w:r w:rsidR="009B24EA" w:rsidRPr="007E4DA1">
              <w:rPr>
                <w:color w:val="000000"/>
                <w:sz w:val="18"/>
                <w:szCs w:val="18"/>
              </w:rPr>
              <w:t>a</w:t>
            </w:r>
            <w:r w:rsidRPr="007E4DA1">
              <w:rPr>
                <w:color w:val="000000"/>
                <w:sz w:val="18"/>
                <w:szCs w:val="18"/>
              </w:rPr>
              <w:noBreakHyphen/>
              <w:t>Pearson</w:t>
            </w:r>
            <w:r w:rsidR="009B24EA" w:rsidRPr="007E4DA1">
              <w:rPr>
                <w:color w:val="000000"/>
                <w:sz w:val="18"/>
                <w:szCs w:val="18"/>
              </w:rPr>
              <w:t>a zastosowano do zbadania, czy odsetek pacjentów z odpowiedzią wyniósł</w:t>
            </w:r>
            <w:r w:rsidRPr="007E4DA1">
              <w:rPr>
                <w:color w:val="000000"/>
                <w:sz w:val="18"/>
                <w:szCs w:val="18"/>
              </w:rPr>
              <w:t xml:space="preserve"> &gt;15%. </w:t>
            </w:r>
            <w:r w:rsidR="009B24EA" w:rsidRPr="007E4DA1">
              <w:rPr>
                <w:color w:val="000000"/>
                <w:sz w:val="18"/>
                <w:szCs w:val="18"/>
              </w:rPr>
              <w:t xml:space="preserve">Podano przedziały </w:t>
            </w:r>
            <w:r w:rsidRPr="007E4DA1">
              <w:rPr>
                <w:color w:val="000000"/>
                <w:sz w:val="18"/>
                <w:szCs w:val="18"/>
              </w:rPr>
              <w:t xml:space="preserve">CI </w:t>
            </w:r>
            <w:r w:rsidR="009B24EA" w:rsidRPr="007E4DA1">
              <w:rPr>
                <w:color w:val="000000"/>
                <w:sz w:val="18"/>
                <w:szCs w:val="18"/>
              </w:rPr>
              <w:t>i wartości</w:t>
            </w:r>
            <w:r w:rsidRPr="007E4DA1">
              <w:rPr>
                <w:color w:val="000000"/>
                <w:sz w:val="18"/>
                <w:szCs w:val="18"/>
              </w:rPr>
              <w:t xml:space="preserve"> p.</w:t>
            </w:r>
          </w:p>
          <w:p w14:paraId="089AAFAF" w14:textId="3DE5B485" w:rsidR="00FF5C95" w:rsidRPr="007E4DA1" w:rsidRDefault="00FF5C95" w:rsidP="001A6584">
            <w:pPr>
              <w:adjustRightInd w:val="0"/>
              <w:rPr>
                <w:color w:val="000000"/>
                <w:sz w:val="18"/>
                <w:szCs w:val="18"/>
              </w:rPr>
            </w:pPr>
            <w:r w:rsidRPr="007E4DA1">
              <w:rPr>
                <w:color w:val="000000"/>
                <w:sz w:val="18"/>
                <w:szCs w:val="18"/>
              </w:rPr>
              <w:t xml:space="preserve">* </w:t>
            </w:r>
            <w:r w:rsidR="009B24EA" w:rsidRPr="007E4DA1">
              <w:rPr>
                <w:color w:val="000000"/>
                <w:sz w:val="18"/>
                <w:szCs w:val="18"/>
              </w:rPr>
              <w:t>Wskazuje istotność statystyczną</w:t>
            </w:r>
            <w:r w:rsidRPr="007E4DA1">
              <w:rPr>
                <w:color w:val="000000"/>
                <w:sz w:val="18"/>
                <w:szCs w:val="18"/>
              </w:rPr>
              <w:t xml:space="preserve"> (</w:t>
            </w:r>
            <w:r w:rsidR="009B24EA" w:rsidRPr="007E4DA1">
              <w:rPr>
                <w:color w:val="000000"/>
                <w:sz w:val="18"/>
                <w:szCs w:val="18"/>
              </w:rPr>
              <w:t>test jednostronny</w:t>
            </w:r>
            <w:r w:rsidRPr="007E4DA1">
              <w:rPr>
                <w:color w:val="000000"/>
                <w:sz w:val="18"/>
                <w:szCs w:val="18"/>
              </w:rPr>
              <w:t xml:space="preserve">) </w:t>
            </w:r>
            <w:r w:rsidR="009B24EA" w:rsidRPr="007E4DA1">
              <w:rPr>
                <w:color w:val="000000"/>
                <w:sz w:val="18"/>
                <w:szCs w:val="18"/>
              </w:rPr>
              <w:t>przy poziomie</w:t>
            </w:r>
            <w:r w:rsidRPr="007E4DA1">
              <w:rPr>
                <w:color w:val="000000"/>
                <w:sz w:val="18"/>
                <w:szCs w:val="18"/>
              </w:rPr>
              <w:t xml:space="preserve"> 0</w:t>
            </w:r>
            <w:r w:rsidR="009B24EA" w:rsidRPr="007E4DA1">
              <w:rPr>
                <w:color w:val="000000"/>
                <w:sz w:val="18"/>
                <w:szCs w:val="18"/>
              </w:rPr>
              <w:t>,</w:t>
            </w:r>
            <w:r w:rsidRPr="007E4DA1">
              <w:rPr>
                <w:color w:val="000000"/>
                <w:sz w:val="18"/>
                <w:szCs w:val="18"/>
              </w:rPr>
              <w:t>05.</w:t>
            </w:r>
          </w:p>
        </w:tc>
      </w:tr>
    </w:tbl>
    <w:p w14:paraId="6F485118" w14:textId="77777777" w:rsidR="00FF5C95" w:rsidRPr="007E4DA1" w:rsidRDefault="00FF5C95" w:rsidP="001A6584">
      <w:pPr>
        <w:pStyle w:val="CommentText"/>
        <w:tabs>
          <w:tab w:val="clear" w:pos="567"/>
          <w:tab w:val="left" w:pos="142"/>
        </w:tabs>
        <w:spacing w:line="240" w:lineRule="auto"/>
        <w:rPr>
          <w:sz w:val="22"/>
          <w:szCs w:val="22"/>
          <w:lang w:val="pl-PL"/>
        </w:rPr>
      </w:pPr>
    </w:p>
    <w:p w14:paraId="461B696B" w14:textId="73080999" w:rsidR="00FF5C95" w:rsidRPr="007E4DA1" w:rsidRDefault="00FF5C95" w:rsidP="001A6584">
      <w:pPr>
        <w:pStyle w:val="CommentText"/>
        <w:keepNext/>
        <w:tabs>
          <w:tab w:val="clear" w:pos="567"/>
          <w:tab w:val="left" w:pos="142"/>
        </w:tabs>
        <w:spacing w:line="240" w:lineRule="auto"/>
        <w:rPr>
          <w:sz w:val="22"/>
          <w:szCs w:val="22"/>
          <w:lang w:val="pl-PL"/>
        </w:rPr>
      </w:pPr>
      <w:r w:rsidRPr="007E4DA1">
        <w:rPr>
          <w:sz w:val="22"/>
          <w:szCs w:val="22"/>
          <w:lang w:val="pl-PL"/>
        </w:rPr>
        <w:t>Wyniki analizy odpowiedzi na leczenie z uwzględnieniem czasu od rozpoznania ITP</w:t>
      </w:r>
    </w:p>
    <w:bookmarkEnd w:id="9"/>
    <w:p w14:paraId="5932E94B" w14:textId="4D25CAAD" w:rsidR="004F3194" w:rsidRPr="007E4DA1" w:rsidRDefault="004F3194" w:rsidP="001A6584">
      <w:pPr>
        <w:pStyle w:val="CommentText"/>
        <w:tabs>
          <w:tab w:val="clear" w:pos="567"/>
          <w:tab w:val="left" w:pos="142"/>
        </w:tabs>
        <w:spacing w:line="240" w:lineRule="auto"/>
        <w:rPr>
          <w:sz w:val="22"/>
          <w:szCs w:val="22"/>
          <w:lang w:val="pl-PL"/>
        </w:rPr>
      </w:pPr>
      <w:r w:rsidRPr="007E4DA1">
        <w:rPr>
          <w:sz w:val="22"/>
          <w:szCs w:val="22"/>
          <w:lang w:val="pl-PL"/>
        </w:rPr>
        <w:t xml:space="preserve">Przeprowadzono analizę </w:t>
      </w:r>
      <w:r w:rsidRPr="007E4DA1">
        <w:rPr>
          <w:i/>
          <w:iCs/>
          <w:sz w:val="22"/>
          <w:szCs w:val="22"/>
          <w:lang w:val="pl-PL"/>
        </w:rPr>
        <w:t>ad hoc</w:t>
      </w:r>
      <w:r w:rsidRPr="007E4DA1">
        <w:rPr>
          <w:sz w:val="22"/>
          <w:szCs w:val="22"/>
          <w:lang w:val="pl-PL"/>
        </w:rPr>
        <w:t>, którą objęto n=105</w:t>
      </w:r>
      <w:r w:rsidR="00DC1C12" w:rsidRPr="007E4DA1">
        <w:rPr>
          <w:sz w:val="22"/>
          <w:szCs w:val="22"/>
          <w:lang w:val="pl-PL"/>
        </w:rPr>
        <w:t> </w:t>
      </w:r>
      <w:r w:rsidRPr="007E4DA1">
        <w:rPr>
          <w:sz w:val="22"/>
          <w:szCs w:val="22"/>
          <w:lang w:val="pl-PL"/>
        </w:rPr>
        <w:t xml:space="preserve">pacjentów z uwzględnieniem czasu od rozpoznania ITP, w celu oceny odpowiedzi na eltrombopag w czterech różnych kategoriach wyodrębnionych ze względu na czas </w:t>
      </w:r>
      <w:r w:rsidR="009B24EA" w:rsidRPr="007E4DA1">
        <w:rPr>
          <w:sz w:val="22"/>
          <w:szCs w:val="22"/>
          <w:lang w:val="pl-PL"/>
        </w:rPr>
        <w:t>od rozpoznania</w:t>
      </w:r>
      <w:r w:rsidRPr="007E4DA1">
        <w:rPr>
          <w:sz w:val="22"/>
          <w:szCs w:val="22"/>
          <w:lang w:val="pl-PL"/>
        </w:rPr>
        <w:t xml:space="preserve"> ITP (nowo rozpoznana ITP trwająca &lt;3</w:t>
      </w:r>
      <w:r w:rsidR="00DC1C12" w:rsidRPr="007E4DA1">
        <w:rPr>
          <w:sz w:val="22"/>
          <w:szCs w:val="22"/>
          <w:lang w:val="pl-PL"/>
        </w:rPr>
        <w:t> </w:t>
      </w:r>
      <w:r w:rsidRPr="007E4DA1">
        <w:rPr>
          <w:sz w:val="22"/>
          <w:szCs w:val="22"/>
          <w:lang w:val="pl-PL"/>
        </w:rPr>
        <w:t xml:space="preserve">miesiące, </w:t>
      </w:r>
      <w:r w:rsidR="000A7881" w:rsidRPr="007E4DA1">
        <w:rPr>
          <w:sz w:val="22"/>
          <w:szCs w:val="22"/>
          <w:lang w:val="pl-PL"/>
        </w:rPr>
        <w:t>przetrwała</w:t>
      </w:r>
      <w:r w:rsidRPr="007E4DA1">
        <w:rPr>
          <w:sz w:val="22"/>
          <w:szCs w:val="22"/>
          <w:lang w:val="pl-PL"/>
        </w:rPr>
        <w:t xml:space="preserve"> ITP trwająca od 3 do &lt;6</w:t>
      </w:r>
      <w:r w:rsidR="00DC1C12" w:rsidRPr="007E4DA1">
        <w:rPr>
          <w:sz w:val="22"/>
          <w:szCs w:val="22"/>
          <w:lang w:val="pl-PL"/>
        </w:rPr>
        <w:t> </w:t>
      </w:r>
      <w:r w:rsidRPr="007E4DA1">
        <w:rPr>
          <w:sz w:val="22"/>
          <w:szCs w:val="22"/>
          <w:lang w:val="pl-PL"/>
        </w:rPr>
        <w:t>miesi</w:t>
      </w:r>
      <w:r w:rsidR="007470D4" w:rsidRPr="007E4DA1">
        <w:rPr>
          <w:sz w:val="22"/>
          <w:szCs w:val="22"/>
          <w:lang w:val="pl-PL"/>
        </w:rPr>
        <w:t>ę</w:t>
      </w:r>
      <w:r w:rsidRPr="007E4DA1">
        <w:rPr>
          <w:sz w:val="22"/>
          <w:szCs w:val="22"/>
          <w:lang w:val="pl-PL"/>
        </w:rPr>
        <w:t xml:space="preserve">cy, </w:t>
      </w:r>
      <w:r w:rsidR="000A7881" w:rsidRPr="007E4DA1">
        <w:rPr>
          <w:sz w:val="22"/>
          <w:szCs w:val="22"/>
          <w:lang w:val="pl-PL"/>
        </w:rPr>
        <w:t>przetrwała</w:t>
      </w:r>
      <w:r w:rsidR="00161C01" w:rsidRPr="007E4DA1">
        <w:rPr>
          <w:sz w:val="22"/>
          <w:szCs w:val="22"/>
          <w:lang w:val="pl-PL"/>
        </w:rPr>
        <w:t xml:space="preserve"> </w:t>
      </w:r>
      <w:r w:rsidRPr="007E4DA1">
        <w:rPr>
          <w:sz w:val="22"/>
          <w:szCs w:val="22"/>
          <w:lang w:val="pl-PL"/>
        </w:rPr>
        <w:t xml:space="preserve">ITP trwająca od 6 do </w:t>
      </w:r>
      <w:r w:rsidR="00BD31FF" w:rsidRPr="007E4DA1">
        <w:rPr>
          <w:rStyle w:val="normaltextrun"/>
          <w:sz w:val="22"/>
          <w:szCs w:val="22"/>
          <w:lang w:val="pl-PL"/>
        </w:rPr>
        <w:t>≤</w:t>
      </w:r>
      <w:r w:rsidRPr="007E4DA1">
        <w:rPr>
          <w:sz w:val="22"/>
          <w:szCs w:val="22"/>
          <w:lang w:val="pl-PL"/>
        </w:rPr>
        <w:t>12</w:t>
      </w:r>
      <w:r w:rsidR="00DC1C12" w:rsidRPr="007E4DA1">
        <w:rPr>
          <w:sz w:val="22"/>
          <w:szCs w:val="22"/>
          <w:lang w:val="pl-PL"/>
        </w:rPr>
        <w:t> </w:t>
      </w:r>
      <w:r w:rsidRPr="007E4DA1">
        <w:rPr>
          <w:sz w:val="22"/>
          <w:szCs w:val="22"/>
          <w:lang w:val="pl-PL"/>
        </w:rPr>
        <w:t>miesięcy i przewlekła ITP trwająca &gt;12</w:t>
      </w:r>
      <w:r w:rsidR="00DC1C12" w:rsidRPr="007E4DA1">
        <w:rPr>
          <w:sz w:val="22"/>
          <w:szCs w:val="22"/>
          <w:lang w:val="pl-PL"/>
        </w:rPr>
        <w:t> </w:t>
      </w:r>
      <w:r w:rsidRPr="007E4DA1">
        <w:rPr>
          <w:sz w:val="22"/>
          <w:szCs w:val="22"/>
          <w:lang w:val="pl-PL"/>
        </w:rPr>
        <w:t xml:space="preserve">miesięcy). U 49% pacjentów (n=51) rozpoznanie ITP postawiono </w:t>
      </w:r>
      <w:r w:rsidRPr="007E4DA1">
        <w:rPr>
          <w:sz w:val="22"/>
          <w:szCs w:val="22"/>
          <w:lang w:val="pl-PL"/>
        </w:rPr>
        <w:lastRenderedPageBreak/>
        <w:t>&lt;3</w:t>
      </w:r>
      <w:r w:rsidR="00DC1C12" w:rsidRPr="007E4DA1">
        <w:rPr>
          <w:sz w:val="22"/>
          <w:szCs w:val="22"/>
          <w:lang w:val="pl-PL"/>
        </w:rPr>
        <w:t> </w:t>
      </w:r>
      <w:r w:rsidRPr="007E4DA1">
        <w:rPr>
          <w:sz w:val="22"/>
          <w:szCs w:val="22"/>
          <w:lang w:val="pl-PL"/>
        </w:rPr>
        <w:t xml:space="preserve">miesiące wcześniej, u 20% (n=21) ITP </w:t>
      </w:r>
      <w:r w:rsidR="007470D4" w:rsidRPr="007E4DA1">
        <w:rPr>
          <w:sz w:val="22"/>
          <w:szCs w:val="22"/>
          <w:lang w:val="pl-PL"/>
        </w:rPr>
        <w:t>rozpoznano</w:t>
      </w:r>
      <w:r w:rsidRPr="007E4DA1">
        <w:rPr>
          <w:sz w:val="22"/>
          <w:szCs w:val="22"/>
          <w:lang w:val="pl-PL"/>
        </w:rPr>
        <w:t xml:space="preserve"> 3 do &lt;6</w:t>
      </w:r>
      <w:r w:rsidR="00DC1C12" w:rsidRPr="007E4DA1">
        <w:rPr>
          <w:sz w:val="22"/>
          <w:szCs w:val="22"/>
          <w:lang w:val="pl-PL"/>
        </w:rPr>
        <w:t> </w:t>
      </w:r>
      <w:r w:rsidRPr="007E4DA1">
        <w:rPr>
          <w:sz w:val="22"/>
          <w:szCs w:val="22"/>
          <w:lang w:val="pl-PL"/>
        </w:rPr>
        <w:t>miesięcy</w:t>
      </w:r>
      <w:r w:rsidR="007470D4" w:rsidRPr="007E4DA1">
        <w:rPr>
          <w:sz w:val="22"/>
          <w:szCs w:val="22"/>
          <w:lang w:val="pl-PL"/>
        </w:rPr>
        <w:t xml:space="preserve"> wcześniej</w:t>
      </w:r>
      <w:r w:rsidRPr="007E4DA1">
        <w:rPr>
          <w:sz w:val="22"/>
          <w:szCs w:val="22"/>
          <w:lang w:val="pl-PL"/>
        </w:rPr>
        <w:t>, u 17% (n=18) czas od rozpoznania ITP wyni</w:t>
      </w:r>
      <w:r w:rsidR="007470D4" w:rsidRPr="007E4DA1">
        <w:rPr>
          <w:sz w:val="22"/>
          <w:szCs w:val="22"/>
          <w:lang w:val="pl-PL"/>
        </w:rPr>
        <w:t>ó</w:t>
      </w:r>
      <w:r w:rsidRPr="007E4DA1">
        <w:rPr>
          <w:sz w:val="22"/>
          <w:szCs w:val="22"/>
          <w:lang w:val="pl-PL"/>
        </w:rPr>
        <w:t>sł od 6 do ≤12</w:t>
      </w:r>
      <w:r w:rsidR="00DC1C12" w:rsidRPr="007E4DA1">
        <w:rPr>
          <w:sz w:val="22"/>
          <w:szCs w:val="22"/>
          <w:lang w:val="pl-PL"/>
        </w:rPr>
        <w:t> </w:t>
      </w:r>
      <w:r w:rsidRPr="007E4DA1">
        <w:rPr>
          <w:sz w:val="22"/>
          <w:szCs w:val="22"/>
          <w:lang w:val="pl-PL"/>
        </w:rPr>
        <w:t>miesięcy, a u 14% (n=15) czas ten wyniósł &gt;12</w:t>
      </w:r>
      <w:r w:rsidR="00DC1C12" w:rsidRPr="007E4DA1">
        <w:rPr>
          <w:sz w:val="22"/>
          <w:szCs w:val="22"/>
          <w:lang w:val="pl-PL"/>
        </w:rPr>
        <w:t> </w:t>
      </w:r>
      <w:r w:rsidRPr="007E4DA1">
        <w:rPr>
          <w:sz w:val="22"/>
          <w:szCs w:val="22"/>
          <w:lang w:val="pl-PL"/>
        </w:rPr>
        <w:t>miesięcy.</w:t>
      </w:r>
    </w:p>
    <w:p w14:paraId="7818A03C" w14:textId="63B74781" w:rsidR="00F262B0" w:rsidRPr="007E4DA1" w:rsidRDefault="00F262B0" w:rsidP="001A6584">
      <w:pPr>
        <w:pStyle w:val="CommentText"/>
        <w:tabs>
          <w:tab w:val="clear" w:pos="567"/>
          <w:tab w:val="left" w:pos="142"/>
        </w:tabs>
        <w:spacing w:line="240" w:lineRule="auto"/>
        <w:rPr>
          <w:sz w:val="22"/>
          <w:szCs w:val="22"/>
          <w:lang w:val="pl-PL"/>
        </w:rPr>
      </w:pPr>
    </w:p>
    <w:p w14:paraId="093EFD14" w14:textId="149157D1" w:rsidR="00F262B0" w:rsidRPr="007E4DA1" w:rsidRDefault="00F262B0" w:rsidP="001A6584">
      <w:pPr>
        <w:pStyle w:val="CommentText"/>
        <w:tabs>
          <w:tab w:val="clear" w:pos="567"/>
          <w:tab w:val="left" w:pos="142"/>
        </w:tabs>
        <w:spacing w:line="240" w:lineRule="auto"/>
        <w:rPr>
          <w:sz w:val="22"/>
          <w:szCs w:val="22"/>
          <w:lang w:val="pl-PL"/>
        </w:rPr>
      </w:pPr>
      <w:r w:rsidRPr="007E4DA1">
        <w:rPr>
          <w:sz w:val="22"/>
          <w:szCs w:val="22"/>
          <w:lang w:val="pl-PL"/>
        </w:rPr>
        <w:t>Do czasu zakończenia zbierania danych do analizy (22</w:t>
      </w:r>
      <w:r w:rsidR="00DC1C12" w:rsidRPr="007E4DA1">
        <w:rPr>
          <w:sz w:val="22"/>
          <w:szCs w:val="22"/>
          <w:lang w:val="pl-PL"/>
        </w:rPr>
        <w:t> </w:t>
      </w:r>
      <w:r w:rsidRPr="007E4DA1">
        <w:rPr>
          <w:sz w:val="22"/>
          <w:szCs w:val="22"/>
          <w:lang w:val="pl-PL"/>
        </w:rPr>
        <w:t>października 2021</w:t>
      </w:r>
      <w:r w:rsidR="00DC1C12" w:rsidRPr="007E4DA1">
        <w:rPr>
          <w:sz w:val="22"/>
          <w:szCs w:val="22"/>
          <w:lang w:val="pl-PL"/>
        </w:rPr>
        <w:t> </w:t>
      </w:r>
      <w:r w:rsidRPr="007E4DA1">
        <w:rPr>
          <w:sz w:val="22"/>
          <w:szCs w:val="22"/>
          <w:lang w:val="pl-PL"/>
        </w:rPr>
        <w:t>r.) mediana (Q1-Q3) czasu trwania ekspozycji pacjentów na eltrombopag wyniosła 6,2</w:t>
      </w:r>
      <w:r w:rsidR="00DC1C12" w:rsidRPr="007E4DA1">
        <w:rPr>
          <w:sz w:val="22"/>
          <w:szCs w:val="22"/>
          <w:lang w:val="pl-PL"/>
        </w:rPr>
        <w:t> </w:t>
      </w:r>
      <w:r w:rsidRPr="007E4DA1">
        <w:rPr>
          <w:sz w:val="22"/>
          <w:szCs w:val="22"/>
          <w:lang w:val="pl-PL"/>
        </w:rPr>
        <w:t>miesiąca (2,3-12,0</w:t>
      </w:r>
      <w:r w:rsidR="00DC1C12" w:rsidRPr="007E4DA1">
        <w:rPr>
          <w:sz w:val="22"/>
          <w:szCs w:val="22"/>
          <w:lang w:val="pl-PL"/>
        </w:rPr>
        <w:t> </w:t>
      </w:r>
      <w:r w:rsidRPr="007E4DA1">
        <w:rPr>
          <w:sz w:val="22"/>
          <w:szCs w:val="22"/>
          <w:lang w:val="pl-PL"/>
        </w:rPr>
        <w:t>miesiąca). Mediana (Q1-Q3) liczby płytek krwi w punkcie początkowym wyniosła 16 000/µl (7 800-28 000/µl).</w:t>
      </w:r>
    </w:p>
    <w:p w14:paraId="65B5D5DC" w14:textId="55EABE43" w:rsidR="00F262B0" w:rsidRPr="007E4DA1" w:rsidRDefault="00F262B0" w:rsidP="001A6584">
      <w:pPr>
        <w:pStyle w:val="CommentText"/>
        <w:tabs>
          <w:tab w:val="clear" w:pos="567"/>
          <w:tab w:val="left" w:pos="142"/>
        </w:tabs>
        <w:spacing w:line="240" w:lineRule="auto"/>
        <w:rPr>
          <w:sz w:val="22"/>
          <w:szCs w:val="22"/>
          <w:lang w:val="pl-PL"/>
        </w:rPr>
      </w:pPr>
    </w:p>
    <w:p w14:paraId="2991F964" w14:textId="6B48D8C2" w:rsidR="00F262B0" w:rsidRPr="007E4DA1" w:rsidRDefault="00F262B0" w:rsidP="001A6584">
      <w:pPr>
        <w:pStyle w:val="CommentText"/>
        <w:tabs>
          <w:tab w:val="clear" w:pos="567"/>
          <w:tab w:val="left" w:pos="142"/>
        </w:tabs>
        <w:spacing w:line="240" w:lineRule="auto"/>
        <w:rPr>
          <w:sz w:val="22"/>
          <w:szCs w:val="22"/>
          <w:lang w:val="pl-PL"/>
        </w:rPr>
      </w:pPr>
      <w:r w:rsidRPr="007E4DA1">
        <w:rPr>
          <w:sz w:val="22"/>
          <w:szCs w:val="22"/>
          <w:lang w:val="pl-PL"/>
        </w:rPr>
        <w:t xml:space="preserve">Odpowiedź ze strony </w:t>
      </w:r>
      <w:r w:rsidR="007470D4" w:rsidRPr="007E4DA1">
        <w:rPr>
          <w:sz w:val="22"/>
          <w:szCs w:val="22"/>
          <w:lang w:val="pl-PL"/>
        </w:rPr>
        <w:t>płytek</w:t>
      </w:r>
      <w:r w:rsidRPr="007E4DA1">
        <w:rPr>
          <w:sz w:val="22"/>
          <w:szCs w:val="22"/>
          <w:lang w:val="pl-PL"/>
        </w:rPr>
        <w:t xml:space="preserve"> krwi</w:t>
      </w:r>
      <w:r w:rsidR="009B24EA" w:rsidRPr="007E4DA1">
        <w:rPr>
          <w:sz w:val="22"/>
          <w:szCs w:val="22"/>
          <w:lang w:val="pl-PL"/>
        </w:rPr>
        <w:t>,</w:t>
      </w:r>
      <w:r w:rsidRPr="007E4DA1">
        <w:rPr>
          <w:sz w:val="22"/>
          <w:szCs w:val="22"/>
          <w:lang w:val="pl-PL"/>
        </w:rPr>
        <w:t xml:space="preserve"> definiowaną jako liczbę płytek krwi ≥50 000/µl występującą co najmniej jeden raz do tygodnia</w:t>
      </w:r>
      <w:r w:rsidR="00DC1C12" w:rsidRPr="007E4DA1">
        <w:rPr>
          <w:sz w:val="22"/>
          <w:szCs w:val="22"/>
          <w:lang w:val="pl-PL"/>
        </w:rPr>
        <w:t> </w:t>
      </w:r>
      <w:r w:rsidRPr="007E4DA1">
        <w:rPr>
          <w:sz w:val="22"/>
          <w:szCs w:val="22"/>
          <w:lang w:val="pl-PL"/>
        </w:rPr>
        <w:t xml:space="preserve">9. bez zastosowania terapii ratunkowej osiągnięto u 84% (95% CI: 71% do 93%) pacjentów z nowo rozpoznaną ITP, </w:t>
      </w:r>
      <w:r w:rsidR="003811FB" w:rsidRPr="007E4DA1">
        <w:rPr>
          <w:sz w:val="22"/>
          <w:szCs w:val="22"/>
          <w:lang w:val="pl-PL"/>
        </w:rPr>
        <w:t xml:space="preserve">u </w:t>
      </w:r>
      <w:r w:rsidRPr="007E4DA1">
        <w:rPr>
          <w:sz w:val="22"/>
          <w:szCs w:val="22"/>
          <w:lang w:val="pl-PL"/>
        </w:rPr>
        <w:t>91% (95% CI: 70% do 99%) i 94% (95% CI: 73% do 100%</w:t>
      </w:r>
      <w:r w:rsidR="003811FB" w:rsidRPr="007E4DA1">
        <w:rPr>
          <w:sz w:val="22"/>
          <w:szCs w:val="22"/>
          <w:lang w:val="pl-PL"/>
        </w:rPr>
        <w:t>) pacjentów z</w:t>
      </w:r>
      <w:r w:rsidR="00161C01" w:rsidRPr="007E4DA1">
        <w:rPr>
          <w:sz w:val="22"/>
          <w:szCs w:val="22"/>
          <w:lang w:val="pl-PL"/>
        </w:rPr>
        <w:t xml:space="preserve"> przetrwałą</w:t>
      </w:r>
      <w:r w:rsidR="003811FB" w:rsidRPr="007E4DA1">
        <w:rPr>
          <w:sz w:val="22"/>
          <w:szCs w:val="22"/>
          <w:lang w:val="pl-PL"/>
        </w:rPr>
        <w:t xml:space="preserve"> ITP (tj. czas</w:t>
      </w:r>
      <w:r w:rsidR="00161C01" w:rsidRPr="007E4DA1">
        <w:rPr>
          <w:sz w:val="22"/>
          <w:szCs w:val="22"/>
          <w:lang w:val="pl-PL"/>
        </w:rPr>
        <w:t xml:space="preserve"> od rozpoznania</w:t>
      </w:r>
      <w:r w:rsidR="003811FB" w:rsidRPr="007E4DA1">
        <w:rPr>
          <w:sz w:val="22"/>
          <w:szCs w:val="22"/>
          <w:lang w:val="pl-PL"/>
        </w:rPr>
        <w:t xml:space="preserve"> ITP odpowiednio od 3 do &lt;6</w:t>
      </w:r>
      <w:r w:rsidR="00DC1C12" w:rsidRPr="007E4DA1">
        <w:rPr>
          <w:sz w:val="22"/>
          <w:szCs w:val="22"/>
          <w:lang w:val="pl-PL"/>
        </w:rPr>
        <w:t> </w:t>
      </w:r>
      <w:r w:rsidR="003811FB" w:rsidRPr="007E4DA1">
        <w:rPr>
          <w:sz w:val="22"/>
          <w:szCs w:val="22"/>
          <w:lang w:val="pl-PL"/>
        </w:rPr>
        <w:t xml:space="preserve">miesięcy i od 6 do </w:t>
      </w:r>
      <w:r w:rsidR="00BD31FF" w:rsidRPr="007E4DA1">
        <w:rPr>
          <w:sz w:val="22"/>
          <w:szCs w:val="22"/>
          <w:lang w:val="pl-PL"/>
        </w:rPr>
        <w:t xml:space="preserve">≤ </w:t>
      </w:r>
      <w:r w:rsidR="003811FB" w:rsidRPr="007E4DA1">
        <w:rPr>
          <w:sz w:val="22"/>
          <w:szCs w:val="22"/>
          <w:lang w:val="pl-PL"/>
        </w:rPr>
        <w:t>12</w:t>
      </w:r>
      <w:r w:rsidR="00DC1C12" w:rsidRPr="007E4DA1">
        <w:rPr>
          <w:sz w:val="22"/>
          <w:szCs w:val="22"/>
          <w:lang w:val="pl-PL"/>
        </w:rPr>
        <w:t> </w:t>
      </w:r>
      <w:r w:rsidR="003811FB" w:rsidRPr="007E4DA1">
        <w:rPr>
          <w:sz w:val="22"/>
          <w:szCs w:val="22"/>
          <w:lang w:val="pl-PL"/>
        </w:rPr>
        <w:t>miesięcy) oraz u 87% (95% CI: 60% do 98%) u pacjentów z przewlekłą ITP.</w:t>
      </w:r>
    </w:p>
    <w:p w14:paraId="40CD6832" w14:textId="6456D29E" w:rsidR="003811FB" w:rsidRPr="007E4DA1" w:rsidRDefault="003811FB" w:rsidP="001A6584">
      <w:pPr>
        <w:pStyle w:val="CommentText"/>
        <w:tabs>
          <w:tab w:val="clear" w:pos="567"/>
          <w:tab w:val="left" w:pos="142"/>
        </w:tabs>
        <w:spacing w:line="240" w:lineRule="auto"/>
        <w:rPr>
          <w:sz w:val="22"/>
          <w:szCs w:val="22"/>
          <w:lang w:val="pl-PL"/>
        </w:rPr>
      </w:pPr>
    </w:p>
    <w:p w14:paraId="71DAF31A" w14:textId="64B07F4A" w:rsidR="003811FB" w:rsidRPr="007E4DA1" w:rsidRDefault="003811FB" w:rsidP="001A6584">
      <w:pPr>
        <w:pStyle w:val="CommentText"/>
        <w:tabs>
          <w:tab w:val="clear" w:pos="567"/>
          <w:tab w:val="left" w:pos="142"/>
        </w:tabs>
        <w:spacing w:line="240" w:lineRule="auto"/>
        <w:rPr>
          <w:sz w:val="22"/>
          <w:szCs w:val="22"/>
          <w:lang w:val="pl-PL"/>
        </w:rPr>
      </w:pPr>
      <w:r w:rsidRPr="007E4DA1">
        <w:rPr>
          <w:sz w:val="22"/>
          <w:szCs w:val="22"/>
          <w:lang w:val="pl-PL"/>
        </w:rPr>
        <w:t>Odsetek odpowiedzi całkowitej, definiowanej jako liczba płytek krwi ≥100 000/µl występująca przynajmniej jeden raz do tygodnia</w:t>
      </w:r>
      <w:r w:rsidR="00DC1C12" w:rsidRPr="007E4DA1">
        <w:rPr>
          <w:sz w:val="22"/>
          <w:szCs w:val="22"/>
          <w:lang w:val="pl-PL"/>
        </w:rPr>
        <w:t> </w:t>
      </w:r>
      <w:r w:rsidRPr="007E4DA1">
        <w:rPr>
          <w:sz w:val="22"/>
          <w:szCs w:val="22"/>
          <w:lang w:val="pl-PL"/>
        </w:rPr>
        <w:t xml:space="preserve">9. bez stosowania terapii ratunkowej wyniósł 75% (95% CI: 60% do 86%) </w:t>
      </w:r>
      <w:r w:rsidR="00161C01" w:rsidRPr="007E4DA1">
        <w:rPr>
          <w:sz w:val="22"/>
          <w:szCs w:val="22"/>
          <w:lang w:val="pl-PL"/>
        </w:rPr>
        <w:t xml:space="preserve">u </w:t>
      </w:r>
      <w:r w:rsidRPr="007E4DA1">
        <w:rPr>
          <w:sz w:val="22"/>
          <w:szCs w:val="22"/>
          <w:lang w:val="pl-PL"/>
        </w:rPr>
        <w:t>pacjentów z nowo rozpoznaną ITP, 76% (95% CI: 53% do 92%) i 72% (95% CI: 4</w:t>
      </w:r>
      <w:r w:rsidR="003B1CF4" w:rsidRPr="007E4DA1">
        <w:rPr>
          <w:sz w:val="22"/>
          <w:szCs w:val="22"/>
          <w:lang w:val="pl-PL"/>
        </w:rPr>
        <w:t>7</w:t>
      </w:r>
      <w:r w:rsidRPr="007E4DA1">
        <w:rPr>
          <w:sz w:val="22"/>
          <w:szCs w:val="22"/>
          <w:lang w:val="pl-PL"/>
        </w:rPr>
        <w:t xml:space="preserve">% do 90%) </w:t>
      </w:r>
      <w:r w:rsidR="003B1CF4" w:rsidRPr="007E4DA1">
        <w:rPr>
          <w:sz w:val="22"/>
          <w:szCs w:val="22"/>
          <w:lang w:val="pl-PL"/>
        </w:rPr>
        <w:t xml:space="preserve">u </w:t>
      </w:r>
      <w:r w:rsidRPr="007E4DA1">
        <w:rPr>
          <w:sz w:val="22"/>
          <w:szCs w:val="22"/>
          <w:lang w:val="pl-PL"/>
        </w:rPr>
        <w:t>pacjentów z</w:t>
      </w:r>
      <w:r w:rsidR="00161C01" w:rsidRPr="007E4DA1">
        <w:rPr>
          <w:sz w:val="22"/>
          <w:szCs w:val="22"/>
          <w:lang w:val="pl-PL"/>
        </w:rPr>
        <w:t xml:space="preserve"> przetrwałą</w:t>
      </w:r>
      <w:r w:rsidRPr="007E4DA1">
        <w:rPr>
          <w:sz w:val="22"/>
          <w:szCs w:val="22"/>
          <w:lang w:val="pl-PL"/>
        </w:rPr>
        <w:t xml:space="preserve"> ITP (</w:t>
      </w:r>
      <w:r w:rsidR="009B24EA" w:rsidRPr="007E4DA1">
        <w:rPr>
          <w:sz w:val="22"/>
          <w:szCs w:val="22"/>
          <w:lang w:val="pl-PL"/>
        </w:rPr>
        <w:t>rozpoznanie</w:t>
      </w:r>
      <w:r w:rsidRPr="007E4DA1">
        <w:rPr>
          <w:sz w:val="22"/>
          <w:szCs w:val="22"/>
          <w:lang w:val="pl-PL"/>
        </w:rPr>
        <w:t xml:space="preserve"> ITP odpowiednio od 3 do &lt;6</w:t>
      </w:r>
      <w:r w:rsidR="00DC1C12" w:rsidRPr="007E4DA1">
        <w:rPr>
          <w:sz w:val="22"/>
          <w:szCs w:val="22"/>
          <w:lang w:val="pl-PL"/>
        </w:rPr>
        <w:t> </w:t>
      </w:r>
      <w:r w:rsidRPr="007E4DA1">
        <w:rPr>
          <w:sz w:val="22"/>
          <w:szCs w:val="22"/>
          <w:lang w:val="pl-PL"/>
        </w:rPr>
        <w:t xml:space="preserve">miesięcy i od 6 do </w:t>
      </w:r>
      <w:r w:rsidR="00234A4C" w:rsidRPr="007E4DA1">
        <w:rPr>
          <w:sz w:val="22"/>
          <w:szCs w:val="22"/>
          <w:lang w:val="pl-PL"/>
        </w:rPr>
        <w:t>≤</w:t>
      </w:r>
      <w:r w:rsidRPr="007E4DA1">
        <w:rPr>
          <w:sz w:val="22"/>
          <w:szCs w:val="22"/>
          <w:lang w:val="pl-PL"/>
        </w:rPr>
        <w:t>12</w:t>
      </w:r>
      <w:r w:rsidR="00DC1C12" w:rsidRPr="007E4DA1">
        <w:rPr>
          <w:sz w:val="22"/>
          <w:szCs w:val="22"/>
          <w:lang w:val="pl-PL"/>
        </w:rPr>
        <w:t> </w:t>
      </w:r>
      <w:r w:rsidRPr="007E4DA1">
        <w:rPr>
          <w:sz w:val="22"/>
          <w:szCs w:val="22"/>
          <w:lang w:val="pl-PL"/>
        </w:rPr>
        <w:t>miesięcy) oraz u 87% (95% CI: 60% do 98%) u pacjentów z przewlekłą ITP.</w:t>
      </w:r>
    </w:p>
    <w:p w14:paraId="2E6BCD8C" w14:textId="77777777" w:rsidR="00C30CB1" w:rsidRPr="007E4DA1" w:rsidRDefault="00C30CB1" w:rsidP="001A6584">
      <w:pPr>
        <w:pStyle w:val="CommentText"/>
        <w:tabs>
          <w:tab w:val="clear" w:pos="567"/>
          <w:tab w:val="left" w:pos="142"/>
        </w:tabs>
        <w:spacing w:line="240" w:lineRule="auto"/>
        <w:rPr>
          <w:sz w:val="22"/>
          <w:szCs w:val="22"/>
          <w:lang w:val="pl-PL"/>
        </w:rPr>
      </w:pPr>
    </w:p>
    <w:p w14:paraId="33D51125" w14:textId="1ED9E5FC" w:rsidR="003811FB" w:rsidRPr="007E4DA1" w:rsidRDefault="003811FB" w:rsidP="001A6584">
      <w:pPr>
        <w:pStyle w:val="CommentText"/>
        <w:tabs>
          <w:tab w:val="clear" w:pos="567"/>
          <w:tab w:val="left" w:pos="142"/>
        </w:tabs>
        <w:spacing w:line="240" w:lineRule="auto"/>
        <w:rPr>
          <w:sz w:val="22"/>
          <w:szCs w:val="22"/>
          <w:lang w:val="pl-PL"/>
        </w:rPr>
      </w:pPr>
      <w:r w:rsidRPr="007E4DA1">
        <w:rPr>
          <w:sz w:val="22"/>
          <w:szCs w:val="22"/>
          <w:lang w:val="pl-PL"/>
        </w:rPr>
        <w:t>Odsetek trwałej odpowiedzi, definiowan</w:t>
      </w:r>
      <w:r w:rsidR="00161C01" w:rsidRPr="007E4DA1">
        <w:rPr>
          <w:sz w:val="22"/>
          <w:szCs w:val="22"/>
          <w:lang w:val="pl-PL"/>
        </w:rPr>
        <w:t>ej</w:t>
      </w:r>
      <w:r w:rsidR="007D03C8" w:rsidRPr="007E4DA1">
        <w:rPr>
          <w:sz w:val="22"/>
          <w:szCs w:val="22"/>
          <w:lang w:val="pl-PL"/>
        </w:rPr>
        <w:t xml:space="preserve"> </w:t>
      </w:r>
      <w:r w:rsidRPr="007E4DA1">
        <w:rPr>
          <w:sz w:val="22"/>
          <w:szCs w:val="22"/>
          <w:lang w:val="pl-PL"/>
        </w:rPr>
        <w:t>jako liczba płytek krwi ≥</w:t>
      </w:r>
      <w:r w:rsidR="00C30CB1" w:rsidRPr="007E4DA1">
        <w:rPr>
          <w:sz w:val="22"/>
          <w:szCs w:val="22"/>
          <w:lang w:val="pl-PL"/>
        </w:rPr>
        <w:t>5</w:t>
      </w:r>
      <w:r w:rsidRPr="007E4DA1">
        <w:rPr>
          <w:sz w:val="22"/>
          <w:szCs w:val="22"/>
          <w:lang w:val="pl-PL"/>
        </w:rPr>
        <w:t xml:space="preserve">0 000/µl występująca </w:t>
      </w:r>
      <w:r w:rsidR="00C30CB1" w:rsidRPr="007E4DA1">
        <w:rPr>
          <w:sz w:val="22"/>
          <w:szCs w:val="22"/>
          <w:lang w:val="pl-PL"/>
        </w:rPr>
        <w:t xml:space="preserve">w </w:t>
      </w:r>
      <w:r w:rsidRPr="007E4DA1">
        <w:rPr>
          <w:sz w:val="22"/>
          <w:szCs w:val="22"/>
          <w:lang w:val="pl-PL"/>
        </w:rPr>
        <w:t xml:space="preserve">przynajmniej </w:t>
      </w:r>
      <w:r w:rsidR="00C30CB1" w:rsidRPr="007E4DA1">
        <w:rPr>
          <w:sz w:val="22"/>
          <w:szCs w:val="22"/>
          <w:lang w:val="pl-PL"/>
        </w:rPr>
        <w:t xml:space="preserve">6 z 8 kolejnych oznaczeń </w:t>
      </w:r>
      <w:r w:rsidRPr="007E4DA1">
        <w:rPr>
          <w:sz w:val="22"/>
          <w:szCs w:val="22"/>
          <w:lang w:val="pl-PL"/>
        </w:rPr>
        <w:t>bez stosowania terapii ratunkowej</w:t>
      </w:r>
      <w:r w:rsidR="00C30CB1" w:rsidRPr="007E4DA1">
        <w:rPr>
          <w:sz w:val="22"/>
          <w:szCs w:val="22"/>
          <w:lang w:val="pl-PL"/>
        </w:rPr>
        <w:t xml:space="preserve"> w ciągu pierwszych 6</w:t>
      </w:r>
      <w:r w:rsidR="00DC1C12" w:rsidRPr="007E4DA1">
        <w:rPr>
          <w:sz w:val="22"/>
          <w:szCs w:val="22"/>
          <w:lang w:val="pl-PL"/>
        </w:rPr>
        <w:t> </w:t>
      </w:r>
      <w:r w:rsidR="00C30CB1" w:rsidRPr="007E4DA1">
        <w:rPr>
          <w:sz w:val="22"/>
          <w:szCs w:val="22"/>
          <w:lang w:val="pl-PL"/>
        </w:rPr>
        <w:t>miesięcy</w:t>
      </w:r>
      <w:r w:rsidR="003B1CF4" w:rsidRPr="007E4DA1">
        <w:rPr>
          <w:sz w:val="22"/>
          <w:szCs w:val="22"/>
          <w:lang w:val="pl-PL"/>
        </w:rPr>
        <w:t xml:space="preserve"> udziału w</w:t>
      </w:r>
      <w:r w:rsidR="00C30CB1" w:rsidRPr="007E4DA1">
        <w:rPr>
          <w:sz w:val="22"/>
          <w:szCs w:val="22"/>
          <w:lang w:val="pl-PL"/>
        </w:rPr>
        <w:t xml:space="preserve"> badani</w:t>
      </w:r>
      <w:r w:rsidR="003B1CF4" w:rsidRPr="007E4DA1">
        <w:rPr>
          <w:sz w:val="22"/>
          <w:szCs w:val="22"/>
          <w:lang w:val="pl-PL"/>
        </w:rPr>
        <w:t>u</w:t>
      </w:r>
      <w:r w:rsidR="00C30CB1" w:rsidRPr="007E4DA1">
        <w:rPr>
          <w:sz w:val="22"/>
          <w:szCs w:val="22"/>
          <w:lang w:val="pl-PL"/>
        </w:rPr>
        <w:t xml:space="preserve"> wyniósł 71% (95% CI: 56% do 83%) u pacjentów z nowo rozpoznaną ITP, 81% (95% CI: 58% do 95%) i 72% (95% CI: 47% do 90,3%) u pacjentów z </w:t>
      </w:r>
      <w:r w:rsidR="00161C01" w:rsidRPr="007E4DA1">
        <w:rPr>
          <w:sz w:val="22"/>
          <w:szCs w:val="22"/>
          <w:lang w:val="pl-PL"/>
        </w:rPr>
        <w:t>przetrwałą</w:t>
      </w:r>
      <w:r w:rsidR="00C30CB1" w:rsidRPr="007E4DA1">
        <w:rPr>
          <w:sz w:val="22"/>
          <w:szCs w:val="22"/>
          <w:lang w:val="pl-PL"/>
        </w:rPr>
        <w:t xml:space="preserve"> ITP (</w:t>
      </w:r>
      <w:r w:rsidR="00396B44" w:rsidRPr="007E4DA1">
        <w:rPr>
          <w:sz w:val="22"/>
          <w:szCs w:val="22"/>
          <w:lang w:val="pl-PL"/>
        </w:rPr>
        <w:t>rozpoznanie</w:t>
      </w:r>
      <w:r w:rsidR="00C30CB1" w:rsidRPr="007E4DA1">
        <w:rPr>
          <w:sz w:val="22"/>
          <w:szCs w:val="22"/>
          <w:lang w:val="pl-PL"/>
        </w:rPr>
        <w:t xml:space="preserve"> ITP odpowiednio od 3 do &lt;6</w:t>
      </w:r>
      <w:r w:rsidR="00DC1C12" w:rsidRPr="007E4DA1">
        <w:rPr>
          <w:sz w:val="22"/>
          <w:szCs w:val="22"/>
          <w:lang w:val="pl-PL"/>
        </w:rPr>
        <w:t> </w:t>
      </w:r>
      <w:r w:rsidR="00C30CB1" w:rsidRPr="007E4DA1">
        <w:rPr>
          <w:sz w:val="22"/>
          <w:szCs w:val="22"/>
          <w:lang w:val="pl-PL"/>
        </w:rPr>
        <w:t xml:space="preserve">miesięcy i od 6 do </w:t>
      </w:r>
      <w:r w:rsidR="00BD5C76" w:rsidRPr="007E4DA1">
        <w:rPr>
          <w:sz w:val="22"/>
          <w:szCs w:val="22"/>
          <w:lang w:val="pl-PL"/>
        </w:rPr>
        <w:t>≤</w:t>
      </w:r>
      <w:r w:rsidR="00C30CB1" w:rsidRPr="007E4DA1">
        <w:rPr>
          <w:sz w:val="22"/>
          <w:szCs w:val="22"/>
          <w:lang w:val="pl-PL"/>
        </w:rPr>
        <w:t>12</w:t>
      </w:r>
      <w:r w:rsidR="00DC1C12" w:rsidRPr="007E4DA1">
        <w:rPr>
          <w:sz w:val="22"/>
          <w:szCs w:val="22"/>
          <w:lang w:val="pl-PL"/>
        </w:rPr>
        <w:t> </w:t>
      </w:r>
      <w:r w:rsidR="00C30CB1" w:rsidRPr="007E4DA1">
        <w:rPr>
          <w:sz w:val="22"/>
          <w:szCs w:val="22"/>
          <w:lang w:val="pl-PL"/>
        </w:rPr>
        <w:t>miesięcy) oraz u 8</w:t>
      </w:r>
      <w:r w:rsidR="00B96A98" w:rsidRPr="007E4DA1">
        <w:rPr>
          <w:sz w:val="22"/>
          <w:szCs w:val="22"/>
          <w:lang w:val="pl-PL"/>
        </w:rPr>
        <w:t>0</w:t>
      </w:r>
      <w:r w:rsidR="00C30CB1" w:rsidRPr="007E4DA1">
        <w:rPr>
          <w:sz w:val="22"/>
          <w:szCs w:val="22"/>
          <w:lang w:val="pl-PL"/>
        </w:rPr>
        <w:t xml:space="preserve">% (95% CI: </w:t>
      </w:r>
      <w:r w:rsidR="00B96A98" w:rsidRPr="007E4DA1">
        <w:rPr>
          <w:sz w:val="22"/>
          <w:szCs w:val="22"/>
          <w:lang w:val="pl-PL"/>
        </w:rPr>
        <w:t>52</w:t>
      </w:r>
      <w:r w:rsidR="00C30CB1" w:rsidRPr="007E4DA1">
        <w:rPr>
          <w:sz w:val="22"/>
          <w:szCs w:val="22"/>
          <w:lang w:val="pl-PL"/>
        </w:rPr>
        <w:t>% do 9</w:t>
      </w:r>
      <w:r w:rsidR="00B96A98" w:rsidRPr="007E4DA1">
        <w:rPr>
          <w:sz w:val="22"/>
          <w:szCs w:val="22"/>
          <w:lang w:val="pl-PL"/>
        </w:rPr>
        <w:t>6</w:t>
      </w:r>
      <w:r w:rsidR="00C30CB1" w:rsidRPr="007E4DA1">
        <w:rPr>
          <w:sz w:val="22"/>
          <w:szCs w:val="22"/>
          <w:lang w:val="pl-PL"/>
        </w:rPr>
        <w:t>%) u pacjentów z przewlekłą ITP.</w:t>
      </w:r>
    </w:p>
    <w:p w14:paraId="58B2B4EE" w14:textId="3F0FB8B5" w:rsidR="00B96A98" w:rsidRPr="007E4DA1" w:rsidRDefault="00B96A98" w:rsidP="001A6584">
      <w:pPr>
        <w:pStyle w:val="CommentText"/>
        <w:tabs>
          <w:tab w:val="clear" w:pos="567"/>
          <w:tab w:val="left" w:pos="142"/>
        </w:tabs>
        <w:spacing w:line="240" w:lineRule="auto"/>
        <w:rPr>
          <w:sz w:val="22"/>
          <w:szCs w:val="22"/>
          <w:lang w:val="pl-PL"/>
        </w:rPr>
      </w:pPr>
    </w:p>
    <w:p w14:paraId="592DBBF0" w14:textId="4068AB36" w:rsidR="00B96A98" w:rsidRPr="007E4DA1" w:rsidRDefault="00B96A98" w:rsidP="001A6584">
      <w:pPr>
        <w:pStyle w:val="CommentText"/>
        <w:tabs>
          <w:tab w:val="clear" w:pos="567"/>
          <w:tab w:val="left" w:pos="142"/>
        </w:tabs>
        <w:spacing w:line="240" w:lineRule="auto"/>
        <w:rPr>
          <w:sz w:val="22"/>
          <w:szCs w:val="22"/>
          <w:lang w:val="pl-PL"/>
        </w:rPr>
      </w:pPr>
      <w:r w:rsidRPr="007E4DA1">
        <w:rPr>
          <w:sz w:val="22"/>
          <w:szCs w:val="22"/>
          <w:lang w:val="pl-PL"/>
        </w:rPr>
        <w:t>Gdy oceny dokonywano w oparciu o skalę krwawienia WHO, odsetek pacjentów z nowo rozpoznaną ITP i</w:t>
      </w:r>
      <w:r w:rsidR="00161C01" w:rsidRPr="007E4DA1">
        <w:rPr>
          <w:sz w:val="22"/>
          <w:szCs w:val="22"/>
          <w:lang w:val="pl-PL"/>
        </w:rPr>
        <w:t xml:space="preserve"> przetrwałą</w:t>
      </w:r>
      <w:r w:rsidRPr="007E4DA1">
        <w:rPr>
          <w:sz w:val="22"/>
          <w:szCs w:val="22"/>
          <w:lang w:val="pl-PL"/>
        </w:rPr>
        <w:t xml:space="preserve"> ITP bez krwawienia w tygodniu</w:t>
      </w:r>
      <w:r w:rsidR="00DC1C12" w:rsidRPr="007E4DA1">
        <w:rPr>
          <w:sz w:val="22"/>
          <w:szCs w:val="22"/>
          <w:lang w:val="pl-PL"/>
        </w:rPr>
        <w:t> </w:t>
      </w:r>
      <w:r w:rsidRPr="007E4DA1">
        <w:rPr>
          <w:sz w:val="22"/>
          <w:szCs w:val="22"/>
          <w:lang w:val="pl-PL"/>
        </w:rPr>
        <w:t>4. wahał się od 88% do 95% w porównaniu z 37% do 57% w punkcie początkowym. W przypadku pacjentów z przewlekłą ITP odsetek ten wyniósł 93% w porównaniu z 73% w punkcie początkowym.</w:t>
      </w:r>
    </w:p>
    <w:p w14:paraId="4652678A" w14:textId="6698B6E8" w:rsidR="00B96A98" w:rsidRPr="007E4DA1" w:rsidRDefault="00B96A98" w:rsidP="001A6584">
      <w:pPr>
        <w:pStyle w:val="CommentText"/>
        <w:tabs>
          <w:tab w:val="clear" w:pos="567"/>
          <w:tab w:val="left" w:pos="142"/>
        </w:tabs>
        <w:spacing w:line="240" w:lineRule="auto"/>
        <w:rPr>
          <w:sz w:val="22"/>
          <w:szCs w:val="22"/>
          <w:lang w:val="pl-PL"/>
        </w:rPr>
      </w:pPr>
    </w:p>
    <w:p w14:paraId="0BADCE08" w14:textId="39E9B406" w:rsidR="00B96A98" w:rsidRPr="007E4DA1" w:rsidRDefault="00B96A98" w:rsidP="001A6584">
      <w:pPr>
        <w:pStyle w:val="CommentText"/>
        <w:tabs>
          <w:tab w:val="clear" w:pos="567"/>
          <w:tab w:val="left" w:pos="142"/>
        </w:tabs>
        <w:spacing w:line="240" w:lineRule="auto"/>
        <w:rPr>
          <w:sz w:val="22"/>
          <w:szCs w:val="22"/>
          <w:lang w:val="pl-PL"/>
        </w:rPr>
      </w:pPr>
      <w:r w:rsidRPr="007E4DA1">
        <w:rPr>
          <w:sz w:val="22"/>
          <w:szCs w:val="22"/>
          <w:lang w:val="pl-PL"/>
        </w:rPr>
        <w:t>Bezpieczeństwo stosowania eltrombopagu było spójne we wszystkich kategoriach ITP i zgodne ze znanym profilem bezpieczeństwa eltrombopagu.</w:t>
      </w:r>
    </w:p>
    <w:p w14:paraId="55AC0CA4" w14:textId="77777777" w:rsidR="00B96A98" w:rsidRPr="007E4DA1" w:rsidRDefault="00B96A98" w:rsidP="001A6584">
      <w:pPr>
        <w:pStyle w:val="CommentText"/>
        <w:tabs>
          <w:tab w:val="clear" w:pos="567"/>
          <w:tab w:val="left" w:pos="142"/>
        </w:tabs>
        <w:spacing w:line="240" w:lineRule="auto"/>
        <w:rPr>
          <w:sz w:val="22"/>
          <w:szCs w:val="22"/>
          <w:lang w:val="pl-PL"/>
        </w:rPr>
      </w:pPr>
    </w:p>
    <w:p w14:paraId="51420F53" w14:textId="69401D82" w:rsidR="003423EA" w:rsidRPr="007E4DA1" w:rsidRDefault="003423EA" w:rsidP="001A6584">
      <w:pPr>
        <w:pStyle w:val="CommentText"/>
        <w:tabs>
          <w:tab w:val="clear" w:pos="567"/>
          <w:tab w:val="left" w:pos="142"/>
        </w:tabs>
        <w:spacing w:line="240" w:lineRule="auto"/>
        <w:rPr>
          <w:sz w:val="22"/>
          <w:szCs w:val="22"/>
          <w:lang w:val="pl-PL"/>
        </w:rPr>
      </w:pPr>
      <w:r w:rsidRPr="007E4DA1">
        <w:rPr>
          <w:sz w:val="22"/>
          <w:szCs w:val="22"/>
          <w:lang w:val="pl-PL"/>
        </w:rPr>
        <w:t>Nie przeprowadzono badań klinicznych porównujących eltrombopag do innych opcji leczenia (np. splenektomii). Należy wziąć pod uwagę wyniki długoterminowych badań dotyczących bezpieczeństwa stosowania eltrombopagu przed rozpoczęciem terapii.</w:t>
      </w:r>
    </w:p>
    <w:p w14:paraId="6E52C2C2" w14:textId="77777777" w:rsidR="00802FF6" w:rsidRPr="007E4DA1" w:rsidRDefault="00802FF6" w:rsidP="001A6584">
      <w:pPr>
        <w:tabs>
          <w:tab w:val="left" w:pos="142"/>
        </w:tabs>
        <w:ind w:left="0" w:firstLine="0"/>
      </w:pPr>
    </w:p>
    <w:p w14:paraId="6CDE7032" w14:textId="77777777" w:rsidR="00041A08" w:rsidRPr="00041A08" w:rsidRDefault="00792993" w:rsidP="001A6584">
      <w:pPr>
        <w:keepNext/>
        <w:tabs>
          <w:tab w:val="left" w:pos="142"/>
        </w:tabs>
        <w:ind w:left="0" w:firstLine="0"/>
      </w:pPr>
      <w:r w:rsidRPr="007E4DA1">
        <w:rPr>
          <w:i/>
        </w:rPr>
        <w:t>Dzieci i młodzież (w wieku od 1 roku do 17</w:t>
      </w:r>
      <w:r w:rsidR="002B3D7F" w:rsidRPr="007E4DA1">
        <w:rPr>
          <w:i/>
        </w:rPr>
        <w:t> </w:t>
      </w:r>
      <w:r w:rsidRPr="007E4DA1">
        <w:rPr>
          <w:i/>
        </w:rPr>
        <w:t>lat)</w:t>
      </w:r>
    </w:p>
    <w:p w14:paraId="2D024FF6" w14:textId="1F49CA31" w:rsidR="00792993" w:rsidRPr="007E4DA1" w:rsidRDefault="00792993" w:rsidP="001A6584">
      <w:pPr>
        <w:tabs>
          <w:tab w:val="left" w:pos="142"/>
        </w:tabs>
        <w:ind w:left="0" w:firstLine="0"/>
      </w:pPr>
      <w:r w:rsidRPr="007E4DA1">
        <w:t>Bezpieczeństwo stosowania i skuteczność eltrombopagu u dzieci i młodzieży analizowano w dwóch badaniach.</w:t>
      </w:r>
    </w:p>
    <w:p w14:paraId="4CC25C1F" w14:textId="77777777" w:rsidR="00792993" w:rsidRPr="007E4DA1" w:rsidRDefault="00792993" w:rsidP="001A6584">
      <w:pPr>
        <w:tabs>
          <w:tab w:val="left" w:pos="142"/>
        </w:tabs>
        <w:ind w:left="0" w:firstLine="0"/>
      </w:pPr>
    </w:p>
    <w:p w14:paraId="72E092C5" w14:textId="2858AC12" w:rsidR="00396B44" w:rsidRPr="007E4DA1" w:rsidRDefault="00792993" w:rsidP="001A6584">
      <w:pPr>
        <w:keepNext/>
        <w:tabs>
          <w:tab w:val="left" w:pos="142"/>
        </w:tabs>
        <w:ind w:left="0" w:firstLine="0"/>
        <w:rPr>
          <w:iCs/>
        </w:rPr>
      </w:pPr>
      <w:r w:rsidRPr="001742B3">
        <w:rPr>
          <w:iCs/>
        </w:rPr>
        <w:t>TRA115450 (PETIT2)</w:t>
      </w:r>
      <w:r w:rsidRPr="007E4DA1">
        <w:rPr>
          <w:iCs/>
        </w:rPr>
        <w:t>:</w:t>
      </w:r>
    </w:p>
    <w:p w14:paraId="5754DD3D" w14:textId="13BDC94F" w:rsidR="00792993" w:rsidRPr="007E4DA1" w:rsidRDefault="00792993" w:rsidP="001A6584">
      <w:pPr>
        <w:tabs>
          <w:tab w:val="left" w:pos="142"/>
        </w:tabs>
        <w:ind w:left="0" w:firstLine="0"/>
      </w:pPr>
      <w:r w:rsidRPr="007E4DA1">
        <w:t>Pierwszorzędowym punktem końcowym była trwała odpowiedź na leczenie definiowana jako odsetek pacjentów otrzymujących eltrombopag, w porównaniu z placebo, u których liczba płytek krwi ≥50</w:t>
      </w:r>
      <w:r w:rsidR="002B3D7F" w:rsidRPr="007E4DA1">
        <w:t> </w:t>
      </w:r>
      <w:r w:rsidRPr="007E4DA1">
        <w:t>000/µl utrzymywała się przez co najmniej 6 z 8</w:t>
      </w:r>
      <w:r w:rsidR="002B3D7F" w:rsidRPr="007E4DA1">
        <w:t> </w:t>
      </w:r>
      <w:r w:rsidRPr="007E4DA1">
        <w:t xml:space="preserve">tygodni (przy braku leczenia doraźnego), pomiędzy </w:t>
      </w:r>
      <w:smartTag w:uri="urn:schemas-microsoft-com:office:smarttags" w:element="metricconverter">
        <w:smartTagPr>
          <w:attr w:name="ProductID" w:val="5. a"/>
        </w:smartTagPr>
        <w:r w:rsidRPr="007E4DA1">
          <w:t>5. a</w:t>
        </w:r>
      </w:smartTag>
      <w:r w:rsidRPr="007E4DA1">
        <w:t xml:space="preserve"> 12.</w:t>
      </w:r>
      <w:r w:rsidR="00350E5B" w:rsidRPr="007E4DA1">
        <w:t> </w:t>
      </w:r>
      <w:r w:rsidRPr="007E4DA1">
        <w:t xml:space="preserve">tygodniem w podwójnie zaślepionym, randomizowanym okresie badania. </w:t>
      </w:r>
      <w:r w:rsidR="002D7073" w:rsidRPr="007E4DA1">
        <w:t>P</w:t>
      </w:r>
      <w:r w:rsidRPr="007E4DA1">
        <w:t>acjen</w:t>
      </w:r>
      <w:r w:rsidR="00136170" w:rsidRPr="007E4DA1">
        <w:t xml:space="preserve">tów z przewlekłą </w:t>
      </w:r>
      <w:r w:rsidR="00F13911" w:rsidRPr="007E4DA1">
        <w:t xml:space="preserve">pierwotną </w:t>
      </w:r>
      <w:r w:rsidR="00136170" w:rsidRPr="007E4DA1">
        <w:t xml:space="preserve">małopłytkowoścą immunologiczną </w:t>
      </w:r>
      <w:r w:rsidR="00173E3B" w:rsidRPr="007E4DA1">
        <w:t>z</w:t>
      </w:r>
      <w:r w:rsidR="002D7073" w:rsidRPr="007E4DA1">
        <w:t>diagnozowan</w:t>
      </w:r>
      <w:r w:rsidR="00173E3B" w:rsidRPr="007E4DA1">
        <w:t>ą</w:t>
      </w:r>
      <w:r w:rsidR="002D7073" w:rsidRPr="007E4DA1">
        <w:t xml:space="preserve"> </w:t>
      </w:r>
      <w:r w:rsidR="00136170" w:rsidRPr="007E4DA1">
        <w:t>prze</w:t>
      </w:r>
      <w:r w:rsidR="00173E3B" w:rsidRPr="007E4DA1">
        <w:t>d</w:t>
      </w:r>
      <w:r w:rsidR="00136170" w:rsidRPr="007E4DA1">
        <w:t xml:space="preserve"> co najmniej 1 rok</w:t>
      </w:r>
      <w:r w:rsidR="00173E3B" w:rsidRPr="007E4DA1">
        <w:t>iem</w:t>
      </w:r>
      <w:r w:rsidR="00136170" w:rsidRPr="007E4DA1">
        <w:t xml:space="preserve"> </w:t>
      </w:r>
      <w:r w:rsidRPr="007E4DA1">
        <w:t xml:space="preserve">stwierdzono oporność lub nawrót choroby po wcześniejszym zastosowaniu przynajmniej jednej terapii przeciwko </w:t>
      </w:r>
      <w:r w:rsidR="00173E3B" w:rsidRPr="007E4DA1">
        <w:t xml:space="preserve">pierwotnej </w:t>
      </w:r>
      <w:r w:rsidRPr="007E4DA1">
        <w:t>małopłytkowości immunologicznej lub brak możliwości kontynuowania innych sposobów leczenia</w:t>
      </w:r>
      <w:r w:rsidR="00173E3B" w:rsidRPr="007E4DA1">
        <w:t xml:space="preserve"> pierwotnej</w:t>
      </w:r>
      <w:r w:rsidRPr="007E4DA1">
        <w:t xml:space="preserve"> małopłytkowości immunologicznej z przyczyn medycznych, a liczba płytek krwi wynosiła &lt;30</w:t>
      </w:r>
      <w:r w:rsidR="005D0C20" w:rsidRPr="007E4DA1">
        <w:t> </w:t>
      </w:r>
      <w:r w:rsidRPr="007E4DA1">
        <w:t>000/µl. Dziewięćdziesięciu dwóch pacjentów zostało losowo przydzielonych (w stosunku 2:1) do grup leczenia otrzymujących eltrombopag (n=63) lub placebo (n=29), ze stratyfikacją według trzech przedziałów wiekowych. Możliwe było dostosowanie dawki eltrombopagu w zależności od liczby płytek krwi u danego pacjenta.</w:t>
      </w:r>
    </w:p>
    <w:p w14:paraId="6DB84E0A" w14:textId="77777777" w:rsidR="00792993" w:rsidRPr="007E4DA1" w:rsidRDefault="00792993" w:rsidP="001A6584">
      <w:pPr>
        <w:tabs>
          <w:tab w:val="left" w:pos="142"/>
        </w:tabs>
        <w:ind w:left="0" w:firstLine="0"/>
      </w:pPr>
    </w:p>
    <w:p w14:paraId="5296D084" w14:textId="088D6884" w:rsidR="00792993" w:rsidRPr="007E4DA1" w:rsidRDefault="00792993" w:rsidP="001A6584">
      <w:pPr>
        <w:tabs>
          <w:tab w:val="left" w:pos="142"/>
        </w:tabs>
        <w:ind w:left="0" w:firstLine="0"/>
      </w:pPr>
      <w:r w:rsidRPr="007E4DA1">
        <w:lastRenderedPageBreak/>
        <w:t>Podsumowując, pierwszorzędowy punkt końcowy został osiągnięty przez istotnie większy odsetek pacjentów otrzymujących eltrombopag (40%) niż pacjentów otrzymujących placebo (3%) (iloraz szans: 18,0 [95% CI: 2,3; 140,9] p</w:t>
      </w:r>
      <w:r w:rsidR="0019521B" w:rsidRPr="007E4DA1">
        <w:t xml:space="preserve"> </w:t>
      </w:r>
      <w:r w:rsidRPr="007E4DA1">
        <w:t>&lt;0,001) i odsetek ten był podobny we wszystkich trzech grupach wiekowych (</w:t>
      </w:r>
      <w:r w:rsidR="00E52F84">
        <w:t>t</w:t>
      </w:r>
      <w:r w:rsidRPr="007E4DA1">
        <w:t>abela</w:t>
      </w:r>
      <w:r w:rsidR="005D0C20" w:rsidRPr="007E4DA1">
        <w:t> </w:t>
      </w:r>
      <w:r w:rsidR="00541154">
        <w:t>10</w:t>
      </w:r>
      <w:r w:rsidRPr="007E4DA1">
        <w:t>).</w:t>
      </w:r>
    </w:p>
    <w:p w14:paraId="7ECA2D98" w14:textId="77777777" w:rsidR="00792993" w:rsidRPr="007E4DA1" w:rsidRDefault="00792993" w:rsidP="001A6584">
      <w:pPr>
        <w:tabs>
          <w:tab w:val="left" w:pos="142"/>
        </w:tabs>
        <w:ind w:left="0" w:firstLine="0"/>
      </w:pPr>
    </w:p>
    <w:p w14:paraId="3E5FB9CC" w14:textId="33EF4DFF" w:rsidR="00041A08" w:rsidRPr="00041A08" w:rsidRDefault="00792993" w:rsidP="001A6584">
      <w:pPr>
        <w:keepNext/>
        <w:tabs>
          <w:tab w:val="left" w:pos="1134"/>
        </w:tabs>
        <w:ind w:left="1134" w:hanging="1134"/>
      </w:pPr>
      <w:r w:rsidRPr="007E4DA1">
        <w:rPr>
          <w:b/>
        </w:rPr>
        <w:t>Tabela</w:t>
      </w:r>
      <w:r w:rsidR="005D0C20" w:rsidRPr="007E4DA1">
        <w:rPr>
          <w:b/>
        </w:rPr>
        <w:t> </w:t>
      </w:r>
      <w:r w:rsidR="00541154">
        <w:rPr>
          <w:b/>
        </w:rPr>
        <w:t>10</w:t>
      </w:r>
      <w:r w:rsidR="005D0C20" w:rsidRPr="007E4DA1">
        <w:rPr>
          <w:b/>
        </w:rPr>
        <w:tab/>
      </w:r>
      <w:r w:rsidRPr="007E4DA1">
        <w:rPr>
          <w:b/>
        </w:rPr>
        <w:t>Wskaźniki trwałej odpowiedzi ze strony płytek krwi w poszczególnych przedziałach wiekowych u dzieci i młodzieży z przewlekłą</w:t>
      </w:r>
      <w:r w:rsidR="00173E3B" w:rsidRPr="007E4DA1">
        <w:rPr>
          <w:b/>
        </w:rPr>
        <w:t xml:space="preserve"> pierwotną</w:t>
      </w:r>
      <w:r w:rsidRPr="007E4DA1">
        <w:rPr>
          <w:b/>
        </w:rPr>
        <w:t xml:space="preserve"> małopłytkowością immunologiczną</w:t>
      </w:r>
    </w:p>
    <w:p w14:paraId="27665A89" w14:textId="4E8779FD" w:rsidR="00990A8B" w:rsidRPr="007E4DA1" w:rsidRDefault="00990A8B" w:rsidP="001A6584">
      <w:pPr>
        <w:keepNext/>
        <w:tabs>
          <w:tab w:val="left" w:pos="142"/>
        </w:tabs>
        <w:ind w:left="0" w:firstLine="0"/>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2"/>
        <w:gridCol w:w="2384"/>
        <w:gridCol w:w="2129"/>
      </w:tblGrid>
      <w:tr w:rsidR="00990A8B" w:rsidRPr="007E4DA1" w14:paraId="15DBBB5A" w14:textId="77777777" w:rsidTr="00D04639">
        <w:tc>
          <w:tcPr>
            <w:tcW w:w="1890" w:type="pct"/>
          </w:tcPr>
          <w:p w14:paraId="1CAC00F4" w14:textId="77777777" w:rsidR="00990A8B" w:rsidRPr="007E4DA1" w:rsidRDefault="00990A8B" w:rsidP="001A6584">
            <w:pPr>
              <w:keepNext/>
              <w:ind w:left="1440" w:hanging="1440"/>
              <w:rPr>
                <w:szCs w:val="22"/>
                <w:lang w:eastAsia="en-US"/>
              </w:rPr>
            </w:pPr>
          </w:p>
        </w:tc>
        <w:tc>
          <w:tcPr>
            <w:tcW w:w="1643" w:type="pct"/>
          </w:tcPr>
          <w:p w14:paraId="0DAD598D" w14:textId="77777777" w:rsidR="00990A8B" w:rsidRPr="007E4DA1" w:rsidRDefault="00990A8B" w:rsidP="001A6584">
            <w:pPr>
              <w:keepNext/>
              <w:ind w:left="0" w:firstLine="0"/>
              <w:jc w:val="center"/>
              <w:rPr>
                <w:szCs w:val="22"/>
                <w:lang w:eastAsia="en-US"/>
              </w:rPr>
            </w:pPr>
            <w:r w:rsidRPr="007E4DA1">
              <w:rPr>
                <w:szCs w:val="22"/>
                <w:lang w:eastAsia="en-US"/>
              </w:rPr>
              <w:t>Eltrombopag</w:t>
            </w:r>
          </w:p>
          <w:p w14:paraId="4E511F95" w14:textId="77777777" w:rsidR="00990A8B" w:rsidRPr="007E4DA1" w:rsidRDefault="00990A8B" w:rsidP="001A6584">
            <w:pPr>
              <w:keepNext/>
              <w:ind w:left="0" w:firstLine="0"/>
              <w:jc w:val="center"/>
              <w:rPr>
                <w:szCs w:val="22"/>
                <w:lang w:eastAsia="en-US"/>
              </w:rPr>
            </w:pPr>
            <w:r w:rsidRPr="007E4DA1">
              <w:rPr>
                <w:szCs w:val="22"/>
                <w:lang w:eastAsia="en-US"/>
              </w:rPr>
              <w:t>n/N (%)</w:t>
            </w:r>
          </w:p>
          <w:p w14:paraId="19357B29" w14:textId="77777777" w:rsidR="00990A8B" w:rsidRPr="007E4DA1" w:rsidRDefault="00990A8B" w:rsidP="001A6584">
            <w:pPr>
              <w:keepNext/>
              <w:ind w:left="0" w:firstLine="0"/>
              <w:jc w:val="center"/>
              <w:rPr>
                <w:szCs w:val="22"/>
                <w:lang w:eastAsia="en-US"/>
              </w:rPr>
            </w:pPr>
            <w:r w:rsidRPr="007E4DA1">
              <w:rPr>
                <w:szCs w:val="22"/>
                <w:lang w:eastAsia="en-US"/>
              </w:rPr>
              <w:t>[95% CI]</w:t>
            </w:r>
          </w:p>
        </w:tc>
        <w:tc>
          <w:tcPr>
            <w:tcW w:w="1467" w:type="pct"/>
            <w:vAlign w:val="bottom"/>
          </w:tcPr>
          <w:p w14:paraId="33C29A2E" w14:textId="77777777" w:rsidR="00990A8B" w:rsidRPr="007E4DA1" w:rsidRDefault="00990A8B" w:rsidP="001A6584">
            <w:pPr>
              <w:keepNext/>
              <w:ind w:left="0" w:firstLine="0"/>
              <w:jc w:val="center"/>
              <w:rPr>
                <w:szCs w:val="22"/>
                <w:lang w:eastAsia="en-US"/>
              </w:rPr>
            </w:pPr>
            <w:r w:rsidRPr="007E4DA1">
              <w:rPr>
                <w:szCs w:val="22"/>
                <w:lang w:eastAsia="en-US"/>
              </w:rPr>
              <w:t>Placebo</w:t>
            </w:r>
          </w:p>
          <w:p w14:paraId="4BA198B9" w14:textId="77777777" w:rsidR="00990A8B" w:rsidRPr="007E4DA1" w:rsidRDefault="00990A8B" w:rsidP="001A6584">
            <w:pPr>
              <w:keepNext/>
              <w:ind w:left="0" w:firstLine="0"/>
              <w:jc w:val="center"/>
              <w:rPr>
                <w:szCs w:val="22"/>
                <w:lang w:eastAsia="en-US"/>
              </w:rPr>
            </w:pPr>
            <w:r w:rsidRPr="007E4DA1">
              <w:rPr>
                <w:szCs w:val="22"/>
                <w:lang w:eastAsia="en-US"/>
              </w:rPr>
              <w:t>n/N (%)</w:t>
            </w:r>
          </w:p>
          <w:p w14:paraId="116CCC06" w14:textId="77777777" w:rsidR="00990A8B" w:rsidRPr="007E4DA1" w:rsidRDefault="00990A8B" w:rsidP="001A6584">
            <w:pPr>
              <w:keepNext/>
              <w:ind w:left="0" w:firstLine="0"/>
              <w:jc w:val="center"/>
              <w:rPr>
                <w:szCs w:val="22"/>
                <w:lang w:eastAsia="en-US"/>
              </w:rPr>
            </w:pPr>
            <w:r w:rsidRPr="007E4DA1">
              <w:rPr>
                <w:szCs w:val="22"/>
                <w:lang w:eastAsia="en-US"/>
              </w:rPr>
              <w:t>[95% CI]</w:t>
            </w:r>
          </w:p>
        </w:tc>
      </w:tr>
      <w:tr w:rsidR="00990A8B" w:rsidRPr="007E4DA1" w14:paraId="203EB347" w14:textId="77777777" w:rsidTr="0097408B">
        <w:trPr>
          <w:trHeight w:val="1519"/>
        </w:trPr>
        <w:tc>
          <w:tcPr>
            <w:tcW w:w="1890" w:type="pct"/>
          </w:tcPr>
          <w:p w14:paraId="29AF35E0" w14:textId="77777777" w:rsidR="00990A8B" w:rsidRPr="007E4DA1" w:rsidRDefault="00990A8B" w:rsidP="001A6584">
            <w:pPr>
              <w:keepNext/>
              <w:ind w:left="0" w:firstLine="0"/>
              <w:rPr>
                <w:szCs w:val="22"/>
                <w:lang w:eastAsia="en-US"/>
              </w:rPr>
            </w:pPr>
            <w:r w:rsidRPr="007E4DA1">
              <w:rPr>
                <w:szCs w:val="22"/>
                <w:lang w:eastAsia="en-US"/>
              </w:rPr>
              <w:t>Grupa 1 (12 do 17 lat)</w:t>
            </w:r>
          </w:p>
          <w:p w14:paraId="41B2A578" w14:textId="77777777" w:rsidR="00990A8B" w:rsidRPr="007E4DA1" w:rsidRDefault="00990A8B" w:rsidP="001A6584">
            <w:pPr>
              <w:keepNext/>
              <w:ind w:left="0" w:firstLine="0"/>
              <w:rPr>
                <w:szCs w:val="22"/>
                <w:lang w:eastAsia="en-US"/>
              </w:rPr>
            </w:pPr>
          </w:p>
          <w:p w14:paraId="7D82D74A" w14:textId="77777777" w:rsidR="00990A8B" w:rsidRPr="007E4DA1" w:rsidRDefault="00990A8B" w:rsidP="001A6584">
            <w:pPr>
              <w:keepNext/>
              <w:ind w:left="0" w:firstLine="0"/>
              <w:rPr>
                <w:szCs w:val="22"/>
                <w:lang w:eastAsia="en-US"/>
              </w:rPr>
            </w:pPr>
            <w:r w:rsidRPr="007E4DA1">
              <w:rPr>
                <w:szCs w:val="22"/>
                <w:lang w:eastAsia="en-US"/>
              </w:rPr>
              <w:t>Grupa 2 (6 do 11 lat)</w:t>
            </w:r>
          </w:p>
          <w:p w14:paraId="1F8A24E6" w14:textId="77777777" w:rsidR="00990A8B" w:rsidRPr="007E4DA1" w:rsidRDefault="00990A8B" w:rsidP="001A6584">
            <w:pPr>
              <w:keepNext/>
              <w:ind w:left="0" w:firstLine="0"/>
              <w:rPr>
                <w:szCs w:val="22"/>
                <w:lang w:eastAsia="en-US"/>
              </w:rPr>
            </w:pPr>
          </w:p>
          <w:p w14:paraId="11B65E81" w14:textId="77777777" w:rsidR="00990A8B" w:rsidRPr="007E4DA1" w:rsidRDefault="00990A8B" w:rsidP="001A6584">
            <w:pPr>
              <w:keepNext/>
              <w:ind w:left="0" w:firstLine="0"/>
              <w:rPr>
                <w:szCs w:val="22"/>
                <w:lang w:eastAsia="en-US"/>
              </w:rPr>
            </w:pPr>
            <w:r w:rsidRPr="007E4DA1">
              <w:rPr>
                <w:szCs w:val="22"/>
                <w:lang w:eastAsia="en-US"/>
              </w:rPr>
              <w:t>Grupa 3 (1 do 5 lat)</w:t>
            </w:r>
          </w:p>
        </w:tc>
        <w:tc>
          <w:tcPr>
            <w:tcW w:w="1643" w:type="pct"/>
          </w:tcPr>
          <w:p w14:paraId="1C543144" w14:textId="77777777" w:rsidR="00990A8B" w:rsidRPr="007E4DA1" w:rsidRDefault="00990A8B" w:rsidP="001A6584">
            <w:pPr>
              <w:keepNext/>
              <w:ind w:left="0" w:firstLine="0"/>
              <w:jc w:val="center"/>
              <w:rPr>
                <w:szCs w:val="22"/>
                <w:lang w:eastAsia="en-US"/>
              </w:rPr>
            </w:pPr>
            <w:r w:rsidRPr="007E4DA1">
              <w:rPr>
                <w:szCs w:val="22"/>
                <w:lang w:eastAsia="en-US"/>
              </w:rPr>
              <w:t>9/23 (39%)</w:t>
            </w:r>
          </w:p>
          <w:p w14:paraId="64F2AC3B" w14:textId="77777777" w:rsidR="00990A8B" w:rsidRPr="007E4DA1" w:rsidRDefault="00990A8B" w:rsidP="001A6584">
            <w:pPr>
              <w:keepNext/>
              <w:ind w:left="0" w:firstLine="0"/>
              <w:jc w:val="center"/>
              <w:rPr>
                <w:szCs w:val="22"/>
                <w:lang w:eastAsia="en-US"/>
              </w:rPr>
            </w:pPr>
            <w:r w:rsidRPr="007E4DA1">
              <w:rPr>
                <w:szCs w:val="22"/>
                <w:lang w:eastAsia="en-US"/>
              </w:rPr>
              <w:t>[20%, 61%]</w:t>
            </w:r>
          </w:p>
          <w:p w14:paraId="4CC64BEB" w14:textId="77777777" w:rsidR="00990A8B" w:rsidRPr="007E4DA1" w:rsidRDefault="00990A8B" w:rsidP="001A6584">
            <w:pPr>
              <w:keepNext/>
              <w:ind w:left="0" w:firstLine="0"/>
              <w:jc w:val="center"/>
              <w:rPr>
                <w:szCs w:val="22"/>
                <w:lang w:eastAsia="en-US"/>
              </w:rPr>
            </w:pPr>
            <w:r w:rsidRPr="007E4DA1">
              <w:rPr>
                <w:szCs w:val="22"/>
                <w:lang w:eastAsia="en-US"/>
              </w:rPr>
              <w:t>11/26 (42%)</w:t>
            </w:r>
          </w:p>
          <w:p w14:paraId="6E5B5334" w14:textId="77777777" w:rsidR="00990A8B" w:rsidRPr="007E4DA1" w:rsidRDefault="00990A8B" w:rsidP="001A6584">
            <w:pPr>
              <w:keepNext/>
              <w:ind w:left="0" w:firstLine="0"/>
              <w:jc w:val="center"/>
              <w:rPr>
                <w:szCs w:val="22"/>
                <w:lang w:eastAsia="en-US"/>
              </w:rPr>
            </w:pPr>
            <w:r w:rsidRPr="007E4DA1">
              <w:rPr>
                <w:szCs w:val="22"/>
                <w:lang w:eastAsia="en-US"/>
              </w:rPr>
              <w:t>[23%, 63%]</w:t>
            </w:r>
          </w:p>
          <w:p w14:paraId="4093F41E" w14:textId="77777777" w:rsidR="00990A8B" w:rsidRPr="007E4DA1" w:rsidRDefault="00990A8B" w:rsidP="001A6584">
            <w:pPr>
              <w:keepNext/>
              <w:ind w:left="0" w:firstLine="0"/>
              <w:jc w:val="center"/>
              <w:rPr>
                <w:szCs w:val="22"/>
                <w:lang w:eastAsia="en-US"/>
              </w:rPr>
            </w:pPr>
            <w:r w:rsidRPr="007E4DA1">
              <w:rPr>
                <w:szCs w:val="22"/>
                <w:lang w:eastAsia="en-US"/>
              </w:rPr>
              <w:t>5/14 (36%)</w:t>
            </w:r>
          </w:p>
          <w:p w14:paraId="0708F10D" w14:textId="77777777" w:rsidR="00990A8B" w:rsidRPr="007E4DA1" w:rsidRDefault="00990A8B" w:rsidP="001A6584">
            <w:pPr>
              <w:keepNext/>
              <w:ind w:left="0" w:firstLine="0"/>
              <w:jc w:val="center"/>
              <w:rPr>
                <w:szCs w:val="22"/>
                <w:lang w:eastAsia="en-US"/>
              </w:rPr>
            </w:pPr>
            <w:r w:rsidRPr="007E4DA1">
              <w:rPr>
                <w:szCs w:val="22"/>
                <w:lang w:eastAsia="en-US"/>
              </w:rPr>
              <w:t>[13%, 65%]</w:t>
            </w:r>
          </w:p>
        </w:tc>
        <w:tc>
          <w:tcPr>
            <w:tcW w:w="1467" w:type="pct"/>
          </w:tcPr>
          <w:p w14:paraId="7D144481" w14:textId="77777777" w:rsidR="00990A8B" w:rsidRPr="007E4DA1" w:rsidRDefault="00990A8B" w:rsidP="001A6584">
            <w:pPr>
              <w:keepNext/>
              <w:ind w:left="0" w:firstLine="0"/>
              <w:jc w:val="center"/>
              <w:rPr>
                <w:szCs w:val="22"/>
                <w:lang w:eastAsia="en-US"/>
              </w:rPr>
            </w:pPr>
            <w:r w:rsidRPr="007E4DA1">
              <w:rPr>
                <w:szCs w:val="22"/>
                <w:lang w:eastAsia="en-US"/>
              </w:rPr>
              <w:t>1/10 (10%)</w:t>
            </w:r>
          </w:p>
          <w:p w14:paraId="0D94FF54" w14:textId="77777777" w:rsidR="00990A8B" w:rsidRPr="007E4DA1" w:rsidRDefault="00990A8B" w:rsidP="001A6584">
            <w:pPr>
              <w:keepNext/>
              <w:ind w:left="0" w:firstLine="0"/>
              <w:jc w:val="center"/>
              <w:rPr>
                <w:szCs w:val="22"/>
                <w:lang w:eastAsia="en-US"/>
              </w:rPr>
            </w:pPr>
            <w:r w:rsidRPr="007E4DA1">
              <w:rPr>
                <w:szCs w:val="22"/>
                <w:lang w:eastAsia="en-US"/>
              </w:rPr>
              <w:t>[0%, 45%]</w:t>
            </w:r>
          </w:p>
          <w:p w14:paraId="2813F3BD" w14:textId="77777777" w:rsidR="00990A8B" w:rsidRPr="007E4DA1" w:rsidRDefault="00990A8B" w:rsidP="001A6584">
            <w:pPr>
              <w:keepNext/>
              <w:ind w:left="0" w:firstLine="0"/>
              <w:jc w:val="center"/>
              <w:rPr>
                <w:szCs w:val="22"/>
                <w:lang w:eastAsia="en-US"/>
              </w:rPr>
            </w:pPr>
            <w:r w:rsidRPr="007E4DA1">
              <w:rPr>
                <w:szCs w:val="22"/>
                <w:lang w:eastAsia="en-US"/>
              </w:rPr>
              <w:t>0/13 (0%)</w:t>
            </w:r>
          </w:p>
          <w:p w14:paraId="207A524F" w14:textId="77777777" w:rsidR="00990A8B" w:rsidRPr="007E4DA1" w:rsidRDefault="00990A8B" w:rsidP="001A6584">
            <w:pPr>
              <w:keepNext/>
              <w:ind w:left="0" w:firstLine="0"/>
              <w:jc w:val="center"/>
              <w:rPr>
                <w:szCs w:val="22"/>
                <w:lang w:eastAsia="en-US"/>
              </w:rPr>
            </w:pPr>
            <w:r w:rsidRPr="007E4DA1">
              <w:rPr>
                <w:szCs w:val="22"/>
                <w:lang w:eastAsia="en-US"/>
              </w:rPr>
              <w:t>[N/A]</w:t>
            </w:r>
          </w:p>
          <w:p w14:paraId="0FB46077" w14:textId="77777777" w:rsidR="00990A8B" w:rsidRPr="007E4DA1" w:rsidRDefault="00990A8B" w:rsidP="001A6584">
            <w:pPr>
              <w:keepNext/>
              <w:ind w:left="0" w:firstLine="0"/>
              <w:jc w:val="center"/>
              <w:rPr>
                <w:szCs w:val="22"/>
                <w:lang w:eastAsia="en-US"/>
              </w:rPr>
            </w:pPr>
            <w:r w:rsidRPr="007E4DA1">
              <w:rPr>
                <w:szCs w:val="22"/>
                <w:lang w:eastAsia="en-US"/>
              </w:rPr>
              <w:t>0/6 (0%)</w:t>
            </w:r>
          </w:p>
          <w:p w14:paraId="15E57ED0" w14:textId="77777777" w:rsidR="00990A8B" w:rsidRPr="007E4DA1" w:rsidRDefault="00990A8B" w:rsidP="001A6584">
            <w:pPr>
              <w:keepNext/>
              <w:ind w:left="0" w:firstLine="0"/>
              <w:jc w:val="center"/>
              <w:rPr>
                <w:szCs w:val="22"/>
                <w:lang w:eastAsia="en-US"/>
              </w:rPr>
            </w:pPr>
            <w:r w:rsidRPr="007E4DA1">
              <w:rPr>
                <w:szCs w:val="22"/>
                <w:lang w:eastAsia="en-US"/>
              </w:rPr>
              <w:t>[N/A]</w:t>
            </w:r>
          </w:p>
        </w:tc>
      </w:tr>
    </w:tbl>
    <w:p w14:paraId="207069BC" w14:textId="77777777" w:rsidR="00990A8B" w:rsidRPr="007E4DA1" w:rsidRDefault="00990A8B" w:rsidP="001A6584">
      <w:pPr>
        <w:tabs>
          <w:tab w:val="left" w:pos="567"/>
        </w:tabs>
        <w:ind w:left="0" w:firstLine="0"/>
        <w:rPr>
          <w:szCs w:val="22"/>
          <w:lang w:eastAsia="en-US"/>
        </w:rPr>
      </w:pPr>
    </w:p>
    <w:p w14:paraId="13951AF4" w14:textId="77777777" w:rsidR="00792993" w:rsidRPr="007E4DA1" w:rsidRDefault="00792993" w:rsidP="001A6584">
      <w:pPr>
        <w:tabs>
          <w:tab w:val="left" w:pos="142"/>
        </w:tabs>
        <w:ind w:left="0" w:firstLine="0"/>
      </w:pPr>
      <w:r w:rsidRPr="007E4DA1">
        <w:t>Statystycznie mniej pacjentów przyjmujących eltrombopag wymagało leczenia doraźnego w randomizowanym okresie badania w porównaniu z pacjentami otrzymującymi placebo (19% [12/63] w porównaniu z 24% [7/29], p=0,032).</w:t>
      </w:r>
    </w:p>
    <w:p w14:paraId="5A37CB52" w14:textId="77777777" w:rsidR="00792993" w:rsidRPr="007E4DA1" w:rsidRDefault="00792993" w:rsidP="001A6584">
      <w:pPr>
        <w:tabs>
          <w:tab w:val="left" w:pos="142"/>
        </w:tabs>
        <w:ind w:left="0" w:firstLine="0"/>
      </w:pPr>
    </w:p>
    <w:p w14:paraId="297FE9F9" w14:textId="77777777" w:rsidR="00792993" w:rsidRPr="007E4DA1" w:rsidRDefault="00792993" w:rsidP="001A6584">
      <w:pPr>
        <w:tabs>
          <w:tab w:val="left" w:pos="142"/>
        </w:tabs>
        <w:ind w:left="0" w:firstLine="0"/>
      </w:pPr>
      <w:r w:rsidRPr="007E4DA1">
        <w:t>Przed rozpoczęciem leczenia 71% pacjentów z grupy eltrombopagu i 69% pacjentów z grupy placebo zgłaszało wszelkie krwawienia (stopnia 1</w:t>
      </w:r>
      <w:r w:rsidR="005D0C20" w:rsidRPr="007E4DA1">
        <w:noBreakHyphen/>
      </w:r>
      <w:r w:rsidRPr="007E4DA1">
        <w:t>4 wg WHO). W tygodniu</w:t>
      </w:r>
      <w:r w:rsidR="00350E5B" w:rsidRPr="007E4DA1">
        <w:t> </w:t>
      </w:r>
      <w:r w:rsidRPr="007E4DA1">
        <w:t>12. odsetek pacjentów z grupy eltrombopagu zgłaszających dowolne krwawienia zmniejszył się o połowę względem wartości wyjściowych (36%). Dla porównania, w tygodniu</w:t>
      </w:r>
      <w:r w:rsidR="00350E5B" w:rsidRPr="007E4DA1">
        <w:t> </w:t>
      </w:r>
      <w:r w:rsidRPr="007E4DA1">
        <w:t>12. w grupie placebo krwawienia były zgłaszane przez 55% pacjentów.</w:t>
      </w:r>
    </w:p>
    <w:p w14:paraId="2B3FBF7D" w14:textId="77777777" w:rsidR="00792993" w:rsidRPr="007E4DA1" w:rsidRDefault="00792993" w:rsidP="001A6584">
      <w:pPr>
        <w:tabs>
          <w:tab w:val="left" w:pos="142"/>
        </w:tabs>
        <w:ind w:left="0" w:firstLine="0"/>
      </w:pPr>
    </w:p>
    <w:p w14:paraId="47A1E392" w14:textId="77777777" w:rsidR="00792993" w:rsidRPr="007E4DA1" w:rsidRDefault="00792993" w:rsidP="001A6584">
      <w:pPr>
        <w:tabs>
          <w:tab w:val="left" w:pos="142"/>
        </w:tabs>
        <w:ind w:left="0" w:firstLine="0"/>
      </w:pPr>
      <w:r w:rsidRPr="007E4DA1">
        <w:t xml:space="preserve">Protokół badania dozwalał, by pacjenci mogli zmniejszyć dawkę lub odstawić wcześniej stosowane leki przeciw </w:t>
      </w:r>
      <w:r w:rsidR="00C93C3C" w:rsidRPr="007E4DA1">
        <w:t xml:space="preserve">pierwotnej </w:t>
      </w:r>
      <w:r w:rsidRPr="007E4DA1">
        <w:t xml:space="preserve">małopłytkowości immunologicznej wyłącznie podczas otwartej fazy badania i 53% (8/15) pacjentów było w stanie zmniejszyć dawkę (n=1) lub zakończyć (n=7) leczenie wcześniej stosowanymi lekami przeciw </w:t>
      </w:r>
      <w:r w:rsidR="00C93C3C" w:rsidRPr="007E4DA1">
        <w:t xml:space="preserve">pierwotnej </w:t>
      </w:r>
      <w:r w:rsidRPr="007E4DA1">
        <w:t>małopłytkowości immunologicznej, głównie kortykosteroidami, bez konieczności stosowania leków doraźnych.</w:t>
      </w:r>
    </w:p>
    <w:p w14:paraId="28A4249E" w14:textId="77777777" w:rsidR="00792993" w:rsidRPr="007E4DA1" w:rsidRDefault="00792993" w:rsidP="001A6584">
      <w:pPr>
        <w:tabs>
          <w:tab w:val="left" w:pos="142"/>
        </w:tabs>
        <w:ind w:left="0" w:firstLine="0"/>
      </w:pPr>
    </w:p>
    <w:p w14:paraId="45EFCAA3" w14:textId="5A381EBE" w:rsidR="00396B44" w:rsidRPr="007E4DA1" w:rsidRDefault="00792993" w:rsidP="001A6584">
      <w:pPr>
        <w:keepNext/>
        <w:tabs>
          <w:tab w:val="left" w:pos="142"/>
        </w:tabs>
        <w:ind w:left="0" w:firstLine="0"/>
        <w:rPr>
          <w:iCs/>
        </w:rPr>
      </w:pPr>
      <w:r w:rsidRPr="001742B3">
        <w:rPr>
          <w:iCs/>
        </w:rPr>
        <w:t>TRA108062 (PETIT):</w:t>
      </w:r>
    </w:p>
    <w:p w14:paraId="3C1D8D4D" w14:textId="6253DA6F" w:rsidR="00792993" w:rsidRPr="007E4DA1" w:rsidRDefault="00792993" w:rsidP="001A6584">
      <w:pPr>
        <w:tabs>
          <w:tab w:val="left" w:pos="142"/>
        </w:tabs>
        <w:ind w:left="0" w:firstLine="0"/>
      </w:pPr>
      <w:r w:rsidRPr="007E4DA1">
        <w:t>Pierwszorzędowym punktem końcowym był odsetek pacjentów, którzy uzyskali liczbę płytek krwi ≥50</w:t>
      </w:r>
      <w:r w:rsidR="005D0C20" w:rsidRPr="007E4DA1">
        <w:t> </w:t>
      </w:r>
      <w:r w:rsidRPr="007E4DA1">
        <w:t>000/µl przynajmniej raz pomiędzy tygodniem</w:t>
      </w:r>
      <w:r w:rsidR="00350E5B" w:rsidRPr="007E4DA1">
        <w:t> </w:t>
      </w:r>
      <w:r w:rsidRPr="007E4DA1">
        <w:t>1. a 6. okres</w:t>
      </w:r>
      <w:r w:rsidR="00F734B1" w:rsidRPr="007E4DA1">
        <w:t>u randomizowanego</w:t>
      </w:r>
      <w:r w:rsidRPr="007E4DA1">
        <w:t xml:space="preserve">. U pacjentów </w:t>
      </w:r>
      <w:r w:rsidR="00851248" w:rsidRPr="007E4DA1">
        <w:t>rozpoznanie pierwotnej małopłytkowości immunologicznej postawiono co najmniej 6</w:t>
      </w:r>
      <w:r w:rsidR="00F050A8" w:rsidRPr="007E4DA1">
        <w:t> </w:t>
      </w:r>
      <w:r w:rsidR="00851248" w:rsidRPr="007E4DA1">
        <w:t xml:space="preserve">miesięcy wcześniej i </w:t>
      </w:r>
      <w:r w:rsidRPr="007E4DA1">
        <w:t xml:space="preserve">stwierdzono oporność lub nawrót choroby po wcześniejszym zastosowaniu przynajmniej jednej terapii przeciwko </w:t>
      </w:r>
      <w:r w:rsidR="00DF16F2" w:rsidRPr="007E4DA1">
        <w:t xml:space="preserve">pierwotnej </w:t>
      </w:r>
      <w:r w:rsidRPr="007E4DA1">
        <w:t>małopłytkowości immunologicznej, a liczba płytek krwi wynosiła &lt;30</w:t>
      </w:r>
      <w:r w:rsidR="005D0C20" w:rsidRPr="007E4DA1">
        <w:t> </w:t>
      </w:r>
      <w:r w:rsidRPr="007E4DA1">
        <w:t xml:space="preserve">000/µl (n=67). W randomizowanym okresie badania pacjentów przydzielono do </w:t>
      </w:r>
      <w:r w:rsidR="004650AC" w:rsidRPr="007E4DA1">
        <w:t>trzech</w:t>
      </w:r>
      <w:r w:rsidRPr="007E4DA1">
        <w:t xml:space="preserve"> grup wiekowych (w stosunku 2:1) otrzymujących eltrombopag (n=45) lub placebo (n=22). Możliwe było dostosowanie dawki eltrombopagu w zależności od liczby płytek krwi u danego pacjenta.</w:t>
      </w:r>
    </w:p>
    <w:p w14:paraId="54C29CE3" w14:textId="77777777" w:rsidR="00792993" w:rsidRPr="007E4DA1" w:rsidRDefault="00792993" w:rsidP="001A6584">
      <w:pPr>
        <w:tabs>
          <w:tab w:val="left" w:pos="142"/>
        </w:tabs>
        <w:ind w:left="0" w:firstLine="0"/>
      </w:pPr>
    </w:p>
    <w:p w14:paraId="4909891B" w14:textId="77777777" w:rsidR="00792993" w:rsidRPr="007E4DA1" w:rsidRDefault="00792993" w:rsidP="001A6584">
      <w:pPr>
        <w:tabs>
          <w:tab w:val="left" w:pos="142"/>
        </w:tabs>
        <w:ind w:left="0" w:firstLine="0"/>
      </w:pPr>
      <w:r w:rsidRPr="007E4DA1">
        <w:t>Podsumowując, pierwszorzędowy punkt końcowy został osiągnięty przez istotnie większy odsetek pacjentów otrzymujących eltrombopag (62%) niż pacjentów otrzymujących placebo (32%) (iloraz szans: 4,3 [95% CI: 1,4; 13,3] p=0,011).</w:t>
      </w:r>
    </w:p>
    <w:p w14:paraId="0DDDA615" w14:textId="77777777" w:rsidR="00200F81" w:rsidRPr="007E4DA1" w:rsidRDefault="00200F81" w:rsidP="001A6584">
      <w:pPr>
        <w:tabs>
          <w:tab w:val="left" w:pos="142"/>
        </w:tabs>
        <w:ind w:left="0" w:firstLine="0"/>
      </w:pPr>
    </w:p>
    <w:p w14:paraId="0B391BDE" w14:textId="77777777" w:rsidR="00200F81" w:rsidRPr="007E4DA1" w:rsidRDefault="00200F81" w:rsidP="001A6584">
      <w:pPr>
        <w:tabs>
          <w:tab w:val="left" w:pos="142"/>
        </w:tabs>
        <w:ind w:left="0" w:firstLine="0"/>
      </w:pPr>
      <w:r w:rsidRPr="007E4DA1">
        <w:t>Trwałą odpowiedź zaobserwowano u 50% z</w:t>
      </w:r>
      <w:r w:rsidR="00FD5326" w:rsidRPr="007E4DA1">
        <w:t>e wstępnej</w:t>
      </w:r>
      <w:r w:rsidRPr="007E4DA1">
        <w:t xml:space="preserve"> odpowiedzi podczas 20 z 24 tygodni w badaniu PETIT 2 i 15 z 24 tygodni w badaniu PETIT.</w:t>
      </w:r>
    </w:p>
    <w:p w14:paraId="28EEDBE2" w14:textId="77777777" w:rsidR="00792993" w:rsidRPr="007E4DA1" w:rsidRDefault="00792993" w:rsidP="001A6584">
      <w:pPr>
        <w:tabs>
          <w:tab w:val="left" w:pos="142"/>
        </w:tabs>
        <w:ind w:left="0" w:firstLine="0"/>
      </w:pPr>
    </w:p>
    <w:p w14:paraId="5C5A0ADE" w14:textId="77777777" w:rsidR="00041A08" w:rsidRPr="00041A08" w:rsidRDefault="00802FF6" w:rsidP="001A6584">
      <w:pPr>
        <w:keepNext/>
        <w:tabs>
          <w:tab w:val="left" w:pos="142"/>
        </w:tabs>
        <w:ind w:left="0" w:firstLine="0"/>
      </w:pPr>
      <w:r w:rsidRPr="007E4DA1">
        <w:rPr>
          <w:i/>
          <w:u w:val="single"/>
        </w:rPr>
        <w:t>Badania małopłytkowości związanej z przewlekłym wirusowym zapaleniem wątroby typu C</w:t>
      </w:r>
    </w:p>
    <w:p w14:paraId="456218B6" w14:textId="22DEE73E" w:rsidR="00802FF6" w:rsidRPr="007E4DA1" w:rsidRDefault="00802FF6" w:rsidP="001A6584">
      <w:pPr>
        <w:keepNext/>
        <w:tabs>
          <w:tab w:val="left" w:pos="142"/>
        </w:tabs>
        <w:ind w:left="0" w:firstLine="0"/>
      </w:pPr>
    </w:p>
    <w:p w14:paraId="5F5AE78A" w14:textId="0505DED9" w:rsidR="00802FF6" w:rsidRPr="007E4DA1" w:rsidRDefault="00802FF6" w:rsidP="001A6584">
      <w:pPr>
        <w:tabs>
          <w:tab w:val="left" w:pos="142"/>
        </w:tabs>
        <w:ind w:left="0" w:firstLine="0"/>
        <w:rPr>
          <w:color w:val="000000"/>
        </w:rPr>
      </w:pPr>
      <w:r w:rsidRPr="007E4DA1">
        <w:t xml:space="preserve">Skuteczność i bezpieczeństwo eltrombopagu w leczeniu małopłytkowości u pacjentów zakażonych wirusem WZW C oceniano w dwóch randomizowanych, prowadzonych metodą podwójnie ślepej próby badaniach kontrolowanych za pomocą placebo. W badaniu ENABLE 1 w leczeniu </w:t>
      </w:r>
      <w:r w:rsidRPr="007E4DA1">
        <w:lastRenderedPageBreak/>
        <w:t>przeciwwirusowym stosowano peginterferon alfa-2a w skojarzeniu z rybawiryną, a w badaniu ENABLE 2 stosowano peginterferon alfa-2b w skojarzeniu z rybawiryną. Pacjenci nie otrzymywali leków przeciwwirusowych o działaniu bezpośrednim.</w:t>
      </w:r>
      <w:r w:rsidRPr="007E4DA1">
        <w:rPr>
          <w:color w:val="FF0000"/>
        </w:rPr>
        <w:t xml:space="preserve"> </w:t>
      </w:r>
      <w:r w:rsidRPr="007E4DA1">
        <w:t>Do obu badań kwalifikowano pacjentów z liczbą płytek krwi &lt;75 000/μl, ze stratyfikacją według liczby płytek krwi (&lt;50 000/μl albo od ≥50 000/μl do &lt;75 000/μl), stężenia RNA wirusa WZW C podczas oceny przesiewowej (&lt;800 000 </w:t>
      </w:r>
      <w:r w:rsidR="00533B23" w:rsidRPr="007E4DA1">
        <w:t>IU/</w:t>
      </w:r>
      <w:r w:rsidRPr="007E4DA1">
        <w:t>ml albo ≥800 000 </w:t>
      </w:r>
      <w:r w:rsidR="00533B23" w:rsidRPr="007E4DA1">
        <w:t>IU</w:t>
      </w:r>
      <w:r w:rsidR="00161C01" w:rsidRPr="007E4DA1">
        <w:t>/</w:t>
      </w:r>
      <w:r w:rsidRPr="007E4DA1">
        <w:t>ml) oraz genotypu wirusa WZW C (genotyp 2/3 albo genotyp 1/4/6</w:t>
      </w:r>
      <w:r w:rsidRPr="007E4DA1">
        <w:rPr>
          <w:color w:val="000000"/>
        </w:rPr>
        <w:t>).</w:t>
      </w:r>
    </w:p>
    <w:p w14:paraId="3D7188C7" w14:textId="77777777" w:rsidR="00802FF6" w:rsidRPr="007E4DA1" w:rsidRDefault="00802FF6" w:rsidP="001A6584">
      <w:pPr>
        <w:tabs>
          <w:tab w:val="left" w:pos="142"/>
        </w:tabs>
        <w:ind w:left="0" w:firstLine="0"/>
      </w:pPr>
    </w:p>
    <w:p w14:paraId="4799067F" w14:textId="77777777" w:rsidR="00802FF6" w:rsidRPr="007E4DA1" w:rsidRDefault="00802FF6" w:rsidP="001A6584">
      <w:pPr>
        <w:tabs>
          <w:tab w:val="left" w:pos="142"/>
        </w:tabs>
        <w:ind w:left="0" w:firstLine="0"/>
      </w:pPr>
      <w:r w:rsidRPr="007E4DA1">
        <w:t>Wyjściowa charakterystyka choroby były podobna w obu badaniach i odpowiadała populacji pacjentów zakażonych wirusem WZW C z wyrównaną marskością wątroby. U większości pacjentów występował genotyp 1 wirusa WZW C (64%) oraz włóknienie mostkowe lub marskość. Trzydzieści jeden procent pacjentów otrzymywało wcześniej leczenie zakażenia wirusem WZW C – głównie z zastosowaniem pegylowanego interferonu w skojarzeniu z rybawiryną. Mediana wyjściowej liczby płytek krwi wynosiła 59 500/μl w obu grupach leczenia: liczba płytek krwi pozostawała w zakresie &lt;20 000/μl, &lt;50 000/μl oraz ≥50 000/μl u odpowiednio 0,8%, 28% i 72% rekrutowanych pacjentów.</w:t>
      </w:r>
    </w:p>
    <w:p w14:paraId="549B058F" w14:textId="77777777" w:rsidR="00802FF6" w:rsidRPr="007E4DA1" w:rsidRDefault="00802FF6" w:rsidP="001A6584">
      <w:pPr>
        <w:tabs>
          <w:tab w:val="left" w:pos="142"/>
        </w:tabs>
        <w:ind w:left="0" w:firstLine="0"/>
      </w:pPr>
    </w:p>
    <w:p w14:paraId="5A312D78" w14:textId="77777777" w:rsidR="00802FF6" w:rsidRPr="007E4DA1" w:rsidRDefault="00802FF6" w:rsidP="001A6584">
      <w:pPr>
        <w:tabs>
          <w:tab w:val="left" w:pos="142"/>
        </w:tabs>
        <w:ind w:left="0" w:firstLine="0"/>
      </w:pPr>
      <w:r w:rsidRPr="007E4DA1">
        <w:t>Badania składały się z dwóch faz – fazy przed rozpoczęciem leczenia przeciwwirusowego oraz fazy leczenia przeciwwirusowego. W fazie przed rozpoczęciem leczenia przeciwwirusowego pacjenci otrzymywali eltrombopag w ramach leczenia prowadzonego metodą otwartej próby w celu zwiększenia liczby płytek krwi do poziomu ≥90 000/μl w badaniu ENABLE 1 oraz ≥100 000/μl w badaniu ENABLE 2. Mediana czasu do osiągnięcia docelowej liczby płytek krwi ≥90 000/μl (w badaniu ENABLE 1) lub ≥100 000/μl (w badaniu ENABLE 2) wynosiła 2 tygodnie.</w:t>
      </w:r>
    </w:p>
    <w:p w14:paraId="2BAA2B5D" w14:textId="77777777" w:rsidR="00802FF6" w:rsidRPr="007E4DA1" w:rsidRDefault="00802FF6" w:rsidP="001A6584">
      <w:pPr>
        <w:tabs>
          <w:tab w:val="left" w:pos="142"/>
        </w:tabs>
        <w:ind w:left="0" w:firstLine="0"/>
      </w:pPr>
    </w:p>
    <w:p w14:paraId="3A4E4F4D" w14:textId="77777777" w:rsidR="00802FF6" w:rsidRPr="007E4DA1" w:rsidRDefault="00802FF6" w:rsidP="001A6584">
      <w:pPr>
        <w:tabs>
          <w:tab w:val="left" w:pos="142"/>
        </w:tabs>
        <w:ind w:left="0" w:firstLine="0"/>
      </w:pPr>
      <w:r w:rsidRPr="007E4DA1">
        <w:t>Pierwszorzędowym punktem końcowym dotyczącym skuteczności w obu badaniach była trwała odpowiedź wirusologiczna (SVR), zdefiniowana jako odsetek pacjentów z niewykrywalnym stężeniem RNA wirusa WZW C 24 tygodnie po zakończeniu zaplanowanego okresu leczenia.</w:t>
      </w:r>
    </w:p>
    <w:p w14:paraId="6944FF82" w14:textId="77777777" w:rsidR="00802FF6" w:rsidRPr="007E4DA1" w:rsidRDefault="00802FF6" w:rsidP="001A6584">
      <w:pPr>
        <w:tabs>
          <w:tab w:val="left" w:pos="142"/>
        </w:tabs>
        <w:ind w:left="0" w:firstLine="0"/>
      </w:pPr>
    </w:p>
    <w:p w14:paraId="170B0375" w14:textId="7E8FF265" w:rsidR="00802FF6" w:rsidRPr="007E4DA1" w:rsidRDefault="00802FF6" w:rsidP="001A6584">
      <w:pPr>
        <w:tabs>
          <w:tab w:val="left" w:pos="142"/>
          <w:tab w:val="left" w:pos="5812"/>
        </w:tabs>
        <w:ind w:left="0" w:firstLine="0"/>
      </w:pPr>
      <w:r w:rsidRPr="007E4DA1">
        <w:t>W obu badaniach dotyczących zakażenia wirusem WZW C</w:t>
      </w:r>
      <w:r w:rsidR="00E327CC" w:rsidRPr="007E4DA1">
        <w:t>,</w:t>
      </w:r>
      <w:r w:rsidRPr="007E4DA1">
        <w:t xml:space="preserve"> SVR osiągnięto u istotnie większego odsetka pacjentów leczonych eltrombopagiem (n=201, 21%) w porównaniu z pacjentami otrzymującymi placebo (n=65, 13%) (patrz tabela </w:t>
      </w:r>
      <w:r w:rsidR="00541154">
        <w:t>11</w:t>
      </w:r>
      <w:r w:rsidRPr="007E4DA1">
        <w:t>). Poprawa dotycząca odsetka pacjentów, u których osiągnięto SVR, była spójna we wszystkich podgrupach w warstwach randomizacyjnych (wyjściowej liczby płytek krwi (&lt;50 000 albo &gt;50 000), poziomu wiremii (&lt;800 000 </w:t>
      </w:r>
      <w:r w:rsidR="00533B23" w:rsidRPr="007E4DA1">
        <w:t>IU</w:t>
      </w:r>
      <w:r w:rsidRPr="007E4DA1">
        <w:t>/ml albo ≥800 000 </w:t>
      </w:r>
      <w:r w:rsidR="00533B23" w:rsidRPr="007E4DA1">
        <w:t>IU</w:t>
      </w:r>
      <w:r w:rsidRPr="007E4DA1">
        <w:t>/ml) oraz genotypu (2/3 albo 1/4/6)).</w:t>
      </w:r>
    </w:p>
    <w:p w14:paraId="1C906231" w14:textId="77777777" w:rsidR="00802FF6" w:rsidRPr="007E4DA1" w:rsidRDefault="00802FF6" w:rsidP="001A6584">
      <w:pPr>
        <w:tabs>
          <w:tab w:val="left" w:pos="142"/>
        </w:tabs>
        <w:ind w:left="0" w:firstLine="0"/>
      </w:pPr>
    </w:p>
    <w:p w14:paraId="197C2619" w14:textId="735306D2" w:rsidR="00041A08" w:rsidRPr="00041A08" w:rsidRDefault="00802FF6" w:rsidP="001A6584">
      <w:pPr>
        <w:keepNext/>
        <w:tabs>
          <w:tab w:val="left" w:pos="1134"/>
        </w:tabs>
        <w:ind w:left="1134" w:hanging="1134"/>
      </w:pPr>
      <w:r w:rsidRPr="007E4DA1">
        <w:rPr>
          <w:b/>
        </w:rPr>
        <w:lastRenderedPageBreak/>
        <w:t>Tabela</w:t>
      </w:r>
      <w:r w:rsidR="008B1151" w:rsidRPr="007E4DA1">
        <w:rPr>
          <w:b/>
        </w:rPr>
        <w:t> </w:t>
      </w:r>
      <w:r w:rsidR="00541154">
        <w:rPr>
          <w:b/>
        </w:rPr>
        <w:t>11</w:t>
      </w:r>
      <w:r w:rsidR="00C10130" w:rsidRPr="007E4DA1">
        <w:rPr>
          <w:b/>
        </w:rPr>
        <w:tab/>
      </w:r>
      <w:r w:rsidRPr="007E4DA1">
        <w:rPr>
          <w:b/>
        </w:rPr>
        <w:t>Odpowiedź wirusologiczna u pacjentów zakażonych wirusem WZW C w badaniach ENABLE 1 i ENABLE 2</w:t>
      </w:r>
    </w:p>
    <w:p w14:paraId="1283FAC1" w14:textId="7967AD9C" w:rsidR="00802FF6" w:rsidRPr="007E4DA1" w:rsidRDefault="00802FF6" w:rsidP="001A6584">
      <w:pPr>
        <w:keepNext/>
        <w:tabs>
          <w:tab w:val="left" w:pos="142"/>
        </w:tabs>
        <w:ind w:left="0" w:firstLine="0"/>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802FF6" w:rsidRPr="007E4DA1" w14:paraId="4DDD642B" w14:textId="77777777" w:rsidTr="00EE3105">
        <w:trPr>
          <w:cantSplit/>
        </w:trPr>
        <w:tc>
          <w:tcPr>
            <w:tcW w:w="2376" w:type="dxa"/>
          </w:tcPr>
          <w:p w14:paraId="6C378BA9" w14:textId="77777777" w:rsidR="00802FF6" w:rsidRPr="007E4DA1" w:rsidRDefault="00802FF6" w:rsidP="001A6584">
            <w:pPr>
              <w:keepNext/>
              <w:tabs>
                <w:tab w:val="left" w:pos="142"/>
              </w:tabs>
              <w:ind w:left="0" w:firstLine="0"/>
            </w:pPr>
          </w:p>
        </w:tc>
        <w:tc>
          <w:tcPr>
            <w:tcW w:w="2268" w:type="dxa"/>
            <w:gridSpan w:val="2"/>
          </w:tcPr>
          <w:p w14:paraId="29F5D286" w14:textId="77777777" w:rsidR="00802FF6" w:rsidRPr="007E4DA1" w:rsidRDefault="00802FF6" w:rsidP="001A6584">
            <w:pPr>
              <w:keepNext/>
              <w:tabs>
                <w:tab w:val="left" w:pos="142"/>
              </w:tabs>
              <w:ind w:left="0" w:firstLine="0"/>
              <w:jc w:val="center"/>
              <w:rPr>
                <w:b/>
                <w:vanish/>
              </w:rPr>
            </w:pPr>
            <w:r w:rsidRPr="007E4DA1">
              <w:rPr>
                <w:b/>
              </w:rPr>
              <w:t>Połączone dane</w:t>
            </w:r>
          </w:p>
        </w:tc>
        <w:tc>
          <w:tcPr>
            <w:tcW w:w="2268" w:type="dxa"/>
            <w:gridSpan w:val="2"/>
          </w:tcPr>
          <w:p w14:paraId="569A2988" w14:textId="77777777" w:rsidR="00802FF6" w:rsidRPr="007E4DA1" w:rsidRDefault="00802FF6" w:rsidP="001A6584">
            <w:pPr>
              <w:keepNext/>
              <w:tabs>
                <w:tab w:val="left" w:pos="142"/>
              </w:tabs>
              <w:ind w:left="0" w:firstLine="0"/>
              <w:jc w:val="center"/>
              <w:rPr>
                <w:b/>
              </w:rPr>
            </w:pPr>
            <w:r w:rsidRPr="007E4DA1">
              <w:rPr>
                <w:b/>
              </w:rPr>
              <w:t>ENABLE 1</w:t>
            </w:r>
            <w:r w:rsidRPr="007E4DA1">
              <w:rPr>
                <w:b/>
                <w:vertAlign w:val="superscript"/>
              </w:rPr>
              <w:t>a</w:t>
            </w:r>
          </w:p>
        </w:tc>
        <w:tc>
          <w:tcPr>
            <w:tcW w:w="2268" w:type="dxa"/>
            <w:gridSpan w:val="2"/>
          </w:tcPr>
          <w:p w14:paraId="733831DA" w14:textId="77777777" w:rsidR="00802FF6" w:rsidRPr="007E4DA1" w:rsidRDefault="00802FF6" w:rsidP="001A6584">
            <w:pPr>
              <w:keepNext/>
              <w:tabs>
                <w:tab w:val="left" w:pos="142"/>
              </w:tabs>
              <w:ind w:left="0" w:firstLine="0"/>
              <w:jc w:val="center"/>
              <w:rPr>
                <w:b/>
              </w:rPr>
            </w:pPr>
            <w:r w:rsidRPr="007E4DA1">
              <w:rPr>
                <w:b/>
              </w:rPr>
              <w:t>ENABLE 2</w:t>
            </w:r>
            <w:r w:rsidRPr="007E4DA1">
              <w:rPr>
                <w:b/>
                <w:vertAlign w:val="superscript"/>
              </w:rPr>
              <w:t>b</w:t>
            </w:r>
          </w:p>
        </w:tc>
      </w:tr>
      <w:tr w:rsidR="00802FF6" w:rsidRPr="007E4DA1" w14:paraId="19189366" w14:textId="77777777" w:rsidTr="00EE3105">
        <w:trPr>
          <w:cantSplit/>
        </w:trPr>
        <w:tc>
          <w:tcPr>
            <w:tcW w:w="2376" w:type="dxa"/>
          </w:tcPr>
          <w:p w14:paraId="415895B8" w14:textId="77777777" w:rsidR="00802FF6" w:rsidRPr="007E4DA1" w:rsidRDefault="00802FF6" w:rsidP="001A6584">
            <w:pPr>
              <w:keepNext/>
              <w:tabs>
                <w:tab w:val="left" w:pos="142"/>
                <w:tab w:val="left" w:pos="270"/>
              </w:tabs>
              <w:ind w:left="0" w:firstLine="0"/>
            </w:pPr>
            <w:r w:rsidRPr="007E4DA1">
              <w:t xml:space="preserve">Pacjenci osiągający docelową liczbę płytek krwi i rozpoczynający leczenie przeciwwirusowe </w:t>
            </w:r>
            <w:r w:rsidRPr="007E4DA1">
              <w:rPr>
                <w:b/>
                <w:vertAlign w:val="superscript"/>
              </w:rPr>
              <w:t>c</w:t>
            </w:r>
          </w:p>
        </w:tc>
        <w:tc>
          <w:tcPr>
            <w:tcW w:w="2268" w:type="dxa"/>
            <w:gridSpan w:val="2"/>
          </w:tcPr>
          <w:p w14:paraId="7E749459" w14:textId="77777777" w:rsidR="00802FF6" w:rsidRPr="007E4DA1" w:rsidRDefault="00802FF6" w:rsidP="001A6584">
            <w:pPr>
              <w:keepNext/>
              <w:tabs>
                <w:tab w:val="left" w:pos="142"/>
              </w:tabs>
              <w:ind w:left="0" w:firstLine="0"/>
              <w:jc w:val="center"/>
            </w:pPr>
          </w:p>
          <w:p w14:paraId="596C18BC" w14:textId="213A7882" w:rsidR="00802FF6" w:rsidRPr="007E4DA1" w:rsidRDefault="00802FF6" w:rsidP="001A6584">
            <w:pPr>
              <w:keepNext/>
              <w:tabs>
                <w:tab w:val="left" w:pos="142"/>
              </w:tabs>
              <w:ind w:left="0" w:firstLine="0"/>
              <w:jc w:val="center"/>
            </w:pPr>
            <w:r w:rsidRPr="007E4DA1">
              <w:t>1</w:t>
            </w:r>
            <w:r w:rsidR="0002528E" w:rsidRPr="007E4DA1">
              <w:t> </w:t>
            </w:r>
            <w:r w:rsidRPr="007E4DA1">
              <w:t>439/1</w:t>
            </w:r>
            <w:r w:rsidR="0002528E" w:rsidRPr="007E4DA1">
              <w:t> </w:t>
            </w:r>
            <w:r w:rsidRPr="007E4DA1">
              <w:t>520 (95%)</w:t>
            </w:r>
          </w:p>
        </w:tc>
        <w:tc>
          <w:tcPr>
            <w:tcW w:w="2268" w:type="dxa"/>
            <w:gridSpan w:val="2"/>
          </w:tcPr>
          <w:p w14:paraId="22FDCE9F" w14:textId="77777777" w:rsidR="00802FF6" w:rsidRPr="007E4DA1" w:rsidRDefault="00802FF6" w:rsidP="001A6584">
            <w:pPr>
              <w:keepNext/>
              <w:tabs>
                <w:tab w:val="left" w:pos="142"/>
              </w:tabs>
              <w:ind w:left="0" w:firstLine="0"/>
              <w:jc w:val="center"/>
            </w:pPr>
          </w:p>
          <w:p w14:paraId="7DEC79EE" w14:textId="77777777" w:rsidR="00802FF6" w:rsidRPr="007E4DA1" w:rsidRDefault="00802FF6" w:rsidP="001A6584">
            <w:pPr>
              <w:keepNext/>
              <w:tabs>
                <w:tab w:val="left" w:pos="142"/>
              </w:tabs>
              <w:ind w:left="0" w:firstLine="0"/>
              <w:jc w:val="center"/>
            </w:pPr>
            <w:r w:rsidRPr="007E4DA1">
              <w:t>680/715 (95%)</w:t>
            </w:r>
          </w:p>
        </w:tc>
        <w:tc>
          <w:tcPr>
            <w:tcW w:w="2268" w:type="dxa"/>
            <w:gridSpan w:val="2"/>
          </w:tcPr>
          <w:p w14:paraId="740EAD4C" w14:textId="77777777" w:rsidR="00802FF6" w:rsidRPr="007E4DA1" w:rsidRDefault="00802FF6" w:rsidP="001A6584">
            <w:pPr>
              <w:keepNext/>
              <w:tabs>
                <w:tab w:val="left" w:pos="142"/>
              </w:tabs>
              <w:ind w:left="0" w:firstLine="0"/>
              <w:jc w:val="center"/>
            </w:pPr>
          </w:p>
          <w:p w14:paraId="721B36F7" w14:textId="77777777" w:rsidR="00802FF6" w:rsidRPr="007E4DA1" w:rsidRDefault="00802FF6" w:rsidP="001A6584">
            <w:pPr>
              <w:keepNext/>
              <w:tabs>
                <w:tab w:val="left" w:pos="142"/>
              </w:tabs>
              <w:ind w:left="0" w:firstLine="0"/>
              <w:jc w:val="center"/>
            </w:pPr>
            <w:r w:rsidRPr="007E4DA1">
              <w:t>759/805 (94%)</w:t>
            </w:r>
          </w:p>
        </w:tc>
      </w:tr>
      <w:tr w:rsidR="00802FF6" w:rsidRPr="007E4DA1" w14:paraId="10EACBE1" w14:textId="77777777" w:rsidTr="00EE3105">
        <w:trPr>
          <w:cantSplit/>
        </w:trPr>
        <w:tc>
          <w:tcPr>
            <w:tcW w:w="2376" w:type="dxa"/>
          </w:tcPr>
          <w:p w14:paraId="5EDB78A9" w14:textId="77777777" w:rsidR="00802FF6" w:rsidRPr="007E4DA1" w:rsidRDefault="00802FF6" w:rsidP="001A6584">
            <w:pPr>
              <w:keepNext/>
              <w:tabs>
                <w:tab w:val="left" w:pos="142"/>
              </w:tabs>
              <w:ind w:left="0" w:firstLine="0"/>
              <w:rPr>
                <w:sz w:val="18"/>
                <w:szCs w:val="18"/>
              </w:rPr>
            </w:pPr>
          </w:p>
        </w:tc>
        <w:tc>
          <w:tcPr>
            <w:tcW w:w="1276" w:type="dxa"/>
          </w:tcPr>
          <w:p w14:paraId="24B0C59C" w14:textId="77777777" w:rsidR="00802FF6" w:rsidRPr="007E4DA1" w:rsidRDefault="00802FF6" w:rsidP="001A6584">
            <w:pPr>
              <w:keepNext/>
              <w:tabs>
                <w:tab w:val="left" w:pos="142"/>
              </w:tabs>
              <w:ind w:left="0" w:firstLine="0"/>
              <w:jc w:val="center"/>
              <w:rPr>
                <w:b/>
                <w:sz w:val="18"/>
                <w:szCs w:val="18"/>
              </w:rPr>
            </w:pPr>
            <w:r w:rsidRPr="007E4DA1">
              <w:rPr>
                <w:b/>
                <w:sz w:val="18"/>
              </w:rPr>
              <w:t>Eltrombopag</w:t>
            </w:r>
          </w:p>
        </w:tc>
        <w:tc>
          <w:tcPr>
            <w:tcW w:w="992" w:type="dxa"/>
          </w:tcPr>
          <w:p w14:paraId="2C99BFD3" w14:textId="77777777" w:rsidR="00802FF6" w:rsidRPr="007E4DA1" w:rsidRDefault="00802FF6" w:rsidP="001A6584">
            <w:pPr>
              <w:keepNext/>
              <w:tabs>
                <w:tab w:val="left" w:pos="142"/>
              </w:tabs>
              <w:ind w:left="0" w:firstLine="0"/>
              <w:jc w:val="center"/>
              <w:rPr>
                <w:b/>
                <w:sz w:val="18"/>
                <w:szCs w:val="18"/>
              </w:rPr>
            </w:pPr>
            <w:r w:rsidRPr="007E4DA1">
              <w:rPr>
                <w:b/>
                <w:sz w:val="18"/>
              </w:rPr>
              <w:t>Placebo</w:t>
            </w:r>
          </w:p>
        </w:tc>
        <w:tc>
          <w:tcPr>
            <w:tcW w:w="1276" w:type="dxa"/>
          </w:tcPr>
          <w:p w14:paraId="2160C670" w14:textId="77777777" w:rsidR="00802FF6" w:rsidRPr="007E4DA1" w:rsidRDefault="00802FF6" w:rsidP="001A6584">
            <w:pPr>
              <w:keepNext/>
              <w:tabs>
                <w:tab w:val="left" w:pos="142"/>
              </w:tabs>
              <w:ind w:left="0" w:firstLine="0"/>
              <w:jc w:val="center"/>
              <w:rPr>
                <w:b/>
                <w:sz w:val="18"/>
                <w:szCs w:val="18"/>
              </w:rPr>
            </w:pPr>
            <w:r w:rsidRPr="007E4DA1">
              <w:rPr>
                <w:b/>
                <w:sz w:val="18"/>
              </w:rPr>
              <w:t>Eltrombopag</w:t>
            </w:r>
          </w:p>
        </w:tc>
        <w:tc>
          <w:tcPr>
            <w:tcW w:w="992" w:type="dxa"/>
          </w:tcPr>
          <w:p w14:paraId="18A986CA" w14:textId="77777777" w:rsidR="00802FF6" w:rsidRPr="007E4DA1" w:rsidRDefault="00802FF6" w:rsidP="001A6584">
            <w:pPr>
              <w:keepNext/>
              <w:tabs>
                <w:tab w:val="left" w:pos="142"/>
              </w:tabs>
              <w:ind w:left="0" w:firstLine="0"/>
              <w:jc w:val="center"/>
              <w:rPr>
                <w:b/>
                <w:sz w:val="18"/>
                <w:szCs w:val="18"/>
              </w:rPr>
            </w:pPr>
            <w:r w:rsidRPr="007E4DA1">
              <w:rPr>
                <w:b/>
                <w:sz w:val="18"/>
              </w:rPr>
              <w:t>Placebo</w:t>
            </w:r>
          </w:p>
        </w:tc>
        <w:tc>
          <w:tcPr>
            <w:tcW w:w="1276" w:type="dxa"/>
          </w:tcPr>
          <w:p w14:paraId="3AA4AD87" w14:textId="77777777" w:rsidR="00802FF6" w:rsidRPr="007E4DA1" w:rsidRDefault="00802FF6" w:rsidP="001A6584">
            <w:pPr>
              <w:keepNext/>
              <w:tabs>
                <w:tab w:val="left" w:pos="142"/>
              </w:tabs>
              <w:ind w:left="0" w:firstLine="0"/>
              <w:jc w:val="center"/>
              <w:rPr>
                <w:b/>
                <w:sz w:val="18"/>
                <w:szCs w:val="18"/>
              </w:rPr>
            </w:pPr>
            <w:r w:rsidRPr="007E4DA1">
              <w:rPr>
                <w:b/>
                <w:sz w:val="18"/>
              </w:rPr>
              <w:t>Eltrombopag</w:t>
            </w:r>
          </w:p>
        </w:tc>
        <w:tc>
          <w:tcPr>
            <w:tcW w:w="992" w:type="dxa"/>
          </w:tcPr>
          <w:p w14:paraId="5AA1EC15" w14:textId="77777777" w:rsidR="00802FF6" w:rsidRPr="007E4DA1" w:rsidRDefault="00802FF6" w:rsidP="001A6584">
            <w:pPr>
              <w:keepNext/>
              <w:tabs>
                <w:tab w:val="left" w:pos="142"/>
              </w:tabs>
              <w:ind w:left="0" w:firstLine="0"/>
              <w:jc w:val="center"/>
              <w:rPr>
                <w:b/>
                <w:sz w:val="18"/>
                <w:szCs w:val="18"/>
              </w:rPr>
            </w:pPr>
            <w:r w:rsidRPr="007E4DA1">
              <w:rPr>
                <w:b/>
                <w:sz w:val="18"/>
              </w:rPr>
              <w:t>Placebo</w:t>
            </w:r>
          </w:p>
        </w:tc>
      </w:tr>
      <w:tr w:rsidR="00802FF6" w:rsidRPr="007E4DA1" w14:paraId="277C9327" w14:textId="77777777" w:rsidTr="00EE3105">
        <w:trPr>
          <w:cantSplit/>
        </w:trPr>
        <w:tc>
          <w:tcPr>
            <w:tcW w:w="2376" w:type="dxa"/>
            <w:vAlign w:val="bottom"/>
          </w:tcPr>
          <w:p w14:paraId="1A9C3FF2" w14:textId="77777777" w:rsidR="00802FF6" w:rsidRPr="007E4DA1" w:rsidRDefault="00802FF6" w:rsidP="001A6584">
            <w:pPr>
              <w:keepNext/>
              <w:tabs>
                <w:tab w:val="left" w:pos="142"/>
              </w:tabs>
              <w:ind w:left="0" w:firstLine="0"/>
              <w:rPr>
                <w:b/>
              </w:rPr>
            </w:pPr>
            <w:r w:rsidRPr="007E4DA1">
              <w:rPr>
                <w:b/>
              </w:rPr>
              <w:t>Łączna liczba pacjentów rozpoczynających fazę leczenia przeciwwirusowego</w:t>
            </w:r>
          </w:p>
        </w:tc>
        <w:tc>
          <w:tcPr>
            <w:tcW w:w="1276" w:type="dxa"/>
          </w:tcPr>
          <w:p w14:paraId="649E0A7C" w14:textId="77777777" w:rsidR="00041A08" w:rsidRPr="00041A08" w:rsidRDefault="00802FF6" w:rsidP="001A6584">
            <w:pPr>
              <w:keepNext/>
              <w:tabs>
                <w:tab w:val="left" w:pos="142"/>
              </w:tabs>
              <w:ind w:left="0" w:firstLine="0"/>
              <w:jc w:val="center"/>
            </w:pPr>
            <w:r w:rsidRPr="007E4DA1">
              <w:rPr>
                <w:b/>
              </w:rPr>
              <w:t>n=956</w:t>
            </w:r>
          </w:p>
          <w:p w14:paraId="0369415B" w14:textId="4ACE3A43" w:rsidR="00802FF6" w:rsidRPr="007E4DA1" w:rsidRDefault="00802FF6" w:rsidP="001A6584">
            <w:pPr>
              <w:keepNext/>
              <w:tabs>
                <w:tab w:val="left" w:pos="142"/>
              </w:tabs>
              <w:ind w:left="0" w:firstLine="0"/>
              <w:jc w:val="center"/>
              <w:rPr>
                <w:b/>
              </w:rPr>
            </w:pPr>
          </w:p>
        </w:tc>
        <w:tc>
          <w:tcPr>
            <w:tcW w:w="992" w:type="dxa"/>
          </w:tcPr>
          <w:p w14:paraId="4376E55C" w14:textId="77777777" w:rsidR="00041A08" w:rsidRPr="00041A08" w:rsidRDefault="00802FF6" w:rsidP="001A6584">
            <w:pPr>
              <w:keepNext/>
              <w:tabs>
                <w:tab w:val="left" w:pos="142"/>
              </w:tabs>
              <w:ind w:left="0" w:firstLine="0"/>
              <w:jc w:val="center"/>
            </w:pPr>
            <w:r w:rsidRPr="007E4DA1">
              <w:rPr>
                <w:b/>
              </w:rPr>
              <w:t>n=485</w:t>
            </w:r>
          </w:p>
          <w:p w14:paraId="3B65BF7B" w14:textId="1E051156" w:rsidR="00802FF6" w:rsidRPr="007E4DA1" w:rsidRDefault="00802FF6" w:rsidP="001A6584">
            <w:pPr>
              <w:keepNext/>
              <w:tabs>
                <w:tab w:val="left" w:pos="142"/>
              </w:tabs>
              <w:ind w:left="0" w:firstLine="0"/>
              <w:jc w:val="center"/>
              <w:rPr>
                <w:b/>
              </w:rPr>
            </w:pPr>
          </w:p>
        </w:tc>
        <w:tc>
          <w:tcPr>
            <w:tcW w:w="1276" w:type="dxa"/>
          </w:tcPr>
          <w:p w14:paraId="045AC941" w14:textId="77777777" w:rsidR="00041A08" w:rsidRPr="00041A08" w:rsidRDefault="00802FF6" w:rsidP="001A6584">
            <w:pPr>
              <w:keepNext/>
              <w:tabs>
                <w:tab w:val="left" w:pos="142"/>
              </w:tabs>
              <w:ind w:left="0" w:firstLine="0"/>
              <w:jc w:val="center"/>
            </w:pPr>
            <w:r w:rsidRPr="007E4DA1">
              <w:rPr>
                <w:b/>
              </w:rPr>
              <w:t>n=450</w:t>
            </w:r>
          </w:p>
          <w:p w14:paraId="5AC6945A" w14:textId="4349E173" w:rsidR="00802FF6" w:rsidRPr="007E4DA1" w:rsidRDefault="00802FF6" w:rsidP="001A6584">
            <w:pPr>
              <w:keepNext/>
              <w:tabs>
                <w:tab w:val="left" w:pos="142"/>
              </w:tabs>
              <w:ind w:left="0" w:firstLine="0"/>
              <w:jc w:val="center"/>
            </w:pPr>
          </w:p>
        </w:tc>
        <w:tc>
          <w:tcPr>
            <w:tcW w:w="992" w:type="dxa"/>
          </w:tcPr>
          <w:p w14:paraId="3022DC99" w14:textId="77777777" w:rsidR="00041A08" w:rsidRPr="00041A08" w:rsidRDefault="00802FF6" w:rsidP="001A6584">
            <w:pPr>
              <w:keepNext/>
              <w:tabs>
                <w:tab w:val="left" w:pos="142"/>
              </w:tabs>
              <w:ind w:left="0" w:firstLine="0"/>
              <w:jc w:val="center"/>
            </w:pPr>
            <w:r w:rsidRPr="007E4DA1">
              <w:rPr>
                <w:b/>
              </w:rPr>
              <w:t>n=232</w:t>
            </w:r>
          </w:p>
          <w:p w14:paraId="2C39EDB3" w14:textId="29E7793D" w:rsidR="00802FF6" w:rsidRPr="007E4DA1" w:rsidRDefault="00802FF6" w:rsidP="001A6584">
            <w:pPr>
              <w:keepNext/>
              <w:tabs>
                <w:tab w:val="left" w:pos="142"/>
              </w:tabs>
              <w:ind w:left="0" w:firstLine="0"/>
              <w:jc w:val="center"/>
            </w:pPr>
          </w:p>
        </w:tc>
        <w:tc>
          <w:tcPr>
            <w:tcW w:w="1276" w:type="dxa"/>
          </w:tcPr>
          <w:p w14:paraId="6F6EAA90" w14:textId="77777777" w:rsidR="00041A08" w:rsidRPr="00041A08" w:rsidRDefault="00802FF6" w:rsidP="001A6584">
            <w:pPr>
              <w:keepNext/>
              <w:tabs>
                <w:tab w:val="left" w:pos="142"/>
              </w:tabs>
              <w:ind w:left="0" w:firstLine="0"/>
              <w:jc w:val="center"/>
            </w:pPr>
            <w:r w:rsidRPr="007E4DA1">
              <w:rPr>
                <w:b/>
              </w:rPr>
              <w:t>n=506</w:t>
            </w:r>
          </w:p>
          <w:p w14:paraId="2871D6EA" w14:textId="44759F57" w:rsidR="00802FF6" w:rsidRPr="007E4DA1" w:rsidRDefault="00802FF6" w:rsidP="001A6584">
            <w:pPr>
              <w:keepNext/>
              <w:tabs>
                <w:tab w:val="left" w:pos="142"/>
              </w:tabs>
              <w:ind w:left="0" w:firstLine="0"/>
              <w:jc w:val="center"/>
            </w:pPr>
          </w:p>
        </w:tc>
        <w:tc>
          <w:tcPr>
            <w:tcW w:w="992" w:type="dxa"/>
          </w:tcPr>
          <w:p w14:paraId="1EC62672" w14:textId="77777777" w:rsidR="00041A08" w:rsidRPr="00041A08" w:rsidRDefault="00802FF6" w:rsidP="001A6584">
            <w:pPr>
              <w:keepNext/>
              <w:tabs>
                <w:tab w:val="left" w:pos="142"/>
              </w:tabs>
              <w:ind w:left="0" w:firstLine="0"/>
              <w:jc w:val="center"/>
            </w:pPr>
            <w:r w:rsidRPr="007E4DA1">
              <w:rPr>
                <w:b/>
              </w:rPr>
              <w:t>n=253</w:t>
            </w:r>
          </w:p>
          <w:p w14:paraId="0BED3E52" w14:textId="03924DFA" w:rsidR="00802FF6" w:rsidRPr="007E4DA1" w:rsidRDefault="00802FF6" w:rsidP="001A6584">
            <w:pPr>
              <w:keepNext/>
              <w:tabs>
                <w:tab w:val="left" w:pos="142"/>
              </w:tabs>
              <w:ind w:left="0" w:firstLine="0"/>
              <w:jc w:val="center"/>
            </w:pPr>
          </w:p>
        </w:tc>
      </w:tr>
      <w:tr w:rsidR="00802FF6" w:rsidRPr="007E4DA1" w14:paraId="7E6756FC" w14:textId="77777777" w:rsidTr="00EE3105">
        <w:trPr>
          <w:cantSplit/>
        </w:trPr>
        <w:tc>
          <w:tcPr>
            <w:tcW w:w="2376" w:type="dxa"/>
            <w:vAlign w:val="bottom"/>
          </w:tcPr>
          <w:p w14:paraId="7125FDF5" w14:textId="77777777" w:rsidR="00802FF6" w:rsidRPr="007E4DA1" w:rsidRDefault="00802FF6" w:rsidP="001A6584">
            <w:pPr>
              <w:keepNext/>
              <w:tabs>
                <w:tab w:val="left" w:pos="142"/>
              </w:tabs>
              <w:ind w:left="0" w:firstLine="0"/>
              <w:rPr>
                <w:b/>
              </w:rPr>
            </w:pPr>
          </w:p>
        </w:tc>
        <w:tc>
          <w:tcPr>
            <w:tcW w:w="6804" w:type="dxa"/>
            <w:gridSpan w:val="6"/>
          </w:tcPr>
          <w:p w14:paraId="598C8215" w14:textId="77777777" w:rsidR="00802FF6" w:rsidRPr="007E4DA1" w:rsidRDefault="00802FF6" w:rsidP="001A6584">
            <w:pPr>
              <w:keepNext/>
              <w:tabs>
                <w:tab w:val="left" w:pos="142"/>
              </w:tabs>
              <w:ind w:left="0" w:firstLine="0"/>
              <w:jc w:val="center"/>
              <w:rPr>
                <w:b/>
              </w:rPr>
            </w:pPr>
            <w:r w:rsidRPr="007E4DA1">
              <w:rPr>
                <w:b/>
              </w:rPr>
              <w:t>% pacjentów osiągających odpowiedź wirusologiczną</w:t>
            </w:r>
          </w:p>
        </w:tc>
      </w:tr>
      <w:tr w:rsidR="00802FF6" w:rsidRPr="007E4DA1" w14:paraId="0724D53E" w14:textId="77777777" w:rsidTr="00EE3105">
        <w:trPr>
          <w:cantSplit/>
        </w:trPr>
        <w:tc>
          <w:tcPr>
            <w:tcW w:w="2376" w:type="dxa"/>
          </w:tcPr>
          <w:p w14:paraId="5D810F4F" w14:textId="77777777" w:rsidR="00802FF6" w:rsidRPr="007E4DA1" w:rsidRDefault="00802FF6" w:rsidP="001A6584">
            <w:pPr>
              <w:keepNext/>
              <w:tabs>
                <w:tab w:val="left" w:pos="142"/>
                <w:tab w:val="left" w:pos="540"/>
              </w:tabs>
              <w:ind w:left="0" w:firstLine="0"/>
            </w:pPr>
            <w:r w:rsidRPr="007E4DA1">
              <w:rPr>
                <w:b/>
              </w:rPr>
              <w:t xml:space="preserve">SVR ogółem </w:t>
            </w:r>
            <w:r w:rsidRPr="007E4DA1">
              <w:rPr>
                <w:vertAlign w:val="superscript"/>
              </w:rPr>
              <w:t>d</w:t>
            </w:r>
            <w:r w:rsidRPr="007E4DA1">
              <w:rPr>
                <w:b/>
              </w:rPr>
              <w:t xml:space="preserve"> </w:t>
            </w:r>
          </w:p>
        </w:tc>
        <w:tc>
          <w:tcPr>
            <w:tcW w:w="1276" w:type="dxa"/>
          </w:tcPr>
          <w:p w14:paraId="3B353D04" w14:textId="77777777" w:rsidR="00802FF6" w:rsidRPr="007E4DA1" w:rsidRDefault="00802FF6" w:rsidP="001A6584">
            <w:pPr>
              <w:keepNext/>
              <w:tabs>
                <w:tab w:val="left" w:pos="142"/>
              </w:tabs>
              <w:ind w:left="0" w:firstLine="0"/>
              <w:jc w:val="center"/>
            </w:pPr>
            <w:r w:rsidRPr="007E4DA1">
              <w:t>21</w:t>
            </w:r>
          </w:p>
        </w:tc>
        <w:tc>
          <w:tcPr>
            <w:tcW w:w="992" w:type="dxa"/>
          </w:tcPr>
          <w:p w14:paraId="04728AD6" w14:textId="77777777" w:rsidR="00802FF6" w:rsidRPr="007E4DA1" w:rsidRDefault="00802FF6" w:rsidP="001A6584">
            <w:pPr>
              <w:keepNext/>
              <w:tabs>
                <w:tab w:val="left" w:pos="142"/>
              </w:tabs>
              <w:ind w:left="0" w:firstLine="0"/>
              <w:jc w:val="center"/>
            </w:pPr>
            <w:r w:rsidRPr="007E4DA1">
              <w:t>13</w:t>
            </w:r>
          </w:p>
        </w:tc>
        <w:tc>
          <w:tcPr>
            <w:tcW w:w="1276" w:type="dxa"/>
          </w:tcPr>
          <w:p w14:paraId="3944F90D" w14:textId="77777777" w:rsidR="00802FF6" w:rsidRPr="007E4DA1" w:rsidRDefault="00802FF6" w:rsidP="001A6584">
            <w:pPr>
              <w:keepNext/>
              <w:tabs>
                <w:tab w:val="left" w:pos="142"/>
              </w:tabs>
              <w:ind w:left="0" w:firstLine="0"/>
              <w:jc w:val="center"/>
            </w:pPr>
            <w:r w:rsidRPr="007E4DA1">
              <w:t>23</w:t>
            </w:r>
          </w:p>
        </w:tc>
        <w:tc>
          <w:tcPr>
            <w:tcW w:w="992" w:type="dxa"/>
          </w:tcPr>
          <w:p w14:paraId="2613423D" w14:textId="77777777" w:rsidR="00802FF6" w:rsidRPr="007E4DA1" w:rsidRDefault="00802FF6" w:rsidP="001A6584">
            <w:pPr>
              <w:keepNext/>
              <w:tabs>
                <w:tab w:val="left" w:pos="142"/>
              </w:tabs>
              <w:ind w:left="0" w:firstLine="0"/>
              <w:jc w:val="center"/>
            </w:pPr>
            <w:r w:rsidRPr="007E4DA1">
              <w:t>14</w:t>
            </w:r>
          </w:p>
        </w:tc>
        <w:tc>
          <w:tcPr>
            <w:tcW w:w="1276" w:type="dxa"/>
          </w:tcPr>
          <w:p w14:paraId="4BE0E1D2" w14:textId="77777777" w:rsidR="00802FF6" w:rsidRPr="007E4DA1" w:rsidRDefault="00802FF6" w:rsidP="001A6584">
            <w:pPr>
              <w:keepNext/>
              <w:tabs>
                <w:tab w:val="left" w:pos="142"/>
              </w:tabs>
              <w:ind w:left="0" w:firstLine="0"/>
              <w:jc w:val="center"/>
            </w:pPr>
            <w:r w:rsidRPr="007E4DA1">
              <w:t>19</w:t>
            </w:r>
          </w:p>
        </w:tc>
        <w:tc>
          <w:tcPr>
            <w:tcW w:w="992" w:type="dxa"/>
          </w:tcPr>
          <w:p w14:paraId="0D440FF5" w14:textId="77777777" w:rsidR="00802FF6" w:rsidRPr="007E4DA1" w:rsidRDefault="00802FF6" w:rsidP="001A6584">
            <w:pPr>
              <w:keepNext/>
              <w:tabs>
                <w:tab w:val="left" w:pos="142"/>
              </w:tabs>
              <w:ind w:left="0" w:firstLine="0"/>
              <w:jc w:val="center"/>
            </w:pPr>
            <w:r w:rsidRPr="007E4DA1">
              <w:t>13</w:t>
            </w:r>
          </w:p>
        </w:tc>
      </w:tr>
      <w:tr w:rsidR="00802FF6" w:rsidRPr="007E4DA1" w14:paraId="0133C7C3" w14:textId="77777777" w:rsidTr="00EE3105">
        <w:trPr>
          <w:cantSplit/>
        </w:trPr>
        <w:tc>
          <w:tcPr>
            <w:tcW w:w="2376" w:type="dxa"/>
          </w:tcPr>
          <w:p w14:paraId="2B155795" w14:textId="77777777" w:rsidR="00802FF6" w:rsidRPr="007E4DA1" w:rsidRDefault="00802FF6" w:rsidP="001A6584">
            <w:pPr>
              <w:keepNext/>
              <w:tabs>
                <w:tab w:val="left" w:pos="142"/>
                <w:tab w:val="left" w:pos="540"/>
              </w:tabs>
              <w:ind w:left="0" w:firstLine="0"/>
              <w:rPr>
                <w:i/>
              </w:rPr>
            </w:pPr>
            <w:r w:rsidRPr="007E4DA1">
              <w:rPr>
                <w:i/>
              </w:rPr>
              <w:t>Genotyp WZW C RNA</w:t>
            </w:r>
          </w:p>
        </w:tc>
        <w:tc>
          <w:tcPr>
            <w:tcW w:w="1276" w:type="dxa"/>
          </w:tcPr>
          <w:p w14:paraId="6CCDC179" w14:textId="77777777" w:rsidR="00802FF6" w:rsidRPr="007E4DA1" w:rsidRDefault="00802FF6" w:rsidP="001A6584">
            <w:pPr>
              <w:keepNext/>
              <w:tabs>
                <w:tab w:val="left" w:pos="142"/>
              </w:tabs>
              <w:ind w:left="0" w:firstLine="0"/>
              <w:jc w:val="center"/>
            </w:pPr>
          </w:p>
        </w:tc>
        <w:tc>
          <w:tcPr>
            <w:tcW w:w="992" w:type="dxa"/>
          </w:tcPr>
          <w:p w14:paraId="2C8430B3" w14:textId="77777777" w:rsidR="00802FF6" w:rsidRPr="007E4DA1" w:rsidRDefault="00802FF6" w:rsidP="001A6584">
            <w:pPr>
              <w:keepNext/>
              <w:tabs>
                <w:tab w:val="left" w:pos="142"/>
              </w:tabs>
              <w:ind w:left="0" w:firstLine="0"/>
              <w:jc w:val="center"/>
            </w:pPr>
          </w:p>
        </w:tc>
        <w:tc>
          <w:tcPr>
            <w:tcW w:w="1276" w:type="dxa"/>
          </w:tcPr>
          <w:p w14:paraId="664D12AD" w14:textId="77777777" w:rsidR="00802FF6" w:rsidRPr="007E4DA1" w:rsidRDefault="00802FF6" w:rsidP="001A6584">
            <w:pPr>
              <w:keepNext/>
              <w:tabs>
                <w:tab w:val="left" w:pos="142"/>
              </w:tabs>
              <w:ind w:left="0" w:firstLine="0"/>
              <w:jc w:val="center"/>
            </w:pPr>
          </w:p>
        </w:tc>
        <w:tc>
          <w:tcPr>
            <w:tcW w:w="992" w:type="dxa"/>
          </w:tcPr>
          <w:p w14:paraId="35D253E9" w14:textId="77777777" w:rsidR="00802FF6" w:rsidRPr="007E4DA1" w:rsidRDefault="00802FF6" w:rsidP="001A6584">
            <w:pPr>
              <w:keepNext/>
              <w:tabs>
                <w:tab w:val="left" w:pos="142"/>
              </w:tabs>
              <w:ind w:left="0" w:firstLine="0"/>
              <w:jc w:val="center"/>
            </w:pPr>
          </w:p>
        </w:tc>
        <w:tc>
          <w:tcPr>
            <w:tcW w:w="1276" w:type="dxa"/>
          </w:tcPr>
          <w:p w14:paraId="60E9DC0C" w14:textId="77777777" w:rsidR="00802FF6" w:rsidRPr="007E4DA1" w:rsidRDefault="00802FF6" w:rsidP="001A6584">
            <w:pPr>
              <w:keepNext/>
              <w:tabs>
                <w:tab w:val="left" w:pos="142"/>
              </w:tabs>
              <w:ind w:left="0" w:firstLine="0"/>
              <w:jc w:val="center"/>
            </w:pPr>
          </w:p>
        </w:tc>
        <w:tc>
          <w:tcPr>
            <w:tcW w:w="992" w:type="dxa"/>
          </w:tcPr>
          <w:p w14:paraId="06ABA05D" w14:textId="77777777" w:rsidR="00802FF6" w:rsidRPr="007E4DA1" w:rsidRDefault="00802FF6" w:rsidP="001A6584">
            <w:pPr>
              <w:keepNext/>
              <w:tabs>
                <w:tab w:val="left" w:pos="142"/>
              </w:tabs>
              <w:ind w:left="0" w:firstLine="0"/>
              <w:jc w:val="center"/>
            </w:pPr>
          </w:p>
        </w:tc>
      </w:tr>
      <w:tr w:rsidR="00802FF6" w:rsidRPr="007E4DA1" w14:paraId="5687F231" w14:textId="77777777" w:rsidTr="00EE3105">
        <w:trPr>
          <w:cantSplit/>
        </w:trPr>
        <w:tc>
          <w:tcPr>
            <w:tcW w:w="2376" w:type="dxa"/>
          </w:tcPr>
          <w:p w14:paraId="3A832B41" w14:textId="77777777" w:rsidR="00802FF6" w:rsidRPr="007E4DA1" w:rsidRDefault="00802FF6" w:rsidP="001A6584">
            <w:pPr>
              <w:keepNext/>
              <w:tabs>
                <w:tab w:val="left" w:pos="142"/>
                <w:tab w:val="left" w:pos="540"/>
              </w:tabs>
              <w:ind w:left="0" w:firstLine="0"/>
            </w:pPr>
            <w:r w:rsidRPr="007E4DA1">
              <w:t>Genotyp 2/3</w:t>
            </w:r>
          </w:p>
        </w:tc>
        <w:tc>
          <w:tcPr>
            <w:tcW w:w="1276" w:type="dxa"/>
          </w:tcPr>
          <w:p w14:paraId="551F24EB" w14:textId="77777777" w:rsidR="00802FF6" w:rsidRPr="007E4DA1" w:rsidRDefault="00802FF6" w:rsidP="001A6584">
            <w:pPr>
              <w:keepNext/>
              <w:tabs>
                <w:tab w:val="left" w:pos="142"/>
              </w:tabs>
              <w:ind w:left="0" w:firstLine="0"/>
              <w:jc w:val="center"/>
            </w:pPr>
            <w:r w:rsidRPr="007E4DA1">
              <w:t>35</w:t>
            </w:r>
          </w:p>
        </w:tc>
        <w:tc>
          <w:tcPr>
            <w:tcW w:w="992" w:type="dxa"/>
          </w:tcPr>
          <w:p w14:paraId="26D83B8A" w14:textId="77777777" w:rsidR="00802FF6" w:rsidRPr="007E4DA1" w:rsidRDefault="00802FF6" w:rsidP="001A6584">
            <w:pPr>
              <w:keepNext/>
              <w:tabs>
                <w:tab w:val="left" w:pos="142"/>
              </w:tabs>
              <w:ind w:left="0" w:firstLine="0"/>
              <w:jc w:val="center"/>
            </w:pPr>
            <w:r w:rsidRPr="007E4DA1">
              <w:t>25</w:t>
            </w:r>
          </w:p>
        </w:tc>
        <w:tc>
          <w:tcPr>
            <w:tcW w:w="1276" w:type="dxa"/>
          </w:tcPr>
          <w:p w14:paraId="5070F3C0" w14:textId="77777777" w:rsidR="00802FF6" w:rsidRPr="007E4DA1" w:rsidRDefault="00802FF6" w:rsidP="001A6584">
            <w:pPr>
              <w:keepNext/>
              <w:tabs>
                <w:tab w:val="left" w:pos="142"/>
              </w:tabs>
              <w:ind w:left="0" w:firstLine="0"/>
              <w:jc w:val="center"/>
            </w:pPr>
            <w:r w:rsidRPr="007E4DA1">
              <w:t>35</w:t>
            </w:r>
          </w:p>
        </w:tc>
        <w:tc>
          <w:tcPr>
            <w:tcW w:w="992" w:type="dxa"/>
          </w:tcPr>
          <w:p w14:paraId="1843E5B1" w14:textId="77777777" w:rsidR="00802FF6" w:rsidRPr="007E4DA1" w:rsidRDefault="00802FF6" w:rsidP="001A6584">
            <w:pPr>
              <w:keepNext/>
              <w:tabs>
                <w:tab w:val="left" w:pos="142"/>
              </w:tabs>
              <w:ind w:left="0" w:firstLine="0"/>
              <w:jc w:val="center"/>
            </w:pPr>
            <w:r w:rsidRPr="007E4DA1">
              <w:t>24</w:t>
            </w:r>
          </w:p>
        </w:tc>
        <w:tc>
          <w:tcPr>
            <w:tcW w:w="1276" w:type="dxa"/>
          </w:tcPr>
          <w:p w14:paraId="7FCF8213" w14:textId="77777777" w:rsidR="00802FF6" w:rsidRPr="007E4DA1" w:rsidRDefault="00802FF6" w:rsidP="001A6584">
            <w:pPr>
              <w:keepNext/>
              <w:tabs>
                <w:tab w:val="left" w:pos="142"/>
              </w:tabs>
              <w:ind w:left="0" w:firstLine="0"/>
              <w:jc w:val="center"/>
            </w:pPr>
            <w:r w:rsidRPr="007E4DA1">
              <w:t>34</w:t>
            </w:r>
          </w:p>
        </w:tc>
        <w:tc>
          <w:tcPr>
            <w:tcW w:w="992" w:type="dxa"/>
          </w:tcPr>
          <w:p w14:paraId="56BE1DBE" w14:textId="77777777" w:rsidR="00802FF6" w:rsidRPr="007E4DA1" w:rsidRDefault="00802FF6" w:rsidP="001A6584">
            <w:pPr>
              <w:keepNext/>
              <w:tabs>
                <w:tab w:val="left" w:pos="142"/>
              </w:tabs>
              <w:ind w:left="0" w:firstLine="0"/>
              <w:jc w:val="center"/>
            </w:pPr>
            <w:r w:rsidRPr="007E4DA1">
              <w:t>25</w:t>
            </w:r>
          </w:p>
        </w:tc>
      </w:tr>
      <w:tr w:rsidR="00802FF6" w:rsidRPr="007E4DA1" w14:paraId="09F7022B" w14:textId="77777777" w:rsidTr="00EE3105">
        <w:trPr>
          <w:cantSplit/>
        </w:trPr>
        <w:tc>
          <w:tcPr>
            <w:tcW w:w="2376" w:type="dxa"/>
          </w:tcPr>
          <w:p w14:paraId="3863186B" w14:textId="77777777" w:rsidR="00802FF6" w:rsidRPr="007E4DA1" w:rsidRDefault="00802FF6" w:rsidP="001A6584">
            <w:pPr>
              <w:keepNext/>
              <w:tabs>
                <w:tab w:val="left" w:pos="142"/>
                <w:tab w:val="left" w:pos="540"/>
              </w:tabs>
              <w:ind w:left="0" w:firstLine="0"/>
            </w:pPr>
            <w:r w:rsidRPr="007E4DA1">
              <w:t>Genotyp 1/4/6</w:t>
            </w:r>
            <w:r w:rsidRPr="007E4DA1">
              <w:rPr>
                <w:vertAlign w:val="superscript"/>
              </w:rPr>
              <w:t>e</w:t>
            </w:r>
          </w:p>
        </w:tc>
        <w:tc>
          <w:tcPr>
            <w:tcW w:w="1276" w:type="dxa"/>
          </w:tcPr>
          <w:p w14:paraId="4CAC99CF" w14:textId="77777777" w:rsidR="00802FF6" w:rsidRPr="007E4DA1" w:rsidRDefault="00802FF6" w:rsidP="001A6584">
            <w:pPr>
              <w:keepNext/>
              <w:tabs>
                <w:tab w:val="left" w:pos="142"/>
              </w:tabs>
              <w:ind w:left="0" w:firstLine="0"/>
              <w:jc w:val="center"/>
            </w:pPr>
            <w:r w:rsidRPr="007E4DA1">
              <w:t>15</w:t>
            </w:r>
          </w:p>
        </w:tc>
        <w:tc>
          <w:tcPr>
            <w:tcW w:w="992" w:type="dxa"/>
          </w:tcPr>
          <w:p w14:paraId="14958B58" w14:textId="77777777" w:rsidR="00802FF6" w:rsidRPr="007E4DA1" w:rsidRDefault="00802FF6" w:rsidP="001A6584">
            <w:pPr>
              <w:keepNext/>
              <w:tabs>
                <w:tab w:val="left" w:pos="142"/>
              </w:tabs>
              <w:ind w:left="0" w:firstLine="0"/>
              <w:jc w:val="center"/>
            </w:pPr>
            <w:r w:rsidRPr="007E4DA1">
              <w:t>8</w:t>
            </w:r>
          </w:p>
        </w:tc>
        <w:tc>
          <w:tcPr>
            <w:tcW w:w="1276" w:type="dxa"/>
          </w:tcPr>
          <w:p w14:paraId="480F6D16" w14:textId="77777777" w:rsidR="00802FF6" w:rsidRPr="007E4DA1" w:rsidRDefault="00802FF6" w:rsidP="001A6584">
            <w:pPr>
              <w:keepNext/>
              <w:tabs>
                <w:tab w:val="left" w:pos="142"/>
              </w:tabs>
              <w:ind w:left="0" w:firstLine="0"/>
              <w:jc w:val="center"/>
            </w:pPr>
            <w:r w:rsidRPr="007E4DA1">
              <w:t>18</w:t>
            </w:r>
          </w:p>
        </w:tc>
        <w:tc>
          <w:tcPr>
            <w:tcW w:w="992" w:type="dxa"/>
          </w:tcPr>
          <w:p w14:paraId="12D8AEBA" w14:textId="77777777" w:rsidR="00802FF6" w:rsidRPr="007E4DA1" w:rsidRDefault="00802FF6" w:rsidP="001A6584">
            <w:pPr>
              <w:keepNext/>
              <w:tabs>
                <w:tab w:val="left" w:pos="142"/>
              </w:tabs>
              <w:ind w:left="0" w:firstLine="0"/>
              <w:jc w:val="center"/>
            </w:pPr>
            <w:r w:rsidRPr="007E4DA1">
              <w:t>10</w:t>
            </w:r>
          </w:p>
        </w:tc>
        <w:tc>
          <w:tcPr>
            <w:tcW w:w="1276" w:type="dxa"/>
          </w:tcPr>
          <w:p w14:paraId="1DB3BEDC" w14:textId="77777777" w:rsidR="00802FF6" w:rsidRPr="007E4DA1" w:rsidRDefault="00802FF6" w:rsidP="001A6584">
            <w:pPr>
              <w:keepNext/>
              <w:tabs>
                <w:tab w:val="left" w:pos="142"/>
              </w:tabs>
              <w:ind w:left="0" w:firstLine="0"/>
              <w:jc w:val="center"/>
            </w:pPr>
            <w:r w:rsidRPr="007E4DA1">
              <w:t>13</w:t>
            </w:r>
          </w:p>
        </w:tc>
        <w:tc>
          <w:tcPr>
            <w:tcW w:w="992" w:type="dxa"/>
          </w:tcPr>
          <w:p w14:paraId="13ADB49F" w14:textId="77777777" w:rsidR="00802FF6" w:rsidRPr="007E4DA1" w:rsidRDefault="00802FF6" w:rsidP="001A6584">
            <w:pPr>
              <w:keepNext/>
              <w:tabs>
                <w:tab w:val="left" w:pos="142"/>
              </w:tabs>
              <w:ind w:left="0" w:firstLine="0"/>
              <w:jc w:val="center"/>
            </w:pPr>
            <w:r w:rsidRPr="007E4DA1">
              <w:t>7</w:t>
            </w:r>
          </w:p>
        </w:tc>
      </w:tr>
      <w:tr w:rsidR="00802FF6" w:rsidRPr="007E4DA1" w14:paraId="566C4197" w14:textId="77777777" w:rsidTr="00EE3105">
        <w:trPr>
          <w:cantSplit/>
        </w:trPr>
        <w:tc>
          <w:tcPr>
            <w:tcW w:w="2376" w:type="dxa"/>
          </w:tcPr>
          <w:p w14:paraId="641AED42" w14:textId="77777777" w:rsidR="00802FF6" w:rsidRPr="007E4DA1" w:rsidRDefault="00802FF6" w:rsidP="001A6584">
            <w:pPr>
              <w:keepNext/>
              <w:tabs>
                <w:tab w:val="left" w:pos="142"/>
                <w:tab w:val="left" w:pos="540"/>
              </w:tabs>
              <w:ind w:left="0" w:firstLine="0"/>
              <w:rPr>
                <w:i/>
                <w:vertAlign w:val="superscript"/>
              </w:rPr>
            </w:pPr>
            <w:r w:rsidRPr="007E4DA1">
              <w:rPr>
                <w:i/>
              </w:rPr>
              <w:t>Poziom albumin</w:t>
            </w:r>
            <w:r w:rsidRPr="007E4DA1">
              <w:rPr>
                <w:i/>
                <w:vertAlign w:val="superscript"/>
              </w:rPr>
              <w:t>f</w:t>
            </w:r>
          </w:p>
        </w:tc>
        <w:tc>
          <w:tcPr>
            <w:tcW w:w="1276" w:type="dxa"/>
          </w:tcPr>
          <w:p w14:paraId="780CDB4F" w14:textId="77777777" w:rsidR="00802FF6" w:rsidRPr="007E4DA1" w:rsidRDefault="00802FF6" w:rsidP="001A6584">
            <w:pPr>
              <w:keepNext/>
              <w:tabs>
                <w:tab w:val="left" w:pos="142"/>
              </w:tabs>
              <w:ind w:left="0" w:firstLine="0"/>
              <w:jc w:val="center"/>
            </w:pPr>
          </w:p>
        </w:tc>
        <w:tc>
          <w:tcPr>
            <w:tcW w:w="992" w:type="dxa"/>
          </w:tcPr>
          <w:p w14:paraId="204659D7" w14:textId="77777777" w:rsidR="00802FF6" w:rsidRPr="007E4DA1" w:rsidRDefault="00802FF6" w:rsidP="001A6584">
            <w:pPr>
              <w:keepNext/>
              <w:tabs>
                <w:tab w:val="left" w:pos="142"/>
              </w:tabs>
              <w:ind w:left="0" w:firstLine="0"/>
              <w:jc w:val="center"/>
            </w:pPr>
          </w:p>
        </w:tc>
        <w:tc>
          <w:tcPr>
            <w:tcW w:w="4536" w:type="dxa"/>
            <w:gridSpan w:val="4"/>
            <w:vMerge w:val="restart"/>
          </w:tcPr>
          <w:p w14:paraId="45F15590" w14:textId="77777777" w:rsidR="00802FF6" w:rsidRPr="007E4DA1" w:rsidRDefault="00802FF6" w:rsidP="001A6584">
            <w:pPr>
              <w:keepNext/>
              <w:tabs>
                <w:tab w:val="left" w:pos="142"/>
              </w:tabs>
              <w:ind w:left="0" w:firstLine="0"/>
              <w:jc w:val="center"/>
            </w:pPr>
          </w:p>
        </w:tc>
      </w:tr>
      <w:tr w:rsidR="00802FF6" w:rsidRPr="007E4DA1" w14:paraId="6CF69D82" w14:textId="77777777" w:rsidTr="00EE3105">
        <w:trPr>
          <w:cantSplit/>
        </w:trPr>
        <w:tc>
          <w:tcPr>
            <w:tcW w:w="2376" w:type="dxa"/>
          </w:tcPr>
          <w:p w14:paraId="121D1440" w14:textId="77777777" w:rsidR="00802FF6" w:rsidRPr="007E4DA1" w:rsidRDefault="00802FF6" w:rsidP="001A6584">
            <w:pPr>
              <w:keepNext/>
              <w:tabs>
                <w:tab w:val="left" w:pos="142"/>
                <w:tab w:val="left" w:pos="540"/>
              </w:tabs>
              <w:ind w:left="0" w:firstLine="0"/>
            </w:pPr>
            <w:r w:rsidRPr="007E4DA1">
              <w:t>≤35 g/l</w:t>
            </w:r>
          </w:p>
        </w:tc>
        <w:tc>
          <w:tcPr>
            <w:tcW w:w="1276" w:type="dxa"/>
          </w:tcPr>
          <w:p w14:paraId="009E9F4A" w14:textId="77777777" w:rsidR="00802FF6" w:rsidRPr="007E4DA1" w:rsidRDefault="00802FF6" w:rsidP="001A6584">
            <w:pPr>
              <w:keepNext/>
              <w:tabs>
                <w:tab w:val="left" w:pos="142"/>
              </w:tabs>
              <w:ind w:left="0" w:firstLine="0"/>
              <w:jc w:val="center"/>
            </w:pPr>
            <w:r w:rsidRPr="007E4DA1">
              <w:t>11</w:t>
            </w:r>
          </w:p>
        </w:tc>
        <w:tc>
          <w:tcPr>
            <w:tcW w:w="992" w:type="dxa"/>
          </w:tcPr>
          <w:p w14:paraId="60518AA9" w14:textId="77777777" w:rsidR="00802FF6" w:rsidRPr="007E4DA1" w:rsidRDefault="00802FF6" w:rsidP="001A6584">
            <w:pPr>
              <w:keepNext/>
              <w:tabs>
                <w:tab w:val="left" w:pos="142"/>
              </w:tabs>
              <w:ind w:left="0" w:firstLine="0"/>
              <w:jc w:val="center"/>
            </w:pPr>
            <w:r w:rsidRPr="007E4DA1">
              <w:t>8</w:t>
            </w:r>
          </w:p>
        </w:tc>
        <w:tc>
          <w:tcPr>
            <w:tcW w:w="4536" w:type="dxa"/>
            <w:gridSpan w:val="4"/>
            <w:vMerge/>
          </w:tcPr>
          <w:p w14:paraId="334158C0" w14:textId="77777777" w:rsidR="00802FF6" w:rsidRPr="007E4DA1" w:rsidRDefault="00802FF6" w:rsidP="001A6584">
            <w:pPr>
              <w:keepNext/>
              <w:tabs>
                <w:tab w:val="left" w:pos="142"/>
              </w:tabs>
              <w:ind w:left="0" w:firstLine="0"/>
              <w:jc w:val="center"/>
            </w:pPr>
          </w:p>
        </w:tc>
      </w:tr>
      <w:tr w:rsidR="00802FF6" w:rsidRPr="007E4DA1" w14:paraId="0F76259D" w14:textId="77777777" w:rsidTr="00EE3105">
        <w:trPr>
          <w:cantSplit/>
        </w:trPr>
        <w:tc>
          <w:tcPr>
            <w:tcW w:w="2376" w:type="dxa"/>
          </w:tcPr>
          <w:p w14:paraId="4C05634F" w14:textId="77777777" w:rsidR="00802FF6" w:rsidRPr="007E4DA1" w:rsidRDefault="00802FF6" w:rsidP="001A6584">
            <w:pPr>
              <w:keepNext/>
              <w:tabs>
                <w:tab w:val="left" w:pos="142"/>
                <w:tab w:val="left" w:pos="540"/>
              </w:tabs>
              <w:ind w:left="0" w:firstLine="0"/>
            </w:pPr>
            <w:r w:rsidRPr="007E4DA1">
              <w:t>&gt;35 g/l</w:t>
            </w:r>
          </w:p>
        </w:tc>
        <w:tc>
          <w:tcPr>
            <w:tcW w:w="1276" w:type="dxa"/>
          </w:tcPr>
          <w:p w14:paraId="05BFBAE0" w14:textId="77777777" w:rsidR="00802FF6" w:rsidRPr="007E4DA1" w:rsidRDefault="00802FF6" w:rsidP="001A6584">
            <w:pPr>
              <w:keepNext/>
              <w:tabs>
                <w:tab w:val="left" w:pos="142"/>
              </w:tabs>
              <w:ind w:left="0" w:firstLine="0"/>
              <w:jc w:val="center"/>
            </w:pPr>
            <w:r w:rsidRPr="007E4DA1">
              <w:t>25</w:t>
            </w:r>
          </w:p>
        </w:tc>
        <w:tc>
          <w:tcPr>
            <w:tcW w:w="992" w:type="dxa"/>
          </w:tcPr>
          <w:p w14:paraId="2770C971" w14:textId="77777777" w:rsidR="00802FF6" w:rsidRPr="007E4DA1" w:rsidRDefault="00802FF6" w:rsidP="001A6584">
            <w:pPr>
              <w:keepNext/>
              <w:tabs>
                <w:tab w:val="left" w:pos="142"/>
              </w:tabs>
              <w:ind w:left="0" w:firstLine="0"/>
              <w:jc w:val="center"/>
            </w:pPr>
            <w:r w:rsidRPr="007E4DA1">
              <w:t>16</w:t>
            </w:r>
          </w:p>
        </w:tc>
        <w:tc>
          <w:tcPr>
            <w:tcW w:w="4536" w:type="dxa"/>
            <w:gridSpan w:val="4"/>
            <w:vMerge/>
          </w:tcPr>
          <w:p w14:paraId="2CECB205" w14:textId="77777777" w:rsidR="00802FF6" w:rsidRPr="007E4DA1" w:rsidRDefault="00802FF6" w:rsidP="001A6584">
            <w:pPr>
              <w:keepNext/>
              <w:tabs>
                <w:tab w:val="left" w:pos="142"/>
              </w:tabs>
              <w:ind w:left="0" w:firstLine="0"/>
              <w:jc w:val="center"/>
            </w:pPr>
          </w:p>
        </w:tc>
      </w:tr>
      <w:tr w:rsidR="00802FF6" w:rsidRPr="007E4DA1" w14:paraId="43892A0E" w14:textId="77777777" w:rsidTr="00EE3105">
        <w:trPr>
          <w:cantSplit/>
        </w:trPr>
        <w:tc>
          <w:tcPr>
            <w:tcW w:w="2376" w:type="dxa"/>
          </w:tcPr>
          <w:p w14:paraId="428DA990" w14:textId="77777777" w:rsidR="00802FF6" w:rsidRPr="007E4DA1" w:rsidRDefault="00802FF6" w:rsidP="001A6584">
            <w:pPr>
              <w:keepNext/>
              <w:tabs>
                <w:tab w:val="left" w:pos="142"/>
                <w:tab w:val="left" w:pos="540"/>
              </w:tabs>
              <w:ind w:left="0" w:firstLine="0"/>
              <w:rPr>
                <w:i/>
                <w:vertAlign w:val="superscript"/>
              </w:rPr>
            </w:pPr>
            <w:r w:rsidRPr="007E4DA1">
              <w:rPr>
                <w:i/>
              </w:rPr>
              <w:t>Wynik w skali MELD</w:t>
            </w:r>
            <w:r w:rsidRPr="007E4DA1">
              <w:rPr>
                <w:i/>
                <w:vertAlign w:val="superscript"/>
              </w:rPr>
              <w:t>f</w:t>
            </w:r>
          </w:p>
        </w:tc>
        <w:tc>
          <w:tcPr>
            <w:tcW w:w="1276" w:type="dxa"/>
          </w:tcPr>
          <w:p w14:paraId="4FAED5A0" w14:textId="77777777" w:rsidR="00802FF6" w:rsidRPr="007E4DA1" w:rsidRDefault="00802FF6" w:rsidP="001A6584">
            <w:pPr>
              <w:keepNext/>
              <w:tabs>
                <w:tab w:val="left" w:pos="142"/>
              </w:tabs>
              <w:ind w:left="0" w:firstLine="0"/>
              <w:jc w:val="center"/>
            </w:pPr>
          </w:p>
        </w:tc>
        <w:tc>
          <w:tcPr>
            <w:tcW w:w="992" w:type="dxa"/>
          </w:tcPr>
          <w:p w14:paraId="01462C94" w14:textId="77777777" w:rsidR="00802FF6" w:rsidRPr="007E4DA1" w:rsidRDefault="00802FF6" w:rsidP="001A6584">
            <w:pPr>
              <w:keepNext/>
              <w:tabs>
                <w:tab w:val="left" w:pos="142"/>
              </w:tabs>
              <w:ind w:left="0" w:firstLine="0"/>
              <w:jc w:val="center"/>
            </w:pPr>
          </w:p>
        </w:tc>
        <w:tc>
          <w:tcPr>
            <w:tcW w:w="4536" w:type="dxa"/>
            <w:gridSpan w:val="4"/>
            <w:vMerge/>
          </w:tcPr>
          <w:p w14:paraId="7C28C7E2" w14:textId="77777777" w:rsidR="00802FF6" w:rsidRPr="007E4DA1" w:rsidRDefault="00802FF6" w:rsidP="001A6584">
            <w:pPr>
              <w:keepNext/>
              <w:tabs>
                <w:tab w:val="left" w:pos="142"/>
              </w:tabs>
              <w:ind w:left="0" w:firstLine="0"/>
              <w:jc w:val="center"/>
            </w:pPr>
          </w:p>
        </w:tc>
      </w:tr>
      <w:tr w:rsidR="00802FF6" w:rsidRPr="007E4DA1" w14:paraId="583964A5" w14:textId="77777777" w:rsidTr="00EE3105">
        <w:trPr>
          <w:cantSplit/>
        </w:trPr>
        <w:tc>
          <w:tcPr>
            <w:tcW w:w="2376" w:type="dxa"/>
          </w:tcPr>
          <w:p w14:paraId="001F3155" w14:textId="77777777" w:rsidR="00802FF6" w:rsidRPr="007E4DA1" w:rsidRDefault="00CD1813" w:rsidP="001A6584">
            <w:pPr>
              <w:keepNext/>
              <w:tabs>
                <w:tab w:val="left" w:pos="142"/>
                <w:tab w:val="left" w:pos="540"/>
              </w:tabs>
              <w:ind w:left="0" w:firstLine="0"/>
            </w:pPr>
            <w:r w:rsidRPr="007E4DA1">
              <w:t>≥</w:t>
            </w:r>
            <w:r w:rsidR="00802FF6" w:rsidRPr="007E4DA1">
              <w:t xml:space="preserve">10 </w:t>
            </w:r>
          </w:p>
        </w:tc>
        <w:tc>
          <w:tcPr>
            <w:tcW w:w="1276" w:type="dxa"/>
          </w:tcPr>
          <w:p w14:paraId="47B43FFA" w14:textId="77777777" w:rsidR="00802FF6" w:rsidRPr="007E4DA1" w:rsidRDefault="00802FF6" w:rsidP="001A6584">
            <w:pPr>
              <w:keepNext/>
              <w:tabs>
                <w:tab w:val="left" w:pos="142"/>
              </w:tabs>
              <w:ind w:left="0" w:firstLine="0"/>
              <w:jc w:val="center"/>
            </w:pPr>
            <w:r w:rsidRPr="007E4DA1">
              <w:t>18</w:t>
            </w:r>
          </w:p>
        </w:tc>
        <w:tc>
          <w:tcPr>
            <w:tcW w:w="992" w:type="dxa"/>
          </w:tcPr>
          <w:p w14:paraId="69073934" w14:textId="77777777" w:rsidR="00802FF6" w:rsidRPr="007E4DA1" w:rsidRDefault="00802FF6" w:rsidP="001A6584">
            <w:pPr>
              <w:keepNext/>
              <w:tabs>
                <w:tab w:val="left" w:pos="142"/>
              </w:tabs>
              <w:ind w:left="0" w:firstLine="0"/>
              <w:jc w:val="center"/>
            </w:pPr>
            <w:r w:rsidRPr="007E4DA1">
              <w:t>10</w:t>
            </w:r>
          </w:p>
        </w:tc>
        <w:tc>
          <w:tcPr>
            <w:tcW w:w="4536" w:type="dxa"/>
            <w:gridSpan w:val="4"/>
            <w:vMerge/>
          </w:tcPr>
          <w:p w14:paraId="552A70E2" w14:textId="77777777" w:rsidR="00802FF6" w:rsidRPr="007E4DA1" w:rsidRDefault="00802FF6" w:rsidP="001A6584">
            <w:pPr>
              <w:keepNext/>
              <w:tabs>
                <w:tab w:val="left" w:pos="142"/>
              </w:tabs>
              <w:ind w:left="0" w:firstLine="0"/>
              <w:jc w:val="center"/>
            </w:pPr>
          </w:p>
        </w:tc>
      </w:tr>
      <w:tr w:rsidR="00802FF6" w:rsidRPr="007E4DA1" w14:paraId="1810AB3D" w14:textId="77777777" w:rsidTr="00EE3105">
        <w:trPr>
          <w:cantSplit/>
        </w:trPr>
        <w:tc>
          <w:tcPr>
            <w:tcW w:w="2376" w:type="dxa"/>
          </w:tcPr>
          <w:p w14:paraId="2CD6DFEA" w14:textId="77777777" w:rsidR="00802FF6" w:rsidRPr="007E4DA1" w:rsidRDefault="00CD1813" w:rsidP="001A6584">
            <w:pPr>
              <w:keepNext/>
              <w:tabs>
                <w:tab w:val="left" w:pos="142"/>
                <w:tab w:val="left" w:pos="540"/>
              </w:tabs>
              <w:ind w:left="0" w:firstLine="0"/>
            </w:pPr>
            <w:r w:rsidRPr="007E4DA1">
              <w:t>&lt;</w:t>
            </w:r>
            <w:r w:rsidR="00802FF6" w:rsidRPr="007E4DA1">
              <w:t>10</w:t>
            </w:r>
          </w:p>
        </w:tc>
        <w:tc>
          <w:tcPr>
            <w:tcW w:w="1276" w:type="dxa"/>
          </w:tcPr>
          <w:p w14:paraId="4A58E2E8" w14:textId="77777777" w:rsidR="00802FF6" w:rsidRPr="007E4DA1" w:rsidRDefault="00802FF6" w:rsidP="001A6584">
            <w:pPr>
              <w:keepNext/>
              <w:tabs>
                <w:tab w:val="left" w:pos="142"/>
              </w:tabs>
              <w:ind w:left="0" w:firstLine="0"/>
              <w:jc w:val="center"/>
            </w:pPr>
            <w:r w:rsidRPr="007E4DA1">
              <w:t>23</w:t>
            </w:r>
          </w:p>
        </w:tc>
        <w:tc>
          <w:tcPr>
            <w:tcW w:w="992" w:type="dxa"/>
          </w:tcPr>
          <w:p w14:paraId="4F05C263" w14:textId="77777777" w:rsidR="00802FF6" w:rsidRPr="007E4DA1" w:rsidRDefault="00802FF6" w:rsidP="001A6584">
            <w:pPr>
              <w:keepNext/>
              <w:tabs>
                <w:tab w:val="left" w:pos="142"/>
              </w:tabs>
              <w:ind w:left="0" w:firstLine="0"/>
              <w:jc w:val="center"/>
            </w:pPr>
            <w:r w:rsidRPr="007E4DA1">
              <w:t>17</w:t>
            </w:r>
          </w:p>
        </w:tc>
        <w:tc>
          <w:tcPr>
            <w:tcW w:w="4536" w:type="dxa"/>
            <w:gridSpan w:val="4"/>
            <w:vMerge/>
          </w:tcPr>
          <w:p w14:paraId="2AFF1D38" w14:textId="77777777" w:rsidR="00802FF6" w:rsidRPr="007E4DA1" w:rsidRDefault="00802FF6" w:rsidP="001A6584">
            <w:pPr>
              <w:keepNext/>
              <w:tabs>
                <w:tab w:val="left" w:pos="142"/>
              </w:tabs>
              <w:ind w:left="0" w:firstLine="0"/>
              <w:jc w:val="center"/>
            </w:pPr>
          </w:p>
        </w:tc>
      </w:tr>
      <w:tr w:rsidR="00541154" w:rsidRPr="007E4DA1" w14:paraId="30C650AD" w14:textId="77777777" w:rsidTr="00EE3105">
        <w:trPr>
          <w:cantSplit/>
        </w:trPr>
        <w:tc>
          <w:tcPr>
            <w:tcW w:w="9180" w:type="dxa"/>
            <w:gridSpan w:val="7"/>
          </w:tcPr>
          <w:p w14:paraId="6B4AD60C" w14:textId="77777777" w:rsidR="00541154" w:rsidRPr="00DF2BFE" w:rsidRDefault="00541154" w:rsidP="001A6584">
            <w:pPr>
              <w:pStyle w:val="LBLTableFootnotes"/>
              <w:keepNext/>
              <w:tabs>
                <w:tab w:val="clear" w:pos="720"/>
                <w:tab w:val="clear" w:pos="994"/>
              </w:tabs>
              <w:spacing w:line="240" w:lineRule="auto"/>
              <w:ind w:left="567" w:hanging="567"/>
              <w:rPr>
                <w:sz w:val="20"/>
                <w:szCs w:val="20"/>
                <w:lang w:val="pl-PL"/>
              </w:rPr>
            </w:pPr>
            <w:r w:rsidRPr="00DF2BFE">
              <w:rPr>
                <w:sz w:val="20"/>
                <w:szCs w:val="20"/>
                <w:vertAlign w:val="superscript"/>
                <w:lang w:val="pl-PL"/>
              </w:rPr>
              <w:t>a</w:t>
            </w:r>
            <w:r w:rsidRPr="00DF2BFE">
              <w:rPr>
                <w:sz w:val="20"/>
                <w:szCs w:val="20"/>
                <w:lang w:val="pl-PL"/>
              </w:rPr>
              <w:tab/>
              <w:t>Eltrombopag podawany w skojarzeniu z peginterferonem alfa-2a (180 </w:t>
            </w:r>
            <w:r w:rsidRPr="00DF2BFE">
              <w:rPr>
                <w:sz w:val="20"/>
                <w:szCs w:val="20"/>
              </w:rPr>
              <w:t>μ</w:t>
            </w:r>
            <w:r w:rsidRPr="00DF2BFE">
              <w:rPr>
                <w:sz w:val="20"/>
                <w:szCs w:val="20"/>
                <w:lang w:val="pl-PL"/>
              </w:rPr>
              <w:t>g raz w tygodniu przez 48 tygodni u pacjentów z genotypem 1/4/6 lub przez 24 tygodnie u pacjentów z genotypem 2/3) i z rybawiryną (800 do 1200 mg na dobę w 2 dawkach podzielonych, doustnie).</w:t>
            </w:r>
          </w:p>
          <w:p w14:paraId="3102895D" w14:textId="77777777" w:rsidR="00541154" w:rsidRPr="00DF2BFE" w:rsidRDefault="00541154" w:rsidP="001A6584">
            <w:pPr>
              <w:pStyle w:val="LBLTableFootnotes"/>
              <w:keepNext/>
              <w:tabs>
                <w:tab w:val="clear" w:pos="720"/>
                <w:tab w:val="clear" w:pos="994"/>
              </w:tabs>
              <w:spacing w:line="240" w:lineRule="auto"/>
              <w:ind w:left="567" w:hanging="567"/>
              <w:rPr>
                <w:sz w:val="20"/>
                <w:szCs w:val="20"/>
                <w:lang w:val="pl-PL"/>
              </w:rPr>
            </w:pPr>
            <w:r w:rsidRPr="00DF2BFE">
              <w:rPr>
                <w:sz w:val="20"/>
                <w:szCs w:val="20"/>
                <w:vertAlign w:val="superscript"/>
                <w:lang w:val="pl-PL"/>
              </w:rPr>
              <w:t>b</w:t>
            </w:r>
            <w:r w:rsidRPr="00DF2BFE">
              <w:rPr>
                <w:sz w:val="20"/>
                <w:szCs w:val="20"/>
                <w:lang w:val="pl-PL"/>
              </w:rPr>
              <w:tab/>
              <w:t>Eltrombopag podawany w skojarzeniu z peginterferonem alfa-2b (1,5 </w:t>
            </w:r>
            <w:r w:rsidRPr="00DF2BFE">
              <w:rPr>
                <w:sz w:val="20"/>
                <w:szCs w:val="20"/>
              </w:rPr>
              <w:t>μ</w:t>
            </w:r>
            <w:r w:rsidRPr="00DF2BFE">
              <w:rPr>
                <w:sz w:val="20"/>
                <w:szCs w:val="20"/>
                <w:lang w:val="pl-PL"/>
              </w:rPr>
              <w:t>g/kg raz w tygodniu przez 48 tygodni u pacjentów z genotypem 1/4/6 lub przez 24 tygodnie u pacjentów z genotypem 2/3) i z rybawiryną (800 do 1400 mg, doustnie, w 2 dawkach podzielonych).</w:t>
            </w:r>
          </w:p>
          <w:p w14:paraId="495C8A21" w14:textId="77777777" w:rsidR="00541154" w:rsidRPr="00DF2BFE" w:rsidRDefault="00541154" w:rsidP="001A6584">
            <w:pPr>
              <w:pStyle w:val="LBLTableFootnotes"/>
              <w:keepNext/>
              <w:tabs>
                <w:tab w:val="clear" w:pos="720"/>
                <w:tab w:val="clear" w:pos="994"/>
              </w:tabs>
              <w:spacing w:line="240" w:lineRule="auto"/>
              <w:ind w:left="567" w:hanging="567"/>
              <w:rPr>
                <w:sz w:val="20"/>
                <w:szCs w:val="20"/>
                <w:lang w:val="pl-PL"/>
              </w:rPr>
            </w:pPr>
            <w:r w:rsidRPr="00DF2BFE">
              <w:rPr>
                <w:sz w:val="20"/>
                <w:szCs w:val="20"/>
                <w:vertAlign w:val="superscript"/>
                <w:lang w:val="pl-PL"/>
              </w:rPr>
              <w:t>c</w:t>
            </w:r>
            <w:r w:rsidRPr="00DF2BFE">
              <w:rPr>
                <w:sz w:val="20"/>
                <w:szCs w:val="20"/>
                <w:lang w:val="pl-PL"/>
              </w:rPr>
              <w:tab/>
              <w:t xml:space="preserve">Docelowa liczba płytek wynosiła </w:t>
            </w:r>
            <w:r w:rsidRPr="00DF2BFE">
              <w:rPr>
                <w:sz w:val="20"/>
                <w:szCs w:val="20"/>
              </w:rPr>
              <w:sym w:font="Symbol" w:char="F0B3"/>
            </w:r>
            <w:r w:rsidRPr="00DF2BFE">
              <w:rPr>
                <w:sz w:val="20"/>
                <w:szCs w:val="20"/>
                <w:lang w:val="pl-PL"/>
              </w:rPr>
              <w:t>90 000/</w:t>
            </w:r>
            <w:r w:rsidRPr="00DF2BFE">
              <w:rPr>
                <w:sz w:val="20"/>
                <w:szCs w:val="20"/>
              </w:rPr>
              <w:t>μ</w:t>
            </w:r>
            <w:r w:rsidRPr="00DF2BFE">
              <w:rPr>
                <w:sz w:val="20"/>
                <w:szCs w:val="20"/>
                <w:lang w:val="pl-PL"/>
              </w:rPr>
              <w:t xml:space="preserve">l w badaniu ENABLE 1 oraz </w:t>
            </w:r>
            <w:r w:rsidRPr="00DF2BFE">
              <w:rPr>
                <w:sz w:val="20"/>
                <w:szCs w:val="20"/>
              </w:rPr>
              <w:sym w:font="Symbol" w:char="F0B3"/>
            </w:r>
            <w:r w:rsidRPr="00DF2BFE">
              <w:rPr>
                <w:sz w:val="20"/>
                <w:szCs w:val="20"/>
                <w:lang w:val="pl-PL"/>
              </w:rPr>
              <w:t>100 000/</w:t>
            </w:r>
            <w:r w:rsidRPr="00DF2BFE">
              <w:rPr>
                <w:sz w:val="20"/>
                <w:szCs w:val="20"/>
              </w:rPr>
              <w:t>μ</w:t>
            </w:r>
            <w:r w:rsidRPr="00DF2BFE">
              <w:rPr>
                <w:sz w:val="20"/>
                <w:szCs w:val="20"/>
                <w:lang w:val="pl-PL"/>
              </w:rPr>
              <w:t>l w badaniu ENABLE 2. W badaniu ENABLE 1 do fazy leczenia przeciwwirusowego zrandomizowano 682 pacjentów, jednak 2 pacjentów wycofało zgodę przed rozpoczęciem leczenia przeciwwirusowego.</w:t>
            </w:r>
          </w:p>
          <w:p w14:paraId="7E2BE98E" w14:textId="77777777" w:rsidR="00541154" w:rsidRPr="00DF2BFE" w:rsidRDefault="00541154" w:rsidP="001A6584">
            <w:pPr>
              <w:pStyle w:val="LBLTableFootnotes"/>
              <w:keepNext/>
              <w:tabs>
                <w:tab w:val="clear" w:pos="720"/>
                <w:tab w:val="clear" w:pos="994"/>
              </w:tabs>
              <w:spacing w:line="240" w:lineRule="auto"/>
              <w:ind w:left="567" w:hanging="567"/>
              <w:rPr>
                <w:sz w:val="20"/>
                <w:szCs w:val="20"/>
                <w:lang w:val="pl-PL"/>
              </w:rPr>
            </w:pPr>
            <w:r w:rsidRPr="00DF2BFE">
              <w:rPr>
                <w:sz w:val="20"/>
                <w:szCs w:val="20"/>
                <w:vertAlign w:val="superscript"/>
                <w:lang w:val="pl-PL"/>
              </w:rPr>
              <w:t>d</w:t>
            </w:r>
            <w:r w:rsidRPr="00DF2BFE">
              <w:rPr>
                <w:sz w:val="20"/>
                <w:szCs w:val="20"/>
                <w:lang w:val="pl-PL"/>
              </w:rPr>
              <w:tab/>
              <w:t xml:space="preserve">Wartość </w:t>
            </w:r>
            <w:r w:rsidRPr="00DF2BFE">
              <w:rPr>
                <w:i/>
                <w:sz w:val="20"/>
                <w:szCs w:val="20"/>
                <w:lang w:val="pl-PL"/>
              </w:rPr>
              <w:t xml:space="preserve">p </w:t>
            </w:r>
            <w:r w:rsidRPr="00DF2BFE">
              <w:rPr>
                <w:sz w:val="20"/>
                <w:szCs w:val="20"/>
                <w:lang w:val="pl-PL"/>
              </w:rPr>
              <w:t>&lt;0,05 dla eltrombopagu w porównaniu z placebo.</w:t>
            </w:r>
          </w:p>
          <w:p w14:paraId="75ABD70E" w14:textId="77777777" w:rsidR="00541154" w:rsidRPr="00DF2BFE" w:rsidRDefault="00541154" w:rsidP="001A6584">
            <w:pPr>
              <w:pStyle w:val="LBLTableFootnotes"/>
              <w:keepNext/>
              <w:tabs>
                <w:tab w:val="clear" w:pos="720"/>
                <w:tab w:val="clear" w:pos="994"/>
              </w:tabs>
              <w:spacing w:line="240" w:lineRule="auto"/>
              <w:ind w:left="567" w:hanging="567"/>
              <w:rPr>
                <w:sz w:val="20"/>
                <w:szCs w:val="20"/>
                <w:lang w:val="pl-PL"/>
              </w:rPr>
            </w:pPr>
            <w:r w:rsidRPr="00DF2BFE">
              <w:rPr>
                <w:sz w:val="20"/>
                <w:szCs w:val="20"/>
                <w:vertAlign w:val="superscript"/>
                <w:lang w:val="pl-PL"/>
              </w:rPr>
              <w:t>e</w:t>
            </w:r>
            <w:r w:rsidRPr="00DF2BFE">
              <w:rPr>
                <w:sz w:val="20"/>
                <w:szCs w:val="20"/>
                <w:lang w:val="pl-PL"/>
              </w:rPr>
              <w:tab/>
              <w:t>Genotyp 1 występował u 64% pacjentów uczestniczących w badaniach ENABLE 1 i ENABLE 2.</w:t>
            </w:r>
          </w:p>
          <w:p w14:paraId="0E821E05" w14:textId="57048544" w:rsidR="00541154" w:rsidRPr="00DF2BFE" w:rsidRDefault="00541154" w:rsidP="00DF2BFE">
            <w:pPr>
              <w:pStyle w:val="LBLTableFootnotes"/>
              <w:tabs>
                <w:tab w:val="clear" w:pos="720"/>
                <w:tab w:val="clear" w:pos="994"/>
              </w:tabs>
              <w:spacing w:line="240" w:lineRule="auto"/>
              <w:ind w:left="567" w:hanging="567"/>
              <w:rPr>
                <w:sz w:val="20"/>
                <w:szCs w:val="20"/>
              </w:rPr>
            </w:pPr>
            <w:r w:rsidRPr="00DF2BFE">
              <w:rPr>
                <w:sz w:val="20"/>
                <w:szCs w:val="20"/>
                <w:vertAlign w:val="superscript"/>
                <w:lang w:val="pl-PL"/>
              </w:rPr>
              <w:t>f</w:t>
            </w:r>
            <w:r w:rsidRPr="00DF2BFE">
              <w:rPr>
                <w:sz w:val="20"/>
                <w:szCs w:val="20"/>
                <w:lang w:val="pl-PL"/>
              </w:rPr>
              <w:tab/>
              <w:t xml:space="preserve">Analizy </w:t>
            </w:r>
            <w:r w:rsidRPr="00DF2BFE">
              <w:rPr>
                <w:i/>
                <w:sz w:val="20"/>
                <w:szCs w:val="20"/>
                <w:lang w:val="pl-PL"/>
              </w:rPr>
              <w:t>post-hoc</w:t>
            </w:r>
          </w:p>
        </w:tc>
      </w:tr>
    </w:tbl>
    <w:p w14:paraId="3303CB0A" w14:textId="77777777" w:rsidR="00802FF6" w:rsidRPr="007E4DA1" w:rsidRDefault="00802FF6" w:rsidP="001A6584">
      <w:pPr>
        <w:tabs>
          <w:tab w:val="left" w:pos="142"/>
        </w:tabs>
        <w:ind w:left="0" w:firstLine="0"/>
      </w:pPr>
    </w:p>
    <w:p w14:paraId="339105F7" w14:textId="5D4F41D5" w:rsidR="00802FF6" w:rsidRDefault="00802FF6" w:rsidP="001A6584">
      <w:pPr>
        <w:tabs>
          <w:tab w:val="left" w:pos="142"/>
        </w:tabs>
        <w:ind w:left="0" w:firstLine="0"/>
      </w:pPr>
      <w:r w:rsidRPr="007E4DA1">
        <w:t>Inne dodatkowe wyniki badań obejmowały: odsetek pacjentów przerywających przedterminowo leczenie przeciwwirusowe był istotnie mniejszy w grupie eltrombopagu w porównaniu z grupą placebo (odpowiednio 45% i 60%, p</w:t>
      </w:r>
      <w:r w:rsidR="007A2137">
        <w:t>&lt;</w:t>
      </w:r>
      <w:r w:rsidRPr="007E4DA1">
        <w:t>0,0001). Odsetek pacjentów, którzy nie wymagali żadnej redukcji dawek leków przeciwwirusowych był większy w grupie eltrombopagu w porównaniu z grupą placebo (odpowiednio 45% i 27%). Leczenie eltrombopagiem opóźniało i zmniejszało liczbę redukcji dawek peginterferonu.</w:t>
      </w:r>
    </w:p>
    <w:p w14:paraId="3821BEAE" w14:textId="77777777" w:rsidR="007A2137" w:rsidRDefault="007A2137" w:rsidP="001A6584">
      <w:pPr>
        <w:tabs>
          <w:tab w:val="left" w:pos="142"/>
        </w:tabs>
        <w:ind w:left="0" w:firstLine="0"/>
      </w:pPr>
    </w:p>
    <w:p w14:paraId="0197D6CB" w14:textId="6FB4BF17" w:rsidR="007A2137" w:rsidRDefault="007A2137" w:rsidP="00BC1959">
      <w:pPr>
        <w:keepNext/>
        <w:tabs>
          <w:tab w:val="left" w:pos="142"/>
        </w:tabs>
        <w:ind w:left="0" w:firstLine="0"/>
      </w:pPr>
      <w:bookmarkStart w:id="10" w:name="_Hlk199838584"/>
      <w:r>
        <w:rPr>
          <w:i/>
          <w:iCs/>
          <w:u w:val="single"/>
        </w:rPr>
        <w:t>Dzieci i młodzież</w:t>
      </w:r>
    </w:p>
    <w:p w14:paraId="208CC32A" w14:textId="3A5E7DAB" w:rsidR="007A2137" w:rsidRPr="007A2137" w:rsidRDefault="007A2137" w:rsidP="001A6584">
      <w:pPr>
        <w:tabs>
          <w:tab w:val="left" w:pos="142"/>
        </w:tabs>
        <w:ind w:left="0" w:firstLine="0"/>
      </w:pPr>
      <w:r>
        <w:t>Europejska Agencja Leków uchyliła obowiązek dołączania wyników badań eltrombopagu we wszystkich podgrupach populacji dzieci i młodzieży we wtórnej małopłytkowości (stosowanie u dzieci i młodzieży, patrz punkt</w:t>
      </w:r>
      <w:r w:rsidR="00BC1959">
        <w:t> </w:t>
      </w:r>
      <w:r>
        <w:t>4.2)</w:t>
      </w:r>
      <w:r w:rsidR="00706F3D">
        <w:t>.</w:t>
      </w:r>
    </w:p>
    <w:bookmarkEnd w:id="10"/>
    <w:p w14:paraId="5D9EAB92" w14:textId="77777777" w:rsidR="00802FF6" w:rsidRPr="007E4DA1" w:rsidRDefault="00802FF6" w:rsidP="001A6584">
      <w:pPr>
        <w:tabs>
          <w:tab w:val="left" w:pos="142"/>
        </w:tabs>
        <w:ind w:left="0" w:firstLine="0"/>
        <w:rPr>
          <w:szCs w:val="22"/>
        </w:rPr>
      </w:pPr>
    </w:p>
    <w:p w14:paraId="44C47474" w14:textId="77777777" w:rsidR="00041A08" w:rsidRPr="00041A08" w:rsidRDefault="006E1C1F" w:rsidP="001A6584">
      <w:pPr>
        <w:keepNext/>
        <w:tabs>
          <w:tab w:val="left" w:pos="142"/>
        </w:tabs>
        <w:ind w:left="0" w:firstLine="0"/>
        <w:rPr>
          <w:szCs w:val="22"/>
        </w:rPr>
      </w:pPr>
      <w:r w:rsidRPr="007E4DA1">
        <w:rPr>
          <w:i/>
          <w:szCs w:val="22"/>
          <w:u w:val="single"/>
        </w:rPr>
        <w:t>Ciężka niedokrwistość aplastyczna</w:t>
      </w:r>
    </w:p>
    <w:p w14:paraId="2C83296C" w14:textId="77777777" w:rsidR="00041A08" w:rsidRPr="00041A08" w:rsidRDefault="00041A08" w:rsidP="001A6584">
      <w:pPr>
        <w:keepNext/>
        <w:tabs>
          <w:tab w:val="left" w:pos="142"/>
        </w:tabs>
        <w:ind w:left="0" w:firstLine="0"/>
        <w:rPr>
          <w:szCs w:val="22"/>
        </w:rPr>
      </w:pPr>
    </w:p>
    <w:p w14:paraId="59122C57" w14:textId="42FCA96F" w:rsidR="006E1C1F" w:rsidRPr="007E4DA1" w:rsidRDefault="006E1C1F" w:rsidP="001A6584">
      <w:pPr>
        <w:tabs>
          <w:tab w:val="left" w:pos="142"/>
        </w:tabs>
        <w:ind w:left="0" w:firstLine="0"/>
        <w:rPr>
          <w:szCs w:val="22"/>
        </w:rPr>
      </w:pPr>
      <w:r w:rsidRPr="007E4DA1">
        <w:rPr>
          <w:szCs w:val="22"/>
        </w:rPr>
        <w:t xml:space="preserve">Eltrombopag był badany w jednoośrodkowym, jednoramiennym, </w:t>
      </w:r>
      <w:r w:rsidR="00C81F6E" w:rsidRPr="007E4DA1">
        <w:rPr>
          <w:szCs w:val="22"/>
        </w:rPr>
        <w:t xml:space="preserve">otwartym badaniu </w:t>
      </w:r>
      <w:r w:rsidR="00C933BA" w:rsidRPr="007E4DA1">
        <w:rPr>
          <w:szCs w:val="22"/>
        </w:rPr>
        <w:t>z udziałem 43 </w:t>
      </w:r>
      <w:r w:rsidRPr="007E4DA1">
        <w:rPr>
          <w:szCs w:val="22"/>
        </w:rPr>
        <w:t xml:space="preserve">pacjentów z </w:t>
      </w:r>
      <w:r w:rsidR="00541154">
        <w:rPr>
          <w:szCs w:val="22"/>
        </w:rPr>
        <w:t xml:space="preserve">SAA </w:t>
      </w:r>
      <w:r w:rsidRPr="007E4DA1">
        <w:rPr>
          <w:szCs w:val="22"/>
        </w:rPr>
        <w:t>i oporną małopłytkowością, po co najmniej jednej wcześniejszej terapii immunosupresyjnej</w:t>
      </w:r>
      <w:r w:rsidR="00F8231E" w:rsidRPr="007E4DA1">
        <w:rPr>
          <w:szCs w:val="22"/>
        </w:rPr>
        <w:t xml:space="preserve"> (IST)</w:t>
      </w:r>
      <w:r w:rsidRPr="007E4DA1">
        <w:rPr>
          <w:szCs w:val="22"/>
        </w:rPr>
        <w:t xml:space="preserve">, u których liczba płytek krwi wynosiła </w:t>
      </w:r>
      <w:r w:rsidR="003D6E8F" w:rsidRPr="007E4DA1">
        <w:rPr>
          <w:szCs w:val="22"/>
        </w:rPr>
        <w:t>≤</w:t>
      </w:r>
      <w:r w:rsidRPr="007E4DA1">
        <w:rPr>
          <w:szCs w:val="22"/>
        </w:rPr>
        <w:t>30</w:t>
      </w:r>
      <w:r w:rsidR="005835DF" w:rsidRPr="007E4DA1">
        <w:rPr>
          <w:szCs w:val="22"/>
        </w:rPr>
        <w:t> </w:t>
      </w:r>
      <w:r w:rsidRPr="007E4DA1">
        <w:rPr>
          <w:szCs w:val="22"/>
        </w:rPr>
        <w:t>000/μl.</w:t>
      </w:r>
    </w:p>
    <w:p w14:paraId="293BEB23" w14:textId="77777777" w:rsidR="006E1C1F" w:rsidRPr="007E4DA1" w:rsidRDefault="006E1C1F" w:rsidP="001A6584">
      <w:pPr>
        <w:tabs>
          <w:tab w:val="left" w:pos="142"/>
        </w:tabs>
        <w:ind w:left="0" w:firstLine="0"/>
        <w:rPr>
          <w:szCs w:val="22"/>
        </w:rPr>
      </w:pPr>
    </w:p>
    <w:p w14:paraId="7AB855E8" w14:textId="77777777" w:rsidR="006E1C1F" w:rsidRPr="007E4DA1" w:rsidRDefault="006E1C1F" w:rsidP="001A6584">
      <w:pPr>
        <w:tabs>
          <w:tab w:val="left" w:pos="142"/>
        </w:tabs>
        <w:ind w:left="0" w:firstLine="0"/>
        <w:rPr>
          <w:szCs w:val="22"/>
        </w:rPr>
      </w:pPr>
      <w:r w:rsidRPr="007E4DA1">
        <w:rPr>
          <w:szCs w:val="22"/>
        </w:rPr>
        <w:lastRenderedPageBreak/>
        <w:t xml:space="preserve">U większości pacjentów, 33 (77%), stwierdzono „oporność pierwotną”, definiowaną jako brak uzyskania wcześniejszej odpowiedniej odpowiedzi na IST w żadnej z </w:t>
      </w:r>
      <w:r w:rsidR="00C933BA" w:rsidRPr="007E4DA1">
        <w:rPr>
          <w:szCs w:val="22"/>
        </w:rPr>
        <w:t xml:space="preserve">linii komórek. </w:t>
      </w:r>
      <w:r w:rsidR="00F8231E" w:rsidRPr="007E4DA1">
        <w:rPr>
          <w:szCs w:val="22"/>
        </w:rPr>
        <w:t>P</w:t>
      </w:r>
      <w:r w:rsidR="00C933BA" w:rsidRPr="007E4DA1">
        <w:rPr>
          <w:szCs w:val="22"/>
        </w:rPr>
        <w:t>ozostałych 10 </w:t>
      </w:r>
      <w:r w:rsidRPr="007E4DA1">
        <w:rPr>
          <w:szCs w:val="22"/>
        </w:rPr>
        <w:t xml:space="preserve">pacjentów </w:t>
      </w:r>
      <w:r w:rsidR="00F8231E" w:rsidRPr="007E4DA1">
        <w:rPr>
          <w:szCs w:val="22"/>
        </w:rPr>
        <w:t xml:space="preserve">miało niewystarczającą odpowiedź płytek krwi </w:t>
      </w:r>
      <w:r w:rsidR="00681A91" w:rsidRPr="007E4DA1">
        <w:rPr>
          <w:szCs w:val="22"/>
        </w:rPr>
        <w:t>na</w:t>
      </w:r>
      <w:r w:rsidR="00F8231E" w:rsidRPr="007E4DA1">
        <w:rPr>
          <w:szCs w:val="22"/>
        </w:rPr>
        <w:t xml:space="preserve"> wcześniejsz</w:t>
      </w:r>
      <w:r w:rsidR="00681A91" w:rsidRPr="007E4DA1">
        <w:rPr>
          <w:szCs w:val="22"/>
        </w:rPr>
        <w:t>e</w:t>
      </w:r>
      <w:r w:rsidR="00F8231E" w:rsidRPr="007E4DA1">
        <w:rPr>
          <w:szCs w:val="22"/>
        </w:rPr>
        <w:t xml:space="preserve"> terapi</w:t>
      </w:r>
      <w:r w:rsidR="00681A91" w:rsidRPr="007E4DA1">
        <w:rPr>
          <w:szCs w:val="22"/>
        </w:rPr>
        <w:t>e</w:t>
      </w:r>
      <w:r w:rsidR="00F8231E" w:rsidRPr="007E4DA1">
        <w:rPr>
          <w:szCs w:val="22"/>
        </w:rPr>
        <w:t>.</w:t>
      </w:r>
      <w:r w:rsidRPr="007E4DA1">
        <w:rPr>
          <w:szCs w:val="22"/>
        </w:rPr>
        <w:t xml:space="preserve"> Wszystkie wspomniane 10 osób otrzymało wcześniej przynajmniej 2 schematy leczenia IST, a 50% z nich otrzymało wcześniej przynajmniej 3 schematy leczenia IST. Pacjenci z rozpoznaniem niedokrwistości Fanconiego, zakażeniem nieodpowiadającym na właściwe leczenie, wielkością klonów typową dla napadowej nocnej hemoglobinurii (PNH clones – </w:t>
      </w:r>
      <w:r w:rsidRPr="007E4DA1">
        <w:rPr>
          <w:i/>
          <w:szCs w:val="22"/>
        </w:rPr>
        <w:t>Paroxysmal nocturnal hemoglobinuria clones</w:t>
      </w:r>
      <w:r w:rsidRPr="007E4DA1">
        <w:rPr>
          <w:szCs w:val="22"/>
        </w:rPr>
        <w:t xml:space="preserve">) ocenianą na neutrofilach </w:t>
      </w:r>
      <w:r w:rsidR="00C933BA" w:rsidRPr="007E4DA1">
        <w:rPr>
          <w:szCs w:val="22"/>
        </w:rPr>
        <w:t>≥</w:t>
      </w:r>
      <w:r w:rsidRPr="007E4DA1">
        <w:rPr>
          <w:szCs w:val="22"/>
        </w:rPr>
        <w:t>50% byli wykluczeni z udziału w badaniu.</w:t>
      </w:r>
    </w:p>
    <w:p w14:paraId="0CC4AE54" w14:textId="77777777" w:rsidR="006E1C1F" w:rsidRPr="007E4DA1" w:rsidRDefault="006E1C1F" w:rsidP="001A6584">
      <w:pPr>
        <w:tabs>
          <w:tab w:val="left" w:pos="142"/>
        </w:tabs>
        <w:ind w:left="0" w:firstLine="0"/>
        <w:rPr>
          <w:szCs w:val="22"/>
        </w:rPr>
      </w:pPr>
    </w:p>
    <w:p w14:paraId="70608888" w14:textId="77777777" w:rsidR="006E1C1F" w:rsidRPr="007E4DA1" w:rsidRDefault="006E1C1F" w:rsidP="001A6584">
      <w:pPr>
        <w:tabs>
          <w:tab w:val="left" w:pos="142"/>
        </w:tabs>
        <w:ind w:left="0" w:firstLine="0"/>
        <w:rPr>
          <w:szCs w:val="22"/>
        </w:rPr>
      </w:pPr>
      <w:r w:rsidRPr="007E4DA1">
        <w:rPr>
          <w:szCs w:val="22"/>
        </w:rPr>
        <w:t>Wyjściowo mediana liczby płytek krwi wynosiła</w:t>
      </w:r>
      <w:r w:rsidR="007700E6" w:rsidRPr="007E4DA1">
        <w:rPr>
          <w:szCs w:val="22"/>
        </w:rPr>
        <w:t> </w:t>
      </w:r>
      <w:r w:rsidRPr="007E4DA1">
        <w:rPr>
          <w:szCs w:val="22"/>
        </w:rPr>
        <w:t>20</w:t>
      </w:r>
      <w:r w:rsidR="005835DF" w:rsidRPr="007E4DA1">
        <w:rPr>
          <w:szCs w:val="22"/>
        </w:rPr>
        <w:t> </w:t>
      </w:r>
      <w:r w:rsidRPr="007E4DA1">
        <w:rPr>
          <w:szCs w:val="22"/>
        </w:rPr>
        <w:t>000/μl, stężenie hemoglobiny 8,4</w:t>
      </w:r>
      <w:r w:rsidR="005835DF" w:rsidRPr="007E4DA1">
        <w:rPr>
          <w:szCs w:val="22"/>
        </w:rPr>
        <w:t> </w:t>
      </w:r>
      <w:r w:rsidRPr="007E4DA1">
        <w:rPr>
          <w:szCs w:val="22"/>
        </w:rPr>
        <w:t>g/dl, liczba ANC</w:t>
      </w:r>
      <w:r w:rsidR="007700E6" w:rsidRPr="007E4DA1">
        <w:rPr>
          <w:szCs w:val="22"/>
        </w:rPr>
        <w:t> </w:t>
      </w:r>
      <w:r w:rsidRPr="007E4DA1">
        <w:rPr>
          <w:szCs w:val="22"/>
        </w:rPr>
        <w:t>0,58</w:t>
      </w:r>
      <w:r w:rsidR="007700E6" w:rsidRPr="007E4DA1">
        <w:rPr>
          <w:szCs w:val="22"/>
        </w:rPr>
        <w:t> </w:t>
      </w:r>
      <w:r w:rsidRPr="007E4DA1">
        <w:rPr>
          <w:szCs w:val="22"/>
        </w:rPr>
        <w:t>x</w:t>
      </w:r>
      <w:r w:rsidR="007700E6" w:rsidRPr="007E4DA1">
        <w:rPr>
          <w:szCs w:val="22"/>
        </w:rPr>
        <w:t> </w:t>
      </w:r>
      <w:r w:rsidRPr="007E4DA1">
        <w:rPr>
          <w:szCs w:val="22"/>
        </w:rPr>
        <w:t>10</w:t>
      </w:r>
      <w:r w:rsidRPr="007E4DA1">
        <w:rPr>
          <w:szCs w:val="22"/>
          <w:vertAlign w:val="superscript"/>
        </w:rPr>
        <w:t>9</w:t>
      </w:r>
      <w:r w:rsidRPr="007E4DA1">
        <w:rPr>
          <w:szCs w:val="22"/>
        </w:rPr>
        <w:t>/l, a bezwzględna liczba retykulocytów 24,3</w:t>
      </w:r>
      <w:r w:rsidR="007700E6" w:rsidRPr="007E4DA1">
        <w:rPr>
          <w:szCs w:val="22"/>
        </w:rPr>
        <w:t> </w:t>
      </w:r>
      <w:r w:rsidRPr="007E4DA1">
        <w:rPr>
          <w:szCs w:val="22"/>
        </w:rPr>
        <w:t>x 10</w:t>
      </w:r>
      <w:r w:rsidRPr="007E4DA1">
        <w:rPr>
          <w:szCs w:val="22"/>
          <w:vertAlign w:val="superscript"/>
        </w:rPr>
        <w:t>9</w:t>
      </w:r>
      <w:r w:rsidRPr="007E4DA1">
        <w:rPr>
          <w:szCs w:val="22"/>
        </w:rPr>
        <w:t>/l. Osiemdziesiąt sześć procent pacjentów było zależnych od transfuzji krwinek czerwonych, a 91% pacjentów wymagało transfuzji płytek krwi. Większość pacjentów (84%) otrzymała wcześniej przynajmniej 2</w:t>
      </w:r>
      <w:r w:rsidR="007700E6" w:rsidRPr="007E4DA1">
        <w:rPr>
          <w:szCs w:val="22"/>
        </w:rPr>
        <w:t> </w:t>
      </w:r>
      <w:r w:rsidRPr="007E4DA1">
        <w:rPr>
          <w:szCs w:val="22"/>
        </w:rPr>
        <w:t>terapie immunosupresyjne. U trzech pacjentów stwierdzono nieprawidłowości cytogenetyczne przed rozpoczęciem badania.</w:t>
      </w:r>
    </w:p>
    <w:p w14:paraId="4262B634" w14:textId="77777777" w:rsidR="006E1C1F" w:rsidRPr="007E4DA1" w:rsidRDefault="006E1C1F" w:rsidP="001A6584">
      <w:pPr>
        <w:tabs>
          <w:tab w:val="left" w:pos="142"/>
        </w:tabs>
        <w:ind w:left="0" w:firstLine="0"/>
        <w:rPr>
          <w:szCs w:val="22"/>
        </w:rPr>
      </w:pPr>
    </w:p>
    <w:p w14:paraId="5FF4B8D6" w14:textId="77777777" w:rsidR="006E1C1F" w:rsidRPr="007E4DA1" w:rsidRDefault="006E1C1F" w:rsidP="001A6584">
      <w:pPr>
        <w:tabs>
          <w:tab w:val="left" w:pos="142"/>
        </w:tabs>
        <w:ind w:left="0" w:firstLine="0"/>
        <w:rPr>
          <w:szCs w:val="22"/>
        </w:rPr>
      </w:pPr>
      <w:r w:rsidRPr="007E4DA1">
        <w:rPr>
          <w:szCs w:val="22"/>
        </w:rPr>
        <w:t>Pierwszorzędowym punktem końcowym była odpowiedź hematologiczna oceniana po 12</w:t>
      </w:r>
      <w:r w:rsidR="007700E6" w:rsidRPr="007E4DA1">
        <w:rPr>
          <w:szCs w:val="22"/>
        </w:rPr>
        <w:t> </w:t>
      </w:r>
      <w:r w:rsidRPr="007E4DA1">
        <w:rPr>
          <w:szCs w:val="22"/>
        </w:rPr>
        <w:t>tygodniach leczenia eltrombopagiem.</w:t>
      </w:r>
      <w:r w:rsidR="00F8231E" w:rsidRPr="007E4DA1">
        <w:rPr>
          <w:szCs w:val="22"/>
        </w:rPr>
        <w:t xml:space="preserve"> </w:t>
      </w:r>
      <w:r w:rsidRPr="007E4DA1">
        <w:rPr>
          <w:szCs w:val="22"/>
        </w:rPr>
        <w:t>Odpowiedź hematologiczną definiowano jako spełnianie co najmniej jednego z następujących kryteriów: 1)</w:t>
      </w:r>
      <w:r w:rsidR="007700E6" w:rsidRPr="007E4DA1">
        <w:rPr>
          <w:szCs w:val="22"/>
        </w:rPr>
        <w:t> </w:t>
      </w:r>
      <w:r w:rsidRPr="007E4DA1">
        <w:rPr>
          <w:szCs w:val="22"/>
        </w:rPr>
        <w:t>wzrost liczby płytek krwi do</w:t>
      </w:r>
      <w:r w:rsidR="007700E6" w:rsidRPr="007E4DA1">
        <w:rPr>
          <w:szCs w:val="22"/>
        </w:rPr>
        <w:t> </w:t>
      </w:r>
      <w:r w:rsidRPr="007E4DA1">
        <w:rPr>
          <w:szCs w:val="22"/>
        </w:rPr>
        <w:t>20</w:t>
      </w:r>
      <w:r w:rsidR="007700E6" w:rsidRPr="007E4DA1">
        <w:rPr>
          <w:szCs w:val="22"/>
        </w:rPr>
        <w:t> </w:t>
      </w:r>
      <w:r w:rsidRPr="007E4DA1">
        <w:rPr>
          <w:szCs w:val="22"/>
        </w:rPr>
        <w:t>000/μl powyżej wartości początkowych lub stabilne wartości liczby płytek krwi przy braku konieczności transfuzji przez minimum 8</w:t>
      </w:r>
      <w:r w:rsidR="007700E6" w:rsidRPr="007E4DA1">
        <w:rPr>
          <w:szCs w:val="22"/>
        </w:rPr>
        <w:t> </w:t>
      </w:r>
      <w:r w:rsidRPr="007E4DA1">
        <w:rPr>
          <w:szCs w:val="22"/>
        </w:rPr>
        <w:t>tygodni; 2)</w:t>
      </w:r>
      <w:r w:rsidR="007700E6" w:rsidRPr="007E4DA1">
        <w:rPr>
          <w:szCs w:val="22"/>
        </w:rPr>
        <w:t> </w:t>
      </w:r>
      <w:r w:rsidRPr="007E4DA1">
        <w:rPr>
          <w:szCs w:val="22"/>
        </w:rPr>
        <w:t>wzrost stężenia hemoglobiny o</w:t>
      </w:r>
      <w:r w:rsidR="007700E6" w:rsidRPr="007E4DA1">
        <w:rPr>
          <w:szCs w:val="22"/>
        </w:rPr>
        <w:t> </w:t>
      </w:r>
      <w:r w:rsidRPr="007E4DA1">
        <w:rPr>
          <w:szCs w:val="22"/>
        </w:rPr>
        <w:t>&gt;1,5</w:t>
      </w:r>
      <w:r w:rsidR="007700E6" w:rsidRPr="007E4DA1">
        <w:rPr>
          <w:szCs w:val="22"/>
        </w:rPr>
        <w:t> </w:t>
      </w:r>
      <w:r w:rsidRPr="007E4DA1">
        <w:rPr>
          <w:szCs w:val="22"/>
        </w:rPr>
        <w:t>g/dl lub zmniejszenie o</w:t>
      </w:r>
      <w:r w:rsidR="007700E6" w:rsidRPr="007E4DA1">
        <w:rPr>
          <w:szCs w:val="22"/>
        </w:rPr>
        <w:t> </w:t>
      </w:r>
      <w:r w:rsidR="00B368D5" w:rsidRPr="007E4DA1">
        <w:rPr>
          <w:szCs w:val="22"/>
        </w:rPr>
        <w:t>≥</w:t>
      </w:r>
      <w:r w:rsidRPr="007E4DA1">
        <w:rPr>
          <w:szCs w:val="22"/>
        </w:rPr>
        <w:t>4 jednostki w ilości przetaczanych preparatów czerwonokrwinkowych przez 8</w:t>
      </w:r>
      <w:r w:rsidR="007700E6" w:rsidRPr="007E4DA1">
        <w:rPr>
          <w:szCs w:val="22"/>
        </w:rPr>
        <w:t> </w:t>
      </w:r>
      <w:r w:rsidRPr="007E4DA1">
        <w:rPr>
          <w:szCs w:val="22"/>
        </w:rPr>
        <w:t>kolejnych tygodni; 3)</w:t>
      </w:r>
      <w:r w:rsidR="007700E6" w:rsidRPr="007E4DA1">
        <w:rPr>
          <w:szCs w:val="22"/>
        </w:rPr>
        <w:t> </w:t>
      </w:r>
      <w:r w:rsidRPr="007E4DA1">
        <w:rPr>
          <w:szCs w:val="22"/>
        </w:rPr>
        <w:t>wzrost bezwzględnej liczby neutrofilów (ANC) o 100% lub wzrost ANC</w:t>
      </w:r>
      <w:r w:rsidR="007700E6" w:rsidRPr="007E4DA1">
        <w:rPr>
          <w:szCs w:val="22"/>
        </w:rPr>
        <w:t> </w:t>
      </w:r>
      <w:r w:rsidRPr="007E4DA1">
        <w:rPr>
          <w:szCs w:val="22"/>
        </w:rPr>
        <w:t>&gt;0,5</w:t>
      </w:r>
      <w:r w:rsidR="007700E6" w:rsidRPr="007E4DA1">
        <w:rPr>
          <w:szCs w:val="22"/>
        </w:rPr>
        <w:t> </w:t>
      </w:r>
      <w:r w:rsidRPr="007E4DA1">
        <w:rPr>
          <w:szCs w:val="22"/>
        </w:rPr>
        <w:t>x</w:t>
      </w:r>
      <w:r w:rsidR="007700E6" w:rsidRPr="007E4DA1">
        <w:rPr>
          <w:szCs w:val="22"/>
        </w:rPr>
        <w:t> </w:t>
      </w:r>
      <w:r w:rsidRPr="007E4DA1">
        <w:rPr>
          <w:szCs w:val="22"/>
        </w:rPr>
        <w:t>10</w:t>
      </w:r>
      <w:r w:rsidRPr="007E4DA1">
        <w:rPr>
          <w:szCs w:val="22"/>
          <w:vertAlign w:val="superscript"/>
        </w:rPr>
        <w:t>9</w:t>
      </w:r>
      <w:r w:rsidRPr="007E4DA1">
        <w:rPr>
          <w:szCs w:val="22"/>
        </w:rPr>
        <w:t>/l.</w:t>
      </w:r>
    </w:p>
    <w:p w14:paraId="4A63E2AD" w14:textId="77777777" w:rsidR="006E1C1F" w:rsidRPr="007E4DA1" w:rsidRDefault="006E1C1F" w:rsidP="001A6584">
      <w:pPr>
        <w:tabs>
          <w:tab w:val="left" w:pos="142"/>
        </w:tabs>
        <w:ind w:left="0" w:firstLine="0"/>
        <w:rPr>
          <w:szCs w:val="22"/>
        </w:rPr>
      </w:pPr>
    </w:p>
    <w:p w14:paraId="74FBE721" w14:textId="77777777" w:rsidR="00681A91" w:rsidRPr="007E4DA1" w:rsidRDefault="00681A91" w:rsidP="001A6584">
      <w:pPr>
        <w:tabs>
          <w:tab w:val="left" w:pos="142"/>
        </w:tabs>
        <w:ind w:left="0" w:firstLine="0"/>
        <w:rPr>
          <w:szCs w:val="22"/>
        </w:rPr>
      </w:pPr>
      <w:r w:rsidRPr="007E4DA1">
        <w:rPr>
          <w:lang w:val="pl"/>
        </w:rPr>
        <w:t>Wskaźnik odpowiedzi hematologicznej wyniósł 40% (17/43 pacjentów; przedział ufności 95%</w:t>
      </w:r>
      <w:r w:rsidR="007700E6" w:rsidRPr="007E4DA1">
        <w:rPr>
          <w:lang w:val="pl"/>
        </w:rPr>
        <w:t> </w:t>
      </w:r>
      <w:r w:rsidRPr="007E4DA1">
        <w:rPr>
          <w:lang w:val="pl"/>
        </w:rPr>
        <w:t>25,</w:t>
      </w:r>
      <w:r w:rsidR="007700E6" w:rsidRPr="007E4DA1">
        <w:rPr>
          <w:lang w:val="pl"/>
        </w:rPr>
        <w:t> </w:t>
      </w:r>
      <w:r w:rsidRPr="007E4DA1">
        <w:rPr>
          <w:lang w:val="pl"/>
        </w:rPr>
        <w:t>56), z czego w większości przypadków była to odpowiedź jednoliniowa (13/17, 76%), podczas gdy w tygodniu 12. obserwowano 3 przypadki dwuliniowej oraz 1</w:t>
      </w:r>
      <w:r w:rsidR="00A2408C" w:rsidRPr="007E4DA1">
        <w:rPr>
          <w:lang w:val="pl"/>
        </w:rPr>
        <w:t xml:space="preserve"> </w:t>
      </w:r>
      <w:r w:rsidRPr="007E4DA1">
        <w:rPr>
          <w:lang w:val="pl"/>
        </w:rPr>
        <w:t>przypadek trójliniowej odpowiedzi. Eltrombopag odstawiano po 16 tygodniach, jeśli nie obserwowano odpowiedzi hematologicznej na leczenie lub uniezależnienia się od tranfuzji. Pacjenci, u których obserwowano odpowiedź na leczenie, kontynuowali terapię w fazie roszerzonej badania. Do fazy rozszerzonej przeszło w sumie 14 pacjentów. Dziewięcioro z nich osiągnęło odpowiedź wieloliniową na leczenie, 4 z tych 9 jeszcze kontynuuje leczenie, a u 5 stopniowo zakończono terapię eltrombopagiem przy utrzymaniu u nich odpowiedzi na leczenie (mediana czasu obserwcji: 20,6</w:t>
      </w:r>
      <w:r w:rsidR="002463E0" w:rsidRPr="007E4DA1">
        <w:rPr>
          <w:lang w:val="pl"/>
        </w:rPr>
        <w:t> </w:t>
      </w:r>
      <w:r w:rsidRPr="007E4DA1">
        <w:rPr>
          <w:lang w:val="pl"/>
        </w:rPr>
        <w:t>miesiąca, zakres: 5,7 do 22,5 miesiąca). Pozostałych 5</w:t>
      </w:r>
      <w:r w:rsidR="002463E0" w:rsidRPr="007E4DA1">
        <w:rPr>
          <w:lang w:val="pl"/>
        </w:rPr>
        <w:t> </w:t>
      </w:r>
      <w:r w:rsidRPr="007E4DA1">
        <w:rPr>
          <w:lang w:val="pl"/>
        </w:rPr>
        <w:t>pacjentów zakończyło leczenie, w tym trzech z powodu nawrotu choroby stwierdzonego podczas wizyty w 3</w:t>
      </w:r>
      <w:r w:rsidR="00A2408C" w:rsidRPr="007E4DA1">
        <w:rPr>
          <w:lang w:val="pl"/>
        </w:rPr>
        <w:t>.</w:t>
      </w:r>
      <w:r w:rsidR="002463E0" w:rsidRPr="007E4DA1">
        <w:rPr>
          <w:lang w:val="pl"/>
        </w:rPr>
        <w:t> </w:t>
      </w:r>
      <w:r w:rsidRPr="007E4DA1">
        <w:rPr>
          <w:lang w:val="pl"/>
        </w:rPr>
        <w:t>miesiącu fazy rozszerzonej.</w:t>
      </w:r>
    </w:p>
    <w:p w14:paraId="7EDEC67C" w14:textId="77777777" w:rsidR="00681A91" w:rsidRPr="007E4DA1" w:rsidRDefault="00681A91" w:rsidP="001A6584">
      <w:pPr>
        <w:tabs>
          <w:tab w:val="left" w:pos="142"/>
        </w:tabs>
        <w:ind w:left="0" w:firstLine="0"/>
        <w:rPr>
          <w:szCs w:val="22"/>
        </w:rPr>
      </w:pPr>
    </w:p>
    <w:p w14:paraId="437179A9" w14:textId="77777777" w:rsidR="00681A91" w:rsidRPr="007E4DA1" w:rsidRDefault="00681A91" w:rsidP="001A6584">
      <w:pPr>
        <w:tabs>
          <w:tab w:val="left" w:pos="142"/>
        </w:tabs>
        <w:ind w:left="0" w:firstLine="0"/>
        <w:rPr>
          <w:lang w:val="pl"/>
        </w:rPr>
      </w:pPr>
      <w:r w:rsidRPr="007E4DA1">
        <w:rPr>
          <w:lang w:val="pl"/>
        </w:rPr>
        <w:t>Podczas terapii eltrombopagiem u 59% (23/39) pacjentów stwierdzono brak konieczności przetaczania płytek krwi (28</w:t>
      </w:r>
      <w:r w:rsidR="007700E6" w:rsidRPr="007E4DA1">
        <w:rPr>
          <w:lang w:val="pl"/>
        </w:rPr>
        <w:t> </w:t>
      </w:r>
      <w:r w:rsidRPr="007E4DA1">
        <w:rPr>
          <w:lang w:val="pl"/>
        </w:rPr>
        <w:t>dni bez transfuzji), zaś u 27% (10/37) zaobserwowano brak konieczności przetaczania czerwonych krwinek (56</w:t>
      </w:r>
      <w:r w:rsidR="007700E6" w:rsidRPr="007E4DA1">
        <w:rPr>
          <w:lang w:val="pl"/>
        </w:rPr>
        <w:t> </w:t>
      </w:r>
      <w:r w:rsidRPr="007E4DA1">
        <w:rPr>
          <w:lang w:val="pl"/>
        </w:rPr>
        <w:t>dni bez transfuzji). Najdłuższy okres bez transfuzji płytek krwi u pacjentów, u których nie uzyskano odpowiedzi na leczenie wynosił 27 dni (mediana). Najdłuższy okres bez transfuzji płytek krwi u pacjentów, którzy odpowiedzieli na leczenie wynosił 287 dni (mediana). Najdłuższy okres bez transfuzji czerwonych krwinek u pacjentów, u których nie uzyskano odpowiedzi na leczenie wynosił 29 dni (mediana). Najdłuższy okres bez transfuzji czerwonych krwinek u pacjentów, którzy odpowiedzieli na leczenie wynosił 266 dni (mediana).</w:t>
      </w:r>
    </w:p>
    <w:p w14:paraId="7355108C" w14:textId="77777777" w:rsidR="00681A91" w:rsidRPr="007E4DA1" w:rsidRDefault="00681A91" w:rsidP="001A6584">
      <w:pPr>
        <w:tabs>
          <w:tab w:val="left" w:pos="142"/>
        </w:tabs>
        <w:ind w:left="0" w:firstLine="0"/>
        <w:rPr>
          <w:szCs w:val="22"/>
        </w:rPr>
      </w:pPr>
    </w:p>
    <w:p w14:paraId="2168C7FE" w14:textId="77777777" w:rsidR="00681A91" w:rsidRPr="007E4DA1" w:rsidRDefault="00681A91" w:rsidP="001A6584">
      <w:pPr>
        <w:tabs>
          <w:tab w:val="left" w:pos="142"/>
        </w:tabs>
        <w:ind w:left="0" w:firstLine="0"/>
        <w:rPr>
          <w:szCs w:val="22"/>
        </w:rPr>
      </w:pPr>
      <w:r w:rsidRPr="007E4DA1">
        <w:rPr>
          <w:szCs w:val="22"/>
        </w:rPr>
        <w:t>Ponad 50% pacjentów z odpowiedzią, którzy przed rozpoczęciem badania byli zależni od transfuzji, osiągnęło &gt;80% redukcję zapotrzebowania na transfuzje zarówno płytek krwi, jak i krwinek czerwonych</w:t>
      </w:r>
      <w:r w:rsidR="00A2408C" w:rsidRPr="007E4DA1">
        <w:rPr>
          <w:szCs w:val="22"/>
        </w:rPr>
        <w:t>,</w:t>
      </w:r>
      <w:r w:rsidRPr="007E4DA1">
        <w:rPr>
          <w:szCs w:val="22"/>
        </w:rPr>
        <w:t xml:space="preserve"> w porównaniu ze stanem początkowym.</w:t>
      </w:r>
    </w:p>
    <w:p w14:paraId="4BCD1BF0" w14:textId="77777777" w:rsidR="00681A91" w:rsidRPr="007E4DA1" w:rsidRDefault="00681A91" w:rsidP="001A6584">
      <w:pPr>
        <w:tabs>
          <w:tab w:val="left" w:pos="142"/>
        </w:tabs>
        <w:ind w:left="0" w:firstLine="0"/>
        <w:rPr>
          <w:szCs w:val="22"/>
        </w:rPr>
      </w:pPr>
    </w:p>
    <w:p w14:paraId="16B596AA" w14:textId="77777777" w:rsidR="00F8231E" w:rsidRDefault="00681A91" w:rsidP="001A6584">
      <w:pPr>
        <w:tabs>
          <w:tab w:val="left" w:pos="142"/>
        </w:tabs>
        <w:ind w:left="0" w:firstLine="0"/>
        <w:rPr>
          <w:szCs w:val="22"/>
          <w:lang w:val="pl"/>
        </w:rPr>
      </w:pPr>
      <w:r w:rsidRPr="007E4DA1">
        <w:rPr>
          <w:szCs w:val="22"/>
          <w:lang w:val="pl"/>
        </w:rPr>
        <w:t>Wstępne wyniki toczącego się jeszcze pomocniczego, otwartego, jednoramiennego badania II fazy, bez randomizacji (Badanie ELT116826), przeprowadzonego w grupie pacjentów z oporną ciężką niedokrwistością aplastyczną</w:t>
      </w:r>
      <w:r w:rsidR="00A2408C" w:rsidRPr="007E4DA1">
        <w:rPr>
          <w:szCs w:val="22"/>
          <w:lang w:val="pl"/>
        </w:rPr>
        <w:t>,</w:t>
      </w:r>
      <w:r w:rsidRPr="007E4DA1">
        <w:rPr>
          <w:szCs w:val="22"/>
          <w:lang w:val="pl"/>
        </w:rPr>
        <w:t xml:space="preserve"> były zbieżne z wynikami wcześniejszych badań. Dane ograniczają się do 21 spośród planowanych 60</w:t>
      </w:r>
      <w:r w:rsidR="002463E0" w:rsidRPr="007E4DA1">
        <w:rPr>
          <w:szCs w:val="22"/>
          <w:lang w:val="pl"/>
        </w:rPr>
        <w:t> </w:t>
      </w:r>
      <w:r w:rsidRPr="007E4DA1">
        <w:rPr>
          <w:szCs w:val="22"/>
          <w:lang w:val="pl"/>
        </w:rPr>
        <w:t>pacjentów, przy czym w 6.</w:t>
      </w:r>
      <w:r w:rsidR="002463E0" w:rsidRPr="007E4DA1">
        <w:rPr>
          <w:szCs w:val="22"/>
          <w:lang w:val="pl"/>
        </w:rPr>
        <w:t> </w:t>
      </w:r>
      <w:r w:rsidRPr="007E4DA1">
        <w:rPr>
          <w:szCs w:val="22"/>
          <w:lang w:val="pl"/>
        </w:rPr>
        <w:t>miesiącu odpowiedż hematologiczną na leczenie obserwowano u 52% pacjentów. Odpowiedź wieloliniową obserwowano u 45% pacjentów.</w:t>
      </w:r>
    </w:p>
    <w:p w14:paraId="6FB62D3A" w14:textId="77777777" w:rsidR="00541154" w:rsidRDefault="00541154" w:rsidP="001A6584">
      <w:pPr>
        <w:tabs>
          <w:tab w:val="left" w:pos="142"/>
        </w:tabs>
        <w:ind w:left="0" w:firstLine="0"/>
        <w:rPr>
          <w:szCs w:val="22"/>
          <w:lang w:val="pl"/>
        </w:rPr>
      </w:pPr>
    </w:p>
    <w:p w14:paraId="16D0E267" w14:textId="3E7F3D0E" w:rsidR="003F374D" w:rsidRPr="00BC1959" w:rsidRDefault="003F374D" w:rsidP="00BC1959">
      <w:pPr>
        <w:keepNext/>
        <w:tabs>
          <w:tab w:val="left" w:pos="142"/>
        </w:tabs>
        <w:ind w:left="0" w:firstLine="0"/>
        <w:rPr>
          <w:szCs w:val="22"/>
          <w:lang w:val="pl"/>
        </w:rPr>
      </w:pPr>
      <w:bookmarkStart w:id="11" w:name="_Hlk192591725"/>
      <w:bookmarkStart w:id="12" w:name="_Hlk199839101"/>
      <w:r>
        <w:rPr>
          <w:i/>
          <w:iCs/>
          <w:szCs w:val="22"/>
          <w:lang w:val="pl"/>
        </w:rPr>
        <w:lastRenderedPageBreak/>
        <w:t>Dzieci i młodzież</w:t>
      </w:r>
    </w:p>
    <w:p w14:paraId="2F908A57" w14:textId="2FFCE15C" w:rsidR="003F374D" w:rsidRPr="00BC1959" w:rsidRDefault="003F374D" w:rsidP="001A6584">
      <w:pPr>
        <w:tabs>
          <w:tab w:val="left" w:pos="142"/>
        </w:tabs>
        <w:ind w:left="0" w:firstLine="0"/>
        <w:rPr>
          <w:szCs w:val="22"/>
          <w:lang w:val="pl"/>
        </w:rPr>
      </w:pPr>
      <w:r>
        <w:rPr>
          <w:szCs w:val="22"/>
          <w:lang w:val="pl"/>
        </w:rPr>
        <w:t>Skuteczność eltrombopagu podawanego doustnie dzieciom i młodzieży w wieku od 2 do 17</w:t>
      </w:r>
      <w:r w:rsidR="00BC1959">
        <w:rPr>
          <w:szCs w:val="22"/>
          <w:lang w:val="pl"/>
        </w:rPr>
        <w:t> </w:t>
      </w:r>
      <w:r>
        <w:rPr>
          <w:szCs w:val="22"/>
          <w:lang w:val="pl"/>
        </w:rPr>
        <w:t>lat z nawracającą/oporną na leczenie (kohorta</w:t>
      </w:r>
      <w:r w:rsidR="00BC1959">
        <w:rPr>
          <w:szCs w:val="22"/>
          <w:lang w:val="pl"/>
        </w:rPr>
        <w:t> </w:t>
      </w:r>
      <w:r>
        <w:rPr>
          <w:szCs w:val="22"/>
          <w:lang w:val="pl"/>
        </w:rPr>
        <w:t>A; n=14) lub wcześniej nieleczoną (kohorta</w:t>
      </w:r>
      <w:r w:rsidR="00BC1959">
        <w:rPr>
          <w:szCs w:val="22"/>
          <w:lang w:val="pl"/>
        </w:rPr>
        <w:t> </w:t>
      </w:r>
      <w:r>
        <w:rPr>
          <w:szCs w:val="22"/>
          <w:lang w:val="pl"/>
        </w:rPr>
        <w:t xml:space="preserve">B; n=37) SAA są oceniane w trwającym, otwartym, </w:t>
      </w:r>
      <w:r>
        <w:t>niekontrolowanym, wewnątrzosobniczym badaniu z eskalacją dawki (N=51 łącznie) (badanie CETB115E2201) (patrz także punkt 4.2). Kohorta</w:t>
      </w:r>
      <w:r w:rsidR="00BC1959">
        <w:t> </w:t>
      </w:r>
      <w:r>
        <w:t>A składała się z 14 pacjentów z oporną na leczenie (6 pacjentów) lub nawracającą (8 pacjentów) SAA. Tych 14 pacjentów otrzymywało jeden z dwóch schematów leczenia: 1)</w:t>
      </w:r>
      <w:r w:rsidR="00BC1959">
        <w:t> </w:t>
      </w:r>
      <w:r>
        <w:t xml:space="preserve">eltrombopag w skojarzeniu z </w:t>
      </w:r>
      <w:r>
        <w:rPr>
          <w:szCs w:val="22"/>
          <w:lang w:val="pl"/>
        </w:rPr>
        <w:t>końską globuliną antytymocytową (hATG)/cyklosporyną</w:t>
      </w:r>
      <w:r w:rsidR="00BC1959">
        <w:rPr>
          <w:szCs w:val="22"/>
          <w:lang w:val="pl"/>
        </w:rPr>
        <w:t> </w:t>
      </w:r>
      <w:r>
        <w:rPr>
          <w:szCs w:val="22"/>
          <w:lang w:val="pl"/>
        </w:rPr>
        <w:t>A (CsA) lub 2) eltrombopag w skojarzeniu z CsA. W kohorcie B 37 pacjentów z SAA bez wcześniejszej IST leczono stosując hATG i CsA dodatkowo do eltrombopagu. Czas trwania leczenia wyniósł 26 tygodni, a obserwację prowadzono przez kolejne 52 tygodnie.</w:t>
      </w:r>
    </w:p>
    <w:p w14:paraId="44FA0475" w14:textId="77777777" w:rsidR="00316AE0" w:rsidRDefault="00316AE0" w:rsidP="001A6584">
      <w:pPr>
        <w:tabs>
          <w:tab w:val="left" w:pos="142"/>
        </w:tabs>
        <w:ind w:left="0" w:firstLine="0"/>
        <w:rPr>
          <w:szCs w:val="22"/>
          <w:lang w:val="pl"/>
        </w:rPr>
      </w:pPr>
    </w:p>
    <w:p w14:paraId="2FD440AF" w14:textId="46476A07" w:rsidR="003F374D" w:rsidRDefault="003F374D" w:rsidP="001A6584">
      <w:pPr>
        <w:tabs>
          <w:tab w:val="left" w:pos="142"/>
        </w:tabs>
        <w:ind w:left="0" w:firstLine="0"/>
        <w:rPr>
          <w:szCs w:val="22"/>
          <w:lang w:val="pl"/>
        </w:rPr>
      </w:pPr>
      <w:r>
        <w:rPr>
          <w:szCs w:val="22"/>
          <w:lang w:val="pl"/>
        </w:rPr>
        <w:t xml:space="preserve">Dawki początkowe eltrombopagu wynosiły 25 mg na dobę u pacjentów w wieku od 1 do &lt;6 lat oraz 50 mg na dobę u pacjentów w wieku od 6 do </w:t>
      </w:r>
      <w:r w:rsidR="002459E7">
        <w:rPr>
          <w:szCs w:val="22"/>
          <w:lang w:val="pl"/>
        </w:rPr>
        <w:t>&lt;</w:t>
      </w:r>
      <w:r>
        <w:rPr>
          <w:szCs w:val="22"/>
          <w:lang w:val="pl"/>
        </w:rPr>
        <w:t>18 lat, niezależnie od przynależności do grupy etnicznej. Zwiększanie dawki u poszczególnych pacjentów było dozwolone co 2 tygodnie aż do czasu, gdy pacjent osiągnął docelową liczbę płytek krwi lub dawk</w:t>
      </w:r>
      <w:r w:rsidR="002459E7">
        <w:rPr>
          <w:szCs w:val="22"/>
          <w:lang w:val="pl"/>
        </w:rPr>
        <w:t>ę</w:t>
      </w:r>
      <w:r>
        <w:rPr>
          <w:szCs w:val="22"/>
          <w:lang w:val="pl"/>
        </w:rPr>
        <w:t xml:space="preserve"> maksymalną (150 mg), w zależności od tego, które z tych zdarzeń </w:t>
      </w:r>
      <w:r w:rsidR="002459E7">
        <w:rPr>
          <w:szCs w:val="22"/>
          <w:lang w:val="pl"/>
        </w:rPr>
        <w:t>na</w:t>
      </w:r>
      <w:r>
        <w:rPr>
          <w:szCs w:val="22"/>
          <w:lang w:val="pl"/>
        </w:rPr>
        <w:t>stąpiło jako pierwsze.</w:t>
      </w:r>
    </w:p>
    <w:p w14:paraId="7CFFC485" w14:textId="77777777" w:rsidR="003F374D" w:rsidRDefault="003F374D" w:rsidP="001A6584">
      <w:pPr>
        <w:tabs>
          <w:tab w:val="left" w:pos="142"/>
        </w:tabs>
        <w:ind w:left="0" w:firstLine="0"/>
        <w:rPr>
          <w:szCs w:val="22"/>
          <w:lang w:val="pl"/>
        </w:rPr>
      </w:pPr>
    </w:p>
    <w:p w14:paraId="76C7FE6C" w14:textId="3EF0D5D4" w:rsidR="003F374D" w:rsidRDefault="003F374D" w:rsidP="001A6584">
      <w:pPr>
        <w:tabs>
          <w:tab w:val="left" w:pos="142"/>
        </w:tabs>
        <w:ind w:left="0" w:firstLine="0"/>
        <w:rPr>
          <w:szCs w:val="22"/>
          <w:lang w:val="pl"/>
        </w:rPr>
      </w:pPr>
      <w:r>
        <w:rPr>
          <w:szCs w:val="22"/>
          <w:lang w:val="pl"/>
        </w:rPr>
        <w:t>Głównym celem badania było scharakteryzowanie farmakokinetyki eltrombopagu w stanie stacjonarnym po podaniu największej dawki u poszczególnych uczestników (patrz punkt 5.2). Drugorzędowymi celami dotyczącymi skuteczności była ocena całkowitego odsetka odpowiedzi (ORR)</w:t>
      </w:r>
      <w:r w:rsidR="00F13E9F">
        <w:rPr>
          <w:szCs w:val="22"/>
          <w:lang w:val="pl"/>
        </w:rPr>
        <w:t>, odsetka odpowiedzi ze strony płytek krwi (PRR)</w:t>
      </w:r>
      <w:r>
        <w:rPr>
          <w:szCs w:val="22"/>
          <w:lang w:val="pl"/>
        </w:rPr>
        <w:t xml:space="preserve"> oraz ocena niezależności od transfuzji płytek krwi i krwinek czerwonych.</w:t>
      </w:r>
    </w:p>
    <w:p w14:paraId="208F01BC" w14:textId="77777777" w:rsidR="00F13E9F" w:rsidRDefault="00F13E9F" w:rsidP="001A6584">
      <w:pPr>
        <w:tabs>
          <w:tab w:val="left" w:pos="142"/>
        </w:tabs>
        <w:ind w:left="0" w:firstLine="0"/>
        <w:rPr>
          <w:szCs w:val="22"/>
          <w:lang w:val="pl"/>
        </w:rPr>
      </w:pPr>
    </w:p>
    <w:p w14:paraId="136D0B70" w14:textId="36FF5581" w:rsidR="00F13E9F" w:rsidRPr="00837E7F" w:rsidRDefault="00F13E9F" w:rsidP="00F13E9F">
      <w:pPr>
        <w:tabs>
          <w:tab w:val="left" w:pos="142"/>
        </w:tabs>
        <w:ind w:left="0" w:firstLine="0"/>
        <w:rPr>
          <w:szCs w:val="22"/>
          <w:lang w:val="pl"/>
        </w:rPr>
      </w:pPr>
      <w:r>
        <w:rPr>
          <w:szCs w:val="22"/>
          <w:lang w:val="pl"/>
        </w:rPr>
        <w:t>ORR definiowano jako odsetek pacjentów, u których wystąpiła odpowiedź całkowita (CR) lub odpowiedź częściowa (PR). CR definiowano jako spełnienie kryteriów niezależności od transfuzji płytek krwi i krwinek czerwonych, prawidłową wartość hemoglobiny dostosowaną do wieku, liczbę płytek krwi &gt;100 x 10</w:t>
      </w:r>
      <w:r>
        <w:rPr>
          <w:szCs w:val="22"/>
          <w:vertAlign w:val="superscript"/>
          <w:lang w:val="pl"/>
        </w:rPr>
        <w:t>9</w:t>
      </w:r>
      <w:r>
        <w:rPr>
          <w:szCs w:val="22"/>
          <w:lang w:val="pl"/>
        </w:rPr>
        <w:t>/l i bezwzględną liczbę granulocytów obojętnochłonnych &gt;1,5 x 10</w:t>
      </w:r>
      <w:r>
        <w:rPr>
          <w:szCs w:val="22"/>
          <w:vertAlign w:val="superscript"/>
          <w:lang w:val="pl"/>
        </w:rPr>
        <w:t>9</w:t>
      </w:r>
      <w:r>
        <w:rPr>
          <w:szCs w:val="22"/>
          <w:lang w:val="pl"/>
        </w:rPr>
        <w:t>/l. PR definiowano jako spełnienie przynajmniej dwóch lub więcej z następujących kryteriów: bezwzględna liczba retykulocytów &gt;30 x 10</w:t>
      </w:r>
      <w:r>
        <w:rPr>
          <w:szCs w:val="22"/>
          <w:vertAlign w:val="superscript"/>
          <w:lang w:val="pl"/>
        </w:rPr>
        <w:t>9</w:t>
      </w:r>
      <w:r>
        <w:rPr>
          <w:szCs w:val="22"/>
          <w:lang w:val="pl"/>
        </w:rPr>
        <w:t>/l, liczba płytek krwi &gt;30 x 10</w:t>
      </w:r>
      <w:r>
        <w:rPr>
          <w:szCs w:val="22"/>
          <w:vertAlign w:val="superscript"/>
          <w:lang w:val="pl"/>
        </w:rPr>
        <w:t>9</w:t>
      </w:r>
      <w:r>
        <w:rPr>
          <w:szCs w:val="22"/>
          <w:lang w:val="pl"/>
        </w:rPr>
        <w:t>/l, bezwzględna liczba granulocytów obojętnochłonnych</w:t>
      </w:r>
      <w:r w:rsidR="00353671">
        <w:rPr>
          <w:szCs w:val="22"/>
          <w:lang w:val="pl"/>
        </w:rPr>
        <w:t xml:space="preserve"> </w:t>
      </w:r>
      <w:r>
        <w:rPr>
          <w:szCs w:val="22"/>
          <w:lang w:val="pl"/>
        </w:rPr>
        <w:t>&gt;0,5 x 10</w:t>
      </w:r>
      <w:r>
        <w:rPr>
          <w:szCs w:val="22"/>
          <w:vertAlign w:val="superscript"/>
          <w:lang w:val="pl"/>
        </w:rPr>
        <w:t>9</w:t>
      </w:r>
      <w:r>
        <w:rPr>
          <w:szCs w:val="22"/>
          <w:lang w:val="pl"/>
        </w:rPr>
        <w:t>/l powyżej wartości wyjściowej z niezależnością od transfuzji przez co najmniej 28 dni w przypadku transfuzji płytek krwi i 56 dni w przypadku transfuzji krwinek czerwonych.</w:t>
      </w:r>
      <w:r w:rsidR="00837E7F">
        <w:rPr>
          <w:szCs w:val="22"/>
          <w:lang w:val="pl"/>
        </w:rPr>
        <w:t xml:space="preserve"> PRR definiowano także jako odsetek pacjentów, u których wystąpiła odpowiedź całkowita (CR) lub odpowiedź częściowa (PR). CR definiowano jako spełnienie kryterium liczby płytek krwi &gt;100 x 10</w:t>
      </w:r>
      <w:r w:rsidR="00837E7F">
        <w:rPr>
          <w:szCs w:val="22"/>
          <w:vertAlign w:val="superscript"/>
          <w:lang w:val="pl"/>
        </w:rPr>
        <w:t>9</w:t>
      </w:r>
      <w:r w:rsidR="00837E7F">
        <w:rPr>
          <w:szCs w:val="22"/>
          <w:lang w:val="pl"/>
        </w:rPr>
        <w:t>/l. PR definiowano jako spełnienie kryterium liczby płytek krwi &gt;30 x 10</w:t>
      </w:r>
      <w:r w:rsidR="00837E7F">
        <w:rPr>
          <w:szCs w:val="22"/>
          <w:vertAlign w:val="superscript"/>
          <w:lang w:val="pl"/>
        </w:rPr>
        <w:t>9</w:t>
      </w:r>
      <w:r w:rsidR="00837E7F">
        <w:rPr>
          <w:szCs w:val="22"/>
          <w:lang w:val="pl"/>
        </w:rPr>
        <w:t>/l.</w:t>
      </w:r>
    </w:p>
    <w:p w14:paraId="4614BF62" w14:textId="77777777" w:rsidR="00F13E9F" w:rsidRDefault="00F13E9F" w:rsidP="001A6584">
      <w:pPr>
        <w:tabs>
          <w:tab w:val="left" w:pos="142"/>
        </w:tabs>
        <w:ind w:left="0" w:firstLine="0"/>
        <w:rPr>
          <w:szCs w:val="22"/>
          <w:lang w:val="pl"/>
        </w:rPr>
      </w:pPr>
    </w:p>
    <w:p w14:paraId="57E30A57" w14:textId="0241455B" w:rsidR="00F13E9F" w:rsidRDefault="00837E7F" w:rsidP="001A6584">
      <w:pPr>
        <w:tabs>
          <w:tab w:val="left" w:pos="142"/>
        </w:tabs>
        <w:ind w:left="0" w:firstLine="0"/>
        <w:rPr>
          <w:szCs w:val="22"/>
          <w:lang w:val="pl"/>
        </w:rPr>
      </w:pPr>
      <w:r>
        <w:rPr>
          <w:szCs w:val="22"/>
          <w:lang w:val="pl"/>
        </w:rPr>
        <w:t>Mediana wieku całej populacji wyniosła 10 lat (zakres: 2 do 17</w:t>
      </w:r>
      <w:r w:rsidR="00BC1959">
        <w:rPr>
          <w:szCs w:val="22"/>
          <w:lang w:val="pl"/>
        </w:rPr>
        <w:t> </w:t>
      </w:r>
      <w:r>
        <w:rPr>
          <w:szCs w:val="22"/>
          <w:lang w:val="pl"/>
        </w:rPr>
        <w:t>lat), 54,9% pacjentów stanowili mężczyźni, a 58,8% pacjentów to osoby rasy białej. Mediana wskaźnika masy ciała (BMI) wyniosła 17,9 kg/m</w:t>
      </w:r>
      <w:r>
        <w:rPr>
          <w:szCs w:val="22"/>
          <w:vertAlign w:val="superscript"/>
          <w:lang w:val="pl"/>
        </w:rPr>
        <w:t>2</w:t>
      </w:r>
      <w:r>
        <w:rPr>
          <w:szCs w:val="22"/>
          <w:lang w:val="pl"/>
        </w:rPr>
        <w:t>. Dwunastu (12</w:t>
      </w:r>
      <w:r w:rsidR="004B332C">
        <w:rPr>
          <w:szCs w:val="22"/>
          <w:lang w:val="pl"/>
        </w:rPr>
        <w:t> </w:t>
      </w:r>
      <w:r>
        <w:rPr>
          <w:szCs w:val="22"/>
          <w:lang w:val="pl"/>
        </w:rPr>
        <w:t>pacjentów było w wieku &lt;6 lat, a 39 pacjentów – w wieku od 6 do &lt;18 lat.</w:t>
      </w:r>
    </w:p>
    <w:p w14:paraId="4FA72D81" w14:textId="77777777" w:rsidR="003F374D" w:rsidRDefault="003F374D" w:rsidP="001A6584">
      <w:pPr>
        <w:tabs>
          <w:tab w:val="left" w:pos="142"/>
        </w:tabs>
        <w:ind w:left="0" w:firstLine="0"/>
        <w:rPr>
          <w:szCs w:val="22"/>
          <w:lang w:val="pl"/>
        </w:rPr>
      </w:pPr>
    </w:p>
    <w:p w14:paraId="54ECA5A8" w14:textId="5D6B6478" w:rsidR="00837E7F" w:rsidRDefault="00837E7F" w:rsidP="001A6584">
      <w:pPr>
        <w:tabs>
          <w:tab w:val="left" w:pos="142"/>
        </w:tabs>
        <w:ind w:left="0" w:firstLine="0"/>
        <w:rPr>
          <w:szCs w:val="22"/>
          <w:lang w:val="pl"/>
        </w:rPr>
      </w:pPr>
      <w:r>
        <w:rPr>
          <w:szCs w:val="22"/>
          <w:lang w:val="pl"/>
        </w:rPr>
        <w:t>ORR wyniósł 19,6% w tygodniu</w:t>
      </w:r>
      <w:r w:rsidR="00BC1959">
        <w:rPr>
          <w:szCs w:val="22"/>
          <w:lang w:val="pl"/>
        </w:rPr>
        <w:t> </w:t>
      </w:r>
      <w:r>
        <w:rPr>
          <w:szCs w:val="22"/>
          <w:lang w:val="pl"/>
        </w:rPr>
        <w:t>12., 52,9% w tygodniu</w:t>
      </w:r>
      <w:r w:rsidR="00BC1959">
        <w:rPr>
          <w:szCs w:val="22"/>
          <w:lang w:val="pl"/>
        </w:rPr>
        <w:t> </w:t>
      </w:r>
      <w:r>
        <w:rPr>
          <w:szCs w:val="22"/>
          <w:lang w:val="pl"/>
        </w:rPr>
        <w:t>26., 45,1% w tygodniu</w:t>
      </w:r>
      <w:r w:rsidR="00BC1959">
        <w:rPr>
          <w:szCs w:val="22"/>
          <w:lang w:val="pl"/>
        </w:rPr>
        <w:t> </w:t>
      </w:r>
      <w:r>
        <w:rPr>
          <w:szCs w:val="22"/>
          <w:lang w:val="pl"/>
        </w:rPr>
        <w:t>52. i 45,1% w tygodniu</w:t>
      </w:r>
      <w:r w:rsidR="00BC1959">
        <w:rPr>
          <w:szCs w:val="22"/>
          <w:lang w:val="pl"/>
        </w:rPr>
        <w:t> </w:t>
      </w:r>
      <w:r>
        <w:rPr>
          <w:szCs w:val="22"/>
          <w:lang w:val="pl"/>
        </w:rPr>
        <w:t>78. u wszystkich pacjentów. ORR był na ogół większy w kohorcie</w:t>
      </w:r>
      <w:r w:rsidR="00BC1959">
        <w:rPr>
          <w:szCs w:val="22"/>
          <w:lang w:val="pl"/>
        </w:rPr>
        <w:t> </w:t>
      </w:r>
      <w:r>
        <w:rPr>
          <w:szCs w:val="22"/>
          <w:lang w:val="pl"/>
        </w:rPr>
        <w:t>A niż w kohorcie</w:t>
      </w:r>
      <w:r w:rsidR="00BC1959">
        <w:rPr>
          <w:szCs w:val="22"/>
          <w:lang w:val="pl"/>
        </w:rPr>
        <w:t> </w:t>
      </w:r>
      <w:r>
        <w:rPr>
          <w:szCs w:val="22"/>
          <w:lang w:val="pl"/>
        </w:rPr>
        <w:t>B (np. 71,4% w por. z 45,9% w tygodniu</w:t>
      </w:r>
      <w:r w:rsidR="00BC1959">
        <w:rPr>
          <w:szCs w:val="22"/>
          <w:lang w:val="pl"/>
        </w:rPr>
        <w:t> </w:t>
      </w:r>
      <w:r>
        <w:rPr>
          <w:szCs w:val="22"/>
          <w:lang w:val="pl"/>
        </w:rPr>
        <w:t>26.). PRR wyniósł 47,1% w tygodniu</w:t>
      </w:r>
      <w:r w:rsidR="00BC1959">
        <w:rPr>
          <w:szCs w:val="22"/>
          <w:lang w:val="pl"/>
        </w:rPr>
        <w:t> </w:t>
      </w:r>
      <w:r>
        <w:rPr>
          <w:szCs w:val="22"/>
          <w:lang w:val="pl"/>
        </w:rPr>
        <w:t>12., 56,9% w tygodniu</w:t>
      </w:r>
      <w:r w:rsidR="00BC1959">
        <w:rPr>
          <w:szCs w:val="22"/>
          <w:lang w:val="pl"/>
        </w:rPr>
        <w:t> </w:t>
      </w:r>
      <w:r>
        <w:rPr>
          <w:szCs w:val="22"/>
          <w:lang w:val="pl"/>
        </w:rPr>
        <w:t>26., 51,0% w tygodniu</w:t>
      </w:r>
      <w:r w:rsidR="00BC1959">
        <w:rPr>
          <w:szCs w:val="22"/>
          <w:lang w:val="pl"/>
        </w:rPr>
        <w:t> </w:t>
      </w:r>
      <w:r>
        <w:rPr>
          <w:szCs w:val="22"/>
          <w:lang w:val="pl"/>
        </w:rPr>
        <w:t>52. i 49,0% w tygodniu</w:t>
      </w:r>
      <w:r w:rsidR="00BC1959">
        <w:rPr>
          <w:szCs w:val="22"/>
          <w:lang w:val="pl"/>
        </w:rPr>
        <w:t> </w:t>
      </w:r>
      <w:r>
        <w:rPr>
          <w:szCs w:val="22"/>
          <w:lang w:val="pl"/>
        </w:rPr>
        <w:t>78.</w:t>
      </w:r>
    </w:p>
    <w:p w14:paraId="3E089EA1" w14:textId="77777777" w:rsidR="00837E7F" w:rsidRDefault="00837E7F" w:rsidP="001A6584">
      <w:pPr>
        <w:tabs>
          <w:tab w:val="left" w:pos="142"/>
        </w:tabs>
        <w:ind w:left="0" w:firstLine="0"/>
        <w:rPr>
          <w:szCs w:val="22"/>
          <w:lang w:val="pl"/>
        </w:rPr>
      </w:pPr>
    </w:p>
    <w:p w14:paraId="60ECD41F" w14:textId="178AA999" w:rsidR="00837E7F" w:rsidRDefault="00545251" w:rsidP="001A6584">
      <w:pPr>
        <w:tabs>
          <w:tab w:val="left" w:pos="142"/>
        </w:tabs>
        <w:ind w:left="0" w:firstLine="0"/>
        <w:rPr>
          <w:szCs w:val="22"/>
          <w:lang w:val="pl"/>
        </w:rPr>
      </w:pPr>
      <w:r>
        <w:rPr>
          <w:szCs w:val="22"/>
          <w:lang w:val="pl"/>
        </w:rPr>
        <w:t>28</w:t>
      </w:r>
      <w:r w:rsidR="004B332C">
        <w:rPr>
          <w:szCs w:val="22"/>
          <w:lang w:val="pl"/>
        </w:rPr>
        <w:t> </w:t>
      </w:r>
      <w:r w:rsidR="00D41D3F">
        <w:rPr>
          <w:szCs w:val="22"/>
          <w:lang w:val="pl"/>
        </w:rPr>
        <w:t>(7</w:t>
      </w:r>
      <w:r w:rsidR="00BC1959">
        <w:rPr>
          <w:szCs w:val="22"/>
          <w:lang w:val="pl"/>
        </w:rPr>
        <w:t> </w:t>
      </w:r>
      <w:r w:rsidR="00D41D3F">
        <w:rPr>
          <w:szCs w:val="22"/>
          <w:lang w:val="pl"/>
        </w:rPr>
        <w:t>pacjentów z kohorty</w:t>
      </w:r>
      <w:r w:rsidR="00BC1959">
        <w:rPr>
          <w:szCs w:val="22"/>
          <w:lang w:val="pl"/>
        </w:rPr>
        <w:t> </w:t>
      </w:r>
      <w:r w:rsidR="00D41D3F">
        <w:rPr>
          <w:szCs w:val="22"/>
          <w:lang w:val="pl"/>
        </w:rPr>
        <w:t>A i 21</w:t>
      </w:r>
      <w:r w:rsidR="00BC1959">
        <w:rPr>
          <w:szCs w:val="22"/>
          <w:lang w:val="pl"/>
        </w:rPr>
        <w:t> </w:t>
      </w:r>
      <w:r w:rsidR="00D41D3F">
        <w:rPr>
          <w:szCs w:val="22"/>
          <w:lang w:val="pl"/>
        </w:rPr>
        <w:t>pacjentów z kohorty</w:t>
      </w:r>
      <w:r w:rsidR="00BC1959">
        <w:rPr>
          <w:szCs w:val="22"/>
          <w:lang w:val="pl"/>
        </w:rPr>
        <w:t> </w:t>
      </w:r>
      <w:r w:rsidR="00D41D3F">
        <w:rPr>
          <w:szCs w:val="22"/>
          <w:lang w:val="pl"/>
        </w:rPr>
        <w:t>B) z 42 pacjentów, którzy byli zależni od transfuzji krwinek czerwonych w punkcie początkowym badania osiągnęło niezależność od transfuzji przez co najmniej 56 dni podczas badania. W dniu zakończenia zbierania danych (22 kwietnia 2022</w:t>
      </w:r>
      <w:r w:rsidR="00353671">
        <w:rPr>
          <w:szCs w:val="22"/>
          <w:lang w:val="pl"/>
        </w:rPr>
        <w:t> </w:t>
      </w:r>
      <w:r w:rsidR="00D41D3F">
        <w:rPr>
          <w:szCs w:val="22"/>
          <w:lang w:val="pl"/>
        </w:rPr>
        <w:t>r.) mediana najdłuższego okresu niezależności od transfuzji krwinek czerwonych wyniosła 264 dni u 34 pacjentów (zakres: 58 do 1 074 dni), 321 dni (zakres: 185 do 860 dni) w kohorcie</w:t>
      </w:r>
      <w:r w:rsidR="00353671">
        <w:rPr>
          <w:szCs w:val="22"/>
          <w:lang w:val="pl"/>
        </w:rPr>
        <w:t> </w:t>
      </w:r>
      <w:r w:rsidR="00D41D3F">
        <w:rPr>
          <w:szCs w:val="22"/>
          <w:lang w:val="pl"/>
        </w:rPr>
        <w:t>A i 259 dni (zakres: 58 do 1 074 dni) w kohorcie</w:t>
      </w:r>
      <w:r w:rsidR="00353671">
        <w:rPr>
          <w:szCs w:val="22"/>
          <w:lang w:val="pl"/>
        </w:rPr>
        <w:t> </w:t>
      </w:r>
      <w:r w:rsidR="00D41D3F">
        <w:rPr>
          <w:szCs w:val="22"/>
          <w:lang w:val="pl"/>
        </w:rPr>
        <w:t>B.</w:t>
      </w:r>
      <w:r w:rsidR="00D41D3F" w:rsidRPr="00D41D3F">
        <w:rPr>
          <w:szCs w:val="22"/>
          <w:lang w:val="pl"/>
        </w:rPr>
        <w:t xml:space="preserve"> </w:t>
      </w:r>
      <w:r>
        <w:rPr>
          <w:szCs w:val="22"/>
          <w:lang w:val="pl"/>
        </w:rPr>
        <w:t>33</w:t>
      </w:r>
      <w:r w:rsidR="004B332C">
        <w:rPr>
          <w:szCs w:val="22"/>
          <w:lang w:val="pl"/>
        </w:rPr>
        <w:t> </w:t>
      </w:r>
      <w:r w:rsidR="00D41D3F">
        <w:rPr>
          <w:szCs w:val="22"/>
          <w:lang w:val="pl"/>
        </w:rPr>
        <w:t>(8</w:t>
      </w:r>
      <w:r w:rsidR="00353671">
        <w:rPr>
          <w:szCs w:val="22"/>
          <w:lang w:val="pl"/>
        </w:rPr>
        <w:t> </w:t>
      </w:r>
      <w:r w:rsidR="00D41D3F">
        <w:rPr>
          <w:szCs w:val="22"/>
          <w:lang w:val="pl"/>
        </w:rPr>
        <w:t>pacjentów z kohorty</w:t>
      </w:r>
      <w:r w:rsidR="00353671">
        <w:rPr>
          <w:szCs w:val="22"/>
          <w:lang w:val="pl"/>
        </w:rPr>
        <w:t> </w:t>
      </w:r>
      <w:r w:rsidR="00D41D3F">
        <w:rPr>
          <w:szCs w:val="22"/>
          <w:lang w:val="pl"/>
        </w:rPr>
        <w:t>A i 25</w:t>
      </w:r>
      <w:r w:rsidR="00353671">
        <w:rPr>
          <w:szCs w:val="22"/>
          <w:lang w:val="pl"/>
        </w:rPr>
        <w:t> </w:t>
      </w:r>
      <w:r w:rsidR="00D41D3F">
        <w:rPr>
          <w:szCs w:val="22"/>
          <w:lang w:val="pl"/>
        </w:rPr>
        <w:t>pacjentów z kohorty</w:t>
      </w:r>
      <w:r w:rsidR="00353671">
        <w:rPr>
          <w:szCs w:val="22"/>
          <w:lang w:val="pl"/>
        </w:rPr>
        <w:t> </w:t>
      </w:r>
      <w:r w:rsidR="00D41D3F">
        <w:rPr>
          <w:szCs w:val="22"/>
          <w:lang w:val="pl"/>
        </w:rPr>
        <w:t>B) z 43 pacjentów, którzy byli zależni od transfuzji płytek krwi w punkcie początkowym badania osiągnęło niezależność od transfuzji przez co najmniej 28 dni podczas badania. W dniu zakończenia zbierania danych mediana najdłuższego okresu niezależności od transfuzji płytek krwi wyniosła 263 dni (zakres: 34 do 1 067 dni) u 40 pacjentów, 268 dni (zakres: 36 do 860 dni) w kohorcie</w:t>
      </w:r>
      <w:r w:rsidR="00353671">
        <w:rPr>
          <w:szCs w:val="22"/>
          <w:lang w:val="pl"/>
        </w:rPr>
        <w:t> </w:t>
      </w:r>
      <w:r w:rsidR="00D41D3F">
        <w:rPr>
          <w:szCs w:val="22"/>
          <w:lang w:val="pl"/>
        </w:rPr>
        <w:t>A i 250 dni (zakres: 34 do 1 067 dni) w kohorcie</w:t>
      </w:r>
      <w:r w:rsidR="00353671">
        <w:rPr>
          <w:szCs w:val="22"/>
          <w:lang w:val="pl"/>
        </w:rPr>
        <w:t> </w:t>
      </w:r>
      <w:r w:rsidR="00D41D3F">
        <w:rPr>
          <w:szCs w:val="22"/>
          <w:lang w:val="pl"/>
        </w:rPr>
        <w:t>B.</w:t>
      </w:r>
    </w:p>
    <w:p w14:paraId="74ADAEDA" w14:textId="77777777" w:rsidR="00837E7F" w:rsidRDefault="00837E7F" w:rsidP="001A6584">
      <w:pPr>
        <w:tabs>
          <w:tab w:val="left" w:pos="142"/>
        </w:tabs>
        <w:ind w:left="0" w:firstLine="0"/>
        <w:rPr>
          <w:szCs w:val="22"/>
          <w:lang w:val="pl"/>
        </w:rPr>
      </w:pPr>
    </w:p>
    <w:bookmarkEnd w:id="11"/>
    <w:p w14:paraId="4F61AE61" w14:textId="73817C50" w:rsidR="00F8231E" w:rsidRDefault="00D41D3F" w:rsidP="001A6584">
      <w:pPr>
        <w:tabs>
          <w:tab w:val="left" w:pos="142"/>
        </w:tabs>
        <w:ind w:left="0" w:firstLine="0"/>
        <w:rPr>
          <w:szCs w:val="22"/>
        </w:rPr>
      </w:pPr>
      <w:r>
        <w:rPr>
          <w:szCs w:val="22"/>
        </w:rPr>
        <w:lastRenderedPageBreak/>
        <w:t>Wyniki dotyczące bezpieczeństwa były spójne ze znanym profilem eltrombopagu (patrz punkt 4.8).</w:t>
      </w:r>
    </w:p>
    <w:p w14:paraId="260F3BEE" w14:textId="77777777" w:rsidR="00D41D3F" w:rsidRDefault="00D41D3F" w:rsidP="001A6584">
      <w:pPr>
        <w:tabs>
          <w:tab w:val="left" w:pos="142"/>
        </w:tabs>
        <w:ind w:left="0" w:firstLine="0"/>
        <w:rPr>
          <w:szCs w:val="22"/>
        </w:rPr>
      </w:pPr>
    </w:p>
    <w:p w14:paraId="45C19644" w14:textId="14732125" w:rsidR="00D41D3F" w:rsidRDefault="00D41D3F" w:rsidP="001A6584">
      <w:pPr>
        <w:tabs>
          <w:tab w:val="left" w:pos="142"/>
        </w:tabs>
        <w:ind w:left="0" w:firstLine="0"/>
        <w:rPr>
          <w:szCs w:val="22"/>
        </w:rPr>
      </w:pPr>
      <w:r>
        <w:rPr>
          <w:szCs w:val="22"/>
        </w:rPr>
        <w:t>Wyniki dotyczące skuteczności nie były wystarczające, by sformułować wnios</w:t>
      </w:r>
      <w:r w:rsidR="002459E7">
        <w:rPr>
          <w:szCs w:val="22"/>
        </w:rPr>
        <w:t>ki</w:t>
      </w:r>
      <w:r>
        <w:rPr>
          <w:szCs w:val="22"/>
        </w:rPr>
        <w:t xml:space="preserve"> o skuteczności eltrombopagu u dzieci i młodzieży z SAA.</w:t>
      </w:r>
    </w:p>
    <w:bookmarkEnd w:id="12"/>
    <w:p w14:paraId="42A0C165" w14:textId="77777777" w:rsidR="00D41D3F" w:rsidRPr="007E4DA1" w:rsidRDefault="00D41D3F" w:rsidP="001A6584">
      <w:pPr>
        <w:tabs>
          <w:tab w:val="left" w:pos="142"/>
        </w:tabs>
        <w:ind w:left="0" w:firstLine="0"/>
        <w:rPr>
          <w:szCs w:val="22"/>
        </w:rPr>
      </w:pPr>
    </w:p>
    <w:p w14:paraId="716BA909" w14:textId="77777777" w:rsidR="00802FF6" w:rsidRPr="007E4DA1" w:rsidRDefault="00802FF6" w:rsidP="001A6584">
      <w:pPr>
        <w:keepNext/>
        <w:tabs>
          <w:tab w:val="left" w:pos="142"/>
        </w:tabs>
        <w:ind w:left="0" w:firstLine="0"/>
        <w:rPr>
          <w:szCs w:val="22"/>
        </w:rPr>
      </w:pPr>
      <w:r w:rsidRPr="007E4DA1">
        <w:rPr>
          <w:b/>
          <w:bCs/>
          <w:szCs w:val="22"/>
        </w:rPr>
        <w:t>5.2</w:t>
      </w:r>
      <w:r w:rsidRPr="007E4DA1">
        <w:rPr>
          <w:b/>
          <w:bCs/>
          <w:szCs w:val="22"/>
        </w:rPr>
        <w:tab/>
      </w:r>
      <w:r w:rsidRPr="007E4DA1">
        <w:rPr>
          <w:b/>
        </w:rPr>
        <w:t>Właściwości farmakokinetyczne</w:t>
      </w:r>
    </w:p>
    <w:p w14:paraId="4A40AA64" w14:textId="77777777" w:rsidR="00802FF6" w:rsidRPr="007E4DA1" w:rsidRDefault="00802FF6" w:rsidP="001A6584">
      <w:pPr>
        <w:keepNext/>
        <w:tabs>
          <w:tab w:val="left" w:pos="142"/>
        </w:tabs>
        <w:ind w:left="0" w:firstLine="0"/>
        <w:rPr>
          <w:szCs w:val="22"/>
        </w:rPr>
      </w:pPr>
    </w:p>
    <w:p w14:paraId="0676CA7D" w14:textId="77777777" w:rsidR="00041A08" w:rsidRPr="00041A08" w:rsidRDefault="00802FF6" w:rsidP="001A6584">
      <w:pPr>
        <w:keepNext/>
        <w:tabs>
          <w:tab w:val="left" w:pos="142"/>
        </w:tabs>
        <w:ind w:left="0" w:firstLine="0"/>
        <w:rPr>
          <w:szCs w:val="22"/>
        </w:rPr>
      </w:pPr>
      <w:r w:rsidRPr="007E4DA1">
        <w:rPr>
          <w:i/>
          <w:szCs w:val="22"/>
          <w:u w:val="single"/>
        </w:rPr>
        <w:t>Farmakokinetyka</w:t>
      </w:r>
    </w:p>
    <w:p w14:paraId="76DC740C" w14:textId="3FB46440" w:rsidR="00802FF6" w:rsidRPr="007E4DA1" w:rsidRDefault="00802FF6" w:rsidP="001A6584">
      <w:pPr>
        <w:keepNext/>
        <w:tabs>
          <w:tab w:val="left" w:pos="142"/>
        </w:tabs>
        <w:ind w:left="0" w:firstLine="0"/>
        <w:rPr>
          <w:szCs w:val="22"/>
        </w:rPr>
      </w:pPr>
    </w:p>
    <w:p w14:paraId="025CEF84" w14:textId="707076C1" w:rsidR="00802FF6" w:rsidRPr="007E4DA1" w:rsidRDefault="00802FF6" w:rsidP="001A6584">
      <w:pPr>
        <w:tabs>
          <w:tab w:val="left" w:pos="0"/>
          <w:tab w:val="left" w:pos="142"/>
          <w:tab w:val="right" w:pos="8784"/>
        </w:tabs>
        <w:ind w:left="0" w:firstLine="0"/>
      </w:pPr>
      <w:r w:rsidRPr="007E4DA1">
        <w:t>W populacyjnej analizie farmakokinetyki zebrano dane dotyczące rozkładu stężenia eltrombopagu w osoczu w czasie, uzyskane od 88</w:t>
      </w:r>
      <w:r w:rsidR="005835DF" w:rsidRPr="007E4DA1">
        <w:t> </w:t>
      </w:r>
      <w:r w:rsidRPr="007E4DA1">
        <w:t xml:space="preserve">pacjentów z </w:t>
      </w:r>
      <w:r w:rsidRPr="007E4DA1">
        <w:rPr>
          <w:szCs w:val="22"/>
        </w:rPr>
        <w:t>pierwotną małopłytkowością immunologiczną</w:t>
      </w:r>
      <w:r w:rsidRPr="007E4DA1">
        <w:t xml:space="preserve"> w ramach badań </w:t>
      </w:r>
      <w:smartTag w:uri="urn:schemas-microsoft-com:office:smarttags" w:element="stockticker">
        <w:r w:rsidRPr="007E4DA1">
          <w:t>TRA</w:t>
        </w:r>
      </w:smartTag>
      <w:r w:rsidRPr="007E4DA1">
        <w:t xml:space="preserve">100773A i </w:t>
      </w:r>
      <w:smartTag w:uri="urn:schemas-microsoft-com:office:smarttags" w:element="stockticker">
        <w:r w:rsidRPr="007E4DA1">
          <w:t>TRA</w:t>
        </w:r>
      </w:smartTag>
      <w:r w:rsidRPr="007E4DA1">
        <w:t>100773B i uzyskane od 111 zdrowych osób dorosłych. Szacunkowe wartości AUC</w:t>
      </w:r>
      <w:r w:rsidRPr="007E4DA1">
        <w:rPr>
          <w:vertAlign w:val="subscript"/>
        </w:rPr>
        <w:t>(0-</w:t>
      </w:r>
      <w:r w:rsidRPr="007E4DA1">
        <w:rPr>
          <w:vertAlign w:val="subscript"/>
        </w:rPr>
        <w:sym w:font="Symbol" w:char="F074"/>
      </w:r>
      <w:r w:rsidRPr="007E4DA1">
        <w:rPr>
          <w:vertAlign w:val="subscript"/>
        </w:rPr>
        <w:t>)</w:t>
      </w:r>
      <w:r w:rsidRPr="007E4DA1">
        <w:t xml:space="preserve"> i C</w:t>
      </w:r>
      <w:r w:rsidRPr="007E4DA1">
        <w:rPr>
          <w:vertAlign w:val="subscript"/>
        </w:rPr>
        <w:t>max</w:t>
      </w:r>
      <w:r w:rsidRPr="007E4DA1">
        <w:t xml:space="preserve"> eltrombopagu w osoczu u pacjentów</w:t>
      </w:r>
      <w:r w:rsidRPr="007E4DA1">
        <w:rPr>
          <w:szCs w:val="22"/>
        </w:rPr>
        <w:t xml:space="preserve"> pierwotną małopłytkowością immunologiczną</w:t>
      </w:r>
      <w:r w:rsidRPr="007E4DA1">
        <w:t xml:space="preserve"> przedstawiono poniżej (</w:t>
      </w:r>
      <w:r w:rsidR="00E52F84">
        <w:t>t</w:t>
      </w:r>
      <w:r w:rsidRPr="007E4DA1">
        <w:t>abela</w:t>
      </w:r>
      <w:r w:rsidR="00E53102" w:rsidRPr="007E4DA1">
        <w:t> </w:t>
      </w:r>
      <w:r w:rsidR="001E6044">
        <w:t>12</w:t>
      </w:r>
      <w:r w:rsidRPr="007E4DA1">
        <w:t>).</w:t>
      </w:r>
    </w:p>
    <w:p w14:paraId="425D57DF" w14:textId="77777777" w:rsidR="00802FF6" w:rsidRPr="007E4DA1" w:rsidRDefault="00802FF6" w:rsidP="001A6584">
      <w:pPr>
        <w:tabs>
          <w:tab w:val="left" w:pos="0"/>
          <w:tab w:val="left" w:pos="142"/>
        </w:tabs>
        <w:ind w:left="0" w:firstLine="0"/>
      </w:pPr>
    </w:p>
    <w:p w14:paraId="30B6BEF4" w14:textId="2588C586" w:rsidR="00041A08" w:rsidRPr="00041A08" w:rsidRDefault="00802FF6" w:rsidP="001A6584">
      <w:pPr>
        <w:keepNext/>
        <w:tabs>
          <w:tab w:val="left" w:pos="1134"/>
          <w:tab w:val="right" w:pos="8784"/>
        </w:tabs>
        <w:ind w:left="1134" w:hanging="1134"/>
      </w:pPr>
      <w:r w:rsidRPr="007E4DA1">
        <w:rPr>
          <w:b/>
        </w:rPr>
        <w:t>Tabela</w:t>
      </w:r>
      <w:r w:rsidR="00E53102" w:rsidRPr="007E4DA1">
        <w:rPr>
          <w:b/>
        </w:rPr>
        <w:t> </w:t>
      </w:r>
      <w:r w:rsidR="001E6044">
        <w:rPr>
          <w:b/>
        </w:rPr>
        <w:t>12</w:t>
      </w:r>
      <w:r w:rsidR="00D05B82" w:rsidRPr="007E4DA1">
        <w:rPr>
          <w:b/>
        </w:rPr>
        <w:tab/>
      </w:r>
      <w:r w:rsidRPr="007E4DA1">
        <w:rPr>
          <w:b/>
        </w:rPr>
        <w:t>Średnia geometryczna (przedział ufności 95%) parametrów farmakokinetycznych eltrombopagu w osoczu w stanie stacjonarnym u dorosłych z pierwotną małopłytkowością immunologiczną</w:t>
      </w:r>
    </w:p>
    <w:p w14:paraId="44B88C78" w14:textId="32BDA6DA" w:rsidR="002759A1" w:rsidRPr="007E4DA1" w:rsidRDefault="002759A1" w:rsidP="001A6584">
      <w:pPr>
        <w:keepNext/>
        <w:tabs>
          <w:tab w:val="left" w:pos="142"/>
          <w:tab w:val="right" w:pos="8784"/>
        </w:tabs>
        <w:ind w:left="0"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802FF6" w:rsidRPr="007E4DA1" w14:paraId="3024E705" w14:textId="77777777" w:rsidTr="00EE3105">
        <w:trPr>
          <w:cantSplit/>
        </w:trPr>
        <w:tc>
          <w:tcPr>
            <w:tcW w:w="2430" w:type="dxa"/>
            <w:tcBorders>
              <w:top w:val="single" w:sz="4" w:space="0" w:color="auto"/>
              <w:left w:val="single" w:sz="4" w:space="0" w:color="auto"/>
              <w:bottom w:val="single" w:sz="4" w:space="0" w:color="auto"/>
              <w:right w:val="single" w:sz="4" w:space="0" w:color="auto"/>
            </w:tcBorders>
          </w:tcPr>
          <w:p w14:paraId="76F1A597" w14:textId="77777777" w:rsidR="00802FF6" w:rsidRPr="007E4DA1" w:rsidRDefault="00802FF6" w:rsidP="001A6584">
            <w:pPr>
              <w:pStyle w:val="BalloonText"/>
              <w:keepNext/>
              <w:tabs>
                <w:tab w:val="left" w:pos="142"/>
              </w:tabs>
              <w:ind w:left="0" w:firstLine="0"/>
              <w:jc w:val="center"/>
              <w:rPr>
                <w:rFonts w:ascii="Times New Roman" w:hAnsi="Times New Roman"/>
                <w:b/>
                <w:sz w:val="22"/>
                <w:szCs w:val="22"/>
                <w:lang w:eastAsia="en-GB"/>
              </w:rPr>
            </w:pPr>
            <w:r w:rsidRPr="007E4DA1">
              <w:rPr>
                <w:rFonts w:ascii="Times New Roman" w:hAnsi="Times New Roman"/>
                <w:b/>
                <w:sz w:val="22"/>
                <w:szCs w:val="22"/>
                <w:lang w:eastAsia="en-GB"/>
              </w:rPr>
              <w:t>Dawka eltrombopagu, raz na dobę</w:t>
            </w:r>
          </w:p>
        </w:tc>
        <w:tc>
          <w:tcPr>
            <w:tcW w:w="810" w:type="dxa"/>
            <w:tcBorders>
              <w:top w:val="single" w:sz="4" w:space="0" w:color="auto"/>
              <w:left w:val="single" w:sz="4" w:space="0" w:color="auto"/>
              <w:bottom w:val="single" w:sz="4" w:space="0" w:color="auto"/>
              <w:right w:val="single" w:sz="4" w:space="0" w:color="auto"/>
            </w:tcBorders>
          </w:tcPr>
          <w:p w14:paraId="2F6A956E" w14:textId="77777777" w:rsidR="00802FF6" w:rsidRPr="007E4DA1" w:rsidRDefault="00802FF6" w:rsidP="001A6584">
            <w:pPr>
              <w:pStyle w:val="BalloonText"/>
              <w:keepNext/>
              <w:tabs>
                <w:tab w:val="left" w:pos="142"/>
              </w:tabs>
              <w:ind w:left="0" w:firstLine="0"/>
              <w:jc w:val="center"/>
              <w:rPr>
                <w:rFonts w:ascii="Times New Roman" w:hAnsi="Times New Roman"/>
                <w:b/>
                <w:sz w:val="22"/>
                <w:szCs w:val="22"/>
                <w:lang w:eastAsia="en-GB"/>
              </w:rPr>
            </w:pPr>
            <w:r w:rsidRPr="007E4DA1">
              <w:rPr>
                <w:rFonts w:ascii="Times New Roman" w:hAnsi="Times New Roman"/>
                <w:b/>
                <w:sz w:val="22"/>
                <w:szCs w:val="22"/>
                <w:lang w:eastAsia="en-GB"/>
              </w:rPr>
              <w:t>N</w:t>
            </w:r>
          </w:p>
        </w:tc>
        <w:tc>
          <w:tcPr>
            <w:tcW w:w="2566" w:type="dxa"/>
            <w:tcBorders>
              <w:top w:val="single" w:sz="4" w:space="0" w:color="auto"/>
              <w:left w:val="single" w:sz="4" w:space="0" w:color="auto"/>
              <w:bottom w:val="single" w:sz="4" w:space="0" w:color="auto"/>
              <w:right w:val="single" w:sz="4" w:space="0" w:color="auto"/>
            </w:tcBorders>
          </w:tcPr>
          <w:p w14:paraId="26F3754E" w14:textId="77777777" w:rsidR="00802FF6" w:rsidRPr="007E4DA1" w:rsidRDefault="00802FF6" w:rsidP="001A6584">
            <w:pPr>
              <w:pStyle w:val="BalloonText"/>
              <w:keepNext/>
              <w:tabs>
                <w:tab w:val="left" w:pos="142"/>
              </w:tabs>
              <w:ind w:left="0" w:firstLine="0"/>
              <w:jc w:val="center"/>
              <w:rPr>
                <w:rFonts w:ascii="Times New Roman" w:hAnsi="Times New Roman"/>
                <w:b/>
                <w:sz w:val="22"/>
                <w:szCs w:val="22"/>
                <w:lang w:eastAsia="en-GB"/>
              </w:rPr>
            </w:pPr>
            <w:r w:rsidRPr="007E4DA1">
              <w:rPr>
                <w:rFonts w:ascii="Times New Roman" w:hAnsi="Times New Roman"/>
                <w:b/>
                <w:sz w:val="22"/>
                <w:szCs w:val="22"/>
                <w:lang w:eastAsia="en-GB"/>
              </w:rPr>
              <w:t>AUC</w:t>
            </w:r>
            <w:r w:rsidRPr="007E4DA1">
              <w:rPr>
                <w:rFonts w:ascii="Times New Roman" w:hAnsi="Times New Roman"/>
                <w:b/>
                <w:sz w:val="22"/>
                <w:szCs w:val="22"/>
                <w:vertAlign w:val="subscript"/>
                <w:lang w:eastAsia="en-GB"/>
              </w:rPr>
              <w:t>(0-</w:t>
            </w:r>
            <w:r w:rsidRPr="007E4DA1">
              <w:rPr>
                <w:rFonts w:ascii="Times New Roman" w:hAnsi="Times New Roman"/>
                <w:b/>
                <w:sz w:val="22"/>
                <w:szCs w:val="22"/>
                <w:vertAlign w:val="subscript"/>
                <w:lang w:eastAsia="en-GB"/>
              </w:rPr>
              <w:sym w:font="Symbol" w:char="F074"/>
            </w:r>
            <w:r w:rsidRPr="007E4DA1">
              <w:rPr>
                <w:rFonts w:ascii="Times New Roman" w:hAnsi="Times New Roman"/>
                <w:b/>
                <w:sz w:val="22"/>
                <w:szCs w:val="22"/>
                <w:vertAlign w:val="subscript"/>
                <w:lang w:eastAsia="en-GB"/>
              </w:rPr>
              <w:t>)</w:t>
            </w:r>
            <w:r w:rsidRPr="007E4DA1">
              <w:rPr>
                <w:rFonts w:ascii="Times New Roman" w:hAnsi="Times New Roman"/>
                <w:b/>
                <w:sz w:val="22"/>
                <w:szCs w:val="22"/>
                <w:vertAlign w:val="superscript"/>
                <w:lang w:eastAsia="en-GB"/>
              </w:rPr>
              <w:t>a</w:t>
            </w:r>
            <w:r w:rsidRPr="007E4DA1">
              <w:rPr>
                <w:rFonts w:ascii="Times New Roman" w:hAnsi="Times New Roman"/>
                <w:b/>
                <w:sz w:val="22"/>
                <w:szCs w:val="22"/>
                <w:lang w:eastAsia="en-GB"/>
              </w:rPr>
              <w:t xml:space="preserve">, </w:t>
            </w:r>
            <w:r w:rsidRPr="007E4DA1">
              <w:rPr>
                <w:rFonts w:ascii="Times New Roman" w:hAnsi="Times New Roman"/>
                <w:b/>
                <w:sz w:val="22"/>
                <w:szCs w:val="22"/>
                <w:lang w:eastAsia="en-GB"/>
              </w:rPr>
              <w:sym w:font="Symbol" w:char="F06D"/>
            </w:r>
            <w:r w:rsidRPr="007E4DA1">
              <w:rPr>
                <w:rFonts w:ascii="Times New Roman" w:hAnsi="Times New Roman"/>
                <w:b/>
                <w:sz w:val="22"/>
                <w:szCs w:val="22"/>
                <w:lang w:eastAsia="en-GB"/>
              </w:rPr>
              <w:t>g.h/ml</w:t>
            </w:r>
          </w:p>
        </w:tc>
        <w:tc>
          <w:tcPr>
            <w:tcW w:w="2834" w:type="dxa"/>
            <w:tcBorders>
              <w:top w:val="single" w:sz="4" w:space="0" w:color="auto"/>
              <w:left w:val="single" w:sz="4" w:space="0" w:color="auto"/>
              <w:bottom w:val="single" w:sz="4" w:space="0" w:color="auto"/>
              <w:right w:val="single" w:sz="4" w:space="0" w:color="auto"/>
            </w:tcBorders>
          </w:tcPr>
          <w:p w14:paraId="64E7EABB" w14:textId="77777777" w:rsidR="00802FF6" w:rsidRPr="007E4DA1" w:rsidRDefault="00802FF6" w:rsidP="001A6584">
            <w:pPr>
              <w:pStyle w:val="BalloonText"/>
              <w:keepNext/>
              <w:tabs>
                <w:tab w:val="left" w:pos="142"/>
              </w:tabs>
              <w:ind w:left="0" w:firstLine="0"/>
              <w:jc w:val="center"/>
              <w:rPr>
                <w:rFonts w:ascii="Times New Roman" w:hAnsi="Times New Roman"/>
                <w:b/>
                <w:sz w:val="22"/>
                <w:szCs w:val="22"/>
                <w:lang w:eastAsia="en-GB"/>
              </w:rPr>
            </w:pPr>
            <w:r w:rsidRPr="007E4DA1">
              <w:rPr>
                <w:rFonts w:ascii="Times New Roman" w:hAnsi="Times New Roman"/>
                <w:b/>
                <w:sz w:val="22"/>
                <w:szCs w:val="22"/>
                <w:lang w:eastAsia="en-GB"/>
              </w:rPr>
              <w:t>C</w:t>
            </w:r>
            <w:r w:rsidRPr="007E4DA1">
              <w:rPr>
                <w:rFonts w:ascii="Times New Roman" w:hAnsi="Times New Roman"/>
                <w:b/>
                <w:sz w:val="22"/>
                <w:szCs w:val="22"/>
                <w:vertAlign w:val="subscript"/>
                <w:lang w:eastAsia="en-GB"/>
              </w:rPr>
              <w:t>max</w:t>
            </w:r>
            <w:r w:rsidRPr="007E4DA1">
              <w:rPr>
                <w:rFonts w:ascii="Times New Roman" w:hAnsi="Times New Roman"/>
                <w:b/>
                <w:sz w:val="22"/>
                <w:szCs w:val="22"/>
                <w:vertAlign w:val="superscript"/>
                <w:lang w:eastAsia="en-GB"/>
              </w:rPr>
              <w:t>a</w:t>
            </w:r>
            <w:r w:rsidRPr="007E4DA1">
              <w:rPr>
                <w:rFonts w:ascii="Times New Roman" w:hAnsi="Times New Roman"/>
                <w:b/>
                <w:sz w:val="22"/>
                <w:szCs w:val="22"/>
                <w:lang w:eastAsia="en-GB"/>
              </w:rPr>
              <w:t xml:space="preserve"> , </w:t>
            </w:r>
            <w:r w:rsidRPr="007E4DA1">
              <w:rPr>
                <w:rFonts w:ascii="Times New Roman" w:hAnsi="Times New Roman"/>
                <w:b/>
                <w:sz w:val="22"/>
                <w:szCs w:val="22"/>
                <w:lang w:eastAsia="en-GB"/>
              </w:rPr>
              <w:sym w:font="Symbol" w:char="F06D"/>
            </w:r>
            <w:r w:rsidRPr="007E4DA1">
              <w:rPr>
                <w:rFonts w:ascii="Times New Roman" w:hAnsi="Times New Roman"/>
                <w:b/>
                <w:sz w:val="22"/>
                <w:szCs w:val="22"/>
                <w:lang w:eastAsia="en-GB"/>
              </w:rPr>
              <w:t>g/ml</w:t>
            </w:r>
          </w:p>
        </w:tc>
      </w:tr>
      <w:tr w:rsidR="00802FF6" w:rsidRPr="007E4DA1" w14:paraId="0BD8ACC4" w14:textId="77777777" w:rsidTr="00EE3105">
        <w:trPr>
          <w:cantSplit/>
        </w:trPr>
        <w:tc>
          <w:tcPr>
            <w:tcW w:w="2430" w:type="dxa"/>
            <w:tcBorders>
              <w:top w:val="single" w:sz="4" w:space="0" w:color="auto"/>
              <w:left w:val="single" w:sz="4" w:space="0" w:color="auto"/>
              <w:bottom w:val="single" w:sz="4" w:space="0" w:color="auto"/>
              <w:right w:val="single" w:sz="4" w:space="0" w:color="auto"/>
            </w:tcBorders>
          </w:tcPr>
          <w:p w14:paraId="12BF718D" w14:textId="77777777" w:rsidR="00802FF6" w:rsidRPr="007E4DA1" w:rsidRDefault="00802FF6" w:rsidP="001A6584">
            <w:pPr>
              <w:pStyle w:val="BalloonText"/>
              <w:keepNext/>
              <w:tabs>
                <w:tab w:val="left" w:pos="142"/>
              </w:tabs>
              <w:ind w:left="0" w:firstLine="0"/>
              <w:jc w:val="center"/>
              <w:rPr>
                <w:rFonts w:ascii="Times New Roman" w:hAnsi="Times New Roman"/>
                <w:sz w:val="22"/>
                <w:szCs w:val="22"/>
                <w:lang w:eastAsia="en-GB"/>
              </w:rPr>
            </w:pPr>
            <w:r w:rsidRPr="007E4DA1">
              <w:rPr>
                <w:rFonts w:ascii="Times New Roman" w:hAnsi="Times New Roman"/>
                <w:sz w:val="22"/>
                <w:szCs w:val="22"/>
                <w:lang w:eastAsia="en-GB"/>
              </w:rPr>
              <w:t>30 mg</w:t>
            </w:r>
          </w:p>
        </w:tc>
        <w:tc>
          <w:tcPr>
            <w:tcW w:w="810" w:type="dxa"/>
            <w:tcBorders>
              <w:top w:val="single" w:sz="4" w:space="0" w:color="auto"/>
              <w:left w:val="single" w:sz="4" w:space="0" w:color="auto"/>
              <w:bottom w:val="single" w:sz="4" w:space="0" w:color="auto"/>
              <w:right w:val="single" w:sz="4" w:space="0" w:color="auto"/>
            </w:tcBorders>
          </w:tcPr>
          <w:p w14:paraId="5573F3AE" w14:textId="77777777" w:rsidR="00802FF6" w:rsidRPr="007E4DA1" w:rsidRDefault="00802FF6" w:rsidP="001A6584">
            <w:pPr>
              <w:pStyle w:val="BalloonText"/>
              <w:keepNext/>
              <w:tabs>
                <w:tab w:val="left" w:pos="142"/>
              </w:tabs>
              <w:ind w:left="0" w:firstLine="0"/>
              <w:rPr>
                <w:rFonts w:ascii="Times New Roman" w:hAnsi="Times New Roman"/>
                <w:sz w:val="22"/>
                <w:szCs w:val="22"/>
                <w:lang w:eastAsia="en-GB"/>
              </w:rPr>
            </w:pPr>
            <w:r w:rsidRPr="007E4DA1">
              <w:rPr>
                <w:rFonts w:ascii="Times New Roman" w:hAnsi="Times New Roman"/>
                <w:sz w:val="22"/>
                <w:szCs w:val="22"/>
                <w:lang w:eastAsia="en-GB"/>
              </w:rPr>
              <w:t>28</w:t>
            </w:r>
          </w:p>
        </w:tc>
        <w:tc>
          <w:tcPr>
            <w:tcW w:w="2566" w:type="dxa"/>
            <w:tcBorders>
              <w:top w:val="single" w:sz="4" w:space="0" w:color="auto"/>
              <w:left w:val="single" w:sz="4" w:space="0" w:color="auto"/>
              <w:bottom w:val="single" w:sz="4" w:space="0" w:color="auto"/>
              <w:right w:val="single" w:sz="4" w:space="0" w:color="auto"/>
            </w:tcBorders>
          </w:tcPr>
          <w:p w14:paraId="5C5842A9" w14:textId="77777777" w:rsidR="00802FF6" w:rsidRPr="007E4DA1" w:rsidRDefault="00802FF6" w:rsidP="001A6584">
            <w:pPr>
              <w:pStyle w:val="BalloonText"/>
              <w:keepNext/>
              <w:tabs>
                <w:tab w:val="left" w:pos="142"/>
              </w:tabs>
              <w:ind w:left="0" w:firstLine="0"/>
              <w:rPr>
                <w:rFonts w:ascii="Times New Roman" w:hAnsi="Times New Roman"/>
                <w:sz w:val="22"/>
                <w:szCs w:val="22"/>
                <w:lang w:eastAsia="en-GB"/>
              </w:rPr>
            </w:pPr>
            <w:r w:rsidRPr="007E4DA1">
              <w:rPr>
                <w:rFonts w:ascii="Times New Roman" w:hAnsi="Times New Roman"/>
                <w:sz w:val="22"/>
                <w:szCs w:val="22"/>
                <w:lang w:eastAsia="en-GB"/>
              </w:rPr>
              <w:t>47 (39, 58)</w:t>
            </w:r>
          </w:p>
        </w:tc>
        <w:tc>
          <w:tcPr>
            <w:tcW w:w="2834" w:type="dxa"/>
            <w:tcBorders>
              <w:top w:val="single" w:sz="4" w:space="0" w:color="auto"/>
              <w:left w:val="single" w:sz="4" w:space="0" w:color="auto"/>
              <w:bottom w:val="single" w:sz="4" w:space="0" w:color="auto"/>
              <w:right w:val="single" w:sz="4" w:space="0" w:color="auto"/>
            </w:tcBorders>
          </w:tcPr>
          <w:p w14:paraId="41022F2D" w14:textId="77777777" w:rsidR="00802FF6" w:rsidRPr="007E4DA1" w:rsidRDefault="00802FF6" w:rsidP="001A6584">
            <w:pPr>
              <w:pStyle w:val="BalloonText"/>
              <w:keepNext/>
              <w:tabs>
                <w:tab w:val="left" w:pos="142"/>
              </w:tabs>
              <w:ind w:left="0" w:firstLine="0"/>
              <w:rPr>
                <w:rFonts w:ascii="Times New Roman" w:hAnsi="Times New Roman"/>
                <w:sz w:val="22"/>
                <w:szCs w:val="22"/>
                <w:lang w:eastAsia="en-GB"/>
              </w:rPr>
            </w:pPr>
            <w:r w:rsidRPr="007E4DA1">
              <w:rPr>
                <w:rFonts w:ascii="Times New Roman" w:hAnsi="Times New Roman"/>
                <w:sz w:val="22"/>
                <w:szCs w:val="22"/>
                <w:lang w:eastAsia="en-GB"/>
              </w:rPr>
              <w:t>3,78 (3,18, 4,49)</w:t>
            </w:r>
          </w:p>
        </w:tc>
      </w:tr>
      <w:tr w:rsidR="00802FF6" w:rsidRPr="007E4DA1" w14:paraId="6DAD2D7A" w14:textId="77777777" w:rsidTr="00EE3105">
        <w:trPr>
          <w:cantSplit/>
        </w:trPr>
        <w:tc>
          <w:tcPr>
            <w:tcW w:w="2430" w:type="dxa"/>
            <w:tcBorders>
              <w:top w:val="single" w:sz="4" w:space="0" w:color="auto"/>
              <w:left w:val="single" w:sz="4" w:space="0" w:color="auto"/>
              <w:bottom w:val="single" w:sz="4" w:space="0" w:color="auto"/>
              <w:right w:val="single" w:sz="4" w:space="0" w:color="auto"/>
            </w:tcBorders>
          </w:tcPr>
          <w:p w14:paraId="12687F66" w14:textId="77777777" w:rsidR="00802FF6" w:rsidRPr="007E4DA1" w:rsidRDefault="00802FF6" w:rsidP="001A6584">
            <w:pPr>
              <w:pStyle w:val="BalloonText"/>
              <w:keepNext/>
              <w:tabs>
                <w:tab w:val="left" w:pos="142"/>
              </w:tabs>
              <w:ind w:left="0" w:firstLine="0"/>
              <w:jc w:val="center"/>
              <w:rPr>
                <w:rFonts w:ascii="Times New Roman" w:hAnsi="Times New Roman"/>
                <w:sz w:val="22"/>
                <w:szCs w:val="22"/>
                <w:lang w:eastAsia="en-GB"/>
              </w:rPr>
            </w:pPr>
            <w:r w:rsidRPr="007E4DA1">
              <w:rPr>
                <w:rFonts w:ascii="Times New Roman" w:hAnsi="Times New Roman"/>
                <w:sz w:val="22"/>
                <w:szCs w:val="22"/>
                <w:lang w:eastAsia="en-GB"/>
              </w:rPr>
              <w:t>50 mg</w:t>
            </w:r>
          </w:p>
        </w:tc>
        <w:tc>
          <w:tcPr>
            <w:tcW w:w="810" w:type="dxa"/>
            <w:tcBorders>
              <w:top w:val="single" w:sz="4" w:space="0" w:color="auto"/>
              <w:left w:val="single" w:sz="4" w:space="0" w:color="auto"/>
              <w:bottom w:val="single" w:sz="4" w:space="0" w:color="auto"/>
              <w:right w:val="single" w:sz="4" w:space="0" w:color="auto"/>
            </w:tcBorders>
          </w:tcPr>
          <w:p w14:paraId="4DEC1544" w14:textId="77777777" w:rsidR="00802FF6" w:rsidRPr="007E4DA1" w:rsidRDefault="00802FF6" w:rsidP="001A6584">
            <w:pPr>
              <w:pStyle w:val="BalloonText"/>
              <w:keepNext/>
              <w:tabs>
                <w:tab w:val="left" w:pos="142"/>
              </w:tabs>
              <w:ind w:left="0" w:firstLine="0"/>
              <w:rPr>
                <w:rFonts w:ascii="Times New Roman" w:hAnsi="Times New Roman"/>
                <w:sz w:val="22"/>
                <w:szCs w:val="22"/>
                <w:lang w:eastAsia="en-GB"/>
              </w:rPr>
            </w:pPr>
            <w:r w:rsidRPr="007E4DA1">
              <w:rPr>
                <w:rFonts w:ascii="Times New Roman" w:hAnsi="Times New Roman"/>
                <w:sz w:val="22"/>
                <w:szCs w:val="22"/>
                <w:lang w:eastAsia="en-GB"/>
              </w:rPr>
              <w:t>34</w:t>
            </w:r>
          </w:p>
        </w:tc>
        <w:tc>
          <w:tcPr>
            <w:tcW w:w="2566" w:type="dxa"/>
            <w:tcBorders>
              <w:top w:val="single" w:sz="4" w:space="0" w:color="auto"/>
              <w:left w:val="single" w:sz="4" w:space="0" w:color="auto"/>
              <w:bottom w:val="single" w:sz="4" w:space="0" w:color="auto"/>
              <w:right w:val="single" w:sz="4" w:space="0" w:color="auto"/>
            </w:tcBorders>
          </w:tcPr>
          <w:p w14:paraId="74F8A7CB" w14:textId="77777777" w:rsidR="00802FF6" w:rsidRPr="007E4DA1" w:rsidRDefault="00802FF6" w:rsidP="001A6584">
            <w:pPr>
              <w:pStyle w:val="BalloonText"/>
              <w:keepNext/>
              <w:tabs>
                <w:tab w:val="left" w:pos="142"/>
              </w:tabs>
              <w:ind w:left="0" w:firstLine="0"/>
              <w:rPr>
                <w:rFonts w:ascii="Times New Roman" w:hAnsi="Times New Roman"/>
                <w:sz w:val="22"/>
                <w:szCs w:val="22"/>
                <w:lang w:eastAsia="en-GB"/>
              </w:rPr>
            </w:pPr>
            <w:r w:rsidRPr="007E4DA1">
              <w:rPr>
                <w:rFonts w:ascii="Times New Roman" w:hAnsi="Times New Roman"/>
                <w:sz w:val="22"/>
                <w:szCs w:val="22"/>
                <w:lang w:eastAsia="en-GB"/>
              </w:rPr>
              <w:t>108 (88, 134)</w:t>
            </w:r>
          </w:p>
        </w:tc>
        <w:tc>
          <w:tcPr>
            <w:tcW w:w="2834" w:type="dxa"/>
            <w:tcBorders>
              <w:top w:val="single" w:sz="4" w:space="0" w:color="auto"/>
              <w:left w:val="single" w:sz="4" w:space="0" w:color="auto"/>
              <w:bottom w:val="single" w:sz="4" w:space="0" w:color="auto"/>
              <w:right w:val="single" w:sz="4" w:space="0" w:color="auto"/>
            </w:tcBorders>
          </w:tcPr>
          <w:p w14:paraId="024A0BA3" w14:textId="77777777" w:rsidR="00802FF6" w:rsidRPr="007E4DA1" w:rsidRDefault="00802FF6" w:rsidP="001A6584">
            <w:pPr>
              <w:pStyle w:val="BalloonText"/>
              <w:keepNext/>
              <w:tabs>
                <w:tab w:val="left" w:pos="142"/>
              </w:tabs>
              <w:ind w:left="0" w:firstLine="0"/>
              <w:rPr>
                <w:rFonts w:ascii="Times New Roman" w:hAnsi="Times New Roman"/>
                <w:sz w:val="22"/>
                <w:szCs w:val="22"/>
                <w:lang w:eastAsia="en-GB"/>
              </w:rPr>
            </w:pPr>
            <w:r w:rsidRPr="007E4DA1">
              <w:rPr>
                <w:rFonts w:ascii="Times New Roman" w:hAnsi="Times New Roman"/>
                <w:sz w:val="22"/>
                <w:szCs w:val="22"/>
                <w:lang w:eastAsia="en-GB"/>
              </w:rPr>
              <w:t>8,01 (6,73, 9,53)</w:t>
            </w:r>
          </w:p>
        </w:tc>
      </w:tr>
      <w:tr w:rsidR="00802FF6" w:rsidRPr="007E4DA1" w14:paraId="0686DD1C" w14:textId="77777777" w:rsidTr="00EE3105">
        <w:trPr>
          <w:cantSplit/>
        </w:trPr>
        <w:tc>
          <w:tcPr>
            <w:tcW w:w="2430" w:type="dxa"/>
            <w:tcBorders>
              <w:top w:val="single" w:sz="4" w:space="0" w:color="auto"/>
              <w:left w:val="single" w:sz="4" w:space="0" w:color="auto"/>
              <w:bottom w:val="single" w:sz="4" w:space="0" w:color="auto"/>
              <w:right w:val="single" w:sz="4" w:space="0" w:color="auto"/>
            </w:tcBorders>
          </w:tcPr>
          <w:p w14:paraId="27B6832E" w14:textId="77777777" w:rsidR="00802FF6" w:rsidRPr="007E4DA1" w:rsidRDefault="00802FF6" w:rsidP="001A6584">
            <w:pPr>
              <w:pStyle w:val="BalloonText"/>
              <w:keepNext/>
              <w:tabs>
                <w:tab w:val="left" w:pos="142"/>
              </w:tabs>
              <w:ind w:left="0" w:firstLine="0"/>
              <w:jc w:val="center"/>
              <w:rPr>
                <w:rFonts w:ascii="Times New Roman" w:hAnsi="Times New Roman"/>
                <w:sz w:val="22"/>
                <w:szCs w:val="22"/>
                <w:lang w:eastAsia="en-GB"/>
              </w:rPr>
            </w:pPr>
            <w:r w:rsidRPr="007E4DA1">
              <w:rPr>
                <w:rFonts w:ascii="Times New Roman" w:hAnsi="Times New Roman"/>
                <w:sz w:val="22"/>
                <w:szCs w:val="22"/>
                <w:lang w:eastAsia="en-GB"/>
              </w:rPr>
              <w:t>75 mg</w:t>
            </w:r>
          </w:p>
        </w:tc>
        <w:tc>
          <w:tcPr>
            <w:tcW w:w="810" w:type="dxa"/>
            <w:tcBorders>
              <w:top w:val="single" w:sz="4" w:space="0" w:color="auto"/>
              <w:left w:val="single" w:sz="4" w:space="0" w:color="auto"/>
              <w:bottom w:val="single" w:sz="4" w:space="0" w:color="auto"/>
              <w:right w:val="single" w:sz="4" w:space="0" w:color="auto"/>
            </w:tcBorders>
          </w:tcPr>
          <w:p w14:paraId="1FD34ECF" w14:textId="77777777" w:rsidR="00802FF6" w:rsidRPr="007E4DA1" w:rsidRDefault="00802FF6" w:rsidP="001A6584">
            <w:pPr>
              <w:pStyle w:val="BalloonText"/>
              <w:keepNext/>
              <w:tabs>
                <w:tab w:val="left" w:pos="142"/>
              </w:tabs>
              <w:ind w:left="0" w:firstLine="0"/>
              <w:rPr>
                <w:rFonts w:ascii="Times New Roman" w:hAnsi="Times New Roman"/>
                <w:sz w:val="22"/>
                <w:szCs w:val="22"/>
                <w:lang w:eastAsia="en-GB"/>
              </w:rPr>
            </w:pPr>
            <w:r w:rsidRPr="007E4DA1">
              <w:rPr>
                <w:rFonts w:ascii="Times New Roman" w:hAnsi="Times New Roman"/>
                <w:sz w:val="22"/>
                <w:szCs w:val="22"/>
                <w:lang w:eastAsia="en-GB"/>
              </w:rPr>
              <w:t>26</w:t>
            </w:r>
          </w:p>
        </w:tc>
        <w:tc>
          <w:tcPr>
            <w:tcW w:w="2566" w:type="dxa"/>
            <w:tcBorders>
              <w:top w:val="single" w:sz="4" w:space="0" w:color="auto"/>
              <w:left w:val="single" w:sz="4" w:space="0" w:color="auto"/>
              <w:bottom w:val="single" w:sz="4" w:space="0" w:color="auto"/>
              <w:right w:val="single" w:sz="4" w:space="0" w:color="auto"/>
            </w:tcBorders>
          </w:tcPr>
          <w:p w14:paraId="08831F8A" w14:textId="77777777" w:rsidR="00802FF6" w:rsidRPr="007E4DA1" w:rsidRDefault="00802FF6" w:rsidP="001A6584">
            <w:pPr>
              <w:pStyle w:val="BalloonText"/>
              <w:keepNext/>
              <w:tabs>
                <w:tab w:val="left" w:pos="142"/>
              </w:tabs>
              <w:ind w:left="0" w:firstLine="0"/>
              <w:rPr>
                <w:rFonts w:ascii="Times New Roman" w:hAnsi="Times New Roman"/>
                <w:sz w:val="22"/>
                <w:szCs w:val="22"/>
                <w:lang w:eastAsia="en-GB"/>
              </w:rPr>
            </w:pPr>
            <w:r w:rsidRPr="007E4DA1">
              <w:rPr>
                <w:rFonts w:ascii="Times New Roman" w:hAnsi="Times New Roman"/>
                <w:sz w:val="22"/>
                <w:szCs w:val="22"/>
                <w:lang w:eastAsia="en-GB"/>
              </w:rPr>
              <w:t>168 (143, 198)</w:t>
            </w:r>
          </w:p>
        </w:tc>
        <w:tc>
          <w:tcPr>
            <w:tcW w:w="2834" w:type="dxa"/>
            <w:tcBorders>
              <w:top w:val="single" w:sz="4" w:space="0" w:color="auto"/>
              <w:left w:val="single" w:sz="4" w:space="0" w:color="auto"/>
              <w:bottom w:val="single" w:sz="4" w:space="0" w:color="auto"/>
              <w:right w:val="single" w:sz="4" w:space="0" w:color="auto"/>
            </w:tcBorders>
          </w:tcPr>
          <w:p w14:paraId="295D976C" w14:textId="77777777" w:rsidR="00802FF6" w:rsidRPr="007E4DA1" w:rsidRDefault="00802FF6" w:rsidP="001A6584">
            <w:pPr>
              <w:pStyle w:val="BalloonText"/>
              <w:keepNext/>
              <w:tabs>
                <w:tab w:val="left" w:pos="142"/>
              </w:tabs>
              <w:ind w:left="0" w:firstLine="0"/>
              <w:rPr>
                <w:rFonts w:ascii="Times New Roman" w:hAnsi="Times New Roman"/>
                <w:sz w:val="22"/>
                <w:szCs w:val="22"/>
                <w:lang w:eastAsia="en-GB"/>
              </w:rPr>
            </w:pPr>
            <w:r w:rsidRPr="007E4DA1">
              <w:rPr>
                <w:rFonts w:ascii="Times New Roman" w:hAnsi="Times New Roman"/>
                <w:sz w:val="22"/>
                <w:szCs w:val="22"/>
                <w:lang w:eastAsia="en-GB"/>
              </w:rPr>
              <w:t>12,7 (11,0, 14,5)</w:t>
            </w:r>
          </w:p>
        </w:tc>
      </w:tr>
      <w:tr w:rsidR="001E6044" w:rsidRPr="007E4DA1" w14:paraId="50CAD8E6" w14:textId="77777777" w:rsidTr="00EE3105">
        <w:trPr>
          <w:cantSplit/>
        </w:trPr>
        <w:tc>
          <w:tcPr>
            <w:tcW w:w="8640" w:type="dxa"/>
            <w:gridSpan w:val="4"/>
            <w:tcBorders>
              <w:top w:val="single" w:sz="4" w:space="0" w:color="auto"/>
              <w:left w:val="single" w:sz="4" w:space="0" w:color="auto"/>
              <w:bottom w:val="single" w:sz="4" w:space="0" w:color="auto"/>
              <w:right w:val="single" w:sz="4" w:space="0" w:color="auto"/>
            </w:tcBorders>
          </w:tcPr>
          <w:p w14:paraId="6F0292E9" w14:textId="3F1ECA76" w:rsidR="001E6044" w:rsidRPr="00F76F7E" w:rsidRDefault="001E6044" w:rsidP="00F76F7E">
            <w:pPr>
              <w:tabs>
                <w:tab w:val="left" w:pos="626"/>
              </w:tabs>
              <w:ind w:left="0" w:firstLine="0"/>
              <w:rPr>
                <w:sz w:val="20"/>
                <w:szCs w:val="24"/>
                <w:lang w:eastAsia="en-GB"/>
              </w:rPr>
            </w:pPr>
            <w:r w:rsidRPr="00F76F7E">
              <w:rPr>
                <w:sz w:val="20"/>
                <w:szCs w:val="24"/>
                <w:vertAlign w:val="superscript"/>
              </w:rPr>
              <w:t>a</w:t>
            </w:r>
            <w:r w:rsidR="00F76F7E" w:rsidRPr="00F76F7E">
              <w:rPr>
                <w:sz w:val="20"/>
                <w:szCs w:val="24"/>
              </w:rPr>
              <w:tab/>
            </w:r>
            <w:r w:rsidRPr="00F76F7E">
              <w:rPr>
                <w:sz w:val="20"/>
                <w:szCs w:val="24"/>
              </w:rPr>
              <w:t>AUC</w:t>
            </w:r>
            <w:r w:rsidRPr="00F76F7E">
              <w:rPr>
                <w:sz w:val="20"/>
                <w:szCs w:val="24"/>
                <w:vertAlign w:val="subscript"/>
              </w:rPr>
              <w:t>(0-</w:t>
            </w:r>
            <w:r w:rsidRPr="00F76F7E">
              <w:rPr>
                <w:sz w:val="20"/>
                <w:szCs w:val="24"/>
                <w:vertAlign w:val="subscript"/>
              </w:rPr>
              <w:sym w:font="Symbol" w:char="F074"/>
            </w:r>
            <w:r w:rsidRPr="00F76F7E">
              <w:rPr>
                <w:sz w:val="20"/>
                <w:szCs w:val="24"/>
                <w:vertAlign w:val="subscript"/>
              </w:rPr>
              <w:t>)</w:t>
            </w:r>
            <w:r w:rsidRPr="00F76F7E">
              <w:rPr>
                <w:sz w:val="20"/>
                <w:szCs w:val="24"/>
              </w:rPr>
              <w:t xml:space="preserve"> i C</w:t>
            </w:r>
            <w:r w:rsidRPr="00F76F7E">
              <w:rPr>
                <w:sz w:val="20"/>
                <w:szCs w:val="24"/>
                <w:vertAlign w:val="subscript"/>
              </w:rPr>
              <w:t>max</w:t>
            </w:r>
            <w:r w:rsidRPr="00F76F7E">
              <w:rPr>
                <w:sz w:val="20"/>
                <w:szCs w:val="24"/>
              </w:rPr>
              <w:t xml:space="preserve"> w oparciu o populacyjną analizę farmakokinetyki </w:t>
            </w:r>
            <w:r w:rsidRPr="00F76F7E">
              <w:rPr>
                <w:i/>
                <w:sz w:val="20"/>
                <w:szCs w:val="24"/>
              </w:rPr>
              <w:t>post-hoc.</w:t>
            </w:r>
          </w:p>
        </w:tc>
      </w:tr>
    </w:tbl>
    <w:p w14:paraId="05B82EF7" w14:textId="77777777" w:rsidR="005C0CBE" w:rsidRPr="007E4DA1" w:rsidRDefault="005C0CBE" w:rsidP="001A6584">
      <w:pPr>
        <w:tabs>
          <w:tab w:val="left" w:pos="142"/>
        </w:tabs>
        <w:ind w:left="0" w:firstLine="0"/>
        <w:rPr>
          <w:szCs w:val="22"/>
        </w:rPr>
      </w:pPr>
    </w:p>
    <w:p w14:paraId="05EE651E" w14:textId="1AEC3C3F" w:rsidR="00802FF6" w:rsidRPr="007E4DA1" w:rsidRDefault="00802FF6" w:rsidP="001A6584">
      <w:pPr>
        <w:tabs>
          <w:tab w:val="left" w:pos="142"/>
          <w:tab w:val="right" w:pos="8784"/>
        </w:tabs>
        <w:ind w:left="0" w:firstLine="0"/>
      </w:pPr>
      <w:r w:rsidRPr="007E4DA1">
        <w:t>Dane na temat stężenia eltrombopagu w osoczu w czasie zgromadzone w grupie 590 pacjentów zakażonych wirusem WZW C zakwalifikowanych do badań fazy III TPL103922/ENABLE 1 oraz TPL108390/ENABLE 2 połączono z danymi dotyczącymi pacjentów zakażonych wirusem WZW C zakwalifikowanych do badania fazy II TPL102357 oraz u zdrowych osób dorosłych w populacyjnej analizie PK. Szacunkowe wartości C</w:t>
      </w:r>
      <w:r w:rsidRPr="007E4DA1">
        <w:rPr>
          <w:vertAlign w:val="subscript"/>
        </w:rPr>
        <w:t>max</w:t>
      </w:r>
      <w:r w:rsidRPr="007E4DA1">
        <w:t xml:space="preserve"> i AUC</w:t>
      </w:r>
      <w:r w:rsidRPr="007E4DA1">
        <w:rPr>
          <w:vertAlign w:val="subscript"/>
        </w:rPr>
        <w:t>(0-</w:t>
      </w:r>
      <w:r w:rsidRPr="007E4DA1">
        <w:rPr>
          <w:vertAlign w:val="subscript"/>
        </w:rPr>
        <w:sym w:font="Symbol" w:char="F074"/>
      </w:r>
      <w:r w:rsidRPr="007E4DA1">
        <w:rPr>
          <w:vertAlign w:val="subscript"/>
        </w:rPr>
        <w:t>)</w:t>
      </w:r>
      <w:r w:rsidRPr="007E4DA1">
        <w:t xml:space="preserve"> dla eltrombopagu w osoczu u </w:t>
      </w:r>
      <w:r w:rsidR="001E6044">
        <w:t xml:space="preserve">dorosłych </w:t>
      </w:r>
      <w:r w:rsidRPr="007E4DA1">
        <w:t>pacjentów zakażonych wirusem WZW C zakwalifikowanych do badań fazy </w:t>
      </w:r>
      <w:r w:rsidR="00851248" w:rsidRPr="007E4DA1">
        <w:t>III</w:t>
      </w:r>
      <w:r w:rsidRPr="007E4DA1">
        <w:t xml:space="preserve"> przedstawiono w tabeli </w:t>
      </w:r>
      <w:r w:rsidR="001E6044">
        <w:t>13</w:t>
      </w:r>
      <w:r w:rsidRPr="007E4DA1">
        <w:t xml:space="preserve"> dla każdej z ocenianych dawek.</w:t>
      </w:r>
    </w:p>
    <w:p w14:paraId="25A9E9E5" w14:textId="77777777" w:rsidR="00802FF6" w:rsidRPr="007E4DA1" w:rsidRDefault="00802FF6" w:rsidP="001A6584">
      <w:pPr>
        <w:tabs>
          <w:tab w:val="left" w:pos="142"/>
        </w:tabs>
        <w:ind w:left="0" w:firstLine="0"/>
      </w:pPr>
    </w:p>
    <w:p w14:paraId="3E2E093E" w14:textId="73CFF3E2" w:rsidR="00041A08" w:rsidRPr="00041A08" w:rsidRDefault="00802FF6" w:rsidP="001A6584">
      <w:pPr>
        <w:keepNext/>
        <w:tabs>
          <w:tab w:val="left" w:pos="1134"/>
        </w:tabs>
        <w:ind w:left="1134" w:hanging="1134"/>
      </w:pPr>
      <w:bookmarkStart w:id="13" w:name="_Ref320607875"/>
      <w:r w:rsidRPr="007E4DA1">
        <w:rPr>
          <w:b/>
        </w:rPr>
        <w:t>Tabela</w:t>
      </w:r>
      <w:bookmarkEnd w:id="13"/>
      <w:r w:rsidRPr="007E4DA1">
        <w:rPr>
          <w:b/>
        </w:rPr>
        <w:t> </w:t>
      </w:r>
      <w:r w:rsidR="001E6044">
        <w:rPr>
          <w:b/>
        </w:rPr>
        <w:t>13</w:t>
      </w:r>
      <w:r w:rsidR="008404F4" w:rsidRPr="007E4DA1">
        <w:rPr>
          <w:b/>
          <w:color w:val="000000"/>
        </w:rPr>
        <w:tab/>
      </w:r>
      <w:r w:rsidRPr="007E4DA1">
        <w:rPr>
          <w:b/>
        </w:rPr>
        <w:t>Średnia geometryczna (95% CI) parametrów farmakokinetycznych eltrombopagu w osoczu w stanie stacjonarnym u pacjentów z przewlekłym zakażeniem wirusem WZW C</w:t>
      </w:r>
    </w:p>
    <w:p w14:paraId="53A3EFBC" w14:textId="6DC87499" w:rsidR="00802FF6" w:rsidRPr="007E4DA1" w:rsidRDefault="00802FF6" w:rsidP="001A6584">
      <w:pPr>
        <w:pStyle w:val="tabletext"/>
        <w:keepNext/>
        <w:tabs>
          <w:tab w:val="left" w:pos="142"/>
        </w:tabs>
        <w:spacing w:before="0" w:after="0"/>
        <w:rPr>
          <w:rFonts w:ascii="Times New Roman" w:hAnsi="Times New Roman" w:cs="Times New Roman"/>
          <w:sz w:val="22"/>
          <w:szCs w:val="22"/>
          <w:lang w:val="pl-PL"/>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340"/>
        <w:gridCol w:w="2340"/>
      </w:tblGrid>
      <w:tr w:rsidR="00802FF6" w:rsidRPr="007E4DA1" w14:paraId="1F7B5C2B" w14:textId="77777777" w:rsidTr="00EE3105">
        <w:trPr>
          <w:cantSplit/>
        </w:trPr>
        <w:tc>
          <w:tcPr>
            <w:tcW w:w="2106" w:type="dxa"/>
          </w:tcPr>
          <w:p w14:paraId="41C0A107" w14:textId="77777777" w:rsidR="00041A08" w:rsidRPr="00041A08" w:rsidRDefault="00802FF6" w:rsidP="001A6584">
            <w:pPr>
              <w:pStyle w:val="tabletextNS"/>
              <w:keepNext/>
              <w:tabs>
                <w:tab w:val="left" w:pos="142"/>
              </w:tabs>
              <w:jc w:val="center"/>
              <w:rPr>
                <w:rFonts w:ascii="Times New Roman" w:hAnsi="Times New Roman"/>
                <w:sz w:val="22"/>
                <w:szCs w:val="22"/>
                <w:lang w:val="pl-PL"/>
              </w:rPr>
            </w:pPr>
            <w:r w:rsidRPr="007E4DA1">
              <w:rPr>
                <w:rFonts w:ascii="Times New Roman" w:hAnsi="Times New Roman"/>
                <w:b/>
                <w:sz w:val="22"/>
                <w:szCs w:val="20"/>
                <w:lang w:val="pl-PL"/>
              </w:rPr>
              <w:t>Dawka eltrombopagu</w:t>
            </w:r>
          </w:p>
          <w:p w14:paraId="172BD82E" w14:textId="07256C83" w:rsidR="00802FF6" w:rsidRPr="007E4DA1" w:rsidRDefault="00802FF6" w:rsidP="001A6584">
            <w:pPr>
              <w:pStyle w:val="tabletextNS"/>
              <w:keepNext/>
              <w:tabs>
                <w:tab w:val="left" w:pos="142"/>
              </w:tabs>
              <w:jc w:val="center"/>
              <w:rPr>
                <w:rFonts w:ascii="Times New Roman" w:hAnsi="Times New Roman"/>
                <w:b/>
                <w:sz w:val="22"/>
                <w:szCs w:val="22"/>
                <w:lang w:val="pl-PL"/>
              </w:rPr>
            </w:pPr>
            <w:r w:rsidRPr="007E4DA1">
              <w:rPr>
                <w:rFonts w:ascii="Times New Roman" w:hAnsi="Times New Roman"/>
                <w:b/>
                <w:sz w:val="22"/>
                <w:szCs w:val="20"/>
                <w:lang w:val="pl-PL"/>
              </w:rPr>
              <w:t>(raz na dobę)</w:t>
            </w:r>
          </w:p>
        </w:tc>
        <w:tc>
          <w:tcPr>
            <w:tcW w:w="1224" w:type="dxa"/>
          </w:tcPr>
          <w:p w14:paraId="08112A0A" w14:textId="77777777" w:rsidR="00802FF6" w:rsidRPr="007E4DA1" w:rsidRDefault="00802FF6" w:rsidP="001A6584">
            <w:pPr>
              <w:pStyle w:val="tabletextNS"/>
              <w:keepNext/>
              <w:tabs>
                <w:tab w:val="left" w:pos="142"/>
              </w:tabs>
              <w:jc w:val="center"/>
              <w:rPr>
                <w:rFonts w:ascii="Times New Roman" w:hAnsi="Times New Roman"/>
                <w:b/>
                <w:sz w:val="22"/>
                <w:szCs w:val="22"/>
                <w:lang w:val="pl-PL"/>
              </w:rPr>
            </w:pPr>
            <w:r w:rsidRPr="007E4DA1">
              <w:rPr>
                <w:rFonts w:ascii="Times New Roman" w:hAnsi="Times New Roman"/>
                <w:b/>
                <w:sz w:val="22"/>
                <w:szCs w:val="20"/>
                <w:lang w:val="pl-PL"/>
              </w:rPr>
              <w:t>N</w:t>
            </w:r>
          </w:p>
        </w:tc>
        <w:tc>
          <w:tcPr>
            <w:tcW w:w="2340" w:type="dxa"/>
          </w:tcPr>
          <w:p w14:paraId="72651AEE" w14:textId="77777777" w:rsidR="00041A08" w:rsidRPr="00041A08" w:rsidRDefault="00802FF6" w:rsidP="001A6584">
            <w:pPr>
              <w:pStyle w:val="tabletextNS"/>
              <w:keepNext/>
              <w:tabs>
                <w:tab w:val="left" w:pos="142"/>
              </w:tabs>
              <w:jc w:val="center"/>
              <w:rPr>
                <w:rFonts w:ascii="Times New Roman" w:hAnsi="Times New Roman"/>
                <w:sz w:val="22"/>
                <w:szCs w:val="22"/>
                <w:lang w:val="pl-PL"/>
              </w:rPr>
            </w:pPr>
            <w:r w:rsidRPr="007E4DA1">
              <w:rPr>
                <w:rFonts w:ascii="Times New Roman" w:hAnsi="Times New Roman"/>
                <w:b/>
                <w:sz w:val="22"/>
                <w:szCs w:val="20"/>
                <w:lang w:val="pl-PL"/>
              </w:rPr>
              <w:t>AUC</w:t>
            </w:r>
            <w:r w:rsidRPr="007E4DA1">
              <w:rPr>
                <w:rFonts w:ascii="Times New Roman" w:hAnsi="Times New Roman"/>
                <w:b/>
                <w:sz w:val="22"/>
                <w:szCs w:val="20"/>
                <w:vertAlign w:val="subscript"/>
                <w:lang w:val="pl-PL"/>
              </w:rPr>
              <w:t>(0-</w:t>
            </w:r>
            <w:r w:rsidRPr="007E4DA1">
              <w:rPr>
                <w:rFonts w:ascii="Times New Roman" w:hAnsi="Times New Roman"/>
                <w:b/>
                <w:sz w:val="22"/>
                <w:szCs w:val="22"/>
                <w:vertAlign w:val="subscript"/>
              </w:rPr>
              <w:sym w:font="Symbol" w:char="F074"/>
            </w:r>
            <w:r w:rsidRPr="007E4DA1">
              <w:rPr>
                <w:rFonts w:ascii="Times New Roman" w:hAnsi="Times New Roman"/>
                <w:b/>
                <w:sz w:val="22"/>
                <w:szCs w:val="20"/>
                <w:vertAlign w:val="subscript"/>
                <w:lang w:val="pl-PL"/>
              </w:rPr>
              <w:t>)</w:t>
            </w:r>
          </w:p>
          <w:p w14:paraId="64E266D7" w14:textId="15EE4F4E" w:rsidR="00802FF6" w:rsidRPr="007E4DA1" w:rsidRDefault="00802FF6" w:rsidP="001A6584">
            <w:pPr>
              <w:pStyle w:val="tabletextNS"/>
              <w:keepNext/>
              <w:tabs>
                <w:tab w:val="left" w:pos="142"/>
              </w:tabs>
              <w:jc w:val="center"/>
              <w:rPr>
                <w:rFonts w:ascii="Times New Roman" w:hAnsi="Times New Roman"/>
                <w:b/>
                <w:sz w:val="22"/>
                <w:szCs w:val="22"/>
                <w:lang w:val="pl-PL"/>
              </w:rPr>
            </w:pPr>
            <w:r w:rsidRPr="007E4DA1">
              <w:rPr>
                <w:rFonts w:ascii="Times New Roman" w:hAnsi="Times New Roman"/>
                <w:b/>
                <w:sz w:val="22"/>
                <w:szCs w:val="20"/>
                <w:lang w:val="pl-PL"/>
              </w:rPr>
              <w:t>(</w:t>
            </w:r>
            <w:r w:rsidRPr="007E4DA1">
              <w:rPr>
                <w:rFonts w:ascii="Times New Roman" w:hAnsi="Times New Roman"/>
                <w:b/>
                <w:sz w:val="22"/>
                <w:szCs w:val="22"/>
              </w:rPr>
              <w:sym w:font="Symbol" w:char="F06D"/>
            </w:r>
            <w:r w:rsidRPr="007E4DA1">
              <w:rPr>
                <w:rFonts w:ascii="Times New Roman" w:hAnsi="Times New Roman"/>
                <w:b/>
                <w:sz w:val="22"/>
                <w:szCs w:val="20"/>
                <w:lang w:val="pl-PL"/>
              </w:rPr>
              <w:t>g.h/ml)</w:t>
            </w:r>
          </w:p>
        </w:tc>
        <w:tc>
          <w:tcPr>
            <w:tcW w:w="2340" w:type="dxa"/>
          </w:tcPr>
          <w:p w14:paraId="0F5BC640" w14:textId="77777777" w:rsidR="00041A08" w:rsidRPr="00041A08" w:rsidRDefault="00802FF6" w:rsidP="001A6584">
            <w:pPr>
              <w:pStyle w:val="tabletextNS"/>
              <w:keepNext/>
              <w:tabs>
                <w:tab w:val="left" w:pos="142"/>
              </w:tabs>
              <w:jc w:val="center"/>
              <w:rPr>
                <w:rFonts w:ascii="Times New Roman" w:hAnsi="Times New Roman"/>
                <w:sz w:val="22"/>
                <w:szCs w:val="22"/>
                <w:lang w:val="pl-PL"/>
              </w:rPr>
            </w:pPr>
            <w:r w:rsidRPr="007E4DA1">
              <w:rPr>
                <w:rFonts w:ascii="Times New Roman" w:hAnsi="Times New Roman"/>
                <w:b/>
                <w:sz w:val="22"/>
                <w:szCs w:val="20"/>
                <w:lang w:val="pl-PL"/>
              </w:rPr>
              <w:t>C</w:t>
            </w:r>
            <w:r w:rsidRPr="007E4DA1">
              <w:rPr>
                <w:rFonts w:ascii="Times New Roman" w:hAnsi="Times New Roman"/>
                <w:b/>
                <w:sz w:val="22"/>
                <w:szCs w:val="20"/>
                <w:vertAlign w:val="subscript"/>
                <w:lang w:val="pl-PL"/>
              </w:rPr>
              <w:t>max</w:t>
            </w:r>
          </w:p>
          <w:p w14:paraId="20881431" w14:textId="2BC7141F" w:rsidR="00802FF6" w:rsidRPr="007E4DA1" w:rsidRDefault="00802FF6" w:rsidP="001A6584">
            <w:pPr>
              <w:pStyle w:val="tabletextNS"/>
              <w:keepNext/>
              <w:tabs>
                <w:tab w:val="left" w:pos="142"/>
              </w:tabs>
              <w:jc w:val="center"/>
              <w:rPr>
                <w:rFonts w:ascii="Times New Roman" w:hAnsi="Times New Roman"/>
                <w:b/>
                <w:sz w:val="22"/>
                <w:szCs w:val="22"/>
                <w:lang w:val="pl-PL"/>
              </w:rPr>
            </w:pPr>
            <w:r w:rsidRPr="007E4DA1">
              <w:rPr>
                <w:rFonts w:ascii="Times New Roman" w:hAnsi="Times New Roman"/>
                <w:b/>
                <w:sz w:val="22"/>
                <w:szCs w:val="20"/>
                <w:lang w:val="pl-PL"/>
              </w:rPr>
              <w:t>(</w:t>
            </w:r>
            <w:r w:rsidRPr="007E4DA1">
              <w:rPr>
                <w:rFonts w:ascii="Times New Roman" w:hAnsi="Times New Roman"/>
                <w:b/>
                <w:sz w:val="22"/>
                <w:szCs w:val="22"/>
              </w:rPr>
              <w:sym w:font="Symbol" w:char="F06D"/>
            </w:r>
            <w:r w:rsidRPr="007E4DA1">
              <w:rPr>
                <w:rFonts w:ascii="Times New Roman" w:hAnsi="Times New Roman"/>
                <w:b/>
                <w:sz w:val="22"/>
                <w:szCs w:val="20"/>
                <w:lang w:val="pl-PL"/>
              </w:rPr>
              <w:t>g/ml)</w:t>
            </w:r>
          </w:p>
        </w:tc>
      </w:tr>
      <w:tr w:rsidR="00802FF6" w:rsidRPr="007E4DA1" w14:paraId="6D8CC600" w14:textId="77777777" w:rsidTr="00EE3105">
        <w:trPr>
          <w:cantSplit/>
        </w:trPr>
        <w:tc>
          <w:tcPr>
            <w:tcW w:w="2106" w:type="dxa"/>
          </w:tcPr>
          <w:p w14:paraId="5A8B9238" w14:textId="77777777" w:rsidR="00802FF6" w:rsidRPr="007E4DA1" w:rsidRDefault="00802FF6" w:rsidP="001A6584">
            <w:pPr>
              <w:pStyle w:val="tabletextNS"/>
              <w:keepNext/>
              <w:tabs>
                <w:tab w:val="left" w:pos="142"/>
              </w:tabs>
              <w:jc w:val="center"/>
              <w:rPr>
                <w:rFonts w:ascii="Times New Roman" w:hAnsi="Times New Roman"/>
                <w:sz w:val="22"/>
                <w:szCs w:val="22"/>
                <w:lang w:val="pl-PL"/>
              </w:rPr>
            </w:pPr>
            <w:r w:rsidRPr="007E4DA1">
              <w:rPr>
                <w:rFonts w:ascii="Times New Roman" w:hAnsi="Times New Roman"/>
                <w:sz w:val="22"/>
                <w:szCs w:val="20"/>
                <w:lang w:val="pl-PL"/>
              </w:rPr>
              <w:t>25 mg</w:t>
            </w:r>
          </w:p>
        </w:tc>
        <w:tc>
          <w:tcPr>
            <w:tcW w:w="1224" w:type="dxa"/>
          </w:tcPr>
          <w:p w14:paraId="37755BD1" w14:textId="77777777" w:rsidR="00802FF6" w:rsidRPr="007E4DA1" w:rsidRDefault="00802FF6" w:rsidP="001A6584">
            <w:pPr>
              <w:pStyle w:val="tabletextNS"/>
              <w:keepNext/>
              <w:tabs>
                <w:tab w:val="left" w:pos="142"/>
              </w:tabs>
              <w:jc w:val="center"/>
              <w:rPr>
                <w:rFonts w:ascii="Times New Roman" w:hAnsi="Times New Roman"/>
                <w:sz w:val="22"/>
                <w:szCs w:val="22"/>
                <w:lang w:val="pl-PL"/>
              </w:rPr>
            </w:pPr>
            <w:r w:rsidRPr="007E4DA1">
              <w:rPr>
                <w:rFonts w:ascii="Times New Roman" w:hAnsi="Times New Roman"/>
                <w:sz w:val="22"/>
                <w:szCs w:val="20"/>
                <w:lang w:val="pl-PL"/>
              </w:rPr>
              <w:t>330</w:t>
            </w:r>
          </w:p>
        </w:tc>
        <w:tc>
          <w:tcPr>
            <w:tcW w:w="2340" w:type="dxa"/>
          </w:tcPr>
          <w:p w14:paraId="2C5022DD" w14:textId="77777777" w:rsidR="00802FF6" w:rsidRPr="007E4DA1" w:rsidRDefault="00802FF6" w:rsidP="001A6584">
            <w:pPr>
              <w:pStyle w:val="tabletextNS"/>
              <w:keepNext/>
              <w:tabs>
                <w:tab w:val="left" w:pos="142"/>
              </w:tabs>
              <w:jc w:val="center"/>
              <w:rPr>
                <w:rFonts w:ascii="Times New Roman" w:hAnsi="Times New Roman"/>
                <w:sz w:val="22"/>
                <w:szCs w:val="22"/>
                <w:lang w:val="pl-PL"/>
              </w:rPr>
            </w:pPr>
            <w:r w:rsidRPr="007E4DA1">
              <w:rPr>
                <w:rFonts w:ascii="Times New Roman" w:hAnsi="Times New Roman"/>
                <w:sz w:val="22"/>
                <w:szCs w:val="20"/>
                <w:lang w:val="pl-PL"/>
              </w:rPr>
              <w:t>118</w:t>
            </w:r>
          </w:p>
          <w:p w14:paraId="19564C22" w14:textId="77777777" w:rsidR="00802FF6" w:rsidRPr="007E4DA1" w:rsidRDefault="00802FF6" w:rsidP="001A6584">
            <w:pPr>
              <w:pStyle w:val="tabletextNS"/>
              <w:keepNext/>
              <w:tabs>
                <w:tab w:val="left" w:pos="142"/>
              </w:tabs>
              <w:jc w:val="center"/>
              <w:rPr>
                <w:rFonts w:ascii="Times New Roman" w:hAnsi="Times New Roman"/>
                <w:sz w:val="22"/>
                <w:szCs w:val="22"/>
                <w:lang w:val="pl-PL"/>
              </w:rPr>
            </w:pPr>
            <w:r w:rsidRPr="007E4DA1">
              <w:rPr>
                <w:rFonts w:ascii="Times New Roman" w:hAnsi="Times New Roman"/>
                <w:sz w:val="22"/>
                <w:szCs w:val="20"/>
                <w:lang w:val="pl-PL"/>
              </w:rPr>
              <w:t>(109, 128)</w:t>
            </w:r>
          </w:p>
        </w:tc>
        <w:tc>
          <w:tcPr>
            <w:tcW w:w="2340" w:type="dxa"/>
          </w:tcPr>
          <w:p w14:paraId="1EB371A5" w14:textId="77777777" w:rsidR="00802FF6" w:rsidRPr="007E4DA1" w:rsidRDefault="00802FF6" w:rsidP="001A6584">
            <w:pPr>
              <w:pStyle w:val="tabletextNS"/>
              <w:keepNext/>
              <w:tabs>
                <w:tab w:val="left" w:pos="142"/>
              </w:tabs>
              <w:jc w:val="center"/>
              <w:rPr>
                <w:rFonts w:ascii="Times New Roman" w:hAnsi="Times New Roman"/>
                <w:sz w:val="22"/>
                <w:szCs w:val="22"/>
                <w:lang w:val="pl-PL"/>
              </w:rPr>
            </w:pPr>
            <w:r w:rsidRPr="007E4DA1">
              <w:rPr>
                <w:rFonts w:ascii="Times New Roman" w:hAnsi="Times New Roman"/>
                <w:sz w:val="22"/>
                <w:szCs w:val="20"/>
                <w:lang w:val="pl-PL"/>
              </w:rPr>
              <w:t>6,40</w:t>
            </w:r>
          </w:p>
          <w:p w14:paraId="651B90BE" w14:textId="77777777" w:rsidR="00802FF6" w:rsidRPr="007E4DA1" w:rsidRDefault="00802FF6" w:rsidP="001A6584">
            <w:pPr>
              <w:pStyle w:val="tabletextNS"/>
              <w:keepNext/>
              <w:tabs>
                <w:tab w:val="left" w:pos="142"/>
              </w:tabs>
              <w:jc w:val="center"/>
              <w:rPr>
                <w:rFonts w:ascii="Times New Roman" w:hAnsi="Times New Roman"/>
                <w:sz w:val="22"/>
                <w:szCs w:val="22"/>
                <w:lang w:val="pl-PL"/>
              </w:rPr>
            </w:pPr>
            <w:r w:rsidRPr="007E4DA1">
              <w:rPr>
                <w:rFonts w:ascii="Times New Roman" w:hAnsi="Times New Roman"/>
                <w:sz w:val="22"/>
                <w:szCs w:val="20"/>
                <w:lang w:val="pl-PL"/>
              </w:rPr>
              <w:t>(5,97, 6,86)</w:t>
            </w:r>
          </w:p>
        </w:tc>
      </w:tr>
      <w:tr w:rsidR="00802FF6" w:rsidRPr="007E4DA1" w14:paraId="4AA03644" w14:textId="77777777" w:rsidTr="00EE3105">
        <w:trPr>
          <w:cantSplit/>
        </w:trPr>
        <w:tc>
          <w:tcPr>
            <w:tcW w:w="2106" w:type="dxa"/>
          </w:tcPr>
          <w:p w14:paraId="4C94ED4D" w14:textId="77777777" w:rsidR="00802FF6" w:rsidRPr="007E4DA1" w:rsidRDefault="00802FF6" w:rsidP="001A6584">
            <w:pPr>
              <w:pStyle w:val="tabletextNS"/>
              <w:keepNext/>
              <w:tabs>
                <w:tab w:val="left" w:pos="142"/>
              </w:tabs>
              <w:jc w:val="center"/>
              <w:rPr>
                <w:rFonts w:ascii="Times New Roman" w:hAnsi="Times New Roman"/>
                <w:sz w:val="22"/>
                <w:szCs w:val="22"/>
                <w:lang w:val="pl-PL"/>
              </w:rPr>
            </w:pPr>
            <w:r w:rsidRPr="007E4DA1">
              <w:rPr>
                <w:rFonts w:ascii="Times New Roman" w:hAnsi="Times New Roman"/>
                <w:sz w:val="22"/>
                <w:szCs w:val="20"/>
                <w:lang w:val="pl-PL"/>
              </w:rPr>
              <w:t>50 mg</w:t>
            </w:r>
          </w:p>
        </w:tc>
        <w:tc>
          <w:tcPr>
            <w:tcW w:w="1224" w:type="dxa"/>
          </w:tcPr>
          <w:p w14:paraId="08609431" w14:textId="77777777" w:rsidR="00802FF6" w:rsidRPr="007E4DA1" w:rsidRDefault="00802FF6" w:rsidP="001A6584">
            <w:pPr>
              <w:pStyle w:val="tabletextNS"/>
              <w:keepNext/>
              <w:tabs>
                <w:tab w:val="left" w:pos="142"/>
              </w:tabs>
              <w:jc w:val="center"/>
              <w:rPr>
                <w:rFonts w:ascii="Times New Roman" w:hAnsi="Times New Roman"/>
                <w:sz w:val="22"/>
                <w:szCs w:val="22"/>
                <w:lang w:val="pl-PL"/>
              </w:rPr>
            </w:pPr>
            <w:r w:rsidRPr="007E4DA1">
              <w:rPr>
                <w:rFonts w:ascii="Times New Roman" w:hAnsi="Times New Roman"/>
                <w:sz w:val="22"/>
                <w:szCs w:val="20"/>
                <w:lang w:val="pl-PL"/>
              </w:rPr>
              <w:t>119</w:t>
            </w:r>
          </w:p>
        </w:tc>
        <w:tc>
          <w:tcPr>
            <w:tcW w:w="2340" w:type="dxa"/>
          </w:tcPr>
          <w:p w14:paraId="7C21E0E2" w14:textId="77777777" w:rsidR="00802FF6" w:rsidRPr="007E4DA1" w:rsidRDefault="00802FF6" w:rsidP="001A6584">
            <w:pPr>
              <w:pStyle w:val="tabletextNS"/>
              <w:keepNext/>
              <w:tabs>
                <w:tab w:val="left" w:pos="142"/>
              </w:tabs>
              <w:jc w:val="center"/>
              <w:rPr>
                <w:rFonts w:ascii="Times New Roman" w:hAnsi="Times New Roman"/>
                <w:sz w:val="22"/>
                <w:szCs w:val="22"/>
                <w:lang w:val="pl-PL"/>
              </w:rPr>
            </w:pPr>
            <w:r w:rsidRPr="007E4DA1">
              <w:rPr>
                <w:rFonts w:ascii="Times New Roman" w:hAnsi="Times New Roman"/>
                <w:sz w:val="22"/>
                <w:szCs w:val="20"/>
                <w:lang w:val="pl-PL"/>
              </w:rPr>
              <w:t>166</w:t>
            </w:r>
          </w:p>
          <w:p w14:paraId="3ABD2A13" w14:textId="77777777" w:rsidR="00802FF6" w:rsidRPr="007E4DA1" w:rsidRDefault="00802FF6" w:rsidP="001A6584">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(143, 192)</w:t>
            </w:r>
          </w:p>
        </w:tc>
        <w:tc>
          <w:tcPr>
            <w:tcW w:w="2340" w:type="dxa"/>
          </w:tcPr>
          <w:p w14:paraId="0603EB01" w14:textId="77777777" w:rsidR="00802FF6" w:rsidRPr="007E4DA1" w:rsidRDefault="00802FF6" w:rsidP="001A6584">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9,08</w:t>
            </w:r>
          </w:p>
          <w:p w14:paraId="5F5B3F82" w14:textId="77777777" w:rsidR="00802FF6" w:rsidRPr="007E4DA1" w:rsidRDefault="00802FF6" w:rsidP="001A6584">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(7,96, 10,35)</w:t>
            </w:r>
          </w:p>
        </w:tc>
      </w:tr>
      <w:tr w:rsidR="00802FF6" w:rsidRPr="007E4DA1" w14:paraId="290AA704" w14:textId="77777777" w:rsidTr="00EE3105">
        <w:trPr>
          <w:cantSplit/>
        </w:trPr>
        <w:tc>
          <w:tcPr>
            <w:tcW w:w="2106" w:type="dxa"/>
          </w:tcPr>
          <w:p w14:paraId="7F4EB8F3" w14:textId="77777777" w:rsidR="00802FF6" w:rsidRPr="007E4DA1" w:rsidRDefault="00802FF6" w:rsidP="001A6584">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75 mg</w:t>
            </w:r>
          </w:p>
        </w:tc>
        <w:tc>
          <w:tcPr>
            <w:tcW w:w="1224" w:type="dxa"/>
          </w:tcPr>
          <w:p w14:paraId="0A1A31D9" w14:textId="77777777" w:rsidR="00802FF6" w:rsidRPr="007E4DA1" w:rsidRDefault="00802FF6" w:rsidP="001A6584">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45</w:t>
            </w:r>
          </w:p>
        </w:tc>
        <w:tc>
          <w:tcPr>
            <w:tcW w:w="2340" w:type="dxa"/>
          </w:tcPr>
          <w:p w14:paraId="29F71724" w14:textId="77777777" w:rsidR="00802FF6" w:rsidRPr="007E4DA1" w:rsidRDefault="00802FF6" w:rsidP="001A6584">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301</w:t>
            </w:r>
          </w:p>
          <w:p w14:paraId="073F9A98" w14:textId="77777777" w:rsidR="00802FF6" w:rsidRPr="007E4DA1" w:rsidRDefault="00802FF6" w:rsidP="001A6584">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(250, 363)</w:t>
            </w:r>
          </w:p>
        </w:tc>
        <w:tc>
          <w:tcPr>
            <w:tcW w:w="2340" w:type="dxa"/>
          </w:tcPr>
          <w:p w14:paraId="2E1A7CE1" w14:textId="77777777" w:rsidR="00802FF6" w:rsidRPr="007E4DA1" w:rsidRDefault="00802FF6" w:rsidP="001A6584">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16,71</w:t>
            </w:r>
          </w:p>
          <w:p w14:paraId="49359E67" w14:textId="77777777" w:rsidR="00802FF6" w:rsidRPr="007E4DA1" w:rsidRDefault="00802FF6" w:rsidP="001A6584">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(14,26, 19,58)</w:t>
            </w:r>
          </w:p>
        </w:tc>
      </w:tr>
      <w:tr w:rsidR="00802FF6" w:rsidRPr="007E4DA1" w14:paraId="76299E5A" w14:textId="77777777" w:rsidTr="00EE3105">
        <w:trPr>
          <w:cantSplit/>
        </w:trPr>
        <w:tc>
          <w:tcPr>
            <w:tcW w:w="2106" w:type="dxa"/>
          </w:tcPr>
          <w:p w14:paraId="18B616E1" w14:textId="77777777" w:rsidR="00802FF6" w:rsidRPr="007E4DA1" w:rsidRDefault="00802FF6" w:rsidP="001A6584">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100 mg</w:t>
            </w:r>
          </w:p>
        </w:tc>
        <w:tc>
          <w:tcPr>
            <w:tcW w:w="1224" w:type="dxa"/>
          </w:tcPr>
          <w:p w14:paraId="1C9861B9" w14:textId="77777777" w:rsidR="00802FF6" w:rsidRPr="007E4DA1" w:rsidRDefault="00802FF6" w:rsidP="001A6584">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96</w:t>
            </w:r>
          </w:p>
        </w:tc>
        <w:tc>
          <w:tcPr>
            <w:tcW w:w="2340" w:type="dxa"/>
          </w:tcPr>
          <w:p w14:paraId="1CE9C196" w14:textId="77777777" w:rsidR="00802FF6" w:rsidRPr="007E4DA1" w:rsidRDefault="00802FF6" w:rsidP="001A6584">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354</w:t>
            </w:r>
          </w:p>
          <w:p w14:paraId="4EB466FE" w14:textId="77777777" w:rsidR="00802FF6" w:rsidRPr="007E4DA1" w:rsidRDefault="00802FF6" w:rsidP="001A6584">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(304, 411)</w:t>
            </w:r>
          </w:p>
        </w:tc>
        <w:tc>
          <w:tcPr>
            <w:tcW w:w="2340" w:type="dxa"/>
          </w:tcPr>
          <w:p w14:paraId="79DFED65" w14:textId="77777777" w:rsidR="00802FF6" w:rsidRPr="007E4DA1" w:rsidRDefault="00802FF6" w:rsidP="001A6584">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19,19</w:t>
            </w:r>
          </w:p>
          <w:p w14:paraId="1EA334B4" w14:textId="77777777" w:rsidR="00802FF6" w:rsidRPr="007E4DA1" w:rsidRDefault="00802FF6" w:rsidP="001A6584">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(16,81, 21,91)</w:t>
            </w:r>
          </w:p>
        </w:tc>
      </w:tr>
      <w:tr w:rsidR="001E6044" w:rsidRPr="007E4DA1" w14:paraId="0266996D" w14:textId="77777777" w:rsidTr="00EE3105">
        <w:trPr>
          <w:cantSplit/>
        </w:trPr>
        <w:tc>
          <w:tcPr>
            <w:tcW w:w="8010" w:type="dxa"/>
            <w:gridSpan w:val="4"/>
            <w:tcBorders>
              <w:bottom w:val="single" w:sz="4" w:space="0" w:color="auto"/>
            </w:tcBorders>
          </w:tcPr>
          <w:p w14:paraId="12E1FAFE" w14:textId="3A2D6B04" w:rsidR="001E6044" w:rsidRPr="00BC1959" w:rsidRDefault="001E6044" w:rsidP="00F76F7E">
            <w:pPr>
              <w:pStyle w:val="tabletextNS"/>
              <w:keepNext/>
              <w:tabs>
                <w:tab w:val="left" w:pos="142"/>
              </w:tabs>
              <w:rPr>
                <w:rFonts w:ascii="Times New Roman" w:hAnsi="Times New Roman"/>
                <w:sz w:val="20"/>
                <w:szCs w:val="20"/>
                <w:lang w:val="pl-PL"/>
              </w:rPr>
            </w:pPr>
            <w:r w:rsidRPr="00BC1959">
              <w:rPr>
                <w:rFonts w:ascii="Times New Roman" w:hAnsi="Times New Roman"/>
                <w:sz w:val="20"/>
                <w:szCs w:val="20"/>
                <w:lang w:val="pl-PL"/>
              </w:rPr>
              <w:t>Wartości AUC</w:t>
            </w:r>
            <w:r w:rsidRPr="00BC1959">
              <w:rPr>
                <w:rFonts w:ascii="Times New Roman" w:hAnsi="Times New Roman"/>
                <w:sz w:val="20"/>
                <w:szCs w:val="20"/>
                <w:vertAlign w:val="subscript"/>
                <w:lang w:val="pl-PL"/>
              </w:rPr>
              <w:t>(0-</w:t>
            </w:r>
            <w:r w:rsidRPr="00F76F7E">
              <w:rPr>
                <w:rFonts w:ascii="Times New Roman" w:hAnsi="Times New Roman"/>
                <w:sz w:val="20"/>
                <w:szCs w:val="20"/>
              </w:rPr>
              <w:sym w:font="Symbol" w:char="F074"/>
            </w:r>
            <w:r w:rsidRPr="00BC1959">
              <w:rPr>
                <w:rFonts w:ascii="Times New Roman" w:hAnsi="Times New Roman"/>
                <w:sz w:val="20"/>
                <w:szCs w:val="20"/>
                <w:vertAlign w:val="subscript"/>
                <w:lang w:val="pl-PL"/>
              </w:rPr>
              <w:t>)</w:t>
            </w:r>
            <w:r w:rsidRPr="00BC1959">
              <w:rPr>
                <w:rFonts w:ascii="Times New Roman" w:hAnsi="Times New Roman"/>
                <w:sz w:val="20"/>
                <w:szCs w:val="20"/>
                <w:lang w:val="pl-PL"/>
              </w:rPr>
              <w:t xml:space="preserve"> i C</w:t>
            </w:r>
            <w:r w:rsidRPr="00BC1959">
              <w:rPr>
                <w:rFonts w:ascii="Times New Roman" w:hAnsi="Times New Roman"/>
                <w:sz w:val="20"/>
                <w:szCs w:val="20"/>
                <w:vertAlign w:val="subscript"/>
                <w:lang w:val="pl-PL"/>
              </w:rPr>
              <w:t>max</w:t>
            </w:r>
            <w:r w:rsidRPr="00BC1959">
              <w:rPr>
                <w:rFonts w:ascii="Times New Roman" w:hAnsi="Times New Roman"/>
                <w:sz w:val="20"/>
                <w:szCs w:val="20"/>
                <w:lang w:val="pl-PL"/>
              </w:rPr>
              <w:t xml:space="preserve"> oparte na oszacowaniach </w:t>
            </w:r>
            <w:r w:rsidRPr="00BC1959">
              <w:rPr>
                <w:rFonts w:ascii="Times New Roman" w:hAnsi="Times New Roman"/>
                <w:i/>
                <w:sz w:val="20"/>
                <w:szCs w:val="20"/>
                <w:lang w:val="pl-PL"/>
              </w:rPr>
              <w:t>post-hoc</w:t>
            </w:r>
            <w:r w:rsidRPr="00BC1959">
              <w:rPr>
                <w:rFonts w:ascii="Times New Roman" w:hAnsi="Times New Roman"/>
                <w:sz w:val="20"/>
                <w:szCs w:val="20"/>
                <w:lang w:val="pl-PL"/>
              </w:rPr>
              <w:t xml:space="preserve"> farmakokinetyki populacyjnej przy najwyższej dawce w danych dotyczących poszczególnych pacjentów</w:t>
            </w:r>
          </w:p>
        </w:tc>
      </w:tr>
    </w:tbl>
    <w:p w14:paraId="3ED2A42D" w14:textId="77777777" w:rsidR="00F47B01" w:rsidRPr="007E4DA1" w:rsidRDefault="00F47B01" w:rsidP="001A6584">
      <w:pPr>
        <w:tabs>
          <w:tab w:val="left" w:pos="142"/>
        </w:tabs>
        <w:ind w:left="0" w:firstLine="0"/>
        <w:rPr>
          <w:szCs w:val="22"/>
        </w:rPr>
      </w:pPr>
    </w:p>
    <w:p w14:paraId="1B8E0F10" w14:textId="77777777" w:rsidR="00041A08" w:rsidRPr="00041A08" w:rsidRDefault="00802FF6" w:rsidP="001A6584">
      <w:pPr>
        <w:keepNext/>
        <w:tabs>
          <w:tab w:val="left" w:pos="142"/>
        </w:tabs>
        <w:ind w:left="0" w:firstLine="0"/>
        <w:rPr>
          <w:szCs w:val="22"/>
        </w:rPr>
      </w:pPr>
      <w:r w:rsidRPr="007E4DA1">
        <w:rPr>
          <w:szCs w:val="22"/>
          <w:u w:val="single"/>
        </w:rPr>
        <w:t>Wchłanianie i dostępność biologiczna</w:t>
      </w:r>
    </w:p>
    <w:p w14:paraId="0B9DC619" w14:textId="1642CBB8" w:rsidR="00802FF6" w:rsidRPr="007E4DA1" w:rsidRDefault="00802FF6" w:rsidP="001A6584">
      <w:pPr>
        <w:keepNext/>
        <w:tabs>
          <w:tab w:val="left" w:pos="142"/>
        </w:tabs>
        <w:ind w:left="0" w:firstLine="0"/>
        <w:rPr>
          <w:szCs w:val="22"/>
        </w:rPr>
      </w:pPr>
    </w:p>
    <w:p w14:paraId="3EC55877" w14:textId="77777777" w:rsidR="00802FF6" w:rsidRPr="007E4DA1" w:rsidRDefault="00802FF6" w:rsidP="001A6584">
      <w:pPr>
        <w:tabs>
          <w:tab w:val="left" w:pos="142"/>
        </w:tabs>
        <w:ind w:left="0" w:firstLine="0"/>
        <w:rPr>
          <w:iCs/>
        </w:rPr>
      </w:pPr>
      <w:r w:rsidRPr="007E4DA1">
        <w:t>Maksymalne stężenie eltrombopagu wchłanianego po podaniu doustnym występuje po 2–6</w:t>
      </w:r>
      <w:r w:rsidR="005548A3" w:rsidRPr="007E4DA1">
        <w:t> </w:t>
      </w:r>
      <w:r w:rsidRPr="007E4DA1">
        <w:t xml:space="preserve">godzinach. Podawanie eltrombopagu jednocześnie ze środkami zobojętniającymi kwas żołądkowy i innymi produktami zawierającymi wielowartościowe kationy, takimi jak nabiał i suplementy mineralne, </w:t>
      </w:r>
      <w:r w:rsidRPr="007E4DA1">
        <w:lastRenderedPageBreak/>
        <w:t>znacznie zmniejsza ekspozycję na eltrombopag (patrz punkt</w:t>
      </w:r>
      <w:r w:rsidR="005835DF" w:rsidRPr="007E4DA1">
        <w:t> </w:t>
      </w:r>
      <w:r w:rsidRPr="007E4DA1">
        <w:t>4.2)</w:t>
      </w:r>
      <w:r w:rsidRPr="007E4DA1">
        <w:rPr>
          <w:i/>
          <w:iCs/>
        </w:rPr>
        <w:t xml:space="preserve">. </w:t>
      </w:r>
      <w:r w:rsidR="00A64DFD" w:rsidRPr="007E4DA1">
        <w:rPr>
          <w:iCs/>
        </w:rPr>
        <w:t>W badaniu względnej dostępności biologicznej u dorosłych, podanie eltrombopagu w postaci proszku do sporządzania zawiesiny doustnej skutkowało zwiększeniem pola AUC</w:t>
      </w:r>
      <w:r w:rsidR="00A64DFD" w:rsidRPr="007E4DA1">
        <w:rPr>
          <w:iCs/>
          <w:vertAlign w:val="subscript"/>
        </w:rPr>
        <w:t>(0-</w:t>
      </w:r>
      <w:r w:rsidR="00A64DFD" w:rsidRPr="007E4DA1">
        <w:rPr>
          <w:iCs/>
          <w:vertAlign w:val="subscript"/>
        </w:rPr>
        <w:sym w:font="Symbol" w:char="F0A5"/>
      </w:r>
      <w:r w:rsidR="00A64DFD" w:rsidRPr="007E4DA1">
        <w:rPr>
          <w:iCs/>
          <w:vertAlign w:val="subscript"/>
        </w:rPr>
        <w:t>)</w:t>
      </w:r>
      <w:r w:rsidR="00A64DFD" w:rsidRPr="007E4DA1">
        <w:rPr>
          <w:iCs/>
        </w:rPr>
        <w:t xml:space="preserve"> w osoczu o 22% w porównaniu z lekiem w postaci tabletek</w:t>
      </w:r>
      <w:r w:rsidR="00916ADC" w:rsidRPr="007E4DA1">
        <w:rPr>
          <w:iCs/>
        </w:rPr>
        <w:t xml:space="preserve"> powlekanych</w:t>
      </w:r>
      <w:r w:rsidR="00A64DFD" w:rsidRPr="007E4DA1">
        <w:rPr>
          <w:iCs/>
        </w:rPr>
        <w:t xml:space="preserve">. </w:t>
      </w:r>
      <w:r w:rsidRPr="007E4DA1">
        <w:rPr>
          <w:iCs/>
        </w:rPr>
        <w:t>Biodostępność bezwzględna eltrombopagu po podaniu doustnym u ludzi nie została ustalona. W oparciu o wydalanie z moczem oraz metabolity eliminowane w kale ustalono, że wchłanianie substancji występującej w leku wynosi, po podaniu doustnym pojedynczej dawki 75 mg eltrombopagu w postaci roztworu, co najmniej 52%.</w:t>
      </w:r>
    </w:p>
    <w:p w14:paraId="33DFAD97" w14:textId="77777777" w:rsidR="00802FF6" w:rsidRPr="007E4DA1" w:rsidRDefault="00802FF6" w:rsidP="001A6584">
      <w:pPr>
        <w:tabs>
          <w:tab w:val="left" w:pos="142"/>
        </w:tabs>
        <w:ind w:left="0" w:firstLine="0"/>
        <w:rPr>
          <w:szCs w:val="22"/>
        </w:rPr>
      </w:pPr>
    </w:p>
    <w:p w14:paraId="64340A0A" w14:textId="77777777" w:rsidR="00041A08" w:rsidRPr="00041A08" w:rsidRDefault="00802FF6" w:rsidP="001A6584">
      <w:pPr>
        <w:keepNext/>
        <w:tabs>
          <w:tab w:val="left" w:pos="142"/>
        </w:tabs>
        <w:ind w:left="0" w:firstLine="0"/>
        <w:rPr>
          <w:szCs w:val="22"/>
        </w:rPr>
      </w:pPr>
      <w:r w:rsidRPr="007E4DA1">
        <w:rPr>
          <w:szCs w:val="22"/>
          <w:u w:val="single"/>
        </w:rPr>
        <w:t>Dystrybucja</w:t>
      </w:r>
    </w:p>
    <w:p w14:paraId="2923007F" w14:textId="33E49BA6" w:rsidR="00802FF6" w:rsidRPr="007E4DA1" w:rsidRDefault="00802FF6" w:rsidP="001A6584">
      <w:pPr>
        <w:keepNext/>
        <w:tabs>
          <w:tab w:val="left" w:pos="142"/>
        </w:tabs>
        <w:ind w:left="0" w:firstLine="0"/>
        <w:rPr>
          <w:szCs w:val="22"/>
        </w:rPr>
      </w:pPr>
    </w:p>
    <w:p w14:paraId="3ED6D098" w14:textId="77777777" w:rsidR="00802FF6" w:rsidRPr="007E4DA1" w:rsidRDefault="00802FF6" w:rsidP="001A6584">
      <w:pPr>
        <w:tabs>
          <w:tab w:val="left" w:pos="142"/>
        </w:tabs>
        <w:ind w:left="0" w:firstLine="0"/>
        <w:rPr>
          <w:rFonts w:eastAsia="MS Mincho"/>
          <w:color w:val="000000"/>
          <w:lang w:eastAsia="ja-JP"/>
        </w:rPr>
      </w:pPr>
      <w:r w:rsidRPr="007E4DA1">
        <w:t xml:space="preserve">Eltrombopag silnie wiąże się z ludzkimi białkami osocza (&gt;99,9%), przede wszystkim z albuminą. </w:t>
      </w:r>
      <w:r w:rsidRPr="007E4DA1">
        <w:rPr>
          <w:rFonts w:eastAsia="MS Mincho"/>
          <w:color w:val="000000"/>
          <w:lang w:eastAsia="ja-JP"/>
        </w:rPr>
        <w:t>Eltrombopag jest substratem dla BCRP, ale nie jest substratem dla glikoproteiny P ani OATP1B1.</w:t>
      </w:r>
    </w:p>
    <w:p w14:paraId="520D237F" w14:textId="77777777" w:rsidR="00802FF6" w:rsidRPr="007E4DA1" w:rsidRDefault="00802FF6" w:rsidP="001A6584">
      <w:pPr>
        <w:tabs>
          <w:tab w:val="left" w:pos="142"/>
        </w:tabs>
        <w:ind w:left="0" w:firstLine="0"/>
        <w:rPr>
          <w:szCs w:val="22"/>
        </w:rPr>
      </w:pPr>
    </w:p>
    <w:p w14:paraId="2458029D" w14:textId="77777777" w:rsidR="00041A08" w:rsidRPr="00041A08" w:rsidRDefault="00802FF6" w:rsidP="001A6584">
      <w:pPr>
        <w:keepNext/>
        <w:tabs>
          <w:tab w:val="left" w:pos="142"/>
        </w:tabs>
        <w:ind w:left="0" w:firstLine="0"/>
        <w:rPr>
          <w:szCs w:val="22"/>
        </w:rPr>
      </w:pPr>
      <w:r w:rsidRPr="007E4DA1">
        <w:rPr>
          <w:szCs w:val="22"/>
          <w:u w:val="single"/>
        </w:rPr>
        <w:t>Metabolizm</w:t>
      </w:r>
    </w:p>
    <w:p w14:paraId="6CD04670" w14:textId="3B722090" w:rsidR="00802FF6" w:rsidRPr="007E4DA1" w:rsidRDefault="00802FF6" w:rsidP="001A6584">
      <w:pPr>
        <w:keepNext/>
        <w:tabs>
          <w:tab w:val="left" w:pos="142"/>
        </w:tabs>
        <w:ind w:left="0" w:firstLine="0"/>
        <w:rPr>
          <w:szCs w:val="22"/>
        </w:rPr>
      </w:pPr>
    </w:p>
    <w:p w14:paraId="0D2B3432" w14:textId="77777777" w:rsidR="00802FF6" w:rsidRPr="007E4DA1" w:rsidRDefault="00802FF6" w:rsidP="001A6584">
      <w:pPr>
        <w:tabs>
          <w:tab w:val="left" w:pos="142"/>
        </w:tabs>
        <w:ind w:left="0" w:firstLine="0"/>
        <w:rPr>
          <w:color w:val="000000"/>
          <w:szCs w:val="24"/>
        </w:rPr>
      </w:pPr>
      <w:r w:rsidRPr="007E4DA1">
        <w:rPr>
          <w:color w:val="000000"/>
          <w:szCs w:val="24"/>
        </w:rPr>
        <w:t>Eltrombopag jest głównie metabolizowany na drodze rozszczepienia, utlenienia i sprzężenia z kwasem glukuronowym, glutationem lub cysteiną. W badaniu radioizotopowym u ludzi eltrombopag stanowił około 64% AUC</w:t>
      </w:r>
      <w:r w:rsidRPr="007E4DA1">
        <w:rPr>
          <w:color w:val="000000"/>
          <w:szCs w:val="24"/>
          <w:vertAlign w:val="subscript"/>
        </w:rPr>
        <w:t>0-</w:t>
      </w:r>
      <w:r w:rsidRPr="007E4DA1">
        <w:rPr>
          <w:color w:val="000000"/>
          <w:szCs w:val="24"/>
          <w:vertAlign w:val="subscript"/>
        </w:rPr>
        <w:sym w:font="Symbol" w:char="F0A5"/>
      </w:r>
      <w:r w:rsidRPr="007E4DA1">
        <w:rPr>
          <w:color w:val="000000"/>
          <w:szCs w:val="24"/>
          <w:vertAlign w:val="subscript"/>
        </w:rPr>
        <w:t xml:space="preserve"> </w:t>
      </w:r>
      <w:r w:rsidRPr="007E4DA1">
        <w:rPr>
          <w:color w:val="000000"/>
          <w:szCs w:val="24"/>
        </w:rPr>
        <w:t xml:space="preserve">radioizotopu węgla w osoczu. Wykryto również mniej istotne metabolity wynikające z glukuronidacji i utleniania. Badania </w:t>
      </w:r>
      <w:r w:rsidRPr="007E4DA1">
        <w:rPr>
          <w:i/>
          <w:color w:val="000000"/>
          <w:szCs w:val="24"/>
        </w:rPr>
        <w:t xml:space="preserve">in vitro </w:t>
      </w:r>
      <w:r w:rsidRPr="007E4DA1">
        <w:rPr>
          <w:color w:val="000000"/>
          <w:szCs w:val="24"/>
        </w:rPr>
        <w:t>sugerują, że CYP1A2 i CYP2C8 odpowiedzialne są za metabolizm oksydacyjny eltrombopagu. Transferaza urydynowo-difosfoglukuronianowa UGT1A1 i UGT1A3 odpowiedzialna jest za glukuronidację, podczas gdy bakterie obecne w dolnym odcinku przewodu pokarmowego odpowiedzialne są prawdopodobnie za drogę metaboliczną prowadzącą przez rozszczepienie cząsteczki.</w:t>
      </w:r>
    </w:p>
    <w:p w14:paraId="4D7E1F3B" w14:textId="77777777" w:rsidR="00802FF6" w:rsidRPr="007E4DA1" w:rsidRDefault="00802FF6" w:rsidP="001A6584">
      <w:pPr>
        <w:tabs>
          <w:tab w:val="left" w:pos="142"/>
        </w:tabs>
        <w:ind w:left="0" w:firstLine="0"/>
        <w:rPr>
          <w:szCs w:val="22"/>
        </w:rPr>
      </w:pPr>
    </w:p>
    <w:p w14:paraId="5D27C155" w14:textId="77777777" w:rsidR="00041A08" w:rsidRPr="00041A08" w:rsidRDefault="00F76DE1" w:rsidP="001A6584">
      <w:pPr>
        <w:keepNext/>
        <w:tabs>
          <w:tab w:val="left" w:pos="142"/>
        </w:tabs>
        <w:ind w:left="0" w:firstLine="0"/>
        <w:rPr>
          <w:szCs w:val="22"/>
        </w:rPr>
      </w:pPr>
      <w:r w:rsidRPr="007E4DA1">
        <w:rPr>
          <w:szCs w:val="22"/>
          <w:u w:val="single"/>
        </w:rPr>
        <w:t>Eliminacja</w:t>
      </w:r>
    </w:p>
    <w:p w14:paraId="405E90A5" w14:textId="5F6913C1" w:rsidR="00802FF6" w:rsidRPr="007E4DA1" w:rsidRDefault="00802FF6" w:rsidP="001A6584">
      <w:pPr>
        <w:keepNext/>
        <w:tabs>
          <w:tab w:val="left" w:pos="142"/>
        </w:tabs>
        <w:ind w:left="0" w:firstLine="0"/>
        <w:rPr>
          <w:szCs w:val="22"/>
        </w:rPr>
      </w:pPr>
    </w:p>
    <w:p w14:paraId="06DFE1D6" w14:textId="77777777" w:rsidR="00802FF6" w:rsidRPr="007E4DA1" w:rsidRDefault="00802FF6" w:rsidP="001A6584">
      <w:pPr>
        <w:tabs>
          <w:tab w:val="left" w:pos="142"/>
        </w:tabs>
        <w:ind w:left="0" w:firstLine="0"/>
      </w:pPr>
      <w:r w:rsidRPr="007E4DA1">
        <w:t>Wchłonięty eltrombopag jest intensywnie metabolizowany. Główna droga wydalania eltrombopagu to kał (59%), zaś w moczu znajdowane jest 31% dawki w postaci metabolitów. Niezmienionej substancji (eltrombopag) nie wykrywa się w moczu. Niezmieniony eltrombopag wydalany z kałem stanowi około 20% dawki. Okres półtrwania eltrombopagu w osoczu wynosi około 21</w:t>
      </w:r>
      <w:r w:rsidR="005835DF" w:rsidRPr="007E4DA1">
        <w:noBreakHyphen/>
      </w:r>
      <w:r w:rsidRPr="007E4DA1">
        <w:t>32</w:t>
      </w:r>
      <w:r w:rsidR="005835DF" w:rsidRPr="007E4DA1">
        <w:t> </w:t>
      </w:r>
      <w:r w:rsidRPr="007E4DA1">
        <w:t>godzin.</w:t>
      </w:r>
    </w:p>
    <w:p w14:paraId="55E784B1" w14:textId="77777777" w:rsidR="00802FF6" w:rsidRPr="007E4DA1" w:rsidRDefault="00802FF6" w:rsidP="001A6584">
      <w:pPr>
        <w:tabs>
          <w:tab w:val="left" w:pos="142"/>
        </w:tabs>
        <w:ind w:left="0" w:firstLine="0"/>
        <w:rPr>
          <w:szCs w:val="22"/>
        </w:rPr>
      </w:pPr>
    </w:p>
    <w:p w14:paraId="3D87FEB6" w14:textId="77777777" w:rsidR="00041A08" w:rsidRPr="00041A08" w:rsidRDefault="00802FF6" w:rsidP="001A6584">
      <w:pPr>
        <w:keepNext/>
        <w:tabs>
          <w:tab w:val="left" w:pos="142"/>
        </w:tabs>
        <w:ind w:left="0" w:firstLine="0"/>
      </w:pPr>
      <w:r w:rsidRPr="007E4DA1">
        <w:rPr>
          <w:u w:val="single"/>
        </w:rPr>
        <w:t>Interakcje farmakokinetyczne</w:t>
      </w:r>
    </w:p>
    <w:p w14:paraId="2A98C93C" w14:textId="5930BB22" w:rsidR="00802FF6" w:rsidRPr="007E4DA1" w:rsidRDefault="00802FF6" w:rsidP="001A6584">
      <w:pPr>
        <w:keepNext/>
        <w:tabs>
          <w:tab w:val="left" w:pos="142"/>
        </w:tabs>
        <w:ind w:left="0" w:firstLine="0"/>
        <w:rPr>
          <w:szCs w:val="22"/>
        </w:rPr>
      </w:pPr>
    </w:p>
    <w:p w14:paraId="426CDD63" w14:textId="77777777" w:rsidR="00802FF6" w:rsidRPr="007E4DA1" w:rsidRDefault="00802FF6" w:rsidP="001A6584">
      <w:pPr>
        <w:tabs>
          <w:tab w:val="left" w:pos="142"/>
        </w:tabs>
        <w:ind w:left="0" w:firstLine="0"/>
      </w:pPr>
      <w:r w:rsidRPr="007E4DA1">
        <w:t xml:space="preserve">Jak wynika z badania radioizotopowego z eltrombopagiem przeprowadzonego u ludzi, glukuronidacja odgrywa niewielką rolę w metabolizmie eltrombopagu. W badaniach ludzkich mikrosomów wątrobowych wykazano, że enzymami odpowiedzialnymi za glukuronidację eltrombopagu są UGT1A1 i UGT1A3. Eltrombopag był inhibitorem wielu enzymów UGT </w:t>
      </w:r>
      <w:r w:rsidRPr="007E4DA1">
        <w:rPr>
          <w:i/>
        </w:rPr>
        <w:t>in vitro</w:t>
      </w:r>
      <w:r w:rsidRPr="007E4DA1">
        <w:t>. Wystąpienie klinicznie znamiennych lekowych interakcji z udziałem glukuronidacji jest mało prawdopodobne, ponieważ znaczenie poszczególnych enzymów UGT w glukuronidacji eltrombopagu jest niewielkie.</w:t>
      </w:r>
    </w:p>
    <w:p w14:paraId="6575E997" w14:textId="77777777" w:rsidR="00802FF6" w:rsidRPr="007E4DA1" w:rsidRDefault="00802FF6" w:rsidP="001A6584">
      <w:pPr>
        <w:tabs>
          <w:tab w:val="left" w:pos="142"/>
        </w:tabs>
        <w:ind w:left="0" w:firstLine="0"/>
        <w:rPr>
          <w:szCs w:val="22"/>
        </w:rPr>
      </w:pPr>
    </w:p>
    <w:p w14:paraId="778F42C2" w14:textId="77777777" w:rsidR="00802FF6" w:rsidRPr="007E4DA1" w:rsidRDefault="00802FF6" w:rsidP="001A6584">
      <w:pPr>
        <w:tabs>
          <w:tab w:val="left" w:pos="142"/>
        </w:tabs>
        <w:ind w:left="0" w:firstLine="0"/>
      </w:pPr>
      <w:r w:rsidRPr="007E4DA1">
        <w:t xml:space="preserve">Około 21% dawki eltrombopagu może ulegać metabolizmowi oksydacyjnemu. W badaniach ludzkich mikrosomów wątrobowych wykazano, że CYP1A2 i CYP2C8 są enzymami odpowiedzialnymi za utlenianie eltrombopagu. Na podstawie danych uzyskanych </w:t>
      </w:r>
      <w:r w:rsidRPr="007E4DA1">
        <w:rPr>
          <w:i/>
        </w:rPr>
        <w:t>in vitr</w:t>
      </w:r>
      <w:r w:rsidRPr="007E4DA1">
        <w:t xml:space="preserve">o i </w:t>
      </w:r>
      <w:r w:rsidRPr="007E4DA1">
        <w:rPr>
          <w:i/>
        </w:rPr>
        <w:t>in vivo</w:t>
      </w:r>
      <w:r w:rsidRPr="007E4DA1">
        <w:t xml:space="preserve"> nie stwierdzono indukcji ani hamowania enzymów CYP (patrz punkt</w:t>
      </w:r>
      <w:r w:rsidR="005835DF" w:rsidRPr="007E4DA1">
        <w:t> </w:t>
      </w:r>
      <w:r w:rsidRPr="007E4DA1">
        <w:t>4.5).</w:t>
      </w:r>
    </w:p>
    <w:p w14:paraId="4E0104D0" w14:textId="77777777" w:rsidR="00802FF6" w:rsidRPr="007E4DA1" w:rsidRDefault="00802FF6" w:rsidP="001A6584">
      <w:pPr>
        <w:tabs>
          <w:tab w:val="left" w:pos="142"/>
        </w:tabs>
        <w:ind w:left="0" w:firstLine="0"/>
        <w:rPr>
          <w:szCs w:val="22"/>
        </w:rPr>
      </w:pPr>
    </w:p>
    <w:p w14:paraId="18226E9D" w14:textId="77777777" w:rsidR="00802FF6" w:rsidRPr="007E4DA1" w:rsidRDefault="00802FF6" w:rsidP="001A6584">
      <w:pPr>
        <w:tabs>
          <w:tab w:val="left" w:pos="142"/>
        </w:tabs>
        <w:ind w:left="0" w:firstLine="0"/>
      </w:pPr>
      <w:r w:rsidRPr="007E4DA1">
        <w:rPr>
          <w:rFonts w:eastAsia="MS Mincho"/>
          <w:color w:val="000000"/>
          <w:lang w:eastAsia="ja-JP"/>
        </w:rPr>
        <w:t xml:space="preserve">Badania </w:t>
      </w:r>
      <w:r w:rsidRPr="007E4DA1">
        <w:rPr>
          <w:rFonts w:eastAsia="MS Mincho"/>
          <w:i/>
          <w:color w:val="000000"/>
          <w:lang w:eastAsia="ja-JP"/>
        </w:rPr>
        <w:t xml:space="preserve">in vitro </w:t>
      </w:r>
      <w:r w:rsidRPr="007E4DA1">
        <w:rPr>
          <w:rFonts w:eastAsia="MS Mincho"/>
          <w:color w:val="000000"/>
          <w:lang w:eastAsia="ja-JP"/>
        </w:rPr>
        <w:t xml:space="preserve">wykazują, że eltrombopag jest inhibitorem transportera OATP1B1 oraz inhibitorem transportera BCRP. W badaniu klinicznym interakcji eltrombopag zwiększał ekspozycję na rozuwastatynę, będącą substratem </w:t>
      </w:r>
      <w:r w:rsidRPr="007E4DA1">
        <w:rPr>
          <w:rFonts w:eastAsia="MS Mincho"/>
          <w:color w:val="000000"/>
          <w:szCs w:val="22"/>
          <w:lang w:eastAsia="ja-JP"/>
        </w:rPr>
        <w:t>OATP1B1 i BCRP</w:t>
      </w:r>
      <w:r w:rsidRPr="007E4DA1">
        <w:t xml:space="preserve"> (patrz punkt</w:t>
      </w:r>
      <w:r w:rsidR="005835DF" w:rsidRPr="007E4DA1">
        <w:t> </w:t>
      </w:r>
      <w:r w:rsidRPr="007E4DA1">
        <w:t>4.5). W badaniach klinicznych eltrombopagu zalecano zmniejszenie dawki statyn o 50%.</w:t>
      </w:r>
    </w:p>
    <w:p w14:paraId="7BFA48B6" w14:textId="77777777" w:rsidR="00802FF6" w:rsidRPr="007E4DA1" w:rsidRDefault="00802FF6" w:rsidP="001A6584">
      <w:pPr>
        <w:tabs>
          <w:tab w:val="left" w:pos="142"/>
        </w:tabs>
        <w:ind w:left="0" w:firstLine="0"/>
        <w:rPr>
          <w:szCs w:val="22"/>
        </w:rPr>
      </w:pPr>
    </w:p>
    <w:p w14:paraId="4BC4597D" w14:textId="77777777" w:rsidR="00802FF6" w:rsidRPr="007E4DA1" w:rsidRDefault="00802FF6" w:rsidP="001A6584">
      <w:pPr>
        <w:tabs>
          <w:tab w:val="left" w:pos="142"/>
        </w:tabs>
        <w:ind w:left="0" w:firstLine="0"/>
      </w:pPr>
      <w:r w:rsidRPr="007E4DA1">
        <w:t>Eltrombopag chelatuje wielowartościowe kationy, takie jak żelazo, wapń, magnez, glin, selen i cynk (patrz punkt</w:t>
      </w:r>
      <w:r w:rsidR="005548A3" w:rsidRPr="007E4DA1">
        <w:t>y</w:t>
      </w:r>
      <w:r w:rsidR="005835DF" w:rsidRPr="007E4DA1">
        <w:t> </w:t>
      </w:r>
      <w:r w:rsidRPr="007E4DA1">
        <w:t>4.2 i</w:t>
      </w:r>
      <w:r w:rsidR="005548A3" w:rsidRPr="007E4DA1">
        <w:t> </w:t>
      </w:r>
      <w:r w:rsidRPr="007E4DA1">
        <w:t>4.5).</w:t>
      </w:r>
    </w:p>
    <w:p w14:paraId="46A9F57D" w14:textId="77777777" w:rsidR="00802FF6" w:rsidRPr="007E4DA1" w:rsidRDefault="00802FF6" w:rsidP="001A6584">
      <w:pPr>
        <w:tabs>
          <w:tab w:val="left" w:pos="142"/>
        </w:tabs>
        <w:ind w:left="0" w:firstLine="0"/>
        <w:rPr>
          <w:szCs w:val="22"/>
        </w:rPr>
      </w:pPr>
    </w:p>
    <w:p w14:paraId="013B9787" w14:textId="114D5A8B" w:rsidR="00A64DFD" w:rsidRPr="007E4DA1" w:rsidRDefault="00916ADC" w:rsidP="001A6584">
      <w:pPr>
        <w:tabs>
          <w:tab w:val="left" w:pos="142"/>
        </w:tabs>
        <w:ind w:left="0" w:firstLine="0"/>
      </w:pPr>
      <w:r w:rsidRPr="007E4DA1">
        <w:t>Badania</w:t>
      </w:r>
      <w:r w:rsidRPr="007E4DA1">
        <w:rPr>
          <w:i/>
        </w:rPr>
        <w:t xml:space="preserve"> in vitro</w:t>
      </w:r>
      <w:r w:rsidRPr="007E4DA1">
        <w:t xml:space="preserve"> wykazały, że </w:t>
      </w:r>
      <w:r w:rsidRPr="007E4DA1">
        <w:rPr>
          <w:rFonts w:eastAsia="MS Mincho"/>
          <w:lang w:eastAsia="ja-JP"/>
        </w:rPr>
        <w:t>eltrombopag nie jest substratem dla polipeptydu transportującego aniony organiczne, OATP1B1, ale jest inhibitorem tego transportera (wartość IC</w:t>
      </w:r>
      <w:r w:rsidRPr="007E4DA1">
        <w:rPr>
          <w:rFonts w:eastAsia="MS Mincho"/>
          <w:vertAlign w:val="subscript"/>
          <w:lang w:eastAsia="ja-JP"/>
        </w:rPr>
        <w:t>50</w:t>
      </w:r>
      <w:r w:rsidRPr="007E4DA1">
        <w:rPr>
          <w:rFonts w:eastAsia="MS Mincho"/>
          <w:lang w:eastAsia="ja-JP"/>
        </w:rPr>
        <w:t xml:space="preserve"> = 2,7 µM </w:t>
      </w:r>
      <w:r w:rsidR="00C81660" w:rsidRPr="007E4DA1">
        <w:rPr>
          <w:rFonts w:eastAsia="MS Mincho"/>
          <w:lang w:eastAsia="ja-JP"/>
        </w:rPr>
        <w:t>[</w:t>
      </w:r>
      <w:r w:rsidRPr="007E4DA1">
        <w:rPr>
          <w:rFonts w:eastAsia="MS Mincho"/>
          <w:lang w:eastAsia="ja-JP"/>
        </w:rPr>
        <w:t>1,2 µg/ml</w:t>
      </w:r>
      <w:r w:rsidR="00C81660" w:rsidRPr="007E4DA1">
        <w:rPr>
          <w:rFonts w:eastAsia="MS Mincho"/>
          <w:lang w:eastAsia="ja-JP"/>
        </w:rPr>
        <w:t>]</w:t>
      </w:r>
      <w:r w:rsidR="00741387" w:rsidRPr="007E4DA1">
        <w:rPr>
          <w:rFonts w:eastAsia="MS Mincho"/>
          <w:lang w:eastAsia="ja-JP"/>
        </w:rPr>
        <w:t>)</w:t>
      </w:r>
      <w:r w:rsidRPr="007E4DA1">
        <w:rPr>
          <w:rFonts w:eastAsia="MS Mincho"/>
          <w:lang w:eastAsia="ja-JP"/>
        </w:rPr>
        <w:t xml:space="preserve">. </w:t>
      </w:r>
      <w:r w:rsidRPr="007E4DA1">
        <w:t>Badania</w:t>
      </w:r>
      <w:r w:rsidRPr="007E4DA1">
        <w:rPr>
          <w:i/>
        </w:rPr>
        <w:t xml:space="preserve"> in vitro</w:t>
      </w:r>
      <w:r w:rsidRPr="007E4DA1">
        <w:t xml:space="preserve"> wykazały również, że </w:t>
      </w:r>
      <w:r w:rsidRPr="007E4DA1">
        <w:rPr>
          <w:rFonts w:eastAsia="MS Mincho"/>
        </w:rPr>
        <w:t>eltrombopag jest substratem i inhibitorem białka oporności raka piersi (BCRP) (wartość IC</w:t>
      </w:r>
      <w:r w:rsidRPr="007E4DA1">
        <w:rPr>
          <w:rFonts w:eastAsia="MS Mincho"/>
          <w:vertAlign w:val="subscript"/>
        </w:rPr>
        <w:t>50</w:t>
      </w:r>
      <w:r w:rsidRPr="007E4DA1">
        <w:rPr>
          <w:rFonts w:eastAsia="MS Mincho"/>
        </w:rPr>
        <w:t xml:space="preserve"> = </w:t>
      </w:r>
      <w:r w:rsidRPr="007E4DA1">
        <w:rPr>
          <w:rFonts w:eastAsia="MS Mincho"/>
          <w:lang w:eastAsia="ja-JP"/>
        </w:rPr>
        <w:t xml:space="preserve">2,7 µM </w:t>
      </w:r>
      <w:r w:rsidR="00C81660" w:rsidRPr="007E4DA1">
        <w:rPr>
          <w:rFonts w:eastAsia="MS Mincho"/>
          <w:lang w:eastAsia="ja-JP"/>
        </w:rPr>
        <w:t>[</w:t>
      </w:r>
      <w:r w:rsidRPr="007E4DA1">
        <w:rPr>
          <w:rFonts w:eastAsia="MS Mincho"/>
          <w:lang w:eastAsia="ja-JP"/>
        </w:rPr>
        <w:t>1,2 µg/ml</w:t>
      </w:r>
      <w:r w:rsidR="00C81660" w:rsidRPr="007E4DA1">
        <w:rPr>
          <w:rFonts w:eastAsia="MS Mincho"/>
          <w:lang w:eastAsia="ja-JP"/>
        </w:rPr>
        <w:t>]</w:t>
      </w:r>
      <w:r w:rsidR="00741387" w:rsidRPr="007E4DA1">
        <w:rPr>
          <w:rFonts w:eastAsia="MS Mincho"/>
          <w:lang w:eastAsia="ja-JP"/>
        </w:rPr>
        <w:t>)</w:t>
      </w:r>
      <w:r w:rsidRPr="007E4DA1">
        <w:rPr>
          <w:rFonts w:eastAsia="MS Mincho"/>
          <w:i/>
          <w:lang w:eastAsia="ja-JP"/>
        </w:rPr>
        <w:t>.</w:t>
      </w:r>
    </w:p>
    <w:p w14:paraId="25437385" w14:textId="77777777" w:rsidR="00041A08" w:rsidRPr="00041A08" w:rsidRDefault="00041A08" w:rsidP="001A6584">
      <w:pPr>
        <w:tabs>
          <w:tab w:val="left" w:pos="142"/>
        </w:tabs>
        <w:ind w:left="0" w:firstLine="0"/>
        <w:rPr>
          <w:szCs w:val="22"/>
        </w:rPr>
      </w:pPr>
    </w:p>
    <w:p w14:paraId="2C995973" w14:textId="77777777" w:rsidR="00041A08" w:rsidRPr="00041A08" w:rsidRDefault="00802FF6" w:rsidP="001A6584">
      <w:pPr>
        <w:keepNext/>
        <w:tabs>
          <w:tab w:val="left" w:pos="142"/>
        </w:tabs>
        <w:ind w:left="0" w:firstLine="0"/>
        <w:rPr>
          <w:szCs w:val="22"/>
        </w:rPr>
      </w:pPr>
      <w:r w:rsidRPr="007E4DA1">
        <w:rPr>
          <w:szCs w:val="22"/>
          <w:u w:val="single"/>
        </w:rPr>
        <w:t>Szczególne grupy pacjentów</w:t>
      </w:r>
    </w:p>
    <w:p w14:paraId="788A89C2" w14:textId="27B38245" w:rsidR="00802FF6" w:rsidRPr="007E4DA1" w:rsidRDefault="00802FF6" w:rsidP="001A6584">
      <w:pPr>
        <w:keepNext/>
        <w:tabs>
          <w:tab w:val="left" w:pos="142"/>
        </w:tabs>
        <w:ind w:left="0" w:firstLine="0"/>
        <w:rPr>
          <w:szCs w:val="22"/>
        </w:rPr>
      </w:pPr>
    </w:p>
    <w:p w14:paraId="0B386482" w14:textId="77777777" w:rsidR="00041A08" w:rsidRPr="00041A08" w:rsidRDefault="00802FF6" w:rsidP="001A6584">
      <w:pPr>
        <w:keepNext/>
        <w:tabs>
          <w:tab w:val="left" w:pos="142"/>
        </w:tabs>
        <w:ind w:left="0" w:firstLine="0"/>
        <w:rPr>
          <w:color w:val="000000"/>
          <w:szCs w:val="22"/>
        </w:rPr>
      </w:pPr>
      <w:r w:rsidRPr="007E4DA1">
        <w:rPr>
          <w:i/>
          <w:color w:val="000000"/>
          <w:szCs w:val="22"/>
          <w:u w:val="single"/>
        </w:rPr>
        <w:t>Zaburzenia czynności nerek</w:t>
      </w:r>
    </w:p>
    <w:p w14:paraId="5A4288C0" w14:textId="12095617" w:rsidR="00802FF6" w:rsidRPr="007E4DA1" w:rsidRDefault="00802FF6" w:rsidP="001A6584">
      <w:pPr>
        <w:keepNext/>
        <w:tabs>
          <w:tab w:val="left" w:pos="142"/>
        </w:tabs>
        <w:ind w:left="0" w:firstLine="0"/>
        <w:rPr>
          <w:szCs w:val="22"/>
        </w:rPr>
      </w:pPr>
    </w:p>
    <w:p w14:paraId="458519DF" w14:textId="77777777" w:rsidR="00802FF6" w:rsidRPr="007E4DA1" w:rsidRDefault="00802FF6" w:rsidP="001A6584">
      <w:pPr>
        <w:tabs>
          <w:tab w:val="left" w:pos="142"/>
        </w:tabs>
        <w:ind w:left="0" w:firstLine="0"/>
        <w:rPr>
          <w:color w:val="000000"/>
          <w:szCs w:val="24"/>
        </w:rPr>
      </w:pPr>
      <w:r w:rsidRPr="007E4DA1">
        <w:rPr>
          <w:color w:val="000000"/>
        </w:rPr>
        <w:t xml:space="preserve">Przebadano farmakokinetykę eltrombopagu po podaniu dorosłym pacjentom z zaburzeniami czynności nerek. Po podaniu pojedynczej dawki 50 mg, wartość </w:t>
      </w:r>
      <w:r w:rsidRPr="007E4DA1">
        <w:t>AUC</w:t>
      </w:r>
      <w:r w:rsidRPr="007E4DA1">
        <w:rPr>
          <w:szCs w:val="24"/>
          <w:vertAlign w:val="subscript"/>
        </w:rPr>
        <w:t>0-</w:t>
      </w:r>
      <w:r w:rsidRPr="007E4DA1">
        <w:rPr>
          <w:szCs w:val="24"/>
          <w:vertAlign w:val="subscript"/>
        </w:rPr>
        <w:sym w:font="Symbol" w:char="F0A5"/>
      </w:r>
      <w:r w:rsidRPr="007E4DA1">
        <w:t xml:space="preserve"> dla eltrombopagu była o 32–36% mniejsza u pacjentów z łagodnymi i umiarkowanymi zaburzeniami czynności nerek, a o 60% mniejsza u pacjentów z ciężkimi zaburzeniami czynności nerek, w porównaniu ze zdrowymi ochotnikami.</w:t>
      </w:r>
      <w:r w:rsidRPr="007E4DA1">
        <w:rPr>
          <w:color w:val="000000"/>
        </w:rPr>
        <w:t xml:space="preserve"> Zaobserwowano dużą zmienność i znaczące nakładanie się wartości parametrów ekspozycji na eltrombopag pomiędzy pacjentami z niewydolnością nerek i zdrowymi ochotnikami. Stężenie niezwiązanego (aktywnego) eltrombopagu dla tego produktu leczniczego w dużym stopniu wiążącego się z białkami nie zostało zmierzone. U pacjentów z zaburzeniami czynności nerek należy zachować ostrożność i prowadzić ścisłą kontrolę podczas stosowania </w:t>
      </w:r>
      <w:r w:rsidRPr="007E4DA1">
        <w:rPr>
          <w:color w:val="000000"/>
          <w:szCs w:val="24"/>
        </w:rPr>
        <w:t>eltrombopagu (patrz punkt</w:t>
      </w:r>
      <w:r w:rsidR="005548A3" w:rsidRPr="007E4DA1">
        <w:rPr>
          <w:color w:val="000000"/>
          <w:szCs w:val="24"/>
        </w:rPr>
        <w:t> </w:t>
      </w:r>
      <w:r w:rsidRPr="007E4DA1">
        <w:rPr>
          <w:color w:val="000000"/>
          <w:szCs w:val="24"/>
        </w:rPr>
        <w:t xml:space="preserve">4.2). </w:t>
      </w:r>
      <w:r w:rsidRPr="007E4DA1">
        <w:t>Nie ustalono skuteczności ani bezpieczeństwa eltrombopagu u pacjentów z umiarkowanymi lub ciężkimi zaburzeniami czynności nerek i zaburzeniami czynności wątroby.</w:t>
      </w:r>
    </w:p>
    <w:p w14:paraId="1E3E5DF9" w14:textId="77777777" w:rsidR="00802FF6" w:rsidRPr="007E4DA1" w:rsidRDefault="00802FF6" w:rsidP="001A6584">
      <w:pPr>
        <w:tabs>
          <w:tab w:val="left" w:pos="142"/>
        </w:tabs>
        <w:ind w:left="0" w:firstLine="0"/>
        <w:rPr>
          <w:color w:val="000000"/>
          <w:szCs w:val="22"/>
        </w:rPr>
      </w:pPr>
    </w:p>
    <w:p w14:paraId="4C33E921" w14:textId="77777777" w:rsidR="00041A08" w:rsidRPr="00041A08" w:rsidRDefault="00802FF6" w:rsidP="001A6584">
      <w:pPr>
        <w:keepNext/>
        <w:tabs>
          <w:tab w:val="left" w:pos="142"/>
        </w:tabs>
        <w:ind w:left="0" w:firstLine="0"/>
        <w:rPr>
          <w:color w:val="000000"/>
          <w:szCs w:val="22"/>
        </w:rPr>
      </w:pPr>
      <w:r w:rsidRPr="007E4DA1">
        <w:rPr>
          <w:i/>
          <w:color w:val="000000"/>
          <w:szCs w:val="22"/>
          <w:u w:val="single"/>
        </w:rPr>
        <w:t>Zaburzenia czynności wątroby</w:t>
      </w:r>
    </w:p>
    <w:p w14:paraId="19E5CB07" w14:textId="0D7492E4" w:rsidR="00802FF6" w:rsidRPr="007E4DA1" w:rsidRDefault="00802FF6" w:rsidP="001A6584">
      <w:pPr>
        <w:keepNext/>
        <w:tabs>
          <w:tab w:val="left" w:pos="142"/>
        </w:tabs>
        <w:ind w:left="0" w:firstLine="0"/>
        <w:rPr>
          <w:color w:val="000000"/>
          <w:szCs w:val="22"/>
        </w:rPr>
      </w:pPr>
    </w:p>
    <w:p w14:paraId="1FAA8803" w14:textId="77777777" w:rsidR="00802FF6" w:rsidRPr="007E4DA1" w:rsidRDefault="00802FF6" w:rsidP="001A6584">
      <w:pPr>
        <w:tabs>
          <w:tab w:val="left" w:pos="142"/>
        </w:tabs>
        <w:ind w:left="0" w:firstLine="0"/>
        <w:rPr>
          <w:color w:val="000000"/>
        </w:rPr>
      </w:pPr>
      <w:r w:rsidRPr="007E4DA1">
        <w:t>Farmakokinetykę eltrombopagu badano po podaniu eltrombopagu dorosłym pacjentom z zaburzeniami czynności wątroby. Po podaniu pojedynczej dawki 50</w:t>
      </w:r>
      <w:r w:rsidR="005548A3" w:rsidRPr="007E4DA1">
        <w:t> </w:t>
      </w:r>
      <w:r w:rsidRPr="007E4DA1">
        <w:t>mg wartość AUC</w:t>
      </w:r>
      <w:r w:rsidRPr="007E4DA1">
        <w:rPr>
          <w:szCs w:val="24"/>
          <w:vertAlign w:val="subscript"/>
        </w:rPr>
        <w:t>0-</w:t>
      </w:r>
      <w:r w:rsidRPr="007E4DA1">
        <w:rPr>
          <w:szCs w:val="24"/>
          <w:vertAlign w:val="subscript"/>
        </w:rPr>
        <w:sym w:font="Symbol" w:char="F0A5"/>
      </w:r>
      <w:r w:rsidRPr="007E4DA1">
        <w:t xml:space="preserve"> eltrombopagu była o 41% większa u pacjentów z łagodnymi zaburzeniami czynności wątroby i o 80–93% większa u pacjentów z umiarkowanymi i ciężkimi zaburzeniami czynności wątroby, w porównaniu ze zdrowymi ochotnikami. </w:t>
      </w:r>
      <w:r w:rsidRPr="007E4DA1">
        <w:rPr>
          <w:color w:val="000000"/>
        </w:rPr>
        <w:t>Zaobserwowano dużą zmienność i znaczące nakładanie się wartości parametrów ekspozycji na eltrombopag pomiędzy pacjentami z</w:t>
      </w:r>
      <w:r w:rsidRPr="007E4DA1">
        <w:t xml:space="preserve"> zaburzeniami czynności wątroby i zdrowymi ochotnikami</w:t>
      </w:r>
      <w:r w:rsidRPr="007E4DA1">
        <w:rPr>
          <w:color w:val="000000"/>
        </w:rPr>
        <w:t>. Stężenie niezwiązanego (aktywnego) eltrombopagu dla tego produktu leczniczego w dużym stopniu wiążącego się z białkami nie zostało zmierzone.</w:t>
      </w:r>
    </w:p>
    <w:p w14:paraId="6C30A4F7" w14:textId="77777777" w:rsidR="00802FF6" w:rsidRPr="007E4DA1" w:rsidRDefault="00802FF6" w:rsidP="001A6584">
      <w:pPr>
        <w:tabs>
          <w:tab w:val="left" w:pos="142"/>
        </w:tabs>
        <w:ind w:left="0" w:firstLine="0"/>
        <w:rPr>
          <w:color w:val="000000"/>
        </w:rPr>
      </w:pPr>
    </w:p>
    <w:p w14:paraId="21359BAE" w14:textId="77777777" w:rsidR="00802FF6" w:rsidRPr="007E4DA1" w:rsidRDefault="00802FF6" w:rsidP="001A6584">
      <w:pPr>
        <w:tabs>
          <w:tab w:val="left" w:pos="142"/>
        </w:tabs>
        <w:ind w:left="0" w:firstLine="0"/>
        <w:rPr>
          <w:szCs w:val="24"/>
        </w:rPr>
      </w:pPr>
      <w:r w:rsidRPr="007E4DA1">
        <w:rPr>
          <w:color w:val="000000"/>
        </w:rPr>
        <w:t xml:space="preserve">Wpływ zaburzeń czynności wątroby na farmakokinetykę eltrombopagu po podaniu wielokrotnym oceniono na podstawie populacyjnej analizy farmakokinetycznej przeprowadzonej u 28 zdrowych dorosłych i </w:t>
      </w:r>
      <w:r w:rsidRPr="007E4DA1">
        <w:t>714 pacjentów z zaburzeniami czynności wątroby (673 pacjentów zakażonych wirusem WZW C i 41 pacjentów z przewlekłą chorobą wątroby o innej etiologii). Wśród 714 pacjentów u 642 występowały łagodne zaburzenia czynności wątroby, u 67 – umiarkowane zaburzenia czynności wątroby, a u 2 – ciężkie zaburzenia czynności wątroby. W porównaniu ze zdrowymi ochotnikami, u pacjentów z łagodnymi zaburzeniami czynności wątroby wartości AUC</w:t>
      </w:r>
      <w:r w:rsidRPr="007E4DA1">
        <w:rPr>
          <w:vertAlign w:val="subscript"/>
        </w:rPr>
        <w:t>(0-</w:t>
      </w:r>
      <w:r w:rsidRPr="007E4DA1">
        <w:rPr>
          <w:vertAlign w:val="subscript"/>
        </w:rPr>
        <w:sym w:font="Symbol" w:char="F074"/>
      </w:r>
      <w:r w:rsidRPr="007E4DA1">
        <w:rPr>
          <w:vertAlign w:val="subscript"/>
        </w:rPr>
        <w:t>)</w:t>
      </w:r>
      <w:r w:rsidRPr="007E4DA1">
        <w:t xml:space="preserve"> dla eltrombopagu w osoczu były o około 111% większe (95% CI: 45% do 283%), a u pacjentów z umiarkowanymi zaburzeniami czynności wątroby wartości AUC</w:t>
      </w:r>
      <w:r w:rsidRPr="007E4DA1">
        <w:rPr>
          <w:vertAlign w:val="subscript"/>
        </w:rPr>
        <w:t>(0-</w:t>
      </w:r>
      <w:r w:rsidRPr="007E4DA1">
        <w:rPr>
          <w:vertAlign w:val="subscript"/>
        </w:rPr>
        <w:sym w:font="Symbol" w:char="F074"/>
      </w:r>
      <w:r w:rsidRPr="007E4DA1">
        <w:rPr>
          <w:vertAlign w:val="subscript"/>
        </w:rPr>
        <w:t>)</w:t>
      </w:r>
      <w:r w:rsidRPr="007E4DA1">
        <w:t xml:space="preserve"> dla eltrombopagu w osoczu były o około 183% większe (95% CI: 90% do 459%).</w:t>
      </w:r>
    </w:p>
    <w:p w14:paraId="20A2371B" w14:textId="77777777" w:rsidR="00802FF6" w:rsidRPr="007E4DA1" w:rsidRDefault="00802FF6" w:rsidP="001A6584">
      <w:pPr>
        <w:tabs>
          <w:tab w:val="left" w:pos="142"/>
        </w:tabs>
        <w:ind w:left="0" w:firstLine="0"/>
        <w:rPr>
          <w:szCs w:val="24"/>
        </w:rPr>
      </w:pPr>
    </w:p>
    <w:p w14:paraId="0A28D8EF" w14:textId="77777777" w:rsidR="00802FF6" w:rsidRPr="007E4DA1" w:rsidRDefault="00802FF6" w:rsidP="001A6584">
      <w:pPr>
        <w:tabs>
          <w:tab w:val="left" w:pos="142"/>
        </w:tabs>
        <w:ind w:left="0" w:firstLine="0"/>
      </w:pPr>
      <w:r w:rsidRPr="007E4DA1">
        <w:rPr>
          <w:color w:val="000000"/>
        </w:rPr>
        <w:t xml:space="preserve">Dlatego </w:t>
      </w:r>
      <w:r w:rsidRPr="007E4DA1">
        <w:rPr>
          <w:szCs w:val="22"/>
        </w:rPr>
        <w:t xml:space="preserve">nie należy stosować eltrombopagu </w:t>
      </w:r>
      <w:r w:rsidRPr="007E4DA1">
        <w:t xml:space="preserve">u pacjentów z pierwotną małopłytkowością immunologiczną z zaburzeniami czynności wątroby (w skali Child-Pugh </w:t>
      </w:r>
      <w:r w:rsidRPr="007E4DA1">
        <w:rPr>
          <w:szCs w:val="22"/>
        </w:rPr>
        <w:t>≥5), chyba że oczekiwane korzyści przeważają zidentyfikowane ryzyko zakrzepicy żyły wrotnej (patrz punkty</w:t>
      </w:r>
      <w:r w:rsidR="00BE611D" w:rsidRPr="007E4DA1">
        <w:rPr>
          <w:szCs w:val="22"/>
        </w:rPr>
        <w:t> </w:t>
      </w:r>
      <w:r w:rsidRPr="007E4DA1">
        <w:rPr>
          <w:szCs w:val="22"/>
        </w:rPr>
        <w:t xml:space="preserve">4.2 i 4.4). </w:t>
      </w:r>
      <w:r w:rsidRPr="007E4DA1">
        <w:t>U</w:t>
      </w:r>
      <w:r w:rsidR="005548A3" w:rsidRPr="007E4DA1">
        <w:t> </w:t>
      </w:r>
      <w:r w:rsidRPr="007E4DA1">
        <w:t>pacjentów zakażonych wirusem WZW C leczenie eltrombopagiem należy rozpoczynać od dawki 25 mg raz na dobę (patrz punkt 4.2).</w:t>
      </w:r>
    </w:p>
    <w:p w14:paraId="5C16FF4C" w14:textId="77777777" w:rsidR="00802FF6" w:rsidRPr="007E4DA1" w:rsidRDefault="00802FF6" w:rsidP="001A6584">
      <w:pPr>
        <w:tabs>
          <w:tab w:val="left" w:pos="142"/>
        </w:tabs>
        <w:ind w:left="0" w:firstLine="0"/>
        <w:rPr>
          <w:szCs w:val="22"/>
        </w:rPr>
      </w:pPr>
    </w:p>
    <w:p w14:paraId="125014EB" w14:textId="77777777" w:rsidR="00041A08" w:rsidRPr="00041A08" w:rsidRDefault="00802FF6" w:rsidP="001A6584">
      <w:pPr>
        <w:keepNext/>
        <w:tabs>
          <w:tab w:val="left" w:pos="142"/>
        </w:tabs>
        <w:ind w:left="0" w:firstLine="0"/>
        <w:rPr>
          <w:szCs w:val="22"/>
        </w:rPr>
      </w:pPr>
      <w:r w:rsidRPr="007E4DA1">
        <w:rPr>
          <w:i/>
          <w:szCs w:val="22"/>
          <w:u w:val="single"/>
        </w:rPr>
        <w:t>Rasa</w:t>
      </w:r>
    </w:p>
    <w:p w14:paraId="159909F6" w14:textId="7E836895" w:rsidR="00802FF6" w:rsidRPr="007E4DA1" w:rsidRDefault="00802FF6" w:rsidP="001A6584">
      <w:pPr>
        <w:keepNext/>
        <w:tabs>
          <w:tab w:val="left" w:pos="142"/>
        </w:tabs>
        <w:ind w:left="0" w:firstLine="0"/>
        <w:rPr>
          <w:szCs w:val="22"/>
        </w:rPr>
      </w:pPr>
    </w:p>
    <w:p w14:paraId="2B1FD94B" w14:textId="47EE1340" w:rsidR="00802FF6" w:rsidRPr="007E4DA1" w:rsidRDefault="00802FF6" w:rsidP="001A6584">
      <w:pPr>
        <w:tabs>
          <w:tab w:val="left" w:pos="142"/>
        </w:tabs>
        <w:ind w:left="0" w:firstLine="0"/>
      </w:pPr>
      <w:r w:rsidRPr="007E4DA1">
        <w:t xml:space="preserve">Wpływ pochodzenia </w:t>
      </w:r>
      <w:r w:rsidR="00C81660" w:rsidRPr="007E4DA1">
        <w:t>wschodnio</w:t>
      </w:r>
      <w:r w:rsidRPr="007E4DA1">
        <w:t>azjatyckiego</w:t>
      </w:r>
      <w:r w:rsidR="00916ADC" w:rsidRPr="007E4DA1">
        <w:t xml:space="preserve"> </w:t>
      </w:r>
      <w:r w:rsidRPr="007E4DA1">
        <w:t>na farmakokinetykę eltrombopagu oceniano przy użyciu populacyjnej analizy farmakokinetyki u 111</w:t>
      </w:r>
      <w:r w:rsidR="005548A3" w:rsidRPr="007E4DA1">
        <w:t> </w:t>
      </w:r>
      <w:r w:rsidRPr="007E4DA1">
        <w:t>zdrowych osób dorosłych (31</w:t>
      </w:r>
      <w:r w:rsidR="005548A3" w:rsidRPr="007E4DA1">
        <w:t> </w:t>
      </w:r>
      <w:r w:rsidRPr="007E4DA1">
        <w:t xml:space="preserve">osób pochodzenia </w:t>
      </w:r>
      <w:r w:rsidR="00C81660" w:rsidRPr="007E4DA1">
        <w:t>wschodnio</w:t>
      </w:r>
      <w:r w:rsidRPr="007E4DA1">
        <w:t>azjatyckiego) i 88</w:t>
      </w:r>
      <w:r w:rsidR="005548A3" w:rsidRPr="007E4DA1">
        <w:t> </w:t>
      </w:r>
      <w:r w:rsidRPr="007E4DA1">
        <w:t xml:space="preserve">pacjentów z </w:t>
      </w:r>
      <w:r w:rsidRPr="007E4DA1">
        <w:rPr>
          <w:szCs w:val="22"/>
        </w:rPr>
        <w:t>pierwotną małopłytkowością immunologiczną</w:t>
      </w:r>
      <w:r w:rsidRPr="007E4DA1">
        <w:t xml:space="preserve"> (18</w:t>
      </w:r>
      <w:r w:rsidR="005548A3" w:rsidRPr="007E4DA1">
        <w:t> </w:t>
      </w:r>
      <w:r w:rsidRPr="007E4DA1">
        <w:t xml:space="preserve">osób pochodzenia </w:t>
      </w:r>
      <w:r w:rsidR="00C81660" w:rsidRPr="007E4DA1">
        <w:t>wschodnio</w:t>
      </w:r>
      <w:r w:rsidRPr="007E4DA1">
        <w:t xml:space="preserve">azjatyckiego). Na podstawie obliczeń z populacyjnej analizy farmakokinetycznej stwierdzono, że pacjenci o pochodzeniu </w:t>
      </w:r>
      <w:r w:rsidR="00C81660" w:rsidRPr="007E4DA1">
        <w:t>wschodnio</w:t>
      </w:r>
      <w:r w:rsidRPr="007E4DA1">
        <w:t xml:space="preserve">azjatyckim z </w:t>
      </w:r>
      <w:r w:rsidRPr="007E4DA1">
        <w:rPr>
          <w:szCs w:val="22"/>
        </w:rPr>
        <w:t>pierwotną małopłytkowością immunologiczną</w:t>
      </w:r>
      <w:r w:rsidRPr="007E4DA1">
        <w:t xml:space="preserve"> mają o około </w:t>
      </w:r>
      <w:r w:rsidR="00F76DE1" w:rsidRPr="007E4DA1">
        <w:t>49</w:t>
      </w:r>
      <w:r w:rsidRPr="007E4DA1">
        <w:t>% większe wartości AUC</w:t>
      </w:r>
      <w:r w:rsidRPr="007E4DA1">
        <w:rPr>
          <w:vertAlign w:val="subscript"/>
        </w:rPr>
        <w:t>(0-</w:t>
      </w:r>
      <w:r w:rsidRPr="007E4DA1">
        <w:rPr>
          <w:vertAlign w:val="subscript"/>
        </w:rPr>
        <w:sym w:font="Symbol" w:char="F074"/>
      </w:r>
      <w:r w:rsidRPr="007E4DA1">
        <w:rPr>
          <w:vertAlign w:val="subscript"/>
        </w:rPr>
        <w:t>)</w:t>
      </w:r>
      <w:r w:rsidRPr="007E4DA1">
        <w:t xml:space="preserve"> eltrombopagu w osoczu w porównaniu z pacjentami </w:t>
      </w:r>
      <w:r w:rsidR="00784D80" w:rsidRPr="007E4DA1">
        <w:t>pochodzenia nie</w:t>
      </w:r>
      <w:r w:rsidR="00C81660" w:rsidRPr="007E4DA1">
        <w:t>wschodnio</w:t>
      </w:r>
      <w:r w:rsidR="00784D80" w:rsidRPr="007E4DA1">
        <w:t>azjatyckiego</w:t>
      </w:r>
      <w:r w:rsidRPr="007E4DA1">
        <w:t>, którzy byli głównie rasy kaukaskiej (patrz punkt</w:t>
      </w:r>
      <w:r w:rsidR="005835DF" w:rsidRPr="007E4DA1">
        <w:t> </w:t>
      </w:r>
      <w:r w:rsidRPr="007E4DA1">
        <w:t>4.2).</w:t>
      </w:r>
    </w:p>
    <w:p w14:paraId="7FDFCB30" w14:textId="77777777" w:rsidR="00802FF6" w:rsidRPr="007E4DA1" w:rsidRDefault="00802FF6" w:rsidP="001A6584">
      <w:pPr>
        <w:tabs>
          <w:tab w:val="left" w:pos="142"/>
        </w:tabs>
        <w:ind w:left="0" w:firstLine="0"/>
      </w:pPr>
    </w:p>
    <w:p w14:paraId="4782F270" w14:textId="13654F1A" w:rsidR="00802FF6" w:rsidRPr="007E4DA1" w:rsidRDefault="00802FF6" w:rsidP="001A6584">
      <w:pPr>
        <w:tabs>
          <w:tab w:val="left" w:pos="142"/>
          <w:tab w:val="left" w:pos="2835"/>
        </w:tabs>
        <w:ind w:left="0" w:firstLine="0"/>
      </w:pPr>
      <w:r w:rsidRPr="007E4DA1">
        <w:lastRenderedPageBreak/>
        <w:t xml:space="preserve">Wpływ pochodzenia etnicznego </w:t>
      </w:r>
      <w:r w:rsidR="00C81660" w:rsidRPr="007E4DA1">
        <w:t>wschodnio-/południowo</w:t>
      </w:r>
      <w:r w:rsidR="004A1007" w:rsidRPr="007E4DA1">
        <w:t>-</w:t>
      </w:r>
      <w:r w:rsidR="00C81660" w:rsidRPr="007E4DA1">
        <w:t>wschodnio</w:t>
      </w:r>
      <w:r w:rsidRPr="007E4DA1">
        <w:t xml:space="preserve">azjatyckiego na farmakokinetykę eltrombopagu oceniano metodą populacyjnej analizy farmakokinetycznej u 635 pacjentów zakażonych wirusem WZW C (145 pochodzenia </w:t>
      </w:r>
      <w:r w:rsidR="00C81660" w:rsidRPr="007E4DA1">
        <w:t>wschodnio</w:t>
      </w:r>
      <w:r w:rsidRPr="007E4DA1">
        <w:t>azjatyckiego i 69 pochodzenia południowo</w:t>
      </w:r>
      <w:r w:rsidR="004A1007" w:rsidRPr="007E4DA1">
        <w:t>-</w:t>
      </w:r>
      <w:r w:rsidR="00C81660" w:rsidRPr="007E4DA1">
        <w:t>wschodnio</w:t>
      </w:r>
      <w:r w:rsidRPr="007E4DA1">
        <w:t xml:space="preserve">azjatyckiego). Na podstawie szacunkowych danych z populacyjnej analizy farmakokinetycznej stwierdzono, że u pacjentów pochodzenia </w:t>
      </w:r>
      <w:r w:rsidR="00C81660" w:rsidRPr="007E4DA1">
        <w:t>wschodnio-/południowo</w:t>
      </w:r>
      <w:r w:rsidR="004A1007" w:rsidRPr="007E4DA1">
        <w:t>-</w:t>
      </w:r>
      <w:r w:rsidR="00C81660" w:rsidRPr="007E4DA1">
        <w:t>wschodnio</w:t>
      </w:r>
      <w:r w:rsidRPr="007E4DA1">
        <w:t>azjatyckiego wartości AUC</w:t>
      </w:r>
      <w:r w:rsidRPr="007E4DA1">
        <w:rPr>
          <w:vertAlign w:val="subscript"/>
        </w:rPr>
        <w:t>(0-</w:t>
      </w:r>
      <w:r w:rsidRPr="007E4DA1">
        <w:rPr>
          <w:vertAlign w:val="subscript"/>
        </w:rPr>
        <w:sym w:font="Symbol" w:char="F074"/>
      </w:r>
      <w:r w:rsidRPr="007E4DA1">
        <w:rPr>
          <w:vertAlign w:val="subscript"/>
        </w:rPr>
        <w:t>)</w:t>
      </w:r>
      <w:r w:rsidRPr="007E4DA1">
        <w:t xml:space="preserve"> dla eltrombopagu w osoczu były o około 55% większe w porównaniu z pacjentami innych ras (głównie rasy białej) (patrz punkt 4.2).</w:t>
      </w:r>
    </w:p>
    <w:p w14:paraId="059B923A" w14:textId="77777777" w:rsidR="00802FF6" w:rsidRPr="007E4DA1" w:rsidRDefault="00802FF6" w:rsidP="001A6584">
      <w:pPr>
        <w:tabs>
          <w:tab w:val="left" w:pos="142"/>
        </w:tabs>
        <w:ind w:left="0" w:firstLine="0"/>
        <w:rPr>
          <w:szCs w:val="22"/>
        </w:rPr>
      </w:pPr>
    </w:p>
    <w:p w14:paraId="02D59971" w14:textId="77777777" w:rsidR="00041A08" w:rsidRPr="00041A08" w:rsidRDefault="00802FF6" w:rsidP="001A6584">
      <w:pPr>
        <w:keepNext/>
        <w:tabs>
          <w:tab w:val="left" w:pos="142"/>
        </w:tabs>
        <w:ind w:left="0" w:firstLine="0"/>
        <w:rPr>
          <w:szCs w:val="22"/>
        </w:rPr>
      </w:pPr>
      <w:r w:rsidRPr="007E4DA1">
        <w:rPr>
          <w:i/>
          <w:szCs w:val="22"/>
          <w:u w:val="single"/>
        </w:rPr>
        <w:t>Płeć</w:t>
      </w:r>
    </w:p>
    <w:p w14:paraId="4C55FD8F" w14:textId="253F275B" w:rsidR="00802FF6" w:rsidRPr="007E4DA1" w:rsidRDefault="00802FF6" w:rsidP="001A6584">
      <w:pPr>
        <w:keepNext/>
        <w:tabs>
          <w:tab w:val="left" w:pos="142"/>
        </w:tabs>
        <w:ind w:left="0" w:firstLine="0"/>
        <w:rPr>
          <w:szCs w:val="22"/>
        </w:rPr>
      </w:pPr>
    </w:p>
    <w:p w14:paraId="4DDE4DB2" w14:textId="77777777" w:rsidR="00041A08" w:rsidRPr="00041A08" w:rsidRDefault="00802FF6" w:rsidP="001A6584">
      <w:pPr>
        <w:tabs>
          <w:tab w:val="left" w:pos="142"/>
        </w:tabs>
        <w:ind w:left="0" w:firstLine="0"/>
        <w:rPr>
          <w:color w:val="000000"/>
        </w:rPr>
      </w:pPr>
      <w:r w:rsidRPr="007E4DA1">
        <w:t>Wpływ płci na farmakokinetykę eltrombopagu oceniano przy użyciu populacyjnej analizy farmakokinetyki u 111</w:t>
      </w:r>
      <w:r w:rsidR="005548A3" w:rsidRPr="007E4DA1">
        <w:t> </w:t>
      </w:r>
      <w:r w:rsidRPr="007E4DA1">
        <w:t>zdrowych osób dorosłych (14</w:t>
      </w:r>
      <w:r w:rsidR="005548A3" w:rsidRPr="007E4DA1">
        <w:t> </w:t>
      </w:r>
      <w:r w:rsidRPr="007E4DA1">
        <w:t>kobiet) i 88</w:t>
      </w:r>
      <w:r w:rsidR="005548A3" w:rsidRPr="007E4DA1">
        <w:t> </w:t>
      </w:r>
      <w:r w:rsidRPr="007E4DA1">
        <w:t xml:space="preserve">pacjentów z </w:t>
      </w:r>
      <w:r w:rsidRPr="007E4DA1">
        <w:rPr>
          <w:szCs w:val="22"/>
        </w:rPr>
        <w:t>pierwotną małopłytkowością immunologiczną</w:t>
      </w:r>
      <w:r w:rsidRPr="007E4DA1">
        <w:t xml:space="preserve"> (57</w:t>
      </w:r>
      <w:r w:rsidR="005548A3" w:rsidRPr="007E4DA1">
        <w:t> </w:t>
      </w:r>
      <w:r w:rsidRPr="007E4DA1">
        <w:t xml:space="preserve">kobiet). W oparciu o obliczenia z populacyjnej analizy farmakokinetycznej stwierdzono, że kobiety z </w:t>
      </w:r>
      <w:r w:rsidRPr="007E4DA1">
        <w:rPr>
          <w:szCs w:val="22"/>
        </w:rPr>
        <w:t>pierwotną małopłytkowością immunologiczną</w:t>
      </w:r>
      <w:r w:rsidRPr="007E4DA1">
        <w:t xml:space="preserve"> miały o około </w:t>
      </w:r>
      <w:r w:rsidR="00F76DE1" w:rsidRPr="007E4DA1">
        <w:t>23</w:t>
      </w:r>
      <w:r w:rsidRPr="007E4DA1">
        <w:t>% większe wartości AUC</w:t>
      </w:r>
      <w:r w:rsidRPr="007E4DA1">
        <w:rPr>
          <w:vertAlign w:val="subscript"/>
        </w:rPr>
        <w:t>(0-</w:t>
      </w:r>
      <w:r w:rsidRPr="007E4DA1">
        <w:rPr>
          <w:vertAlign w:val="subscript"/>
        </w:rPr>
        <w:sym w:font="Symbol" w:char="F074"/>
      </w:r>
      <w:r w:rsidRPr="007E4DA1">
        <w:rPr>
          <w:vertAlign w:val="subscript"/>
        </w:rPr>
        <w:t>)</w:t>
      </w:r>
      <w:r w:rsidRPr="007E4DA1">
        <w:t xml:space="preserve"> eltrombopagu w osoczu niż mężczyźni, bez uwzględnienia korekty na różnicę masy ciała.</w:t>
      </w:r>
    </w:p>
    <w:p w14:paraId="3DFC49F5" w14:textId="4ED148AF" w:rsidR="00802FF6" w:rsidRPr="007E4DA1" w:rsidRDefault="00802FF6" w:rsidP="001A6584">
      <w:pPr>
        <w:tabs>
          <w:tab w:val="left" w:pos="142"/>
        </w:tabs>
        <w:ind w:left="0" w:firstLine="0"/>
        <w:rPr>
          <w:szCs w:val="22"/>
        </w:rPr>
      </w:pPr>
    </w:p>
    <w:p w14:paraId="12AE0EE1" w14:textId="77777777" w:rsidR="00802FF6" w:rsidRPr="007E4DA1" w:rsidRDefault="00802FF6" w:rsidP="001A6584">
      <w:pPr>
        <w:tabs>
          <w:tab w:val="left" w:pos="142"/>
        </w:tabs>
        <w:ind w:left="0" w:firstLine="0"/>
      </w:pPr>
      <w:r w:rsidRPr="007E4DA1">
        <w:t>Wpływ płci na farmakokinetykę eltrombopagu oceniano metodą populacyjnej analizy farmakokinetycznej w grupie 635 pacjentów zakażonych wirusem WZW C (w tym 260 kobiet). Na podstawie oszacowań z tego modelu, wartości AUC</w:t>
      </w:r>
      <w:r w:rsidRPr="007E4DA1">
        <w:rPr>
          <w:vertAlign w:val="subscript"/>
        </w:rPr>
        <w:t>(0-</w:t>
      </w:r>
      <w:r w:rsidRPr="007E4DA1">
        <w:rPr>
          <w:vertAlign w:val="subscript"/>
        </w:rPr>
        <w:sym w:font="Symbol" w:char="F074"/>
      </w:r>
      <w:r w:rsidRPr="007E4DA1">
        <w:rPr>
          <w:vertAlign w:val="subscript"/>
        </w:rPr>
        <w:t>)</w:t>
      </w:r>
      <w:r w:rsidRPr="007E4DA1">
        <w:t xml:space="preserve"> dla eltrombopagu w osoczu u kobiet zakażonych wirusem WZW C były o około 41% większe niż u mężczyzn.</w:t>
      </w:r>
    </w:p>
    <w:p w14:paraId="3A7D7D2B" w14:textId="77777777" w:rsidR="00802FF6" w:rsidRPr="007E4DA1" w:rsidRDefault="00802FF6" w:rsidP="001A6584">
      <w:pPr>
        <w:tabs>
          <w:tab w:val="left" w:pos="142"/>
        </w:tabs>
        <w:ind w:left="0" w:firstLine="0"/>
      </w:pPr>
    </w:p>
    <w:p w14:paraId="6C0E5990" w14:textId="77777777" w:rsidR="00041A08" w:rsidRPr="00041A08" w:rsidRDefault="00802FF6" w:rsidP="001A6584">
      <w:pPr>
        <w:keepNext/>
        <w:tabs>
          <w:tab w:val="left" w:pos="142"/>
        </w:tabs>
        <w:ind w:left="0" w:firstLine="0"/>
      </w:pPr>
      <w:r w:rsidRPr="007E4DA1">
        <w:rPr>
          <w:i/>
          <w:u w:val="single"/>
        </w:rPr>
        <w:t>Wiek</w:t>
      </w:r>
    </w:p>
    <w:p w14:paraId="22F345F7" w14:textId="576C2D2F" w:rsidR="00802FF6" w:rsidRPr="007E4DA1" w:rsidRDefault="00802FF6" w:rsidP="001A6584">
      <w:pPr>
        <w:keepNext/>
        <w:tabs>
          <w:tab w:val="left" w:pos="142"/>
        </w:tabs>
        <w:ind w:left="0" w:firstLine="0"/>
      </w:pPr>
    </w:p>
    <w:p w14:paraId="69CFCECC" w14:textId="77777777" w:rsidR="00802FF6" w:rsidRPr="007E4DA1" w:rsidRDefault="00802FF6" w:rsidP="001A6584">
      <w:pPr>
        <w:tabs>
          <w:tab w:val="left" w:pos="142"/>
        </w:tabs>
        <w:ind w:left="0" w:firstLine="0"/>
      </w:pPr>
      <w:r w:rsidRPr="007E4DA1">
        <w:t>Wpływ wieku na farmakokinetykę eltrombopagu oceniano metodą populacyjnej analizy farmakokinetycznej w grupie 28 zdrowych ochotników, 673 pacjentów zakażonych wirusem WZW C oraz 41 pacjentów z przewlekłą chorobą wątroby o innej etiologii, w wieku od 19 do 74 roku życia. Nie ma dostępnych danych na temat PK eltrombopagu u pacjentów w wieku ≥75 lat. Na podstawie oszacowań z tego modelu, wartości AUC</w:t>
      </w:r>
      <w:r w:rsidRPr="007E4DA1">
        <w:rPr>
          <w:vertAlign w:val="subscript"/>
        </w:rPr>
        <w:t>(0-</w:t>
      </w:r>
      <w:r w:rsidRPr="007E4DA1">
        <w:rPr>
          <w:rFonts w:ascii="Symbol" w:hAnsi="Symbol"/>
          <w:vertAlign w:val="subscript"/>
        </w:rPr>
        <w:t></w:t>
      </w:r>
      <w:r w:rsidRPr="007E4DA1">
        <w:rPr>
          <w:vertAlign w:val="subscript"/>
        </w:rPr>
        <w:t>)</w:t>
      </w:r>
      <w:r w:rsidRPr="007E4DA1">
        <w:t xml:space="preserve"> dla eltrombopagu w osoczu u pacjentów w podeszłym wieku (≥65 lat) były o około 41% większe niż u pacjentów młodszych (patrz punkt 4.2).</w:t>
      </w:r>
    </w:p>
    <w:p w14:paraId="643D5F8B" w14:textId="77777777" w:rsidR="00802FF6" w:rsidRPr="007E4DA1" w:rsidRDefault="00802FF6" w:rsidP="001A6584">
      <w:pPr>
        <w:tabs>
          <w:tab w:val="left" w:pos="142"/>
        </w:tabs>
        <w:ind w:left="0" w:firstLine="0"/>
        <w:rPr>
          <w:szCs w:val="22"/>
        </w:rPr>
      </w:pPr>
    </w:p>
    <w:p w14:paraId="6B4005B3" w14:textId="77777777" w:rsidR="00041A08" w:rsidRPr="00041A08" w:rsidRDefault="00EC4762" w:rsidP="001A6584">
      <w:pPr>
        <w:keepNext/>
        <w:tabs>
          <w:tab w:val="left" w:pos="142"/>
        </w:tabs>
        <w:ind w:left="0" w:firstLine="0"/>
        <w:rPr>
          <w:szCs w:val="22"/>
        </w:rPr>
      </w:pPr>
      <w:r w:rsidRPr="007E4DA1">
        <w:rPr>
          <w:i/>
          <w:szCs w:val="22"/>
          <w:u w:val="single"/>
        </w:rPr>
        <w:t>Dzieci i młodzież (w wieku od 1 do 17</w:t>
      </w:r>
      <w:r w:rsidR="005835DF" w:rsidRPr="007E4DA1">
        <w:rPr>
          <w:i/>
          <w:szCs w:val="22"/>
          <w:u w:val="single"/>
        </w:rPr>
        <w:t> </w:t>
      </w:r>
      <w:r w:rsidRPr="007E4DA1">
        <w:rPr>
          <w:i/>
          <w:szCs w:val="22"/>
          <w:u w:val="single"/>
        </w:rPr>
        <w:t>lat)</w:t>
      </w:r>
    </w:p>
    <w:p w14:paraId="5D901E7A" w14:textId="7D8ED2F5" w:rsidR="00EC4762" w:rsidRPr="007E4DA1" w:rsidRDefault="00EC4762" w:rsidP="001A6584">
      <w:pPr>
        <w:keepNext/>
        <w:tabs>
          <w:tab w:val="left" w:pos="142"/>
        </w:tabs>
        <w:ind w:left="0" w:firstLine="0"/>
        <w:rPr>
          <w:szCs w:val="22"/>
        </w:rPr>
      </w:pPr>
    </w:p>
    <w:p w14:paraId="7CEE1D70" w14:textId="77777777" w:rsidR="00EC4762" w:rsidRPr="007E4DA1" w:rsidRDefault="00EC4762" w:rsidP="001A6584">
      <w:pPr>
        <w:tabs>
          <w:tab w:val="left" w:pos="142"/>
        </w:tabs>
        <w:ind w:left="0" w:firstLine="0"/>
        <w:rPr>
          <w:szCs w:val="22"/>
        </w:rPr>
      </w:pPr>
      <w:r w:rsidRPr="007E4DA1">
        <w:rPr>
          <w:szCs w:val="22"/>
        </w:rPr>
        <w:t>Farmakokinetykę eltrombopagu oceniano u 168</w:t>
      </w:r>
      <w:r w:rsidR="00A65CFC" w:rsidRPr="007E4DA1">
        <w:rPr>
          <w:szCs w:val="22"/>
        </w:rPr>
        <w:t> </w:t>
      </w:r>
      <w:r w:rsidRPr="007E4DA1">
        <w:rPr>
          <w:szCs w:val="22"/>
        </w:rPr>
        <w:t xml:space="preserve">dzieci i młodzieży z </w:t>
      </w:r>
      <w:r w:rsidR="00DF16F2" w:rsidRPr="007E4DA1">
        <w:rPr>
          <w:szCs w:val="22"/>
        </w:rPr>
        <w:t xml:space="preserve">pierwotną </w:t>
      </w:r>
      <w:r w:rsidRPr="007E4DA1">
        <w:rPr>
          <w:szCs w:val="22"/>
        </w:rPr>
        <w:t xml:space="preserve">małopłytkowością immunologiczną, którym lek podawano raz na dobę w trakcie dwóch badań, TRA108062/PETIT i TRA115450/PETIT-2. Pozorny klirens eltrombopagu z osocza po doustnym podaniu leku (CL/F) wzrastał wraz ze wzrostem masy ciała. Wpływ rasy i płci pacjenta na szacunkowe wartości CL/F eltrombopagu z osocza był zgodny pomiędzy populacją dzieci i młodzieży a populacją pacjentów dorosłych. U dzieci i młodzieży pochodzenia </w:t>
      </w:r>
      <w:r w:rsidR="00C81660" w:rsidRPr="007E4DA1">
        <w:rPr>
          <w:szCs w:val="22"/>
        </w:rPr>
        <w:t>wschodnio-/południowo</w:t>
      </w:r>
      <w:r w:rsidR="004A1007" w:rsidRPr="007E4DA1">
        <w:rPr>
          <w:szCs w:val="22"/>
        </w:rPr>
        <w:t>-</w:t>
      </w:r>
      <w:r w:rsidR="00C81660" w:rsidRPr="007E4DA1">
        <w:rPr>
          <w:szCs w:val="22"/>
        </w:rPr>
        <w:t>wschodnio</w:t>
      </w:r>
      <w:r w:rsidRPr="007E4DA1">
        <w:rPr>
          <w:szCs w:val="22"/>
        </w:rPr>
        <w:t xml:space="preserve">azjatyckiego </w:t>
      </w:r>
      <w:r w:rsidR="00F734B1" w:rsidRPr="007E4DA1">
        <w:rPr>
          <w:szCs w:val="22"/>
        </w:rPr>
        <w:t>z</w:t>
      </w:r>
      <w:r w:rsidR="009559AD" w:rsidRPr="007E4DA1">
        <w:rPr>
          <w:szCs w:val="22"/>
        </w:rPr>
        <w:t xml:space="preserve"> pierwotną</w:t>
      </w:r>
      <w:r w:rsidR="00466A69" w:rsidRPr="007E4DA1">
        <w:rPr>
          <w:szCs w:val="22"/>
        </w:rPr>
        <w:t xml:space="preserve"> </w:t>
      </w:r>
      <w:r w:rsidRPr="007E4DA1">
        <w:rPr>
          <w:szCs w:val="22"/>
        </w:rPr>
        <w:t>małopłytkowoś</w:t>
      </w:r>
      <w:r w:rsidR="00F734B1" w:rsidRPr="007E4DA1">
        <w:rPr>
          <w:szCs w:val="22"/>
        </w:rPr>
        <w:t>cią</w:t>
      </w:r>
      <w:r w:rsidRPr="007E4DA1">
        <w:rPr>
          <w:szCs w:val="22"/>
        </w:rPr>
        <w:t xml:space="preserve"> immunologiczną wartości</w:t>
      </w:r>
      <w:r w:rsidR="005548A3" w:rsidRPr="007E4DA1">
        <w:rPr>
          <w:szCs w:val="22"/>
        </w:rPr>
        <w:t> </w:t>
      </w:r>
      <w:r w:rsidRPr="007E4DA1">
        <w:t>AUC</w:t>
      </w:r>
      <w:r w:rsidRPr="007E4DA1">
        <w:rPr>
          <w:vertAlign w:val="subscript"/>
        </w:rPr>
        <w:t>(0-</w:t>
      </w:r>
      <w:r w:rsidRPr="007E4DA1">
        <w:rPr>
          <w:vertAlign w:val="subscript"/>
        </w:rPr>
        <w:sym w:font="Symbol" w:char="F074"/>
      </w:r>
      <w:r w:rsidRPr="007E4DA1">
        <w:rPr>
          <w:vertAlign w:val="subscript"/>
        </w:rPr>
        <w:t>)</w:t>
      </w:r>
      <w:r w:rsidRPr="007E4DA1">
        <w:rPr>
          <w:szCs w:val="22"/>
        </w:rPr>
        <w:t xml:space="preserve"> eltrombopagu w osoczu były o około 43% większe niż u pacjentów pochodzenia nieazjatyckiego. U dziewcząt z </w:t>
      </w:r>
      <w:r w:rsidR="00C93C3C" w:rsidRPr="007E4DA1">
        <w:rPr>
          <w:szCs w:val="22"/>
        </w:rPr>
        <w:t xml:space="preserve">pierwotną </w:t>
      </w:r>
      <w:r w:rsidRPr="007E4DA1">
        <w:rPr>
          <w:szCs w:val="22"/>
        </w:rPr>
        <w:t>małopłytkowością immunologiczną wartości</w:t>
      </w:r>
      <w:r w:rsidR="005548A3" w:rsidRPr="007E4DA1">
        <w:rPr>
          <w:szCs w:val="22"/>
        </w:rPr>
        <w:t> </w:t>
      </w:r>
      <w:r w:rsidRPr="007E4DA1">
        <w:t>AUC</w:t>
      </w:r>
      <w:r w:rsidRPr="007E4DA1">
        <w:rPr>
          <w:vertAlign w:val="subscript"/>
        </w:rPr>
        <w:t>(0-</w:t>
      </w:r>
      <w:r w:rsidRPr="007E4DA1">
        <w:rPr>
          <w:vertAlign w:val="subscript"/>
        </w:rPr>
        <w:sym w:font="Symbol" w:char="F074"/>
      </w:r>
      <w:r w:rsidRPr="007E4DA1">
        <w:rPr>
          <w:vertAlign w:val="subscript"/>
        </w:rPr>
        <w:t>)</w:t>
      </w:r>
      <w:r w:rsidRPr="007E4DA1">
        <w:rPr>
          <w:szCs w:val="22"/>
        </w:rPr>
        <w:t xml:space="preserve"> eltrombopagu w osoczu były o około 25% większe niż u chłopców.</w:t>
      </w:r>
    </w:p>
    <w:p w14:paraId="55EC39D6" w14:textId="77777777" w:rsidR="00EC4762" w:rsidRPr="007E4DA1" w:rsidRDefault="00EC4762" w:rsidP="001A6584">
      <w:pPr>
        <w:tabs>
          <w:tab w:val="left" w:pos="142"/>
        </w:tabs>
        <w:ind w:left="0" w:firstLine="0"/>
        <w:rPr>
          <w:szCs w:val="22"/>
        </w:rPr>
      </w:pPr>
    </w:p>
    <w:p w14:paraId="6273B329" w14:textId="389BA7E5" w:rsidR="00EC4762" w:rsidRPr="007E4DA1" w:rsidRDefault="00EC4762" w:rsidP="001A6584">
      <w:pPr>
        <w:tabs>
          <w:tab w:val="left" w:pos="142"/>
        </w:tabs>
        <w:ind w:left="0" w:firstLine="0"/>
        <w:rPr>
          <w:szCs w:val="22"/>
        </w:rPr>
      </w:pPr>
      <w:r w:rsidRPr="007E4DA1">
        <w:rPr>
          <w:szCs w:val="22"/>
        </w:rPr>
        <w:t xml:space="preserve">Parametry farmakokinetyczne eltrombopagu u dzieci i młodzieży z </w:t>
      </w:r>
      <w:r w:rsidR="00DF16F2" w:rsidRPr="007E4DA1">
        <w:rPr>
          <w:szCs w:val="22"/>
        </w:rPr>
        <w:t xml:space="preserve">pierwotną </w:t>
      </w:r>
      <w:r w:rsidRPr="007E4DA1">
        <w:rPr>
          <w:szCs w:val="22"/>
        </w:rPr>
        <w:t xml:space="preserve">małopłytkowością immunologiczną przedstawiono w </w:t>
      </w:r>
      <w:r w:rsidR="00C00A76">
        <w:rPr>
          <w:szCs w:val="22"/>
        </w:rPr>
        <w:t>t</w:t>
      </w:r>
      <w:r w:rsidRPr="007E4DA1">
        <w:rPr>
          <w:szCs w:val="22"/>
        </w:rPr>
        <w:t>abeli</w:t>
      </w:r>
      <w:r w:rsidR="009D50D5" w:rsidRPr="007E4DA1">
        <w:rPr>
          <w:szCs w:val="22"/>
        </w:rPr>
        <w:t> </w:t>
      </w:r>
      <w:r w:rsidR="001E6044">
        <w:rPr>
          <w:szCs w:val="22"/>
        </w:rPr>
        <w:t>14</w:t>
      </w:r>
      <w:r w:rsidRPr="007E4DA1">
        <w:rPr>
          <w:szCs w:val="22"/>
        </w:rPr>
        <w:t>.</w:t>
      </w:r>
    </w:p>
    <w:p w14:paraId="0BAD25BB" w14:textId="77777777" w:rsidR="00EC4762" w:rsidRPr="007E4DA1" w:rsidRDefault="00EC4762" w:rsidP="001A6584">
      <w:pPr>
        <w:tabs>
          <w:tab w:val="left" w:pos="142"/>
        </w:tabs>
        <w:ind w:left="0" w:firstLine="0"/>
        <w:rPr>
          <w:szCs w:val="22"/>
        </w:rPr>
      </w:pPr>
    </w:p>
    <w:p w14:paraId="0C61626D" w14:textId="4684D6C8" w:rsidR="00041A08" w:rsidRPr="00041A08" w:rsidRDefault="00EC4762" w:rsidP="001A6584">
      <w:pPr>
        <w:keepNext/>
        <w:tabs>
          <w:tab w:val="left" w:pos="1134"/>
        </w:tabs>
        <w:ind w:left="1134" w:hanging="1134"/>
        <w:rPr>
          <w:szCs w:val="22"/>
        </w:rPr>
      </w:pPr>
      <w:r w:rsidRPr="007E4DA1">
        <w:rPr>
          <w:b/>
          <w:szCs w:val="22"/>
        </w:rPr>
        <w:lastRenderedPageBreak/>
        <w:t>Tabela</w:t>
      </w:r>
      <w:r w:rsidR="009D50D5" w:rsidRPr="007E4DA1">
        <w:rPr>
          <w:b/>
          <w:szCs w:val="22"/>
        </w:rPr>
        <w:t> </w:t>
      </w:r>
      <w:r w:rsidR="001E6044">
        <w:rPr>
          <w:b/>
          <w:szCs w:val="22"/>
        </w:rPr>
        <w:t>14</w:t>
      </w:r>
      <w:r w:rsidR="00916ADC" w:rsidRPr="007E4DA1">
        <w:rPr>
          <w:b/>
          <w:szCs w:val="22"/>
        </w:rPr>
        <w:tab/>
      </w:r>
      <w:r w:rsidRPr="007E4DA1">
        <w:rPr>
          <w:b/>
          <w:szCs w:val="22"/>
        </w:rPr>
        <w:t xml:space="preserve">Średnia geometryczna (95% CI) parametrów farmakokinetycznych eltrombopagu w osoczu w stanie stacjonarnym u dzieci i młodzieży z </w:t>
      </w:r>
      <w:r w:rsidR="00F6292B" w:rsidRPr="007E4DA1">
        <w:rPr>
          <w:b/>
          <w:szCs w:val="22"/>
        </w:rPr>
        <w:t xml:space="preserve">pierwotną </w:t>
      </w:r>
      <w:r w:rsidRPr="007E4DA1">
        <w:rPr>
          <w:b/>
          <w:szCs w:val="22"/>
        </w:rPr>
        <w:t>małopłytkowością immunologiczną (schemat dawkowania 50</w:t>
      </w:r>
      <w:r w:rsidR="005548A3" w:rsidRPr="007E4DA1">
        <w:rPr>
          <w:b/>
          <w:szCs w:val="22"/>
        </w:rPr>
        <w:t> </w:t>
      </w:r>
      <w:r w:rsidRPr="007E4DA1">
        <w:rPr>
          <w:b/>
          <w:szCs w:val="22"/>
        </w:rPr>
        <w:t>mg raz na dobę)</w:t>
      </w:r>
    </w:p>
    <w:p w14:paraId="20A078CC" w14:textId="6457839F" w:rsidR="00EC4762" w:rsidRPr="007E4DA1" w:rsidRDefault="00EC4762" w:rsidP="001A6584">
      <w:pPr>
        <w:keepNext/>
        <w:tabs>
          <w:tab w:val="left" w:pos="567"/>
        </w:tabs>
        <w:ind w:left="0" w:firstLine="0"/>
        <w:rPr>
          <w:szCs w:val="20"/>
          <w:lang w:eastAsia="en-US"/>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2"/>
        <w:gridCol w:w="2759"/>
        <w:gridCol w:w="2759"/>
      </w:tblGrid>
      <w:tr w:rsidR="00EC4762" w:rsidRPr="007E4DA1" w14:paraId="28014B69" w14:textId="77777777" w:rsidTr="00EE3105">
        <w:trPr>
          <w:cantSplit/>
        </w:trPr>
        <w:tc>
          <w:tcPr>
            <w:tcW w:w="1810" w:type="pct"/>
          </w:tcPr>
          <w:p w14:paraId="4746FEDA" w14:textId="77777777" w:rsidR="00EC4762" w:rsidRPr="007E4DA1" w:rsidRDefault="00EC4762" w:rsidP="001A6584">
            <w:pPr>
              <w:keepNext/>
              <w:ind w:left="0" w:firstLine="0"/>
              <w:rPr>
                <w:b/>
                <w:szCs w:val="22"/>
                <w:lang w:eastAsia="en-GB"/>
              </w:rPr>
            </w:pPr>
            <w:r w:rsidRPr="007E4DA1">
              <w:rPr>
                <w:b/>
                <w:szCs w:val="22"/>
                <w:lang w:eastAsia="en-GB"/>
              </w:rPr>
              <w:t>Wiek</w:t>
            </w:r>
          </w:p>
        </w:tc>
        <w:tc>
          <w:tcPr>
            <w:tcW w:w="1595" w:type="pct"/>
          </w:tcPr>
          <w:p w14:paraId="0037BC47" w14:textId="77777777" w:rsidR="00041A08" w:rsidRPr="00041A08" w:rsidRDefault="00EC4762" w:rsidP="001A6584">
            <w:pPr>
              <w:keepNext/>
              <w:ind w:left="0" w:firstLine="0"/>
              <w:jc w:val="center"/>
              <w:rPr>
                <w:szCs w:val="22"/>
                <w:vertAlign w:val="subscript"/>
                <w:lang w:eastAsia="en-GB"/>
              </w:rPr>
            </w:pPr>
            <w:r w:rsidRPr="007E4DA1">
              <w:rPr>
                <w:b/>
                <w:szCs w:val="22"/>
                <w:lang w:eastAsia="en-GB"/>
              </w:rPr>
              <w:t>C</w:t>
            </w:r>
            <w:r w:rsidRPr="007E4DA1">
              <w:rPr>
                <w:b/>
                <w:szCs w:val="22"/>
                <w:vertAlign w:val="subscript"/>
                <w:lang w:eastAsia="en-GB"/>
              </w:rPr>
              <w:t>max</w:t>
            </w:r>
          </w:p>
          <w:p w14:paraId="2119ED1B" w14:textId="0F09A626" w:rsidR="00EC4762" w:rsidRPr="007E4DA1" w:rsidRDefault="00EC4762" w:rsidP="001A6584">
            <w:pPr>
              <w:keepNext/>
              <w:ind w:left="0" w:firstLine="0"/>
              <w:jc w:val="center"/>
              <w:rPr>
                <w:b/>
                <w:szCs w:val="22"/>
                <w:lang w:eastAsia="en-GB"/>
              </w:rPr>
            </w:pPr>
            <w:r w:rsidRPr="007E4DA1">
              <w:rPr>
                <w:b/>
                <w:szCs w:val="22"/>
                <w:lang w:eastAsia="en-GB"/>
              </w:rPr>
              <w:t>(µg/ml)</w:t>
            </w:r>
          </w:p>
        </w:tc>
        <w:tc>
          <w:tcPr>
            <w:tcW w:w="1595" w:type="pct"/>
          </w:tcPr>
          <w:p w14:paraId="7CA61B48" w14:textId="77777777" w:rsidR="00041A08" w:rsidRPr="00041A08" w:rsidRDefault="00EC4762" w:rsidP="001A6584">
            <w:pPr>
              <w:keepNext/>
              <w:ind w:left="0" w:firstLine="0"/>
              <w:jc w:val="center"/>
              <w:rPr>
                <w:szCs w:val="22"/>
                <w:vertAlign w:val="subscript"/>
                <w:lang w:eastAsia="en-GB"/>
              </w:rPr>
            </w:pPr>
            <w:r w:rsidRPr="007E4DA1">
              <w:rPr>
                <w:b/>
                <w:szCs w:val="22"/>
                <w:lang w:eastAsia="en-GB"/>
              </w:rPr>
              <w:t>AUC</w:t>
            </w:r>
            <w:r w:rsidRPr="007E4DA1">
              <w:rPr>
                <w:b/>
                <w:szCs w:val="22"/>
                <w:vertAlign w:val="subscript"/>
                <w:lang w:eastAsia="en-GB"/>
              </w:rPr>
              <w:t>(0-</w:t>
            </w:r>
            <w:r w:rsidRPr="007E4DA1">
              <w:rPr>
                <w:b/>
                <w:szCs w:val="22"/>
                <w:vertAlign w:val="subscript"/>
                <w:lang w:eastAsia="en-GB"/>
              </w:rPr>
              <w:sym w:font="Symbol" w:char="F074"/>
            </w:r>
            <w:r w:rsidRPr="007E4DA1">
              <w:rPr>
                <w:b/>
                <w:szCs w:val="22"/>
                <w:vertAlign w:val="subscript"/>
                <w:lang w:eastAsia="en-GB"/>
              </w:rPr>
              <w:t>)</w:t>
            </w:r>
          </w:p>
          <w:p w14:paraId="610C17FE" w14:textId="753E934E" w:rsidR="00EC4762" w:rsidRPr="007E4DA1" w:rsidRDefault="00EC4762" w:rsidP="001A6584">
            <w:pPr>
              <w:keepNext/>
              <w:ind w:left="0" w:firstLine="0"/>
              <w:jc w:val="center"/>
              <w:rPr>
                <w:b/>
                <w:szCs w:val="22"/>
                <w:lang w:eastAsia="en-GB"/>
              </w:rPr>
            </w:pPr>
            <w:r w:rsidRPr="007E4DA1">
              <w:rPr>
                <w:b/>
                <w:szCs w:val="22"/>
                <w:lang w:eastAsia="en-GB"/>
              </w:rPr>
              <w:t>(µg.hr/ml)</w:t>
            </w:r>
          </w:p>
        </w:tc>
      </w:tr>
      <w:tr w:rsidR="00EC4762" w:rsidRPr="007E4DA1" w14:paraId="02FA650E" w14:textId="77777777" w:rsidTr="00EE3105">
        <w:trPr>
          <w:cantSplit/>
        </w:trPr>
        <w:tc>
          <w:tcPr>
            <w:tcW w:w="1810" w:type="pct"/>
          </w:tcPr>
          <w:p w14:paraId="54B6B058" w14:textId="77777777" w:rsidR="00EC4762" w:rsidRPr="007E4DA1" w:rsidRDefault="00EC4762" w:rsidP="001A6584">
            <w:pPr>
              <w:keepNext/>
              <w:ind w:left="0" w:firstLine="0"/>
              <w:rPr>
                <w:szCs w:val="22"/>
                <w:lang w:eastAsia="en-GB"/>
              </w:rPr>
            </w:pPr>
            <w:r w:rsidRPr="007E4DA1">
              <w:rPr>
                <w:szCs w:val="22"/>
                <w:lang w:eastAsia="en-GB"/>
              </w:rPr>
              <w:t>12 do 17 lat (n=62)</w:t>
            </w:r>
          </w:p>
        </w:tc>
        <w:tc>
          <w:tcPr>
            <w:tcW w:w="1595" w:type="pct"/>
            <w:shd w:val="clear" w:color="auto" w:fill="auto"/>
          </w:tcPr>
          <w:p w14:paraId="7F97F875" w14:textId="77777777" w:rsidR="00EC4762" w:rsidRPr="007E4DA1" w:rsidRDefault="00EC4762" w:rsidP="001A6584">
            <w:pPr>
              <w:keepNext/>
              <w:ind w:left="0" w:firstLine="0"/>
              <w:jc w:val="center"/>
              <w:rPr>
                <w:szCs w:val="22"/>
                <w:lang w:eastAsia="en-GB"/>
              </w:rPr>
            </w:pPr>
            <w:r w:rsidRPr="007E4DA1">
              <w:rPr>
                <w:szCs w:val="22"/>
                <w:lang w:eastAsia="en-GB"/>
              </w:rPr>
              <w:t>6,80</w:t>
            </w:r>
          </w:p>
          <w:p w14:paraId="04238E34" w14:textId="77777777" w:rsidR="00EC4762" w:rsidRPr="007E4DA1" w:rsidRDefault="00EC4762" w:rsidP="001A6584">
            <w:pPr>
              <w:keepNext/>
              <w:ind w:left="0" w:firstLine="0"/>
              <w:jc w:val="center"/>
              <w:rPr>
                <w:szCs w:val="22"/>
                <w:lang w:eastAsia="en-GB"/>
              </w:rPr>
            </w:pPr>
            <w:r w:rsidRPr="007E4DA1">
              <w:rPr>
                <w:szCs w:val="22"/>
                <w:lang w:eastAsia="en-GB"/>
              </w:rPr>
              <w:t>(6,17; 7,50)</w:t>
            </w:r>
          </w:p>
        </w:tc>
        <w:tc>
          <w:tcPr>
            <w:tcW w:w="1595" w:type="pct"/>
            <w:shd w:val="clear" w:color="auto" w:fill="auto"/>
          </w:tcPr>
          <w:p w14:paraId="6313115E" w14:textId="77777777" w:rsidR="00EC4762" w:rsidRPr="007E4DA1" w:rsidRDefault="00EC4762" w:rsidP="001A6584">
            <w:pPr>
              <w:keepNext/>
              <w:ind w:left="0" w:firstLine="0"/>
              <w:jc w:val="center"/>
              <w:rPr>
                <w:szCs w:val="22"/>
                <w:lang w:eastAsia="en-GB"/>
              </w:rPr>
            </w:pPr>
            <w:r w:rsidRPr="007E4DA1">
              <w:rPr>
                <w:szCs w:val="22"/>
                <w:lang w:eastAsia="en-GB"/>
              </w:rPr>
              <w:t>103</w:t>
            </w:r>
          </w:p>
          <w:p w14:paraId="6D8E30FE" w14:textId="77777777" w:rsidR="00EC4762" w:rsidRPr="007E4DA1" w:rsidRDefault="00EC4762" w:rsidP="001A6584">
            <w:pPr>
              <w:keepNext/>
              <w:ind w:left="0" w:firstLine="0"/>
              <w:jc w:val="center"/>
              <w:rPr>
                <w:szCs w:val="22"/>
                <w:lang w:eastAsia="en-GB"/>
              </w:rPr>
            </w:pPr>
            <w:r w:rsidRPr="007E4DA1">
              <w:rPr>
                <w:szCs w:val="22"/>
                <w:lang w:eastAsia="en-GB"/>
              </w:rPr>
              <w:t>(91,1; 116)</w:t>
            </w:r>
          </w:p>
        </w:tc>
      </w:tr>
      <w:tr w:rsidR="00EC4762" w:rsidRPr="007E4DA1" w14:paraId="3B514CA8" w14:textId="77777777" w:rsidTr="00EE3105">
        <w:trPr>
          <w:cantSplit/>
        </w:trPr>
        <w:tc>
          <w:tcPr>
            <w:tcW w:w="1810" w:type="pct"/>
          </w:tcPr>
          <w:p w14:paraId="5B038966" w14:textId="77777777" w:rsidR="00EC4762" w:rsidRPr="007E4DA1" w:rsidRDefault="00EC4762" w:rsidP="001A6584">
            <w:pPr>
              <w:keepNext/>
              <w:ind w:left="0" w:firstLine="0"/>
              <w:rPr>
                <w:szCs w:val="22"/>
                <w:lang w:eastAsia="en-GB"/>
              </w:rPr>
            </w:pPr>
            <w:r w:rsidRPr="007E4DA1">
              <w:rPr>
                <w:szCs w:val="22"/>
                <w:lang w:eastAsia="en-GB"/>
              </w:rPr>
              <w:t>6 do 11 lat (n=68)</w:t>
            </w:r>
          </w:p>
        </w:tc>
        <w:tc>
          <w:tcPr>
            <w:tcW w:w="1595" w:type="pct"/>
            <w:shd w:val="clear" w:color="auto" w:fill="auto"/>
          </w:tcPr>
          <w:p w14:paraId="31BAFA8E" w14:textId="77777777" w:rsidR="00EC4762" w:rsidRPr="007E4DA1" w:rsidRDefault="00EC4762" w:rsidP="001A6584">
            <w:pPr>
              <w:keepNext/>
              <w:ind w:left="0" w:firstLine="0"/>
              <w:jc w:val="center"/>
              <w:rPr>
                <w:szCs w:val="22"/>
                <w:lang w:eastAsia="en-GB"/>
              </w:rPr>
            </w:pPr>
            <w:r w:rsidRPr="007E4DA1">
              <w:rPr>
                <w:szCs w:val="22"/>
                <w:lang w:eastAsia="en-GB"/>
              </w:rPr>
              <w:t>10,3</w:t>
            </w:r>
          </w:p>
          <w:p w14:paraId="6D2AE4A9" w14:textId="77777777" w:rsidR="00EC4762" w:rsidRPr="007E4DA1" w:rsidRDefault="00EC4762" w:rsidP="001A6584">
            <w:pPr>
              <w:keepNext/>
              <w:ind w:left="0" w:firstLine="0"/>
              <w:jc w:val="center"/>
              <w:rPr>
                <w:szCs w:val="22"/>
                <w:lang w:eastAsia="en-GB"/>
              </w:rPr>
            </w:pPr>
            <w:r w:rsidRPr="007E4DA1">
              <w:rPr>
                <w:szCs w:val="22"/>
                <w:lang w:eastAsia="en-GB"/>
              </w:rPr>
              <w:t>(9,42; 11,2)</w:t>
            </w:r>
          </w:p>
        </w:tc>
        <w:tc>
          <w:tcPr>
            <w:tcW w:w="1595" w:type="pct"/>
            <w:shd w:val="clear" w:color="auto" w:fill="auto"/>
          </w:tcPr>
          <w:p w14:paraId="219327C0" w14:textId="77777777" w:rsidR="00EC4762" w:rsidRPr="007E4DA1" w:rsidRDefault="00EC4762" w:rsidP="001A6584">
            <w:pPr>
              <w:keepNext/>
              <w:ind w:left="0" w:firstLine="0"/>
              <w:jc w:val="center"/>
              <w:rPr>
                <w:szCs w:val="22"/>
                <w:lang w:eastAsia="en-GB"/>
              </w:rPr>
            </w:pPr>
            <w:r w:rsidRPr="007E4DA1">
              <w:rPr>
                <w:szCs w:val="22"/>
                <w:lang w:eastAsia="en-GB"/>
              </w:rPr>
              <w:t>153</w:t>
            </w:r>
          </w:p>
          <w:p w14:paraId="2568AA12" w14:textId="77777777" w:rsidR="00EC4762" w:rsidRPr="007E4DA1" w:rsidRDefault="00EC4762" w:rsidP="001A6584">
            <w:pPr>
              <w:keepNext/>
              <w:ind w:left="0" w:firstLine="0"/>
              <w:jc w:val="center"/>
              <w:rPr>
                <w:szCs w:val="22"/>
                <w:lang w:eastAsia="en-GB"/>
              </w:rPr>
            </w:pPr>
            <w:r w:rsidRPr="007E4DA1">
              <w:rPr>
                <w:szCs w:val="22"/>
                <w:lang w:eastAsia="en-GB"/>
              </w:rPr>
              <w:t>(137, 170)</w:t>
            </w:r>
          </w:p>
        </w:tc>
      </w:tr>
      <w:tr w:rsidR="00EC4762" w:rsidRPr="007E4DA1" w14:paraId="7BFA3C2A" w14:textId="77777777" w:rsidTr="00EE3105">
        <w:trPr>
          <w:cantSplit/>
        </w:trPr>
        <w:tc>
          <w:tcPr>
            <w:tcW w:w="1810" w:type="pct"/>
          </w:tcPr>
          <w:p w14:paraId="38F693E3" w14:textId="77777777" w:rsidR="00EC4762" w:rsidRPr="007E4DA1" w:rsidRDefault="00EC4762" w:rsidP="001A6584">
            <w:pPr>
              <w:keepNext/>
              <w:ind w:left="0" w:firstLine="0"/>
              <w:rPr>
                <w:szCs w:val="22"/>
                <w:lang w:eastAsia="en-GB"/>
              </w:rPr>
            </w:pPr>
            <w:r w:rsidRPr="007E4DA1">
              <w:rPr>
                <w:szCs w:val="22"/>
                <w:lang w:eastAsia="en-GB"/>
              </w:rPr>
              <w:t>1 do 5 lat (n=38)</w:t>
            </w:r>
          </w:p>
        </w:tc>
        <w:tc>
          <w:tcPr>
            <w:tcW w:w="1595" w:type="pct"/>
          </w:tcPr>
          <w:p w14:paraId="6694308C" w14:textId="77777777" w:rsidR="00EC4762" w:rsidRPr="007E4DA1" w:rsidRDefault="00EC4762" w:rsidP="001A6584">
            <w:pPr>
              <w:keepNext/>
              <w:ind w:left="0" w:firstLine="0"/>
              <w:jc w:val="center"/>
              <w:rPr>
                <w:szCs w:val="22"/>
                <w:lang w:eastAsia="en-GB"/>
              </w:rPr>
            </w:pPr>
            <w:r w:rsidRPr="007E4DA1">
              <w:rPr>
                <w:szCs w:val="22"/>
                <w:lang w:eastAsia="en-GB"/>
              </w:rPr>
              <w:t>11,6</w:t>
            </w:r>
          </w:p>
          <w:p w14:paraId="5E1756D4" w14:textId="77777777" w:rsidR="00EC4762" w:rsidRPr="007E4DA1" w:rsidRDefault="00EC4762" w:rsidP="001A6584">
            <w:pPr>
              <w:keepNext/>
              <w:ind w:left="0" w:firstLine="0"/>
              <w:jc w:val="center"/>
              <w:rPr>
                <w:szCs w:val="22"/>
                <w:lang w:eastAsia="en-GB"/>
              </w:rPr>
            </w:pPr>
            <w:r w:rsidRPr="007E4DA1">
              <w:rPr>
                <w:szCs w:val="22"/>
                <w:lang w:eastAsia="en-GB"/>
              </w:rPr>
              <w:t>(10,4; 12,9)</w:t>
            </w:r>
          </w:p>
        </w:tc>
        <w:tc>
          <w:tcPr>
            <w:tcW w:w="1595" w:type="pct"/>
          </w:tcPr>
          <w:p w14:paraId="406AF967" w14:textId="77777777" w:rsidR="00EC4762" w:rsidRPr="007E4DA1" w:rsidRDefault="00EC4762" w:rsidP="001A6584">
            <w:pPr>
              <w:keepNext/>
              <w:ind w:left="0" w:firstLine="0"/>
              <w:jc w:val="center"/>
              <w:rPr>
                <w:szCs w:val="22"/>
                <w:lang w:eastAsia="en-GB"/>
              </w:rPr>
            </w:pPr>
            <w:r w:rsidRPr="007E4DA1">
              <w:rPr>
                <w:szCs w:val="22"/>
                <w:lang w:eastAsia="en-GB"/>
              </w:rPr>
              <w:t>162</w:t>
            </w:r>
          </w:p>
          <w:p w14:paraId="62EEBDF5" w14:textId="77777777" w:rsidR="00EC4762" w:rsidRPr="007E4DA1" w:rsidRDefault="00EC4762" w:rsidP="001A6584">
            <w:pPr>
              <w:keepNext/>
              <w:ind w:left="0" w:firstLine="0"/>
              <w:jc w:val="center"/>
              <w:rPr>
                <w:szCs w:val="22"/>
                <w:lang w:eastAsia="en-GB"/>
              </w:rPr>
            </w:pPr>
            <w:r w:rsidRPr="007E4DA1">
              <w:rPr>
                <w:szCs w:val="22"/>
                <w:lang w:eastAsia="en-GB"/>
              </w:rPr>
              <w:t>(139, 187)</w:t>
            </w:r>
          </w:p>
        </w:tc>
      </w:tr>
      <w:tr w:rsidR="00F76F7E" w:rsidRPr="007E4DA1" w14:paraId="7709335A" w14:textId="77777777" w:rsidTr="00F76F7E">
        <w:trPr>
          <w:cantSplit/>
        </w:trPr>
        <w:tc>
          <w:tcPr>
            <w:tcW w:w="5000" w:type="pct"/>
            <w:gridSpan w:val="3"/>
          </w:tcPr>
          <w:p w14:paraId="53EE463B" w14:textId="07215BC5" w:rsidR="001E6044" w:rsidRPr="00F76F7E" w:rsidRDefault="001E6044" w:rsidP="00F76F7E">
            <w:pPr>
              <w:keepNext/>
              <w:ind w:left="0" w:firstLine="0"/>
              <w:rPr>
                <w:sz w:val="20"/>
                <w:szCs w:val="20"/>
                <w:lang w:eastAsia="en-GB"/>
              </w:rPr>
            </w:pPr>
            <w:r w:rsidRPr="00F76F7E">
              <w:rPr>
                <w:sz w:val="20"/>
                <w:szCs w:val="20"/>
                <w:lang w:eastAsia="en-GB"/>
              </w:rPr>
              <w:t>Dane przedstawiono jako średnie geometryczne (95%CI). AUC</w:t>
            </w:r>
            <w:r w:rsidRPr="00F76F7E">
              <w:rPr>
                <w:sz w:val="20"/>
                <w:szCs w:val="20"/>
                <w:vertAlign w:val="subscript"/>
                <w:lang w:eastAsia="en-GB"/>
              </w:rPr>
              <w:t>(0-</w:t>
            </w:r>
            <w:r w:rsidRPr="00F76F7E">
              <w:rPr>
                <w:sz w:val="20"/>
                <w:szCs w:val="20"/>
                <w:vertAlign w:val="subscript"/>
                <w:lang w:eastAsia="en-GB"/>
              </w:rPr>
              <w:sym w:font="Symbol" w:char="F074"/>
            </w:r>
            <w:r w:rsidRPr="00F76F7E">
              <w:rPr>
                <w:sz w:val="20"/>
                <w:szCs w:val="20"/>
                <w:vertAlign w:val="subscript"/>
                <w:lang w:eastAsia="en-GB"/>
              </w:rPr>
              <w:t>)</w:t>
            </w:r>
            <w:r w:rsidRPr="00F76F7E">
              <w:rPr>
                <w:sz w:val="20"/>
                <w:szCs w:val="20"/>
                <w:lang w:eastAsia="en-GB"/>
              </w:rPr>
              <w:t xml:space="preserve"> i C</w:t>
            </w:r>
            <w:r w:rsidRPr="00F76F7E">
              <w:rPr>
                <w:sz w:val="20"/>
                <w:szCs w:val="20"/>
                <w:vertAlign w:val="subscript"/>
                <w:lang w:eastAsia="en-GB"/>
              </w:rPr>
              <w:t>max</w:t>
            </w:r>
            <w:r w:rsidRPr="00F76F7E">
              <w:rPr>
                <w:sz w:val="20"/>
                <w:szCs w:val="20"/>
                <w:lang w:eastAsia="en-GB"/>
              </w:rPr>
              <w:t xml:space="preserve"> podano na podstawie wartości szacunkowych post hoc PK populacyjnej.</w:t>
            </w:r>
          </w:p>
        </w:tc>
      </w:tr>
    </w:tbl>
    <w:p w14:paraId="24AF4228" w14:textId="77777777" w:rsidR="00EC4762" w:rsidRDefault="00EC4762" w:rsidP="001A6584">
      <w:pPr>
        <w:tabs>
          <w:tab w:val="left" w:pos="142"/>
        </w:tabs>
        <w:ind w:left="0" w:firstLine="0"/>
        <w:rPr>
          <w:szCs w:val="22"/>
        </w:rPr>
      </w:pPr>
    </w:p>
    <w:p w14:paraId="0399D17D" w14:textId="5C2BE75C" w:rsidR="00A2172A" w:rsidRDefault="001E6044" w:rsidP="00F76F7E">
      <w:pPr>
        <w:tabs>
          <w:tab w:val="left" w:pos="142"/>
        </w:tabs>
        <w:ind w:left="0" w:firstLine="0"/>
        <w:rPr>
          <w:szCs w:val="22"/>
        </w:rPr>
      </w:pPr>
      <w:bookmarkStart w:id="14" w:name="_Hlk192591928"/>
      <w:r>
        <w:rPr>
          <w:szCs w:val="22"/>
        </w:rPr>
        <w:t>Dane dotyczące farmakokinetyki eltrombopagu w osoczu zebrane w stanie stacjonarnym po podaniu największej dawki u poszczególnych pacjentów z grupy 38</w:t>
      </w:r>
      <w:r w:rsidR="00F76F7E">
        <w:rPr>
          <w:szCs w:val="22"/>
        </w:rPr>
        <w:t> </w:t>
      </w:r>
      <w:r>
        <w:rPr>
          <w:szCs w:val="22"/>
        </w:rPr>
        <w:t>dzieci i młodzieży otrzymujących pierwszą lini</w:t>
      </w:r>
      <w:r w:rsidR="00602227">
        <w:rPr>
          <w:szCs w:val="22"/>
        </w:rPr>
        <w:t>ę</w:t>
      </w:r>
      <w:r>
        <w:rPr>
          <w:szCs w:val="22"/>
        </w:rPr>
        <w:t xml:space="preserve"> (kohorta</w:t>
      </w:r>
      <w:r w:rsidR="00F76F7E">
        <w:rPr>
          <w:szCs w:val="22"/>
        </w:rPr>
        <w:t> </w:t>
      </w:r>
      <w:r>
        <w:rPr>
          <w:szCs w:val="22"/>
        </w:rPr>
        <w:t>B) lub drugą linię (kohorta</w:t>
      </w:r>
      <w:r w:rsidR="00F76F7E">
        <w:rPr>
          <w:szCs w:val="22"/>
        </w:rPr>
        <w:t> </w:t>
      </w:r>
      <w:r>
        <w:rPr>
          <w:szCs w:val="22"/>
        </w:rPr>
        <w:t xml:space="preserve">A) leczenia SAA włączonych do badania CETB115E2201 zostały przedstawione w </w:t>
      </w:r>
      <w:r w:rsidR="00C00A76">
        <w:rPr>
          <w:szCs w:val="22"/>
        </w:rPr>
        <w:t>t</w:t>
      </w:r>
      <w:r>
        <w:rPr>
          <w:szCs w:val="22"/>
        </w:rPr>
        <w:t xml:space="preserve">abeli 15 po skorygowaniu </w:t>
      </w:r>
      <w:r w:rsidR="00602227">
        <w:rPr>
          <w:szCs w:val="22"/>
        </w:rPr>
        <w:t>względem</w:t>
      </w:r>
      <w:r>
        <w:rPr>
          <w:szCs w:val="22"/>
        </w:rPr>
        <w:t xml:space="preserve"> często stosowanej dawki 50 mg.</w:t>
      </w:r>
      <w:r w:rsidR="00A2172A">
        <w:rPr>
          <w:szCs w:val="22"/>
        </w:rPr>
        <w:t xml:space="preserve"> Ogólnie klirens eltrombopagu był mniejszy, a ekspozycja na eltrombopag w osoczu była większa u pacjentów w wieku od </w:t>
      </w:r>
      <w:r w:rsidR="00D41D3F">
        <w:rPr>
          <w:szCs w:val="22"/>
        </w:rPr>
        <w:t>2</w:t>
      </w:r>
      <w:r w:rsidR="00A2172A">
        <w:rPr>
          <w:szCs w:val="22"/>
        </w:rPr>
        <w:t xml:space="preserve"> do &lt;6 lat w porównaniu z pacjentami w wieku od 6 do &lt;18 lat.</w:t>
      </w:r>
    </w:p>
    <w:p w14:paraId="3519FDC0" w14:textId="77777777" w:rsidR="00A2172A" w:rsidRDefault="00A2172A" w:rsidP="00F76F7E">
      <w:pPr>
        <w:tabs>
          <w:tab w:val="left" w:pos="142"/>
        </w:tabs>
        <w:ind w:left="0" w:firstLine="0"/>
        <w:rPr>
          <w:szCs w:val="22"/>
        </w:rPr>
      </w:pPr>
    </w:p>
    <w:p w14:paraId="18732B76" w14:textId="0BF68445" w:rsidR="001E6044" w:rsidRDefault="00A2172A" w:rsidP="00620070">
      <w:pPr>
        <w:keepNext/>
        <w:tabs>
          <w:tab w:val="left" w:pos="142"/>
        </w:tabs>
        <w:ind w:left="1134" w:hanging="1134"/>
        <w:rPr>
          <w:szCs w:val="22"/>
        </w:rPr>
      </w:pPr>
      <w:r>
        <w:rPr>
          <w:b/>
          <w:bCs/>
          <w:szCs w:val="22"/>
        </w:rPr>
        <w:t>Tabela</w:t>
      </w:r>
      <w:r w:rsidR="00620070">
        <w:rPr>
          <w:b/>
          <w:bCs/>
          <w:szCs w:val="22"/>
        </w:rPr>
        <w:t> </w:t>
      </w:r>
      <w:r>
        <w:rPr>
          <w:b/>
          <w:bCs/>
          <w:szCs w:val="22"/>
        </w:rPr>
        <w:t>15</w:t>
      </w:r>
      <w:r>
        <w:rPr>
          <w:b/>
          <w:bCs/>
          <w:szCs w:val="22"/>
        </w:rPr>
        <w:tab/>
        <w:t>Parametry farmakokinetyczne eltrombopagu w stanie stacjonarnym w badaniu CETB115E2201, skoryg</w:t>
      </w:r>
      <w:r w:rsidRPr="00A2172A">
        <w:rPr>
          <w:b/>
          <w:bCs/>
          <w:szCs w:val="22"/>
        </w:rPr>
        <w:t>owane do dawki 50 mg, po podaniu największej dawki</w:t>
      </w:r>
      <w:r w:rsidR="001E6044" w:rsidRPr="00F76F7E">
        <w:rPr>
          <w:b/>
          <w:bCs/>
          <w:szCs w:val="22"/>
        </w:rPr>
        <w:t xml:space="preserve"> </w:t>
      </w:r>
      <w:r w:rsidRPr="00F76F7E">
        <w:rPr>
          <w:b/>
          <w:bCs/>
          <w:szCs w:val="22"/>
        </w:rPr>
        <w:t xml:space="preserve">u </w:t>
      </w:r>
      <w:r w:rsidR="00602227">
        <w:rPr>
          <w:b/>
          <w:bCs/>
          <w:szCs w:val="22"/>
        </w:rPr>
        <w:t>poszczególnych</w:t>
      </w:r>
      <w:r w:rsidRPr="00F76F7E">
        <w:rPr>
          <w:b/>
          <w:bCs/>
          <w:szCs w:val="22"/>
        </w:rPr>
        <w:t xml:space="preserve"> pacjent</w:t>
      </w:r>
      <w:r w:rsidR="00602227">
        <w:rPr>
          <w:b/>
          <w:bCs/>
          <w:szCs w:val="22"/>
        </w:rPr>
        <w:t>ów</w:t>
      </w:r>
      <w:r w:rsidRPr="00F76F7E">
        <w:rPr>
          <w:b/>
          <w:bCs/>
          <w:szCs w:val="22"/>
        </w:rPr>
        <w:t xml:space="preserve"> (tydzień 12.</w:t>
      </w:r>
      <w:r w:rsidR="00620070">
        <w:rPr>
          <w:b/>
          <w:bCs/>
          <w:szCs w:val="22"/>
        </w:rPr>
        <w:t> </w:t>
      </w:r>
      <w:r>
        <w:rPr>
          <w:b/>
          <w:bCs/>
          <w:szCs w:val="22"/>
        </w:rPr>
        <w:t>l</w:t>
      </w:r>
      <w:r w:rsidRPr="00F76F7E">
        <w:rPr>
          <w:b/>
          <w:bCs/>
          <w:szCs w:val="22"/>
        </w:rPr>
        <w:t>ub później)</w:t>
      </w:r>
      <w:r>
        <w:rPr>
          <w:b/>
          <w:bCs/>
          <w:szCs w:val="22"/>
        </w:rPr>
        <w:t xml:space="preserve"> z uwzględnieniem kohorty i grupy wiekowej</w:t>
      </w:r>
    </w:p>
    <w:p w14:paraId="08A26EDD" w14:textId="77777777" w:rsidR="00A2172A" w:rsidRDefault="00A2172A" w:rsidP="001A6584">
      <w:pPr>
        <w:keepNext/>
        <w:tabs>
          <w:tab w:val="left" w:pos="142"/>
        </w:tabs>
        <w:ind w:left="0" w:firstLine="0"/>
        <w:rPr>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33"/>
        <w:gridCol w:w="1878"/>
        <w:gridCol w:w="2149"/>
        <w:gridCol w:w="1545"/>
        <w:gridCol w:w="1260"/>
      </w:tblGrid>
      <w:tr w:rsidR="00F76F7E" w:rsidRPr="00A465C0" w14:paraId="43430394" w14:textId="77777777" w:rsidTr="00E473D7">
        <w:trPr>
          <w:cantSplit/>
        </w:trPr>
        <w:tc>
          <w:tcPr>
            <w:tcW w:w="2233" w:type="dxa"/>
            <w:shd w:val="clear" w:color="auto" w:fill="FFFFFF"/>
            <w:tcMar>
              <w:left w:w="60" w:type="dxa"/>
              <w:right w:w="60" w:type="dxa"/>
            </w:tcMar>
          </w:tcPr>
          <w:p w14:paraId="7F0C9EB1" w14:textId="53DEFA30" w:rsidR="00A2172A" w:rsidRPr="00B05FE8" w:rsidRDefault="00A2172A" w:rsidP="00F76F7E">
            <w:pPr>
              <w:keepNext/>
              <w:adjustRightInd w:val="0"/>
              <w:rPr>
                <w:b/>
                <w:bCs/>
                <w:color w:val="000000"/>
                <w:szCs w:val="22"/>
              </w:rPr>
            </w:pPr>
            <w:r>
              <w:rPr>
                <w:b/>
                <w:bCs/>
                <w:color w:val="000000"/>
                <w:szCs w:val="22"/>
              </w:rPr>
              <w:t>Leczenie</w:t>
            </w:r>
          </w:p>
        </w:tc>
        <w:tc>
          <w:tcPr>
            <w:tcW w:w="1878" w:type="dxa"/>
            <w:shd w:val="clear" w:color="auto" w:fill="FFFFFF"/>
            <w:tcMar>
              <w:left w:w="60" w:type="dxa"/>
              <w:right w:w="60" w:type="dxa"/>
            </w:tcMar>
          </w:tcPr>
          <w:p w14:paraId="2230E876" w14:textId="5BB73FD4" w:rsidR="00A2172A" w:rsidRPr="00B05FE8" w:rsidRDefault="00A2172A" w:rsidP="00F76F7E">
            <w:pPr>
              <w:keepNext/>
              <w:adjustRightInd w:val="0"/>
              <w:jc w:val="center"/>
              <w:rPr>
                <w:b/>
                <w:bCs/>
                <w:color w:val="000000"/>
                <w:szCs w:val="22"/>
              </w:rPr>
            </w:pPr>
            <w:r>
              <w:rPr>
                <w:b/>
                <w:bCs/>
                <w:color w:val="000000"/>
                <w:szCs w:val="22"/>
              </w:rPr>
              <w:t>Grupa wiekowa</w:t>
            </w:r>
          </w:p>
        </w:tc>
        <w:tc>
          <w:tcPr>
            <w:tcW w:w="2149" w:type="dxa"/>
            <w:shd w:val="clear" w:color="auto" w:fill="FFFFFF"/>
            <w:tcMar>
              <w:left w:w="60" w:type="dxa"/>
              <w:right w:w="60" w:type="dxa"/>
            </w:tcMar>
          </w:tcPr>
          <w:p w14:paraId="4952A998" w14:textId="1D7D8BE5" w:rsidR="00A2172A" w:rsidRPr="00B05FE8" w:rsidRDefault="00A2172A" w:rsidP="00F76F7E">
            <w:pPr>
              <w:keepNext/>
              <w:adjustRightInd w:val="0"/>
              <w:jc w:val="center"/>
              <w:rPr>
                <w:b/>
                <w:bCs/>
                <w:color w:val="000000"/>
                <w:szCs w:val="22"/>
              </w:rPr>
            </w:pPr>
            <w:r>
              <w:rPr>
                <w:b/>
                <w:bCs/>
                <w:color w:val="000000"/>
                <w:szCs w:val="22"/>
              </w:rPr>
              <w:t>Wartość statystyczna</w:t>
            </w:r>
          </w:p>
        </w:tc>
        <w:tc>
          <w:tcPr>
            <w:tcW w:w="1545" w:type="dxa"/>
            <w:shd w:val="clear" w:color="auto" w:fill="FFFFFF"/>
            <w:tcMar>
              <w:left w:w="60" w:type="dxa"/>
              <w:right w:w="60" w:type="dxa"/>
            </w:tcMar>
          </w:tcPr>
          <w:p w14:paraId="217F5FE0" w14:textId="77777777" w:rsidR="00041A08" w:rsidRPr="00041A08" w:rsidRDefault="00A2172A" w:rsidP="00F76F7E">
            <w:pPr>
              <w:pStyle w:val="tabletextNS"/>
              <w:keepNext/>
              <w:jc w:val="center"/>
              <w:rPr>
                <w:rFonts w:ascii="Times New Roman" w:hAnsi="Times New Roman"/>
                <w:sz w:val="22"/>
                <w:szCs w:val="22"/>
              </w:rPr>
            </w:pPr>
            <w:r w:rsidRPr="00A465C0">
              <w:rPr>
                <w:rFonts w:ascii="Times New Roman" w:hAnsi="Times New Roman"/>
                <w:b/>
                <w:sz w:val="22"/>
                <w:szCs w:val="22"/>
              </w:rPr>
              <w:t>AUC</w:t>
            </w:r>
            <w:r w:rsidRPr="00A465C0">
              <w:rPr>
                <w:rFonts w:ascii="Times New Roman" w:hAnsi="Times New Roman"/>
                <w:b/>
                <w:sz w:val="22"/>
                <w:szCs w:val="22"/>
                <w:vertAlign w:val="subscript"/>
              </w:rPr>
              <w:t>(0-</w:t>
            </w:r>
            <w:r>
              <w:rPr>
                <w:rFonts w:ascii="Times New Roman" w:hAnsi="Times New Roman"/>
                <w:b/>
                <w:sz w:val="22"/>
                <w:szCs w:val="22"/>
                <w:vertAlign w:val="subscript"/>
              </w:rPr>
              <w:t>τ</w:t>
            </w:r>
            <w:r w:rsidRPr="00A465C0">
              <w:rPr>
                <w:rFonts w:ascii="Times New Roman" w:hAnsi="Times New Roman"/>
                <w:b/>
                <w:sz w:val="22"/>
                <w:szCs w:val="22"/>
                <w:vertAlign w:val="subscript"/>
              </w:rPr>
              <w:t>)</w:t>
            </w:r>
          </w:p>
          <w:p w14:paraId="7067210F" w14:textId="0B71A2CE" w:rsidR="00A2172A" w:rsidRPr="00B05FE8" w:rsidRDefault="00A2172A" w:rsidP="00F76F7E">
            <w:pPr>
              <w:keepNext/>
              <w:adjustRightInd w:val="0"/>
              <w:jc w:val="center"/>
              <w:rPr>
                <w:b/>
                <w:bCs/>
                <w:color w:val="000000"/>
                <w:szCs w:val="22"/>
              </w:rPr>
            </w:pPr>
            <w:r w:rsidRPr="00B05FE8">
              <w:rPr>
                <w:b/>
                <w:bCs/>
                <w:color w:val="000000"/>
                <w:szCs w:val="22"/>
              </w:rPr>
              <w:t>(</w:t>
            </w:r>
            <w:r w:rsidRPr="00DC0A57">
              <w:rPr>
                <w:b/>
                <w:szCs w:val="22"/>
              </w:rPr>
              <w:t>µ</w:t>
            </w:r>
            <w:r w:rsidRPr="00B05FE8">
              <w:rPr>
                <w:b/>
                <w:bCs/>
                <w:color w:val="000000"/>
                <w:szCs w:val="22"/>
              </w:rPr>
              <w:t>g</w:t>
            </w:r>
            <w:r>
              <w:rPr>
                <w:b/>
                <w:bCs/>
                <w:color w:val="000000"/>
                <w:szCs w:val="22"/>
              </w:rPr>
              <w:t>.</w:t>
            </w:r>
            <w:r w:rsidRPr="00B05FE8">
              <w:rPr>
                <w:b/>
                <w:bCs/>
                <w:color w:val="000000"/>
                <w:szCs w:val="22"/>
              </w:rPr>
              <w:t>h/m</w:t>
            </w:r>
            <w:r>
              <w:rPr>
                <w:b/>
                <w:bCs/>
                <w:color w:val="000000"/>
                <w:szCs w:val="22"/>
              </w:rPr>
              <w:t>l</w:t>
            </w:r>
            <w:r w:rsidRPr="00B05FE8">
              <w:rPr>
                <w:b/>
                <w:bCs/>
                <w:color w:val="000000"/>
                <w:szCs w:val="22"/>
              </w:rPr>
              <w:t>)</w:t>
            </w:r>
          </w:p>
        </w:tc>
        <w:tc>
          <w:tcPr>
            <w:tcW w:w="1260" w:type="dxa"/>
            <w:shd w:val="clear" w:color="auto" w:fill="FFFFFF"/>
            <w:tcMar>
              <w:left w:w="60" w:type="dxa"/>
              <w:right w:w="60" w:type="dxa"/>
            </w:tcMar>
          </w:tcPr>
          <w:p w14:paraId="13DEFDD7" w14:textId="77777777" w:rsidR="00041A08" w:rsidRPr="00041A08" w:rsidRDefault="00A2172A" w:rsidP="00F76F7E">
            <w:pPr>
              <w:pStyle w:val="tabletextNS"/>
              <w:keepNext/>
              <w:jc w:val="center"/>
              <w:rPr>
                <w:rFonts w:ascii="Times New Roman" w:hAnsi="Times New Roman"/>
                <w:sz w:val="22"/>
                <w:szCs w:val="22"/>
              </w:rPr>
            </w:pPr>
            <w:proofErr w:type="spellStart"/>
            <w:r w:rsidRPr="00A465C0">
              <w:rPr>
                <w:rFonts w:ascii="Times New Roman" w:hAnsi="Times New Roman"/>
                <w:b/>
                <w:sz w:val="22"/>
                <w:szCs w:val="22"/>
              </w:rPr>
              <w:t>C</w:t>
            </w:r>
            <w:r w:rsidRPr="00A465C0">
              <w:rPr>
                <w:rFonts w:ascii="Times New Roman" w:hAnsi="Times New Roman"/>
                <w:b/>
                <w:sz w:val="22"/>
                <w:szCs w:val="22"/>
                <w:vertAlign w:val="subscript"/>
              </w:rPr>
              <w:t>max</w:t>
            </w:r>
            <w:proofErr w:type="spellEnd"/>
          </w:p>
          <w:p w14:paraId="341275EE" w14:textId="2E8DE034" w:rsidR="00A2172A" w:rsidRPr="00B05FE8" w:rsidRDefault="00A2172A" w:rsidP="00F76F7E">
            <w:pPr>
              <w:keepNext/>
              <w:adjustRightInd w:val="0"/>
              <w:jc w:val="center"/>
              <w:rPr>
                <w:b/>
                <w:bCs/>
                <w:color w:val="000000"/>
                <w:szCs w:val="22"/>
              </w:rPr>
            </w:pPr>
            <w:r w:rsidRPr="00B05FE8">
              <w:rPr>
                <w:b/>
                <w:bCs/>
                <w:color w:val="000000"/>
                <w:szCs w:val="22"/>
              </w:rPr>
              <w:t>(</w:t>
            </w:r>
            <w:r w:rsidRPr="00DC0A57">
              <w:rPr>
                <w:b/>
                <w:szCs w:val="22"/>
              </w:rPr>
              <w:t>µ</w:t>
            </w:r>
            <w:r w:rsidRPr="00B05FE8">
              <w:rPr>
                <w:b/>
                <w:bCs/>
                <w:color w:val="000000"/>
                <w:szCs w:val="22"/>
              </w:rPr>
              <w:t>g/m</w:t>
            </w:r>
            <w:r>
              <w:rPr>
                <w:b/>
                <w:bCs/>
                <w:color w:val="000000"/>
                <w:szCs w:val="22"/>
              </w:rPr>
              <w:t>l</w:t>
            </w:r>
            <w:r w:rsidRPr="00B05FE8">
              <w:rPr>
                <w:b/>
                <w:bCs/>
                <w:color w:val="000000"/>
                <w:szCs w:val="22"/>
              </w:rPr>
              <w:t>)</w:t>
            </w:r>
          </w:p>
        </w:tc>
      </w:tr>
      <w:tr w:rsidR="00F76F7E" w:rsidRPr="00A465C0" w14:paraId="466979B1" w14:textId="77777777" w:rsidTr="00E473D7">
        <w:trPr>
          <w:cantSplit/>
        </w:trPr>
        <w:tc>
          <w:tcPr>
            <w:tcW w:w="2233" w:type="dxa"/>
            <w:shd w:val="clear" w:color="auto" w:fill="FFFFFF"/>
            <w:tcMar>
              <w:left w:w="60" w:type="dxa"/>
              <w:right w:w="60" w:type="dxa"/>
            </w:tcMar>
          </w:tcPr>
          <w:p w14:paraId="7CED0F9E" w14:textId="676F356E" w:rsidR="00A2172A" w:rsidRPr="00B05FE8" w:rsidRDefault="00E473D7" w:rsidP="00F76F7E">
            <w:pPr>
              <w:keepNext/>
              <w:adjustRightInd w:val="0"/>
              <w:rPr>
                <w:color w:val="000000"/>
                <w:szCs w:val="22"/>
              </w:rPr>
            </w:pPr>
            <w:r>
              <w:rPr>
                <w:color w:val="000000"/>
                <w:szCs w:val="22"/>
              </w:rPr>
              <w:t>Kohorta</w:t>
            </w:r>
            <w:r w:rsidR="00A2172A">
              <w:rPr>
                <w:color w:val="000000"/>
                <w:szCs w:val="22"/>
              </w:rPr>
              <w:t> </w:t>
            </w:r>
            <w:r w:rsidR="00A2172A" w:rsidRPr="00B05FE8">
              <w:rPr>
                <w:color w:val="000000"/>
                <w:szCs w:val="22"/>
              </w:rPr>
              <w:t>A (N=11)</w:t>
            </w:r>
          </w:p>
        </w:tc>
        <w:tc>
          <w:tcPr>
            <w:tcW w:w="1878" w:type="dxa"/>
            <w:shd w:val="clear" w:color="auto" w:fill="FFFFFF"/>
            <w:tcMar>
              <w:left w:w="60" w:type="dxa"/>
              <w:right w:w="60" w:type="dxa"/>
            </w:tcMar>
          </w:tcPr>
          <w:p w14:paraId="2D7D0BD9" w14:textId="098DA79D" w:rsidR="00A2172A" w:rsidRPr="00B05FE8" w:rsidRDefault="00A2172A" w:rsidP="00F76F7E">
            <w:pPr>
              <w:keepNext/>
              <w:adjustRightInd w:val="0"/>
              <w:jc w:val="center"/>
              <w:rPr>
                <w:color w:val="000000"/>
                <w:szCs w:val="22"/>
              </w:rPr>
            </w:pPr>
            <w:r>
              <w:rPr>
                <w:color w:val="000000"/>
                <w:szCs w:val="22"/>
              </w:rPr>
              <w:t>2</w:t>
            </w:r>
            <w:r w:rsidRPr="00B05FE8">
              <w:rPr>
                <w:color w:val="000000"/>
                <w:szCs w:val="22"/>
              </w:rPr>
              <w:t xml:space="preserve"> </w:t>
            </w:r>
            <w:r w:rsidR="00E473D7">
              <w:rPr>
                <w:color w:val="000000"/>
                <w:szCs w:val="22"/>
              </w:rPr>
              <w:t>do</w:t>
            </w:r>
            <w:r w:rsidRPr="00B05FE8">
              <w:rPr>
                <w:color w:val="000000"/>
                <w:szCs w:val="22"/>
              </w:rPr>
              <w:t xml:space="preserve"> &lt;6</w:t>
            </w:r>
            <w:r>
              <w:rPr>
                <w:color w:val="000000"/>
                <w:szCs w:val="22"/>
              </w:rPr>
              <w:t> </w:t>
            </w:r>
            <w:r w:rsidR="00E473D7">
              <w:rPr>
                <w:color w:val="000000"/>
                <w:szCs w:val="22"/>
              </w:rPr>
              <w:t>lat</w:t>
            </w:r>
          </w:p>
        </w:tc>
        <w:tc>
          <w:tcPr>
            <w:tcW w:w="2149" w:type="dxa"/>
            <w:shd w:val="clear" w:color="auto" w:fill="FFFFFF"/>
            <w:tcMar>
              <w:left w:w="60" w:type="dxa"/>
              <w:right w:w="60" w:type="dxa"/>
            </w:tcMar>
            <w:vAlign w:val="center"/>
          </w:tcPr>
          <w:p w14:paraId="313C4997" w14:textId="77777777" w:rsidR="00A2172A" w:rsidRPr="00B05FE8" w:rsidRDefault="00A2172A" w:rsidP="00F76F7E">
            <w:pPr>
              <w:keepNext/>
              <w:adjustRightInd w:val="0"/>
              <w:jc w:val="center"/>
              <w:rPr>
                <w:color w:val="000000"/>
                <w:szCs w:val="22"/>
              </w:rPr>
            </w:pPr>
            <w:r w:rsidRPr="00B05FE8">
              <w:rPr>
                <w:color w:val="000000"/>
                <w:szCs w:val="22"/>
              </w:rPr>
              <w:t>n</w:t>
            </w:r>
          </w:p>
        </w:tc>
        <w:tc>
          <w:tcPr>
            <w:tcW w:w="1545" w:type="dxa"/>
            <w:shd w:val="clear" w:color="auto" w:fill="FFFFFF"/>
            <w:tcMar>
              <w:left w:w="60" w:type="dxa"/>
              <w:right w:w="60" w:type="dxa"/>
            </w:tcMar>
            <w:vAlign w:val="center"/>
          </w:tcPr>
          <w:p w14:paraId="70E003D0" w14:textId="77777777" w:rsidR="00A2172A" w:rsidRPr="00B05FE8" w:rsidRDefault="00A2172A" w:rsidP="00F76F7E">
            <w:pPr>
              <w:keepNext/>
              <w:adjustRightInd w:val="0"/>
              <w:jc w:val="center"/>
              <w:rPr>
                <w:color w:val="000000"/>
                <w:szCs w:val="22"/>
              </w:rPr>
            </w:pPr>
            <w:r w:rsidRPr="00B05FE8">
              <w:rPr>
                <w:color w:val="000000"/>
                <w:szCs w:val="22"/>
              </w:rPr>
              <w:t>1</w:t>
            </w:r>
          </w:p>
        </w:tc>
        <w:tc>
          <w:tcPr>
            <w:tcW w:w="1260" w:type="dxa"/>
            <w:shd w:val="clear" w:color="auto" w:fill="FFFFFF"/>
            <w:tcMar>
              <w:left w:w="60" w:type="dxa"/>
              <w:right w:w="60" w:type="dxa"/>
            </w:tcMar>
            <w:vAlign w:val="center"/>
          </w:tcPr>
          <w:p w14:paraId="5CFF3A39" w14:textId="77777777" w:rsidR="00A2172A" w:rsidRPr="00B05FE8" w:rsidRDefault="00A2172A" w:rsidP="00F76F7E">
            <w:pPr>
              <w:keepNext/>
              <w:adjustRightInd w:val="0"/>
              <w:jc w:val="center"/>
              <w:rPr>
                <w:color w:val="000000"/>
                <w:szCs w:val="22"/>
              </w:rPr>
            </w:pPr>
            <w:r w:rsidRPr="00B05FE8">
              <w:rPr>
                <w:color w:val="000000"/>
                <w:szCs w:val="22"/>
              </w:rPr>
              <w:t>1</w:t>
            </w:r>
          </w:p>
        </w:tc>
      </w:tr>
      <w:tr w:rsidR="00F76F7E" w:rsidRPr="00A465C0" w14:paraId="1494E268" w14:textId="77777777" w:rsidTr="00E473D7">
        <w:trPr>
          <w:cantSplit/>
        </w:trPr>
        <w:tc>
          <w:tcPr>
            <w:tcW w:w="2233" w:type="dxa"/>
            <w:shd w:val="clear" w:color="auto" w:fill="FFFFFF"/>
            <w:tcMar>
              <w:left w:w="60" w:type="dxa"/>
              <w:right w:w="60" w:type="dxa"/>
            </w:tcMar>
          </w:tcPr>
          <w:p w14:paraId="576E6519" w14:textId="77777777" w:rsidR="00A2172A" w:rsidRPr="00B05FE8" w:rsidRDefault="00A2172A" w:rsidP="00F76F7E">
            <w:pPr>
              <w:keepNext/>
              <w:adjustRightInd w:val="0"/>
              <w:rPr>
                <w:color w:val="000000"/>
                <w:szCs w:val="22"/>
              </w:rPr>
            </w:pPr>
          </w:p>
        </w:tc>
        <w:tc>
          <w:tcPr>
            <w:tcW w:w="1878" w:type="dxa"/>
            <w:shd w:val="clear" w:color="auto" w:fill="FFFFFF"/>
            <w:tcMar>
              <w:left w:w="60" w:type="dxa"/>
              <w:right w:w="60" w:type="dxa"/>
            </w:tcMar>
          </w:tcPr>
          <w:p w14:paraId="41295C34" w14:textId="77777777" w:rsidR="00A2172A" w:rsidRPr="00B05FE8" w:rsidRDefault="00A2172A" w:rsidP="00F76F7E">
            <w:pPr>
              <w:keepNext/>
              <w:adjustRightInd w:val="0"/>
              <w:jc w:val="center"/>
              <w:rPr>
                <w:color w:val="000000"/>
                <w:szCs w:val="22"/>
              </w:rPr>
            </w:pPr>
          </w:p>
        </w:tc>
        <w:tc>
          <w:tcPr>
            <w:tcW w:w="2149" w:type="dxa"/>
            <w:shd w:val="clear" w:color="auto" w:fill="FFFFFF"/>
            <w:tcMar>
              <w:left w:w="60" w:type="dxa"/>
              <w:right w:w="60" w:type="dxa"/>
            </w:tcMar>
            <w:vAlign w:val="center"/>
          </w:tcPr>
          <w:p w14:paraId="6AC314D9" w14:textId="7162D6EA" w:rsidR="00A2172A" w:rsidRPr="00B05FE8" w:rsidRDefault="00E473D7" w:rsidP="00F76F7E">
            <w:pPr>
              <w:keepNext/>
              <w:adjustRightInd w:val="0"/>
              <w:jc w:val="center"/>
              <w:rPr>
                <w:color w:val="000000"/>
                <w:szCs w:val="22"/>
              </w:rPr>
            </w:pPr>
            <w:r>
              <w:rPr>
                <w:color w:val="000000"/>
                <w:szCs w:val="22"/>
              </w:rPr>
              <w:t>Średnia geometryczna</w:t>
            </w:r>
          </w:p>
        </w:tc>
        <w:tc>
          <w:tcPr>
            <w:tcW w:w="1545" w:type="dxa"/>
            <w:shd w:val="clear" w:color="auto" w:fill="FFFFFF"/>
            <w:tcMar>
              <w:left w:w="60" w:type="dxa"/>
              <w:right w:w="60" w:type="dxa"/>
            </w:tcMar>
            <w:vAlign w:val="center"/>
          </w:tcPr>
          <w:p w14:paraId="5903C07E" w14:textId="77777777" w:rsidR="00A2172A" w:rsidRPr="00B05FE8" w:rsidRDefault="00A2172A" w:rsidP="00F76F7E">
            <w:pPr>
              <w:keepNext/>
              <w:adjustRightInd w:val="0"/>
              <w:jc w:val="center"/>
              <w:rPr>
                <w:color w:val="000000"/>
                <w:szCs w:val="22"/>
              </w:rPr>
            </w:pPr>
            <w:r w:rsidRPr="00B05FE8">
              <w:rPr>
                <w:color w:val="000000"/>
                <w:szCs w:val="22"/>
              </w:rPr>
              <w:t>272</w:t>
            </w:r>
          </w:p>
        </w:tc>
        <w:tc>
          <w:tcPr>
            <w:tcW w:w="1260" w:type="dxa"/>
            <w:shd w:val="clear" w:color="auto" w:fill="FFFFFF"/>
            <w:tcMar>
              <w:left w:w="60" w:type="dxa"/>
              <w:right w:w="60" w:type="dxa"/>
            </w:tcMar>
            <w:vAlign w:val="center"/>
          </w:tcPr>
          <w:p w14:paraId="7FFC7EAE" w14:textId="352E4E28" w:rsidR="00A2172A" w:rsidRPr="00B05FE8" w:rsidRDefault="00A2172A" w:rsidP="00F76F7E">
            <w:pPr>
              <w:keepNext/>
              <w:adjustRightInd w:val="0"/>
              <w:jc w:val="center"/>
              <w:rPr>
                <w:color w:val="000000"/>
                <w:szCs w:val="22"/>
              </w:rPr>
            </w:pPr>
            <w:r w:rsidRPr="00B05FE8">
              <w:rPr>
                <w:color w:val="000000"/>
                <w:szCs w:val="22"/>
              </w:rPr>
              <w:t>16</w:t>
            </w:r>
            <w:r w:rsidR="00E473D7">
              <w:rPr>
                <w:color w:val="000000"/>
                <w:szCs w:val="22"/>
              </w:rPr>
              <w:t>,</w:t>
            </w:r>
            <w:r w:rsidRPr="00B05FE8">
              <w:rPr>
                <w:color w:val="000000"/>
                <w:szCs w:val="22"/>
              </w:rPr>
              <w:t>1</w:t>
            </w:r>
          </w:p>
        </w:tc>
      </w:tr>
      <w:tr w:rsidR="00F76F7E" w:rsidRPr="00A465C0" w14:paraId="0534B90B" w14:textId="77777777" w:rsidTr="00E473D7">
        <w:trPr>
          <w:cantSplit/>
        </w:trPr>
        <w:tc>
          <w:tcPr>
            <w:tcW w:w="2233" w:type="dxa"/>
            <w:shd w:val="clear" w:color="auto" w:fill="FFFFFF"/>
            <w:tcMar>
              <w:left w:w="60" w:type="dxa"/>
              <w:right w:w="60" w:type="dxa"/>
            </w:tcMar>
          </w:tcPr>
          <w:p w14:paraId="2EBE79BD" w14:textId="77777777" w:rsidR="00A2172A" w:rsidRPr="00B05FE8" w:rsidRDefault="00A2172A" w:rsidP="00F76F7E">
            <w:pPr>
              <w:keepNext/>
              <w:adjustRightInd w:val="0"/>
              <w:rPr>
                <w:color w:val="000000"/>
                <w:szCs w:val="22"/>
              </w:rPr>
            </w:pPr>
          </w:p>
        </w:tc>
        <w:tc>
          <w:tcPr>
            <w:tcW w:w="1878" w:type="dxa"/>
            <w:shd w:val="clear" w:color="auto" w:fill="FFFFFF"/>
            <w:tcMar>
              <w:left w:w="60" w:type="dxa"/>
              <w:right w:w="60" w:type="dxa"/>
            </w:tcMar>
          </w:tcPr>
          <w:p w14:paraId="5C5105D9" w14:textId="77777777" w:rsidR="00A2172A" w:rsidRPr="00B05FE8" w:rsidRDefault="00A2172A" w:rsidP="00F76F7E">
            <w:pPr>
              <w:keepNext/>
              <w:adjustRightInd w:val="0"/>
              <w:jc w:val="center"/>
              <w:rPr>
                <w:color w:val="000000"/>
                <w:szCs w:val="22"/>
              </w:rPr>
            </w:pPr>
          </w:p>
        </w:tc>
        <w:tc>
          <w:tcPr>
            <w:tcW w:w="2149" w:type="dxa"/>
            <w:shd w:val="clear" w:color="auto" w:fill="FFFFFF"/>
            <w:tcMar>
              <w:left w:w="60" w:type="dxa"/>
              <w:right w:w="60" w:type="dxa"/>
            </w:tcMar>
            <w:vAlign w:val="center"/>
          </w:tcPr>
          <w:p w14:paraId="2B5A4CE5" w14:textId="080A8137" w:rsidR="00A2172A" w:rsidRPr="00B05FE8" w:rsidRDefault="00A2172A" w:rsidP="00F76F7E">
            <w:pPr>
              <w:keepNext/>
              <w:adjustRightInd w:val="0"/>
              <w:jc w:val="center"/>
              <w:rPr>
                <w:color w:val="000000"/>
                <w:szCs w:val="22"/>
              </w:rPr>
            </w:pPr>
            <w:r w:rsidRPr="00B05FE8">
              <w:rPr>
                <w:color w:val="000000"/>
                <w:szCs w:val="22"/>
              </w:rPr>
              <w:t>Geo</w:t>
            </w:r>
            <w:r w:rsidR="00E473D7">
              <w:rPr>
                <w:color w:val="000000"/>
                <w:szCs w:val="22"/>
              </w:rPr>
              <w:t xml:space="preserve">metryczny </w:t>
            </w:r>
            <w:r w:rsidRPr="00B05FE8">
              <w:rPr>
                <w:color w:val="000000"/>
                <w:szCs w:val="22"/>
              </w:rPr>
              <w:t>CV%</w:t>
            </w:r>
          </w:p>
        </w:tc>
        <w:tc>
          <w:tcPr>
            <w:tcW w:w="1545" w:type="dxa"/>
            <w:shd w:val="clear" w:color="auto" w:fill="FFFFFF"/>
            <w:tcMar>
              <w:left w:w="60" w:type="dxa"/>
              <w:right w:w="60" w:type="dxa"/>
            </w:tcMar>
            <w:vAlign w:val="center"/>
          </w:tcPr>
          <w:p w14:paraId="4244B8B8" w14:textId="77777777" w:rsidR="00A2172A" w:rsidRPr="00B05FE8" w:rsidRDefault="00A2172A" w:rsidP="00F76F7E">
            <w:pPr>
              <w:keepNext/>
              <w:adjustRightInd w:val="0"/>
              <w:jc w:val="center"/>
              <w:rPr>
                <w:color w:val="000000"/>
                <w:szCs w:val="22"/>
              </w:rPr>
            </w:pPr>
          </w:p>
        </w:tc>
        <w:tc>
          <w:tcPr>
            <w:tcW w:w="1260" w:type="dxa"/>
            <w:shd w:val="clear" w:color="auto" w:fill="FFFFFF"/>
            <w:tcMar>
              <w:left w:w="60" w:type="dxa"/>
              <w:right w:w="60" w:type="dxa"/>
            </w:tcMar>
            <w:vAlign w:val="center"/>
          </w:tcPr>
          <w:p w14:paraId="616F4847" w14:textId="77777777" w:rsidR="00A2172A" w:rsidRPr="00B05FE8" w:rsidRDefault="00A2172A" w:rsidP="00F76F7E">
            <w:pPr>
              <w:keepNext/>
              <w:adjustRightInd w:val="0"/>
              <w:jc w:val="center"/>
              <w:rPr>
                <w:color w:val="000000"/>
                <w:szCs w:val="22"/>
              </w:rPr>
            </w:pPr>
          </w:p>
        </w:tc>
      </w:tr>
      <w:tr w:rsidR="00F76F7E" w:rsidRPr="00A465C0" w14:paraId="34215E5D" w14:textId="77777777" w:rsidTr="00E473D7">
        <w:trPr>
          <w:cantSplit/>
        </w:trPr>
        <w:tc>
          <w:tcPr>
            <w:tcW w:w="2233" w:type="dxa"/>
            <w:shd w:val="clear" w:color="auto" w:fill="FFFFFF"/>
            <w:tcMar>
              <w:left w:w="60" w:type="dxa"/>
              <w:right w:w="60" w:type="dxa"/>
            </w:tcMar>
          </w:tcPr>
          <w:p w14:paraId="52AB8807" w14:textId="77777777" w:rsidR="00E473D7" w:rsidRPr="00B05FE8" w:rsidRDefault="00E473D7" w:rsidP="00F76F7E">
            <w:pPr>
              <w:keepNext/>
              <w:adjustRightInd w:val="0"/>
              <w:rPr>
                <w:color w:val="000000"/>
                <w:szCs w:val="22"/>
              </w:rPr>
            </w:pPr>
          </w:p>
        </w:tc>
        <w:tc>
          <w:tcPr>
            <w:tcW w:w="1878" w:type="dxa"/>
            <w:shd w:val="clear" w:color="auto" w:fill="FFFFFF"/>
            <w:tcMar>
              <w:left w:w="60" w:type="dxa"/>
              <w:right w:w="60" w:type="dxa"/>
            </w:tcMar>
          </w:tcPr>
          <w:p w14:paraId="198E54C1" w14:textId="4992825F" w:rsidR="00E473D7" w:rsidRPr="00B05FE8" w:rsidRDefault="00E473D7" w:rsidP="00F76F7E">
            <w:pPr>
              <w:keepNext/>
              <w:adjustRightInd w:val="0"/>
              <w:jc w:val="center"/>
              <w:rPr>
                <w:color w:val="000000"/>
                <w:szCs w:val="22"/>
              </w:rPr>
            </w:pPr>
            <w:r w:rsidRPr="00B05FE8">
              <w:rPr>
                <w:color w:val="000000"/>
                <w:szCs w:val="22"/>
              </w:rPr>
              <w:t xml:space="preserve">6 </w:t>
            </w:r>
            <w:r>
              <w:rPr>
                <w:color w:val="000000"/>
                <w:szCs w:val="22"/>
              </w:rPr>
              <w:t>do</w:t>
            </w:r>
            <w:r w:rsidRPr="00B05FE8">
              <w:rPr>
                <w:color w:val="000000"/>
                <w:szCs w:val="22"/>
              </w:rPr>
              <w:t xml:space="preserve"> &lt;18</w:t>
            </w:r>
            <w:r>
              <w:rPr>
                <w:color w:val="000000"/>
                <w:szCs w:val="22"/>
              </w:rPr>
              <w:t> lat</w:t>
            </w:r>
          </w:p>
        </w:tc>
        <w:tc>
          <w:tcPr>
            <w:tcW w:w="2149" w:type="dxa"/>
            <w:shd w:val="clear" w:color="auto" w:fill="FFFFFF"/>
            <w:tcMar>
              <w:left w:w="60" w:type="dxa"/>
              <w:right w:w="60" w:type="dxa"/>
            </w:tcMar>
            <w:vAlign w:val="center"/>
          </w:tcPr>
          <w:p w14:paraId="04562C49" w14:textId="3B6A04C1" w:rsidR="00E473D7" w:rsidRPr="00B05FE8" w:rsidRDefault="00E473D7" w:rsidP="00F76F7E">
            <w:pPr>
              <w:keepNext/>
              <w:adjustRightInd w:val="0"/>
              <w:jc w:val="center"/>
              <w:rPr>
                <w:color w:val="000000"/>
                <w:szCs w:val="22"/>
              </w:rPr>
            </w:pPr>
            <w:r w:rsidRPr="00B05FE8">
              <w:rPr>
                <w:color w:val="000000"/>
                <w:szCs w:val="22"/>
              </w:rPr>
              <w:t>n</w:t>
            </w:r>
          </w:p>
        </w:tc>
        <w:tc>
          <w:tcPr>
            <w:tcW w:w="1545" w:type="dxa"/>
            <w:shd w:val="clear" w:color="auto" w:fill="FFFFFF"/>
            <w:tcMar>
              <w:left w:w="60" w:type="dxa"/>
              <w:right w:w="60" w:type="dxa"/>
            </w:tcMar>
            <w:vAlign w:val="center"/>
          </w:tcPr>
          <w:p w14:paraId="78ED9A86" w14:textId="77777777" w:rsidR="00E473D7" w:rsidRPr="00B05FE8" w:rsidRDefault="00E473D7" w:rsidP="00F76F7E">
            <w:pPr>
              <w:keepNext/>
              <w:adjustRightInd w:val="0"/>
              <w:jc w:val="center"/>
              <w:rPr>
                <w:color w:val="000000"/>
                <w:szCs w:val="22"/>
              </w:rPr>
            </w:pPr>
            <w:r w:rsidRPr="00B05FE8">
              <w:rPr>
                <w:color w:val="000000"/>
                <w:szCs w:val="22"/>
              </w:rPr>
              <w:t>5</w:t>
            </w:r>
          </w:p>
        </w:tc>
        <w:tc>
          <w:tcPr>
            <w:tcW w:w="1260" w:type="dxa"/>
            <w:shd w:val="clear" w:color="auto" w:fill="FFFFFF"/>
            <w:tcMar>
              <w:left w:w="60" w:type="dxa"/>
              <w:right w:w="60" w:type="dxa"/>
            </w:tcMar>
            <w:vAlign w:val="center"/>
          </w:tcPr>
          <w:p w14:paraId="4E4DF4C0" w14:textId="77777777" w:rsidR="00E473D7" w:rsidRPr="00B05FE8" w:rsidRDefault="00E473D7" w:rsidP="00F76F7E">
            <w:pPr>
              <w:keepNext/>
              <w:adjustRightInd w:val="0"/>
              <w:jc w:val="center"/>
              <w:rPr>
                <w:color w:val="000000"/>
                <w:szCs w:val="22"/>
              </w:rPr>
            </w:pPr>
            <w:r w:rsidRPr="00B05FE8">
              <w:rPr>
                <w:color w:val="000000"/>
                <w:szCs w:val="22"/>
              </w:rPr>
              <w:t>7</w:t>
            </w:r>
          </w:p>
        </w:tc>
      </w:tr>
      <w:tr w:rsidR="00F76F7E" w:rsidRPr="00A465C0" w14:paraId="4491CDB7" w14:textId="77777777" w:rsidTr="00E473D7">
        <w:trPr>
          <w:cantSplit/>
        </w:trPr>
        <w:tc>
          <w:tcPr>
            <w:tcW w:w="2233" w:type="dxa"/>
            <w:shd w:val="clear" w:color="auto" w:fill="FFFFFF"/>
            <w:tcMar>
              <w:left w:w="60" w:type="dxa"/>
              <w:right w:w="60" w:type="dxa"/>
            </w:tcMar>
          </w:tcPr>
          <w:p w14:paraId="3A3D94A6" w14:textId="77777777" w:rsidR="00E473D7" w:rsidRPr="00B05FE8" w:rsidRDefault="00E473D7" w:rsidP="00F76F7E">
            <w:pPr>
              <w:keepNext/>
              <w:adjustRightInd w:val="0"/>
              <w:rPr>
                <w:color w:val="000000"/>
                <w:szCs w:val="22"/>
              </w:rPr>
            </w:pPr>
          </w:p>
        </w:tc>
        <w:tc>
          <w:tcPr>
            <w:tcW w:w="1878" w:type="dxa"/>
            <w:shd w:val="clear" w:color="auto" w:fill="FFFFFF"/>
            <w:tcMar>
              <w:left w:w="60" w:type="dxa"/>
              <w:right w:w="60" w:type="dxa"/>
            </w:tcMar>
          </w:tcPr>
          <w:p w14:paraId="677C86D5" w14:textId="77777777" w:rsidR="00E473D7" w:rsidRPr="00B05FE8" w:rsidRDefault="00E473D7" w:rsidP="00F76F7E">
            <w:pPr>
              <w:keepNext/>
              <w:adjustRightInd w:val="0"/>
              <w:jc w:val="center"/>
              <w:rPr>
                <w:color w:val="000000"/>
                <w:szCs w:val="22"/>
              </w:rPr>
            </w:pPr>
          </w:p>
        </w:tc>
        <w:tc>
          <w:tcPr>
            <w:tcW w:w="2149" w:type="dxa"/>
            <w:shd w:val="clear" w:color="auto" w:fill="FFFFFF"/>
            <w:tcMar>
              <w:left w:w="60" w:type="dxa"/>
              <w:right w:w="60" w:type="dxa"/>
            </w:tcMar>
            <w:vAlign w:val="center"/>
          </w:tcPr>
          <w:p w14:paraId="2F4D941D" w14:textId="13BEB7F6" w:rsidR="00E473D7" w:rsidRPr="00B05FE8" w:rsidRDefault="00E473D7" w:rsidP="00F76F7E">
            <w:pPr>
              <w:keepNext/>
              <w:adjustRightInd w:val="0"/>
              <w:jc w:val="center"/>
              <w:rPr>
                <w:color w:val="000000"/>
                <w:szCs w:val="22"/>
              </w:rPr>
            </w:pPr>
            <w:r>
              <w:rPr>
                <w:color w:val="000000"/>
                <w:szCs w:val="22"/>
              </w:rPr>
              <w:t>Średnia geometryczna</w:t>
            </w:r>
          </w:p>
        </w:tc>
        <w:tc>
          <w:tcPr>
            <w:tcW w:w="1545" w:type="dxa"/>
            <w:shd w:val="clear" w:color="auto" w:fill="FFFFFF"/>
            <w:tcMar>
              <w:left w:w="60" w:type="dxa"/>
              <w:right w:w="60" w:type="dxa"/>
            </w:tcMar>
            <w:vAlign w:val="center"/>
          </w:tcPr>
          <w:p w14:paraId="4E37E43E" w14:textId="77777777" w:rsidR="00E473D7" w:rsidRPr="00B05FE8" w:rsidRDefault="00E473D7" w:rsidP="00F76F7E">
            <w:pPr>
              <w:keepNext/>
              <w:adjustRightInd w:val="0"/>
              <w:jc w:val="center"/>
              <w:rPr>
                <w:color w:val="000000"/>
                <w:szCs w:val="22"/>
              </w:rPr>
            </w:pPr>
            <w:r w:rsidRPr="00B05FE8">
              <w:rPr>
                <w:color w:val="000000"/>
                <w:szCs w:val="22"/>
              </w:rPr>
              <w:t>306</w:t>
            </w:r>
          </w:p>
        </w:tc>
        <w:tc>
          <w:tcPr>
            <w:tcW w:w="1260" w:type="dxa"/>
            <w:shd w:val="clear" w:color="auto" w:fill="FFFFFF"/>
            <w:tcMar>
              <w:left w:w="60" w:type="dxa"/>
              <w:right w:w="60" w:type="dxa"/>
            </w:tcMar>
            <w:vAlign w:val="center"/>
          </w:tcPr>
          <w:p w14:paraId="513BF1D8" w14:textId="51FDD365" w:rsidR="00E473D7" w:rsidRPr="00B05FE8" w:rsidRDefault="00E473D7" w:rsidP="00F76F7E">
            <w:pPr>
              <w:keepNext/>
              <w:adjustRightInd w:val="0"/>
              <w:jc w:val="center"/>
              <w:rPr>
                <w:color w:val="000000"/>
                <w:szCs w:val="22"/>
              </w:rPr>
            </w:pPr>
            <w:r w:rsidRPr="00B05FE8">
              <w:rPr>
                <w:color w:val="000000"/>
                <w:szCs w:val="22"/>
              </w:rPr>
              <w:t>14</w:t>
            </w:r>
            <w:r>
              <w:rPr>
                <w:color w:val="000000"/>
                <w:szCs w:val="22"/>
              </w:rPr>
              <w:t>,</w:t>
            </w:r>
            <w:r w:rsidRPr="00B05FE8">
              <w:rPr>
                <w:color w:val="000000"/>
                <w:szCs w:val="22"/>
              </w:rPr>
              <w:t>5</w:t>
            </w:r>
          </w:p>
        </w:tc>
      </w:tr>
      <w:tr w:rsidR="00F76F7E" w:rsidRPr="00A465C0" w14:paraId="40B52E46" w14:textId="77777777" w:rsidTr="00E473D7">
        <w:trPr>
          <w:cantSplit/>
        </w:trPr>
        <w:tc>
          <w:tcPr>
            <w:tcW w:w="2233" w:type="dxa"/>
            <w:shd w:val="clear" w:color="auto" w:fill="FFFFFF"/>
            <w:tcMar>
              <w:left w:w="60" w:type="dxa"/>
              <w:right w:w="60" w:type="dxa"/>
            </w:tcMar>
          </w:tcPr>
          <w:p w14:paraId="08BC3A69" w14:textId="77777777" w:rsidR="00E473D7" w:rsidRPr="00B05FE8" w:rsidRDefault="00E473D7" w:rsidP="00F76F7E">
            <w:pPr>
              <w:keepNext/>
              <w:adjustRightInd w:val="0"/>
              <w:rPr>
                <w:color w:val="000000"/>
                <w:szCs w:val="22"/>
              </w:rPr>
            </w:pPr>
          </w:p>
        </w:tc>
        <w:tc>
          <w:tcPr>
            <w:tcW w:w="1878" w:type="dxa"/>
            <w:shd w:val="clear" w:color="auto" w:fill="FFFFFF"/>
            <w:tcMar>
              <w:left w:w="60" w:type="dxa"/>
              <w:right w:w="60" w:type="dxa"/>
            </w:tcMar>
          </w:tcPr>
          <w:p w14:paraId="38197BC7" w14:textId="77777777" w:rsidR="00E473D7" w:rsidRPr="00B05FE8" w:rsidRDefault="00E473D7" w:rsidP="00F76F7E">
            <w:pPr>
              <w:keepNext/>
              <w:adjustRightInd w:val="0"/>
              <w:jc w:val="center"/>
              <w:rPr>
                <w:color w:val="000000"/>
                <w:szCs w:val="22"/>
              </w:rPr>
            </w:pPr>
          </w:p>
        </w:tc>
        <w:tc>
          <w:tcPr>
            <w:tcW w:w="2149" w:type="dxa"/>
            <w:shd w:val="clear" w:color="auto" w:fill="FFFFFF"/>
            <w:tcMar>
              <w:left w:w="60" w:type="dxa"/>
              <w:right w:w="60" w:type="dxa"/>
            </w:tcMar>
            <w:vAlign w:val="center"/>
          </w:tcPr>
          <w:p w14:paraId="44AE4C85" w14:textId="316F4C39" w:rsidR="00E473D7" w:rsidRPr="00B05FE8" w:rsidRDefault="00E473D7" w:rsidP="00F76F7E">
            <w:pPr>
              <w:keepNext/>
              <w:adjustRightInd w:val="0"/>
              <w:jc w:val="center"/>
              <w:rPr>
                <w:color w:val="000000"/>
                <w:szCs w:val="22"/>
              </w:rPr>
            </w:pPr>
            <w:r w:rsidRPr="00B05FE8">
              <w:rPr>
                <w:color w:val="000000"/>
                <w:szCs w:val="22"/>
              </w:rPr>
              <w:t>Geo</w:t>
            </w:r>
            <w:r>
              <w:rPr>
                <w:color w:val="000000"/>
                <w:szCs w:val="22"/>
              </w:rPr>
              <w:t xml:space="preserve">metryczny </w:t>
            </w:r>
            <w:r w:rsidRPr="00B05FE8">
              <w:rPr>
                <w:color w:val="000000"/>
                <w:szCs w:val="22"/>
              </w:rPr>
              <w:t>CV%</w:t>
            </w:r>
          </w:p>
        </w:tc>
        <w:tc>
          <w:tcPr>
            <w:tcW w:w="1545" w:type="dxa"/>
            <w:shd w:val="clear" w:color="auto" w:fill="FFFFFF"/>
            <w:tcMar>
              <w:left w:w="60" w:type="dxa"/>
              <w:right w:w="60" w:type="dxa"/>
            </w:tcMar>
            <w:vAlign w:val="center"/>
          </w:tcPr>
          <w:p w14:paraId="6DBA723D" w14:textId="2D4D6A3D" w:rsidR="00E473D7" w:rsidRPr="00B05FE8" w:rsidRDefault="00E473D7" w:rsidP="00F76F7E">
            <w:pPr>
              <w:keepNext/>
              <w:adjustRightInd w:val="0"/>
              <w:jc w:val="center"/>
              <w:rPr>
                <w:color w:val="000000"/>
                <w:szCs w:val="22"/>
              </w:rPr>
            </w:pPr>
            <w:r w:rsidRPr="00B05FE8">
              <w:rPr>
                <w:color w:val="000000"/>
                <w:szCs w:val="22"/>
              </w:rPr>
              <w:t>63</w:t>
            </w:r>
            <w:r>
              <w:rPr>
                <w:color w:val="000000"/>
                <w:szCs w:val="22"/>
              </w:rPr>
              <w:t>,</w:t>
            </w:r>
            <w:r w:rsidRPr="00B05FE8">
              <w:rPr>
                <w:color w:val="000000"/>
                <w:szCs w:val="22"/>
              </w:rPr>
              <w:t>8</w:t>
            </w:r>
          </w:p>
        </w:tc>
        <w:tc>
          <w:tcPr>
            <w:tcW w:w="1260" w:type="dxa"/>
            <w:shd w:val="clear" w:color="auto" w:fill="FFFFFF"/>
            <w:tcMar>
              <w:left w:w="60" w:type="dxa"/>
              <w:right w:w="60" w:type="dxa"/>
            </w:tcMar>
            <w:vAlign w:val="center"/>
          </w:tcPr>
          <w:p w14:paraId="24BD8BE4" w14:textId="7DFA0984" w:rsidR="00E473D7" w:rsidRPr="00B05FE8" w:rsidRDefault="00E473D7" w:rsidP="00F76F7E">
            <w:pPr>
              <w:keepNext/>
              <w:adjustRightInd w:val="0"/>
              <w:jc w:val="center"/>
              <w:rPr>
                <w:color w:val="000000"/>
                <w:szCs w:val="22"/>
              </w:rPr>
            </w:pPr>
            <w:r w:rsidRPr="00B05FE8">
              <w:rPr>
                <w:color w:val="000000"/>
                <w:szCs w:val="22"/>
              </w:rPr>
              <w:t>58</w:t>
            </w:r>
            <w:r>
              <w:rPr>
                <w:color w:val="000000"/>
                <w:szCs w:val="22"/>
              </w:rPr>
              <w:t>,</w:t>
            </w:r>
            <w:r w:rsidRPr="00B05FE8">
              <w:rPr>
                <w:color w:val="000000"/>
                <w:szCs w:val="22"/>
              </w:rPr>
              <w:t>2</w:t>
            </w:r>
          </w:p>
        </w:tc>
      </w:tr>
      <w:tr w:rsidR="00F76F7E" w:rsidRPr="00A465C0" w14:paraId="246E8123" w14:textId="77777777" w:rsidTr="00E473D7">
        <w:trPr>
          <w:cantSplit/>
        </w:trPr>
        <w:tc>
          <w:tcPr>
            <w:tcW w:w="2233" w:type="dxa"/>
            <w:shd w:val="clear" w:color="auto" w:fill="FFFFFF"/>
            <w:tcMar>
              <w:left w:w="60" w:type="dxa"/>
              <w:right w:w="60" w:type="dxa"/>
            </w:tcMar>
          </w:tcPr>
          <w:p w14:paraId="7219163D" w14:textId="2643FE96" w:rsidR="00E473D7" w:rsidRPr="00B05FE8" w:rsidRDefault="00E473D7" w:rsidP="00F76F7E">
            <w:pPr>
              <w:keepNext/>
              <w:adjustRightInd w:val="0"/>
              <w:rPr>
                <w:color w:val="000000"/>
                <w:szCs w:val="22"/>
              </w:rPr>
            </w:pPr>
            <w:r>
              <w:rPr>
                <w:color w:val="000000"/>
                <w:szCs w:val="22"/>
              </w:rPr>
              <w:t>Kohorta </w:t>
            </w:r>
            <w:r w:rsidRPr="00B05FE8">
              <w:rPr>
                <w:color w:val="000000"/>
                <w:szCs w:val="22"/>
              </w:rPr>
              <w:t>B (N=27)</w:t>
            </w:r>
          </w:p>
        </w:tc>
        <w:tc>
          <w:tcPr>
            <w:tcW w:w="1878" w:type="dxa"/>
            <w:shd w:val="clear" w:color="auto" w:fill="FFFFFF"/>
            <w:tcMar>
              <w:left w:w="60" w:type="dxa"/>
              <w:right w:w="60" w:type="dxa"/>
            </w:tcMar>
          </w:tcPr>
          <w:p w14:paraId="47772882" w14:textId="3FDB9AA2" w:rsidR="00E473D7" w:rsidRPr="00B05FE8" w:rsidRDefault="00E473D7" w:rsidP="00F76F7E">
            <w:pPr>
              <w:keepNext/>
              <w:adjustRightInd w:val="0"/>
              <w:jc w:val="center"/>
              <w:rPr>
                <w:color w:val="000000"/>
                <w:szCs w:val="22"/>
              </w:rPr>
            </w:pPr>
            <w:r>
              <w:rPr>
                <w:color w:val="000000"/>
                <w:szCs w:val="22"/>
              </w:rPr>
              <w:t>2</w:t>
            </w:r>
            <w:r w:rsidRPr="00B05FE8">
              <w:rPr>
                <w:color w:val="000000"/>
                <w:szCs w:val="22"/>
              </w:rPr>
              <w:t xml:space="preserve"> </w:t>
            </w:r>
            <w:r>
              <w:rPr>
                <w:color w:val="000000"/>
                <w:szCs w:val="22"/>
              </w:rPr>
              <w:t>do</w:t>
            </w:r>
            <w:r w:rsidRPr="00B05FE8">
              <w:rPr>
                <w:color w:val="000000"/>
                <w:szCs w:val="22"/>
              </w:rPr>
              <w:t xml:space="preserve"> &lt;6</w:t>
            </w:r>
            <w:r>
              <w:rPr>
                <w:color w:val="000000"/>
                <w:szCs w:val="22"/>
              </w:rPr>
              <w:t> lat</w:t>
            </w:r>
          </w:p>
        </w:tc>
        <w:tc>
          <w:tcPr>
            <w:tcW w:w="2149" w:type="dxa"/>
            <w:shd w:val="clear" w:color="auto" w:fill="FFFFFF"/>
            <w:tcMar>
              <w:left w:w="60" w:type="dxa"/>
              <w:right w:w="60" w:type="dxa"/>
            </w:tcMar>
            <w:vAlign w:val="center"/>
          </w:tcPr>
          <w:p w14:paraId="4159D0ED" w14:textId="44891855" w:rsidR="00E473D7" w:rsidRPr="00B05FE8" w:rsidRDefault="00E473D7" w:rsidP="00F76F7E">
            <w:pPr>
              <w:keepNext/>
              <w:adjustRightInd w:val="0"/>
              <w:jc w:val="center"/>
              <w:rPr>
                <w:color w:val="000000"/>
                <w:szCs w:val="22"/>
              </w:rPr>
            </w:pPr>
            <w:r w:rsidRPr="00B05FE8">
              <w:rPr>
                <w:color w:val="000000"/>
                <w:szCs w:val="22"/>
              </w:rPr>
              <w:t>n</w:t>
            </w:r>
          </w:p>
        </w:tc>
        <w:tc>
          <w:tcPr>
            <w:tcW w:w="1545" w:type="dxa"/>
            <w:shd w:val="clear" w:color="auto" w:fill="FFFFFF"/>
            <w:tcMar>
              <w:left w:w="60" w:type="dxa"/>
              <w:right w:w="60" w:type="dxa"/>
            </w:tcMar>
            <w:vAlign w:val="center"/>
          </w:tcPr>
          <w:p w14:paraId="2DB0FBCD" w14:textId="77777777" w:rsidR="00E473D7" w:rsidRPr="00B05FE8" w:rsidRDefault="00E473D7" w:rsidP="00F76F7E">
            <w:pPr>
              <w:keepNext/>
              <w:adjustRightInd w:val="0"/>
              <w:jc w:val="center"/>
              <w:rPr>
                <w:color w:val="000000"/>
                <w:szCs w:val="22"/>
              </w:rPr>
            </w:pPr>
            <w:r w:rsidRPr="00B05FE8">
              <w:rPr>
                <w:color w:val="000000"/>
                <w:szCs w:val="22"/>
              </w:rPr>
              <w:t>6</w:t>
            </w:r>
          </w:p>
        </w:tc>
        <w:tc>
          <w:tcPr>
            <w:tcW w:w="1260" w:type="dxa"/>
            <w:shd w:val="clear" w:color="auto" w:fill="FFFFFF"/>
            <w:tcMar>
              <w:left w:w="60" w:type="dxa"/>
              <w:right w:w="60" w:type="dxa"/>
            </w:tcMar>
            <w:vAlign w:val="center"/>
          </w:tcPr>
          <w:p w14:paraId="79B8A9EE" w14:textId="77777777" w:rsidR="00E473D7" w:rsidRPr="00B05FE8" w:rsidRDefault="00E473D7" w:rsidP="00F76F7E">
            <w:pPr>
              <w:keepNext/>
              <w:adjustRightInd w:val="0"/>
              <w:jc w:val="center"/>
              <w:rPr>
                <w:color w:val="000000"/>
                <w:szCs w:val="22"/>
              </w:rPr>
            </w:pPr>
            <w:r w:rsidRPr="00B05FE8">
              <w:rPr>
                <w:color w:val="000000"/>
                <w:szCs w:val="22"/>
              </w:rPr>
              <w:t>8</w:t>
            </w:r>
          </w:p>
        </w:tc>
      </w:tr>
      <w:tr w:rsidR="00F76F7E" w:rsidRPr="00A465C0" w14:paraId="48EFD89F" w14:textId="77777777" w:rsidTr="00E473D7">
        <w:trPr>
          <w:cantSplit/>
        </w:trPr>
        <w:tc>
          <w:tcPr>
            <w:tcW w:w="2233" w:type="dxa"/>
            <w:shd w:val="clear" w:color="auto" w:fill="FFFFFF"/>
            <w:tcMar>
              <w:left w:w="60" w:type="dxa"/>
              <w:right w:w="60" w:type="dxa"/>
            </w:tcMar>
          </w:tcPr>
          <w:p w14:paraId="337B56F3" w14:textId="77777777" w:rsidR="00E473D7" w:rsidRPr="00B05FE8" w:rsidRDefault="00E473D7" w:rsidP="00F76F7E">
            <w:pPr>
              <w:keepNext/>
              <w:adjustRightInd w:val="0"/>
              <w:rPr>
                <w:color w:val="000000"/>
                <w:szCs w:val="22"/>
              </w:rPr>
            </w:pPr>
          </w:p>
        </w:tc>
        <w:tc>
          <w:tcPr>
            <w:tcW w:w="1878" w:type="dxa"/>
            <w:shd w:val="clear" w:color="auto" w:fill="FFFFFF"/>
            <w:tcMar>
              <w:left w:w="60" w:type="dxa"/>
              <w:right w:w="60" w:type="dxa"/>
            </w:tcMar>
          </w:tcPr>
          <w:p w14:paraId="1DC382A5" w14:textId="77777777" w:rsidR="00E473D7" w:rsidRPr="00B05FE8" w:rsidRDefault="00E473D7" w:rsidP="00F76F7E">
            <w:pPr>
              <w:keepNext/>
              <w:adjustRightInd w:val="0"/>
              <w:jc w:val="center"/>
              <w:rPr>
                <w:color w:val="000000"/>
                <w:szCs w:val="22"/>
              </w:rPr>
            </w:pPr>
          </w:p>
        </w:tc>
        <w:tc>
          <w:tcPr>
            <w:tcW w:w="2149" w:type="dxa"/>
            <w:shd w:val="clear" w:color="auto" w:fill="FFFFFF"/>
            <w:tcMar>
              <w:left w:w="60" w:type="dxa"/>
              <w:right w:w="60" w:type="dxa"/>
            </w:tcMar>
            <w:vAlign w:val="center"/>
          </w:tcPr>
          <w:p w14:paraId="7077A9AA" w14:textId="2EDCF177" w:rsidR="00E473D7" w:rsidRPr="00B05FE8" w:rsidRDefault="00E473D7" w:rsidP="00F76F7E">
            <w:pPr>
              <w:keepNext/>
              <w:adjustRightInd w:val="0"/>
              <w:jc w:val="center"/>
              <w:rPr>
                <w:color w:val="000000"/>
                <w:szCs w:val="22"/>
              </w:rPr>
            </w:pPr>
            <w:r>
              <w:rPr>
                <w:color w:val="000000"/>
                <w:szCs w:val="22"/>
              </w:rPr>
              <w:t>Średnia geometryczna</w:t>
            </w:r>
          </w:p>
        </w:tc>
        <w:tc>
          <w:tcPr>
            <w:tcW w:w="1545" w:type="dxa"/>
            <w:shd w:val="clear" w:color="auto" w:fill="FFFFFF"/>
            <w:tcMar>
              <w:left w:w="60" w:type="dxa"/>
              <w:right w:w="60" w:type="dxa"/>
            </w:tcMar>
            <w:vAlign w:val="center"/>
          </w:tcPr>
          <w:p w14:paraId="39B4C1AA" w14:textId="77777777" w:rsidR="00E473D7" w:rsidRPr="00B05FE8" w:rsidRDefault="00E473D7" w:rsidP="00F76F7E">
            <w:pPr>
              <w:keepNext/>
              <w:adjustRightInd w:val="0"/>
              <w:jc w:val="center"/>
              <w:rPr>
                <w:color w:val="000000"/>
                <w:szCs w:val="22"/>
              </w:rPr>
            </w:pPr>
            <w:r w:rsidRPr="00B05FE8">
              <w:rPr>
                <w:color w:val="000000"/>
                <w:szCs w:val="22"/>
              </w:rPr>
              <w:t>502</w:t>
            </w:r>
          </w:p>
        </w:tc>
        <w:tc>
          <w:tcPr>
            <w:tcW w:w="1260" w:type="dxa"/>
            <w:shd w:val="clear" w:color="auto" w:fill="FFFFFF"/>
            <w:tcMar>
              <w:left w:w="60" w:type="dxa"/>
              <w:right w:w="60" w:type="dxa"/>
            </w:tcMar>
            <w:vAlign w:val="center"/>
          </w:tcPr>
          <w:p w14:paraId="6676679A" w14:textId="270212B7" w:rsidR="00E473D7" w:rsidRPr="00B05FE8" w:rsidRDefault="00E473D7" w:rsidP="00F76F7E">
            <w:pPr>
              <w:keepNext/>
              <w:adjustRightInd w:val="0"/>
              <w:jc w:val="center"/>
              <w:rPr>
                <w:color w:val="000000"/>
                <w:szCs w:val="22"/>
              </w:rPr>
            </w:pPr>
            <w:r w:rsidRPr="00B05FE8">
              <w:rPr>
                <w:color w:val="000000"/>
                <w:szCs w:val="22"/>
              </w:rPr>
              <w:t>27</w:t>
            </w:r>
            <w:r>
              <w:rPr>
                <w:color w:val="000000"/>
                <w:szCs w:val="22"/>
              </w:rPr>
              <w:t>,</w:t>
            </w:r>
            <w:r w:rsidRPr="00B05FE8">
              <w:rPr>
                <w:color w:val="000000"/>
                <w:szCs w:val="22"/>
              </w:rPr>
              <w:t>1</w:t>
            </w:r>
          </w:p>
        </w:tc>
      </w:tr>
      <w:tr w:rsidR="00F76F7E" w:rsidRPr="00A465C0" w14:paraId="1650E2F9" w14:textId="77777777" w:rsidTr="00E473D7">
        <w:trPr>
          <w:cantSplit/>
        </w:trPr>
        <w:tc>
          <w:tcPr>
            <w:tcW w:w="2233" w:type="dxa"/>
            <w:shd w:val="clear" w:color="auto" w:fill="FFFFFF"/>
            <w:tcMar>
              <w:left w:w="60" w:type="dxa"/>
              <w:right w:w="60" w:type="dxa"/>
            </w:tcMar>
          </w:tcPr>
          <w:p w14:paraId="08194720" w14:textId="77777777" w:rsidR="00E473D7" w:rsidRPr="00B05FE8" w:rsidRDefault="00E473D7" w:rsidP="00F76F7E">
            <w:pPr>
              <w:keepNext/>
              <w:adjustRightInd w:val="0"/>
              <w:rPr>
                <w:color w:val="000000"/>
                <w:szCs w:val="22"/>
              </w:rPr>
            </w:pPr>
          </w:p>
        </w:tc>
        <w:tc>
          <w:tcPr>
            <w:tcW w:w="1878" w:type="dxa"/>
            <w:shd w:val="clear" w:color="auto" w:fill="FFFFFF"/>
            <w:tcMar>
              <w:left w:w="60" w:type="dxa"/>
              <w:right w:w="60" w:type="dxa"/>
            </w:tcMar>
          </w:tcPr>
          <w:p w14:paraId="4CCA5E42" w14:textId="77777777" w:rsidR="00E473D7" w:rsidRPr="00B05FE8" w:rsidRDefault="00E473D7" w:rsidP="00F76F7E">
            <w:pPr>
              <w:keepNext/>
              <w:adjustRightInd w:val="0"/>
              <w:jc w:val="center"/>
              <w:rPr>
                <w:color w:val="000000"/>
                <w:szCs w:val="22"/>
              </w:rPr>
            </w:pPr>
          </w:p>
        </w:tc>
        <w:tc>
          <w:tcPr>
            <w:tcW w:w="2149" w:type="dxa"/>
            <w:shd w:val="clear" w:color="auto" w:fill="FFFFFF"/>
            <w:tcMar>
              <w:left w:w="60" w:type="dxa"/>
              <w:right w:w="60" w:type="dxa"/>
            </w:tcMar>
            <w:vAlign w:val="center"/>
          </w:tcPr>
          <w:p w14:paraId="0A8ED655" w14:textId="38877363" w:rsidR="00E473D7" w:rsidRPr="00B05FE8" w:rsidRDefault="00E473D7" w:rsidP="00F76F7E">
            <w:pPr>
              <w:keepNext/>
              <w:adjustRightInd w:val="0"/>
              <w:jc w:val="center"/>
              <w:rPr>
                <w:color w:val="000000"/>
                <w:szCs w:val="22"/>
              </w:rPr>
            </w:pPr>
            <w:r w:rsidRPr="00B05FE8">
              <w:rPr>
                <w:color w:val="000000"/>
                <w:szCs w:val="22"/>
              </w:rPr>
              <w:t>Geo</w:t>
            </w:r>
            <w:r>
              <w:rPr>
                <w:color w:val="000000"/>
                <w:szCs w:val="22"/>
              </w:rPr>
              <w:t xml:space="preserve">metryczny </w:t>
            </w:r>
            <w:r w:rsidRPr="00B05FE8">
              <w:rPr>
                <w:color w:val="000000"/>
                <w:szCs w:val="22"/>
              </w:rPr>
              <w:t>CV%</w:t>
            </w:r>
          </w:p>
        </w:tc>
        <w:tc>
          <w:tcPr>
            <w:tcW w:w="1545" w:type="dxa"/>
            <w:shd w:val="clear" w:color="auto" w:fill="FFFFFF"/>
            <w:tcMar>
              <w:left w:w="60" w:type="dxa"/>
              <w:right w:w="60" w:type="dxa"/>
            </w:tcMar>
            <w:vAlign w:val="center"/>
          </w:tcPr>
          <w:p w14:paraId="24C131E1" w14:textId="7FF1C2BD" w:rsidR="00E473D7" w:rsidRPr="00B05FE8" w:rsidRDefault="00E473D7" w:rsidP="00F76F7E">
            <w:pPr>
              <w:keepNext/>
              <w:adjustRightInd w:val="0"/>
              <w:jc w:val="center"/>
              <w:rPr>
                <w:color w:val="000000"/>
                <w:szCs w:val="22"/>
              </w:rPr>
            </w:pPr>
            <w:r w:rsidRPr="00B05FE8">
              <w:rPr>
                <w:color w:val="000000"/>
                <w:szCs w:val="22"/>
              </w:rPr>
              <w:t>65</w:t>
            </w:r>
            <w:r>
              <w:rPr>
                <w:color w:val="000000"/>
                <w:szCs w:val="22"/>
              </w:rPr>
              <w:t>,</w:t>
            </w:r>
            <w:r w:rsidRPr="00B05FE8">
              <w:rPr>
                <w:color w:val="000000"/>
                <w:szCs w:val="22"/>
              </w:rPr>
              <w:t>6</w:t>
            </w:r>
          </w:p>
        </w:tc>
        <w:tc>
          <w:tcPr>
            <w:tcW w:w="1260" w:type="dxa"/>
            <w:shd w:val="clear" w:color="auto" w:fill="FFFFFF"/>
            <w:tcMar>
              <w:left w:w="60" w:type="dxa"/>
              <w:right w:w="60" w:type="dxa"/>
            </w:tcMar>
            <w:vAlign w:val="center"/>
          </w:tcPr>
          <w:p w14:paraId="22A344A7" w14:textId="5CC2528C" w:rsidR="00E473D7" w:rsidRPr="00B05FE8" w:rsidRDefault="00E473D7" w:rsidP="00F76F7E">
            <w:pPr>
              <w:keepNext/>
              <w:adjustRightInd w:val="0"/>
              <w:jc w:val="center"/>
              <w:rPr>
                <w:color w:val="000000"/>
                <w:szCs w:val="22"/>
              </w:rPr>
            </w:pPr>
            <w:r w:rsidRPr="00B05FE8">
              <w:rPr>
                <w:color w:val="000000"/>
                <w:szCs w:val="22"/>
              </w:rPr>
              <w:t>40</w:t>
            </w:r>
            <w:r>
              <w:rPr>
                <w:color w:val="000000"/>
                <w:szCs w:val="22"/>
              </w:rPr>
              <w:t>,</w:t>
            </w:r>
            <w:r w:rsidRPr="00B05FE8">
              <w:rPr>
                <w:color w:val="000000"/>
                <w:szCs w:val="22"/>
              </w:rPr>
              <w:t>6</w:t>
            </w:r>
          </w:p>
        </w:tc>
      </w:tr>
      <w:tr w:rsidR="00F76F7E" w:rsidRPr="00A465C0" w14:paraId="7EC55D0E" w14:textId="77777777" w:rsidTr="00E473D7">
        <w:trPr>
          <w:cantSplit/>
        </w:trPr>
        <w:tc>
          <w:tcPr>
            <w:tcW w:w="2233" w:type="dxa"/>
            <w:shd w:val="clear" w:color="auto" w:fill="FFFFFF"/>
            <w:tcMar>
              <w:left w:w="60" w:type="dxa"/>
              <w:right w:w="60" w:type="dxa"/>
            </w:tcMar>
          </w:tcPr>
          <w:p w14:paraId="0E2DF4E9" w14:textId="77777777" w:rsidR="00E473D7" w:rsidRPr="00B05FE8" w:rsidRDefault="00E473D7" w:rsidP="00F76F7E">
            <w:pPr>
              <w:keepNext/>
              <w:adjustRightInd w:val="0"/>
              <w:rPr>
                <w:color w:val="000000"/>
                <w:szCs w:val="22"/>
              </w:rPr>
            </w:pPr>
          </w:p>
        </w:tc>
        <w:tc>
          <w:tcPr>
            <w:tcW w:w="1878" w:type="dxa"/>
            <w:shd w:val="clear" w:color="auto" w:fill="FFFFFF"/>
            <w:tcMar>
              <w:left w:w="60" w:type="dxa"/>
              <w:right w:w="60" w:type="dxa"/>
            </w:tcMar>
          </w:tcPr>
          <w:p w14:paraId="14194E69" w14:textId="7B2216A4" w:rsidR="00E473D7" w:rsidRPr="00B05FE8" w:rsidRDefault="00E473D7" w:rsidP="00F76F7E">
            <w:pPr>
              <w:keepNext/>
              <w:adjustRightInd w:val="0"/>
              <w:jc w:val="center"/>
              <w:rPr>
                <w:color w:val="000000"/>
                <w:szCs w:val="22"/>
              </w:rPr>
            </w:pPr>
            <w:r w:rsidRPr="00B05FE8">
              <w:rPr>
                <w:color w:val="000000"/>
                <w:szCs w:val="22"/>
              </w:rPr>
              <w:t xml:space="preserve">6 </w:t>
            </w:r>
            <w:r>
              <w:rPr>
                <w:color w:val="000000"/>
                <w:szCs w:val="22"/>
              </w:rPr>
              <w:t>do</w:t>
            </w:r>
            <w:r w:rsidRPr="00B05FE8">
              <w:rPr>
                <w:color w:val="000000"/>
                <w:szCs w:val="22"/>
              </w:rPr>
              <w:t xml:space="preserve"> &lt;18</w:t>
            </w:r>
            <w:r>
              <w:rPr>
                <w:color w:val="000000"/>
                <w:szCs w:val="22"/>
              </w:rPr>
              <w:t> lat</w:t>
            </w:r>
          </w:p>
        </w:tc>
        <w:tc>
          <w:tcPr>
            <w:tcW w:w="2149" w:type="dxa"/>
            <w:shd w:val="clear" w:color="auto" w:fill="FFFFFF"/>
            <w:tcMar>
              <w:left w:w="60" w:type="dxa"/>
              <w:right w:w="60" w:type="dxa"/>
            </w:tcMar>
            <w:vAlign w:val="center"/>
          </w:tcPr>
          <w:p w14:paraId="29E1DBBA" w14:textId="65D487CF" w:rsidR="00E473D7" w:rsidRPr="00B05FE8" w:rsidRDefault="00E473D7" w:rsidP="00F76F7E">
            <w:pPr>
              <w:keepNext/>
              <w:adjustRightInd w:val="0"/>
              <w:jc w:val="center"/>
              <w:rPr>
                <w:color w:val="000000"/>
                <w:szCs w:val="22"/>
              </w:rPr>
            </w:pPr>
            <w:r w:rsidRPr="00B05FE8">
              <w:rPr>
                <w:color w:val="000000"/>
                <w:szCs w:val="22"/>
              </w:rPr>
              <w:t>n</w:t>
            </w:r>
          </w:p>
        </w:tc>
        <w:tc>
          <w:tcPr>
            <w:tcW w:w="1545" w:type="dxa"/>
            <w:shd w:val="clear" w:color="auto" w:fill="FFFFFF"/>
            <w:tcMar>
              <w:left w:w="60" w:type="dxa"/>
              <w:right w:w="60" w:type="dxa"/>
            </w:tcMar>
            <w:vAlign w:val="center"/>
          </w:tcPr>
          <w:p w14:paraId="58B73048" w14:textId="77777777" w:rsidR="00E473D7" w:rsidRPr="00B05FE8" w:rsidRDefault="00E473D7" w:rsidP="00F76F7E">
            <w:pPr>
              <w:keepNext/>
              <w:adjustRightInd w:val="0"/>
              <w:jc w:val="center"/>
              <w:rPr>
                <w:color w:val="000000"/>
                <w:szCs w:val="22"/>
              </w:rPr>
            </w:pPr>
            <w:r w:rsidRPr="00B05FE8">
              <w:rPr>
                <w:color w:val="000000"/>
                <w:szCs w:val="22"/>
              </w:rPr>
              <w:t>10</w:t>
            </w:r>
          </w:p>
        </w:tc>
        <w:tc>
          <w:tcPr>
            <w:tcW w:w="1260" w:type="dxa"/>
            <w:shd w:val="clear" w:color="auto" w:fill="FFFFFF"/>
            <w:tcMar>
              <w:left w:w="60" w:type="dxa"/>
              <w:right w:w="60" w:type="dxa"/>
            </w:tcMar>
            <w:vAlign w:val="center"/>
          </w:tcPr>
          <w:p w14:paraId="06C41F77" w14:textId="77777777" w:rsidR="00E473D7" w:rsidRPr="00B05FE8" w:rsidRDefault="00E473D7" w:rsidP="00F76F7E">
            <w:pPr>
              <w:keepNext/>
              <w:adjustRightInd w:val="0"/>
              <w:jc w:val="center"/>
              <w:rPr>
                <w:color w:val="000000"/>
                <w:szCs w:val="22"/>
              </w:rPr>
            </w:pPr>
            <w:r w:rsidRPr="00B05FE8">
              <w:rPr>
                <w:color w:val="000000"/>
                <w:szCs w:val="22"/>
              </w:rPr>
              <w:t>15</w:t>
            </w:r>
          </w:p>
        </w:tc>
      </w:tr>
      <w:tr w:rsidR="00F76F7E" w:rsidRPr="00A465C0" w14:paraId="2E6A0759" w14:textId="77777777" w:rsidTr="00E473D7">
        <w:trPr>
          <w:cantSplit/>
        </w:trPr>
        <w:tc>
          <w:tcPr>
            <w:tcW w:w="2233" w:type="dxa"/>
            <w:shd w:val="clear" w:color="auto" w:fill="FFFFFF"/>
            <w:tcMar>
              <w:left w:w="60" w:type="dxa"/>
              <w:right w:w="60" w:type="dxa"/>
            </w:tcMar>
          </w:tcPr>
          <w:p w14:paraId="36E1CC5C" w14:textId="77777777" w:rsidR="00E473D7" w:rsidRPr="00B05FE8" w:rsidRDefault="00E473D7" w:rsidP="00F76F7E">
            <w:pPr>
              <w:keepNext/>
              <w:adjustRightInd w:val="0"/>
              <w:rPr>
                <w:color w:val="000000"/>
                <w:szCs w:val="22"/>
              </w:rPr>
            </w:pPr>
          </w:p>
        </w:tc>
        <w:tc>
          <w:tcPr>
            <w:tcW w:w="1878" w:type="dxa"/>
            <w:shd w:val="clear" w:color="auto" w:fill="FFFFFF"/>
            <w:tcMar>
              <w:left w:w="60" w:type="dxa"/>
              <w:right w:w="60" w:type="dxa"/>
            </w:tcMar>
          </w:tcPr>
          <w:p w14:paraId="0F69C69B" w14:textId="77777777" w:rsidR="00E473D7" w:rsidRPr="00B05FE8" w:rsidRDefault="00E473D7" w:rsidP="00F76F7E">
            <w:pPr>
              <w:keepNext/>
              <w:adjustRightInd w:val="0"/>
              <w:jc w:val="center"/>
              <w:rPr>
                <w:color w:val="000000"/>
                <w:szCs w:val="22"/>
              </w:rPr>
            </w:pPr>
          </w:p>
        </w:tc>
        <w:tc>
          <w:tcPr>
            <w:tcW w:w="2149" w:type="dxa"/>
            <w:shd w:val="clear" w:color="auto" w:fill="FFFFFF"/>
            <w:tcMar>
              <w:left w:w="60" w:type="dxa"/>
              <w:right w:w="60" w:type="dxa"/>
            </w:tcMar>
            <w:vAlign w:val="center"/>
          </w:tcPr>
          <w:p w14:paraId="67F4F256" w14:textId="14EE6D49" w:rsidR="00E473D7" w:rsidRPr="00B05FE8" w:rsidRDefault="00E473D7" w:rsidP="00F76F7E">
            <w:pPr>
              <w:keepNext/>
              <w:adjustRightInd w:val="0"/>
              <w:jc w:val="center"/>
              <w:rPr>
                <w:color w:val="000000"/>
                <w:szCs w:val="22"/>
              </w:rPr>
            </w:pPr>
            <w:r>
              <w:rPr>
                <w:color w:val="000000"/>
                <w:szCs w:val="22"/>
              </w:rPr>
              <w:t>Średnia geometryczna</w:t>
            </w:r>
          </w:p>
        </w:tc>
        <w:tc>
          <w:tcPr>
            <w:tcW w:w="1545" w:type="dxa"/>
            <w:shd w:val="clear" w:color="auto" w:fill="FFFFFF"/>
            <w:tcMar>
              <w:left w:w="60" w:type="dxa"/>
              <w:right w:w="60" w:type="dxa"/>
            </w:tcMar>
            <w:vAlign w:val="center"/>
          </w:tcPr>
          <w:p w14:paraId="3B01B8C4" w14:textId="77777777" w:rsidR="00E473D7" w:rsidRPr="00B05FE8" w:rsidRDefault="00E473D7" w:rsidP="00F76F7E">
            <w:pPr>
              <w:keepNext/>
              <w:adjustRightInd w:val="0"/>
              <w:jc w:val="center"/>
              <w:rPr>
                <w:color w:val="000000"/>
                <w:szCs w:val="22"/>
              </w:rPr>
            </w:pPr>
            <w:r w:rsidRPr="00B05FE8">
              <w:rPr>
                <w:color w:val="000000"/>
                <w:szCs w:val="22"/>
              </w:rPr>
              <w:t>275</w:t>
            </w:r>
          </w:p>
        </w:tc>
        <w:tc>
          <w:tcPr>
            <w:tcW w:w="1260" w:type="dxa"/>
            <w:shd w:val="clear" w:color="auto" w:fill="FFFFFF"/>
            <w:tcMar>
              <w:left w:w="60" w:type="dxa"/>
              <w:right w:w="60" w:type="dxa"/>
            </w:tcMar>
            <w:vAlign w:val="center"/>
          </w:tcPr>
          <w:p w14:paraId="4C1A03C8" w14:textId="2992F220" w:rsidR="00E473D7" w:rsidRPr="00B05FE8" w:rsidRDefault="00E473D7" w:rsidP="00F76F7E">
            <w:pPr>
              <w:keepNext/>
              <w:adjustRightInd w:val="0"/>
              <w:jc w:val="center"/>
              <w:rPr>
                <w:color w:val="000000"/>
                <w:szCs w:val="22"/>
              </w:rPr>
            </w:pPr>
            <w:r w:rsidRPr="00B05FE8">
              <w:rPr>
                <w:color w:val="000000"/>
                <w:szCs w:val="22"/>
              </w:rPr>
              <w:t>15</w:t>
            </w:r>
            <w:r>
              <w:rPr>
                <w:color w:val="000000"/>
                <w:szCs w:val="22"/>
              </w:rPr>
              <w:t>,</w:t>
            </w:r>
            <w:r w:rsidRPr="00B05FE8">
              <w:rPr>
                <w:color w:val="000000"/>
                <w:szCs w:val="22"/>
              </w:rPr>
              <w:t>6</w:t>
            </w:r>
          </w:p>
        </w:tc>
      </w:tr>
      <w:tr w:rsidR="00F76F7E" w:rsidRPr="00A465C0" w14:paraId="1F239F4E" w14:textId="77777777" w:rsidTr="00E473D7">
        <w:trPr>
          <w:cantSplit/>
        </w:trPr>
        <w:tc>
          <w:tcPr>
            <w:tcW w:w="2233" w:type="dxa"/>
            <w:shd w:val="clear" w:color="auto" w:fill="FFFFFF"/>
            <w:tcMar>
              <w:left w:w="60" w:type="dxa"/>
              <w:right w:w="60" w:type="dxa"/>
            </w:tcMar>
          </w:tcPr>
          <w:p w14:paraId="0466D6DE" w14:textId="77777777" w:rsidR="00E473D7" w:rsidRPr="00B05FE8" w:rsidRDefault="00E473D7" w:rsidP="00F76F7E">
            <w:pPr>
              <w:keepNext/>
              <w:adjustRightInd w:val="0"/>
              <w:rPr>
                <w:color w:val="000000"/>
                <w:szCs w:val="22"/>
              </w:rPr>
            </w:pPr>
          </w:p>
        </w:tc>
        <w:tc>
          <w:tcPr>
            <w:tcW w:w="1878" w:type="dxa"/>
            <w:shd w:val="clear" w:color="auto" w:fill="FFFFFF"/>
            <w:tcMar>
              <w:left w:w="60" w:type="dxa"/>
              <w:right w:w="60" w:type="dxa"/>
            </w:tcMar>
          </w:tcPr>
          <w:p w14:paraId="784DB4EC" w14:textId="77777777" w:rsidR="00E473D7" w:rsidRPr="00B05FE8" w:rsidRDefault="00E473D7" w:rsidP="00F76F7E">
            <w:pPr>
              <w:keepNext/>
              <w:adjustRightInd w:val="0"/>
              <w:jc w:val="center"/>
              <w:rPr>
                <w:color w:val="000000"/>
                <w:szCs w:val="22"/>
              </w:rPr>
            </w:pPr>
          </w:p>
        </w:tc>
        <w:tc>
          <w:tcPr>
            <w:tcW w:w="2149" w:type="dxa"/>
            <w:shd w:val="clear" w:color="auto" w:fill="FFFFFF"/>
            <w:tcMar>
              <w:left w:w="60" w:type="dxa"/>
              <w:right w:w="60" w:type="dxa"/>
            </w:tcMar>
            <w:vAlign w:val="center"/>
          </w:tcPr>
          <w:p w14:paraId="5822BD5D" w14:textId="3FFDB969" w:rsidR="00E473D7" w:rsidRPr="00B05FE8" w:rsidRDefault="00E473D7" w:rsidP="00F76F7E">
            <w:pPr>
              <w:keepNext/>
              <w:adjustRightInd w:val="0"/>
              <w:jc w:val="center"/>
              <w:rPr>
                <w:color w:val="000000"/>
                <w:szCs w:val="22"/>
              </w:rPr>
            </w:pPr>
            <w:r w:rsidRPr="00B05FE8">
              <w:rPr>
                <w:color w:val="000000"/>
                <w:szCs w:val="22"/>
              </w:rPr>
              <w:t>Geo</w:t>
            </w:r>
            <w:r>
              <w:rPr>
                <w:color w:val="000000"/>
                <w:szCs w:val="22"/>
              </w:rPr>
              <w:t xml:space="preserve">metryczny </w:t>
            </w:r>
            <w:r w:rsidRPr="00B05FE8">
              <w:rPr>
                <w:color w:val="000000"/>
                <w:szCs w:val="22"/>
              </w:rPr>
              <w:t>CV%</w:t>
            </w:r>
          </w:p>
        </w:tc>
        <w:tc>
          <w:tcPr>
            <w:tcW w:w="1545" w:type="dxa"/>
            <w:shd w:val="clear" w:color="auto" w:fill="FFFFFF"/>
            <w:tcMar>
              <w:left w:w="60" w:type="dxa"/>
              <w:right w:w="60" w:type="dxa"/>
            </w:tcMar>
            <w:vAlign w:val="center"/>
          </w:tcPr>
          <w:p w14:paraId="47C78DE6" w14:textId="39B1DA43" w:rsidR="00E473D7" w:rsidRPr="00B05FE8" w:rsidRDefault="00E473D7" w:rsidP="00F76F7E">
            <w:pPr>
              <w:keepNext/>
              <w:adjustRightInd w:val="0"/>
              <w:jc w:val="center"/>
              <w:rPr>
                <w:color w:val="000000"/>
                <w:szCs w:val="22"/>
              </w:rPr>
            </w:pPr>
            <w:r w:rsidRPr="00B05FE8">
              <w:rPr>
                <w:color w:val="000000"/>
                <w:szCs w:val="22"/>
              </w:rPr>
              <w:t>52</w:t>
            </w:r>
            <w:r>
              <w:rPr>
                <w:color w:val="000000"/>
                <w:szCs w:val="22"/>
              </w:rPr>
              <w:t>,</w:t>
            </w:r>
            <w:r w:rsidRPr="00B05FE8">
              <w:rPr>
                <w:color w:val="000000"/>
                <w:szCs w:val="22"/>
              </w:rPr>
              <w:t>6</w:t>
            </w:r>
          </w:p>
        </w:tc>
        <w:tc>
          <w:tcPr>
            <w:tcW w:w="1260" w:type="dxa"/>
            <w:shd w:val="clear" w:color="auto" w:fill="FFFFFF"/>
            <w:tcMar>
              <w:left w:w="60" w:type="dxa"/>
              <w:right w:w="60" w:type="dxa"/>
            </w:tcMar>
            <w:vAlign w:val="center"/>
          </w:tcPr>
          <w:p w14:paraId="4D9B86B9" w14:textId="36EF0C77" w:rsidR="00E473D7" w:rsidRPr="00B05FE8" w:rsidRDefault="00E473D7" w:rsidP="00F76F7E">
            <w:pPr>
              <w:keepNext/>
              <w:adjustRightInd w:val="0"/>
              <w:jc w:val="center"/>
              <w:rPr>
                <w:color w:val="000000"/>
                <w:szCs w:val="22"/>
              </w:rPr>
            </w:pPr>
            <w:r w:rsidRPr="00B05FE8">
              <w:rPr>
                <w:color w:val="000000"/>
                <w:szCs w:val="22"/>
              </w:rPr>
              <w:t>47</w:t>
            </w:r>
            <w:r>
              <w:rPr>
                <w:color w:val="000000"/>
                <w:szCs w:val="22"/>
              </w:rPr>
              <w:t>,</w:t>
            </w:r>
            <w:r w:rsidRPr="00B05FE8">
              <w:rPr>
                <w:color w:val="000000"/>
                <w:szCs w:val="22"/>
              </w:rPr>
              <w:t>2</w:t>
            </w:r>
          </w:p>
        </w:tc>
      </w:tr>
      <w:tr w:rsidR="00F76F7E" w:rsidRPr="00A465C0" w14:paraId="20BD96EA" w14:textId="77777777" w:rsidTr="00E473D7">
        <w:trPr>
          <w:cantSplit/>
        </w:trPr>
        <w:tc>
          <w:tcPr>
            <w:tcW w:w="2233" w:type="dxa"/>
            <w:shd w:val="clear" w:color="auto" w:fill="FFFFFF"/>
            <w:tcMar>
              <w:left w:w="60" w:type="dxa"/>
              <w:right w:w="60" w:type="dxa"/>
            </w:tcMar>
          </w:tcPr>
          <w:p w14:paraId="39018288" w14:textId="7BCC9B0D" w:rsidR="00E473D7" w:rsidRPr="00B05FE8" w:rsidRDefault="00E473D7" w:rsidP="00F76F7E">
            <w:pPr>
              <w:keepNext/>
              <w:adjustRightInd w:val="0"/>
              <w:ind w:left="0" w:firstLine="0"/>
              <w:rPr>
                <w:color w:val="000000"/>
                <w:szCs w:val="22"/>
              </w:rPr>
            </w:pPr>
            <w:r>
              <w:rPr>
                <w:color w:val="000000"/>
                <w:szCs w:val="22"/>
              </w:rPr>
              <w:t>Pacjenci razem</w:t>
            </w:r>
            <w:r w:rsidRPr="00B05FE8">
              <w:rPr>
                <w:color w:val="000000"/>
                <w:szCs w:val="22"/>
              </w:rPr>
              <w:t xml:space="preserve"> (N=38)</w:t>
            </w:r>
          </w:p>
        </w:tc>
        <w:tc>
          <w:tcPr>
            <w:tcW w:w="1878" w:type="dxa"/>
            <w:shd w:val="clear" w:color="auto" w:fill="FFFFFF"/>
            <w:tcMar>
              <w:left w:w="60" w:type="dxa"/>
              <w:right w:w="60" w:type="dxa"/>
            </w:tcMar>
          </w:tcPr>
          <w:p w14:paraId="09F97DA4" w14:textId="504D1031" w:rsidR="00E473D7" w:rsidRPr="00B05FE8" w:rsidRDefault="00E473D7" w:rsidP="00F76F7E">
            <w:pPr>
              <w:keepNext/>
              <w:adjustRightInd w:val="0"/>
              <w:jc w:val="center"/>
              <w:rPr>
                <w:color w:val="000000"/>
                <w:szCs w:val="22"/>
              </w:rPr>
            </w:pPr>
            <w:r>
              <w:rPr>
                <w:color w:val="000000"/>
                <w:szCs w:val="22"/>
              </w:rPr>
              <w:t>2</w:t>
            </w:r>
            <w:r w:rsidRPr="00B05FE8">
              <w:rPr>
                <w:color w:val="000000"/>
                <w:szCs w:val="22"/>
              </w:rPr>
              <w:t xml:space="preserve"> </w:t>
            </w:r>
            <w:r>
              <w:rPr>
                <w:color w:val="000000"/>
                <w:szCs w:val="22"/>
              </w:rPr>
              <w:t>do</w:t>
            </w:r>
            <w:r w:rsidRPr="00B05FE8">
              <w:rPr>
                <w:color w:val="000000"/>
                <w:szCs w:val="22"/>
              </w:rPr>
              <w:t xml:space="preserve"> &lt;6</w:t>
            </w:r>
            <w:r>
              <w:rPr>
                <w:color w:val="000000"/>
                <w:szCs w:val="22"/>
              </w:rPr>
              <w:t> lat</w:t>
            </w:r>
          </w:p>
        </w:tc>
        <w:tc>
          <w:tcPr>
            <w:tcW w:w="2149" w:type="dxa"/>
            <w:shd w:val="clear" w:color="auto" w:fill="FFFFFF"/>
            <w:tcMar>
              <w:left w:w="60" w:type="dxa"/>
              <w:right w:w="60" w:type="dxa"/>
            </w:tcMar>
            <w:vAlign w:val="center"/>
          </w:tcPr>
          <w:p w14:paraId="4355B513" w14:textId="4D47587E" w:rsidR="00E473D7" w:rsidRPr="00B05FE8" w:rsidRDefault="00E473D7" w:rsidP="00F76F7E">
            <w:pPr>
              <w:keepNext/>
              <w:adjustRightInd w:val="0"/>
              <w:jc w:val="center"/>
              <w:rPr>
                <w:color w:val="000000"/>
                <w:szCs w:val="22"/>
              </w:rPr>
            </w:pPr>
            <w:r w:rsidRPr="00B05FE8">
              <w:rPr>
                <w:color w:val="000000"/>
                <w:szCs w:val="22"/>
              </w:rPr>
              <w:t>n</w:t>
            </w:r>
          </w:p>
        </w:tc>
        <w:tc>
          <w:tcPr>
            <w:tcW w:w="1545" w:type="dxa"/>
            <w:shd w:val="clear" w:color="auto" w:fill="FFFFFF"/>
            <w:tcMar>
              <w:left w:w="60" w:type="dxa"/>
              <w:right w:w="60" w:type="dxa"/>
            </w:tcMar>
            <w:vAlign w:val="center"/>
          </w:tcPr>
          <w:p w14:paraId="4A107218" w14:textId="77777777" w:rsidR="00E473D7" w:rsidRPr="00B05FE8" w:rsidRDefault="00E473D7" w:rsidP="00F76F7E">
            <w:pPr>
              <w:keepNext/>
              <w:adjustRightInd w:val="0"/>
              <w:jc w:val="center"/>
              <w:rPr>
                <w:color w:val="000000"/>
                <w:szCs w:val="22"/>
              </w:rPr>
            </w:pPr>
            <w:r w:rsidRPr="00B05FE8">
              <w:rPr>
                <w:color w:val="000000"/>
                <w:szCs w:val="22"/>
              </w:rPr>
              <w:t>7</w:t>
            </w:r>
          </w:p>
        </w:tc>
        <w:tc>
          <w:tcPr>
            <w:tcW w:w="1260" w:type="dxa"/>
            <w:shd w:val="clear" w:color="auto" w:fill="FFFFFF"/>
            <w:tcMar>
              <w:left w:w="60" w:type="dxa"/>
              <w:right w:w="60" w:type="dxa"/>
            </w:tcMar>
            <w:vAlign w:val="center"/>
          </w:tcPr>
          <w:p w14:paraId="73F5D48A" w14:textId="77777777" w:rsidR="00E473D7" w:rsidRPr="00B05FE8" w:rsidRDefault="00E473D7" w:rsidP="00F76F7E">
            <w:pPr>
              <w:keepNext/>
              <w:adjustRightInd w:val="0"/>
              <w:jc w:val="center"/>
              <w:rPr>
                <w:color w:val="000000"/>
                <w:szCs w:val="22"/>
              </w:rPr>
            </w:pPr>
            <w:r w:rsidRPr="00B05FE8">
              <w:rPr>
                <w:color w:val="000000"/>
                <w:szCs w:val="22"/>
              </w:rPr>
              <w:t>9</w:t>
            </w:r>
          </w:p>
        </w:tc>
      </w:tr>
      <w:tr w:rsidR="00F76F7E" w:rsidRPr="00A465C0" w14:paraId="6CAC545B" w14:textId="77777777" w:rsidTr="00E473D7">
        <w:trPr>
          <w:cantSplit/>
        </w:trPr>
        <w:tc>
          <w:tcPr>
            <w:tcW w:w="2233" w:type="dxa"/>
            <w:shd w:val="clear" w:color="auto" w:fill="FFFFFF"/>
            <w:tcMar>
              <w:left w:w="60" w:type="dxa"/>
              <w:right w:w="60" w:type="dxa"/>
            </w:tcMar>
          </w:tcPr>
          <w:p w14:paraId="27F709ED" w14:textId="77777777" w:rsidR="00E473D7" w:rsidRPr="00B05FE8" w:rsidRDefault="00E473D7" w:rsidP="00F76F7E">
            <w:pPr>
              <w:keepNext/>
              <w:adjustRightInd w:val="0"/>
              <w:rPr>
                <w:color w:val="000000"/>
                <w:szCs w:val="22"/>
              </w:rPr>
            </w:pPr>
          </w:p>
        </w:tc>
        <w:tc>
          <w:tcPr>
            <w:tcW w:w="1878" w:type="dxa"/>
            <w:shd w:val="clear" w:color="auto" w:fill="FFFFFF"/>
            <w:tcMar>
              <w:left w:w="60" w:type="dxa"/>
              <w:right w:w="60" w:type="dxa"/>
            </w:tcMar>
          </w:tcPr>
          <w:p w14:paraId="4B449C91" w14:textId="77777777" w:rsidR="00E473D7" w:rsidRPr="00B05FE8" w:rsidRDefault="00E473D7" w:rsidP="00F76F7E">
            <w:pPr>
              <w:keepNext/>
              <w:adjustRightInd w:val="0"/>
              <w:jc w:val="center"/>
              <w:rPr>
                <w:color w:val="000000"/>
                <w:szCs w:val="22"/>
              </w:rPr>
            </w:pPr>
          </w:p>
        </w:tc>
        <w:tc>
          <w:tcPr>
            <w:tcW w:w="2149" w:type="dxa"/>
            <w:shd w:val="clear" w:color="auto" w:fill="FFFFFF"/>
            <w:tcMar>
              <w:left w:w="60" w:type="dxa"/>
              <w:right w:w="60" w:type="dxa"/>
            </w:tcMar>
            <w:vAlign w:val="center"/>
          </w:tcPr>
          <w:p w14:paraId="22374DDB" w14:textId="2CF1E99A" w:rsidR="00E473D7" w:rsidRPr="00B05FE8" w:rsidRDefault="00E473D7" w:rsidP="00F76F7E">
            <w:pPr>
              <w:keepNext/>
              <w:adjustRightInd w:val="0"/>
              <w:jc w:val="center"/>
              <w:rPr>
                <w:color w:val="000000"/>
                <w:szCs w:val="22"/>
              </w:rPr>
            </w:pPr>
            <w:r>
              <w:rPr>
                <w:color w:val="000000"/>
                <w:szCs w:val="22"/>
              </w:rPr>
              <w:t>Średnia geometryczna</w:t>
            </w:r>
          </w:p>
        </w:tc>
        <w:tc>
          <w:tcPr>
            <w:tcW w:w="1545" w:type="dxa"/>
            <w:shd w:val="clear" w:color="auto" w:fill="FFFFFF"/>
            <w:tcMar>
              <w:left w:w="60" w:type="dxa"/>
              <w:right w:w="60" w:type="dxa"/>
            </w:tcMar>
            <w:vAlign w:val="center"/>
          </w:tcPr>
          <w:p w14:paraId="3EB2829B" w14:textId="77777777" w:rsidR="00E473D7" w:rsidRPr="00B05FE8" w:rsidRDefault="00E473D7" w:rsidP="00F76F7E">
            <w:pPr>
              <w:keepNext/>
              <w:adjustRightInd w:val="0"/>
              <w:jc w:val="center"/>
              <w:rPr>
                <w:color w:val="000000"/>
                <w:szCs w:val="22"/>
              </w:rPr>
            </w:pPr>
            <w:r w:rsidRPr="00B05FE8">
              <w:rPr>
                <w:color w:val="000000"/>
                <w:szCs w:val="22"/>
              </w:rPr>
              <w:t>460</w:t>
            </w:r>
          </w:p>
        </w:tc>
        <w:tc>
          <w:tcPr>
            <w:tcW w:w="1260" w:type="dxa"/>
            <w:shd w:val="clear" w:color="auto" w:fill="FFFFFF"/>
            <w:tcMar>
              <w:left w:w="60" w:type="dxa"/>
              <w:right w:w="60" w:type="dxa"/>
            </w:tcMar>
            <w:vAlign w:val="center"/>
          </w:tcPr>
          <w:p w14:paraId="6149490D" w14:textId="2F9C240A" w:rsidR="00E473D7" w:rsidRPr="00B05FE8" w:rsidRDefault="00E473D7" w:rsidP="00F76F7E">
            <w:pPr>
              <w:keepNext/>
              <w:adjustRightInd w:val="0"/>
              <w:jc w:val="center"/>
              <w:rPr>
                <w:color w:val="000000"/>
                <w:szCs w:val="22"/>
              </w:rPr>
            </w:pPr>
            <w:r w:rsidRPr="00B05FE8">
              <w:rPr>
                <w:color w:val="000000"/>
                <w:szCs w:val="22"/>
              </w:rPr>
              <w:t>25</w:t>
            </w:r>
            <w:r>
              <w:rPr>
                <w:color w:val="000000"/>
                <w:szCs w:val="22"/>
              </w:rPr>
              <w:t>,</w:t>
            </w:r>
            <w:r w:rsidRPr="00B05FE8">
              <w:rPr>
                <w:color w:val="000000"/>
                <w:szCs w:val="22"/>
              </w:rPr>
              <w:t>6</w:t>
            </w:r>
          </w:p>
        </w:tc>
      </w:tr>
      <w:tr w:rsidR="00F76F7E" w:rsidRPr="00A465C0" w14:paraId="27E11136" w14:textId="77777777" w:rsidTr="00E473D7">
        <w:trPr>
          <w:cantSplit/>
        </w:trPr>
        <w:tc>
          <w:tcPr>
            <w:tcW w:w="2233" w:type="dxa"/>
            <w:shd w:val="clear" w:color="auto" w:fill="FFFFFF"/>
            <w:tcMar>
              <w:left w:w="60" w:type="dxa"/>
              <w:right w:w="60" w:type="dxa"/>
            </w:tcMar>
          </w:tcPr>
          <w:p w14:paraId="18BAD626" w14:textId="77777777" w:rsidR="00E473D7" w:rsidRPr="00B05FE8" w:rsidRDefault="00E473D7" w:rsidP="00F76F7E">
            <w:pPr>
              <w:keepNext/>
              <w:adjustRightInd w:val="0"/>
              <w:rPr>
                <w:color w:val="000000"/>
                <w:szCs w:val="22"/>
              </w:rPr>
            </w:pPr>
          </w:p>
        </w:tc>
        <w:tc>
          <w:tcPr>
            <w:tcW w:w="1878" w:type="dxa"/>
            <w:shd w:val="clear" w:color="auto" w:fill="FFFFFF"/>
            <w:tcMar>
              <w:left w:w="60" w:type="dxa"/>
              <w:right w:w="60" w:type="dxa"/>
            </w:tcMar>
          </w:tcPr>
          <w:p w14:paraId="52B6248E" w14:textId="77777777" w:rsidR="00E473D7" w:rsidRPr="00B05FE8" w:rsidRDefault="00E473D7" w:rsidP="00F76F7E">
            <w:pPr>
              <w:keepNext/>
              <w:adjustRightInd w:val="0"/>
              <w:jc w:val="center"/>
              <w:rPr>
                <w:color w:val="000000"/>
                <w:szCs w:val="22"/>
              </w:rPr>
            </w:pPr>
          </w:p>
        </w:tc>
        <w:tc>
          <w:tcPr>
            <w:tcW w:w="2149" w:type="dxa"/>
            <w:shd w:val="clear" w:color="auto" w:fill="FFFFFF"/>
            <w:tcMar>
              <w:left w:w="60" w:type="dxa"/>
              <w:right w:w="60" w:type="dxa"/>
            </w:tcMar>
            <w:vAlign w:val="center"/>
          </w:tcPr>
          <w:p w14:paraId="30A530A1" w14:textId="06387C3F" w:rsidR="00E473D7" w:rsidRPr="00B05FE8" w:rsidRDefault="00E473D7" w:rsidP="00F76F7E">
            <w:pPr>
              <w:keepNext/>
              <w:adjustRightInd w:val="0"/>
              <w:jc w:val="center"/>
              <w:rPr>
                <w:color w:val="000000"/>
                <w:szCs w:val="22"/>
              </w:rPr>
            </w:pPr>
            <w:r w:rsidRPr="00B05FE8">
              <w:rPr>
                <w:color w:val="000000"/>
                <w:szCs w:val="22"/>
              </w:rPr>
              <w:t>Geo</w:t>
            </w:r>
            <w:r>
              <w:rPr>
                <w:color w:val="000000"/>
                <w:szCs w:val="22"/>
              </w:rPr>
              <w:t xml:space="preserve">metryczny </w:t>
            </w:r>
            <w:r w:rsidRPr="00B05FE8">
              <w:rPr>
                <w:color w:val="000000"/>
                <w:szCs w:val="22"/>
              </w:rPr>
              <w:t>CV%</w:t>
            </w:r>
          </w:p>
        </w:tc>
        <w:tc>
          <w:tcPr>
            <w:tcW w:w="1545" w:type="dxa"/>
            <w:shd w:val="clear" w:color="auto" w:fill="FFFFFF"/>
            <w:tcMar>
              <w:left w:w="60" w:type="dxa"/>
              <w:right w:w="60" w:type="dxa"/>
            </w:tcMar>
            <w:vAlign w:val="center"/>
          </w:tcPr>
          <w:p w14:paraId="4C47708C" w14:textId="1C229870" w:rsidR="00E473D7" w:rsidRPr="00B05FE8" w:rsidRDefault="00E473D7" w:rsidP="00F76F7E">
            <w:pPr>
              <w:keepNext/>
              <w:adjustRightInd w:val="0"/>
              <w:jc w:val="center"/>
              <w:rPr>
                <w:color w:val="000000"/>
                <w:szCs w:val="22"/>
              </w:rPr>
            </w:pPr>
            <w:r w:rsidRPr="00B05FE8">
              <w:rPr>
                <w:color w:val="000000"/>
                <w:szCs w:val="22"/>
              </w:rPr>
              <w:t>64</w:t>
            </w:r>
            <w:r>
              <w:rPr>
                <w:color w:val="000000"/>
                <w:szCs w:val="22"/>
              </w:rPr>
              <w:t>,</w:t>
            </w:r>
            <w:r w:rsidRPr="00B05FE8">
              <w:rPr>
                <w:color w:val="000000"/>
                <w:szCs w:val="22"/>
              </w:rPr>
              <w:t>9</w:t>
            </w:r>
          </w:p>
        </w:tc>
        <w:tc>
          <w:tcPr>
            <w:tcW w:w="1260" w:type="dxa"/>
            <w:shd w:val="clear" w:color="auto" w:fill="FFFFFF"/>
            <w:tcMar>
              <w:left w:w="60" w:type="dxa"/>
              <w:right w:w="60" w:type="dxa"/>
            </w:tcMar>
            <w:vAlign w:val="center"/>
          </w:tcPr>
          <w:p w14:paraId="6BB57F73" w14:textId="00F41D53" w:rsidR="00E473D7" w:rsidRPr="00B05FE8" w:rsidRDefault="00E473D7" w:rsidP="00F76F7E">
            <w:pPr>
              <w:keepNext/>
              <w:adjustRightInd w:val="0"/>
              <w:jc w:val="center"/>
              <w:rPr>
                <w:color w:val="000000"/>
                <w:szCs w:val="22"/>
              </w:rPr>
            </w:pPr>
            <w:r w:rsidRPr="00B05FE8">
              <w:rPr>
                <w:color w:val="000000"/>
                <w:szCs w:val="22"/>
              </w:rPr>
              <w:t>42</w:t>
            </w:r>
            <w:r>
              <w:rPr>
                <w:color w:val="000000"/>
                <w:szCs w:val="22"/>
              </w:rPr>
              <w:t>,</w:t>
            </w:r>
            <w:r w:rsidRPr="00B05FE8">
              <w:rPr>
                <w:color w:val="000000"/>
                <w:szCs w:val="22"/>
              </w:rPr>
              <w:t>2</w:t>
            </w:r>
          </w:p>
        </w:tc>
      </w:tr>
      <w:tr w:rsidR="00F76F7E" w:rsidRPr="00A465C0" w14:paraId="4674BCB4" w14:textId="77777777" w:rsidTr="00E473D7">
        <w:trPr>
          <w:cantSplit/>
        </w:trPr>
        <w:tc>
          <w:tcPr>
            <w:tcW w:w="2233" w:type="dxa"/>
            <w:shd w:val="clear" w:color="auto" w:fill="FFFFFF"/>
            <w:tcMar>
              <w:left w:w="60" w:type="dxa"/>
              <w:right w:w="60" w:type="dxa"/>
            </w:tcMar>
          </w:tcPr>
          <w:p w14:paraId="439DF012" w14:textId="77777777" w:rsidR="00E473D7" w:rsidRPr="00B05FE8" w:rsidRDefault="00E473D7" w:rsidP="00F76F7E">
            <w:pPr>
              <w:keepNext/>
              <w:adjustRightInd w:val="0"/>
              <w:rPr>
                <w:color w:val="000000"/>
                <w:szCs w:val="22"/>
              </w:rPr>
            </w:pPr>
          </w:p>
        </w:tc>
        <w:tc>
          <w:tcPr>
            <w:tcW w:w="1878" w:type="dxa"/>
            <w:shd w:val="clear" w:color="auto" w:fill="FFFFFF"/>
            <w:tcMar>
              <w:left w:w="60" w:type="dxa"/>
              <w:right w:w="60" w:type="dxa"/>
            </w:tcMar>
          </w:tcPr>
          <w:p w14:paraId="1D0FBCE8" w14:textId="6731DF47" w:rsidR="00E473D7" w:rsidRPr="00B05FE8" w:rsidRDefault="00E473D7" w:rsidP="00F76F7E">
            <w:pPr>
              <w:keepNext/>
              <w:adjustRightInd w:val="0"/>
              <w:jc w:val="center"/>
              <w:rPr>
                <w:color w:val="000000"/>
                <w:szCs w:val="22"/>
              </w:rPr>
            </w:pPr>
            <w:r w:rsidRPr="00B05FE8">
              <w:rPr>
                <w:color w:val="000000"/>
                <w:szCs w:val="22"/>
              </w:rPr>
              <w:t xml:space="preserve">6 </w:t>
            </w:r>
            <w:r>
              <w:rPr>
                <w:color w:val="000000"/>
                <w:szCs w:val="22"/>
              </w:rPr>
              <w:t>do</w:t>
            </w:r>
            <w:r w:rsidRPr="00B05FE8">
              <w:rPr>
                <w:color w:val="000000"/>
                <w:szCs w:val="22"/>
              </w:rPr>
              <w:t xml:space="preserve"> &lt;</w:t>
            </w:r>
            <w:r>
              <w:rPr>
                <w:color w:val="000000"/>
                <w:szCs w:val="22"/>
              </w:rPr>
              <w:t> </w:t>
            </w:r>
            <w:r w:rsidRPr="00B05FE8">
              <w:rPr>
                <w:color w:val="000000"/>
                <w:szCs w:val="22"/>
              </w:rPr>
              <w:t>18</w:t>
            </w:r>
            <w:r>
              <w:rPr>
                <w:color w:val="000000"/>
                <w:szCs w:val="22"/>
              </w:rPr>
              <w:t> lat</w:t>
            </w:r>
          </w:p>
        </w:tc>
        <w:tc>
          <w:tcPr>
            <w:tcW w:w="2149" w:type="dxa"/>
            <w:shd w:val="clear" w:color="auto" w:fill="FFFFFF"/>
            <w:tcMar>
              <w:left w:w="60" w:type="dxa"/>
              <w:right w:w="60" w:type="dxa"/>
            </w:tcMar>
            <w:vAlign w:val="center"/>
          </w:tcPr>
          <w:p w14:paraId="7FCEC600" w14:textId="7228091B" w:rsidR="00E473D7" w:rsidRPr="00B05FE8" w:rsidRDefault="00E473D7" w:rsidP="00F76F7E">
            <w:pPr>
              <w:keepNext/>
              <w:adjustRightInd w:val="0"/>
              <w:jc w:val="center"/>
              <w:rPr>
                <w:color w:val="000000"/>
                <w:szCs w:val="22"/>
              </w:rPr>
            </w:pPr>
            <w:r w:rsidRPr="00B05FE8">
              <w:rPr>
                <w:color w:val="000000"/>
                <w:szCs w:val="22"/>
              </w:rPr>
              <w:t>n</w:t>
            </w:r>
          </w:p>
        </w:tc>
        <w:tc>
          <w:tcPr>
            <w:tcW w:w="1545" w:type="dxa"/>
            <w:shd w:val="clear" w:color="auto" w:fill="FFFFFF"/>
            <w:tcMar>
              <w:left w:w="60" w:type="dxa"/>
              <w:right w:w="60" w:type="dxa"/>
            </w:tcMar>
            <w:vAlign w:val="center"/>
          </w:tcPr>
          <w:p w14:paraId="3A8EF745" w14:textId="77777777" w:rsidR="00E473D7" w:rsidRPr="00B05FE8" w:rsidRDefault="00E473D7" w:rsidP="00F76F7E">
            <w:pPr>
              <w:keepNext/>
              <w:adjustRightInd w:val="0"/>
              <w:jc w:val="center"/>
              <w:rPr>
                <w:color w:val="000000"/>
                <w:szCs w:val="22"/>
              </w:rPr>
            </w:pPr>
            <w:r w:rsidRPr="00B05FE8">
              <w:rPr>
                <w:color w:val="000000"/>
                <w:szCs w:val="22"/>
              </w:rPr>
              <w:t>15</w:t>
            </w:r>
          </w:p>
        </w:tc>
        <w:tc>
          <w:tcPr>
            <w:tcW w:w="1260" w:type="dxa"/>
            <w:shd w:val="clear" w:color="auto" w:fill="FFFFFF"/>
            <w:tcMar>
              <w:left w:w="60" w:type="dxa"/>
              <w:right w:w="60" w:type="dxa"/>
            </w:tcMar>
            <w:vAlign w:val="center"/>
          </w:tcPr>
          <w:p w14:paraId="19B0E2EB" w14:textId="77777777" w:rsidR="00E473D7" w:rsidRPr="00B05FE8" w:rsidRDefault="00E473D7" w:rsidP="00F76F7E">
            <w:pPr>
              <w:keepNext/>
              <w:adjustRightInd w:val="0"/>
              <w:jc w:val="center"/>
              <w:rPr>
                <w:color w:val="000000"/>
                <w:szCs w:val="22"/>
              </w:rPr>
            </w:pPr>
            <w:r w:rsidRPr="00B05FE8">
              <w:rPr>
                <w:color w:val="000000"/>
                <w:szCs w:val="22"/>
              </w:rPr>
              <w:t>22</w:t>
            </w:r>
          </w:p>
        </w:tc>
      </w:tr>
      <w:tr w:rsidR="00F76F7E" w:rsidRPr="00A465C0" w14:paraId="48B58370" w14:textId="77777777" w:rsidTr="00E473D7">
        <w:trPr>
          <w:cantSplit/>
        </w:trPr>
        <w:tc>
          <w:tcPr>
            <w:tcW w:w="2233" w:type="dxa"/>
            <w:shd w:val="clear" w:color="auto" w:fill="FFFFFF"/>
            <w:tcMar>
              <w:left w:w="60" w:type="dxa"/>
              <w:right w:w="60" w:type="dxa"/>
            </w:tcMar>
          </w:tcPr>
          <w:p w14:paraId="78FE6B26" w14:textId="77777777" w:rsidR="00E473D7" w:rsidRPr="00B05FE8" w:rsidRDefault="00E473D7" w:rsidP="00F76F7E">
            <w:pPr>
              <w:keepNext/>
              <w:adjustRightInd w:val="0"/>
              <w:rPr>
                <w:color w:val="000000"/>
                <w:szCs w:val="22"/>
              </w:rPr>
            </w:pPr>
          </w:p>
        </w:tc>
        <w:tc>
          <w:tcPr>
            <w:tcW w:w="1878" w:type="dxa"/>
            <w:shd w:val="clear" w:color="auto" w:fill="FFFFFF"/>
            <w:tcMar>
              <w:left w:w="60" w:type="dxa"/>
              <w:right w:w="60" w:type="dxa"/>
            </w:tcMar>
          </w:tcPr>
          <w:p w14:paraId="53617ECC" w14:textId="77777777" w:rsidR="00E473D7" w:rsidRPr="00B05FE8" w:rsidRDefault="00E473D7" w:rsidP="00F76F7E">
            <w:pPr>
              <w:keepNext/>
              <w:adjustRightInd w:val="0"/>
              <w:jc w:val="center"/>
              <w:rPr>
                <w:color w:val="000000"/>
                <w:szCs w:val="22"/>
              </w:rPr>
            </w:pPr>
          </w:p>
        </w:tc>
        <w:tc>
          <w:tcPr>
            <w:tcW w:w="2149" w:type="dxa"/>
            <w:shd w:val="clear" w:color="auto" w:fill="FFFFFF"/>
            <w:tcMar>
              <w:left w:w="60" w:type="dxa"/>
              <w:right w:w="60" w:type="dxa"/>
            </w:tcMar>
            <w:vAlign w:val="center"/>
          </w:tcPr>
          <w:p w14:paraId="5E4A4AD3" w14:textId="5E5FDA51" w:rsidR="00E473D7" w:rsidRPr="00B05FE8" w:rsidRDefault="00E473D7" w:rsidP="00F76F7E">
            <w:pPr>
              <w:keepNext/>
              <w:adjustRightInd w:val="0"/>
              <w:jc w:val="center"/>
              <w:rPr>
                <w:color w:val="000000"/>
                <w:szCs w:val="22"/>
              </w:rPr>
            </w:pPr>
            <w:r>
              <w:rPr>
                <w:color w:val="000000"/>
                <w:szCs w:val="22"/>
              </w:rPr>
              <w:t>Średnia geometryczna</w:t>
            </w:r>
          </w:p>
        </w:tc>
        <w:tc>
          <w:tcPr>
            <w:tcW w:w="1545" w:type="dxa"/>
            <w:shd w:val="clear" w:color="auto" w:fill="FFFFFF"/>
            <w:tcMar>
              <w:left w:w="60" w:type="dxa"/>
              <w:right w:w="60" w:type="dxa"/>
            </w:tcMar>
            <w:vAlign w:val="center"/>
          </w:tcPr>
          <w:p w14:paraId="63255E03" w14:textId="77777777" w:rsidR="00E473D7" w:rsidRPr="00B05FE8" w:rsidRDefault="00E473D7" w:rsidP="00F76F7E">
            <w:pPr>
              <w:keepNext/>
              <w:adjustRightInd w:val="0"/>
              <w:jc w:val="center"/>
              <w:rPr>
                <w:color w:val="000000"/>
                <w:szCs w:val="22"/>
              </w:rPr>
            </w:pPr>
            <w:r w:rsidRPr="00B05FE8">
              <w:rPr>
                <w:color w:val="000000"/>
                <w:szCs w:val="22"/>
              </w:rPr>
              <w:t>285</w:t>
            </w:r>
          </w:p>
        </w:tc>
        <w:tc>
          <w:tcPr>
            <w:tcW w:w="1260" w:type="dxa"/>
            <w:shd w:val="clear" w:color="auto" w:fill="FFFFFF"/>
            <w:tcMar>
              <w:left w:w="60" w:type="dxa"/>
              <w:right w:w="60" w:type="dxa"/>
            </w:tcMar>
            <w:vAlign w:val="center"/>
          </w:tcPr>
          <w:p w14:paraId="2B947F5E" w14:textId="09C0B8D8" w:rsidR="00E473D7" w:rsidRPr="00B05FE8" w:rsidRDefault="00E473D7" w:rsidP="00F76F7E">
            <w:pPr>
              <w:keepNext/>
              <w:adjustRightInd w:val="0"/>
              <w:jc w:val="center"/>
              <w:rPr>
                <w:color w:val="000000"/>
                <w:szCs w:val="22"/>
              </w:rPr>
            </w:pPr>
            <w:r w:rsidRPr="00B05FE8">
              <w:rPr>
                <w:color w:val="000000"/>
                <w:szCs w:val="22"/>
              </w:rPr>
              <w:t>15</w:t>
            </w:r>
            <w:r>
              <w:rPr>
                <w:color w:val="000000"/>
                <w:szCs w:val="22"/>
              </w:rPr>
              <w:t>,</w:t>
            </w:r>
            <w:r w:rsidRPr="00B05FE8">
              <w:rPr>
                <w:color w:val="000000"/>
                <w:szCs w:val="22"/>
              </w:rPr>
              <w:t>2</w:t>
            </w:r>
          </w:p>
        </w:tc>
      </w:tr>
      <w:tr w:rsidR="00F76F7E" w:rsidRPr="00A465C0" w14:paraId="09EDE371" w14:textId="77777777" w:rsidTr="00E473D7">
        <w:trPr>
          <w:cantSplit/>
        </w:trPr>
        <w:tc>
          <w:tcPr>
            <w:tcW w:w="2233" w:type="dxa"/>
            <w:shd w:val="clear" w:color="auto" w:fill="FFFFFF"/>
            <w:tcMar>
              <w:left w:w="60" w:type="dxa"/>
              <w:right w:w="60" w:type="dxa"/>
            </w:tcMar>
          </w:tcPr>
          <w:p w14:paraId="0D772998" w14:textId="77777777" w:rsidR="00E473D7" w:rsidRPr="00B05FE8" w:rsidRDefault="00E473D7" w:rsidP="00F76F7E">
            <w:pPr>
              <w:keepNext/>
              <w:adjustRightInd w:val="0"/>
              <w:rPr>
                <w:color w:val="000000"/>
                <w:szCs w:val="22"/>
              </w:rPr>
            </w:pPr>
          </w:p>
        </w:tc>
        <w:tc>
          <w:tcPr>
            <w:tcW w:w="1878" w:type="dxa"/>
            <w:shd w:val="clear" w:color="auto" w:fill="FFFFFF"/>
            <w:tcMar>
              <w:left w:w="60" w:type="dxa"/>
              <w:right w:w="60" w:type="dxa"/>
            </w:tcMar>
          </w:tcPr>
          <w:p w14:paraId="2F836BFC" w14:textId="77777777" w:rsidR="00E473D7" w:rsidRPr="00B05FE8" w:rsidRDefault="00E473D7" w:rsidP="00F76F7E">
            <w:pPr>
              <w:keepNext/>
              <w:adjustRightInd w:val="0"/>
              <w:jc w:val="center"/>
              <w:rPr>
                <w:color w:val="000000"/>
                <w:szCs w:val="22"/>
              </w:rPr>
            </w:pPr>
          </w:p>
        </w:tc>
        <w:tc>
          <w:tcPr>
            <w:tcW w:w="2149" w:type="dxa"/>
            <w:shd w:val="clear" w:color="auto" w:fill="FFFFFF"/>
            <w:tcMar>
              <w:left w:w="60" w:type="dxa"/>
              <w:right w:w="60" w:type="dxa"/>
            </w:tcMar>
            <w:vAlign w:val="center"/>
          </w:tcPr>
          <w:p w14:paraId="5FD26C20" w14:textId="2DD89F43" w:rsidR="00E473D7" w:rsidRPr="00B05FE8" w:rsidRDefault="00E473D7" w:rsidP="00F76F7E">
            <w:pPr>
              <w:keepNext/>
              <w:adjustRightInd w:val="0"/>
              <w:jc w:val="center"/>
              <w:rPr>
                <w:color w:val="000000"/>
                <w:szCs w:val="22"/>
              </w:rPr>
            </w:pPr>
            <w:r w:rsidRPr="00B05FE8">
              <w:rPr>
                <w:color w:val="000000"/>
                <w:szCs w:val="22"/>
              </w:rPr>
              <w:t>Geo</w:t>
            </w:r>
            <w:r>
              <w:rPr>
                <w:color w:val="000000"/>
                <w:szCs w:val="22"/>
              </w:rPr>
              <w:t xml:space="preserve">metryczny </w:t>
            </w:r>
            <w:r w:rsidRPr="00B05FE8">
              <w:rPr>
                <w:color w:val="000000"/>
                <w:szCs w:val="22"/>
              </w:rPr>
              <w:t>CV%</w:t>
            </w:r>
          </w:p>
        </w:tc>
        <w:tc>
          <w:tcPr>
            <w:tcW w:w="1545" w:type="dxa"/>
            <w:shd w:val="clear" w:color="auto" w:fill="FFFFFF"/>
            <w:tcMar>
              <w:left w:w="60" w:type="dxa"/>
              <w:right w:w="60" w:type="dxa"/>
            </w:tcMar>
            <w:vAlign w:val="center"/>
          </w:tcPr>
          <w:p w14:paraId="268AEFB4" w14:textId="114D93AE" w:rsidR="00E473D7" w:rsidRPr="00B05FE8" w:rsidRDefault="00E473D7" w:rsidP="00F76F7E">
            <w:pPr>
              <w:keepNext/>
              <w:adjustRightInd w:val="0"/>
              <w:jc w:val="center"/>
              <w:rPr>
                <w:color w:val="000000"/>
                <w:szCs w:val="22"/>
              </w:rPr>
            </w:pPr>
            <w:r w:rsidRPr="00B05FE8">
              <w:rPr>
                <w:color w:val="000000"/>
                <w:szCs w:val="22"/>
              </w:rPr>
              <w:t>54</w:t>
            </w:r>
            <w:r>
              <w:rPr>
                <w:color w:val="000000"/>
                <w:szCs w:val="22"/>
              </w:rPr>
              <w:t>,</w:t>
            </w:r>
            <w:r w:rsidRPr="00B05FE8">
              <w:rPr>
                <w:color w:val="000000"/>
                <w:szCs w:val="22"/>
              </w:rPr>
              <w:t>2</w:t>
            </w:r>
          </w:p>
        </w:tc>
        <w:tc>
          <w:tcPr>
            <w:tcW w:w="1260" w:type="dxa"/>
            <w:shd w:val="clear" w:color="auto" w:fill="FFFFFF"/>
            <w:tcMar>
              <w:left w:w="60" w:type="dxa"/>
              <w:right w:w="60" w:type="dxa"/>
            </w:tcMar>
            <w:vAlign w:val="center"/>
          </w:tcPr>
          <w:p w14:paraId="3B1A8B55" w14:textId="49E7781B" w:rsidR="00E473D7" w:rsidRPr="00B05FE8" w:rsidRDefault="00E473D7" w:rsidP="00F76F7E">
            <w:pPr>
              <w:keepNext/>
              <w:adjustRightInd w:val="0"/>
              <w:jc w:val="center"/>
              <w:rPr>
                <w:color w:val="000000"/>
                <w:szCs w:val="22"/>
              </w:rPr>
            </w:pPr>
            <w:r w:rsidRPr="00B05FE8">
              <w:rPr>
                <w:color w:val="000000"/>
                <w:szCs w:val="22"/>
              </w:rPr>
              <w:t>49</w:t>
            </w:r>
            <w:r>
              <w:rPr>
                <w:color w:val="000000"/>
                <w:szCs w:val="22"/>
              </w:rPr>
              <w:t>,</w:t>
            </w:r>
            <w:r w:rsidRPr="00B05FE8">
              <w:rPr>
                <w:color w:val="000000"/>
                <w:szCs w:val="22"/>
              </w:rPr>
              <w:t>5</w:t>
            </w:r>
          </w:p>
        </w:tc>
      </w:tr>
      <w:tr w:rsidR="00F76F7E" w:rsidRPr="00A465C0" w14:paraId="762D19F5" w14:textId="77777777" w:rsidTr="00F76F7E">
        <w:trPr>
          <w:cantSplit/>
        </w:trPr>
        <w:tc>
          <w:tcPr>
            <w:tcW w:w="9065" w:type="dxa"/>
            <w:gridSpan w:val="5"/>
            <w:shd w:val="clear" w:color="auto" w:fill="FFFFFF"/>
            <w:tcMar>
              <w:left w:w="60" w:type="dxa"/>
              <w:right w:w="60" w:type="dxa"/>
            </w:tcMar>
          </w:tcPr>
          <w:p w14:paraId="72C12172" w14:textId="5DE3B34A" w:rsidR="00A2172A" w:rsidRPr="00B05FE8" w:rsidRDefault="00E473D7" w:rsidP="00F76F7E">
            <w:pPr>
              <w:adjustRightInd w:val="0"/>
              <w:ind w:left="0" w:firstLine="0"/>
              <w:rPr>
                <w:color w:val="000000"/>
                <w:szCs w:val="22"/>
              </w:rPr>
            </w:pPr>
            <w:r>
              <w:rPr>
                <w:iCs/>
                <w:noProof/>
                <w:sz w:val="20"/>
              </w:rPr>
              <w:t>Kohorta</w:t>
            </w:r>
            <w:r w:rsidR="00A2172A" w:rsidRPr="00A80D21">
              <w:rPr>
                <w:iCs/>
                <w:noProof/>
                <w:sz w:val="20"/>
              </w:rPr>
              <w:t xml:space="preserve"> A: eltrombopag </w:t>
            </w:r>
            <w:r>
              <w:rPr>
                <w:iCs/>
                <w:noProof/>
                <w:sz w:val="20"/>
              </w:rPr>
              <w:t>podawany jako leczenie drugiej linii</w:t>
            </w:r>
            <w:r w:rsidR="00A2172A" w:rsidRPr="00A80D21">
              <w:rPr>
                <w:iCs/>
                <w:noProof/>
                <w:sz w:val="20"/>
              </w:rPr>
              <w:t xml:space="preserve">, </w:t>
            </w:r>
            <w:r>
              <w:rPr>
                <w:iCs/>
                <w:noProof/>
                <w:sz w:val="20"/>
              </w:rPr>
              <w:t>Kohorta</w:t>
            </w:r>
            <w:r w:rsidR="00A2172A" w:rsidRPr="00A80D21">
              <w:rPr>
                <w:iCs/>
                <w:noProof/>
                <w:sz w:val="20"/>
              </w:rPr>
              <w:t xml:space="preserve"> B: eltrombopag </w:t>
            </w:r>
            <w:r>
              <w:rPr>
                <w:iCs/>
                <w:noProof/>
                <w:sz w:val="20"/>
              </w:rPr>
              <w:t>podawany jako leczenie pierwszej linii</w:t>
            </w:r>
          </w:p>
        </w:tc>
      </w:tr>
      <w:bookmarkEnd w:id="14"/>
    </w:tbl>
    <w:p w14:paraId="4272769B" w14:textId="77777777" w:rsidR="001E6044" w:rsidRPr="007E4DA1" w:rsidRDefault="001E6044" w:rsidP="001A6584">
      <w:pPr>
        <w:tabs>
          <w:tab w:val="left" w:pos="142"/>
        </w:tabs>
        <w:ind w:left="0" w:firstLine="0"/>
        <w:rPr>
          <w:szCs w:val="22"/>
        </w:rPr>
      </w:pPr>
    </w:p>
    <w:p w14:paraId="7289B2F9" w14:textId="77777777" w:rsidR="00802FF6" w:rsidRPr="007E4DA1" w:rsidRDefault="00802FF6" w:rsidP="001A6584">
      <w:pPr>
        <w:keepNext/>
        <w:rPr>
          <w:szCs w:val="22"/>
        </w:rPr>
      </w:pPr>
      <w:r w:rsidRPr="007E4DA1">
        <w:rPr>
          <w:b/>
          <w:szCs w:val="22"/>
        </w:rPr>
        <w:t>5.3</w:t>
      </w:r>
      <w:r w:rsidRPr="007E4DA1">
        <w:rPr>
          <w:b/>
          <w:szCs w:val="22"/>
        </w:rPr>
        <w:tab/>
      </w:r>
      <w:r w:rsidRPr="007E4DA1">
        <w:rPr>
          <w:b/>
        </w:rPr>
        <w:t>Przedkliniczne dane o bezpieczeństwie</w:t>
      </w:r>
    </w:p>
    <w:p w14:paraId="27A3EE5F" w14:textId="77777777" w:rsidR="00802FF6" w:rsidRPr="007E4DA1" w:rsidRDefault="00802FF6" w:rsidP="001A6584">
      <w:pPr>
        <w:keepNext/>
        <w:tabs>
          <w:tab w:val="left" w:pos="142"/>
        </w:tabs>
        <w:ind w:left="0" w:firstLine="0"/>
        <w:rPr>
          <w:szCs w:val="22"/>
        </w:rPr>
      </w:pPr>
    </w:p>
    <w:p w14:paraId="56FC8C5A" w14:textId="77777777" w:rsidR="00916ADC" w:rsidRPr="007E4DA1" w:rsidRDefault="005D1930" w:rsidP="001A6584">
      <w:pPr>
        <w:keepNext/>
        <w:tabs>
          <w:tab w:val="left" w:pos="142"/>
        </w:tabs>
        <w:ind w:left="0" w:firstLine="0"/>
        <w:rPr>
          <w:szCs w:val="22"/>
        </w:rPr>
      </w:pPr>
      <w:r w:rsidRPr="007E4DA1">
        <w:rPr>
          <w:szCs w:val="22"/>
          <w:u w:val="single"/>
        </w:rPr>
        <w:t>Badania farmakologiczne dotyczące bezpieczeństwa</w:t>
      </w:r>
      <w:r w:rsidR="0041689A" w:rsidRPr="007E4DA1">
        <w:rPr>
          <w:szCs w:val="22"/>
          <w:u w:val="single"/>
        </w:rPr>
        <w:t xml:space="preserve"> i toksyczność po podaniu dawek wielokrotnych</w:t>
      </w:r>
    </w:p>
    <w:p w14:paraId="31A12A5E" w14:textId="77777777" w:rsidR="005D1930" w:rsidRPr="007E4DA1" w:rsidRDefault="005D1930" w:rsidP="001A6584">
      <w:pPr>
        <w:keepNext/>
        <w:tabs>
          <w:tab w:val="left" w:pos="142"/>
        </w:tabs>
        <w:ind w:left="0" w:firstLine="0"/>
        <w:rPr>
          <w:szCs w:val="22"/>
        </w:rPr>
      </w:pPr>
    </w:p>
    <w:p w14:paraId="220CEDC4" w14:textId="77777777" w:rsidR="00041A08" w:rsidRPr="00041A08" w:rsidRDefault="00802FF6" w:rsidP="001A6584">
      <w:pPr>
        <w:tabs>
          <w:tab w:val="left" w:pos="142"/>
        </w:tabs>
        <w:ind w:left="0" w:firstLine="0"/>
      </w:pPr>
      <w:r w:rsidRPr="007E4DA1">
        <w:t xml:space="preserve">Eltrombopag nie pobudza wytwarzania płytek krwi u myszy, szczurów i psów, z powodu unikalnej specyficzności receptora trombopoetyny. Dlatego też dane z badań na tych zwierzętach nie oddają w </w:t>
      </w:r>
      <w:r w:rsidRPr="007E4DA1">
        <w:lastRenderedPageBreak/>
        <w:t>pełni potencjalnych działań niepożądanych związanych z farmakologią eltrombopagu u ludzi, w tym w zakresie badań nad reprodukcją i rakotwórczością.</w:t>
      </w:r>
    </w:p>
    <w:p w14:paraId="3CF0495C" w14:textId="3ED8E66E" w:rsidR="00802FF6" w:rsidRPr="007E4DA1" w:rsidRDefault="00802FF6" w:rsidP="001A6584">
      <w:pPr>
        <w:tabs>
          <w:tab w:val="left" w:pos="142"/>
        </w:tabs>
        <w:ind w:left="0" w:firstLine="0"/>
        <w:rPr>
          <w:szCs w:val="22"/>
        </w:rPr>
      </w:pPr>
    </w:p>
    <w:p w14:paraId="693B1A2C" w14:textId="77777777" w:rsidR="00802FF6" w:rsidRPr="007E4DA1" w:rsidRDefault="00802FF6" w:rsidP="001A6584">
      <w:pPr>
        <w:tabs>
          <w:tab w:val="left" w:pos="142"/>
        </w:tabs>
        <w:ind w:left="0" w:firstLine="0"/>
      </w:pPr>
      <w:r w:rsidRPr="007E4DA1">
        <w:t>Zaćmę związaną z leczeniem wykryto u gryzoni. Jej wystąpienie było zależne od dawki i czasu. W przypadku ekspozycji ≥6</w:t>
      </w:r>
      <w:r w:rsidR="00AB5EBA" w:rsidRPr="007E4DA1">
        <w:t> </w:t>
      </w:r>
      <w:r w:rsidRPr="007E4DA1">
        <w:t>x</w:t>
      </w:r>
      <w:r w:rsidR="00AB5EBA" w:rsidRPr="007E4DA1">
        <w:t> </w:t>
      </w:r>
      <w:r w:rsidRPr="007E4DA1">
        <w:t xml:space="preserve">większej niż ekspozycja u ludzi w warunkach klinicznych w przypadku </w:t>
      </w:r>
      <w:r w:rsidR="00F76DE1" w:rsidRPr="007E4DA1">
        <w:t xml:space="preserve">dorosłych </w:t>
      </w:r>
      <w:r w:rsidRPr="007E4DA1">
        <w:t>pacjentów z pierwotną małopłytkowością immunologiczną otrzymujących dawkę 75 mg/dobę, a także 3 x</w:t>
      </w:r>
      <w:r w:rsidR="00AB5EBA" w:rsidRPr="007E4DA1">
        <w:t> </w:t>
      </w:r>
      <w:r w:rsidRPr="007E4DA1">
        <w:t xml:space="preserve">większej niż ekspozycja u ludzi w warunkach klinicznych w przypadku </w:t>
      </w:r>
      <w:r w:rsidR="00F76DE1" w:rsidRPr="007E4DA1">
        <w:t xml:space="preserve">dorosłych </w:t>
      </w:r>
      <w:r w:rsidRPr="007E4DA1">
        <w:t>pacjentów zakażonych wirusem WZW C otrzymujących dawkę 100 mg/dobę (na podstawie AUC) zaćmę obserwowano u myszy po 6</w:t>
      </w:r>
      <w:r w:rsidR="004C0EA2" w:rsidRPr="007E4DA1">
        <w:t> </w:t>
      </w:r>
      <w:r w:rsidRPr="007E4DA1">
        <w:t xml:space="preserve">tygodniach, a u szczurów po 28 tygodniach dawkowania. W przypadku ekspozycji </w:t>
      </w:r>
      <w:r w:rsidRPr="007E4DA1">
        <w:sym w:font="Symbol" w:char="F0B3"/>
      </w:r>
      <w:r w:rsidRPr="007E4DA1">
        <w:t>4</w:t>
      </w:r>
      <w:r w:rsidR="00AB5EBA" w:rsidRPr="007E4DA1">
        <w:t> </w:t>
      </w:r>
      <w:r w:rsidRPr="007E4DA1">
        <w:t>x</w:t>
      </w:r>
      <w:r w:rsidR="00AB5EBA" w:rsidRPr="007E4DA1">
        <w:t> </w:t>
      </w:r>
      <w:r w:rsidRPr="007E4DA1">
        <w:t xml:space="preserve">większej niż ekspozycja u ludzi w warunkach klinicznych w przypadku pacjentów z pierwotną małopłytkowością immunologiczną otrzymujących dawkę 75 mg/dobę, a także 2 x większej niż ekspozycja u ludzi w warunkach klinicznych w przypadku pacjentów zakażonych wirusem WZW C otrzymujących dawkę 100 mg/dobę (na podstawie AUC) zaćmę obserwowano u myszy po 13 tygodniach, a u szczurów po 39 tygodniach dawkowania. </w:t>
      </w:r>
      <w:r w:rsidR="006A4AB0" w:rsidRPr="007E4DA1">
        <w:t>Po podaniu nietolerowanych dawek młodym osobnikom szczura przed odstawieniem ich od piersi, którym lek podawano w dniach 4</w:t>
      </w:r>
      <w:r w:rsidR="00F865DC" w:rsidRPr="007E4DA1">
        <w:noBreakHyphen/>
      </w:r>
      <w:r w:rsidR="006A4AB0" w:rsidRPr="007E4DA1">
        <w:t xml:space="preserve">32. (co pod koniec okresu dawkowania odpowiada wiekiem w przybliżeniu 2-letniemu dziecku), zmętnienia w gałce ocznej obserwowano (nie przeprowadzono badania histologicznego) po podaniu dawek stanowiących 9-krotność maksymalnej ekspozycji klinicznej u dzieci i młodzieży z </w:t>
      </w:r>
      <w:r w:rsidR="00C06792" w:rsidRPr="007E4DA1">
        <w:t xml:space="preserve">pierwotną </w:t>
      </w:r>
      <w:r w:rsidR="006A4AB0" w:rsidRPr="007E4DA1">
        <w:t xml:space="preserve">małopłytkowością immunologiczną otrzymujących dawkę 75 mg/dobę, w oparciu o AUC. Jednak zaćmy nie obserwowano u młodych osobników szczura, którym podawano tolerowane dawki stanowiące 5-krotność ekspozycji klinicznej u dzieci i młodzieży z </w:t>
      </w:r>
      <w:r w:rsidR="00C06792" w:rsidRPr="007E4DA1">
        <w:t xml:space="preserve">pierwotną </w:t>
      </w:r>
      <w:r w:rsidR="006A4AB0" w:rsidRPr="007E4DA1">
        <w:t xml:space="preserve">małopłytkowością immunologiczną, na podstawie AUC. </w:t>
      </w:r>
      <w:r w:rsidRPr="007E4DA1">
        <w:t xml:space="preserve">Zaćmy nie obserwowano u </w:t>
      </w:r>
      <w:r w:rsidR="008D5653" w:rsidRPr="007E4DA1">
        <w:t xml:space="preserve">dorosłych </w:t>
      </w:r>
      <w:r w:rsidRPr="007E4DA1">
        <w:t>psów po 52 tygodniach dawkowania (2</w:t>
      </w:r>
      <w:r w:rsidR="00AB5EBA" w:rsidRPr="007E4DA1">
        <w:t> </w:t>
      </w:r>
      <w:r w:rsidRPr="007E4DA1">
        <w:t>x</w:t>
      </w:r>
      <w:r w:rsidR="00AB5EBA" w:rsidRPr="007E4DA1">
        <w:t> </w:t>
      </w:r>
      <w:r w:rsidRPr="007E4DA1">
        <w:t xml:space="preserve">większa ekspozycja niż ekspozycja u ludzi w warunkach klinicznych w przypadku </w:t>
      </w:r>
      <w:r w:rsidR="008D5653" w:rsidRPr="007E4DA1">
        <w:t xml:space="preserve">dorosłych </w:t>
      </w:r>
      <w:r w:rsidRPr="007E4DA1">
        <w:t xml:space="preserve">pacjentów </w:t>
      </w:r>
      <w:r w:rsidR="003908C1" w:rsidRPr="007E4DA1">
        <w:t>lub</w:t>
      </w:r>
      <w:r w:rsidR="008D5653" w:rsidRPr="007E4DA1">
        <w:t xml:space="preserve"> dzieci i młodzieży </w:t>
      </w:r>
      <w:r w:rsidRPr="007E4DA1">
        <w:t>z pierwotną małopłytkowością immunologiczną otrzymujących dawkę 75 mg/dobę, a także równoważna ekspozycji u ludzi w warunkach klinicznych w przypadku pacjentów zakażonych wirusem WZW C otrzymujących dawkę 100 mg/dobę, na podstawie AUC).</w:t>
      </w:r>
    </w:p>
    <w:p w14:paraId="1B67FC54" w14:textId="77777777" w:rsidR="00802FF6" w:rsidRPr="007E4DA1" w:rsidRDefault="00802FF6" w:rsidP="001A6584">
      <w:pPr>
        <w:tabs>
          <w:tab w:val="left" w:pos="142"/>
        </w:tabs>
        <w:ind w:left="0" w:firstLine="0"/>
        <w:rPr>
          <w:szCs w:val="22"/>
        </w:rPr>
      </w:pPr>
    </w:p>
    <w:p w14:paraId="7F47DD08" w14:textId="77777777" w:rsidR="00802FF6" w:rsidRPr="007E4DA1" w:rsidRDefault="00802FF6" w:rsidP="001A6584">
      <w:pPr>
        <w:tabs>
          <w:tab w:val="left" w:pos="142"/>
        </w:tabs>
        <w:ind w:left="0" w:firstLine="0"/>
        <w:rPr>
          <w:rFonts w:eastAsia="MS Mincho"/>
          <w:color w:val="000000"/>
          <w:shd w:val="clear" w:color="auto" w:fill="CCCCCC"/>
          <w:lang w:eastAsia="ja-JP"/>
        </w:rPr>
      </w:pPr>
      <w:r w:rsidRPr="007E4DA1">
        <w:rPr>
          <w:rFonts w:eastAsia="MS Mincho"/>
          <w:color w:val="000000"/>
          <w:lang w:eastAsia="ja-JP"/>
        </w:rPr>
        <w:t>W badaniach trwających do 14</w:t>
      </w:r>
      <w:r w:rsidR="004C0EA2" w:rsidRPr="007E4DA1">
        <w:rPr>
          <w:rFonts w:eastAsia="MS Mincho"/>
          <w:color w:val="000000"/>
          <w:lang w:eastAsia="ja-JP"/>
        </w:rPr>
        <w:t> </w:t>
      </w:r>
      <w:r w:rsidRPr="007E4DA1">
        <w:rPr>
          <w:rFonts w:eastAsia="MS Mincho"/>
          <w:color w:val="000000"/>
          <w:lang w:eastAsia="ja-JP"/>
        </w:rPr>
        <w:t>dni, przeprowadzonych na myszach i szczurach, w którym ekspozycja była zazwyczaj związana z zachorowalnością i śmiertelnością, obserwowano toksyczne uszkodzenie cewek nerkowych. Toksyczne uszkodzenie cewek nerkowych obserwowano również w 2-letnim badaniu rakotwórczości, w którym podawano myszom doustnie dawki 25, 75 i 150 mg/kg mc./dobę. Działanie to było mniej nasilone podczas stosowania mniejszych dawek i charakteryzowało się występowaniem różnorodnych zmian regeneracyjnych. Ekspozycja podczas stosowania najmniejszej dawki była 1,2</w:t>
      </w:r>
      <w:r w:rsidR="001B1D8E" w:rsidRPr="007E4DA1">
        <w:rPr>
          <w:rFonts w:eastAsia="MS Mincho"/>
          <w:color w:val="000000"/>
          <w:lang w:eastAsia="ja-JP"/>
        </w:rPr>
        <w:t> </w:t>
      </w:r>
      <w:r w:rsidR="003908C1" w:rsidRPr="007E4DA1">
        <w:rPr>
          <w:rFonts w:eastAsia="MS Mincho"/>
          <w:color w:val="000000"/>
          <w:lang w:eastAsia="ja-JP"/>
        </w:rPr>
        <w:t xml:space="preserve">x </w:t>
      </w:r>
      <w:r w:rsidR="008D5653" w:rsidRPr="007E4DA1">
        <w:rPr>
          <w:rFonts w:eastAsia="MS Mincho"/>
          <w:color w:val="000000"/>
          <w:lang w:eastAsia="ja-JP"/>
        </w:rPr>
        <w:t xml:space="preserve">lub </w:t>
      </w:r>
      <w:r w:rsidR="004C0EA2" w:rsidRPr="007E4DA1">
        <w:rPr>
          <w:rFonts w:eastAsia="MS Mincho"/>
          <w:color w:val="000000"/>
          <w:lang w:eastAsia="ja-JP"/>
        </w:rPr>
        <w:t>0</w:t>
      </w:r>
      <w:r w:rsidR="008D5653" w:rsidRPr="007E4DA1">
        <w:rPr>
          <w:rFonts w:eastAsia="MS Mincho"/>
          <w:color w:val="000000"/>
          <w:lang w:eastAsia="ja-JP"/>
        </w:rPr>
        <w:t>,8</w:t>
      </w:r>
      <w:r w:rsidR="004C0EA2" w:rsidRPr="007E4DA1">
        <w:rPr>
          <w:rFonts w:eastAsia="MS Mincho"/>
          <w:color w:val="000000"/>
          <w:lang w:eastAsia="ja-JP"/>
        </w:rPr>
        <w:t> </w:t>
      </w:r>
      <w:r w:rsidRPr="007E4DA1">
        <w:rPr>
          <w:rFonts w:eastAsia="MS Mincho"/>
          <w:color w:val="000000"/>
          <w:lang w:eastAsia="ja-JP"/>
        </w:rPr>
        <w:t xml:space="preserve">x większa niż ekspozycja u ludzi w warunkach klinicznych </w:t>
      </w:r>
      <w:r w:rsidRPr="007E4DA1">
        <w:t xml:space="preserve">w przypadku </w:t>
      </w:r>
      <w:r w:rsidR="008D5653" w:rsidRPr="007E4DA1">
        <w:t xml:space="preserve">dorosłych </w:t>
      </w:r>
      <w:r w:rsidRPr="007E4DA1">
        <w:t xml:space="preserve">pacjentów </w:t>
      </w:r>
      <w:r w:rsidR="003908C1" w:rsidRPr="007E4DA1">
        <w:t>lub</w:t>
      </w:r>
      <w:r w:rsidR="008D5653" w:rsidRPr="007E4DA1">
        <w:t xml:space="preserve"> dzieci i młodzieży </w:t>
      </w:r>
      <w:r w:rsidRPr="007E4DA1">
        <w:t xml:space="preserve">z pierwotną małopłytkowością immunologiczną otrzymujących dawkę 75 mg/dobę, a także 0,6 x większej niż ekspozycja u ludzi w warunkach klinicznych w przypadku pacjentów zakażonych wirusem WZW C otrzymujących dawkę 100 mg/dobę </w:t>
      </w:r>
      <w:r w:rsidRPr="007E4DA1">
        <w:rPr>
          <w:rFonts w:eastAsia="MS Mincho"/>
          <w:color w:val="000000"/>
          <w:lang w:eastAsia="ja-JP"/>
        </w:rPr>
        <w:t>(na podstawie AUC). Działania na nerki nie obserwowano u szczurów po 28</w:t>
      </w:r>
      <w:r w:rsidR="004C0EA2" w:rsidRPr="007E4DA1">
        <w:rPr>
          <w:rFonts w:eastAsia="MS Mincho"/>
          <w:color w:val="000000"/>
          <w:lang w:eastAsia="ja-JP"/>
        </w:rPr>
        <w:t> </w:t>
      </w:r>
      <w:r w:rsidRPr="007E4DA1">
        <w:rPr>
          <w:rFonts w:eastAsia="MS Mincho"/>
          <w:color w:val="000000"/>
          <w:lang w:eastAsia="ja-JP"/>
        </w:rPr>
        <w:t>tygodniach ani u psów po 52</w:t>
      </w:r>
      <w:r w:rsidR="004C0EA2" w:rsidRPr="007E4DA1">
        <w:rPr>
          <w:rFonts w:eastAsia="MS Mincho"/>
          <w:color w:val="000000"/>
          <w:lang w:eastAsia="ja-JP"/>
        </w:rPr>
        <w:t> </w:t>
      </w:r>
      <w:r w:rsidRPr="007E4DA1">
        <w:rPr>
          <w:rFonts w:eastAsia="MS Mincho"/>
          <w:color w:val="000000"/>
          <w:lang w:eastAsia="ja-JP"/>
        </w:rPr>
        <w:t>tygodniach w przypadku ekspozycji 4</w:t>
      </w:r>
      <w:r w:rsidR="004C0EA2" w:rsidRPr="007E4DA1">
        <w:rPr>
          <w:rFonts w:eastAsia="MS Mincho"/>
          <w:color w:val="000000"/>
          <w:lang w:eastAsia="ja-JP"/>
        </w:rPr>
        <w:t> </w:t>
      </w:r>
      <w:r w:rsidRPr="007E4DA1">
        <w:rPr>
          <w:rFonts w:eastAsia="MS Mincho"/>
          <w:color w:val="000000"/>
          <w:lang w:eastAsia="ja-JP"/>
        </w:rPr>
        <w:t>x i 2</w:t>
      </w:r>
      <w:r w:rsidR="004C0EA2" w:rsidRPr="007E4DA1">
        <w:rPr>
          <w:rFonts w:eastAsia="MS Mincho"/>
          <w:color w:val="000000"/>
          <w:lang w:eastAsia="ja-JP"/>
        </w:rPr>
        <w:t> </w:t>
      </w:r>
      <w:r w:rsidRPr="007E4DA1">
        <w:rPr>
          <w:rFonts w:eastAsia="MS Mincho"/>
          <w:color w:val="000000"/>
          <w:lang w:eastAsia="ja-JP"/>
        </w:rPr>
        <w:t xml:space="preserve">x większej niż ekspozycja u ludzi w warunkach klinicznych </w:t>
      </w:r>
      <w:r w:rsidRPr="007E4DA1">
        <w:t xml:space="preserve">w przypadku </w:t>
      </w:r>
      <w:r w:rsidR="00E80B34" w:rsidRPr="007E4DA1">
        <w:t xml:space="preserve">dorosłych </w:t>
      </w:r>
      <w:r w:rsidRPr="007E4DA1">
        <w:t xml:space="preserve">pacjentów z pierwotną małopłytkowością immunologiczną </w:t>
      </w:r>
      <w:r w:rsidR="00E80B34" w:rsidRPr="007E4DA1">
        <w:t xml:space="preserve">oraz </w:t>
      </w:r>
      <w:r w:rsidR="00E80B34" w:rsidRPr="007E4DA1">
        <w:rPr>
          <w:rFonts w:eastAsia="MS Mincho"/>
          <w:color w:val="000000"/>
          <w:lang w:eastAsia="ja-JP"/>
        </w:rPr>
        <w:t>3</w:t>
      </w:r>
      <w:r w:rsidR="000D1220" w:rsidRPr="007E4DA1">
        <w:rPr>
          <w:rFonts w:eastAsia="MS Mincho"/>
          <w:color w:val="000000"/>
          <w:lang w:eastAsia="ja-JP"/>
        </w:rPr>
        <w:t> </w:t>
      </w:r>
      <w:r w:rsidR="00E80B34" w:rsidRPr="007E4DA1">
        <w:rPr>
          <w:rFonts w:eastAsia="MS Mincho"/>
          <w:color w:val="000000"/>
          <w:lang w:eastAsia="ja-JP"/>
        </w:rPr>
        <w:t>x i 2</w:t>
      </w:r>
      <w:r w:rsidR="000D1220" w:rsidRPr="007E4DA1">
        <w:rPr>
          <w:rFonts w:eastAsia="MS Mincho"/>
          <w:color w:val="000000"/>
          <w:lang w:eastAsia="ja-JP"/>
        </w:rPr>
        <w:t> </w:t>
      </w:r>
      <w:r w:rsidR="00E80B34" w:rsidRPr="007E4DA1">
        <w:rPr>
          <w:rFonts w:eastAsia="MS Mincho"/>
          <w:color w:val="000000"/>
          <w:lang w:eastAsia="ja-JP"/>
        </w:rPr>
        <w:t xml:space="preserve">x większej niż ekspozycja u ludzi w warunkach klinicznych </w:t>
      </w:r>
      <w:r w:rsidR="00E80B34" w:rsidRPr="007E4DA1">
        <w:t xml:space="preserve">w przypadku dzieci i młodzieży z pierwotną małopłytkowością immunologiczną, </w:t>
      </w:r>
      <w:r w:rsidRPr="007E4DA1">
        <w:t xml:space="preserve">otrzymujących dawkę 75 mg/dobę, a także 2 x większej lub równoważnej ekspozycji u ludzi w warunkach klinicznych w przypadku pacjentów zakażonych wirusem WZW C otrzymujących dawkę 100 mg/dobę </w:t>
      </w:r>
      <w:r w:rsidRPr="007E4DA1">
        <w:rPr>
          <w:rFonts w:eastAsia="MS Mincho"/>
          <w:color w:val="000000"/>
          <w:lang w:eastAsia="ja-JP"/>
        </w:rPr>
        <w:t>(na podstawie AUC).</w:t>
      </w:r>
    </w:p>
    <w:p w14:paraId="02F776CB" w14:textId="77777777" w:rsidR="00802FF6" w:rsidRPr="007E4DA1" w:rsidRDefault="00802FF6" w:rsidP="001A6584">
      <w:pPr>
        <w:tabs>
          <w:tab w:val="left" w:pos="142"/>
        </w:tabs>
        <w:ind w:left="0" w:firstLine="0"/>
        <w:rPr>
          <w:rFonts w:eastAsia="MS Mincho"/>
          <w:color w:val="000000"/>
          <w:szCs w:val="22"/>
          <w:lang w:eastAsia="ja-JP"/>
        </w:rPr>
      </w:pPr>
    </w:p>
    <w:p w14:paraId="6A94F906" w14:textId="77777777" w:rsidR="00802FF6" w:rsidRPr="007E4DA1" w:rsidRDefault="00802FF6" w:rsidP="001A6584">
      <w:pPr>
        <w:tabs>
          <w:tab w:val="left" w:pos="142"/>
        </w:tabs>
        <w:ind w:left="0" w:firstLine="0"/>
        <w:rPr>
          <w:rFonts w:eastAsia="MS Mincho"/>
          <w:color w:val="000000"/>
          <w:szCs w:val="24"/>
          <w:lang w:eastAsia="ja-JP"/>
        </w:rPr>
      </w:pPr>
      <w:r w:rsidRPr="007E4DA1">
        <w:rPr>
          <w:rFonts w:eastAsia="MS Mincho"/>
          <w:color w:val="000000"/>
          <w:szCs w:val="24"/>
          <w:lang w:eastAsia="ja-JP"/>
        </w:rPr>
        <w:t xml:space="preserve">Podczas stosowania u myszy, szczurów i psów dawek związanych </w:t>
      </w:r>
      <w:r w:rsidRPr="007E4DA1">
        <w:rPr>
          <w:rFonts w:eastAsia="MS Mincho"/>
          <w:color w:val="000000"/>
          <w:lang w:eastAsia="ja-JP"/>
        </w:rPr>
        <w:t>z zachorowalnością i śmiertelnością</w:t>
      </w:r>
      <w:r w:rsidRPr="007E4DA1">
        <w:rPr>
          <w:rFonts w:eastAsia="MS Mincho"/>
          <w:color w:val="000000"/>
          <w:szCs w:val="24"/>
          <w:lang w:eastAsia="ja-JP"/>
        </w:rPr>
        <w:t xml:space="preserve"> lub dawek, które były źle tolerowane obserwowano degenerację i (lub) martwicę hepatocytów, której często towarzyszyło zwiększenie aktywności enzymów wątrobowych w surowicy. </w:t>
      </w:r>
      <w:r w:rsidRPr="007E4DA1">
        <w:rPr>
          <w:rFonts w:eastAsia="MS Mincho"/>
          <w:color w:val="000000"/>
          <w:lang w:eastAsia="ja-JP"/>
        </w:rPr>
        <w:t xml:space="preserve">Działania na wątrobę nie obserwowano </w:t>
      </w:r>
      <w:r w:rsidRPr="007E4DA1">
        <w:rPr>
          <w:rFonts w:eastAsia="MS Mincho"/>
          <w:color w:val="000000"/>
          <w:szCs w:val="24"/>
          <w:lang w:eastAsia="ja-JP"/>
        </w:rPr>
        <w:t>podczas przewlekłego stosowania u szczurów (28</w:t>
      </w:r>
      <w:r w:rsidR="004C0EA2" w:rsidRPr="007E4DA1">
        <w:rPr>
          <w:rFonts w:eastAsia="MS Mincho"/>
          <w:color w:val="000000"/>
          <w:szCs w:val="24"/>
          <w:lang w:eastAsia="ja-JP"/>
        </w:rPr>
        <w:t> </w:t>
      </w:r>
      <w:r w:rsidRPr="007E4DA1">
        <w:rPr>
          <w:rFonts w:eastAsia="MS Mincho"/>
          <w:color w:val="000000"/>
          <w:szCs w:val="24"/>
          <w:lang w:eastAsia="ja-JP"/>
        </w:rPr>
        <w:t>tygodni) ani u psów (52 tygodnie)</w:t>
      </w:r>
      <w:r w:rsidRPr="007E4DA1">
        <w:rPr>
          <w:rFonts w:eastAsia="MS Mincho"/>
          <w:color w:val="000000"/>
          <w:lang w:eastAsia="ja-JP"/>
        </w:rPr>
        <w:t xml:space="preserve"> w przypadku ekspozycji 4</w:t>
      </w:r>
      <w:r w:rsidR="004C0EA2" w:rsidRPr="007E4DA1">
        <w:rPr>
          <w:rFonts w:eastAsia="MS Mincho"/>
          <w:color w:val="000000"/>
          <w:lang w:eastAsia="ja-JP"/>
        </w:rPr>
        <w:t> </w:t>
      </w:r>
      <w:r w:rsidRPr="007E4DA1">
        <w:rPr>
          <w:rFonts w:eastAsia="MS Mincho"/>
          <w:color w:val="000000"/>
          <w:lang w:eastAsia="ja-JP"/>
        </w:rPr>
        <w:t xml:space="preserve">x </w:t>
      </w:r>
      <w:r w:rsidR="004C0EA2" w:rsidRPr="007E4DA1">
        <w:rPr>
          <w:rFonts w:eastAsia="MS Mincho"/>
          <w:color w:val="000000"/>
          <w:lang w:eastAsia="ja-JP"/>
        </w:rPr>
        <w:t>lub</w:t>
      </w:r>
      <w:r w:rsidRPr="007E4DA1">
        <w:rPr>
          <w:rFonts w:eastAsia="MS Mincho"/>
          <w:color w:val="000000"/>
          <w:lang w:eastAsia="ja-JP"/>
        </w:rPr>
        <w:t xml:space="preserve"> 2</w:t>
      </w:r>
      <w:r w:rsidR="004C0EA2" w:rsidRPr="007E4DA1">
        <w:rPr>
          <w:rFonts w:eastAsia="MS Mincho"/>
          <w:color w:val="000000"/>
          <w:lang w:eastAsia="ja-JP"/>
        </w:rPr>
        <w:t> </w:t>
      </w:r>
      <w:r w:rsidRPr="007E4DA1">
        <w:rPr>
          <w:rFonts w:eastAsia="MS Mincho"/>
          <w:color w:val="000000"/>
          <w:lang w:eastAsia="ja-JP"/>
        </w:rPr>
        <w:t xml:space="preserve">x większej niż ekspozycja u ludzi w warunkach klinicznych </w:t>
      </w:r>
      <w:r w:rsidRPr="007E4DA1">
        <w:t xml:space="preserve">w przypadku </w:t>
      </w:r>
      <w:r w:rsidR="00E80B34" w:rsidRPr="007E4DA1">
        <w:t xml:space="preserve">dorosłych </w:t>
      </w:r>
      <w:r w:rsidRPr="007E4DA1">
        <w:t xml:space="preserve">pacjentów z pierwotną małopłytkowością immunologiczną </w:t>
      </w:r>
      <w:r w:rsidR="00E80B34" w:rsidRPr="007E4DA1">
        <w:t xml:space="preserve">oraz </w:t>
      </w:r>
      <w:r w:rsidR="00E80B34" w:rsidRPr="007E4DA1">
        <w:rPr>
          <w:rFonts w:eastAsia="MS Mincho"/>
          <w:color w:val="000000"/>
          <w:lang w:eastAsia="ja-JP"/>
        </w:rPr>
        <w:t>3 x</w:t>
      </w:r>
      <w:r w:rsidR="004C0EA2" w:rsidRPr="007E4DA1">
        <w:rPr>
          <w:rFonts w:eastAsia="MS Mincho"/>
          <w:color w:val="000000"/>
          <w:lang w:eastAsia="ja-JP"/>
        </w:rPr>
        <w:t xml:space="preserve"> lub</w:t>
      </w:r>
      <w:r w:rsidR="00E80B34" w:rsidRPr="007E4DA1">
        <w:rPr>
          <w:rFonts w:eastAsia="MS Mincho"/>
          <w:color w:val="000000"/>
          <w:lang w:eastAsia="ja-JP"/>
        </w:rPr>
        <w:t xml:space="preserve"> 2 x większej niż ekspozycja u ludzi w warunkach klinicznych </w:t>
      </w:r>
      <w:r w:rsidR="00E80B34" w:rsidRPr="007E4DA1">
        <w:t xml:space="preserve">w przypadku dzieci i młodzieży z pierwotną małopłytkowością immunologiczną, </w:t>
      </w:r>
      <w:r w:rsidRPr="007E4DA1">
        <w:t xml:space="preserve">otrzymujących dawkę 75 mg/dobę, a także 2 x większej lub równoważnej ekspozycji u ludzi w warunkach klinicznych w </w:t>
      </w:r>
      <w:r w:rsidRPr="007E4DA1">
        <w:lastRenderedPageBreak/>
        <w:t xml:space="preserve">przypadku pacjentów zakażonych wirusem WZW C otrzymujących dawkę 100 mg/dobę </w:t>
      </w:r>
      <w:r w:rsidRPr="007E4DA1">
        <w:rPr>
          <w:rFonts w:eastAsia="MS Mincho"/>
          <w:color w:val="000000"/>
          <w:lang w:eastAsia="ja-JP"/>
        </w:rPr>
        <w:t>(na podstawie AUC).</w:t>
      </w:r>
    </w:p>
    <w:p w14:paraId="70224C9F" w14:textId="77777777" w:rsidR="00802FF6" w:rsidRPr="007E4DA1" w:rsidRDefault="00802FF6" w:rsidP="001A6584">
      <w:pPr>
        <w:tabs>
          <w:tab w:val="left" w:pos="142"/>
        </w:tabs>
        <w:ind w:left="0" w:firstLine="0"/>
        <w:rPr>
          <w:rFonts w:eastAsia="MS Mincho"/>
          <w:szCs w:val="22"/>
        </w:rPr>
      </w:pPr>
    </w:p>
    <w:p w14:paraId="6EE260C0" w14:textId="77777777" w:rsidR="00802FF6" w:rsidRPr="007E4DA1" w:rsidRDefault="00802FF6" w:rsidP="001A6584">
      <w:pPr>
        <w:tabs>
          <w:tab w:val="left" w:pos="142"/>
        </w:tabs>
        <w:ind w:left="0" w:firstLine="0"/>
        <w:rPr>
          <w:rFonts w:eastAsia="MS Mincho"/>
        </w:rPr>
      </w:pPr>
      <w:r w:rsidRPr="007E4DA1">
        <w:rPr>
          <w:rFonts w:eastAsia="MS Mincho"/>
        </w:rPr>
        <w:t xml:space="preserve">W krótkotrwałych badaniach na szczurach i psach podczas stosowania źle tolerowanych dawek (&gt;10 x </w:t>
      </w:r>
      <w:r w:rsidR="00E80B34" w:rsidRPr="007E4DA1">
        <w:rPr>
          <w:rFonts w:eastAsia="MS Mincho"/>
        </w:rPr>
        <w:t xml:space="preserve">lub 7 x </w:t>
      </w:r>
      <w:r w:rsidRPr="007E4DA1">
        <w:rPr>
          <w:rFonts w:eastAsia="MS Mincho"/>
        </w:rPr>
        <w:t xml:space="preserve">ekspozycja u ludzi w warunkach klinicznych </w:t>
      </w:r>
      <w:r w:rsidRPr="007E4DA1">
        <w:t xml:space="preserve">w przypadku </w:t>
      </w:r>
      <w:r w:rsidR="00E80B34" w:rsidRPr="007E4DA1">
        <w:t xml:space="preserve">dorosłych </w:t>
      </w:r>
      <w:r w:rsidRPr="007E4DA1">
        <w:t xml:space="preserve">pacjentów </w:t>
      </w:r>
      <w:r w:rsidR="00E80B34" w:rsidRPr="007E4DA1">
        <w:t xml:space="preserve">lub dzieci i młodzieży </w:t>
      </w:r>
      <w:r w:rsidRPr="007E4DA1">
        <w:t>z pierwotną małopłytkowością immunologiczną otrzymujących dawkę 75 mg/dobę, a także &gt;4 x ekspozycja u ludzi w warunkach klinicznych w przypadku pacjentów zakażonych wirusem WZW C otrzymujących dawkę 100 mg/dobę</w:t>
      </w:r>
      <w:r w:rsidRPr="007E4DA1">
        <w:rPr>
          <w:rFonts w:eastAsia="MS Mincho"/>
        </w:rPr>
        <w:t xml:space="preserve"> </w:t>
      </w:r>
      <w:r w:rsidR="002F7D40" w:rsidRPr="007E4DA1">
        <w:rPr>
          <w:rFonts w:eastAsia="MS Mincho"/>
        </w:rPr>
        <w:t>(</w:t>
      </w:r>
      <w:r w:rsidRPr="007E4DA1">
        <w:rPr>
          <w:rFonts w:eastAsia="MS Mincho"/>
        </w:rPr>
        <w:t>na podstawie AUC) obserwowano zmniejszenie liczby retykulocytów oraz regeneracyjną hiperplazję erytroidalną szpiku kostnego (tylko u szczurów). Nie zanotowano wpływu na masę erytrocytów ani liczbę retykulocytów podczas podawania przez 28</w:t>
      </w:r>
      <w:r w:rsidR="000D1220" w:rsidRPr="007E4DA1">
        <w:rPr>
          <w:rFonts w:eastAsia="MS Mincho"/>
        </w:rPr>
        <w:t> </w:t>
      </w:r>
      <w:r w:rsidRPr="007E4DA1">
        <w:rPr>
          <w:rFonts w:eastAsia="MS Mincho"/>
        </w:rPr>
        <w:t>tygodni szczurom, 52</w:t>
      </w:r>
      <w:r w:rsidR="000D1220" w:rsidRPr="007E4DA1">
        <w:rPr>
          <w:rFonts w:eastAsia="MS Mincho"/>
        </w:rPr>
        <w:t> </w:t>
      </w:r>
      <w:r w:rsidRPr="007E4DA1">
        <w:rPr>
          <w:rFonts w:eastAsia="MS Mincho"/>
        </w:rPr>
        <w:t>tygodnie psom i 2</w:t>
      </w:r>
      <w:r w:rsidR="000D1220" w:rsidRPr="007E4DA1">
        <w:rPr>
          <w:rFonts w:eastAsia="MS Mincho"/>
        </w:rPr>
        <w:t> </w:t>
      </w:r>
      <w:r w:rsidRPr="007E4DA1">
        <w:rPr>
          <w:rFonts w:eastAsia="MS Mincho"/>
        </w:rPr>
        <w:t>lata myszom lub szczurom maksymalnych tolerowanych dawek, które były 2 do 4</w:t>
      </w:r>
      <w:r w:rsidR="004C0EA2" w:rsidRPr="007E4DA1">
        <w:rPr>
          <w:rFonts w:eastAsia="MS Mincho"/>
        </w:rPr>
        <w:t> </w:t>
      </w:r>
      <w:r w:rsidRPr="007E4DA1">
        <w:rPr>
          <w:rFonts w:eastAsia="MS Mincho"/>
        </w:rPr>
        <w:t xml:space="preserve">razy większe od ekspozycji u ludzi w warunkach klinicznych </w:t>
      </w:r>
      <w:r w:rsidRPr="007E4DA1">
        <w:t xml:space="preserve">w przypadku </w:t>
      </w:r>
      <w:r w:rsidR="00BC48DC" w:rsidRPr="007E4DA1">
        <w:t xml:space="preserve">dorosłych </w:t>
      </w:r>
      <w:r w:rsidRPr="007E4DA1">
        <w:t xml:space="preserve">pacjentów </w:t>
      </w:r>
      <w:r w:rsidR="00BC48DC" w:rsidRPr="007E4DA1">
        <w:t xml:space="preserve">lub dzieci i młodzieży </w:t>
      </w:r>
      <w:r w:rsidRPr="007E4DA1">
        <w:t xml:space="preserve">z pierwotną małopłytkowością immunologiczną otrzymujących dawkę 75 mg/dobę, a także ≤2 x większej niż ekspozycja u ludzi w warunkach klinicznych w przypadku pacjentów zakażonych wirusem WZW C otrzymujących dawkę 100 mg/dobę </w:t>
      </w:r>
      <w:r w:rsidRPr="007E4DA1">
        <w:rPr>
          <w:rFonts w:eastAsia="MS Mincho"/>
        </w:rPr>
        <w:t>(na podstawie AUC).</w:t>
      </w:r>
    </w:p>
    <w:p w14:paraId="7DA6A2A7" w14:textId="77777777" w:rsidR="00802FF6" w:rsidRPr="007E4DA1" w:rsidRDefault="00802FF6" w:rsidP="001A6584">
      <w:pPr>
        <w:tabs>
          <w:tab w:val="left" w:pos="142"/>
        </w:tabs>
        <w:ind w:left="0" w:firstLine="0"/>
        <w:rPr>
          <w:szCs w:val="22"/>
        </w:rPr>
      </w:pPr>
    </w:p>
    <w:p w14:paraId="7CBAD913" w14:textId="77777777" w:rsidR="00802FF6" w:rsidRPr="007E4DA1" w:rsidRDefault="00802FF6" w:rsidP="001A6584">
      <w:pPr>
        <w:tabs>
          <w:tab w:val="left" w:pos="142"/>
        </w:tabs>
        <w:ind w:left="0" w:firstLine="0"/>
        <w:rPr>
          <w:rFonts w:eastAsia="MS Mincho"/>
        </w:rPr>
      </w:pPr>
      <w:r w:rsidRPr="007E4DA1">
        <w:rPr>
          <w:rFonts w:eastAsia="MS Mincho"/>
        </w:rPr>
        <w:t>W trwającym 28</w:t>
      </w:r>
      <w:r w:rsidR="004C0EA2" w:rsidRPr="007E4DA1">
        <w:rPr>
          <w:rFonts w:eastAsia="MS Mincho"/>
        </w:rPr>
        <w:t> </w:t>
      </w:r>
      <w:r w:rsidRPr="007E4DA1">
        <w:rPr>
          <w:rFonts w:eastAsia="MS Mincho"/>
        </w:rPr>
        <w:t>tygodni badaniu toksyczności u szczurów, którym podawano nietolerowaną dawkę 60 mg/kg mc./dobę (6</w:t>
      </w:r>
      <w:r w:rsidR="000D1220" w:rsidRPr="007E4DA1">
        <w:rPr>
          <w:rFonts w:eastAsia="MS Mincho"/>
        </w:rPr>
        <w:t> </w:t>
      </w:r>
      <w:r w:rsidRPr="007E4DA1">
        <w:rPr>
          <w:rFonts w:eastAsia="MS Mincho"/>
        </w:rPr>
        <w:t xml:space="preserve">x </w:t>
      </w:r>
      <w:r w:rsidR="00BC48DC" w:rsidRPr="007E4DA1">
        <w:rPr>
          <w:rFonts w:eastAsia="MS Mincho"/>
        </w:rPr>
        <w:t xml:space="preserve">lub 4 x </w:t>
      </w:r>
      <w:r w:rsidRPr="007E4DA1">
        <w:rPr>
          <w:rFonts w:eastAsia="MS Mincho"/>
        </w:rPr>
        <w:t xml:space="preserve">ekspozycja u ludzi w warunkach klinicznych </w:t>
      </w:r>
      <w:r w:rsidRPr="007E4DA1">
        <w:t xml:space="preserve">w przypadku </w:t>
      </w:r>
      <w:r w:rsidR="00BC48DC" w:rsidRPr="007E4DA1">
        <w:t xml:space="preserve">dorosłych </w:t>
      </w:r>
      <w:r w:rsidRPr="007E4DA1">
        <w:t xml:space="preserve">pacjentów </w:t>
      </w:r>
      <w:r w:rsidR="00BC48DC" w:rsidRPr="007E4DA1">
        <w:t xml:space="preserve">lub dzieci i młodzieży </w:t>
      </w:r>
      <w:r w:rsidRPr="007E4DA1">
        <w:t>z pierwotną małopłytkowością immunologiczną otrzymujących dawkę 75 mg/dobę, a także 3 x większej niż ekspozycja u ludzi w warunkach klinicznych w przypadku pacjentów zakażonych wirusem WZW C otrzymujących dawkę 100 mg/dobę</w:t>
      </w:r>
      <w:r w:rsidRPr="007E4DA1">
        <w:rPr>
          <w:rFonts w:eastAsia="MS Mincho"/>
        </w:rPr>
        <w:t xml:space="preserve"> </w:t>
      </w:r>
      <w:r w:rsidR="002F7D40" w:rsidRPr="007E4DA1">
        <w:rPr>
          <w:rFonts w:eastAsia="MS Mincho"/>
        </w:rPr>
        <w:t>(</w:t>
      </w:r>
      <w:r w:rsidRPr="007E4DA1">
        <w:rPr>
          <w:rFonts w:eastAsia="MS Mincho"/>
        </w:rPr>
        <w:t xml:space="preserve">na podstawie AUC) obserwowano hiperostozę śródkostną. W przypadku ekspozycji 4-krotnie </w:t>
      </w:r>
      <w:r w:rsidR="00BC48DC" w:rsidRPr="007E4DA1">
        <w:rPr>
          <w:rFonts w:eastAsia="MS Mincho"/>
        </w:rPr>
        <w:t xml:space="preserve">lub 2-krotnie </w:t>
      </w:r>
      <w:r w:rsidRPr="007E4DA1">
        <w:rPr>
          <w:rFonts w:eastAsia="MS Mincho"/>
        </w:rPr>
        <w:t xml:space="preserve">większej od ekspozycji u ludzi w warunkach klinicznych </w:t>
      </w:r>
      <w:r w:rsidRPr="007E4DA1">
        <w:t xml:space="preserve">w przypadku </w:t>
      </w:r>
      <w:r w:rsidR="00BC48DC" w:rsidRPr="007E4DA1">
        <w:t xml:space="preserve">dorosłych </w:t>
      </w:r>
      <w:r w:rsidRPr="007E4DA1">
        <w:t xml:space="preserve">pacjentów </w:t>
      </w:r>
      <w:r w:rsidR="00BC48DC" w:rsidRPr="007E4DA1">
        <w:t xml:space="preserve">lub dzieci imłodzieży </w:t>
      </w:r>
      <w:r w:rsidRPr="007E4DA1">
        <w:t xml:space="preserve">z pierwotną małopłytkowością immunologiczną otrzymujących dawkę 75 mg/dobę, a także 2-krotnie większej niż ekspozycja u ludzi w warunkach klinicznych w przypadku pacjentów zakażonych wirusem WZW C otrzymujących dawkę 100 mg/dobę </w:t>
      </w:r>
      <w:r w:rsidRPr="007E4DA1">
        <w:rPr>
          <w:rFonts w:eastAsia="MS Mincho"/>
        </w:rPr>
        <w:t>(na podstawie AUC), trwającej przez cały okres życia zwierzęcia (2</w:t>
      </w:r>
      <w:r w:rsidR="00926919" w:rsidRPr="007E4DA1">
        <w:rPr>
          <w:rFonts w:eastAsia="MS Mincho"/>
        </w:rPr>
        <w:t> </w:t>
      </w:r>
      <w:r w:rsidRPr="007E4DA1">
        <w:rPr>
          <w:rFonts w:eastAsia="MS Mincho"/>
        </w:rPr>
        <w:t>lata) u myszy i szczurów nie obserwowano zmian w kościach.</w:t>
      </w:r>
    </w:p>
    <w:p w14:paraId="2726AA36" w14:textId="77777777" w:rsidR="00802FF6" w:rsidRPr="007E4DA1" w:rsidRDefault="00802FF6" w:rsidP="001A6584">
      <w:pPr>
        <w:tabs>
          <w:tab w:val="left" w:pos="142"/>
        </w:tabs>
        <w:ind w:left="0" w:firstLine="0"/>
        <w:rPr>
          <w:szCs w:val="22"/>
        </w:rPr>
      </w:pPr>
    </w:p>
    <w:p w14:paraId="115C9A49" w14:textId="77777777" w:rsidR="005D1930" w:rsidRPr="007E4DA1" w:rsidRDefault="005D1930" w:rsidP="001A6584">
      <w:pPr>
        <w:keepNext/>
        <w:tabs>
          <w:tab w:val="left" w:pos="142"/>
        </w:tabs>
        <w:ind w:left="0" w:firstLine="0"/>
        <w:rPr>
          <w:szCs w:val="22"/>
        </w:rPr>
      </w:pPr>
      <w:r w:rsidRPr="007E4DA1">
        <w:rPr>
          <w:szCs w:val="22"/>
          <w:u w:val="single"/>
        </w:rPr>
        <w:t>Działanie rakotwórcze i mutagenne</w:t>
      </w:r>
    </w:p>
    <w:p w14:paraId="28978CA2" w14:textId="77777777" w:rsidR="005D1930" w:rsidRPr="007E4DA1" w:rsidRDefault="005D1930" w:rsidP="001A6584">
      <w:pPr>
        <w:keepNext/>
        <w:tabs>
          <w:tab w:val="left" w:pos="142"/>
        </w:tabs>
        <w:ind w:left="0" w:firstLine="0"/>
        <w:rPr>
          <w:szCs w:val="22"/>
        </w:rPr>
      </w:pPr>
    </w:p>
    <w:p w14:paraId="58FAD979" w14:textId="77777777" w:rsidR="00802FF6" w:rsidRPr="007E4DA1" w:rsidRDefault="00802FF6" w:rsidP="001A6584">
      <w:pPr>
        <w:tabs>
          <w:tab w:val="left" w:pos="142"/>
        </w:tabs>
        <w:ind w:left="0" w:firstLine="0"/>
      </w:pPr>
      <w:r w:rsidRPr="007E4DA1">
        <w:t>Nie stwierdzono działania rakotwórczego eltrombopagu u myszy, przy dawkach dochodzących do 75 mg/kg mc./dobę ani u szczurów przy dawkach do 40 mg/kg mc./dobę (ekspozycja do 4</w:t>
      </w:r>
      <w:r w:rsidR="000D1220" w:rsidRPr="007E4DA1">
        <w:t> </w:t>
      </w:r>
      <w:r w:rsidRPr="007E4DA1">
        <w:t xml:space="preserve">razy </w:t>
      </w:r>
      <w:r w:rsidR="00BC48DC" w:rsidRPr="007E4DA1">
        <w:t>lub 2</w:t>
      </w:r>
      <w:r w:rsidR="000D1220" w:rsidRPr="007E4DA1">
        <w:t> </w:t>
      </w:r>
      <w:r w:rsidR="00BC48DC" w:rsidRPr="007E4DA1">
        <w:t xml:space="preserve">razy </w:t>
      </w:r>
      <w:r w:rsidRPr="007E4DA1">
        <w:t xml:space="preserve">większa od ekspozycji u ludzi w warunkach klinicznych w przypadku </w:t>
      </w:r>
      <w:r w:rsidR="00BC48DC" w:rsidRPr="007E4DA1">
        <w:t xml:space="preserve">dorosłych </w:t>
      </w:r>
      <w:r w:rsidRPr="007E4DA1">
        <w:t xml:space="preserve">pacjentów </w:t>
      </w:r>
      <w:r w:rsidR="00BC48DC" w:rsidRPr="007E4DA1">
        <w:t xml:space="preserve">lub dzieci i młodzieży </w:t>
      </w:r>
      <w:r w:rsidRPr="007E4DA1">
        <w:t xml:space="preserve">z pierwotną małopłytkowością immunologiczną otrzymujących dawkę 75 mg/dobę, a także 2 razy większa niż ekspozycja u ludzi w warunkach klinicznych w przypadku pacjentów zakażonych wirusem WZW C otrzymujących dawkę 100 mg/dobę na podstawie AUC). Nie stwierdzono działania mutagennego ani klastogennego eltrombopagu w bakteryjnym teście mutacji ani w dwóch testach </w:t>
      </w:r>
      <w:r w:rsidRPr="007E4DA1">
        <w:rPr>
          <w:i/>
        </w:rPr>
        <w:t>in vivo</w:t>
      </w:r>
      <w:r w:rsidRPr="007E4DA1">
        <w:t xml:space="preserve"> u szczurów (test mikrojądrowy i test niezaplanowanej syntezy </w:t>
      </w:r>
      <w:smartTag w:uri="urn:schemas-microsoft-com:office:smarttags" w:element="stockticker">
        <w:r w:rsidRPr="007E4DA1">
          <w:t>DNA</w:t>
        </w:r>
      </w:smartTag>
      <w:r w:rsidRPr="007E4DA1">
        <w:t xml:space="preserve">, 10-krotna </w:t>
      </w:r>
      <w:r w:rsidR="00BC48DC" w:rsidRPr="007E4DA1">
        <w:t xml:space="preserve">lub 8-krotna </w:t>
      </w:r>
      <w:r w:rsidRPr="007E4DA1">
        <w:t xml:space="preserve">ekspozycja u ludzi w warunkach klinicznych w przypadku </w:t>
      </w:r>
      <w:r w:rsidR="00BC48DC" w:rsidRPr="007E4DA1">
        <w:t xml:space="preserve">dorosłych </w:t>
      </w:r>
      <w:r w:rsidRPr="007E4DA1">
        <w:t xml:space="preserve">pacjentów </w:t>
      </w:r>
      <w:r w:rsidR="00BC48DC" w:rsidRPr="007E4DA1">
        <w:t xml:space="preserve">lub dzieci i młodzieży </w:t>
      </w:r>
      <w:r w:rsidRPr="007E4DA1">
        <w:t xml:space="preserve">z pierwotną małopłytkowością immunologiczną otrzymujących dawkę 75 mg/dobę, a także 7-krotna ekspozycja u ludzi w warunkach klinicznych w przypadku pacjentów zakażonych wirusem WZW C otrzymujących dawkę 100 mg/dobę </w:t>
      </w:r>
      <w:r w:rsidR="00E85D48" w:rsidRPr="007E4DA1">
        <w:t>na podstawie</w:t>
      </w:r>
      <w:r w:rsidRPr="007E4DA1">
        <w:t xml:space="preserve"> C</w:t>
      </w:r>
      <w:r w:rsidRPr="007E4DA1">
        <w:rPr>
          <w:szCs w:val="24"/>
          <w:vertAlign w:val="subscript"/>
        </w:rPr>
        <w:t>max</w:t>
      </w:r>
      <w:r w:rsidRPr="007E4DA1">
        <w:t xml:space="preserve">). Wynik testu </w:t>
      </w:r>
      <w:r w:rsidRPr="007E4DA1">
        <w:rPr>
          <w:i/>
        </w:rPr>
        <w:t>in vitro</w:t>
      </w:r>
      <w:r w:rsidRPr="007E4DA1">
        <w:t xml:space="preserve"> na komórkach chłoniaka myszy dla eltrombopagu był śladowo dodatni (</w:t>
      </w:r>
      <w:r w:rsidRPr="007E4DA1">
        <w:rPr>
          <w:rFonts w:cs="Arial"/>
          <w:color w:val="000000"/>
        </w:rPr>
        <w:t>&lt;3-krotne zwiększenie częstości mutacji)</w:t>
      </w:r>
      <w:r w:rsidRPr="007E4DA1">
        <w:t xml:space="preserve">. Powyższe wyniki badań </w:t>
      </w:r>
      <w:r w:rsidRPr="007E4DA1">
        <w:rPr>
          <w:i/>
        </w:rPr>
        <w:t>in vitro</w:t>
      </w:r>
      <w:r w:rsidRPr="007E4DA1">
        <w:t xml:space="preserve"> i </w:t>
      </w:r>
      <w:r w:rsidRPr="007E4DA1">
        <w:rPr>
          <w:i/>
        </w:rPr>
        <w:t>in vivo</w:t>
      </w:r>
      <w:r w:rsidRPr="007E4DA1">
        <w:t xml:space="preserve"> </w:t>
      </w:r>
      <w:r w:rsidR="002F6672" w:rsidRPr="007E4DA1">
        <w:t>wskazują</w:t>
      </w:r>
      <w:r w:rsidRPr="007E4DA1">
        <w:t>, że eltrombopag nie stanowi zagrożenia genotoksycznego dla człowieka.</w:t>
      </w:r>
    </w:p>
    <w:p w14:paraId="2A75E0C2" w14:textId="77777777" w:rsidR="00802FF6" w:rsidRPr="007E4DA1" w:rsidRDefault="00802FF6" w:rsidP="001A6584">
      <w:pPr>
        <w:tabs>
          <w:tab w:val="left" w:pos="142"/>
        </w:tabs>
        <w:ind w:left="0" w:firstLine="0"/>
        <w:rPr>
          <w:szCs w:val="22"/>
        </w:rPr>
      </w:pPr>
    </w:p>
    <w:p w14:paraId="140851E0" w14:textId="77777777" w:rsidR="00041A08" w:rsidRPr="00041A08" w:rsidRDefault="005D1930" w:rsidP="001A6584">
      <w:pPr>
        <w:keepNext/>
        <w:tabs>
          <w:tab w:val="left" w:pos="142"/>
        </w:tabs>
        <w:ind w:left="0" w:firstLine="0"/>
        <w:rPr>
          <w:szCs w:val="22"/>
        </w:rPr>
      </w:pPr>
      <w:r w:rsidRPr="007E4DA1">
        <w:rPr>
          <w:szCs w:val="22"/>
          <w:u w:val="single"/>
        </w:rPr>
        <w:t>Toksyczny wpływ na reprodukcję</w:t>
      </w:r>
    </w:p>
    <w:p w14:paraId="2C4633C2" w14:textId="1227983F" w:rsidR="005D1930" w:rsidRPr="007E4DA1" w:rsidRDefault="005D1930" w:rsidP="001A6584">
      <w:pPr>
        <w:keepNext/>
        <w:tabs>
          <w:tab w:val="left" w:pos="142"/>
        </w:tabs>
        <w:ind w:left="0" w:firstLine="0"/>
        <w:rPr>
          <w:szCs w:val="22"/>
        </w:rPr>
      </w:pPr>
    </w:p>
    <w:p w14:paraId="1C3C6AC7" w14:textId="77777777" w:rsidR="00802FF6" w:rsidRPr="007E4DA1" w:rsidRDefault="00802FF6" w:rsidP="001A6584">
      <w:pPr>
        <w:tabs>
          <w:tab w:val="left" w:pos="142"/>
        </w:tabs>
        <w:ind w:left="0" w:firstLine="0"/>
      </w:pPr>
      <w:r w:rsidRPr="007E4DA1">
        <w:t>Eltrombopag nie wpływał na płodność samic, wczesny rozwój embrionalny ani rozwój embrionalno-płodowy u szczurów w dawkach do 20 mg/kg mc./dobę (2</w:t>
      </w:r>
      <w:r w:rsidR="00926919" w:rsidRPr="007E4DA1">
        <w:t> </w:t>
      </w:r>
      <w:r w:rsidRPr="007E4DA1">
        <w:t xml:space="preserve">razy ekspozycja u ludzi w warunkach klinicznych w przypadku </w:t>
      </w:r>
      <w:r w:rsidR="002215D8" w:rsidRPr="007E4DA1">
        <w:t xml:space="preserve">dorosłych </w:t>
      </w:r>
      <w:r w:rsidRPr="007E4DA1">
        <w:t xml:space="preserve">pacjentów </w:t>
      </w:r>
      <w:r w:rsidR="002215D8" w:rsidRPr="007E4DA1">
        <w:t>lub młodzieży (w wieku 12</w:t>
      </w:r>
      <w:r w:rsidR="00F865DC" w:rsidRPr="007E4DA1">
        <w:noBreakHyphen/>
      </w:r>
      <w:r w:rsidR="002215D8" w:rsidRPr="007E4DA1">
        <w:t>17</w:t>
      </w:r>
      <w:r w:rsidR="000D1220" w:rsidRPr="007E4DA1">
        <w:t> </w:t>
      </w:r>
      <w:r w:rsidR="002215D8" w:rsidRPr="007E4DA1">
        <w:t xml:space="preserve">lat) </w:t>
      </w:r>
      <w:r w:rsidRPr="007E4DA1">
        <w:t xml:space="preserve">z pierwotną małopłytkowością immunologiczną otrzymujących dawkę 75 mg/dobę, a także równoważna ekspozycja u ludzi w warunkach klinicznych w przypadku pacjentów zakażonych wirusem WZW C otrzymujących dawkę 100 mg/dobę </w:t>
      </w:r>
      <w:r w:rsidR="00E85D48" w:rsidRPr="007E4DA1">
        <w:t>na podstawie</w:t>
      </w:r>
      <w:r w:rsidRPr="007E4DA1">
        <w:t xml:space="preserve"> AUC). Nie wykazano również wpływu na rozwój embrionalno-płodowy u królików w dawkach do 150 mg/kg mc./dobę, w największej testowanej </w:t>
      </w:r>
      <w:r w:rsidRPr="007E4DA1">
        <w:lastRenderedPageBreak/>
        <w:t>dawce (</w:t>
      </w:r>
      <w:r w:rsidR="00926919" w:rsidRPr="007E4DA1">
        <w:t xml:space="preserve">0,3 do </w:t>
      </w:r>
      <w:r w:rsidRPr="007E4DA1">
        <w:t>0,5</w:t>
      </w:r>
      <w:r w:rsidR="00926919" w:rsidRPr="007E4DA1">
        <w:t> </w:t>
      </w:r>
      <w:r w:rsidRPr="007E4DA1">
        <w:t>x ekspozycja u ludzi w warunkach klinicznych w przypadku pacjentów z pierwotną małopłytkowością immunologiczną otrzymujących dawkę 75 mg/dobę, a także w przypadku pacjentów zakażonych wirusem WZW C otrzymujących dawkę 100 mg/dobę, na podstawie AUC). Jednakże podczas stosowania eltrombopagu u szczurów w dawce toksycznej dla matki 60 mg/kg mc./dobę (6</w:t>
      </w:r>
      <w:r w:rsidR="00926919" w:rsidRPr="007E4DA1">
        <w:t> </w:t>
      </w:r>
      <w:r w:rsidRPr="007E4DA1">
        <w:t>x ekspozycja u ludzi w warunkach klinicznych w przypadku pacjentów z pierwotną małopłytkowością immunologiczną otrzymujących dawkę 75 mg/dobę, a także 3 x ekspozycja u ludzi w warunkach klinicznych w przypadku pacjentów zakażonych wirusem WZW C otrzymujących dawkę 100 mg/dobę na podstawie AUC), stwierdzono działanie letalne na embriony (zwiększona liczba poronień przed- i poimplantacyjnych), zmniejszoną masą ciała płodów i zmniejszoną masą macicy w ciąży w badaniu płodności samic oraz niewielką częstość występowania żeber szyjnych i zmniejszoną masą ciała płodu w badaniu rozwoju embrionalno-płodowego. Eltrombopag należy stosować w okresie ciąży tylko wtedy, gdy spodziewane korzyści przewyższają potencjalne ryzyko dla płodu (patrz punkt 4.6). Eltrombopag nie wpływał na płodność u samców szczura w dawce do 40 mg/kg mc./dobę, która była największą przebadaną dawką (3</w:t>
      </w:r>
      <w:r w:rsidR="008E31D4" w:rsidRPr="007E4DA1">
        <w:t> </w:t>
      </w:r>
      <w:r w:rsidRPr="007E4DA1">
        <w:t>x ekspozycja u ludzi w warunkach klinicznych w przypadku pacjentów z pierwotną małopłytkowością immunologiczną otrzymujących dawkę 75 mg/dobę, a także 2 x ekspozycja u ludzi w warunkach klinicznych w przypadku pacjentów zakażonych wirusem WZW C otrzymujących dawkę 100 mg/dobę na podstawie AUC). W badaniu dotyczącym przed- i pourodzeniowego rozwoju u szczurów nie wykazano działań niepożądanych na ciążę, poród i laktację u samic szczurów F</w:t>
      </w:r>
      <w:r w:rsidRPr="007E4DA1">
        <w:rPr>
          <w:vertAlign w:val="subscript"/>
        </w:rPr>
        <w:t>0</w:t>
      </w:r>
      <w:r w:rsidRPr="007E4DA1">
        <w:t> podczas stosowania dawek nietoksycznych dla matek (10 i 20 mg/kg mc./dobę) oraz nie wykazano wpływu na wzrost, rozwój, funkcję neurobehawioralną i reprodukcyjną potomstwa (F</w:t>
      </w:r>
      <w:r w:rsidRPr="007E4DA1">
        <w:rPr>
          <w:vertAlign w:val="subscript"/>
        </w:rPr>
        <w:t>1</w:t>
      </w:r>
      <w:r w:rsidRPr="007E4DA1">
        <w:t>). Eltrombopag wykrywany był w osoczu wszystkich młodych szczurów F</w:t>
      </w:r>
      <w:r w:rsidRPr="007E4DA1">
        <w:rPr>
          <w:vertAlign w:val="subscript"/>
        </w:rPr>
        <w:t>1</w:t>
      </w:r>
      <w:r w:rsidRPr="007E4DA1">
        <w:t>, przez cały 22-godzinny okres pobierania próbek po podaniu produktu leczniczego samicom F</w:t>
      </w:r>
      <w:r w:rsidRPr="007E4DA1">
        <w:rPr>
          <w:vertAlign w:val="subscript"/>
        </w:rPr>
        <w:t>0</w:t>
      </w:r>
      <w:r w:rsidRPr="007E4DA1">
        <w:t>, co wskazuje, że ekspozycja młodych na eltrombopag nastąpiła za pośrednictwem mleka matki.</w:t>
      </w:r>
    </w:p>
    <w:p w14:paraId="54D90AD7" w14:textId="77777777" w:rsidR="00802FF6" w:rsidRPr="007E4DA1" w:rsidRDefault="00802FF6" w:rsidP="001A6584">
      <w:pPr>
        <w:tabs>
          <w:tab w:val="left" w:pos="142"/>
        </w:tabs>
        <w:ind w:left="0" w:firstLine="0"/>
        <w:rPr>
          <w:szCs w:val="22"/>
        </w:rPr>
      </w:pPr>
    </w:p>
    <w:p w14:paraId="2581BCF0" w14:textId="77777777" w:rsidR="005D1930" w:rsidRPr="007E4DA1" w:rsidRDefault="005D1930" w:rsidP="001A6584">
      <w:pPr>
        <w:keepNext/>
        <w:tabs>
          <w:tab w:val="left" w:pos="142"/>
        </w:tabs>
        <w:ind w:left="0" w:firstLine="0"/>
        <w:rPr>
          <w:szCs w:val="22"/>
        </w:rPr>
      </w:pPr>
      <w:r w:rsidRPr="007E4DA1">
        <w:rPr>
          <w:szCs w:val="22"/>
          <w:u w:val="single"/>
        </w:rPr>
        <w:t>Fototoksyczność</w:t>
      </w:r>
    </w:p>
    <w:p w14:paraId="7D3A0D10" w14:textId="77777777" w:rsidR="005D1930" w:rsidRPr="007E4DA1" w:rsidRDefault="005D1930" w:rsidP="001A6584">
      <w:pPr>
        <w:keepNext/>
        <w:tabs>
          <w:tab w:val="left" w:pos="142"/>
        </w:tabs>
        <w:ind w:left="0" w:firstLine="0"/>
        <w:rPr>
          <w:szCs w:val="22"/>
        </w:rPr>
      </w:pPr>
    </w:p>
    <w:p w14:paraId="371422C3" w14:textId="77777777" w:rsidR="00802FF6" w:rsidRPr="007E4DA1" w:rsidRDefault="00802FF6" w:rsidP="001A6584">
      <w:pPr>
        <w:tabs>
          <w:tab w:val="left" w:pos="142"/>
        </w:tabs>
        <w:ind w:left="0" w:firstLine="0"/>
        <w:rPr>
          <w:lang w:eastAsia="en-GB"/>
        </w:rPr>
      </w:pPr>
      <w:r w:rsidRPr="007E4DA1">
        <w:rPr>
          <w:lang w:eastAsia="en-GB"/>
        </w:rPr>
        <w:t xml:space="preserve">Badania </w:t>
      </w:r>
      <w:r w:rsidRPr="007E4DA1">
        <w:rPr>
          <w:i/>
          <w:lang w:eastAsia="en-GB"/>
        </w:rPr>
        <w:t>in vitro</w:t>
      </w:r>
      <w:r w:rsidRPr="007E4DA1">
        <w:rPr>
          <w:lang w:eastAsia="en-GB"/>
        </w:rPr>
        <w:t xml:space="preserve"> dotyczące eltrombopagu wskazują na potencjalne ryzyko fototoksyczności; jednak u szczurów nie stwierdzono fototoksyczności skórnej (10-krotność </w:t>
      </w:r>
      <w:r w:rsidR="002215D8" w:rsidRPr="007E4DA1">
        <w:rPr>
          <w:lang w:eastAsia="en-GB"/>
        </w:rPr>
        <w:t xml:space="preserve">lub 7-krotność </w:t>
      </w:r>
      <w:r w:rsidRPr="007E4DA1">
        <w:rPr>
          <w:lang w:eastAsia="en-GB"/>
        </w:rPr>
        <w:t>ekspozycji u ludzi w warunkach klinicznych</w:t>
      </w:r>
      <w:r w:rsidRPr="007E4DA1">
        <w:t xml:space="preserve"> w przypadku </w:t>
      </w:r>
      <w:r w:rsidR="002215D8" w:rsidRPr="007E4DA1">
        <w:t xml:space="preserve">dorosłych </w:t>
      </w:r>
      <w:r w:rsidRPr="007E4DA1">
        <w:t xml:space="preserve">pacjentów </w:t>
      </w:r>
      <w:r w:rsidR="002215D8" w:rsidRPr="007E4DA1">
        <w:t xml:space="preserve">lub dzieci i młodzieży </w:t>
      </w:r>
      <w:r w:rsidRPr="007E4DA1">
        <w:t>z pierwotną małopłytkowością immunologiczną otrzymujących dawkę 75 mg/dobę, a także 5-krotność ekspozycji u ludzi w warunkach klinicznych w przypadku pacjentów zakażonych wirusem WZW C otrzymujących dawkę 100 mg/dobę</w:t>
      </w:r>
      <w:r w:rsidRPr="007E4DA1">
        <w:rPr>
          <w:lang w:eastAsia="en-GB"/>
        </w:rPr>
        <w:t>, na podstawie AUC) ani fototoksyczności ocznej (</w:t>
      </w:r>
      <w:r w:rsidRPr="007E4DA1">
        <w:rPr>
          <w:lang w:eastAsia="en-GB"/>
        </w:rPr>
        <w:sym w:font="Symbol" w:char="F0B3"/>
      </w:r>
      <w:r w:rsidR="002215D8" w:rsidRPr="007E4DA1">
        <w:rPr>
          <w:lang w:eastAsia="en-GB"/>
        </w:rPr>
        <w:t>4</w:t>
      </w:r>
      <w:r w:rsidRPr="007E4DA1">
        <w:rPr>
          <w:lang w:eastAsia="en-GB"/>
        </w:rPr>
        <w:t>-krotność ekspozycji u ludzi w warunkach klinicznych</w:t>
      </w:r>
      <w:r w:rsidRPr="007E4DA1">
        <w:t xml:space="preserve"> w przypadku </w:t>
      </w:r>
      <w:r w:rsidR="002215D8" w:rsidRPr="007E4DA1">
        <w:t xml:space="preserve">dorosłych </w:t>
      </w:r>
      <w:r w:rsidRPr="007E4DA1">
        <w:t xml:space="preserve">pacjentów </w:t>
      </w:r>
      <w:r w:rsidR="002215D8" w:rsidRPr="007E4DA1">
        <w:t xml:space="preserve">lub dzieci i młodzieży </w:t>
      </w:r>
      <w:r w:rsidRPr="007E4DA1">
        <w:t>z pierwotną małopłytkowością immunologiczną otrzymujących dawkę 75 mg/dobę, a także 3-krotność ekspozycji u ludzi w warunkach klinicznych w przypadku pacjentów zakażonych wirusem WZW C otrzymujących dawkę 100 mg/dobę</w:t>
      </w:r>
      <w:r w:rsidRPr="007E4DA1">
        <w:rPr>
          <w:lang w:eastAsia="en-GB"/>
        </w:rPr>
        <w:t>, na podstawie AUC). Ponadto w klinicznym badaniu farmakologicznym obejmującym 36 osób nie wykazano zwiększonej wrażliwości na światło podczas stosowania eltrombopagu w dawce 75 mg. Oceniano to za pomocą opóźnionego wskaźnika fototoksycznego.</w:t>
      </w:r>
      <w:r w:rsidRPr="007E4DA1">
        <w:rPr>
          <w:szCs w:val="22"/>
          <w:lang w:eastAsia="en-GB"/>
        </w:rPr>
        <w:t xml:space="preserve"> Jednakże, p</w:t>
      </w:r>
      <w:r w:rsidRPr="007E4DA1">
        <w:rPr>
          <w:lang w:eastAsia="en-GB"/>
        </w:rPr>
        <w:t xml:space="preserve">onieważ nie jest możliwe przeprowadzenie specyficznego badania przedklinicznego, </w:t>
      </w:r>
      <w:r w:rsidRPr="007E4DA1">
        <w:rPr>
          <w:szCs w:val="22"/>
          <w:lang w:eastAsia="en-GB"/>
        </w:rPr>
        <w:t>nie można wykluczyć ryzyka reakcji fotoalergicznej</w:t>
      </w:r>
      <w:r w:rsidRPr="007E4DA1">
        <w:rPr>
          <w:lang w:eastAsia="en-GB"/>
        </w:rPr>
        <w:t>.</w:t>
      </w:r>
    </w:p>
    <w:p w14:paraId="1A8667BC" w14:textId="77777777" w:rsidR="00802FF6" w:rsidRPr="007E4DA1" w:rsidRDefault="00802FF6" w:rsidP="001A6584">
      <w:pPr>
        <w:tabs>
          <w:tab w:val="left" w:pos="142"/>
        </w:tabs>
        <w:ind w:left="0" w:firstLine="0"/>
        <w:rPr>
          <w:szCs w:val="22"/>
        </w:rPr>
      </w:pPr>
    </w:p>
    <w:p w14:paraId="3146696B" w14:textId="77777777" w:rsidR="005D1930" w:rsidRPr="007E4DA1" w:rsidRDefault="005D1930" w:rsidP="001A6584">
      <w:pPr>
        <w:keepNext/>
        <w:tabs>
          <w:tab w:val="left" w:pos="142"/>
        </w:tabs>
        <w:ind w:left="0" w:firstLine="0"/>
        <w:rPr>
          <w:szCs w:val="22"/>
        </w:rPr>
      </w:pPr>
      <w:r w:rsidRPr="007E4DA1">
        <w:rPr>
          <w:szCs w:val="22"/>
          <w:u w:val="single"/>
        </w:rPr>
        <w:t>Badania na młodych zwierz</w:t>
      </w:r>
      <w:r w:rsidR="00C52119" w:rsidRPr="007E4DA1">
        <w:rPr>
          <w:szCs w:val="22"/>
          <w:u w:val="single"/>
        </w:rPr>
        <w:t>ę</w:t>
      </w:r>
      <w:r w:rsidRPr="007E4DA1">
        <w:rPr>
          <w:szCs w:val="22"/>
          <w:u w:val="single"/>
        </w:rPr>
        <w:t>t</w:t>
      </w:r>
      <w:r w:rsidR="00C52119" w:rsidRPr="007E4DA1">
        <w:rPr>
          <w:szCs w:val="22"/>
          <w:u w:val="single"/>
        </w:rPr>
        <w:t>ach</w:t>
      </w:r>
    </w:p>
    <w:p w14:paraId="75470AB4" w14:textId="77777777" w:rsidR="005D1930" w:rsidRPr="007E4DA1" w:rsidRDefault="005D1930" w:rsidP="001A6584">
      <w:pPr>
        <w:keepNext/>
        <w:tabs>
          <w:tab w:val="left" w:pos="142"/>
        </w:tabs>
        <w:ind w:left="0" w:firstLine="0"/>
        <w:rPr>
          <w:szCs w:val="22"/>
        </w:rPr>
      </w:pPr>
    </w:p>
    <w:p w14:paraId="41729D9E" w14:textId="77777777" w:rsidR="002215D8" w:rsidRPr="007E4DA1" w:rsidRDefault="0041689A" w:rsidP="001A6584">
      <w:pPr>
        <w:tabs>
          <w:tab w:val="left" w:pos="142"/>
        </w:tabs>
        <w:ind w:left="0" w:firstLine="0"/>
        <w:rPr>
          <w:noProof/>
          <w:szCs w:val="22"/>
        </w:rPr>
      </w:pPr>
      <w:r w:rsidRPr="007E4DA1">
        <w:rPr>
          <w:szCs w:val="22"/>
        </w:rPr>
        <w:t xml:space="preserve">Po podaniu dawek nietolerowanych u szczurów nadal karmionych mlekiem matki obserwowano zmętnienie w gałce ocznej. Po podaniu dawek tolerowanych nie obserwowano zmętnienia w gałce ocznej (patrz wyżej podpunkt „Badania farmakologiczne dotyczące bezpieczeństwa i toksyczność po podaniu dawek wielokrotnych”). </w:t>
      </w:r>
      <w:r w:rsidR="00F05F5B" w:rsidRPr="007E4DA1">
        <w:rPr>
          <w:szCs w:val="22"/>
        </w:rPr>
        <w:t xml:space="preserve">Należy wnioskować, że biorąc pod uwagę marginesy </w:t>
      </w:r>
      <w:r w:rsidR="00784D80" w:rsidRPr="007E4DA1">
        <w:rPr>
          <w:szCs w:val="22"/>
        </w:rPr>
        <w:t>ekspozycji</w:t>
      </w:r>
      <w:r w:rsidR="00F05F5B" w:rsidRPr="007E4DA1">
        <w:rPr>
          <w:szCs w:val="22"/>
        </w:rPr>
        <w:t xml:space="preserve"> w oparciu o AUC nie można wykluczyć ryzyka wystąpienia zaćmy związanej ze stosowaniem eltrombopagu u dzieci i młodzieży. </w:t>
      </w:r>
      <w:r w:rsidR="002215D8" w:rsidRPr="007E4DA1">
        <w:rPr>
          <w:noProof/>
          <w:szCs w:val="22"/>
        </w:rPr>
        <w:t>Wyniki uzyskane w badaniach na młodych szczura</w:t>
      </w:r>
      <w:r w:rsidR="00466A69" w:rsidRPr="007E4DA1">
        <w:rPr>
          <w:noProof/>
          <w:szCs w:val="22"/>
        </w:rPr>
        <w:t>ch</w:t>
      </w:r>
      <w:r w:rsidR="002215D8" w:rsidRPr="007E4DA1">
        <w:rPr>
          <w:noProof/>
          <w:szCs w:val="22"/>
        </w:rPr>
        <w:t xml:space="preserve"> nie </w:t>
      </w:r>
      <w:r w:rsidR="006A3CA7" w:rsidRPr="007E4DA1">
        <w:rPr>
          <w:noProof/>
          <w:szCs w:val="22"/>
        </w:rPr>
        <w:t>wskaz</w:t>
      </w:r>
      <w:r w:rsidR="002215D8" w:rsidRPr="007E4DA1">
        <w:rPr>
          <w:noProof/>
          <w:szCs w:val="22"/>
        </w:rPr>
        <w:t xml:space="preserve">ują </w:t>
      </w:r>
      <w:r w:rsidR="006A3CA7" w:rsidRPr="007E4DA1">
        <w:rPr>
          <w:noProof/>
          <w:szCs w:val="22"/>
        </w:rPr>
        <w:t xml:space="preserve">na </w:t>
      </w:r>
      <w:r w:rsidR="002215D8" w:rsidRPr="007E4DA1">
        <w:rPr>
          <w:noProof/>
          <w:szCs w:val="22"/>
        </w:rPr>
        <w:t>występowani</w:t>
      </w:r>
      <w:r w:rsidR="002513B7" w:rsidRPr="007E4DA1">
        <w:rPr>
          <w:noProof/>
          <w:szCs w:val="22"/>
        </w:rPr>
        <w:t>e</w:t>
      </w:r>
      <w:r w:rsidR="002215D8" w:rsidRPr="007E4DA1">
        <w:rPr>
          <w:noProof/>
          <w:szCs w:val="22"/>
        </w:rPr>
        <w:t xml:space="preserve"> większego ryzyka toksycznego wpływu leczenia eltrombopagiem u dzieci i młodzieży w porównaniu z dorosłymi pacjentami z </w:t>
      </w:r>
      <w:r w:rsidR="00C93C3C" w:rsidRPr="007E4DA1">
        <w:rPr>
          <w:noProof/>
          <w:szCs w:val="22"/>
        </w:rPr>
        <w:t xml:space="preserve">pierwotną </w:t>
      </w:r>
      <w:r w:rsidR="002215D8" w:rsidRPr="007E4DA1">
        <w:rPr>
          <w:noProof/>
          <w:szCs w:val="22"/>
        </w:rPr>
        <w:t>małopłytkowością immunologiczną.</w:t>
      </w:r>
    </w:p>
    <w:p w14:paraId="6515848C" w14:textId="77777777" w:rsidR="00D47CCE" w:rsidRPr="007E4DA1" w:rsidRDefault="00D47CCE" w:rsidP="001A6584">
      <w:pPr>
        <w:tabs>
          <w:tab w:val="left" w:pos="142"/>
        </w:tabs>
        <w:ind w:left="0" w:firstLine="0"/>
        <w:rPr>
          <w:szCs w:val="22"/>
        </w:rPr>
      </w:pPr>
    </w:p>
    <w:p w14:paraId="058ADA03" w14:textId="77777777" w:rsidR="00802FF6" w:rsidRPr="007E4DA1" w:rsidRDefault="00802FF6" w:rsidP="001A6584">
      <w:pPr>
        <w:tabs>
          <w:tab w:val="left" w:pos="142"/>
        </w:tabs>
        <w:ind w:left="0" w:firstLine="0"/>
        <w:rPr>
          <w:szCs w:val="22"/>
        </w:rPr>
      </w:pPr>
    </w:p>
    <w:p w14:paraId="23A444C2" w14:textId="77777777" w:rsidR="00041A08" w:rsidRPr="00041A08" w:rsidRDefault="00802FF6" w:rsidP="001A6584">
      <w:pPr>
        <w:keepNext/>
      </w:pPr>
      <w:r w:rsidRPr="007E4DA1">
        <w:rPr>
          <w:b/>
        </w:rPr>
        <w:lastRenderedPageBreak/>
        <w:t>6.</w:t>
      </w:r>
      <w:r w:rsidRPr="007E4DA1">
        <w:rPr>
          <w:b/>
        </w:rPr>
        <w:tab/>
        <w:t>DANE FARMACEUTYCZNE</w:t>
      </w:r>
    </w:p>
    <w:p w14:paraId="640ED528" w14:textId="6CBCD780" w:rsidR="00802FF6" w:rsidRPr="007E4DA1" w:rsidRDefault="00802FF6" w:rsidP="001A6584">
      <w:pPr>
        <w:keepNext/>
        <w:tabs>
          <w:tab w:val="left" w:pos="142"/>
        </w:tabs>
        <w:ind w:left="0" w:firstLine="0"/>
      </w:pPr>
    </w:p>
    <w:p w14:paraId="2F63E24A" w14:textId="77777777" w:rsidR="00041A08" w:rsidRPr="00041A08" w:rsidRDefault="00802FF6" w:rsidP="001A6584">
      <w:pPr>
        <w:keepNext/>
      </w:pPr>
      <w:r w:rsidRPr="007E4DA1">
        <w:rPr>
          <w:b/>
        </w:rPr>
        <w:t>6.1</w:t>
      </w:r>
      <w:r w:rsidRPr="007E4DA1">
        <w:rPr>
          <w:b/>
        </w:rPr>
        <w:tab/>
        <w:t>Wykaz substancji pomocniczych</w:t>
      </w:r>
    </w:p>
    <w:p w14:paraId="30648413" w14:textId="6FEE98AC" w:rsidR="00802FF6" w:rsidRPr="007E4DA1" w:rsidRDefault="00802FF6" w:rsidP="001A6584">
      <w:pPr>
        <w:keepNext/>
        <w:tabs>
          <w:tab w:val="left" w:pos="142"/>
        </w:tabs>
        <w:ind w:left="0" w:firstLine="0"/>
        <w:rPr>
          <w:szCs w:val="22"/>
        </w:rPr>
      </w:pPr>
    </w:p>
    <w:p w14:paraId="2876D234" w14:textId="77777777" w:rsidR="00041A08" w:rsidRPr="00041A08" w:rsidRDefault="003B08B9" w:rsidP="001A6584">
      <w:pPr>
        <w:keepNext/>
        <w:tabs>
          <w:tab w:val="left" w:pos="142"/>
        </w:tabs>
        <w:ind w:left="0" w:firstLine="0"/>
      </w:pPr>
      <w:r w:rsidRPr="007E4DA1">
        <w:rPr>
          <w:u w:val="single"/>
        </w:rPr>
        <w:t>Revolade 12,5 mg tabletki powlekane</w:t>
      </w:r>
    </w:p>
    <w:p w14:paraId="0BAC8565" w14:textId="1E39BF91" w:rsidR="00B9543F" w:rsidRPr="007E4DA1" w:rsidRDefault="00B9543F" w:rsidP="001A6584">
      <w:pPr>
        <w:keepNext/>
        <w:tabs>
          <w:tab w:val="left" w:pos="142"/>
        </w:tabs>
        <w:ind w:left="0" w:firstLine="0"/>
        <w:rPr>
          <w:szCs w:val="22"/>
        </w:rPr>
      </w:pPr>
    </w:p>
    <w:p w14:paraId="2A7B59F7" w14:textId="77777777" w:rsidR="00041A08" w:rsidRPr="00041A08" w:rsidRDefault="003B08B9" w:rsidP="001A6584">
      <w:pPr>
        <w:keepNext/>
        <w:tabs>
          <w:tab w:val="left" w:pos="142"/>
        </w:tabs>
        <w:ind w:left="0" w:firstLine="0"/>
        <w:rPr>
          <w:szCs w:val="22"/>
        </w:rPr>
      </w:pPr>
      <w:r w:rsidRPr="007E4DA1">
        <w:rPr>
          <w:i/>
          <w:szCs w:val="22"/>
          <w:u w:val="single"/>
        </w:rPr>
        <w:t>Rdzeń tabletki</w:t>
      </w:r>
    </w:p>
    <w:p w14:paraId="61E6EA53" w14:textId="716AD507" w:rsidR="003B08B9" w:rsidRPr="007E4DA1" w:rsidRDefault="003B08B9" w:rsidP="001A6584">
      <w:pPr>
        <w:keepNext/>
        <w:tabs>
          <w:tab w:val="left" w:pos="142"/>
        </w:tabs>
        <w:ind w:left="0" w:firstLine="0"/>
        <w:rPr>
          <w:szCs w:val="22"/>
        </w:rPr>
      </w:pPr>
      <w:r w:rsidRPr="007E4DA1">
        <w:rPr>
          <w:szCs w:val="22"/>
        </w:rPr>
        <w:t>Magnezu stearynian</w:t>
      </w:r>
    </w:p>
    <w:p w14:paraId="72B8605E" w14:textId="77777777" w:rsidR="003B08B9" w:rsidRPr="007E4DA1" w:rsidRDefault="003B08B9" w:rsidP="001A6584">
      <w:pPr>
        <w:keepNext/>
        <w:tabs>
          <w:tab w:val="left" w:pos="142"/>
        </w:tabs>
        <w:ind w:left="0" w:firstLine="0"/>
        <w:rPr>
          <w:szCs w:val="22"/>
        </w:rPr>
      </w:pPr>
      <w:r w:rsidRPr="007E4DA1">
        <w:rPr>
          <w:szCs w:val="22"/>
        </w:rPr>
        <w:t>Mannitol (E</w:t>
      </w:r>
      <w:r w:rsidR="006A3CA7" w:rsidRPr="007E4DA1">
        <w:rPr>
          <w:szCs w:val="22"/>
        </w:rPr>
        <w:t xml:space="preserve"> </w:t>
      </w:r>
      <w:r w:rsidRPr="007E4DA1">
        <w:rPr>
          <w:szCs w:val="22"/>
        </w:rPr>
        <w:t>421)</w:t>
      </w:r>
    </w:p>
    <w:p w14:paraId="2655FDC5" w14:textId="77777777" w:rsidR="003B08B9" w:rsidRPr="007E4DA1" w:rsidRDefault="003B08B9" w:rsidP="001A6584">
      <w:pPr>
        <w:keepNext/>
        <w:tabs>
          <w:tab w:val="left" w:pos="142"/>
        </w:tabs>
        <w:ind w:left="0" w:firstLine="0"/>
        <w:rPr>
          <w:szCs w:val="22"/>
        </w:rPr>
      </w:pPr>
      <w:r w:rsidRPr="007E4DA1">
        <w:rPr>
          <w:szCs w:val="22"/>
        </w:rPr>
        <w:t>Celuloza mikrokrystaliczna</w:t>
      </w:r>
    </w:p>
    <w:p w14:paraId="4BF53FB7" w14:textId="77777777" w:rsidR="003B08B9" w:rsidRPr="007E4DA1" w:rsidRDefault="003B08B9" w:rsidP="001A6584">
      <w:pPr>
        <w:keepNext/>
        <w:tabs>
          <w:tab w:val="left" w:pos="142"/>
        </w:tabs>
        <w:ind w:left="0" w:firstLine="0"/>
        <w:rPr>
          <w:szCs w:val="22"/>
        </w:rPr>
      </w:pPr>
      <w:r w:rsidRPr="007E4DA1">
        <w:rPr>
          <w:szCs w:val="22"/>
        </w:rPr>
        <w:t>Powidon</w:t>
      </w:r>
    </w:p>
    <w:p w14:paraId="1A9A1E75" w14:textId="77777777" w:rsidR="003B08B9" w:rsidRPr="007E4DA1" w:rsidRDefault="003B08B9" w:rsidP="001A6584">
      <w:pPr>
        <w:tabs>
          <w:tab w:val="left" w:pos="142"/>
        </w:tabs>
        <w:ind w:left="0" w:firstLine="0"/>
        <w:rPr>
          <w:szCs w:val="22"/>
        </w:rPr>
      </w:pPr>
      <w:r w:rsidRPr="007E4DA1">
        <w:rPr>
          <w:szCs w:val="22"/>
        </w:rPr>
        <w:t>Karboksymetyloskrobia sodowa</w:t>
      </w:r>
    </w:p>
    <w:p w14:paraId="258F3337" w14:textId="77777777" w:rsidR="003B08B9" w:rsidRPr="007E4DA1" w:rsidRDefault="003B08B9" w:rsidP="001A6584">
      <w:pPr>
        <w:tabs>
          <w:tab w:val="left" w:pos="142"/>
        </w:tabs>
        <w:ind w:left="0" w:firstLine="0"/>
        <w:rPr>
          <w:szCs w:val="22"/>
        </w:rPr>
      </w:pPr>
    </w:p>
    <w:p w14:paraId="34AA6793" w14:textId="77777777" w:rsidR="00041A08" w:rsidRPr="00041A08" w:rsidRDefault="003B08B9" w:rsidP="001A6584">
      <w:pPr>
        <w:keepNext/>
        <w:tabs>
          <w:tab w:val="left" w:pos="142"/>
        </w:tabs>
        <w:ind w:left="0" w:firstLine="0"/>
        <w:rPr>
          <w:szCs w:val="22"/>
        </w:rPr>
      </w:pPr>
      <w:r w:rsidRPr="007E4DA1">
        <w:rPr>
          <w:i/>
          <w:szCs w:val="22"/>
          <w:u w:val="single"/>
        </w:rPr>
        <w:t>Otoczka tabletki</w:t>
      </w:r>
    </w:p>
    <w:p w14:paraId="53D4ACCD" w14:textId="59372C46" w:rsidR="003B08B9" w:rsidRPr="007E4DA1" w:rsidRDefault="003B08B9" w:rsidP="001A6584">
      <w:pPr>
        <w:keepNext/>
        <w:tabs>
          <w:tab w:val="left" w:pos="142"/>
        </w:tabs>
        <w:ind w:left="0" w:firstLine="0"/>
        <w:rPr>
          <w:szCs w:val="22"/>
        </w:rPr>
      </w:pPr>
      <w:r w:rsidRPr="007E4DA1">
        <w:rPr>
          <w:szCs w:val="22"/>
        </w:rPr>
        <w:t>Hypromeloza</w:t>
      </w:r>
      <w:r w:rsidR="00F05F5B" w:rsidRPr="007E4DA1">
        <w:rPr>
          <w:szCs w:val="22"/>
        </w:rPr>
        <w:t xml:space="preserve"> (E</w:t>
      </w:r>
      <w:r w:rsidR="00C52119" w:rsidRPr="007E4DA1">
        <w:rPr>
          <w:szCs w:val="22"/>
        </w:rPr>
        <w:t xml:space="preserve"> </w:t>
      </w:r>
      <w:r w:rsidR="00F05F5B" w:rsidRPr="007E4DA1">
        <w:rPr>
          <w:szCs w:val="22"/>
        </w:rPr>
        <w:t>464)</w:t>
      </w:r>
    </w:p>
    <w:p w14:paraId="20F60C25" w14:textId="77777777" w:rsidR="003B08B9" w:rsidRPr="007E4DA1" w:rsidRDefault="003B08B9" w:rsidP="001A6584">
      <w:pPr>
        <w:keepNext/>
        <w:tabs>
          <w:tab w:val="left" w:pos="142"/>
        </w:tabs>
        <w:ind w:left="0" w:firstLine="0"/>
        <w:rPr>
          <w:szCs w:val="22"/>
        </w:rPr>
      </w:pPr>
      <w:r w:rsidRPr="007E4DA1">
        <w:rPr>
          <w:szCs w:val="22"/>
        </w:rPr>
        <w:t>Makrogol</w:t>
      </w:r>
      <w:r w:rsidR="007B6697" w:rsidRPr="007E4DA1">
        <w:rPr>
          <w:szCs w:val="22"/>
        </w:rPr>
        <w:t xml:space="preserve"> 400</w:t>
      </w:r>
      <w:r w:rsidR="00F05F5B" w:rsidRPr="007E4DA1">
        <w:rPr>
          <w:szCs w:val="22"/>
        </w:rPr>
        <w:t xml:space="preserve"> (E</w:t>
      </w:r>
      <w:r w:rsidR="00C52119" w:rsidRPr="007E4DA1">
        <w:rPr>
          <w:szCs w:val="22"/>
        </w:rPr>
        <w:t xml:space="preserve"> </w:t>
      </w:r>
      <w:r w:rsidR="00F05F5B" w:rsidRPr="007E4DA1">
        <w:rPr>
          <w:szCs w:val="22"/>
        </w:rPr>
        <w:t>1521)</w:t>
      </w:r>
    </w:p>
    <w:p w14:paraId="57A9C54A" w14:textId="77777777" w:rsidR="00041A08" w:rsidRPr="00041A08" w:rsidRDefault="003B08B9" w:rsidP="001A6584">
      <w:pPr>
        <w:keepNext/>
        <w:tabs>
          <w:tab w:val="left" w:pos="142"/>
        </w:tabs>
        <w:ind w:left="0" w:firstLine="0"/>
        <w:rPr>
          <w:szCs w:val="22"/>
        </w:rPr>
      </w:pPr>
      <w:r w:rsidRPr="007E4DA1">
        <w:rPr>
          <w:szCs w:val="22"/>
        </w:rPr>
        <w:t>Polisorbat 80</w:t>
      </w:r>
      <w:r w:rsidR="00F05F5B" w:rsidRPr="007E4DA1">
        <w:rPr>
          <w:szCs w:val="22"/>
        </w:rPr>
        <w:t xml:space="preserve"> (E</w:t>
      </w:r>
      <w:r w:rsidR="00C52119" w:rsidRPr="007E4DA1">
        <w:rPr>
          <w:szCs w:val="22"/>
        </w:rPr>
        <w:t xml:space="preserve"> </w:t>
      </w:r>
      <w:r w:rsidR="00F05F5B" w:rsidRPr="007E4DA1">
        <w:rPr>
          <w:szCs w:val="22"/>
        </w:rPr>
        <w:t>433)</w:t>
      </w:r>
    </w:p>
    <w:p w14:paraId="250EF76C" w14:textId="650A4FF1" w:rsidR="00041A08" w:rsidRPr="00041A08" w:rsidRDefault="003B08B9" w:rsidP="001A6584">
      <w:pPr>
        <w:tabs>
          <w:tab w:val="left" w:pos="142"/>
        </w:tabs>
        <w:ind w:left="0" w:firstLine="0"/>
        <w:rPr>
          <w:szCs w:val="22"/>
        </w:rPr>
      </w:pPr>
      <w:r w:rsidRPr="007E4DA1">
        <w:rPr>
          <w:szCs w:val="22"/>
        </w:rPr>
        <w:t>Tytanu dwutlenek (E</w:t>
      </w:r>
      <w:r w:rsidR="00CC77ED" w:rsidRPr="007E4DA1">
        <w:rPr>
          <w:szCs w:val="22"/>
        </w:rPr>
        <w:t xml:space="preserve"> </w:t>
      </w:r>
      <w:r w:rsidRPr="007E4DA1">
        <w:rPr>
          <w:szCs w:val="22"/>
        </w:rPr>
        <w:t>171)</w:t>
      </w:r>
    </w:p>
    <w:p w14:paraId="20E5E9B8" w14:textId="08544CB2" w:rsidR="003B08B9" w:rsidRPr="007E4DA1" w:rsidRDefault="003B08B9" w:rsidP="001A6584">
      <w:pPr>
        <w:tabs>
          <w:tab w:val="left" w:pos="142"/>
        </w:tabs>
        <w:ind w:left="0" w:firstLine="0"/>
        <w:rPr>
          <w:szCs w:val="22"/>
        </w:rPr>
      </w:pPr>
    </w:p>
    <w:p w14:paraId="2E470A07" w14:textId="77777777" w:rsidR="00041A08" w:rsidRPr="00041A08" w:rsidRDefault="003B08B9" w:rsidP="001A6584">
      <w:pPr>
        <w:keepNext/>
        <w:tabs>
          <w:tab w:val="left" w:pos="142"/>
        </w:tabs>
        <w:ind w:left="0" w:firstLine="0"/>
      </w:pPr>
      <w:r w:rsidRPr="007E4DA1">
        <w:rPr>
          <w:u w:val="single"/>
        </w:rPr>
        <w:t>Revolade 25 mg tabletki powlekane</w:t>
      </w:r>
    </w:p>
    <w:p w14:paraId="6D8D1389" w14:textId="4A36AAE6" w:rsidR="00B9543F" w:rsidRPr="007E4DA1" w:rsidRDefault="00B9543F" w:rsidP="001A6584">
      <w:pPr>
        <w:keepNext/>
        <w:tabs>
          <w:tab w:val="left" w:pos="142"/>
        </w:tabs>
        <w:ind w:left="0" w:firstLine="0"/>
        <w:rPr>
          <w:szCs w:val="22"/>
        </w:rPr>
      </w:pPr>
    </w:p>
    <w:p w14:paraId="3DEDA3D8" w14:textId="77777777" w:rsidR="00041A08" w:rsidRPr="00041A08" w:rsidRDefault="00802FF6" w:rsidP="001A6584">
      <w:pPr>
        <w:keepNext/>
        <w:tabs>
          <w:tab w:val="left" w:pos="142"/>
        </w:tabs>
        <w:ind w:left="0" w:firstLine="0"/>
        <w:rPr>
          <w:szCs w:val="22"/>
        </w:rPr>
      </w:pPr>
      <w:r w:rsidRPr="007E4DA1">
        <w:rPr>
          <w:i/>
          <w:szCs w:val="22"/>
          <w:u w:val="single"/>
        </w:rPr>
        <w:t>Rdzeń tabletki</w:t>
      </w:r>
    </w:p>
    <w:p w14:paraId="6053E5DB" w14:textId="76588B87" w:rsidR="00802FF6" w:rsidRPr="007E4DA1" w:rsidRDefault="00802FF6" w:rsidP="001A6584">
      <w:pPr>
        <w:keepNext/>
        <w:tabs>
          <w:tab w:val="left" w:pos="142"/>
        </w:tabs>
        <w:ind w:left="0" w:firstLine="0"/>
        <w:rPr>
          <w:szCs w:val="22"/>
        </w:rPr>
      </w:pPr>
      <w:r w:rsidRPr="007E4DA1">
        <w:rPr>
          <w:szCs w:val="22"/>
        </w:rPr>
        <w:t>Magnezu stearynian</w:t>
      </w:r>
    </w:p>
    <w:p w14:paraId="0DA5E29F" w14:textId="77777777" w:rsidR="00802FF6" w:rsidRPr="007E4DA1" w:rsidRDefault="00802FF6" w:rsidP="001A6584">
      <w:pPr>
        <w:keepNext/>
        <w:tabs>
          <w:tab w:val="left" w:pos="142"/>
        </w:tabs>
        <w:ind w:left="0" w:firstLine="0"/>
        <w:rPr>
          <w:szCs w:val="22"/>
        </w:rPr>
      </w:pPr>
      <w:r w:rsidRPr="007E4DA1">
        <w:rPr>
          <w:szCs w:val="22"/>
        </w:rPr>
        <w:t>Mannitol (E</w:t>
      </w:r>
      <w:r w:rsidR="00CC77ED" w:rsidRPr="007E4DA1">
        <w:rPr>
          <w:szCs w:val="22"/>
        </w:rPr>
        <w:t xml:space="preserve"> </w:t>
      </w:r>
      <w:r w:rsidRPr="007E4DA1">
        <w:rPr>
          <w:szCs w:val="22"/>
        </w:rPr>
        <w:t>421)</w:t>
      </w:r>
    </w:p>
    <w:p w14:paraId="2FF39BFE" w14:textId="77777777" w:rsidR="00802FF6" w:rsidRPr="007E4DA1" w:rsidRDefault="00802FF6" w:rsidP="001A6584">
      <w:pPr>
        <w:keepNext/>
        <w:tabs>
          <w:tab w:val="left" w:pos="142"/>
        </w:tabs>
        <w:ind w:left="0" w:firstLine="0"/>
        <w:rPr>
          <w:szCs w:val="22"/>
        </w:rPr>
      </w:pPr>
      <w:r w:rsidRPr="007E4DA1">
        <w:rPr>
          <w:szCs w:val="22"/>
        </w:rPr>
        <w:t>Celuloza mikrokrystaliczna</w:t>
      </w:r>
    </w:p>
    <w:p w14:paraId="2FB43BE3" w14:textId="77777777" w:rsidR="00802FF6" w:rsidRPr="007E4DA1" w:rsidRDefault="00802FF6" w:rsidP="001A6584">
      <w:pPr>
        <w:keepNext/>
        <w:tabs>
          <w:tab w:val="left" w:pos="142"/>
        </w:tabs>
        <w:ind w:left="0" w:firstLine="0"/>
        <w:rPr>
          <w:szCs w:val="22"/>
        </w:rPr>
      </w:pPr>
      <w:r w:rsidRPr="007E4DA1">
        <w:rPr>
          <w:szCs w:val="22"/>
        </w:rPr>
        <w:t>Powidon</w:t>
      </w:r>
    </w:p>
    <w:p w14:paraId="306A3A6C" w14:textId="77777777" w:rsidR="00802FF6" w:rsidRPr="007E4DA1" w:rsidRDefault="00802FF6" w:rsidP="001A6584">
      <w:pPr>
        <w:tabs>
          <w:tab w:val="left" w:pos="142"/>
        </w:tabs>
        <w:ind w:left="0" w:firstLine="0"/>
        <w:rPr>
          <w:szCs w:val="22"/>
        </w:rPr>
      </w:pPr>
      <w:r w:rsidRPr="007E4DA1">
        <w:rPr>
          <w:szCs w:val="22"/>
        </w:rPr>
        <w:t>Karboksymetyloskrobia sodowa</w:t>
      </w:r>
    </w:p>
    <w:p w14:paraId="60B35B3A" w14:textId="77777777" w:rsidR="00041A08" w:rsidRPr="00041A08" w:rsidRDefault="00041A08" w:rsidP="001A6584">
      <w:pPr>
        <w:tabs>
          <w:tab w:val="left" w:pos="142"/>
        </w:tabs>
        <w:ind w:left="0" w:firstLine="0"/>
        <w:rPr>
          <w:szCs w:val="22"/>
        </w:rPr>
      </w:pPr>
    </w:p>
    <w:p w14:paraId="611E6A34" w14:textId="77777777" w:rsidR="00041A08" w:rsidRPr="00041A08" w:rsidRDefault="00802FF6" w:rsidP="001A6584">
      <w:pPr>
        <w:keepNext/>
        <w:tabs>
          <w:tab w:val="left" w:pos="142"/>
        </w:tabs>
        <w:ind w:left="0" w:firstLine="0"/>
        <w:rPr>
          <w:szCs w:val="22"/>
        </w:rPr>
      </w:pPr>
      <w:r w:rsidRPr="007E4DA1">
        <w:rPr>
          <w:i/>
          <w:szCs w:val="22"/>
          <w:u w:val="single"/>
        </w:rPr>
        <w:t>Otoczka tabletki</w:t>
      </w:r>
    </w:p>
    <w:p w14:paraId="74D0BB19" w14:textId="5BBF9E07" w:rsidR="00802FF6" w:rsidRPr="007E4DA1" w:rsidRDefault="00802FF6" w:rsidP="001A6584">
      <w:pPr>
        <w:keepNext/>
        <w:tabs>
          <w:tab w:val="left" w:pos="142"/>
        </w:tabs>
        <w:ind w:left="0" w:firstLine="0"/>
        <w:rPr>
          <w:szCs w:val="22"/>
        </w:rPr>
      </w:pPr>
      <w:r w:rsidRPr="007E4DA1">
        <w:rPr>
          <w:szCs w:val="22"/>
        </w:rPr>
        <w:t>Hypromeloza</w:t>
      </w:r>
      <w:r w:rsidR="00F05F5B" w:rsidRPr="007E4DA1">
        <w:rPr>
          <w:szCs w:val="22"/>
        </w:rPr>
        <w:t xml:space="preserve"> (E</w:t>
      </w:r>
      <w:r w:rsidR="00C52119" w:rsidRPr="007E4DA1">
        <w:rPr>
          <w:szCs w:val="22"/>
        </w:rPr>
        <w:t xml:space="preserve"> </w:t>
      </w:r>
      <w:r w:rsidR="00F05F5B" w:rsidRPr="007E4DA1">
        <w:rPr>
          <w:szCs w:val="22"/>
        </w:rPr>
        <w:t>464)</w:t>
      </w:r>
    </w:p>
    <w:p w14:paraId="06A6AC57" w14:textId="77777777" w:rsidR="00802FF6" w:rsidRPr="007E4DA1" w:rsidRDefault="00802FF6" w:rsidP="001A6584">
      <w:pPr>
        <w:keepNext/>
        <w:tabs>
          <w:tab w:val="left" w:pos="142"/>
        </w:tabs>
        <w:ind w:left="0" w:firstLine="0"/>
        <w:rPr>
          <w:szCs w:val="22"/>
        </w:rPr>
      </w:pPr>
      <w:r w:rsidRPr="007E4DA1">
        <w:rPr>
          <w:szCs w:val="22"/>
        </w:rPr>
        <w:t>Makrogol 400</w:t>
      </w:r>
      <w:r w:rsidR="00F05F5B" w:rsidRPr="007E4DA1">
        <w:rPr>
          <w:szCs w:val="22"/>
        </w:rPr>
        <w:t xml:space="preserve"> (</w:t>
      </w:r>
      <w:r w:rsidR="00CE0FE2" w:rsidRPr="007E4DA1">
        <w:rPr>
          <w:szCs w:val="22"/>
        </w:rPr>
        <w:t>E</w:t>
      </w:r>
      <w:r w:rsidR="00C52119" w:rsidRPr="007E4DA1">
        <w:rPr>
          <w:szCs w:val="22"/>
        </w:rPr>
        <w:t xml:space="preserve"> </w:t>
      </w:r>
      <w:r w:rsidR="00F05F5B" w:rsidRPr="007E4DA1">
        <w:rPr>
          <w:szCs w:val="22"/>
        </w:rPr>
        <w:t>1521)</w:t>
      </w:r>
    </w:p>
    <w:p w14:paraId="2631A824" w14:textId="77777777" w:rsidR="00041A08" w:rsidRPr="00041A08" w:rsidRDefault="00802FF6" w:rsidP="001A6584">
      <w:pPr>
        <w:keepNext/>
        <w:tabs>
          <w:tab w:val="left" w:pos="142"/>
        </w:tabs>
        <w:ind w:left="0" w:firstLine="0"/>
        <w:rPr>
          <w:szCs w:val="22"/>
        </w:rPr>
      </w:pPr>
      <w:r w:rsidRPr="007E4DA1">
        <w:rPr>
          <w:szCs w:val="22"/>
        </w:rPr>
        <w:t>Polisorbat 80</w:t>
      </w:r>
      <w:r w:rsidR="00F05F5B" w:rsidRPr="007E4DA1">
        <w:rPr>
          <w:szCs w:val="22"/>
        </w:rPr>
        <w:t xml:space="preserve"> (E</w:t>
      </w:r>
      <w:r w:rsidR="00C52119" w:rsidRPr="007E4DA1">
        <w:rPr>
          <w:szCs w:val="22"/>
        </w:rPr>
        <w:t xml:space="preserve"> </w:t>
      </w:r>
      <w:r w:rsidR="00F05F5B" w:rsidRPr="007E4DA1">
        <w:rPr>
          <w:szCs w:val="22"/>
        </w:rPr>
        <w:t>433)</w:t>
      </w:r>
    </w:p>
    <w:p w14:paraId="1F74ABCF" w14:textId="77777777" w:rsidR="00041A08" w:rsidRPr="00041A08" w:rsidRDefault="00802FF6" w:rsidP="001A6584">
      <w:pPr>
        <w:tabs>
          <w:tab w:val="left" w:pos="142"/>
        </w:tabs>
        <w:ind w:left="0" w:firstLine="0"/>
        <w:rPr>
          <w:szCs w:val="22"/>
        </w:rPr>
      </w:pPr>
      <w:r w:rsidRPr="007E4DA1">
        <w:rPr>
          <w:szCs w:val="22"/>
        </w:rPr>
        <w:t>Tytanu dwutlenek (E</w:t>
      </w:r>
      <w:r w:rsidR="00CC77ED" w:rsidRPr="007E4DA1">
        <w:rPr>
          <w:szCs w:val="22"/>
        </w:rPr>
        <w:t xml:space="preserve"> </w:t>
      </w:r>
      <w:r w:rsidRPr="007E4DA1">
        <w:rPr>
          <w:szCs w:val="22"/>
        </w:rPr>
        <w:t>171)</w:t>
      </w:r>
    </w:p>
    <w:p w14:paraId="5A48EFA5" w14:textId="5A0C2858" w:rsidR="00802FF6" w:rsidRPr="007E4DA1" w:rsidRDefault="00802FF6" w:rsidP="001A6584">
      <w:pPr>
        <w:tabs>
          <w:tab w:val="left" w:pos="142"/>
        </w:tabs>
        <w:ind w:left="0" w:firstLine="0"/>
        <w:rPr>
          <w:iCs/>
          <w:szCs w:val="22"/>
        </w:rPr>
      </w:pPr>
    </w:p>
    <w:p w14:paraId="4D99804D" w14:textId="77777777" w:rsidR="00041A08" w:rsidRPr="00041A08" w:rsidRDefault="003B08B9" w:rsidP="001A6584">
      <w:pPr>
        <w:keepNext/>
        <w:tabs>
          <w:tab w:val="left" w:pos="142"/>
        </w:tabs>
        <w:ind w:left="0" w:firstLine="0"/>
      </w:pPr>
      <w:r w:rsidRPr="007E4DA1">
        <w:rPr>
          <w:u w:val="single"/>
        </w:rPr>
        <w:t>Revolade 50 mg tabletki powlekane</w:t>
      </w:r>
    </w:p>
    <w:p w14:paraId="219EDC83" w14:textId="66DD29CD" w:rsidR="00B9543F" w:rsidRPr="007E4DA1" w:rsidRDefault="00B9543F" w:rsidP="001A6584">
      <w:pPr>
        <w:keepNext/>
        <w:tabs>
          <w:tab w:val="left" w:pos="142"/>
        </w:tabs>
        <w:ind w:left="0" w:firstLine="0"/>
      </w:pPr>
    </w:p>
    <w:p w14:paraId="561AED91" w14:textId="77777777" w:rsidR="00041A08" w:rsidRPr="00041A08" w:rsidRDefault="003B08B9" w:rsidP="001A6584">
      <w:pPr>
        <w:keepNext/>
        <w:tabs>
          <w:tab w:val="left" w:pos="142"/>
        </w:tabs>
        <w:ind w:left="0" w:firstLine="0"/>
        <w:rPr>
          <w:szCs w:val="22"/>
        </w:rPr>
      </w:pPr>
      <w:r w:rsidRPr="007E4DA1">
        <w:rPr>
          <w:i/>
          <w:szCs w:val="22"/>
          <w:u w:val="single"/>
        </w:rPr>
        <w:t>Rdzeń tabletki</w:t>
      </w:r>
    </w:p>
    <w:p w14:paraId="3FED1C44" w14:textId="14DBFA38" w:rsidR="003B08B9" w:rsidRPr="007E4DA1" w:rsidRDefault="003B08B9" w:rsidP="001A6584">
      <w:pPr>
        <w:keepNext/>
        <w:tabs>
          <w:tab w:val="left" w:pos="142"/>
        </w:tabs>
        <w:ind w:left="0" w:firstLine="0"/>
        <w:rPr>
          <w:szCs w:val="22"/>
        </w:rPr>
      </w:pPr>
      <w:r w:rsidRPr="007E4DA1">
        <w:rPr>
          <w:szCs w:val="22"/>
        </w:rPr>
        <w:t>Magnezu stearynian</w:t>
      </w:r>
    </w:p>
    <w:p w14:paraId="0662308D" w14:textId="77777777" w:rsidR="003B08B9" w:rsidRPr="007E4DA1" w:rsidRDefault="003B08B9" w:rsidP="001A6584">
      <w:pPr>
        <w:keepNext/>
        <w:tabs>
          <w:tab w:val="left" w:pos="142"/>
        </w:tabs>
        <w:ind w:left="0" w:firstLine="0"/>
        <w:rPr>
          <w:szCs w:val="22"/>
        </w:rPr>
      </w:pPr>
      <w:r w:rsidRPr="007E4DA1">
        <w:rPr>
          <w:szCs w:val="22"/>
        </w:rPr>
        <w:t>Mannitol (E</w:t>
      </w:r>
      <w:r w:rsidR="006A3CA7" w:rsidRPr="007E4DA1">
        <w:rPr>
          <w:szCs w:val="22"/>
        </w:rPr>
        <w:t xml:space="preserve"> </w:t>
      </w:r>
      <w:r w:rsidRPr="007E4DA1">
        <w:rPr>
          <w:szCs w:val="22"/>
        </w:rPr>
        <w:t>421)</w:t>
      </w:r>
    </w:p>
    <w:p w14:paraId="7FED4E83" w14:textId="77777777" w:rsidR="003B08B9" w:rsidRPr="007E4DA1" w:rsidRDefault="003B08B9" w:rsidP="001A6584">
      <w:pPr>
        <w:keepNext/>
        <w:tabs>
          <w:tab w:val="left" w:pos="142"/>
        </w:tabs>
        <w:ind w:left="0" w:firstLine="0"/>
        <w:rPr>
          <w:szCs w:val="22"/>
        </w:rPr>
      </w:pPr>
      <w:r w:rsidRPr="007E4DA1">
        <w:rPr>
          <w:szCs w:val="22"/>
        </w:rPr>
        <w:t>Celuloza mikrokrystaliczna</w:t>
      </w:r>
    </w:p>
    <w:p w14:paraId="4DE9E7C2" w14:textId="77777777" w:rsidR="003B08B9" w:rsidRPr="007E4DA1" w:rsidRDefault="003B08B9" w:rsidP="001A6584">
      <w:pPr>
        <w:keepNext/>
        <w:tabs>
          <w:tab w:val="left" w:pos="142"/>
        </w:tabs>
        <w:ind w:left="0" w:firstLine="0"/>
        <w:rPr>
          <w:szCs w:val="22"/>
        </w:rPr>
      </w:pPr>
      <w:r w:rsidRPr="007E4DA1">
        <w:rPr>
          <w:szCs w:val="22"/>
        </w:rPr>
        <w:t>Powidon</w:t>
      </w:r>
    </w:p>
    <w:p w14:paraId="216CD42C" w14:textId="77777777" w:rsidR="003B08B9" w:rsidRPr="007E4DA1" w:rsidRDefault="003B08B9" w:rsidP="001A6584">
      <w:pPr>
        <w:tabs>
          <w:tab w:val="left" w:pos="142"/>
        </w:tabs>
        <w:ind w:left="0" w:firstLine="0"/>
        <w:rPr>
          <w:szCs w:val="22"/>
        </w:rPr>
      </w:pPr>
      <w:r w:rsidRPr="007E4DA1">
        <w:rPr>
          <w:szCs w:val="22"/>
        </w:rPr>
        <w:t>Karboksymetyloskrobia sodowa</w:t>
      </w:r>
    </w:p>
    <w:p w14:paraId="67145587" w14:textId="77777777" w:rsidR="003B08B9" w:rsidRPr="007E4DA1" w:rsidRDefault="003B08B9" w:rsidP="001A6584">
      <w:pPr>
        <w:tabs>
          <w:tab w:val="left" w:pos="142"/>
        </w:tabs>
        <w:ind w:left="0" w:firstLine="0"/>
        <w:rPr>
          <w:szCs w:val="22"/>
        </w:rPr>
      </w:pPr>
    </w:p>
    <w:p w14:paraId="6704DB4A" w14:textId="77777777" w:rsidR="00041A08" w:rsidRPr="00041A08" w:rsidRDefault="003B08B9" w:rsidP="001A6584">
      <w:pPr>
        <w:keepNext/>
        <w:tabs>
          <w:tab w:val="left" w:pos="142"/>
        </w:tabs>
        <w:ind w:left="0" w:firstLine="0"/>
        <w:rPr>
          <w:szCs w:val="22"/>
        </w:rPr>
      </w:pPr>
      <w:r w:rsidRPr="007E4DA1">
        <w:rPr>
          <w:i/>
          <w:szCs w:val="22"/>
          <w:u w:val="single"/>
        </w:rPr>
        <w:t>Otoczka tabletki</w:t>
      </w:r>
    </w:p>
    <w:p w14:paraId="3EC28FAB" w14:textId="6218A87E" w:rsidR="003B08B9" w:rsidRPr="007E4DA1" w:rsidRDefault="003B08B9" w:rsidP="001A6584">
      <w:pPr>
        <w:keepNext/>
        <w:tabs>
          <w:tab w:val="left" w:pos="142"/>
        </w:tabs>
        <w:ind w:left="0" w:firstLine="0"/>
        <w:rPr>
          <w:szCs w:val="22"/>
        </w:rPr>
      </w:pPr>
      <w:r w:rsidRPr="007E4DA1">
        <w:rPr>
          <w:szCs w:val="22"/>
        </w:rPr>
        <w:t>Hypromeloza</w:t>
      </w:r>
      <w:r w:rsidR="00F05F5B" w:rsidRPr="007E4DA1">
        <w:rPr>
          <w:szCs w:val="22"/>
        </w:rPr>
        <w:t xml:space="preserve"> (E</w:t>
      </w:r>
      <w:r w:rsidR="00C52119" w:rsidRPr="007E4DA1">
        <w:rPr>
          <w:szCs w:val="22"/>
        </w:rPr>
        <w:t xml:space="preserve"> </w:t>
      </w:r>
      <w:r w:rsidR="00F05F5B" w:rsidRPr="007E4DA1">
        <w:rPr>
          <w:szCs w:val="22"/>
        </w:rPr>
        <w:t>464)</w:t>
      </w:r>
    </w:p>
    <w:p w14:paraId="490E5954" w14:textId="77777777" w:rsidR="005E546F" w:rsidRPr="007E4DA1" w:rsidRDefault="00CC77ED" w:rsidP="001A6584">
      <w:pPr>
        <w:keepNext/>
        <w:tabs>
          <w:tab w:val="left" w:pos="142"/>
        </w:tabs>
        <w:ind w:left="0" w:firstLine="0"/>
        <w:rPr>
          <w:szCs w:val="22"/>
        </w:rPr>
      </w:pPr>
      <w:r w:rsidRPr="007E4DA1">
        <w:rPr>
          <w:szCs w:val="22"/>
        </w:rPr>
        <w:t>Żelaza t</w:t>
      </w:r>
      <w:r w:rsidR="005E546F" w:rsidRPr="007E4DA1">
        <w:rPr>
          <w:szCs w:val="22"/>
        </w:rPr>
        <w:t>lenek czerwony (E</w:t>
      </w:r>
      <w:r w:rsidRPr="007E4DA1">
        <w:rPr>
          <w:szCs w:val="22"/>
        </w:rPr>
        <w:t xml:space="preserve"> </w:t>
      </w:r>
      <w:r w:rsidR="005E546F" w:rsidRPr="007E4DA1">
        <w:rPr>
          <w:szCs w:val="22"/>
        </w:rPr>
        <w:t>172)</w:t>
      </w:r>
    </w:p>
    <w:p w14:paraId="4685CCEC" w14:textId="77777777" w:rsidR="005E546F" w:rsidRPr="007E4DA1" w:rsidRDefault="00CC77ED" w:rsidP="001A6584">
      <w:pPr>
        <w:keepNext/>
        <w:tabs>
          <w:tab w:val="left" w:pos="142"/>
        </w:tabs>
        <w:ind w:left="0" w:firstLine="0"/>
        <w:rPr>
          <w:szCs w:val="22"/>
        </w:rPr>
      </w:pPr>
      <w:r w:rsidRPr="007E4DA1">
        <w:rPr>
          <w:szCs w:val="22"/>
        </w:rPr>
        <w:t>Żelaza t</w:t>
      </w:r>
      <w:r w:rsidR="005E546F" w:rsidRPr="007E4DA1">
        <w:rPr>
          <w:szCs w:val="22"/>
        </w:rPr>
        <w:t>lenek żółty (E</w:t>
      </w:r>
      <w:r w:rsidRPr="007E4DA1">
        <w:rPr>
          <w:szCs w:val="22"/>
        </w:rPr>
        <w:t xml:space="preserve"> </w:t>
      </w:r>
      <w:r w:rsidR="005E546F" w:rsidRPr="007E4DA1">
        <w:rPr>
          <w:szCs w:val="22"/>
        </w:rPr>
        <w:t>172)</w:t>
      </w:r>
    </w:p>
    <w:p w14:paraId="161358AC" w14:textId="77777777" w:rsidR="003B08B9" w:rsidRPr="007E4DA1" w:rsidRDefault="003B08B9" w:rsidP="001A6584">
      <w:pPr>
        <w:keepNext/>
        <w:tabs>
          <w:tab w:val="left" w:pos="142"/>
        </w:tabs>
        <w:ind w:left="0" w:firstLine="0"/>
        <w:rPr>
          <w:szCs w:val="22"/>
        </w:rPr>
      </w:pPr>
      <w:r w:rsidRPr="007E4DA1">
        <w:rPr>
          <w:szCs w:val="22"/>
        </w:rPr>
        <w:t>Makrogol</w:t>
      </w:r>
      <w:r w:rsidR="007B6697" w:rsidRPr="007E4DA1">
        <w:rPr>
          <w:szCs w:val="22"/>
        </w:rPr>
        <w:t xml:space="preserve"> 400</w:t>
      </w:r>
      <w:r w:rsidR="00F05F5B" w:rsidRPr="007E4DA1">
        <w:rPr>
          <w:szCs w:val="22"/>
        </w:rPr>
        <w:t xml:space="preserve"> (E</w:t>
      </w:r>
      <w:r w:rsidR="00C52119" w:rsidRPr="007E4DA1">
        <w:rPr>
          <w:szCs w:val="22"/>
        </w:rPr>
        <w:t xml:space="preserve"> </w:t>
      </w:r>
      <w:r w:rsidR="00F05F5B" w:rsidRPr="007E4DA1">
        <w:rPr>
          <w:szCs w:val="22"/>
        </w:rPr>
        <w:t>1521)</w:t>
      </w:r>
    </w:p>
    <w:p w14:paraId="7F3D7747" w14:textId="77777777" w:rsidR="003B08B9" w:rsidRPr="007E4DA1" w:rsidRDefault="003B08B9" w:rsidP="001A6584">
      <w:pPr>
        <w:tabs>
          <w:tab w:val="left" w:pos="142"/>
        </w:tabs>
        <w:ind w:left="0" w:firstLine="0"/>
        <w:rPr>
          <w:szCs w:val="22"/>
        </w:rPr>
      </w:pPr>
      <w:r w:rsidRPr="007E4DA1">
        <w:rPr>
          <w:szCs w:val="22"/>
        </w:rPr>
        <w:t>Tytanu dwutlenek (E</w:t>
      </w:r>
      <w:r w:rsidR="00CC77ED" w:rsidRPr="007E4DA1">
        <w:rPr>
          <w:szCs w:val="22"/>
        </w:rPr>
        <w:t xml:space="preserve"> </w:t>
      </w:r>
      <w:r w:rsidRPr="007E4DA1">
        <w:rPr>
          <w:szCs w:val="22"/>
        </w:rPr>
        <w:t>171)</w:t>
      </w:r>
    </w:p>
    <w:p w14:paraId="7415D2DB" w14:textId="77777777" w:rsidR="003B08B9" w:rsidRPr="007E4DA1" w:rsidRDefault="003B08B9" w:rsidP="001A6584">
      <w:pPr>
        <w:tabs>
          <w:tab w:val="left" w:pos="142"/>
        </w:tabs>
        <w:ind w:left="0" w:firstLine="0"/>
      </w:pPr>
    </w:p>
    <w:p w14:paraId="5F0AC197" w14:textId="77777777" w:rsidR="00041A08" w:rsidRPr="00041A08" w:rsidRDefault="003B08B9" w:rsidP="001A6584">
      <w:pPr>
        <w:keepNext/>
        <w:tabs>
          <w:tab w:val="left" w:pos="142"/>
        </w:tabs>
        <w:ind w:left="0" w:firstLine="0"/>
      </w:pPr>
      <w:r w:rsidRPr="007E4DA1">
        <w:rPr>
          <w:u w:val="single"/>
        </w:rPr>
        <w:lastRenderedPageBreak/>
        <w:t>Revolade 75 mg tabletki powlekane</w:t>
      </w:r>
    </w:p>
    <w:p w14:paraId="2DBDFE7F" w14:textId="405D86D7" w:rsidR="00B9543F" w:rsidRPr="007E4DA1" w:rsidRDefault="00B9543F" w:rsidP="001A6584">
      <w:pPr>
        <w:keepNext/>
        <w:tabs>
          <w:tab w:val="left" w:pos="142"/>
        </w:tabs>
        <w:ind w:left="0" w:firstLine="0"/>
      </w:pPr>
    </w:p>
    <w:p w14:paraId="4E96057A" w14:textId="77777777" w:rsidR="00041A08" w:rsidRPr="00041A08" w:rsidRDefault="003B08B9" w:rsidP="001A6584">
      <w:pPr>
        <w:keepNext/>
        <w:tabs>
          <w:tab w:val="left" w:pos="142"/>
        </w:tabs>
        <w:ind w:left="0" w:firstLine="0"/>
        <w:rPr>
          <w:szCs w:val="22"/>
        </w:rPr>
      </w:pPr>
      <w:r w:rsidRPr="007E4DA1">
        <w:rPr>
          <w:i/>
          <w:szCs w:val="22"/>
          <w:u w:val="single"/>
        </w:rPr>
        <w:t>Rdzeń tabletki</w:t>
      </w:r>
    </w:p>
    <w:p w14:paraId="48FD577E" w14:textId="3AB1B5BE" w:rsidR="003B08B9" w:rsidRPr="007E4DA1" w:rsidRDefault="003B08B9" w:rsidP="001A6584">
      <w:pPr>
        <w:keepNext/>
        <w:tabs>
          <w:tab w:val="left" w:pos="142"/>
        </w:tabs>
        <w:ind w:left="0" w:firstLine="0"/>
        <w:rPr>
          <w:szCs w:val="22"/>
        </w:rPr>
      </w:pPr>
      <w:r w:rsidRPr="007E4DA1">
        <w:rPr>
          <w:szCs w:val="22"/>
        </w:rPr>
        <w:t>Magnezu stearynian</w:t>
      </w:r>
    </w:p>
    <w:p w14:paraId="3A126633" w14:textId="77777777" w:rsidR="003B08B9" w:rsidRPr="007E4DA1" w:rsidRDefault="003B08B9" w:rsidP="001A6584">
      <w:pPr>
        <w:keepNext/>
        <w:tabs>
          <w:tab w:val="left" w:pos="142"/>
        </w:tabs>
        <w:ind w:left="0" w:firstLine="0"/>
        <w:rPr>
          <w:szCs w:val="22"/>
        </w:rPr>
      </w:pPr>
      <w:r w:rsidRPr="007E4DA1">
        <w:rPr>
          <w:szCs w:val="22"/>
        </w:rPr>
        <w:t>Mannitol (E</w:t>
      </w:r>
      <w:r w:rsidR="00CC77ED" w:rsidRPr="007E4DA1">
        <w:rPr>
          <w:szCs w:val="22"/>
        </w:rPr>
        <w:t xml:space="preserve"> </w:t>
      </w:r>
      <w:r w:rsidRPr="007E4DA1">
        <w:rPr>
          <w:szCs w:val="22"/>
        </w:rPr>
        <w:t>421)</w:t>
      </w:r>
    </w:p>
    <w:p w14:paraId="6EE77BCE" w14:textId="77777777" w:rsidR="003B08B9" w:rsidRPr="007E4DA1" w:rsidRDefault="003B08B9" w:rsidP="001A6584">
      <w:pPr>
        <w:keepNext/>
        <w:tabs>
          <w:tab w:val="left" w:pos="142"/>
        </w:tabs>
        <w:ind w:left="0" w:firstLine="0"/>
        <w:rPr>
          <w:szCs w:val="22"/>
        </w:rPr>
      </w:pPr>
      <w:r w:rsidRPr="007E4DA1">
        <w:rPr>
          <w:szCs w:val="22"/>
        </w:rPr>
        <w:t>Celuloza mikrokrystaliczna</w:t>
      </w:r>
    </w:p>
    <w:p w14:paraId="41858067" w14:textId="77777777" w:rsidR="003B08B9" w:rsidRPr="007E4DA1" w:rsidRDefault="003B08B9" w:rsidP="001A6584">
      <w:pPr>
        <w:keepNext/>
        <w:tabs>
          <w:tab w:val="left" w:pos="142"/>
        </w:tabs>
        <w:ind w:left="0" w:firstLine="0"/>
        <w:rPr>
          <w:szCs w:val="22"/>
        </w:rPr>
      </w:pPr>
      <w:r w:rsidRPr="007E4DA1">
        <w:rPr>
          <w:szCs w:val="22"/>
        </w:rPr>
        <w:t>Powidon</w:t>
      </w:r>
    </w:p>
    <w:p w14:paraId="399BBEEB" w14:textId="77777777" w:rsidR="003B08B9" w:rsidRPr="007E4DA1" w:rsidRDefault="003B08B9" w:rsidP="001A6584">
      <w:pPr>
        <w:tabs>
          <w:tab w:val="left" w:pos="142"/>
        </w:tabs>
        <w:ind w:left="0" w:firstLine="0"/>
        <w:rPr>
          <w:szCs w:val="22"/>
        </w:rPr>
      </w:pPr>
      <w:r w:rsidRPr="007E4DA1">
        <w:rPr>
          <w:szCs w:val="22"/>
        </w:rPr>
        <w:t>Karboksymetyloskrobia sodowa</w:t>
      </w:r>
    </w:p>
    <w:p w14:paraId="6C5CEFC9" w14:textId="77777777" w:rsidR="00041A08" w:rsidRPr="00041A08" w:rsidRDefault="00041A08" w:rsidP="001A6584">
      <w:pPr>
        <w:tabs>
          <w:tab w:val="left" w:pos="142"/>
        </w:tabs>
        <w:ind w:left="0" w:firstLine="0"/>
        <w:rPr>
          <w:szCs w:val="22"/>
        </w:rPr>
      </w:pPr>
    </w:p>
    <w:p w14:paraId="608B200F" w14:textId="77777777" w:rsidR="00041A08" w:rsidRPr="00041A08" w:rsidRDefault="003B08B9" w:rsidP="001A6584">
      <w:pPr>
        <w:keepNext/>
        <w:tabs>
          <w:tab w:val="left" w:pos="142"/>
        </w:tabs>
        <w:ind w:left="0" w:firstLine="0"/>
        <w:rPr>
          <w:szCs w:val="22"/>
        </w:rPr>
      </w:pPr>
      <w:r w:rsidRPr="007E4DA1">
        <w:rPr>
          <w:i/>
          <w:szCs w:val="22"/>
          <w:u w:val="single"/>
        </w:rPr>
        <w:t>Otoczka tabletki</w:t>
      </w:r>
    </w:p>
    <w:p w14:paraId="5DB67DE8" w14:textId="4467E363" w:rsidR="005E546F" w:rsidRPr="007E4DA1" w:rsidRDefault="005E546F" w:rsidP="001A6584">
      <w:pPr>
        <w:keepNext/>
        <w:tabs>
          <w:tab w:val="left" w:pos="142"/>
        </w:tabs>
        <w:ind w:left="0" w:firstLine="0"/>
        <w:rPr>
          <w:szCs w:val="22"/>
        </w:rPr>
      </w:pPr>
      <w:r w:rsidRPr="007E4DA1">
        <w:rPr>
          <w:szCs w:val="22"/>
        </w:rPr>
        <w:t>Hypromeloza</w:t>
      </w:r>
      <w:r w:rsidR="00F05F5B" w:rsidRPr="007E4DA1">
        <w:rPr>
          <w:szCs w:val="22"/>
        </w:rPr>
        <w:t xml:space="preserve"> (E</w:t>
      </w:r>
      <w:r w:rsidR="00C52119" w:rsidRPr="007E4DA1">
        <w:rPr>
          <w:szCs w:val="22"/>
        </w:rPr>
        <w:t xml:space="preserve"> </w:t>
      </w:r>
      <w:r w:rsidR="00F05F5B" w:rsidRPr="007E4DA1">
        <w:rPr>
          <w:szCs w:val="22"/>
        </w:rPr>
        <w:t>464)</w:t>
      </w:r>
    </w:p>
    <w:p w14:paraId="3D0912A9" w14:textId="77777777" w:rsidR="005E546F" w:rsidRPr="007E4DA1" w:rsidRDefault="00CC77ED" w:rsidP="001A6584">
      <w:pPr>
        <w:keepNext/>
        <w:tabs>
          <w:tab w:val="left" w:pos="142"/>
        </w:tabs>
        <w:ind w:left="0" w:firstLine="0"/>
        <w:rPr>
          <w:szCs w:val="22"/>
        </w:rPr>
      </w:pPr>
      <w:r w:rsidRPr="007E4DA1">
        <w:rPr>
          <w:szCs w:val="22"/>
        </w:rPr>
        <w:t>Żelaza t</w:t>
      </w:r>
      <w:r w:rsidR="005E546F" w:rsidRPr="007E4DA1">
        <w:rPr>
          <w:szCs w:val="22"/>
        </w:rPr>
        <w:t>lenek czerwony (E</w:t>
      </w:r>
      <w:r w:rsidRPr="007E4DA1">
        <w:rPr>
          <w:szCs w:val="22"/>
        </w:rPr>
        <w:t xml:space="preserve"> </w:t>
      </w:r>
      <w:r w:rsidR="005E546F" w:rsidRPr="007E4DA1">
        <w:rPr>
          <w:szCs w:val="22"/>
        </w:rPr>
        <w:t>172)</w:t>
      </w:r>
    </w:p>
    <w:p w14:paraId="201DAE05" w14:textId="77777777" w:rsidR="005E546F" w:rsidRPr="007E4DA1" w:rsidRDefault="00CC77ED" w:rsidP="001A6584">
      <w:pPr>
        <w:keepNext/>
        <w:tabs>
          <w:tab w:val="left" w:pos="142"/>
        </w:tabs>
        <w:ind w:left="0" w:firstLine="0"/>
        <w:rPr>
          <w:szCs w:val="22"/>
        </w:rPr>
      </w:pPr>
      <w:r w:rsidRPr="007E4DA1">
        <w:rPr>
          <w:szCs w:val="22"/>
        </w:rPr>
        <w:t>Żelaza t</w:t>
      </w:r>
      <w:r w:rsidR="005E546F" w:rsidRPr="007E4DA1">
        <w:rPr>
          <w:szCs w:val="22"/>
        </w:rPr>
        <w:t>lenek czarny (E</w:t>
      </w:r>
      <w:r w:rsidRPr="007E4DA1">
        <w:rPr>
          <w:szCs w:val="22"/>
        </w:rPr>
        <w:t xml:space="preserve"> </w:t>
      </w:r>
      <w:r w:rsidR="005E546F" w:rsidRPr="007E4DA1">
        <w:rPr>
          <w:szCs w:val="22"/>
        </w:rPr>
        <w:t>172)</w:t>
      </w:r>
    </w:p>
    <w:p w14:paraId="2DA9BA61" w14:textId="77777777" w:rsidR="005E546F" w:rsidRPr="007E4DA1" w:rsidRDefault="005E546F" w:rsidP="001A6584">
      <w:pPr>
        <w:keepNext/>
        <w:tabs>
          <w:tab w:val="left" w:pos="142"/>
        </w:tabs>
        <w:ind w:left="0" w:firstLine="0"/>
        <w:rPr>
          <w:szCs w:val="22"/>
        </w:rPr>
      </w:pPr>
      <w:r w:rsidRPr="007E4DA1">
        <w:rPr>
          <w:szCs w:val="22"/>
        </w:rPr>
        <w:t>Makrogol</w:t>
      </w:r>
      <w:r w:rsidR="007B6697" w:rsidRPr="007E4DA1">
        <w:rPr>
          <w:szCs w:val="22"/>
        </w:rPr>
        <w:t xml:space="preserve"> 400</w:t>
      </w:r>
      <w:r w:rsidR="00F05F5B" w:rsidRPr="007E4DA1">
        <w:rPr>
          <w:szCs w:val="22"/>
        </w:rPr>
        <w:t xml:space="preserve"> (E</w:t>
      </w:r>
      <w:r w:rsidR="00C52119" w:rsidRPr="007E4DA1">
        <w:rPr>
          <w:szCs w:val="22"/>
        </w:rPr>
        <w:t xml:space="preserve"> </w:t>
      </w:r>
      <w:r w:rsidR="00F05F5B" w:rsidRPr="007E4DA1">
        <w:rPr>
          <w:szCs w:val="22"/>
        </w:rPr>
        <w:t>1521)</w:t>
      </w:r>
    </w:p>
    <w:p w14:paraId="635FD66E" w14:textId="77777777" w:rsidR="005E546F" w:rsidRPr="007E4DA1" w:rsidRDefault="005E546F" w:rsidP="001A6584">
      <w:pPr>
        <w:tabs>
          <w:tab w:val="left" w:pos="142"/>
        </w:tabs>
        <w:ind w:left="0" w:firstLine="0"/>
        <w:rPr>
          <w:szCs w:val="22"/>
        </w:rPr>
      </w:pPr>
      <w:r w:rsidRPr="007E4DA1">
        <w:rPr>
          <w:szCs w:val="22"/>
        </w:rPr>
        <w:t>Tytanu dwutlenek (E</w:t>
      </w:r>
      <w:r w:rsidR="00CC77ED" w:rsidRPr="007E4DA1">
        <w:rPr>
          <w:szCs w:val="22"/>
        </w:rPr>
        <w:t xml:space="preserve"> </w:t>
      </w:r>
      <w:r w:rsidRPr="007E4DA1">
        <w:rPr>
          <w:szCs w:val="22"/>
        </w:rPr>
        <w:t>171)</w:t>
      </w:r>
    </w:p>
    <w:p w14:paraId="6EB226D4" w14:textId="77777777" w:rsidR="003B08B9" w:rsidRPr="007E4DA1" w:rsidRDefault="003B08B9" w:rsidP="001A6584">
      <w:pPr>
        <w:tabs>
          <w:tab w:val="left" w:pos="142"/>
        </w:tabs>
        <w:ind w:left="0" w:firstLine="0"/>
        <w:rPr>
          <w:iCs/>
          <w:szCs w:val="22"/>
        </w:rPr>
      </w:pPr>
    </w:p>
    <w:p w14:paraId="4388904C" w14:textId="77777777" w:rsidR="00802FF6" w:rsidRPr="007E4DA1" w:rsidRDefault="00802FF6" w:rsidP="001A6584">
      <w:pPr>
        <w:keepNext/>
        <w:tabs>
          <w:tab w:val="left" w:pos="-5529"/>
        </w:tabs>
        <w:rPr>
          <w:szCs w:val="22"/>
        </w:rPr>
      </w:pPr>
      <w:r w:rsidRPr="007E4DA1">
        <w:rPr>
          <w:b/>
          <w:szCs w:val="22"/>
        </w:rPr>
        <w:t>6.2</w:t>
      </w:r>
      <w:r w:rsidRPr="007E4DA1">
        <w:rPr>
          <w:b/>
          <w:szCs w:val="22"/>
        </w:rPr>
        <w:tab/>
      </w:r>
      <w:r w:rsidRPr="007E4DA1">
        <w:rPr>
          <w:b/>
        </w:rPr>
        <w:t>Niezgodności farmaceutyczne</w:t>
      </w:r>
    </w:p>
    <w:p w14:paraId="6914820F" w14:textId="77777777" w:rsidR="00802FF6" w:rsidRPr="007E4DA1" w:rsidRDefault="00802FF6" w:rsidP="001A6584">
      <w:pPr>
        <w:keepNext/>
        <w:tabs>
          <w:tab w:val="left" w:pos="142"/>
        </w:tabs>
        <w:ind w:left="0" w:firstLine="0"/>
        <w:rPr>
          <w:szCs w:val="22"/>
        </w:rPr>
      </w:pPr>
    </w:p>
    <w:p w14:paraId="52CE5A1B" w14:textId="77777777" w:rsidR="00802FF6" w:rsidRPr="007E4DA1" w:rsidRDefault="00802FF6" w:rsidP="001A6584">
      <w:pPr>
        <w:tabs>
          <w:tab w:val="left" w:pos="142"/>
        </w:tabs>
        <w:ind w:left="0" w:firstLine="0"/>
        <w:rPr>
          <w:szCs w:val="22"/>
        </w:rPr>
      </w:pPr>
      <w:r w:rsidRPr="007E4DA1">
        <w:rPr>
          <w:szCs w:val="22"/>
        </w:rPr>
        <w:t>Nie dotyczy.</w:t>
      </w:r>
    </w:p>
    <w:p w14:paraId="5163A3C9" w14:textId="77777777" w:rsidR="00802FF6" w:rsidRPr="007E4DA1" w:rsidRDefault="00802FF6" w:rsidP="001A6584">
      <w:pPr>
        <w:tabs>
          <w:tab w:val="left" w:pos="142"/>
        </w:tabs>
        <w:ind w:left="0" w:firstLine="0"/>
        <w:rPr>
          <w:szCs w:val="22"/>
        </w:rPr>
      </w:pPr>
    </w:p>
    <w:p w14:paraId="768F3806" w14:textId="77777777" w:rsidR="00802FF6" w:rsidRPr="007E4DA1" w:rsidRDefault="00802FF6" w:rsidP="001A6584">
      <w:pPr>
        <w:keepNext/>
        <w:tabs>
          <w:tab w:val="left" w:pos="-8931"/>
        </w:tabs>
        <w:rPr>
          <w:szCs w:val="22"/>
        </w:rPr>
      </w:pPr>
      <w:r w:rsidRPr="007E4DA1">
        <w:rPr>
          <w:b/>
          <w:szCs w:val="22"/>
        </w:rPr>
        <w:t>6.3</w:t>
      </w:r>
      <w:r w:rsidRPr="007E4DA1">
        <w:rPr>
          <w:b/>
          <w:szCs w:val="22"/>
        </w:rPr>
        <w:tab/>
        <w:t>Okres ważności</w:t>
      </w:r>
    </w:p>
    <w:p w14:paraId="6F652E7F" w14:textId="77777777" w:rsidR="00802FF6" w:rsidRPr="007E4DA1" w:rsidRDefault="00802FF6" w:rsidP="001A6584">
      <w:pPr>
        <w:keepNext/>
        <w:tabs>
          <w:tab w:val="left" w:pos="142"/>
        </w:tabs>
        <w:ind w:left="0" w:firstLine="0"/>
        <w:rPr>
          <w:szCs w:val="22"/>
        </w:rPr>
      </w:pPr>
    </w:p>
    <w:p w14:paraId="17B5A2C5" w14:textId="77777777" w:rsidR="00802FF6" w:rsidRPr="007E4DA1" w:rsidRDefault="00B74DF1" w:rsidP="001A6584">
      <w:pPr>
        <w:tabs>
          <w:tab w:val="left" w:pos="0"/>
        </w:tabs>
        <w:rPr>
          <w:szCs w:val="22"/>
        </w:rPr>
      </w:pPr>
      <w:r w:rsidRPr="007E4DA1">
        <w:rPr>
          <w:szCs w:val="22"/>
        </w:rPr>
        <w:t>3</w:t>
      </w:r>
      <w:r w:rsidR="00926919" w:rsidRPr="007E4DA1">
        <w:rPr>
          <w:szCs w:val="22"/>
        </w:rPr>
        <w:t> </w:t>
      </w:r>
      <w:r w:rsidR="00802FF6" w:rsidRPr="007E4DA1">
        <w:rPr>
          <w:szCs w:val="22"/>
        </w:rPr>
        <w:t>lata</w:t>
      </w:r>
    </w:p>
    <w:p w14:paraId="2E3210F2" w14:textId="77777777" w:rsidR="00802FF6" w:rsidRPr="007E4DA1" w:rsidRDefault="00802FF6" w:rsidP="001A6584">
      <w:pPr>
        <w:tabs>
          <w:tab w:val="left" w:pos="142"/>
        </w:tabs>
        <w:ind w:left="0" w:firstLine="0"/>
        <w:rPr>
          <w:szCs w:val="22"/>
        </w:rPr>
      </w:pPr>
    </w:p>
    <w:p w14:paraId="51C0E24A" w14:textId="77777777" w:rsidR="00802FF6" w:rsidRPr="007E4DA1" w:rsidRDefault="002759A1" w:rsidP="001A6584">
      <w:pPr>
        <w:keepNext/>
        <w:tabs>
          <w:tab w:val="left" w:pos="-9498"/>
        </w:tabs>
        <w:rPr>
          <w:szCs w:val="22"/>
        </w:rPr>
      </w:pPr>
      <w:r w:rsidRPr="007E4DA1">
        <w:rPr>
          <w:b/>
        </w:rPr>
        <w:t>6.4</w:t>
      </w:r>
      <w:r w:rsidRPr="007E4DA1">
        <w:rPr>
          <w:b/>
        </w:rPr>
        <w:tab/>
      </w:r>
      <w:r w:rsidR="00802FF6" w:rsidRPr="007E4DA1">
        <w:rPr>
          <w:b/>
        </w:rPr>
        <w:t>Specjalne środki ostrożności podczas przechowywania</w:t>
      </w:r>
    </w:p>
    <w:p w14:paraId="6FB60A92" w14:textId="77777777" w:rsidR="00802FF6" w:rsidRPr="007E4DA1" w:rsidRDefault="00802FF6" w:rsidP="001A6584">
      <w:pPr>
        <w:keepNext/>
        <w:tabs>
          <w:tab w:val="left" w:pos="142"/>
        </w:tabs>
        <w:ind w:left="0" w:firstLine="0"/>
        <w:rPr>
          <w:szCs w:val="22"/>
        </w:rPr>
      </w:pPr>
    </w:p>
    <w:p w14:paraId="35C06D23" w14:textId="77777777" w:rsidR="00802FF6" w:rsidRPr="007E4DA1" w:rsidRDefault="00802FF6" w:rsidP="001A6584">
      <w:pPr>
        <w:tabs>
          <w:tab w:val="left" w:pos="142"/>
        </w:tabs>
        <w:ind w:left="0" w:firstLine="0"/>
        <w:rPr>
          <w:szCs w:val="22"/>
        </w:rPr>
      </w:pPr>
      <w:r w:rsidRPr="007E4DA1">
        <w:rPr>
          <w:szCs w:val="22"/>
        </w:rPr>
        <w:t xml:space="preserve">Brak </w:t>
      </w:r>
      <w:r w:rsidR="00DB3BE6" w:rsidRPr="007E4DA1">
        <w:rPr>
          <w:szCs w:val="22"/>
        </w:rPr>
        <w:t>specjalnych zaleceń</w:t>
      </w:r>
      <w:r w:rsidRPr="007E4DA1">
        <w:rPr>
          <w:szCs w:val="22"/>
        </w:rPr>
        <w:t xml:space="preserve"> dotyczących przechowywania produktu leczniczego.</w:t>
      </w:r>
    </w:p>
    <w:p w14:paraId="3227B959" w14:textId="77777777" w:rsidR="00802FF6" w:rsidRPr="007E4DA1" w:rsidRDefault="00802FF6" w:rsidP="001A6584">
      <w:pPr>
        <w:tabs>
          <w:tab w:val="left" w:pos="142"/>
        </w:tabs>
        <w:ind w:left="0" w:firstLine="0"/>
        <w:rPr>
          <w:szCs w:val="22"/>
        </w:rPr>
      </w:pPr>
    </w:p>
    <w:p w14:paraId="1170B081" w14:textId="77777777" w:rsidR="00041A08" w:rsidRPr="00041A08" w:rsidRDefault="00802FF6" w:rsidP="001A6584">
      <w:pPr>
        <w:keepNext/>
        <w:tabs>
          <w:tab w:val="left" w:pos="-5387"/>
        </w:tabs>
      </w:pPr>
      <w:r w:rsidRPr="007E4DA1">
        <w:rPr>
          <w:b/>
        </w:rPr>
        <w:t>6.5</w:t>
      </w:r>
      <w:r w:rsidRPr="007E4DA1">
        <w:rPr>
          <w:b/>
        </w:rPr>
        <w:tab/>
        <w:t>Rodzaj i zawartość opakowania</w:t>
      </w:r>
    </w:p>
    <w:p w14:paraId="10A1D000" w14:textId="25ED08A0" w:rsidR="00802FF6" w:rsidRPr="007E4DA1" w:rsidRDefault="00802FF6" w:rsidP="001A6584">
      <w:pPr>
        <w:keepNext/>
        <w:tabs>
          <w:tab w:val="left" w:pos="142"/>
        </w:tabs>
        <w:ind w:left="0" w:firstLine="0"/>
        <w:rPr>
          <w:iCs/>
          <w:szCs w:val="22"/>
        </w:rPr>
      </w:pPr>
    </w:p>
    <w:p w14:paraId="13ACE076" w14:textId="77777777" w:rsidR="00041A08" w:rsidRPr="00041A08" w:rsidRDefault="00DD3431" w:rsidP="001A6584">
      <w:pPr>
        <w:keepNext/>
        <w:tabs>
          <w:tab w:val="left" w:pos="142"/>
        </w:tabs>
        <w:ind w:left="0" w:firstLine="0"/>
        <w:rPr>
          <w:szCs w:val="22"/>
        </w:rPr>
      </w:pPr>
      <w:r w:rsidRPr="007E4DA1">
        <w:rPr>
          <w:szCs w:val="22"/>
          <w:u w:val="single"/>
        </w:rPr>
        <w:t>Tabletki powlekane</w:t>
      </w:r>
    </w:p>
    <w:p w14:paraId="7B7AD725" w14:textId="5459CA25" w:rsidR="00B9543F" w:rsidRPr="007E4DA1" w:rsidRDefault="00B9543F" w:rsidP="001A6584">
      <w:pPr>
        <w:keepNext/>
        <w:tabs>
          <w:tab w:val="left" w:pos="142"/>
        </w:tabs>
        <w:ind w:left="0" w:firstLine="0"/>
        <w:rPr>
          <w:szCs w:val="22"/>
        </w:rPr>
      </w:pPr>
    </w:p>
    <w:p w14:paraId="0543E402" w14:textId="77777777" w:rsidR="00802FF6" w:rsidRPr="007E4DA1" w:rsidRDefault="00802FF6" w:rsidP="001A6584">
      <w:pPr>
        <w:tabs>
          <w:tab w:val="left" w:pos="142"/>
        </w:tabs>
        <w:ind w:left="0" w:firstLine="0"/>
        <w:rPr>
          <w:szCs w:val="22"/>
        </w:rPr>
      </w:pPr>
      <w:r w:rsidRPr="007E4DA1">
        <w:rPr>
          <w:szCs w:val="22"/>
        </w:rPr>
        <w:t>Blistry aluminiowe (PA/Alu/PVC/Alu) w pudełku tekturowym zawierającym 14 lub 28</w:t>
      </w:r>
      <w:r w:rsidR="00926919" w:rsidRPr="007E4DA1">
        <w:rPr>
          <w:szCs w:val="22"/>
        </w:rPr>
        <w:t> </w:t>
      </w:r>
      <w:r w:rsidRPr="007E4DA1">
        <w:rPr>
          <w:szCs w:val="22"/>
        </w:rPr>
        <w:t>tabletek powlekanych i opakowania zbiorcze zawierające 84 tabletki powlekane (3</w:t>
      </w:r>
      <w:r w:rsidR="00926919" w:rsidRPr="007E4DA1">
        <w:rPr>
          <w:szCs w:val="22"/>
        </w:rPr>
        <w:t> </w:t>
      </w:r>
      <w:r w:rsidRPr="007E4DA1">
        <w:rPr>
          <w:szCs w:val="22"/>
        </w:rPr>
        <w:t>opakowania po 28).</w:t>
      </w:r>
    </w:p>
    <w:p w14:paraId="188ECBBD" w14:textId="77777777" w:rsidR="00802FF6" w:rsidRPr="007E4DA1" w:rsidRDefault="00802FF6" w:rsidP="001A6584">
      <w:pPr>
        <w:tabs>
          <w:tab w:val="left" w:pos="142"/>
        </w:tabs>
        <w:ind w:left="0" w:firstLine="0"/>
        <w:rPr>
          <w:szCs w:val="22"/>
        </w:rPr>
      </w:pPr>
    </w:p>
    <w:p w14:paraId="392ACF2D" w14:textId="77777777" w:rsidR="00802FF6" w:rsidRPr="007E4DA1" w:rsidRDefault="00802FF6" w:rsidP="001A6584">
      <w:pPr>
        <w:tabs>
          <w:tab w:val="left" w:pos="142"/>
        </w:tabs>
        <w:ind w:left="0" w:firstLine="0"/>
        <w:rPr>
          <w:szCs w:val="22"/>
        </w:rPr>
      </w:pPr>
      <w:r w:rsidRPr="007E4DA1">
        <w:t>Nie wszystkie wielkości opakowań muszą znajdować się w obrocie.</w:t>
      </w:r>
    </w:p>
    <w:p w14:paraId="3A5AD00F" w14:textId="77777777" w:rsidR="00802FF6" w:rsidRPr="007E4DA1" w:rsidRDefault="00802FF6" w:rsidP="001A6584">
      <w:pPr>
        <w:tabs>
          <w:tab w:val="left" w:pos="142"/>
        </w:tabs>
        <w:ind w:left="0" w:firstLine="0"/>
        <w:rPr>
          <w:szCs w:val="22"/>
        </w:rPr>
      </w:pPr>
    </w:p>
    <w:p w14:paraId="48EC99B4" w14:textId="77777777" w:rsidR="00802FF6" w:rsidRPr="007E4DA1" w:rsidRDefault="00802FF6" w:rsidP="001A6584">
      <w:pPr>
        <w:keepNext/>
        <w:rPr>
          <w:szCs w:val="22"/>
        </w:rPr>
      </w:pPr>
      <w:r w:rsidRPr="007E4DA1">
        <w:rPr>
          <w:b/>
        </w:rPr>
        <w:t>6.6</w:t>
      </w:r>
      <w:r w:rsidRPr="007E4DA1">
        <w:rPr>
          <w:b/>
        </w:rPr>
        <w:tab/>
      </w:r>
      <w:r w:rsidRPr="007E4DA1">
        <w:rPr>
          <w:b/>
          <w:bCs/>
          <w:szCs w:val="22"/>
        </w:rPr>
        <w:t>Specjalne środki ostrożności dotyczące usuwania</w:t>
      </w:r>
    </w:p>
    <w:p w14:paraId="37D16875" w14:textId="77777777" w:rsidR="00802FF6" w:rsidRPr="007E4DA1" w:rsidRDefault="00802FF6" w:rsidP="001A6584">
      <w:pPr>
        <w:keepNext/>
        <w:tabs>
          <w:tab w:val="left" w:pos="142"/>
        </w:tabs>
        <w:ind w:left="0" w:firstLine="0"/>
        <w:rPr>
          <w:szCs w:val="22"/>
        </w:rPr>
      </w:pPr>
    </w:p>
    <w:p w14:paraId="77A110B7" w14:textId="77777777" w:rsidR="00802FF6" w:rsidRPr="007E4DA1" w:rsidRDefault="00802FF6" w:rsidP="001A6584">
      <w:pPr>
        <w:tabs>
          <w:tab w:val="left" w:pos="142"/>
        </w:tabs>
        <w:ind w:left="0" w:firstLine="0"/>
        <w:rPr>
          <w:szCs w:val="22"/>
        </w:rPr>
      </w:pPr>
      <w:r w:rsidRPr="007E4DA1">
        <w:t xml:space="preserve">Wszelkie niewykorzystane resztki produktu </w:t>
      </w:r>
      <w:r w:rsidRPr="007E4DA1">
        <w:rPr>
          <w:noProof/>
          <w:szCs w:val="22"/>
        </w:rPr>
        <w:t xml:space="preserve">leczniczego </w:t>
      </w:r>
      <w:r w:rsidRPr="007E4DA1">
        <w:t>lub jego odpady należy usunąć zgodnie z lokalnymi przepisami.</w:t>
      </w:r>
    </w:p>
    <w:p w14:paraId="790B2FDE" w14:textId="77777777" w:rsidR="00802FF6" w:rsidRPr="007E4DA1" w:rsidRDefault="00802FF6" w:rsidP="001A6584">
      <w:pPr>
        <w:tabs>
          <w:tab w:val="left" w:pos="142"/>
        </w:tabs>
        <w:ind w:left="0" w:firstLine="0"/>
        <w:rPr>
          <w:szCs w:val="22"/>
        </w:rPr>
      </w:pPr>
    </w:p>
    <w:p w14:paraId="3D384D5C" w14:textId="77777777" w:rsidR="00802FF6" w:rsidRPr="007E4DA1" w:rsidRDefault="00802FF6" w:rsidP="001A6584">
      <w:pPr>
        <w:tabs>
          <w:tab w:val="left" w:pos="142"/>
        </w:tabs>
        <w:ind w:left="0" w:firstLine="0"/>
        <w:rPr>
          <w:szCs w:val="22"/>
        </w:rPr>
      </w:pPr>
    </w:p>
    <w:p w14:paraId="6A513389" w14:textId="77777777" w:rsidR="00041A08" w:rsidRPr="00041A08" w:rsidRDefault="00802FF6" w:rsidP="001A6584">
      <w:pPr>
        <w:keepNext/>
      </w:pPr>
      <w:r w:rsidRPr="007E4DA1">
        <w:rPr>
          <w:b/>
        </w:rPr>
        <w:t>7.</w:t>
      </w:r>
      <w:r w:rsidRPr="007E4DA1">
        <w:rPr>
          <w:b/>
        </w:rPr>
        <w:tab/>
        <w:t>PODMIOT OD</w:t>
      </w:r>
      <w:smartTag w:uri="schemas-GSKSiteLocations-com/fourthcoffee" w:element="flavor">
        <w:r w:rsidRPr="007E4DA1">
          <w:rPr>
            <w:b/>
          </w:rPr>
          <w:t>POW</w:t>
        </w:r>
      </w:smartTag>
      <w:r w:rsidRPr="007E4DA1">
        <w:rPr>
          <w:b/>
        </w:rPr>
        <w:t>IEDZIALNY POSIADAJĄCY POZWOLENIE NA DOPUSZCZENIE DO OBROTU</w:t>
      </w:r>
    </w:p>
    <w:p w14:paraId="7F147036" w14:textId="2B2FF831" w:rsidR="00802FF6" w:rsidRPr="007E4DA1" w:rsidRDefault="00802FF6" w:rsidP="001A6584">
      <w:pPr>
        <w:keepNext/>
        <w:tabs>
          <w:tab w:val="left" w:pos="142"/>
        </w:tabs>
        <w:ind w:left="0" w:firstLine="0"/>
        <w:rPr>
          <w:szCs w:val="22"/>
        </w:rPr>
      </w:pPr>
    </w:p>
    <w:p w14:paraId="4E21D05C" w14:textId="77777777" w:rsidR="00EE79C2" w:rsidRPr="007E4DA1" w:rsidRDefault="00EE79C2" w:rsidP="001A6584">
      <w:pPr>
        <w:keepNext/>
        <w:rPr>
          <w:lang w:val="en-US"/>
        </w:rPr>
      </w:pPr>
      <w:r w:rsidRPr="007E4DA1">
        <w:rPr>
          <w:lang w:val="en-US"/>
        </w:rPr>
        <w:t xml:space="preserve">Novartis </w:t>
      </w:r>
      <w:proofErr w:type="spellStart"/>
      <w:r w:rsidRPr="007E4DA1">
        <w:rPr>
          <w:lang w:val="en-US"/>
        </w:rPr>
        <w:t>Europharm</w:t>
      </w:r>
      <w:proofErr w:type="spellEnd"/>
      <w:r w:rsidRPr="007E4DA1">
        <w:rPr>
          <w:lang w:val="en-US"/>
        </w:rPr>
        <w:t xml:space="preserve"> Limited</w:t>
      </w:r>
    </w:p>
    <w:p w14:paraId="0243464C" w14:textId="77777777" w:rsidR="0091544F" w:rsidRPr="007E4DA1" w:rsidRDefault="0091544F" w:rsidP="001A6584">
      <w:pPr>
        <w:keepNext/>
        <w:rPr>
          <w:color w:val="000000"/>
          <w:lang w:val="en-US"/>
        </w:rPr>
      </w:pPr>
      <w:r w:rsidRPr="007E4DA1">
        <w:rPr>
          <w:color w:val="000000"/>
          <w:lang w:val="en-US"/>
        </w:rPr>
        <w:t>Vista Building</w:t>
      </w:r>
    </w:p>
    <w:p w14:paraId="69EC8229" w14:textId="77777777" w:rsidR="0091544F" w:rsidRPr="007E4DA1" w:rsidRDefault="0091544F" w:rsidP="001A6584">
      <w:pPr>
        <w:keepNext/>
        <w:rPr>
          <w:color w:val="000000"/>
          <w:lang w:val="en-US"/>
        </w:rPr>
      </w:pPr>
      <w:r w:rsidRPr="007E4DA1">
        <w:rPr>
          <w:color w:val="000000"/>
          <w:lang w:val="en-US"/>
        </w:rPr>
        <w:t>Elm Park, Merrion Road</w:t>
      </w:r>
    </w:p>
    <w:p w14:paraId="314A53B6" w14:textId="77777777" w:rsidR="0091544F" w:rsidRPr="007E4DA1" w:rsidRDefault="0091544F" w:rsidP="001A6584">
      <w:pPr>
        <w:keepNext/>
        <w:rPr>
          <w:color w:val="000000"/>
        </w:rPr>
      </w:pPr>
      <w:r w:rsidRPr="007E4DA1">
        <w:rPr>
          <w:color w:val="000000"/>
        </w:rPr>
        <w:t>Dublin 4</w:t>
      </w:r>
    </w:p>
    <w:p w14:paraId="0B7A3E6B" w14:textId="77777777" w:rsidR="00EE79C2" w:rsidRPr="007E4DA1" w:rsidRDefault="0091544F" w:rsidP="001A6584">
      <w:pPr>
        <w:tabs>
          <w:tab w:val="left" w:pos="142"/>
        </w:tabs>
        <w:ind w:left="0" w:firstLine="0"/>
      </w:pPr>
      <w:r w:rsidRPr="007E4DA1">
        <w:rPr>
          <w:color w:val="000000"/>
        </w:rPr>
        <w:t>Irlandia</w:t>
      </w:r>
    </w:p>
    <w:p w14:paraId="6BB9456B" w14:textId="77777777" w:rsidR="00802FF6" w:rsidRPr="007E4DA1" w:rsidRDefault="00802FF6" w:rsidP="001A6584">
      <w:pPr>
        <w:tabs>
          <w:tab w:val="left" w:pos="142"/>
        </w:tabs>
        <w:ind w:left="0" w:firstLine="0"/>
        <w:rPr>
          <w:szCs w:val="22"/>
        </w:rPr>
      </w:pPr>
    </w:p>
    <w:p w14:paraId="3DA8FCB4" w14:textId="77777777" w:rsidR="00802FF6" w:rsidRPr="007E4DA1" w:rsidRDefault="00802FF6" w:rsidP="001A6584">
      <w:pPr>
        <w:tabs>
          <w:tab w:val="left" w:pos="142"/>
        </w:tabs>
        <w:ind w:left="0" w:firstLine="0"/>
        <w:rPr>
          <w:szCs w:val="22"/>
        </w:rPr>
      </w:pPr>
    </w:p>
    <w:p w14:paraId="653D6CE4" w14:textId="1A95B0FD" w:rsidR="00041A08" w:rsidRPr="00041A08" w:rsidRDefault="00802FF6" w:rsidP="001A6584">
      <w:pPr>
        <w:keepNext/>
        <w:rPr>
          <w:szCs w:val="22"/>
        </w:rPr>
      </w:pPr>
      <w:r w:rsidRPr="007E4DA1">
        <w:rPr>
          <w:b/>
        </w:rPr>
        <w:lastRenderedPageBreak/>
        <w:t>8.</w:t>
      </w:r>
      <w:r w:rsidRPr="007E4DA1">
        <w:rPr>
          <w:b/>
        </w:rPr>
        <w:tab/>
        <w:t>NUMERY POZWOLEŃ NA DOPUSZCZENIE DO OBROTU</w:t>
      </w:r>
    </w:p>
    <w:p w14:paraId="0F37C787" w14:textId="4832F067" w:rsidR="00802FF6" w:rsidRPr="007E4DA1" w:rsidRDefault="00802FF6" w:rsidP="001A6584">
      <w:pPr>
        <w:keepNext/>
        <w:tabs>
          <w:tab w:val="left" w:pos="142"/>
        </w:tabs>
        <w:ind w:left="0" w:firstLine="0"/>
        <w:rPr>
          <w:szCs w:val="22"/>
        </w:rPr>
      </w:pPr>
    </w:p>
    <w:p w14:paraId="2AC027AB" w14:textId="77777777" w:rsidR="00041A08" w:rsidRPr="00041A08" w:rsidRDefault="002912DD" w:rsidP="001A6584">
      <w:pPr>
        <w:keepNext/>
        <w:tabs>
          <w:tab w:val="left" w:pos="142"/>
        </w:tabs>
        <w:ind w:left="0" w:firstLine="0"/>
      </w:pPr>
      <w:r w:rsidRPr="007E4DA1">
        <w:rPr>
          <w:u w:val="single"/>
        </w:rPr>
        <w:t>Revolade 12,5 mg tabletki powlekane</w:t>
      </w:r>
    </w:p>
    <w:p w14:paraId="735AFE3A" w14:textId="6A2BBB5F" w:rsidR="00B9543F" w:rsidRPr="007E4DA1" w:rsidRDefault="00B9543F" w:rsidP="001A6584">
      <w:pPr>
        <w:keepNext/>
        <w:tabs>
          <w:tab w:val="left" w:pos="142"/>
        </w:tabs>
        <w:ind w:left="0" w:firstLine="0"/>
      </w:pPr>
    </w:p>
    <w:p w14:paraId="71C2C4C3" w14:textId="77777777" w:rsidR="002912DD" w:rsidRPr="007E4DA1" w:rsidRDefault="002912DD" w:rsidP="001A6584">
      <w:pPr>
        <w:keepNext/>
        <w:tabs>
          <w:tab w:val="left" w:pos="142"/>
        </w:tabs>
        <w:ind w:left="0" w:firstLine="0"/>
        <w:rPr>
          <w:szCs w:val="22"/>
        </w:rPr>
      </w:pPr>
      <w:r w:rsidRPr="007E4DA1">
        <w:rPr>
          <w:szCs w:val="22"/>
        </w:rPr>
        <w:t>EU/1/10/612/0</w:t>
      </w:r>
      <w:r w:rsidR="007B6697" w:rsidRPr="007E4DA1">
        <w:rPr>
          <w:szCs w:val="22"/>
        </w:rPr>
        <w:t>1</w:t>
      </w:r>
      <w:r w:rsidRPr="007E4DA1">
        <w:rPr>
          <w:szCs w:val="22"/>
        </w:rPr>
        <w:t>0</w:t>
      </w:r>
    </w:p>
    <w:p w14:paraId="580370A3" w14:textId="77777777" w:rsidR="002912DD" w:rsidRPr="007E4DA1" w:rsidRDefault="002912DD" w:rsidP="001A6584">
      <w:pPr>
        <w:keepNext/>
        <w:tabs>
          <w:tab w:val="left" w:pos="142"/>
        </w:tabs>
        <w:ind w:left="0" w:firstLine="0"/>
        <w:rPr>
          <w:szCs w:val="22"/>
        </w:rPr>
      </w:pPr>
      <w:r w:rsidRPr="007E4DA1">
        <w:rPr>
          <w:szCs w:val="22"/>
        </w:rPr>
        <w:t>EU/1/10/612/0</w:t>
      </w:r>
      <w:r w:rsidR="007B6697" w:rsidRPr="007E4DA1">
        <w:rPr>
          <w:szCs w:val="22"/>
        </w:rPr>
        <w:t>11</w:t>
      </w:r>
    </w:p>
    <w:p w14:paraId="17050A8A" w14:textId="77777777" w:rsidR="002912DD" w:rsidRPr="007E4DA1" w:rsidRDefault="002912DD" w:rsidP="001A6584">
      <w:pPr>
        <w:tabs>
          <w:tab w:val="left" w:pos="142"/>
        </w:tabs>
        <w:ind w:left="0" w:firstLine="0"/>
        <w:rPr>
          <w:szCs w:val="22"/>
        </w:rPr>
      </w:pPr>
      <w:r w:rsidRPr="007E4DA1">
        <w:rPr>
          <w:szCs w:val="22"/>
        </w:rPr>
        <w:t>EU/1/10/612/0</w:t>
      </w:r>
      <w:r w:rsidR="007B6697" w:rsidRPr="007E4DA1">
        <w:rPr>
          <w:szCs w:val="22"/>
        </w:rPr>
        <w:t>12</w:t>
      </w:r>
    </w:p>
    <w:p w14:paraId="37720422" w14:textId="77777777" w:rsidR="002912DD" w:rsidRPr="007E4DA1" w:rsidRDefault="002912DD" w:rsidP="001A6584">
      <w:pPr>
        <w:tabs>
          <w:tab w:val="left" w:pos="142"/>
        </w:tabs>
        <w:ind w:left="0" w:firstLine="0"/>
      </w:pPr>
    </w:p>
    <w:p w14:paraId="34ABA476" w14:textId="77777777" w:rsidR="00041A08" w:rsidRPr="00041A08" w:rsidRDefault="002912DD" w:rsidP="001A6584">
      <w:pPr>
        <w:keepNext/>
        <w:tabs>
          <w:tab w:val="left" w:pos="142"/>
        </w:tabs>
        <w:ind w:left="0" w:firstLine="0"/>
      </w:pPr>
      <w:r w:rsidRPr="007E4DA1">
        <w:rPr>
          <w:u w:val="single"/>
        </w:rPr>
        <w:t>Revolade 25 mg tabletki powlekane</w:t>
      </w:r>
    </w:p>
    <w:p w14:paraId="6AD9DB83" w14:textId="28BEA423" w:rsidR="00B9543F" w:rsidRPr="007E4DA1" w:rsidRDefault="00B9543F" w:rsidP="001A6584">
      <w:pPr>
        <w:keepNext/>
        <w:tabs>
          <w:tab w:val="left" w:pos="142"/>
        </w:tabs>
        <w:ind w:left="0" w:firstLine="0"/>
        <w:rPr>
          <w:szCs w:val="22"/>
        </w:rPr>
      </w:pPr>
    </w:p>
    <w:p w14:paraId="4C547398" w14:textId="77777777" w:rsidR="00802FF6" w:rsidRPr="007E4DA1" w:rsidRDefault="00802FF6" w:rsidP="001A6584">
      <w:pPr>
        <w:keepNext/>
        <w:tabs>
          <w:tab w:val="left" w:pos="142"/>
        </w:tabs>
        <w:ind w:left="0" w:firstLine="0"/>
        <w:rPr>
          <w:szCs w:val="22"/>
        </w:rPr>
      </w:pPr>
      <w:r w:rsidRPr="007E4DA1">
        <w:rPr>
          <w:szCs w:val="22"/>
        </w:rPr>
        <w:t>EU/1/10/612/001</w:t>
      </w:r>
    </w:p>
    <w:p w14:paraId="5EE35F11" w14:textId="77777777" w:rsidR="00802FF6" w:rsidRPr="007E4DA1" w:rsidRDefault="00802FF6" w:rsidP="001A6584">
      <w:pPr>
        <w:keepNext/>
        <w:tabs>
          <w:tab w:val="left" w:pos="142"/>
        </w:tabs>
        <w:ind w:left="0" w:firstLine="0"/>
        <w:rPr>
          <w:szCs w:val="22"/>
        </w:rPr>
      </w:pPr>
      <w:r w:rsidRPr="007E4DA1">
        <w:rPr>
          <w:szCs w:val="22"/>
        </w:rPr>
        <w:t>EU/1/10/612/002</w:t>
      </w:r>
    </w:p>
    <w:p w14:paraId="53C2E8A4" w14:textId="77777777" w:rsidR="00802FF6" w:rsidRPr="007E4DA1" w:rsidRDefault="00802FF6" w:rsidP="001A6584">
      <w:pPr>
        <w:tabs>
          <w:tab w:val="left" w:pos="142"/>
        </w:tabs>
        <w:ind w:left="0" w:firstLine="0"/>
        <w:rPr>
          <w:szCs w:val="22"/>
        </w:rPr>
      </w:pPr>
      <w:r w:rsidRPr="007E4DA1">
        <w:rPr>
          <w:szCs w:val="22"/>
        </w:rPr>
        <w:t>EU/1/10/612/003</w:t>
      </w:r>
    </w:p>
    <w:p w14:paraId="7763B0C5" w14:textId="77777777" w:rsidR="00802FF6" w:rsidRPr="007E4DA1" w:rsidRDefault="00802FF6" w:rsidP="001A6584">
      <w:pPr>
        <w:tabs>
          <w:tab w:val="left" w:pos="142"/>
        </w:tabs>
        <w:ind w:left="0" w:firstLine="0"/>
        <w:rPr>
          <w:szCs w:val="22"/>
        </w:rPr>
      </w:pPr>
    </w:p>
    <w:p w14:paraId="6D41322C" w14:textId="77777777" w:rsidR="00041A08" w:rsidRPr="00041A08" w:rsidRDefault="002912DD" w:rsidP="001A6584">
      <w:pPr>
        <w:keepNext/>
        <w:tabs>
          <w:tab w:val="left" w:pos="142"/>
        </w:tabs>
        <w:ind w:left="0" w:firstLine="0"/>
      </w:pPr>
      <w:r w:rsidRPr="007E4DA1">
        <w:rPr>
          <w:u w:val="single"/>
        </w:rPr>
        <w:t>Revolade 50 mg tabletki powlekane</w:t>
      </w:r>
    </w:p>
    <w:p w14:paraId="64835B2E" w14:textId="37D1233A" w:rsidR="00B9543F" w:rsidRPr="007E4DA1" w:rsidRDefault="00B9543F" w:rsidP="001A6584">
      <w:pPr>
        <w:keepNext/>
        <w:tabs>
          <w:tab w:val="left" w:pos="142"/>
        </w:tabs>
        <w:ind w:left="0" w:firstLine="0"/>
        <w:rPr>
          <w:szCs w:val="22"/>
        </w:rPr>
      </w:pPr>
    </w:p>
    <w:p w14:paraId="6CD557A9" w14:textId="77777777" w:rsidR="002912DD" w:rsidRPr="007E4DA1" w:rsidRDefault="002912DD" w:rsidP="001A6584">
      <w:pPr>
        <w:keepNext/>
        <w:tabs>
          <w:tab w:val="left" w:pos="142"/>
        </w:tabs>
        <w:ind w:left="0" w:firstLine="0"/>
        <w:rPr>
          <w:szCs w:val="22"/>
        </w:rPr>
      </w:pPr>
      <w:r w:rsidRPr="007E4DA1">
        <w:rPr>
          <w:szCs w:val="22"/>
        </w:rPr>
        <w:t>EU/1/10/612/004</w:t>
      </w:r>
    </w:p>
    <w:p w14:paraId="4F90F21E" w14:textId="77777777" w:rsidR="002912DD" w:rsidRPr="007E4DA1" w:rsidRDefault="002912DD" w:rsidP="001A6584">
      <w:pPr>
        <w:keepNext/>
        <w:tabs>
          <w:tab w:val="left" w:pos="142"/>
        </w:tabs>
        <w:ind w:left="0" w:firstLine="0"/>
        <w:rPr>
          <w:szCs w:val="22"/>
        </w:rPr>
      </w:pPr>
      <w:r w:rsidRPr="007E4DA1">
        <w:rPr>
          <w:szCs w:val="22"/>
        </w:rPr>
        <w:t>EU/1/10/612/005</w:t>
      </w:r>
    </w:p>
    <w:p w14:paraId="06A54F54" w14:textId="77777777" w:rsidR="002912DD" w:rsidRPr="007E4DA1" w:rsidRDefault="002912DD" w:rsidP="001A6584">
      <w:pPr>
        <w:tabs>
          <w:tab w:val="left" w:pos="142"/>
        </w:tabs>
        <w:ind w:left="0" w:firstLine="0"/>
        <w:rPr>
          <w:szCs w:val="22"/>
        </w:rPr>
      </w:pPr>
      <w:r w:rsidRPr="007E4DA1">
        <w:rPr>
          <w:szCs w:val="22"/>
        </w:rPr>
        <w:t>EU/1/10/612/006</w:t>
      </w:r>
    </w:p>
    <w:p w14:paraId="0EE1089C" w14:textId="77777777" w:rsidR="00802FF6" w:rsidRPr="007E4DA1" w:rsidRDefault="00802FF6" w:rsidP="001A6584">
      <w:pPr>
        <w:tabs>
          <w:tab w:val="left" w:pos="142"/>
        </w:tabs>
        <w:ind w:left="0" w:firstLine="0"/>
        <w:rPr>
          <w:szCs w:val="22"/>
        </w:rPr>
      </w:pPr>
    </w:p>
    <w:p w14:paraId="0FCE74C7" w14:textId="77777777" w:rsidR="00041A08" w:rsidRPr="00041A08" w:rsidRDefault="002912DD" w:rsidP="001A6584">
      <w:pPr>
        <w:keepNext/>
        <w:tabs>
          <w:tab w:val="left" w:pos="142"/>
        </w:tabs>
        <w:ind w:left="0" w:firstLine="0"/>
      </w:pPr>
      <w:r w:rsidRPr="007E4DA1">
        <w:rPr>
          <w:u w:val="single"/>
        </w:rPr>
        <w:t>Revolade 75 mg tabletki powlekane</w:t>
      </w:r>
    </w:p>
    <w:p w14:paraId="1068D9BA" w14:textId="792EB479" w:rsidR="00B9543F" w:rsidRPr="007E4DA1" w:rsidRDefault="00B9543F" w:rsidP="001A6584">
      <w:pPr>
        <w:keepNext/>
        <w:tabs>
          <w:tab w:val="left" w:pos="142"/>
        </w:tabs>
        <w:ind w:left="0" w:firstLine="0"/>
      </w:pPr>
    </w:p>
    <w:p w14:paraId="1B66D35C" w14:textId="77777777" w:rsidR="002912DD" w:rsidRPr="007E4DA1" w:rsidRDefault="002912DD" w:rsidP="001A6584">
      <w:pPr>
        <w:keepNext/>
        <w:tabs>
          <w:tab w:val="left" w:pos="142"/>
        </w:tabs>
        <w:ind w:left="0" w:firstLine="0"/>
        <w:rPr>
          <w:szCs w:val="22"/>
        </w:rPr>
      </w:pPr>
      <w:r w:rsidRPr="007E4DA1">
        <w:rPr>
          <w:szCs w:val="22"/>
        </w:rPr>
        <w:t>EU/1/10/612/007</w:t>
      </w:r>
    </w:p>
    <w:p w14:paraId="52C72BFD" w14:textId="77777777" w:rsidR="002912DD" w:rsidRPr="007E4DA1" w:rsidRDefault="002912DD" w:rsidP="001A6584">
      <w:pPr>
        <w:keepNext/>
        <w:tabs>
          <w:tab w:val="left" w:pos="142"/>
        </w:tabs>
        <w:ind w:left="0" w:firstLine="0"/>
        <w:rPr>
          <w:szCs w:val="22"/>
        </w:rPr>
      </w:pPr>
      <w:r w:rsidRPr="007E4DA1">
        <w:rPr>
          <w:szCs w:val="22"/>
        </w:rPr>
        <w:t>EU/1/10/612/008</w:t>
      </w:r>
    </w:p>
    <w:p w14:paraId="3DEF7243" w14:textId="77777777" w:rsidR="002912DD" w:rsidRPr="007E4DA1" w:rsidRDefault="002912DD" w:rsidP="001A6584">
      <w:pPr>
        <w:tabs>
          <w:tab w:val="left" w:pos="142"/>
        </w:tabs>
        <w:ind w:left="0" w:firstLine="0"/>
        <w:rPr>
          <w:szCs w:val="22"/>
        </w:rPr>
      </w:pPr>
      <w:r w:rsidRPr="007E4DA1">
        <w:rPr>
          <w:szCs w:val="22"/>
        </w:rPr>
        <w:t>EU/1/10/612/009</w:t>
      </w:r>
    </w:p>
    <w:p w14:paraId="7E62C2A4" w14:textId="77777777" w:rsidR="00041A08" w:rsidRPr="00041A08" w:rsidRDefault="00041A08" w:rsidP="001A6584">
      <w:pPr>
        <w:tabs>
          <w:tab w:val="left" w:pos="142"/>
        </w:tabs>
        <w:ind w:left="0" w:firstLine="0"/>
      </w:pPr>
    </w:p>
    <w:p w14:paraId="4AE074FE" w14:textId="77777777" w:rsidR="002912DD" w:rsidRPr="007E4DA1" w:rsidRDefault="002912DD" w:rsidP="001A6584">
      <w:pPr>
        <w:tabs>
          <w:tab w:val="left" w:pos="142"/>
        </w:tabs>
        <w:ind w:left="0" w:firstLine="0"/>
        <w:rPr>
          <w:szCs w:val="22"/>
        </w:rPr>
      </w:pPr>
    </w:p>
    <w:p w14:paraId="1FF50353" w14:textId="77777777" w:rsidR="00802FF6" w:rsidRPr="007E4DA1" w:rsidRDefault="00802FF6" w:rsidP="001A6584">
      <w:pPr>
        <w:keepNext/>
        <w:rPr>
          <w:szCs w:val="22"/>
        </w:rPr>
      </w:pPr>
      <w:r w:rsidRPr="007E4DA1">
        <w:rPr>
          <w:b/>
        </w:rPr>
        <w:t>9.</w:t>
      </w:r>
      <w:r w:rsidRPr="007E4DA1">
        <w:rPr>
          <w:b/>
        </w:rPr>
        <w:tab/>
      </w:r>
      <w:smartTag w:uri="urn:schemas-microsoft-com:office:smarttags" w:element="stockticker">
        <w:r w:rsidRPr="007E4DA1">
          <w:rPr>
            <w:b/>
          </w:rPr>
          <w:t>DATA</w:t>
        </w:r>
      </w:smartTag>
      <w:r w:rsidRPr="007E4DA1">
        <w:rPr>
          <w:b/>
        </w:rPr>
        <w:t xml:space="preserve"> WYDANIA PIERWSZEGO POZWOLENIA NA DOPUSZCZENIE DO OBROTU </w:t>
      </w:r>
      <w:r w:rsidR="00346352" w:rsidRPr="007E4DA1">
        <w:rPr>
          <w:b/>
        </w:rPr>
        <w:t>I</w:t>
      </w:r>
      <w:r w:rsidRPr="007E4DA1">
        <w:rPr>
          <w:b/>
        </w:rPr>
        <w:t xml:space="preserve"> </w:t>
      </w:r>
      <w:smartTag w:uri="urn:schemas-microsoft-com:office:smarttags" w:element="stockticker">
        <w:r w:rsidRPr="007E4DA1">
          <w:rPr>
            <w:b/>
          </w:rPr>
          <w:t>DATA</w:t>
        </w:r>
      </w:smartTag>
      <w:r w:rsidRPr="007E4DA1">
        <w:rPr>
          <w:b/>
        </w:rPr>
        <w:t xml:space="preserve"> PRZEDŁUŻENIA POZWOLENIA</w:t>
      </w:r>
    </w:p>
    <w:p w14:paraId="158D52D5" w14:textId="77777777" w:rsidR="00802FF6" w:rsidRPr="007E4DA1" w:rsidRDefault="00802FF6" w:rsidP="001A6584">
      <w:pPr>
        <w:keepNext/>
        <w:tabs>
          <w:tab w:val="left" w:pos="142"/>
        </w:tabs>
        <w:ind w:left="0" w:firstLine="0"/>
        <w:rPr>
          <w:szCs w:val="22"/>
        </w:rPr>
      </w:pPr>
    </w:p>
    <w:p w14:paraId="69AF7A63" w14:textId="77777777" w:rsidR="00802FF6" w:rsidRPr="007E4DA1" w:rsidRDefault="00802FF6" w:rsidP="001A6584">
      <w:pPr>
        <w:keepNext/>
        <w:tabs>
          <w:tab w:val="left" w:pos="142"/>
        </w:tabs>
        <w:ind w:left="0" w:firstLine="0"/>
        <w:rPr>
          <w:szCs w:val="22"/>
        </w:rPr>
      </w:pPr>
      <w:r w:rsidRPr="007E4DA1">
        <w:rPr>
          <w:szCs w:val="22"/>
        </w:rPr>
        <w:t>Data wydania pierwszego pozwolenia na dopuszczenie do obrotu: 11 marca 2010.</w:t>
      </w:r>
    </w:p>
    <w:p w14:paraId="0BF70CF9" w14:textId="77777777" w:rsidR="00802FF6" w:rsidRPr="007E4DA1" w:rsidRDefault="002D3675" w:rsidP="001A6584">
      <w:pPr>
        <w:tabs>
          <w:tab w:val="left" w:pos="142"/>
        </w:tabs>
        <w:ind w:left="0" w:firstLine="0"/>
        <w:rPr>
          <w:szCs w:val="22"/>
        </w:rPr>
      </w:pPr>
      <w:r w:rsidRPr="007E4DA1">
        <w:rPr>
          <w:szCs w:val="22"/>
        </w:rPr>
        <w:t xml:space="preserve">Data ostatniego przedłużenia pozwolenia: </w:t>
      </w:r>
      <w:r w:rsidR="009B1E58" w:rsidRPr="007E4DA1">
        <w:rPr>
          <w:color w:val="000000"/>
          <w:szCs w:val="22"/>
        </w:rPr>
        <w:t>15 stycznia 2015.</w:t>
      </w:r>
    </w:p>
    <w:p w14:paraId="1FB95A3E" w14:textId="77777777" w:rsidR="00802FF6" w:rsidRPr="007E4DA1" w:rsidRDefault="00802FF6" w:rsidP="001A6584">
      <w:pPr>
        <w:tabs>
          <w:tab w:val="left" w:pos="142"/>
        </w:tabs>
        <w:ind w:left="0" w:firstLine="0"/>
        <w:rPr>
          <w:szCs w:val="22"/>
        </w:rPr>
      </w:pPr>
    </w:p>
    <w:p w14:paraId="24C7AF54" w14:textId="77777777" w:rsidR="002A0D2B" w:rsidRPr="007E4DA1" w:rsidRDefault="002A0D2B" w:rsidP="001A6584">
      <w:pPr>
        <w:tabs>
          <w:tab w:val="left" w:pos="142"/>
        </w:tabs>
        <w:ind w:left="0" w:firstLine="0"/>
        <w:rPr>
          <w:szCs w:val="22"/>
        </w:rPr>
      </w:pPr>
    </w:p>
    <w:p w14:paraId="647A3BBC" w14:textId="77777777" w:rsidR="00041A08" w:rsidRPr="00041A08" w:rsidRDefault="00802FF6" w:rsidP="001A6584">
      <w:pPr>
        <w:tabs>
          <w:tab w:val="left" w:pos="-3828"/>
        </w:tabs>
        <w:rPr>
          <w:szCs w:val="22"/>
        </w:rPr>
      </w:pPr>
      <w:r w:rsidRPr="007E4DA1">
        <w:rPr>
          <w:b/>
          <w:szCs w:val="22"/>
        </w:rPr>
        <w:t>10.</w:t>
      </w:r>
      <w:r w:rsidRPr="007E4DA1">
        <w:rPr>
          <w:b/>
          <w:szCs w:val="22"/>
        </w:rPr>
        <w:tab/>
      </w:r>
      <w:r w:rsidRPr="007E4DA1">
        <w:rPr>
          <w:b/>
        </w:rPr>
        <w:t xml:space="preserve">DATA ZATWIERDZENIA </w:t>
      </w:r>
      <w:smartTag w:uri="urn:schemas-microsoft-com:office:smarttags" w:element="stockticker">
        <w:r w:rsidRPr="007E4DA1">
          <w:rPr>
            <w:b/>
          </w:rPr>
          <w:t>LUB</w:t>
        </w:r>
      </w:smartTag>
      <w:r w:rsidRPr="007E4DA1">
        <w:rPr>
          <w:b/>
        </w:rPr>
        <w:t xml:space="preserve"> CZĘŚCIOWEJ ZMIANY TEKSTU CHARAKTERYSTYKI PRODUKTU LECZNICZEGO</w:t>
      </w:r>
    </w:p>
    <w:p w14:paraId="131403DC" w14:textId="00875FFE" w:rsidR="00802FF6" w:rsidRPr="007E4DA1" w:rsidRDefault="00802FF6" w:rsidP="001A6584">
      <w:pPr>
        <w:tabs>
          <w:tab w:val="left" w:pos="142"/>
        </w:tabs>
        <w:ind w:left="0" w:firstLine="0"/>
        <w:rPr>
          <w:szCs w:val="22"/>
        </w:rPr>
      </w:pPr>
    </w:p>
    <w:p w14:paraId="01E4D9C8" w14:textId="77777777" w:rsidR="00802FF6" w:rsidRPr="007E4DA1" w:rsidRDefault="00802FF6" w:rsidP="001A6584">
      <w:pPr>
        <w:tabs>
          <w:tab w:val="left" w:pos="142"/>
        </w:tabs>
        <w:ind w:left="0" w:firstLine="0"/>
        <w:rPr>
          <w:szCs w:val="22"/>
        </w:rPr>
      </w:pPr>
    </w:p>
    <w:p w14:paraId="43836C61" w14:textId="7BB396D3" w:rsidR="00802FF6" w:rsidRPr="007E4DA1" w:rsidRDefault="00802FF6" w:rsidP="001A6584">
      <w:pPr>
        <w:numPr>
          <w:ilvl w:val="12"/>
          <w:numId w:val="0"/>
        </w:numPr>
        <w:tabs>
          <w:tab w:val="left" w:pos="142"/>
        </w:tabs>
        <w:ind w:right="-2"/>
        <w:rPr>
          <w:color w:val="000000"/>
          <w:szCs w:val="22"/>
        </w:rPr>
      </w:pPr>
      <w:r w:rsidRPr="007E4DA1">
        <w:t>Szczegółow</w:t>
      </w:r>
      <w:r w:rsidR="00346352" w:rsidRPr="007E4DA1">
        <w:t>e</w:t>
      </w:r>
      <w:r w:rsidRPr="007E4DA1">
        <w:t xml:space="preserve"> informacj</w:t>
      </w:r>
      <w:r w:rsidR="00346352" w:rsidRPr="007E4DA1">
        <w:t>e</w:t>
      </w:r>
      <w:r w:rsidRPr="007E4DA1">
        <w:t xml:space="preserve"> o tym produkcie </w:t>
      </w:r>
      <w:r w:rsidR="00346352" w:rsidRPr="007E4DA1">
        <w:t>leczniczym są</w:t>
      </w:r>
      <w:r w:rsidRPr="007E4DA1">
        <w:t xml:space="preserve"> dostępn</w:t>
      </w:r>
      <w:r w:rsidR="00346352" w:rsidRPr="007E4DA1">
        <w:t>e</w:t>
      </w:r>
      <w:r w:rsidRPr="007E4DA1">
        <w:t xml:space="preserve"> na stronie internetowej Europejskiej Agencji </w:t>
      </w:r>
      <w:r w:rsidRPr="007E4DA1">
        <w:rPr>
          <w:color w:val="000000"/>
        </w:rPr>
        <w:t>Leków</w:t>
      </w:r>
      <w:r w:rsidRPr="007E4DA1">
        <w:rPr>
          <w:color w:val="000000"/>
          <w:szCs w:val="22"/>
        </w:rPr>
        <w:t xml:space="preserve"> </w:t>
      </w:r>
      <w:hyperlink r:id="rId9" w:history="1">
        <w:r w:rsidR="00BF3DDE" w:rsidRPr="00BF3DDE">
          <w:rPr>
            <w:rStyle w:val="Hyperlink"/>
            <w:szCs w:val="22"/>
          </w:rPr>
          <w:t>https://www.ema.europa.eu</w:t>
        </w:r>
      </w:hyperlink>
      <w:r w:rsidRPr="007E4DA1">
        <w:rPr>
          <w:color w:val="000000"/>
          <w:szCs w:val="22"/>
        </w:rPr>
        <w:t>.</w:t>
      </w:r>
    </w:p>
    <w:p w14:paraId="23E18ADA" w14:textId="77777777" w:rsidR="00802FF6" w:rsidRPr="007E4DA1" w:rsidRDefault="00802FF6" w:rsidP="001A6584">
      <w:pPr>
        <w:tabs>
          <w:tab w:val="left" w:pos="142"/>
        </w:tabs>
        <w:ind w:left="0" w:firstLine="0"/>
        <w:rPr>
          <w:bCs/>
          <w:iCs/>
        </w:rPr>
      </w:pPr>
    </w:p>
    <w:p w14:paraId="1E988DDC" w14:textId="77777777" w:rsidR="00A350DA" w:rsidRPr="007E4DA1" w:rsidRDefault="00EE79C2" w:rsidP="001A6584">
      <w:pPr>
        <w:keepNext/>
        <w:ind w:left="0" w:firstLine="0"/>
      </w:pPr>
      <w:r w:rsidRPr="007E4DA1">
        <w:br w:type="page"/>
      </w:r>
      <w:r w:rsidR="00A350DA" w:rsidRPr="007E4DA1">
        <w:rPr>
          <w:b/>
        </w:rPr>
        <w:lastRenderedPageBreak/>
        <w:t>1.</w:t>
      </w:r>
      <w:r w:rsidR="00A350DA" w:rsidRPr="007E4DA1">
        <w:rPr>
          <w:b/>
        </w:rPr>
        <w:tab/>
        <w:t>NAZWA PRODUKTU LECZNICZEGO</w:t>
      </w:r>
    </w:p>
    <w:p w14:paraId="2DD2114E" w14:textId="77777777" w:rsidR="00041A08" w:rsidRPr="00041A08" w:rsidRDefault="00041A08" w:rsidP="001A6584">
      <w:pPr>
        <w:keepNext/>
        <w:tabs>
          <w:tab w:val="left" w:pos="142"/>
        </w:tabs>
        <w:ind w:left="0" w:firstLine="0"/>
      </w:pPr>
    </w:p>
    <w:p w14:paraId="1F4D5CAE" w14:textId="77777777" w:rsidR="00A350DA" w:rsidRPr="007E4DA1" w:rsidRDefault="00A350DA" w:rsidP="001A6584">
      <w:pPr>
        <w:tabs>
          <w:tab w:val="left" w:pos="142"/>
        </w:tabs>
        <w:ind w:left="0" w:firstLine="0"/>
        <w:rPr>
          <w:szCs w:val="22"/>
        </w:rPr>
      </w:pPr>
      <w:r w:rsidRPr="007E4DA1">
        <w:t xml:space="preserve">Revolade 25 mg </w:t>
      </w:r>
      <w:r w:rsidR="00F03BEC" w:rsidRPr="007E4DA1">
        <w:rPr>
          <w:szCs w:val="22"/>
        </w:rPr>
        <w:t>proszek do sporządzania zawiesiny doustnej</w:t>
      </w:r>
    </w:p>
    <w:p w14:paraId="75E942A5" w14:textId="77777777" w:rsidR="00A350DA" w:rsidRPr="007E4DA1" w:rsidRDefault="00A350DA" w:rsidP="001A6584">
      <w:pPr>
        <w:tabs>
          <w:tab w:val="left" w:pos="142"/>
        </w:tabs>
        <w:ind w:left="0" w:firstLine="0"/>
        <w:rPr>
          <w:bCs/>
        </w:rPr>
      </w:pPr>
    </w:p>
    <w:p w14:paraId="10AEA011" w14:textId="77777777" w:rsidR="00A350DA" w:rsidRPr="007E4DA1" w:rsidRDefault="00A350DA" w:rsidP="001A6584">
      <w:pPr>
        <w:tabs>
          <w:tab w:val="left" w:pos="142"/>
        </w:tabs>
        <w:ind w:left="0" w:firstLine="0"/>
        <w:rPr>
          <w:bCs/>
        </w:rPr>
      </w:pPr>
    </w:p>
    <w:p w14:paraId="163F63DA" w14:textId="77777777" w:rsidR="00A350DA" w:rsidRPr="007E4DA1" w:rsidRDefault="00A350DA" w:rsidP="001A6584">
      <w:pPr>
        <w:keepNext/>
      </w:pPr>
      <w:r w:rsidRPr="007E4DA1">
        <w:rPr>
          <w:b/>
        </w:rPr>
        <w:t>2.</w:t>
      </w:r>
      <w:r w:rsidRPr="007E4DA1">
        <w:rPr>
          <w:b/>
        </w:rPr>
        <w:tab/>
        <w:t>SKŁAD JAKOŚCIOWY I ILOŚCIOWY</w:t>
      </w:r>
    </w:p>
    <w:p w14:paraId="6EEE9D66" w14:textId="77777777" w:rsidR="00041A08" w:rsidRPr="00041A08" w:rsidRDefault="00041A08" w:rsidP="001A6584">
      <w:pPr>
        <w:pStyle w:val="EMEAEnBodyText"/>
        <w:keepNext/>
        <w:tabs>
          <w:tab w:val="left" w:pos="142"/>
        </w:tabs>
        <w:autoSpaceDE w:val="0"/>
        <w:autoSpaceDN w:val="0"/>
        <w:adjustRightInd w:val="0"/>
        <w:spacing w:before="0" w:after="0"/>
        <w:jc w:val="left"/>
        <w:rPr>
          <w:lang w:val="pl-PL"/>
        </w:rPr>
      </w:pPr>
    </w:p>
    <w:p w14:paraId="57351BDF" w14:textId="77777777" w:rsidR="00A350DA" w:rsidRPr="007E4DA1" w:rsidRDefault="00A350DA" w:rsidP="001A6584">
      <w:pPr>
        <w:tabs>
          <w:tab w:val="left" w:pos="142"/>
        </w:tabs>
        <w:ind w:left="0" w:firstLine="0"/>
        <w:rPr>
          <w:bCs/>
        </w:rPr>
      </w:pPr>
      <w:r w:rsidRPr="007E4DA1">
        <w:t xml:space="preserve">Każda </w:t>
      </w:r>
      <w:r w:rsidR="00F03BEC" w:rsidRPr="007E4DA1">
        <w:t>saszetka</w:t>
      </w:r>
      <w:r w:rsidRPr="007E4DA1">
        <w:t xml:space="preserve"> zawiera eltrombopag z olaminą w ilości odpowiadającej 25 mg eltrombopagu</w:t>
      </w:r>
      <w:r w:rsidRPr="007E4DA1">
        <w:rPr>
          <w:bCs/>
        </w:rPr>
        <w:t>.</w:t>
      </w:r>
    </w:p>
    <w:p w14:paraId="2B7B1D38" w14:textId="77777777" w:rsidR="00A350DA" w:rsidRPr="007E4DA1" w:rsidRDefault="00A350DA" w:rsidP="001A6584">
      <w:pPr>
        <w:tabs>
          <w:tab w:val="left" w:pos="142"/>
        </w:tabs>
        <w:ind w:left="0" w:firstLine="0"/>
        <w:rPr>
          <w:bCs/>
        </w:rPr>
      </w:pPr>
    </w:p>
    <w:p w14:paraId="2D1CB3B4" w14:textId="77777777" w:rsidR="00A350DA" w:rsidRPr="007E4DA1" w:rsidRDefault="00A350DA" w:rsidP="001A6584">
      <w:pPr>
        <w:tabs>
          <w:tab w:val="left" w:pos="142"/>
        </w:tabs>
        <w:ind w:left="0" w:firstLine="0"/>
      </w:pPr>
      <w:r w:rsidRPr="007E4DA1">
        <w:t>Pełny wykaz substancji pomocniczych, patrz punkt</w:t>
      </w:r>
      <w:r w:rsidR="00F04447" w:rsidRPr="007E4DA1">
        <w:t> </w:t>
      </w:r>
      <w:r w:rsidRPr="007E4DA1">
        <w:t>6.1.</w:t>
      </w:r>
    </w:p>
    <w:p w14:paraId="4126C95F" w14:textId="77777777" w:rsidR="00A350DA" w:rsidRPr="007E4DA1" w:rsidRDefault="00A350DA" w:rsidP="001A6584">
      <w:pPr>
        <w:tabs>
          <w:tab w:val="left" w:pos="142"/>
        </w:tabs>
        <w:ind w:left="0" w:firstLine="0"/>
      </w:pPr>
    </w:p>
    <w:p w14:paraId="08081835" w14:textId="77777777" w:rsidR="00A350DA" w:rsidRPr="007E4DA1" w:rsidRDefault="00A350DA" w:rsidP="001A6584">
      <w:pPr>
        <w:tabs>
          <w:tab w:val="left" w:pos="142"/>
        </w:tabs>
        <w:ind w:left="0" w:firstLine="0"/>
      </w:pPr>
    </w:p>
    <w:p w14:paraId="399562CD" w14:textId="77777777" w:rsidR="00A350DA" w:rsidRPr="007E4DA1" w:rsidRDefault="00A350DA" w:rsidP="001A6584">
      <w:pPr>
        <w:keepNext/>
        <w:rPr>
          <w:caps/>
        </w:rPr>
      </w:pPr>
      <w:r w:rsidRPr="007E4DA1">
        <w:rPr>
          <w:b/>
        </w:rPr>
        <w:t>3.</w:t>
      </w:r>
      <w:r w:rsidRPr="007E4DA1">
        <w:rPr>
          <w:b/>
        </w:rPr>
        <w:tab/>
        <w:t>POSTAĆ FARMACEUTYCZNA</w:t>
      </w:r>
    </w:p>
    <w:p w14:paraId="32FC1922" w14:textId="77777777" w:rsidR="00A350DA" w:rsidRPr="007E4DA1" w:rsidRDefault="00A350DA" w:rsidP="001A6584">
      <w:pPr>
        <w:keepNext/>
        <w:tabs>
          <w:tab w:val="left" w:pos="142"/>
        </w:tabs>
        <w:ind w:left="0" w:firstLine="0"/>
      </w:pPr>
    </w:p>
    <w:p w14:paraId="0C5CEBD8" w14:textId="77777777" w:rsidR="00A350DA" w:rsidRPr="007E4DA1" w:rsidRDefault="00F03BEC" w:rsidP="001A6584">
      <w:pPr>
        <w:tabs>
          <w:tab w:val="left" w:pos="142"/>
        </w:tabs>
        <w:ind w:left="0" w:firstLine="0"/>
      </w:pPr>
      <w:r w:rsidRPr="007E4DA1">
        <w:rPr>
          <w:szCs w:val="22"/>
        </w:rPr>
        <w:t>Proszek do sporządzania zawiesiny doustnej</w:t>
      </w:r>
    </w:p>
    <w:p w14:paraId="53193782" w14:textId="77777777" w:rsidR="00041A08" w:rsidRPr="00041A08" w:rsidRDefault="00041A08" w:rsidP="001A6584">
      <w:pPr>
        <w:tabs>
          <w:tab w:val="left" w:pos="142"/>
          <w:tab w:val="left" w:pos="7650"/>
        </w:tabs>
        <w:ind w:left="0" w:firstLine="0"/>
      </w:pPr>
    </w:p>
    <w:p w14:paraId="51586541" w14:textId="77777777" w:rsidR="00A350DA" w:rsidRPr="007E4DA1" w:rsidRDefault="00A24B84" w:rsidP="001A6584">
      <w:pPr>
        <w:tabs>
          <w:tab w:val="left" w:pos="0"/>
          <w:tab w:val="left" w:pos="142"/>
          <w:tab w:val="left" w:pos="7650"/>
        </w:tabs>
        <w:ind w:left="0" w:firstLine="0"/>
      </w:pPr>
      <w:r w:rsidRPr="007E4DA1">
        <w:rPr>
          <w:szCs w:val="24"/>
        </w:rPr>
        <w:t>Proszek c</w:t>
      </w:r>
      <w:r w:rsidR="00754F78" w:rsidRPr="007E4DA1">
        <w:rPr>
          <w:szCs w:val="24"/>
        </w:rPr>
        <w:t>zerwonawobrązowy do żółtego</w:t>
      </w:r>
      <w:r w:rsidR="00F03BEC" w:rsidRPr="007E4DA1">
        <w:t>.</w:t>
      </w:r>
    </w:p>
    <w:p w14:paraId="47314D8C" w14:textId="77777777" w:rsidR="00A350DA" w:rsidRPr="007E4DA1" w:rsidRDefault="00A350DA" w:rsidP="001A6584">
      <w:pPr>
        <w:tabs>
          <w:tab w:val="left" w:pos="142"/>
        </w:tabs>
        <w:ind w:left="0" w:firstLine="0"/>
        <w:rPr>
          <w:szCs w:val="22"/>
        </w:rPr>
      </w:pPr>
    </w:p>
    <w:p w14:paraId="4978D305" w14:textId="77777777" w:rsidR="00A350DA" w:rsidRPr="007E4DA1" w:rsidRDefault="00A350DA" w:rsidP="001A6584">
      <w:pPr>
        <w:tabs>
          <w:tab w:val="left" w:pos="142"/>
        </w:tabs>
        <w:ind w:left="0" w:firstLine="0"/>
      </w:pPr>
    </w:p>
    <w:p w14:paraId="3B443485" w14:textId="77777777" w:rsidR="00A350DA" w:rsidRPr="007E4DA1" w:rsidRDefault="00A350DA" w:rsidP="001A6584">
      <w:pPr>
        <w:keepNext/>
        <w:rPr>
          <w:caps/>
        </w:rPr>
      </w:pPr>
      <w:r w:rsidRPr="007E4DA1">
        <w:rPr>
          <w:b/>
          <w:caps/>
        </w:rPr>
        <w:t>4.</w:t>
      </w:r>
      <w:r w:rsidRPr="007E4DA1">
        <w:rPr>
          <w:b/>
          <w:caps/>
        </w:rPr>
        <w:tab/>
        <w:t>SZCZEGÓŁOWE DANE KLINICZNE</w:t>
      </w:r>
    </w:p>
    <w:p w14:paraId="429F93A7" w14:textId="77777777" w:rsidR="00A350DA" w:rsidRPr="007E4DA1" w:rsidRDefault="00A350DA" w:rsidP="001A6584">
      <w:pPr>
        <w:keepNext/>
        <w:tabs>
          <w:tab w:val="left" w:pos="142"/>
        </w:tabs>
        <w:ind w:left="0" w:firstLine="0"/>
      </w:pPr>
    </w:p>
    <w:p w14:paraId="7EF0567D" w14:textId="77777777" w:rsidR="00A350DA" w:rsidRPr="007E4DA1" w:rsidRDefault="00A350DA" w:rsidP="001A6584">
      <w:pPr>
        <w:keepNext/>
      </w:pPr>
      <w:r w:rsidRPr="007E4DA1">
        <w:rPr>
          <w:b/>
        </w:rPr>
        <w:t>4.1</w:t>
      </w:r>
      <w:r w:rsidRPr="007E4DA1">
        <w:rPr>
          <w:b/>
        </w:rPr>
        <w:tab/>
        <w:t>Wskazania do stosowania</w:t>
      </w:r>
    </w:p>
    <w:p w14:paraId="6532FE08" w14:textId="77777777" w:rsidR="00A350DA" w:rsidRPr="007E4DA1" w:rsidRDefault="00A350DA" w:rsidP="001A6584">
      <w:pPr>
        <w:keepNext/>
        <w:tabs>
          <w:tab w:val="left" w:pos="142"/>
        </w:tabs>
        <w:ind w:left="0" w:firstLine="0"/>
        <w:rPr>
          <w:szCs w:val="22"/>
        </w:rPr>
      </w:pPr>
    </w:p>
    <w:p w14:paraId="70486639" w14:textId="40EE0513" w:rsidR="00A350DA" w:rsidRPr="007E4DA1" w:rsidRDefault="00A350DA" w:rsidP="001A6584">
      <w:pPr>
        <w:pStyle w:val="Default"/>
        <w:tabs>
          <w:tab w:val="left" w:pos="142"/>
        </w:tabs>
        <w:rPr>
          <w:sz w:val="22"/>
          <w:szCs w:val="22"/>
          <w:lang w:val="pl-PL"/>
        </w:rPr>
      </w:pPr>
      <w:r w:rsidRPr="007E4DA1">
        <w:rPr>
          <w:sz w:val="22"/>
          <w:szCs w:val="22"/>
          <w:lang w:val="pl-PL"/>
        </w:rPr>
        <w:t xml:space="preserve">Produkt leczniczy Revolade </w:t>
      </w:r>
      <w:r w:rsidR="00EB4A3B" w:rsidRPr="007E4DA1">
        <w:rPr>
          <w:sz w:val="22"/>
          <w:szCs w:val="22"/>
          <w:lang w:val="pl-PL"/>
        </w:rPr>
        <w:t xml:space="preserve">jest </w:t>
      </w:r>
      <w:r w:rsidRPr="007E4DA1">
        <w:rPr>
          <w:sz w:val="22"/>
          <w:szCs w:val="22"/>
          <w:lang w:val="pl-PL"/>
        </w:rPr>
        <w:t xml:space="preserve">wskazany </w:t>
      </w:r>
      <w:r w:rsidR="00851248" w:rsidRPr="007E4DA1">
        <w:rPr>
          <w:sz w:val="22"/>
          <w:szCs w:val="22"/>
          <w:lang w:val="pl-PL"/>
        </w:rPr>
        <w:t>w leczeniu</w:t>
      </w:r>
      <w:r w:rsidRPr="007E4DA1">
        <w:rPr>
          <w:sz w:val="22"/>
          <w:szCs w:val="22"/>
          <w:lang w:val="pl-PL"/>
        </w:rPr>
        <w:t xml:space="preserve"> </w:t>
      </w:r>
      <w:r w:rsidR="00FD080F" w:rsidRPr="007E4DA1">
        <w:rPr>
          <w:sz w:val="22"/>
          <w:szCs w:val="22"/>
          <w:lang w:val="pl-PL"/>
        </w:rPr>
        <w:t xml:space="preserve">dorosłych </w:t>
      </w:r>
      <w:r w:rsidRPr="007E4DA1">
        <w:rPr>
          <w:sz w:val="22"/>
          <w:szCs w:val="22"/>
          <w:lang w:val="pl-PL"/>
        </w:rPr>
        <w:t>pacjentów z pierwotną małopłytkowością immunologiczną</w:t>
      </w:r>
      <w:r w:rsidR="00C97103" w:rsidRPr="007E4DA1">
        <w:rPr>
          <w:sz w:val="22"/>
          <w:szCs w:val="22"/>
          <w:lang w:val="pl-PL"/>
        </w:rPr>
        <w:t xml:space="preserve"> (ITP</w:t>
      </w:r>
      <w:r w:rsidR="004146FA" w:rsidRPr="007E4DA1">
        <w:rPr>
          <w:i/>
          <w:sz w:val="22"/>
          <w:szCs w:val="22"/>
          <w:lang w:val="pl-PL"/>
        </w:rPr>
        <w:t>,</w:t>
      </w:r>
      <w:r w:rsidR="00C97103" w:rsidRPr="007E4DA1">
        <w:rPr>
          <w:i/>
          <w:sz w:val="22"/>
          <w:szCs w:val="22"/>
          <w:lang w:val="pl-PL"/>
        </w:rPr>
        <w:t xml:space="preserve"> </w:t>
      </w:r>
      <w:r w:rsidR="004146FA" w:rsidRPr="007E4DA1">
        <w:rPr>
          <w:i/>
          <w:sz w:val="22"/>
          <w:szCs w:val="22"/>
          <w:lang w:val="pl-PL"/>
        </w:rPr>
        <w:t>primary immune thrombocytopenia</w:t>
      </w:r>
      <w:r w:rsidR="00C97103" w:rsidRPr="007E4DA1">
        <w:rPr>
          <w:sz w:val="22"/>
          <w:szCs w:val="22"/>
          <w:lang w:val="pl-PL"/>
        </w:rPr>
        <w:t>),</w:t>
      </w:r>
      <w:r w:rsidRPr="007E4DA1">
        <w:rPr>
          <w:sz w:val="22"/>
          <w:szCs w:val="22"/>
          <w:lang w:val="pl-PL"/>
        </w:rPr>
        <w:t xml:space="preserve"> którzy wykazują niedostateczną odpowiedź na inne sposoby leczenia (np. terapia kortykosteroidami, immunoglobulinami)</w:t>
      </w:r>
      <w:r w:rsidR="003423EA" w:rsidRPr="007E4DA1">
        <w:rPr>
          <w:sz w:val="22"/>
          <w:szCs w:val="22"/>
          <w:lang w:val="pl-PL"/>
        </w:rPr>
        <w:t xml:space="preserve"> (patrz punkty 4.2 i 5.1)</w:t>
      </w:r>
      <w:r w:rsidRPr="007E4DA1">
        <w:rPr>
          <w:sz w:val="22"/>
          <w:szCs w:val="22"/>
          <w:lang w:val="pl-PL"/>
        </w:rPr>
        <w:t>.</w:t>
      </w:r>
    </w:p>
    <w:p w14:paraId="68CF6C08" w14:textId="77777777" w:rsidR="00FD080F" w:rsidRPr="007E4DA1" w:rsidRDefault="00FD080F" w:rsidP="001A6584">
      <w:pPr>
        <w:pStyle w:val="Default"/>
        <w:tabs>
          <w:tab w:val="left" w:pos="142"/>
        </w:tabs>
        <w:rPr>
          <w:sz w:val="22"/>
          <w:szCs w:val="22"/>
          <w:lang w:val="pl-PL"/>
        </w:rPr>
      </w:pPr>
    </w:p>
    <w:p w14:paraId="24869970" w14:textId="453E30FD" w:rsidR="00EB4A3B" w:rsidRPr="007E4DA1" w:rsidRDefault="00FD080F" w:rsidP="001A6584">
      <w:pPr>
        <w:tabs>
          <w:tab w:val="left" w:pos="142"/>
        </w:tabs>
        <w:ind w:left="0" w:firstLine="0"/>
        <w:rPr>
          <w:szCs w:val="22"/>
        </w:rPr>
      </w:pPr>
      <w:r w:rsidRPr="007E4DA1">
        <w:rPr>
          <w:szCs w:val="22"/>
        </w:rPr>
        <w:t xml:space="preserve">Produkt leczniczy Revolade jest wskazany w leczeniu dzieci i młodzieży w wieku od 1 roku z pierwotną małopłytkowością immunologiczną (ang. </w:t>
      </w:r>
      <w:r w:rsidRPr="007E4DA1">
        <w:rPr>
          <w:i/>
          <w:iCs/>
          <w:szCs w:val="22"/>
        </w:rPr>
        <w:t>primary immune thrombocytopenia</w:t>
      </w:r>
      <w:r w:rsidRPr="007E4DA1">
        <w:rPr>
          <w:szCs w:val="22"/>
        </w:rPr>
        <w:t>, ITP) trwającą przynajmniej 6 miesięcy od rozpoznania, którzy wykazują niedostateczną odpowiedź na inne sposoby leczenia (np. terapia kortykosteroidami, immunoglobulinami) (patrz punkty 4.2 i 5.1).</w:t>
      </w:r>
    </w:p>
    <w:p w14:paraId="7DEA3A0A" w14:textId="77777777" w:rsidR="00FD080F" w:rsidRPr="007E4DA1" w:rsidRDefault="00FD080F" w:rsidP="001A6584">
      <w:pPr>
        <w:tabs>
          <w:tab w:val="left" w:pos="142"/>
        </w:tabs>
        <w:ind w:left="0" w:firstLine="0"/>
      </w:pPr>
    </w:p>
    <w:p w14:paraId="5AB9138F" w14:textId="77777777" w:rsidR="00A350DA" w:rsidRPr="007E4DA1" w:rsidRDefault="00A350DA" w:rsidP="001A6584">
      <w:pPr>
        <w:tabs>
          <w:tab w:val="left" w:pos="142"/>
        </w:tabs>
        <w:ind w:left="0" w:firstLine="0"/>
        <w:rPr>
          <w:bCs/>
          <w:iCs/>
        </w:rPr>
      </w:pPr>
      <w:r w:rsidRPr="007E4DA1">
        <w:t xml:space="preserve">Produkt leczniczy </w:t>
      </w:r>
      <w:r w:rsidRPr="007E4DA1">
        <w:rPr>
          <w:color w:val="000000"/>
        </w:rPr>
        <w:t>Revolade</w:t>
      </w:r>
      <w:r w:rsidRPr="007E4DA1">
        <w:t xml:space="preserve"> jest wskazany </w:t>
      </w:r>
      <w:r w:rsidR="00384ED1" w:rsidRPr="007E4DA1">
        <w:t xml:space="preserve">do stosowania </w:t>
      </w:r>
      <w:r w:rsidRPr="007E4DA1">
        <w:t>u dorosłych pacjentów z przewlekłym wirusowym zapaleniem wątroby typu C (WZW C) w celu leczenia małopłytkowości, gdy stopień małopłytkowości jest głównym czynnikiem uniemożliwiającym rozpoczęcie lub ograniczającym możliwości kontynuowania optymalnej terapii opartej na interferonie (patrz punkty 4.4 i 5.1).</w:t>
      </w:r>
    </w:p>
    <w:p w14:paraId="093045CB" w14:textId="77777777" w:rsidR="00A350DA" w:rsidRPr="007E4DA1" w:rsidRDefault="00A350DA" w:rsidP="001A6584">
      <w:pPr>
        <w:tabs>
          <w:tab w:val="left" w:pos="142"/>
        </w:tabs>
        <w:ind w:left="0" w:firstLine="0"/>
      </w:pPr>
    </w:p>
    <w:p w14:paraId="1BF2455B" w14:textId="30984B8C" w:rsidR="00A350DA" w:rsidRPr="007E4DA1" w:rsidRDefault="00A350DA" w:rsidP="001A6584">
      <w:pPr>
        <w:tabs>
          <w:tab w:val="left" w:pos="142"/>
        </w:tabs>
        <w:ind w:left="0" w:firstLine="0"/>
      </w:pPr>
      <w:r w:rsidRPr="007E4DA1">
        <w:t xml:space="preserve">Produkt leczniczy Revolade jest wskazany </w:t>
      </w:r>
      <w:r w:rsidR="009C195E" w:rsidRPr="007E4DA1">
        <w:t>do stosowania u</w:t>
      </w:r>
      <w:r w:rsidRPr="007E4DA1">
        <w:t xml:space="preserve"> dorosłych pacjentów z nabytą ciężką postacią niedokrwistości aplastycznej (SAA – </w:t>
      </w:r>
      <w:r w:rsidRPr="007E4DA1">
        <w:rPr>
          <w:i/>
        </w:rPr>
        <w:t>severe aplastic anaemia</w:t>
      </w:r>
      <w:r w:rsidRPr="007E4DA1">
        <w:t>), u których wystąpiła oporność na wcześniejsze leczenie immunosupresyjne lub którzy przebyli wcześniejsze intensywne leczenie i nie są odpowiednimi kandydatami do transplantacji krwiotwórczych komórek macierzystych (patrz punkt</w:t>
      </w:r>
      <w:r w:rsidR="00D00EC2" w:rsidRPr="007E4DA1">
        <w:t> </w:t>
      </w:r>
      <w:r w:rsidRPr="007E4DA1">
        <w:t>5.1).</w:t>
      </w:r>
    </w:p>
    <w:p w14:paraId="385B67E9" w14:textId="77777777" w:rsidR="00A350DA" w:rsidRPr="007E4DA1" w:rsidRDefault="00A350DA" w:rsidP="001A6584">
      <w:pPr>
        <w:tabs>
          <w:tab w:val="left" w:pos="142"/>
        </w:tabs>
        <w:ind w:left="0" w:firstLine="0"/>
      </w:pPr>
    </w:p>
    <w:p w14:paraId="36E31729" w14:textId="77777777" w:rsidR="00041A08" w:rsidRPr="00041A08" w:rsidRDefault="00A350DA" w:rsidP="001A6584">
      <w:pPr>
        <w:keepNext/>
      </w:pPr>
      <w:r w:rsidRPr="007E4DA1">
        <w:rPr>
          <w:b/>
        </w:rPr>
        <w:t>4.2</w:t>
      </w:r>
      <w:r w:rsidRPr="007E4DA1">
        <w:rPr>
          <w:b/>
        </w:rPr>
        <w:tab/>
        <w:t>Dawkowanie i sposób podawania</w:t>
      </w:r>
    </w:p>
    <w:p w14:paraId="24A00DE5" w14:textId="4052786F" w:rsidR="00A350DA" w:rsidRPr="007E4DA1" w:rsidRDefault="00A350DA" w:rsidP="001A6584">
      <w:pPr>
        <w:keepNext/>
        <w:tabs>
          <w:tab w:val="left" w:pos="142"/>
          <w:tab w:val="left" w:pos="450"/>
        </w:tabs>
        <w:ind w:left="0" w:firstLine="0"/>
        <w:rPr>
          <w:color w:val="000000"/>
          <w:szCs w:val="24"/>
        </w:rPr>
      </w:pPr>
    </w:p>
    <w:p w14:paraId="2B41DA4B" w14:textId="77777777" w:rsidR="00A350DA" w:rsidRPr="007E4DA1" w:rsidRDefault="00A350DA" w:rsidP="001A6584">
      <w:pPr>
        <w:tabs>
          <w:tab w:val="left" w:pos="142"/>
        </w:tabs>
        <w:ind w:left="0" w:firstLine="0"/>
        <w:rPr>
          <w:color w:val="000000"/>
        </w:rPr>
      </w:pPr>
      <w:r w:rsidRPr="007E4DA1">
        <w:rPr>
          <w:color w:val="000000"/>
        </w:rPr>
        <w:t xml:space="preserve">Leczenie eltrombopagiem powinno być rozpoczynane </w:t>
      </w:r>
      <w:r w:rsidR="00D00EC2" w:rsidRPr="007E4DA1">
        <w:rPr>
          <w:color w:val="000000"/>
        </w:rPr>
        <w:t xml:space="preserve">przez </w:t>
      </w:r>
      <w:r w:rsidRPr="007E4DA1">
        <w:rPr>
          <w:color w:val="000000"/>
        </w:rPr>
        <w:t>i prowadzone pod nadzorem lekarza z doświadczeniem w zakresie hematologii lub leczenia przewlekłego wirusowego zapalenia wątroby typu C oraz jego powikłań.</w:t>
      </w:r>
    </w:p>
    <w:p w14:paraId="18602965" w14:textId="77777777" w:rsidR="00A350DA" w:rsidRPr="007E4DA1" w:rsidRDefault="00A350DA" w:rsidP="001A6584">
      <w:pPr>
        <w:tabs>
          <w:tab w:val="left" w:pos="142"/>
          <w:tab w:val="left" w:pos="450"/>
        </w:tabs>
        <w:ind w:left="0" w:firstLine="0"/>
        <w:rPr>
          <w:color w:val="000000"/>
          <w:szCs w:val="24"/>
        </w:rPr>
      </w:pPr>
    </w:p>
    <w:p w14:paraId="2782F178" w14:textId="77777777" w:rsidR="00041A08" w:rsidRPr="00041A08" w:rsidRDefault="00A350DA" w:rsidP="001A6584">
      <w:pPr>
        <w:keepNext/>
        <w:tabs>
          <w:tab w:val="left" w:pos="142"/>
        </w:tabs>
        <w:ind w:left="0" w:firstLine="0"/>
        <w:rPr>
          <w:color w:val="000000"/>
          <w:szCs w:val="24"/>
        </w:rPr>
      </w:pPr>
      <w:r w:rsidRPr="007E4DA1">
        <w:rPr>
          <w:color w:val="000000"/>
          <w:szCs w:val="24"/>
          <w:u w:val="single"/>
        </w:rPr>
        <w:t>Dawkowanie</w:t>
      </w:r>
    </w:p>
    <w:p w14:paraId="4E743565" w14:textId="09734DF9" w:rsidR="00A350DA" w:rsidRPr="007E4DA1" w:rsidRDefault="00A350DA" w:rsidP="001A6584">
      <w:pPr>
        <w:keepNext/>
        <w:tabs>
          <w:tab w:val="left" w:pos="142"/>
        </w:tabs>
        <w:ind w:left="0" w:firstLine="0"/>
        <w:rPr>
          <w:color w:val="000000"/>
          <w:szCs w:val="24"/>
        </w:rPr>
      </w:pPr>
    </w:p>
    <w:p w14:paraId="5B315342" w14:textId="77777777" w:rsidR="00A350DA" w:rsidRPr="007E4DA1" w:rsidRDefault="00A350DA" w:rsidP="001A6584">
      <w:pPr>
        <w:tabs>
          <w:tab w:val="left" w:pos="142"/>
        </w:tabs>
        <w:ind w:left="0" w:firstLine="0"/>
        <w:rPr>
          <w:color w:val="000000"/>
          <w:szCs w:val="24"/>
        </w:rPr>
      </w:pPr>
      <w:r w:rsidRPr="007E4DA1">
        <w:rPr>
          <w:color w:val="000000"/>
          <w:szCs w:val="24"/>
        </w:rPr>
        <w:t>Dawkowanie eltrombopagu musi być dostosowane indywidualnie, w zależności od liczby płytek krwi u pacjenta. Celem leczenia eltrombopagiem nie powinna być normalizacja liczby płytek krwi</w:t>
      </w:r>
      <w:r w:rsidRPr="007E4DA1">
        <w:rPr>
          <w:color w:val="000000"/>
          <w:szCs w:val="22"/>
        </w:rPr>
        <w:t>.</w:t>
      </w:r>
    </w:p>
    <w:p w14:paraId="0E53F694" w14:textId="77777777" w:rsidR="00EB4A3B" w:rsidRPr="007E4DA1" w:rsidRDefault="00EB4A3B" w:rsidP="001A6584">
      <w:pPr>
        <w:tabs>
          <w:tab w:val="left" w:pos="142"/>
        </w:tabs>
        <w:ind w:left="0" w:firstLine="0"/>
        <w:rPr>
          <w:color w:val="000000"/>
          <w:szCs w:val="24"/>
        </w:rPr>
      </w:pPr>
    </w:p>
    <w:p w14:paraId="462738F3" w14:textId="77777777" w:rsidR="00EB4A3B" w:rsidRPr="007E4DA1" w:rsidRDefault="00EB4A3B" w:rsidP="001A6584">
      <w:pPr>
        <w:tabs>
          <w:tab w:val="left" w:pos="142"/>
        </w:tabs>
        <w:ind w:left="0" w:firstLine="0"/>
        <w:rPr>
          <w:color w:val="000000"/>
          <w:szCs w:val="24"/>
        </w:rPr>
      </w:pPr>
      <w:r w:rsidRPr="007E4DA1">
        <w:rPr>
          <w:szCs w:val="22"/>
        </w:rPr>
        <w:t xml:space="preserve">Proszek do sporządzania zawiesiny doustnej może powodować większą ekspozycję na eltrombopag </w:t>
      </w:r>
      <w:r w:rsidR="00606CD3" w:rsidRPr="007E4DA1">
        <w:rPr>
          <w:szCs w:val="22"/>
        </w:rPr>
        <w:t>niż lek w postaci</w:t>
      </w:r>
      <w:r w:rsidRPr="007E4DA1">
        <w:rPr>
          <w:szCs w:val="22"/>
        </w:rPr>
        <w:t xml:space="preserve"> tabletek (patrz punkt 5.2). Zmieniając postać leku z tabletek na proszek do </w:t>
      </w:r>
      <w:r w:rsidRPr="007E4DA1">
        <w:rPr>
          <w:szCs w:val="22"/>
        </w:rPr>
        <w:lastRenderedPageBreak/>
        <w:t>sporządzania zawiesiny doustnej i odwrotnie należy przez 2</w:t>
      </w:r>
      <w:r w:rsidR="00C11D69" w:rsidRPr="007E4DA1">
        <w:rPr>
          <w:szCs w:val="22"/>
        </w:rPr>
        <w:t> </w:t>
      </w:r>
      <w:r w:rsidRPr="007E4DA1">
        <w:rPr>
          <w:szCs w:val="22"/>
        </w:rPr>
        <w:t xml:space="preserve">tygodnie </w:t>
      </w:r>
      <w:r w:rsidR="00606CD3" w:rsidRPr="007E4DA1">
        <w:rPr>
          <w:szCs w:val="22"/>
        </w:rPr>
        <w:t>kontrolować co tydzień</w:t>
      </w:r>
      <w:r w:rsidRPr="007E4DA1">
        <w:rPr>
          <w:szCs w:val="22"/>
        </w:rPr>
        <w:t xml:space="preserve"> liczb</w:t>
      </w:r>
      <w:r w:rsidR="00606CD3" w:rsidRPr="007E4DA1">
        <w:rPr>
          <w:szCs w:val="22"/>
        </w:rPr>
        <w:t>ę</w:t>
      </w:r>
      <w:r w:rsidRPr="007E4DA1">
        <w:rPr>
          <w:szCs w:val="22"/>
        </w:rPr>
        <w:t xml:space="preserve"> płytek krwi.</w:t>
      </w:r>
    </w:p>
    <w:p w14:paraId="65766248" w14:textId="77777777" w:rsidR="00041A08" w:rsidRPr="00041A08" w:rsidRDefault="00041A08" w:rsidP="001A6584">
      <w:pPr>
        <w:tabs>
          <w:tab w:val="left" w:pos="142"/>
          <w:tab w:val="left" w:pos="450"/>
        </w:tabs>
        <w:ind w:left="0" w:firstLine="0"/>
        <w:rPr>
          <w:color w:val="000000"/>
          <w:szCs w:val="24"/>
        </w:rPr>
      </w:pPr>
    </w:p>
    <w:p w14:paraId="25B7F53F" w14:textId="77777777" w:rsidR="00041A08" w:rsidRPr="00041A08" w:rsidRDefault="00851248" w:rsidP="001A6584">
      <w:pPr>
        <w:keepNext/>
        <w:tabs>
          <w:tab w:val="left" w:pos="142"/>
        </w:tabs>
        <w:ind w:left="0" w:firstLine="0"/>
      </w:pPr>
      <w:r w:rsidRPr="007E4DA1">
        <w:rPr>
          <w:i/>
          <w:u w:val="single"/>
        </w:rPr>
        <w:t>M</w:t>
      </w:r>
      <w:r w:rsidR="00A350DA" w:rsidRPr="007E4DA1">
        <w:rPr>
          <w:i/>
          <w:u w:val="single"/>
        </w:rPr>
        <w:t>ałopłytkowość immunologiczna</w:t>
      </w:r>
      <w:r w:rsidRPr="007E4DA1">
        <w:rPr>
          <w:i/>
          <w:u w:val="single"/>
        </w:rPr>
        <w:t xml:space="preserve"> (pierwotna)</w:t>
      </w:r>
    </w:p>
    <w:p w14:paraId="516996C7" w14:textId="09A54E42" w:rsidR="00A350DA" w:rsidRPr="007E4DA1" w:rsidRDefault="00A350DA" w:rsidP="001A6584">
      <w:pPr>
        <w:keepNext/>
        <w:tabs>
          <w:tab w:val="left" w:pos="142"/>
          <w:tab w:val="left" w:pos="450"/>
        </w:tabs>
        <w:ind w:left="0" w:firstLine="0"/>
        <w:rPr>
          <w:szCs w:val="22"/>
        </w:rPr>
      </w:pPr>
    </w:p>
    <w:p w14:paraId="5ACA3751" w14:textId="77777777" w:rsidR="00A350DA" w:rsidRPr="007E4DA1" w:rsidRDefault="00A350DA" w:rsidP="001A6584">
      <w:pPr>
        <w:tabs>
          <w:tab w:val="left" w:pos="142"/>
        </w:tabs>
        <w:ind w:left="0" w:firstLine="0"/>
        <w:rPr>
          <w:szCs w:val="24"/>
        </w:rPr>
      </w:pPr>
      <w:r w:rsidRPr="007E4DA1">
        <w:t xml:space="preserve">Należy stosować najmniejszą dawkę eltrombopagu pozwalającą osiągnąć i utrzymać liczbę płytek krwi ≥50 000/μl. Dostosowanie dawki oparte jest na liczbie płytek krwi. Nie </w:t>
      </w:r>
      <w:r w:rsidR="00620EA4" w:rsidRPr="007E4DA1">
        <w:t>wolno</w:t>
      </w:r>
      <w:r w:rsidRPr="007E4DA1">
        <w:t xml:space="preserve"> stosować eltrombopagu w celu normalizacji liczby płytek krwi. W badaniach klinicznych liczba płytek zazwyczaj zwiększała się w ciągu 1 do 2 tygodni po rozpoczęciu leczenia eltrombopagiem i zmniejszała się w ciągu 1 do 2 tygodni po zakończeniu stosowania leku.</w:t>
      </w:r>
    </w:p>
    <w:p w14:paraId="1AB91544" w14:textId="77777777" w:rsidR="00A350DA" w:rsidRPr="007E4DA1" w:rsidRDefault="00A350DA" w:rsidP="001A6584">
      <w:pPr>
        <w:tabs>
          <w:tab w:val="left" w:pos="142"/>
          <w:tab w:val="left" w:pos="450"/>
        </w:tabs>
        <w:ind w:left="0" w:firstLine="0"/>
        <w:rPr>
          <w:szCs w:val="22"/>
          <w:lang w:eastAsia="en-US"/>
        </w:rPr>
      </w:pPr>
    </w:p>
    <w:p w14:paraId="49718853" w14:textId="77777777" w:rsidR="001A2BDF" w:rsidRPr="007E4DA1" w:rsidRDefault="001A2BDF" w:rsidP="001A6584">
      <w:pPr>
        <w:pStyle w:val="CommentText"/>
        <w:tabs>
          <w:tab w:val="clear" w:pos="567"/>
          <w:tab w:val="left" w:pos="142"/>
        </w:tabs>
        <w:spacing w:line="240" w:lineRule="auto"/>
        <w:rPr>
          <w:sz w:val="22"/>
          <w:szCs w:val="22"/>
          <w:lang w:val="pl-PL"/>
        </w:rPr>
      </w:pPr>
      <w:r w:rsidRPr="007E4DA1">
        <w:rPr>
          <w:i/>
          <w:sz w:val="22"/>
          <w:szCs w:val="22"/>
          <w:lang w:val="pl-PL"/>
        </w:rPr>
        <w:t>Dorośli oraz dzieci i młodzież w wieku od 6 do 17</w:t>
      </w:r>
      <w:r w:rsidR="00F04447" w:rsidRPr="007E4DA1">
        <w:rPr>
          <w:i/>
          <w:sz w:val="22"/>
          <w:szCs w:val="22"/>
          <w:lang w:val="pl-PL"/>
        </w:rPr>
        <w:t> </w:t>
      </w:r>
      <w:r w:rsidRPr="007E4DA1">
        <w:rPr>
          <w:i/>
          <w:sz w:val="22"/>
          <w:szCs w:val="22"/>
          <w:lang w:val="pl-PL"/>
        </w:rPr>
        <w:t>lat</w:t>
      </w:r>
    </w:p>
    <w:p w14:paraId="2387C1F4" w14:textId="072953B9" w:rsidR="00A350DA" w:rsidRPr="007E4DA1" w:rsidRDefault="00A350DA" w:rsidP="001A6584">
      <w:pPr>
        <w:pStyle w:val="CommentText"/>
        <w:tabs>
          <w:tab w:val="clear" w:pos="567"/>
          <w:tab w:val="left" w:pos="142"/>
        </w:tabs>
        <w:spacing w:line="240" w:lineRule="auto"/>
        <w:rPr>
          <w:sz w:val="22"/>
          <w:szCs w:val="22"/>
          <w:lang w:val="pl-PL"/>
        </w:rPr>
      </w:pPr>
      <w:r w:rsidRPr="007E4DA1">
        <w:rPr>
          <w:sz w:val="22"/>
          <w:szCs w:val="22"/>
          <w:lang w:val="pl-PL"/>
        </w:rPr>
        <w:t xml:space="preserve">Zalecana dawka początkowa eltrombopagu wynosi 50 mg raz na dobę. W przypadku pacjentów pochodzenia </w:t>
      </w:r>
      <w:r w:rsidR="009C195E" w:rsidRPr="007E4DA1">
        <w:rPr>
          <w:sz w:val="22"/>
          <w:szCs w:val="22"/>
          <w:lang w:val="pl-PL"/>
        </w:rPr>
        <w:t>wschodnio-/południowo-wschodnio</w:t>
      </w:r>
      <w:r w:rsidRPr="007E4DA1">
        <w:rPr>
          <w:sz w:val="22"/>
          <w:szCs w:val="22"/>
          <w:lang w:val="pl-PL"/>
        </w:rPr>
        <w:t>azjatyckiego</w:t>
      </w:r>
      <w:r w:rsidR="001A2BDF" w:rsidRPr="007E4DA1">
        <w:rPr>
          <w:sz w:val="22"/>
          <w:szCs w:val="22"/>
          <w:lang w:val="pl-PL"/>
        </w:rPr>
        <w:t xml:space="preserve"> </w:t>
      </w:r>
      <w:r w:rsidRPr="007E4DA1">
        <w:rPr>
          <w:sz w:val="22"/>
          <w:szCs w:val="22"/>
          <w:lang w:val="pl-PL"/>
        </w:rPr>
        <w:t>leczenie eltrombopagiem należy rozpoczynać od zmniejszonej dawki 25 mg raz na dobę (patrz punkt</w:t>
      </w:r>
      <w:r w:rsidR="00C11D69" w:rsidRPr="007E4DA1">
        <w:rPr>
          <w:sz w:val="22"/>
          <w:szCs w:val="22"/>
          <w:lang w:val="pl-PL"/>
        </w:rPr>
        <w:t> </w:t>
      </w:r>
      <w:r w:rsidRPr="007E4DA1">
        <w:rPr>
          <w:sz w:val="22"/>
          <w:szCs w:val="22"/>
          <w:lang w:val="pl-PL"/>
        </w:rPr>
        <w:t>5.2).</w:t>
      </w:r>
    </w:p>
    <w:p w14:paraId="2A287367" w14:textId="77777777" w:rsidR="001A2BDF" w:rsidRPr="007E4DA1" w:rsidRDefault="001A2BDF" w:rsidP="001A6584">
      <w:pPr>
        <w:pStyle w:val="CommentText"/>
        <w:tabs>
          <w:tab w:val="clear" w:pos="567"/>
          <w:tab w:val="left" w:pos="142"/>
        </w:tabs>
        <w:spacing w:line="240" w:lineRule="auto"/>
        <w:rPr>
          <w:sz w:val="22"/>
          <w:szCs w:val="22"/>
          <w:lang w:val="pl-PL"/>
        </w:rPr>
      </w:pPr>
    </w:p>
    <w:p w14:paraId="65E36376" w14:textId="77777777" w:rsidR="00041A08" w:rsidRPr="00041A08" w:rsidRDefault="001A2BDF" w:rsidP="001A6584">
      <w:pPr>
        <w:pStyle w:val="CommentText"/>
        <w:tabs>
          <w:tab w:val="clear" w:pos="567"/>
          <w:tab w:val="left" w:pos="142"/>
        </w:tabs>
        <w:spacing w:line="240" w:lineRule="auto"/>
        <w:rPr>
          <w:sz w:val="22"/>
          <w:szCs w:val="22"/>
          <w:lang w:val="pl-PL"/>
        </w:rPr>
      </w:pPr>
      <w:r w:rsidRPr="007E4DA1">
        <w:rPr>
          <w:i/>
          <w:sz w:val="22"/>
          <w:szCs w:val="22"/>
          <w:lang w:val="pl-PL"/>
        </w:rPr>
        <w:t>Dzieci w wieku od 1 do 5</w:t>
      </w:r>
      <w:r w:rsidR="00F04447" w:rsidRPr="007E4DA1">
        <w:rPr>
          <w:i/>
          <w:sz w:val="22"/>
          <w:szCs w:val="22"/>
          <w:lang w:val="pl-PL"/>
        </w:rPr>
        <w:t> </w:t>
      </w:r>
      <w:r w:rsidRPr="007E4DA1">
        <w:rPr>
          <w:i/>
          <w:sz w:val="22"/>
          <w:szCs w:val="22"/>
          <w:lang w:val="pl-PL"/>
        </w:rPr>
        <w:t>lat</w:t>
      </w:r>
    </w:p>
    <w:p w14:paraId="65BAE0C0" w14:textId="59EFF6FE" w:rsidR="001A2BDF" w:rsidRPr="007E4DA1" w:rsidRDefault="001A2BDF" w:rsidP="001A6584">
      <w:pPr>
        <w:pStyle w:val="CommentText"/>
        <w:tabs>
          <w:tab w:val="clear" w:pos="567"/>
          <w:tab w:val="left" w:pos="142"/>
        </w:tabs>
        <w:spacing w:line="240" w:lineRule="auto"/>
        <w:rPr>
          <w:sz w:val="22"/>
          <w:szCs w:val="22"/>
          <w:lang w:val="pl-PL"/>
        </w:rPr>
      </w:pPr>
      <w:r w:rsidRPr="007E4DA1">
        <w:rPr>
          <w:sz w:val="22"/>
          <w:szCs w:val="22"/>
          <w:lang w:val="pl-PL"/>
        </w:rPr>
        <w:t>Zalecana dawka początkowa eltrombopagu wynosi 25 mg raz na dobę.</w:t>
      </w:r>
    </w:p>
    <w:p w14:paraId="4D4D02BC" w14:textId="77777777" w:rsidR="00A350DA" w:rsidRPr="007E4DA1" w:rsidRDefault="00A350DA" w:rsidP="001A6584">
      <w:pPr>
        <w:pStyle w:val="CommentText"/>
        <w:tabs>
          <w:tab w:val="clear" w:pos="567"/>
          <w:tab w:val="left" w:pos="142"/>
        </w:tabs>
        <w:spacing w:line="240" w:lineRule="auto"/>
        <w:rPr>
          <w:sz w:val="22"/>
          <w:szCs w:val="22"/>
          <w:lang w:val="pl-PL"/>
        </w:rPr>
      </w:pPr>
    </w:p>
    <w:p w14:paraId="3A8D8EBC" w14:textId="77777777" w:rsidR="00041A08" w:rsidRPr="00041A08" w:rsidRDefault="00A350DA" w:rsidP="001A6584">
      <w:pPr>
        <w:keepNext/>
        <w:tabs>
          <w:tab w:val="left" w:pos="142"/>
          <w:tab w:val="left" w:pos="450"/>
        </w:tabs>
        <w:ind w:left="0" w:firstLine="0"/>
        <w:rPr>
          <w:color w:val="000000"/>
          <w:szCs w:val="24"/>
        </w:rPr>
      </w:pPr>
      <w:r w:rsidRPr="007E4DA1">
        <w:rPr>
          <w:i/>
          <w:color w:val="000000"/>
          <w:szCs w:val="24"/>
        </w:rPr>
        <w:t>Monitorowanie i dostosowanie dawki</w:t>
      </w:r>
    </w:p>
    <w:p w14:paraId="1C3214D8" w14:textId="5F6B8300" w:rsidR="00A350DA" w:rsidRPr="007E4DA1" w:rsidRDefault="00A350DA" w:rsidP="001A6584">
      <w:pPr>
        <w:tabs>
          <w:tab w:val="left" w:pos="142"/>
        </w:tabs>
        <w:ind w:left="0" w:firstLine="0"/>
      </w:pPr>
      <w:r w:rsidRPr="007E4DA1">
        <w:t xml:space="preserve">Po rozpoczęciu leczenia eltrombopagiem dawkę </w:t>
      </w:r>
      <w:r w:rsidR="00620EA4" w:rsidRPr="007E4DA1">
        <w:t>trzeba</w:t>
      </w:r>
      <w:r w:rsidRPr="007E4DA1">
        <w:t xml:space="preserve"> dostosować tak, aby osiągnąć i utrzymać liczbę płytek ≥50 000/µl, konieczną dla zmniejszenia ryzyka krwawienia. Nie wolno przekraczać dawki 75 mg na dobę.</w:t>
      </w:r>
    </w:p>
    <w:p w14:paraId="48565A11" w14:textId="77777777" w:rsidR="00A350DA" w:rsidRPr="007E4DA1" w:rsidRDefault="00A350DA" w:rsidP="001A6584">
      <w:pPr>
        <w:tabs>
          <w:tab w:val="left" w:pos="142"/>
        </w:tabs>
        <w:ind w:left="0" w:firstLine="0"/>
        <w:rPr>
          <w:szCs w:val="22"/>
        </w:rPr>
      </w:pPr>
    </w:p>
    <w:p w14:paraId="33CA0F79" w14:textId="33AE1058" w:rsidR="00A350DA" w:rsidRPr="007E4DA1" w:rsidRDefault="00A350DA" w:rsidP="001A6584">
      <w:pPr>
        <w:tabs>
          <w:tab w:val="left" w:pos="142"/>
        </w:tabs>
        <w:ind w:left="0" w:firstLine="0"/>
      </w:pPr>
      <w:r w:rsidRPr="007E4DA1">
        <w:t xml:space="preserve">Podczas leczenia eltrombopagiem należy regularnie kontrolować kliniczne parametry hematologiczne i parametry czynności wątroby oraz modyfikować dawkę eltrombopagu w oparciu o liczbę płytek krwi, zgodnie z informacjami zawartymi w </w:t>
      </w:r>
      <w:r w:rsidR="00C00A76">
        <w:t>t</w:t>
      </w:r>
      <w:r w:rsidRPr="007E4DA1">
        <w:t>abeli 1. W czasie leczenia eltrombopagiem należy co tydzień oznaczać pełną morfologię krwi, włącznie z liczbą płytek krwi oraz rozmazem krwi obwodowej, aż do osiągnięcia stabilnej liczby płytek krwi (≥50 000/µl przez co najmniej 4</w:t>
      </w:r>
      <w:r w:rsidR="00995B83">
        <w:t> </w:t>
      </w:r>
      <w:r w:rsidRPr="007E4DA1">
        <w:t>tygodnie). Od tego momentu pełną morfologię, włącznie z liczbą płytek krwi oraz rozmazem krwi obwodowej należy wykonywać raz w miesiącu.</w:t>
      </w:r>
    </w:p>
    <w:p w14:paraId="69C071DE" w14:textId="77777777" w:rsidR="00A350DA" w:rsidRPr="007E4DA1" w:rsidRDefault="00A350DA" w:rsidP="001A6584">
      <w:pPr>
        <w:tabs>
          <w:tab w:val="left" w:pos="142"/>
        </w:tabs>
        <w:ind w:left="0" w:firstLine="0"/>
        <w:rPr>
          <w:szCs w:val="22"/>
        </w:rPr>
      </w:pPr>
    </w:p>
    <w:p w14:paraId="2C58EF7A" w14:textId="77777777" w:rsidR="00041A08" w:rsidRPr="00041A08" w:rsidRDefault="00A350DA" w:rsidP="001A6584">
      <w:pPr>
        <w:pStyle w:val="Caption"/>
        <w:keepNext/>
        <w:spacing w:before="0" w:after="0"/>
        <w:ind w:left="1134" w:hanging="1134"/>
        <w:rPr>
          <w:b w:val="0"/>
          <w:sz w:val="22"/>
          <w:szCs w:val="22"/>
          <w:lang w:val="pl-PL"/>
        </w:rPr>
      </w:pPr>
      <w:r w:rsidRPr="007E4DA1">
        <w:rPr>
          <w:sz w:val="22"/>
          <w:szCs w:val="22"/>
          <w:lang w:val="pl-PL"/>
        </w:rPr>
        <w:t>Tabela 1</w:t>
      </w:r>
      <w:r w:rsidR="00D00EC2" w:rsidRPr="007E4DA1">
        <w:rPr>
          <w:lang w:val="pl-PL"/>
        </w:rPr>
        <w:tab/>
      </w:r>
      <w:r w:rsidRPr="007E4DA1">
        <w:rPr>
          <w:sz w:val="22"/>
          <w:szCs w:val="22"/>
          <w:lang w:val="pl-PL"/>
        </w:rPr>
        <w:t>Dostosowanie dawki eltrombopagu u pacjentów z pierwotną małopłytkowością immunologiczną</w:t>
      </w:r>
    </w:p>
    <w:p w14:paraId="3F331C90" w14:textId="40FC5BC2" w:rsidR="00A350DA" w:rsidRPr="007E4DA1" w:rsidRDefault="00A350DA" w:rsidP="001A6584">
      <w:pPr>
        <w:keepNext/>
        <w:tabs>
          <w:tab w:val="left" w:pos="142"/>
        </w:tabs>
        <w:ind w:left="0" w:firstLine="0"/>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A350DA" w:rsidRPr="007E4DA1" w14:paraId="48E90F07" w14:textId="77777777" w:rsidTr="00EE3105">
        <w:trPr>
          <w:cantSplit/>
        </w:trPr>
        <w:tc>
          <w:tcPr>
            <w:tcW w:w="3228" w:type="dxa"/>
          </w:tcPr>
          <w:p w14:paraId="26DB9DE6" w14:textId="77777777" w:rsidR="00A350DA" w:rsidRPr="007E4DA1" w:rsidRDefault="00A350DA" w:rsidP="00EE3105">
            <w:pPr>
              <w:keepNext/>
              <w:tabs>
                <w:tab w:val="left" w:pos="142"/>
              </w:tabs>
              <w:ind w:left="0" w:firstLine="0"/>
              <w:jc w:val="center"/>
              <w:rPr>
                <w:szCs w:val="22"/>
              </w:rPr>
            </w:pPr>
            <w:r w:rsidRPr="007E4DA1">
              <w:rPr>
                <w:szCs w:val="22"/>
              </w:rPr>
              <w:t>Liczba płytek krwi</w:t>
            </w:r>
          </w:p>
        </w:tc>
        <w:tc>
          <w:tcPr>
            <w:tcW w:w="5880" w:type="dxa"/>
          </w:tcPr>
          <w:p w14:paraId="5245555F" w14:textId="3C4D9A3F" w:rsidR="00A350DA" w:rsidRPr="007E4DA1" w:rsidRDefault="00A350DA" w:rsidP="00EE3105">
            <w:pPr>
              <w:keepNext/>
              <w:tabs>
                <w:tab w:val="left" w:pos="142"/>
              </w:tabs>
              <w:ind w:left="0" w:firstLine="0"/>
              <w:jc w:val="center"/>
              <w:rPr>
                <w:szCs w:val="22"/>
              </w:rPr>
            </w:pPr>
            <w:r w:rsidRPr="007E4DA1">
              <w:rPr>
                <w:szCs w:val="22"/>
              </w:rPr>
              <w:t>Dostosowanie dawki lub inne działania</w:t>
            </w:r>
          </w:p>
        </w:tc>
      </w:tr>
      <w:tr w:rsidR="00A350DA" w:rsidRPr="007E4DA1" w14:paraId="6D59606E" w14:textId="77777777" w:rsidTr="00EE3105">
        <w:trPr>
          <w:cantSplit/>
        </w:trPr>
        <w:tc>
          <w:tcPr>
            <w:tcW w:w="3228" w:type="dxa"/>
          </w:tcPr>
          <w:p w14:paraId="2FF26080" w14:textId="77777777" w:rsidR="00A350DA" w:rsidRPr="007E4DA1" w:rsidRDefault="00A350DA" w:rsidP="001A6584">
            <w:pPr>
              <w:keepNext/>
              <w:tabs>
                <w:tab w:val="left" w:pos="142"/>
              </w:tabs>
              <w:ind w:left="0" w:firstLine="0"/>
              <w:rPr>
                <w:szCs w:val="22"/>
              </w:rPr>
            </w:pPr>
            <w:r w:rsidRPr="007E4DA1">
              <w:rPr>
                <w:szCs w:val="22"/>
              </w:rPr>
              <w:t>&lt;50 000/µl po upływie co najmniej 2 tygodni leczenia</w:t>
            </w:r>
          </w:p>
        </w:tc>
        <w:tc>
          <w:tcPr>
            <w:tcW w:w="5880" w:type="dxa"/>
          </w:tcPr>
          <w:p w14:paraId="006CE9FE" w14:textId="77777777" w:rsidR="00A350DA" w:rsidRPr="007E4DA1" w:rsidRDefault="00A350DA" w:rsidP="001A6584">
            <w:pPr>
              <w:keepNext/>
              <w:tabs>
                <w:tab w:val="left" w:pos="142"/>
              </w:tabs>
              <w:ind w:left="0" w:firstLine="0"/>
              <w:rPr>
                <w:szCs w:val="22"/>
              </w:rPr>
            </w:pPr>
            <w:r w:rsidRPr="007E4DA1">
              <w:t>Zwiększyć dawkę dobową o 25 mg do maksymalnej dawki 75 mg/dobę</w:t>
            </w:r>
            <w:r w:rsidR="001A2BDF" w:rsidRPr="007E4DA1">
              <w:t>*</w:t>
            </w:r>
            <w:r w:rsidRPr="007E4DA1">
              <w:t>.</w:t>
            </w:r>
          </w:p>
        </w:tc>
      </w:tr>
      <w:tr w:rsidR="00A350DA" w:rsidRPr="007E4DA1" w14:paraId="3CA90CCC" w14:textId="77777777" w:rsidTr="00EE3105">
        <w:trPr>
          <w:cantSplit/>
        </w:trPr>
        <w:tc>
          <w:tcPr>
            <w:tcW w:w="3228" w:type="dxa"/>
          </w:tcPr>
          <w:p w14:paraId="18D54DC8" w14:textId="77777777" w:rsidR="00A350DA" w:rsidRPr="007E4DA1" w:rsidRDefault="00A350DA" w:rsidP="001A6584">
            <w:pPr>
              <w:keepNext/>
              <w:tabs>
                <w:tab w:val="left" w:pos="142"/>
              </w:tabs>
              <w:ind w:left="0" w:firstLine="0"/>
              <w:rPr>
                <w:szCs w:val="22"/>
              </w:rPr>
            </w:pPr>
            <w:r w:rsidRPr="007E4DA1">
              <w:rPr>
                <w:szCs w:val="22"/>
              </w:rPr>
              <w:sym w:font="Symbol" w:char="F0B3"/>
            </w:r>
            <w:r w:rsidRPr="007E4DA1">
              <w:rPr>
                <w:szCs w:val="22"/>
              </w:rPr>
              <w:t xml:space="preserve">50 000/µl do </w:t>
            </w:r>
            <w:r w:rsidRPr="007E4DA1">
              <w:rPr>
                <w:szCs w:val="22"/>
              </w:rPr>
              <w:sym w:font="Symbol" w:char="F0A3"/>
            </w:r>
            <w:r w:rsidRPr="007E4DA1">
              <w:rPr>
                <w:szCs w:val="22"/>
              </w:rPr>
              <w:t>150 000/µl</w:t>
            </w:r>
          </w:p>
        </w:tc>
        <w:tc>
          <w:tcPr>
            <w:tcW w:w="5880" w:type="dxa"/>
          </w:tcPr>
          <w:p w14:paraId="4A15AD60" w14:textId="77777777" w:rsidR="00A350DA" w:rsidRPr="007E4DA1" w:rsidRDefault="00A350DA" w:rsidP="001A6584">
            <w:pPr>
              <w:keepNext/>
              <w:tabs>
                <w:tab w:val="left" w:pos="142"/>
              </w:tabs>
              <w:ind w:left="0" w:firstLine="0"/>
              <w:rPr>
                <w:szCs w:val="22"/>
              </w:rPr>
            </w:pPr>
            <w:r w:rsidRPr="007E4DA1">
              <w:t>Stosować najmniejszą dawkę eltrombopagu i (lub) jednocześnie stosować inne produkty lecznicze używane w leczeniu pierwotnej małopłytkowości immunologicznej</w:t>
            </w:r>
            <w:r w:rsidRPr="007E4DA1">
              <w:rPr>
                <w:szCs w:val="22"/>
              </w:rPr>
              <w:t>,</w:t>
            </w:r>
            <w:r w:rsidRPr="007E4DA1">
              <w:t xml:space="preserve"> w celu utrzymania liczby płytek krwi zapobiegającej lub zmniejszającej krwawienie.</w:t>
            </w:r>
          </w:p>
        </w:tc>
      </w:tr>
      <w:tr w:rsidR="00A350DA" w:rsidRPr="007E4DA1" w14:paraId="0FCD580C" w14:textId="77777777" w:rsidTr="00EE3105">
        <w:trPr>
          <w:cantSplit/>
        </w:trPr>
        <w:tc>
          <w:tcPr>
            <w:tcW w:w="3228" w:type="dxa"/>
          </w:tcPr>
          <w:p w14:paraId="3C5CCE8B" w14:textId="77777777" w:rsidR="00A350DA" w:rsidRPr="007E4DA1" w:rsidRDefault="00A350DA" w:rsidP="001A6584">
            <w:pPr>
              <w:keepNext/>
              <w:tabs>
                <w:tab w:val="left" w:pos="142"/>
              </w:tabs>
              <w:ind w:left="0" w:firstLine="0"/>
              <w:rPr>
                <w:szCs w:val="22"/>
              </w:rPr>
            </w:pPr>
            <w:r w:rsidRPr="007E4DA1">
              <w:rPr>
                <w:szCs w:val="22"/>
              </w:rPr>
              <w:t xml:space="preserve">&gt;150 000/µl do </w:t>
            </w:r>
            <w:r w:rsidRPr="007E4DA1">
              <w:rPr>
                <w:szCs w:val="22"/>
              </w:rPr>
              <w:sym w:font="Symbol" w:char="F0A3"/>
            </w:r>
            <w:r w:rsidRPr="007E4DA1">
              <w:rPr>
                <w:szCs w:val="22"/>
              </w:rPr>
              <w:t>250 000/µl</w:t>
            </w:r>
          </w:p>
        </w:tc>
        <w:tc>
          <w:tcPr>
            <w:tcW w:w="5880" w:type="dxa"/>
          </w:tcPr>
          <w:p w14:paraId="4F6C7B91" w14:textId="77777777" w:rsidR="00A350DA" w:rsidRPr="007E4DA1" w:rsidRDefault="00A350DA" w:rsidP="001A6584">
            <w:pPr>
              <w:keepNext/>
              <w:tabs>
                <w:tab w:val="left" w:pos="142"/>
              </w:tabs>
              <w:ind w:left="0" w:firstLine="0"/>
              <w:rPr>
                <w:szCs w:val="22"/>
              </w:rPr>
            </w:pPr>
            <w:r w:rsidRPr="007E4DA1">
              <w:t>Zmniejszyć dawkę dobową o 25 mg. Odczekać 2 tygodnie, aby ocenić efekty tej i kolejnych korekt dawki</w:t>
            </w:r>
            <w:r w:rsidR="001A2BDF" w:rsidRPr="007E4DA1">
              <w:rPr>
                <w:vertAlign w:val="superscript"/>
              </w:rPr>
              <w:t>♦</w:t>
            </w:r>
            <w:r w:rsidRPr="007E4DA1">
              <w:t>.</w:t>
            </w:r>
          </w:p>
        </w:tc>
      </w:tr>
      <w:tr w:rsidR="00A350DA" w:rsidRPr="007E4DA1" w14:paraId="21240293" w14:textId="77777777" w:rsidTr="00EE3105">
        <w:trPr>
          <w:cantSplit/>
        </w:trPr>
        <w:tc>
          <w:tcPr>
            <w:tcW w:w="3228" w:type="dxa"/>
          </w:tcPr>
          <w:p w14:paraId="53B78D30" w14:textId="77777777" w:rsidR="00A350DA" w:rsidRPr="007E4DA1" w:rsidRDefault="00A350DA" w:rsidP="001A6584">
            <w:pPr>
              <w:keepNext/>
              <w:tabs>
                <w:tab w:val="left" w:pos="142"/>
              </w:tabs>
              <w:ind w:left="0" w:firstLine="0"/>
              <w:rPr>
                <w:szCs w:val="22"/>
              </w:rPr>
            </w:pPr>
            <w:r w:rsidRPr="007E4DA1">
              <w:rPr>
                <w:szCs w:val="22"/>
              </w:rPr>
              <w:t>&gt;250 000/µl</w:t>
            </w:r>
          </w:p>
        </w:tc>
        <w:tc>
          <w:tcPr>
            <w:tcW w:w="5880" w:type="dxa"/>
          </w:tcPr>
          <w:p w14:paraId="43B0598E" w14:textId="77777777" w:rsidR="00A350DA" w:rsidRPr="007E4DA1" w:rsidRDefault="00A350DA" w:rsidP="001A6584">
            <w:pPr>
              <w:keepNext/>
              <w:tabs>
                <w:tab w:val="left" w:pos="142"/>
              </w:tabs>
              <w:ind w:left="0" w:firstLine="0"/>
            </w:pPr>
            <w:r w:rsidRPr="007E4DA1">
              <w:t>Przerwać stosowanie eltrombopagu; zwiększyć częstość kontrolowania liczby płytek krwi do dwóch razy w tygodniu.</w:t>
            </w:r>
          </w:p>
          <w:p w14:paraId="5F6884BC" w14:textId="77777777" w:rsidR="00A350DA" w:rsidRPr="007E4DA1" w:rsidRDefault="00A350DA" w:rsidP="001A6584">
            <w:pPr>
              <w:keepNext/>
              <w:tabs>
                <w:tab w:val="left" w:pos="142"/>
              </w:tabs>
              <w:ind w:left="0" w:firstLine="0"/>
              <w:rPr>
                <w:szCs w:val="22"/>
              </w:rPr>
            </w:pPr>
          </w:p>
          <w:p w14:paraId="47B90C91" w14:textId="77777777" w:rsidR="00A350DA" w:rsidRPr="007E4DA1" w:rsidRDefault="00A350DA" w:rsidP="001A6584">
            <w:pPr>
              <w:keepNext/>
              <w:tabs>
                <w:tab w:val="left" w:pos="142"/>
              </w:tabs>
              <w:ind w:left="0" w:firstLine="0"/>
              <w:rPr>
                <w:szCs w:val="22"/>
              </w:rPr>
            </w:pPr>
            <w:r w:rsidRPr="007E4DA1">
              <w:t>Kiedy liczba płytek krwi osiągnie wartość ≤100 000/µl, ponownie rozpocząć leczenie, stosując dawkę dobową zmniejszoną o 25 mg.</w:t>
            </w:r>
          </w:p>
        </w:tc>
      </w:tr>
      <w:tr w:rsidR="00B67F6E" w:rsidRPr="007E4DA1" w14:paraId="65F77E8D" w14:textId="77777777" w:rsidTr="00EE3105">
        <w:trPr>
          <w:cantSplit/>
        </w:trPr>
        <w:tc>
          <w:tcPr>
            <w:tcW w:w="9108" w:type="dxa"/>
            <w:gridSpan w:val="2"/>
          </w:tcPr>
          <w:p w14:paraId="26C74A08" w14:textId="77777777" w:rsidR="00B67F6E" w:rsidRPr="0090150C" w:rsidRDefault="00B67F6E" w:rsidP="001A6584">
            <w:pPr>
              <w:rPr>
                <w:sz w:val="20"/>
                <w:szCs w:val="20"/>
              </w:rPr>
            </w:pPr>
            <w:r w:rsidRPr="0090150C">
              <w:rPr>
                <w:sz w:val="20"/>
                <w:szCs w:val="20"/>
              </w:rPr>
              <w:t>*</w:t>
            </w:r>
            <w:r w:rsidRPr="0090150C">
              <w:rPr>
                <w:sz w:val="20"/>
                <w:szCs w:val="20"/>
              </w:rPr>
              <w:tab/>
              <w:t>U pacjentów przyjmujących 25 mg eltrombopagu co drugi dzień, dawkę należy zwiększyć do 25 mg podawanych raz na dobę.</w:t>
            </w:r>
          </w:p>
          <w:p w14:paraId="380654FF" w14:textId="7CC30DAC" w:rsidR="00B67F6E" w:rsidRPr="0090150C" w:rsidRDefault="00B67F6E" w:rsidP="0090150C">
            <w:pPr>
              <w:rPr>
                <w:sz w:val="20"/>
                <w:szCs w:val="20"/>
              </w:rPr>
            </w:pPr>
            <w:r w:rsidRPr="0090150C">
              <w:rPr>
                <w:sz w:val="20"/>
                <w:szCs w:val="20"/>
              </w:rPr>
              <w:t>♦</w:t>
            </w:r>
            <w:r w:rsidRPr="0090150C">
              <w:rPr>
                <w:sz w:val="20"/>
                <w:szCs w:val="20"/>
              </w:rPr>
              <w:tab/>
              <w:t>U pacjentów przyjmujących 25 mg eltrombopagu raz na dobę, należy rozważyć podawanie dawki 12,5 mg raz na dobę lub dawki 25 mg raz na dwie doby.</w:t>
            </w:r>
          </w:p>
        </w:tc>
      </w:tr>
    </w:tbl>
    <w:p w14:paraId="176B8F33" w14:textId="77777777" w:rsidR="00A350DA" w:rsidRPr="007E4DA1" w:rsidRDefault="00A350DA" w:rsidP="001A6584">
      <w:pPr>
        <w:tabs>
          <w:tab w:val="left" w:pos="142"/>
        </w:tabs>
        <w:ind w:left="0" w:firstLine="0"/>
        <w:rPr>
          <w:szCs w:val="22"/>
        </w:rPr>
      </w:pPr>
    </w:p>
    <w:p w14:paraId="14614623" w14:textId="77777777" w:rsidR="00A350DA" w:rsidRPr="007E4DA1" w:rsidRDefault="00A350DA" w:rsidP="001A6584">
      <w:pPr>
        <w:tabs>
          <w:tab w:val="left" w:pos="142"/>
        </w:tabs>
        <w:ind w:left="0" w:firstLine="0"/>
        <w:rPr>
          <w:szCs w:val="22"/>
        </w:rPr>
      </w:pPr>
      <w:r w:rsidRPr="007E4DA1">
        <w:rPr>
          <w:szCs w:val="22"/>
        </w:rPr>
        <w:lastRenderedPageBreak/>
        <w:t xml:space="preserve">Eltrombopag można stosować wraz z innymi produktami leczniczymi </w:t>
      </w:r>
      <w:r w:rsidRPr="007E4DA1">
        <w:t>używanymi w leczeniu pierwotnej małopłytkowości immunologicznej</w:t>
      </w:r>
      <w:r w:rsidRPr="007E4DA1">
        <w:rPr>
          <w:szCs w:val="22"/>
        </w:rPr>
        <w:t>. Należy dostosować dawkowanie pozostałych produktów leczniczych tak, aby zapobiec nadmiernemu zwiększeniu liczby płytek krwi podczas leczenia eltrombopagiem.</w:t>
      </w:r>
    </w:p>
    <w:p w14:paraId="72CC5F70" w14:textId="77777777" w:rsidR="00A350DA" w:rsidRPr="007E4DA1" w:rsidRDefault="00A350DA" w:rsidP="001A6584">
      <w:pPr>
        <w:pStyle w:val="CommentText"/>
        <w:tabs>
          <w:tab w:val="clear" w:pos="567"/>
          <w:tab w:val="left" w:pos="142"/>
        </w:tabs>
        <w:spacing w:line="240" w:lineRule="auto"/>
        <w:rPr>
          <w:sz w:val="22"/>
          <w:szCs w:val="22"/>
          <w:lang w:val="pl-PL"/>
        </w:rPr>
      </w:pPr>
    </w:p>
    <w:p w14:paraId="25764AC5" w14:textId="77777777" w:rsidR="00A350DA" w:rsidRPr="007E4DA1" w:rsidRDefault="00A350DA" w:rsidP="001A6584">
      <w:pPr>
        <w:tabs>
          <w:tab w:val="left" w:pos="142"/>
        </w:tabs>
        <w:ind w:left="0" w:firstLine="0"/>
      </w:pPr>
      <w:r w:rsidRPr="007E4DA1">
        <w:t xml:space="preserve">Po dostosowaniu dawki </w:t>
      </w:r>
      <w:r w:rsidR="00620EA4" w:rsidRPr="007E4DA1">
        <w:t>konieczn</w:t>
      </w:r>
      <w:r w:rsidR="00606CD3" w:rsidRPr="007E4DA1">
        <w:t>e jest obserwowanie</w:t>
      </w:r>
      <w:r w:rsidRPr="007E4DA1">
        <w:t xml:space="preserve"> przez co najmniej 2</w:t>
      </w:r>
      <w:r w:rsidR="00C11D69" w:rsidRPr="007E4DA1">
        <w:t> </w:t>
      </w:r>
      <w:r w:rsidRPr="007E4DA1">
        <w:t>tygodnie wpływ</w:t>
      </w:r>
      <w:r w:rsidR="00606CD3" w:rsidRPr="007E4DA1">
        <w:t>u</w:t>
      </w:r>
      <w:r w:rsidRPr="007E4DA1">
        <w:t xml:space="preserve"> tej zmiany na liczbę płytek krwi u pacjenta. Po tym czasie można rozważyć konieczność dalszego dostosowania dawki.</w:t>
      </w:r>
    </w:p>
    <w:p w14:paraId="461F1D71" w14:textId="77777777" w:rsidR="00A350DA" w:rsidRPr="007E4DA1" w:rsidRDefault="00A350DA" w:rsidP="001A6584">
      <w:pPr>
        <w:tabs>
          <w:tab w:val="left" w:pos="142"/>
        </w:tabs>
        <w:ind w:left="0" w:firstLine="0"/>
      </w:pPr>
    </w:p>
    <w:p w14:paraId="32B94288" w14:textId="77777777" w:rsidR="00A350DA" w:rsidRPr="007E4DA1" w:rsidRDefault="00A350DA" w:rsidP="001A6584">
      <w:pPr>
        <w:tabs>
          <w:tab w:val="left" w:pos="142"/>
        </w:tabs>
        <w:ind w:left="0" w:firstLine="0"/>
      </w:pPr>
      <w:r w:rsidRPr="007E4DA1">
        <w:t>Standardowe dostosowanie dawki eltrombopagu, zarówno w przypadku zwiększenia dawki, jak i jej zmniejszenia, wynosi 25 mg raz na dobę.</w:t>
      </w:r>
    </w:p>
    <w:p w14:paraId="1D483F5D" w14:textId="77777777" w:rsidR="00041A08" w:rsidRPr="00041A08" w:rsidRDefault="00041A08" w:rsidP="001A6584">
      <w:pPr>
        <w:tabs>
          <w:tab w:val="left" w:pos="142"/>
        </w:tabs>
        <w:ind w:left="0" w:firstLine="0"/>
      </w:pPr>
    </w:p>
    <w:p w14:paraId="3984614E" w14:textId="77777777" w:rsidR="00A350DA" w:rsidRPr="007E4DA1" w:rsidRDefault="00A350DA" w:rsidP="001A6584">
      <w:pPr>
        <w:keepNext/>
        <w:tabs>
          <w:tab w:val="left" w:pos="142"/>
        </w:tabs>
        <w:ind w:left="0" w:firstLine="0"/>
        <w:rPr>
          <w:szCs w:val="22"/>
        </w:rPr>
      </w:pPr>
      <w:r w:rsidRPr="007E4DA1">
        <w:rPr>
          <w:i/>
        </w:rPr>
        <w:t>Przerwanie stosowania leku</w:t>
      </w:r>
    </w:p>
    <w:p w14:paraId="2695BB7D" w14:textId="77777777" w:rsidR="00A350DA" w:rsidRPr="007E4DA1" w:rsidRDefault="00A350DA" w:rsidP="001A6584">
      <w:pPr>
        <w:pStyle w:val="Default"/>
        <w:tabs>
          <w:tab w:val="left" w:pos="142"/>
        </w:tabs>
        <w:rPr>
          <w:sz w:val="22"/>
          <w:szCs w:val="22"/>
          <w:lang w:val="pl-PL"/>
        </w:rPr>
      </w:pPr>
      <w:r w:rsidRPr="007E4DA1">
        <w:rPr>
          <w:sz w:val="22"/>
          <w:szCs w:val="22"/>
          <w:lang w:val="pl-PL"/>
        </w:rPr>
        <w:t xml:space="preserve">Leczenie eltrombopagiem należy przerwać, jeśli po </w:t>
      </w:r>
      <w:r w:rsidR="00081AA9" w:rsidRPr="007E4DA1">
        <w:rPr>
          <w:sz w:val="22"/>
          <w:szCs w:val="22"/>
          <w:lang w:val="pl-PL"/>
        </w:rPr>
        <w:t>4</w:t>
      </w:r>
      <w:r w:rsidR="00771658" w:rsidRPr="007E4DA1">
        <w:rPr>
          <w:sz w:val="22"/>
          <w:szCs w:val="22"/>
          <w:lang w:val="pl-PL"/>
        </w:rPr>
        <w:t> </w:t>
      </w:r>
      <w:r w:rsidRPr="007E4DA1">
        <w:rPr>
          <w:sz w:val="22"/>
          <w:szCs w:val="22"/>
          <w:lang w:val="pl-PL"/>
        </w:rPr>
        <w:t>tygodniach jego podawania w dawce 75 mg na dobę liczba płytek krwi nie zwiększy się do poziomu, który pozwala uniknąć klinicznie istotnego krwawienia.</w:t>
      </w:r>
    </w:p>
    <w:p w14:paraId="59466F31" w14:textId="77777777" w:rsidR="00A350DA" w:rsidRPr="007E4DA1" w:rsidRDefault="00A350DA" w:rsidP="001A6584">
      <w:pPr>
        <w:pStyle w:val="CommentText"/>
        <w:tabs>
          <w:tab w:val="clear" w:pos="567"/>
          <w:tab w:val="left" w:pos="142"/>
        </w:tabs>
        <w:spacing w:line="240" w:lineRule="auto"/>
        <w:rPr>
          <w:sz w:val="22"/>
          <w:szCs w:val="22"/>
          <w:lang w:val="pl-PL"/>
        </w:rPr>
      </w:pPr>
    </w:p>
    <w:p w14:paraId="7E24A142" w14:textId="77777777" w:rsidR="00A350DA" w:rsidRPr="007E4DA1" w:rsidRDefault="00A350DA" w:rsidP="001A6584">
      <w:pPr>
        <w:pStyle w:val="Default"/>
        <w:tabs>
          <w:tab w:val="left" w:pos="142"/>
        </w:tabs>
        <w:rPr>
          <w:sz w:val="22"/>
          <w:szCs w:val="22"/>
          <w:lang w:val="pl-PL"/>
        </w:rPr>
      </w:pPr>
      <w:r w:rsidRPr="007E4DA1">
        <w:rPr>
          <w:sz w:val="22"/>
          <w:szCs w:val="22"/>
          <w:lang w:val="pl-PL"/>
        </w:rPr>
        <w:t xml:space="preserve">Okresowo należy wykonywać ocenę stanu klinicznego pacjentów, a o kontynuacji leczenia powinien decydować indywidualnie w każdym przypadku lekarz prowadzący. </w:t>
      </w:r>
      <w:r w:rsidR="003423EA" w:rsidRPr="007E4DA1">
        <w:rPr>
          <w:sz w:val="22"/>
          <w:szCs w:val="22"/>
          <w:lang w:val="pl-PL"/>
        </w:rPr>
        <w:t xml:space="preserve">U pacjentów, u których nie wykonano splenektomii, powinno to obejmować ocenę w odniesieniu do splenektomii. </w:t>
      </w:r>
      <w:r w:rsidRPr="007E4DA1">
        <w:rPr>
          <w:sz w:val="22"/>
          <w:szCs w:val="22"/>
          <w:lang w:val="pl-PL"/>
        </w:rPr>
        <w:t>Istnieje prawdopodobieństwo, że po przerwaniu leczenia nastąpi nawrót małopłytkowości (patrz punkt</w:t>
      </w:r>
      <w:r w:rsidR="00C11D69" w:rsidRPr="007E4DA1">
        <w:rPr>
          <w:sz w:val="22"/>
          <w:szCs w:val="22"/>
          <w:lang w:val="pl-PL"/>
        </w:rPr>
        <w:t> </w:t>
      </w:r>
      <w:r w:rsidRPr="007E4DA1">
        <w:rPr>
          <w:sz w:val="22"/>
          <w:szCs w:val="22"/>
          <w:lang w:val="pl-PL"/>
        </w:rPr>
        <w:t>4.4).</w:t>
      </w:r>
    </w:p>
    <w:p w14:paraId="5E4B67D9" w14:textId="77777777" w:rsidR="00A350DA" w:rsidRPr="007E4DA1" w:rsidRDefault="00A350DA" w:rsidP="001A6584">
      <w:pPr>
        <w:pStyle w:val="Default"/>
        <w:tabs>
          <w:tab w:val="left" w:pos="142"/>
        </w:tabs>
        <w:rPr>
          <w:sz w:val="22"/>
          <w:szCs w:val="22"/>
          <w:lang w:val="pl-PL"/>
        </w:rPr>
      </w:pPr>
    </w:p>
    <w:p w14:paraId="41E413F4" w14:textId="77777777" w:rsidR="00041A08" w:rsidRPr="00041A08" w:rsidRDefault="00A350DA" w:rsidP="001A6584">
      <w:pPr>
        <w:keepNext/>
        <w:tabs>
          <w:tab w:val="left" w:pos="142"/>
        </w:tabs>
        <w:ind w:left="0" w:firstLine="0"/>
      </w:pPr>
      <w:r w:rsidRPr="007E4DA1">
        <w:rPr>
          <w:i/>
          <w:u w:val="single"/>
        </w:rPr>
        <w:t>Małopłytkowość związana z przewlekłym wirusowym zapaleniem wątroby typu C (WZW C)</w:t>
      </w:r>
    </w:p>
    <w:p w14:paraId="438FA043" w14:textId="77B3A594" w:rsidR="00A350DA" w:rsidRPr="007E4DA1" w:rsidRDefault="00A350DA" w:rsidP="001A6584">
      <w:pPr>
        <w:keepNext/>
        <w:tabs>
          <w:tab w:val="left" w:pos="142"/>
        </w:tabs>
        <w:ind w:left="0" w:firstLine="0"/>
      </w:pPr>
    </w:p>
    <w:p w14:paraId="7803F38B" w14:textId="77777777" w:rsidR="00A350DA" w:rsidRPr="007E4DA1" w:rsidRDefault="00A350DA" w:rsidP="001A6584">
      <w:pPr>
        <w:tabs>
          <w:tab w:val="left" w:pos="142"/>
          <w:tab w:val="left" w:pos="7938"/>
        </w:tabs>
        <w:ind w:left="0" w:firstLine="0"/>
      </w:pPr>
      <w:r w:rsidRPr="007E4DA1">
        <w:t>W razie podawania eltrombopagu w skojarzeniu z lekami przeciwwirusowymi, należy zapoznać się z pełnymi charakterystykami stosowanych jednocześnie produktów leczniczych, w celu uzyskania kompletnej informacji odnośnie bezpieczeństwa stosowania lub przeciwwskazań.</w:t>
      </w:r>
    </w:p>
    <w:p w14:paraId="4AA30718" w14:textId="77777777" w:rsidR="00A350DA" w:rsidRPr="007E4DA1" w:rsidRDefault="00A350DA" w:rsidP="001A6584">
      <w:pPr>
        <w:tabs>
          <w:tab w:val="left" w:pos="142"/>
        </w:tabs>
        <w:ind w:left="0" w:firstLine="0"/>
      </w:pPr>
    </w:p>
    <w:p w14:paraId="6B53F743" w14:textId="77777777" w:rsidR="00A350DA" w:rsidRPr="007E4DA1" w:rsidRDefault="00A350DA" w:rsidP="001A6584">
      <w:pPr>
        <w:tabs>
          <w:tab w:val="left" w:pos="142"/>
        </w:tabs>
        <w:ind w:left="0" w:firstLine="0"/>
      </w:pPr>
      <w:r w:rsidRPr="007E4DA1">
        <w:t>W badaniach klinicznych liczba płytek krwi zazwyczaj zaczynała zwiększać się w ciągu 1 tygodnia od rozpoczęcia stosowania eltrombopagu. Celem leczenia eltrombopagiem powinno być osiągnięcie minimalnego poziomu liczby płytek krwi wymaganego do rozpoczęcia leczenia przeciwwirusowego, zgodnie z zaleceniami dla praktyki klinicznej. Podczas leczenia przeciwwirusowego celem leczenia powinno być utrzymanie liczby płytek krwi na poziomie, który zapobiega ryzyku krwawienia, zwykle około 50 000/μl - 75 000/μl. Należy unikać liczby płytek krwi &gt;75 000/μl. Należy stosować najmniejszą dawkę eltrombopagu konieczną do osiągnięcia poziomu docelowego. Dostosowanie dawki oparte jest na liczbie płytek krwi.</w:t>
      </w:r>
    </w:p>
    <w:p w14:paraId="0F41B37D" w14:textId="77777777" w:rsidR="00A350DA" w:rsidRPr="007E4DA1" w:rsidRDefault="00A350DA" w:rsidP="001A6584">
      <w:pPr>
        <w:tabs>
          <w:tab w:val="left" w:pos="142"/>
        </w:tabs>
        <w:ind w:left="0" w:firstLine="0"/>
      </w:pPr>
    </w:p>
    <w:p w14:paraId="668F767C" w14:textId="77777777" w:rsidR="00A350DA" w:rsidRPr="007E4DA1" w:rsidRDefault="00A350DA" w:rsidP="001A6584">
      <w:pPr>
        <w:keepNext/>
        <w:tabs>
          <w:tab w:val="left" w:pos="142"/>
        </w:tabs>
        <w:ind w:left="0" w:firstLine="0"/>
      </w:pPr>
      <w:r w:rsidRPr="007E4DA1">
        <w:rPr>
          <w:i/>
        </w:rPr>
        <w:t>Wstępny schemat dawkowania</w:t>
      </w:r>
    </w:p>
    <w:p w14:paraId="28C1561B" w14:textId="77777777" w:rsidR="00A350DA" w:rsidRPr="007E4DA1" w:rsidRDefault="00A350DA" w:rsidP="001A6584">
      <w:pPr>
        <w:tabs>
          <w:tab w:val="left" w:pos="142"/>
        </w:tabs>
        <w:ind w:left="0" w:firstLine="0"/>
      </w:pPr>
      <w:r w:rsidRPr="007E4DA1">
        <w:t xml:space="preserve">Leczenie eltrombopagiem należy rozpoczynać od dawki 25 mg raz na dobę. Nie ma potrzeby dostosowania dawki u pacjentów zakażonych wirusem WZW C pochodzenia </w:t>
      </w:r>
      <w:r w:rsidR="009C195E" w:rsidRPr="007E4DA1">
        <w:t>wschodnio-/południowo-wschodnio</w:t>
      </w:r>
      <w:r w:rsidRPr="007E4DA1">
        <w:t>azjatyckiego, a także u pacjentów z łagodnymi zaburzeniami czynności wątroby (patrz punkt 5.2).</w:t>
      </w:r>
    </w:p>
    <w:p w14:paraId="1C11023B" w14:textId="77777777" w:rsidR="00A350DA" w:rsidRPr="007E4DA1" w:rsidRDefault="00A350DA" w:rsidP="001A6584">
      <w:pPr>
        <w:tabs>
          <w:tab w:val="left" w:pos="142"/>
        </w:tabs>
        <w:ind w:left="0" w:firstLine="0"/>
      </w:pPr>
    </w:p>
    <w:p w14:paraId="538F62A8" w14:textId="77777777" w:rsidR="00A350DA" w:rsidRPr="007E4DA1" w:rsidRDefault="00A350DA" w:rsidP="001A6584">
      <w:pPr>
        <w:keepNext/>
        <w:tabs>
          <w:tab w:val="left" w:pos="142"/>
        </w:tabs>
        <w:ind w:left="0" w:firstLine="0"/>
        <w:rPr>
          <w:rStyle w:val="CSI"/>
        </w:rPr>
      </w:pPr>
      <w:r w:rsidRPr="007E4DA1">
        <w:rPr>
          <w:i/>
        </w:rPr>
        <w:t>Monitorowanie i dostosowanie dawki</w:t>
      </w:r>
    </w:p>
    <w:p w14:paraId="3EC89CF9" w14:textId="3FBAA3E4" w:rsidR="00A350DA" w:rsidRPr="007E4DA1" w:rsidRDefault="00A350DA" w:rsidP="001A6584">
      <w:pPr>
        <w:tabs>
          <w:tab w:val="left" w:pos="142"/>
        </w:tabs>
        <w:ind w:left="0" w:firstLine="0"/>
      </w:pPr>
      <w:r w:rsidRPr="007E4DA1">
        <w:t xml:space="preserve">Dawkę eltrombopagu należy dostosowywać zwiększając ją o 25 mg co 2 tygodnie w taki sposób, aby osiągnąć docelową liczbę płytek krwi wymaganą do rozpoczęcia leczenia przeciwwirusowego. Liczbę płytek krwi należy kontrolować co tydzień przed rozpoczęciem leczenia przeciwwirusowego. W chwili rozpoczęcia leczenia przeciwwirusowego liczba płytek krwi może zmniejszyć się, w związku z czym należy unikać natychmiastowego dostosowywania dawki eltrombopagu (patrz </w:t>
      </w:r>
      <w:r w:rsidR="00E52F84">
        <w:t>t</w:t>
      </w:r>
      <w:r w:rsidRPr="007E4DA1">
        <w:t>abela</w:t>
      </w:r>
      <w:r w:rsidR="00C11D69" w:rsidRPr="007E4DA1">
        <w:t> </w:t>
      </w:r>
      <w:r w:rsidRPr="007E4DA1">
        <w:t>2).</w:t>
      </w:r>
    </w:p>
    <w:p w14:paraId="313AE369" w14:textId="77777777" w:rsidR="00A350DA" w:rsidRPr="007E4DA1" w:rsidRDefault="00A350DA" w:rsidP="001A6584">
      <w:pPr>
        <w:tabs>
          <w:tab w:val="left" w:pos="142"/>
        </w:tabs>
        <w:ind w:left="0" w:firstLine="0"/>
      </w:pPr>
    </w:p>
    <w:p w14:paraId="3B32FCA6" w14:textId="762E3479" w:rsidR="00A350DA" w:rsidRPr="007E4DA1" w:rsidRDefault="00A350DA" w:rsidP="001A6584">
      <w:pPr>
        <w:tabs>
          <w:tab w:val="left" w:pos="142"/>
        </w:tabs>
        <w:ind w:left="0" w:firstLine="0"/>
      </w:pPr>
      <w:r w:rsidRPr="007E4DA1">
        <w:t xml:space="preserve">Podczas leczenia przeciwwirusowego, dawkę eltrombopagu należy dostosowywać w taki sposób, aby uniknąć konieczności obniżania dawki peginterferonu z powodu zmniejszającej się liczby płytek krwi, co może narażać pacjentów na ryzyko krwawienia (patrz </w:t>
      </w:r>
      <w:r w:rsidR="00E52F84">
        <w:t>t</w:t>
      </w:r>
      <w:r w:rsidRPr="007E4DA1">
        <w:t>abela 2). Podczas leczenia przeciwwirusowego liczbę płytek krwi należy kontrolować raz w tygodniu do czasu osiągnięcia stabilnej liczby płytek krwi, która wynosi zazwyczaj około 50 000</w:t>
      </w:r>
      <w:r w:rsidR="00081AA9" w:rsidRPr="007E4DA1">
        <w:t>-</w:t>
      </w:r>
      <w:r w:rsidRPr="007E4DA1">
        <w:t xml:space="preserve">75 000/μl. Następnie co miesiąc należy wykonywać badanie pełnej morfologii krwi z oznaczeniem liczby płytek i rozmazem krwi obwodowej. Jeżeli liczba płytek krwi będzie przekraczała wymagany poziom docelowy, należy </w:t>
      </w:r>
      <w:r w:rsidRPr="007E4DA1">
        <w:lastRenderedPageBreak/>
        <w:t xml:space="preserve">rozważyć zmniejszenie dawki dobowej o 25 mg. </w:t>
      </w:r>
      <w:r w:rsidR="00620EA4" w:rsidRPr="007E4DA1">
        <w:t>Zaleca się</w:t>
      </w:r>
      <w:r w:rsidR="00606CD3" w:rsidRPr="007E4DA1">
        <w:t xml:space="preserve"> </w:t>
      </w:r>
      <w:r w:rsidR="00620EA4" w:rsidRPr="007E4DA1">
        <w:t>o</w:t>
      </w:r>
      <w:r w:rsidRPr="007E4DA1">
        <w:t>dczekać 2 tygodnie, aby ocenić efekty dostosowania dawki oraz jakichkolwiek kolejnych dostosowań dawek.</w:t>
      </w:r>
    </w:p>
    <w:p w14:paraId="2E134D6A" w14:textId="77777777" w:rsidR="00A350DA" w:rsidRPr="007E4DA1" w:rsidRDefault="00A350DA" w:rsidP="001A6584">
      <w:pPr>
        <w:tabs>
          <w:tab w:val="left" w:pos="142"/>
        </w:tabs>
        <w:ind w:left="0" w:firstLine="0"/>
      </w:pPr>
    </w:p>
    <w:p w14:paraId="358D9E92" w14:textId="77777777" w:rsidR="00A350DA" w:rsidRPr="007E4DA1" w:rsidRDefault="00A350DA" w:rsidP="001A6584">
      <w:pPr>
        <w:tabs>
          <w:tab w:val="left" w:pos="142"/>
        </w:tabs>
        <w:ind w:left="0" w:firstLine="0"/>
      </w:pPr>
      <w:r w:rsidRPr="007E4DA1">
        <w:t xml:space="preserve">Nie </w:t>
      </w:r>
      <w:r w:rsidR="00620EA4" w:rsidRPr="007E4DA1">
        <w:t>wolno</w:t>
      </w:r>
      <w:r w:rsidRPr="007E4DA1">
        <w:t xml:space="preserve"> przekraczać dawki 100 mg eltrombopagu raz na dobę.</w:t>
      </w:r>
    </w:p>
    <w:p w14:paraId="15091052" w14:textId="77777777" w:rsidR="00A350DA" w:rsidRPr="007E4DA1" w:rsidRDefault="00A350DA" w:rsidP="001A6584">
      <w:pPr>
        <w:tabs>
          <w:tab w:val="left" w:pos="142"/>
        </w:tabs>
        <w:ind w:left="0" w:firstLine="0"/>
      </w:pPr>
    </w:p>
    <w:p w14:paraId="603651BF" w14:textId="77777777" w:rsidR="00041A08" w:rsidRPr="00041A08" w:rsidRDefault="00A350DA" w:rsidP="001A6584">
      <w:pPr>
        <w:keepNext/>
        <w:ind w:left="1134" w:hanging="1134"/>
      </w:pPr>
      <w:r w:rsidRPr="007E4DA1">
        <w:rPr>
          <w:b/>
        </w:rPr>
        <w:t>Tabela 2</w:t>
      </w:r>
      <w:r w:rsidR="00081AA9" w:rsidRPr="007E4DA1">
        <w:rPr>
          <w:b/>
        </w:rPr>
        <w:tab/>
      </w:r>
      <w:r w:rsidRPr="007E4DA1">
        <w:rPr>
          <w:b/>
        </w:rPr>
        <w:t>Dostosowywanie dawek eltrombopagu u pacjentów zakażonych wirusem WZW C podczas leczenia przeciwwirusowego</w:t>
      </w:r>
    </w:p>
    <w:p w14:paraId="515B10B2" w14:textId="6AE7F887" w:rsidR="00A350DA" w:rsidRPr="007E4DA1" w:rsidRDefault="00A350DA" w:rsidP="001A6584">
      <w:pPr>
        <w:keepNext/>
        <w:tabs>
          <w:tab w:val="left" w:pos="142"/>
        </w:tabs>
        <w:ind w:left="0" w:firstLine="0"/>
      </w:pPr>
    </w:p>
    <w:tbl>
      <w:tblPr>
        <w:tblW w:w="9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943"/>
        <w:gridCol w:w="6165"/>
      </w:tblGrid>
      <w:tr w:rsidR="00A350DA" w:rsidRPr="007E4DA1" w14:paraId="049ADEFC" w14:textId="77777777" w:rsidTr="00EE3105">
        <w:trPr>
          <w:cantSplit/>
        </w:trPr>
        <w:tc>
          <w:tcPr>
            <w:tcW w:w="2943" w:type="dxa"/>
            <w:tcMar>
              <w:top w:w="0" w:type="dxa"/>
              <w:left w:w="108" w:type="dxa"/>
              <w:bottom w:w="0" w:type="dxa"/>
              <w:right w:w="108" w:type="dxa"/>
            </w:tcMar>
          </w:tcPr>
          <w:p w14:paraId="2D9C6B2F" w14:textId="77777777" w:rsidR="00A350DA" w:rsidRPr="007E4DA1" w:rsidRDefault="00A350DA" w:rsidP="001A6584">
            <w:pPr>
              <w:keepNext/>
              <w:tabs>
                <w:tab w:val="left" w:pos="142"/>
              </w:tabs>
              <w:ind w:left="0" w:firstLine="0"/>
              <w:rPr>
                <w:szCs w:val="22"/>
              </w:rPr>
            </w:pPr>
            <w:r w:rsidRPr="007E4DA1">
              <w:t>Liczba płytek krwi</w:t>
            </w:r>
          </w:p>
        </w:tc>
        <w:tc>
          <w:tcPr>
            <w:tcW w:w="6165" w:type="dxa"/>
            <w:tcMar>
              <w:top w:w="0" w:type="dxa"/>
              <w:left w:w="108" w:type="dxa"/>
              <w:bottom w:w="0" w:type="dxa"/>
              <w:right w:w="108" w:type="dxa"/>
            </w:tcMar>
          </w:tcPr>
          <w:p w14:paraId="64C8C0D7" w14:textId="77777777" w:rsidR="00A350DA" w:rsidRPr="007E4DA1" w:rsidRDefault="00A350DA" w:rsidP="001A6584">
            <w:pPr>
              <w:keepNext/>
              <w:tabs>
                <w:tab w:val="left" w:pos="142"/>
              </w:tabs>
              <w:ind w:left="0" w:firstLine="0"/>
              <w:rPr>
                <w:szCs w:val="22"/>
              </w:rPr>
            </w:pPr>
            <w:r w:rsidRPr="007E4DA1">
              <w:t>Dostosowanie dawki lub inne działania</w:t>
            </w:r>
          </w:p>
        </w:tc>
      </w:tr>
      <w:tr w:rsidR="00A350DA" w:rsidRPr="007E4DA1" w14:paraId="018CE89D" w14:textId="77777777" w:rsidTr="00EE3105">
        <w:trPr>
          <w:cantSplit/>
        </w:trPr>
        <w:tc>
          <w:tcPr>
            <w:tcW w:w="2943" w:type="dxa"/>
            <w:tcMar>
              <w:top w:w="0" w:type="dxa"/>
              <w:left w:w="108" w:type="dxa"/>
              <w:bottom w:w="0" w:type="dxa"/>
              <w:right w:w="108" w:type="dxa"/>
            </w:tcMar>
          </w:tcPr>
          <w:p w14:paraId="44692C15" w14:textId="77777777" w:rsidR="00A350DA" w:rsidRPr="007E4DA1" w:rsidRDefault="00A350DA" w:rsidP="001A6584">
            <w:pPr>
              <w:keepNext/>
              <w:tabs>
                <w:tab w:val="left" w:pos="142"/>
              </w:tabs>
              <w:ind w:left="0" w:firstLine="0"/>
              <w:rPr>
                <w:szCs w:val="22"/>
              </w:rPr>
            </w:pPr>
            <w:r w:rsidRPr="007E4DA1">
              <w:t>&lt;50 000/µl po upływie co najmniej 2 tygodni leczenia</w:t>
            </w:r>
          </w:p>
        </w:tc>
        <w:tc>
          <w:tcPr>
            <w:tcW w:w="6165" w:type="dxa"/>
            <w:tcMar>
              <w:top w:w="0" w:type="dxa"/>
              <w:left w:w="108" w:type="dxa"/>
              <w:bottom w:w="0" w:type="dxa"/>
              <w:right w:w="108" w:type="dxa"/>
            </w:tcMar>
          </w:tcPr>
          <w:p w14:paraId="11CD06DC" w14:textId="77777777" w:rsidR="00A350DA" w:rsidRPr="007E4DA1" w:rsidRDefault="00A350DA" w:rsidP="001A6584">
            <w:pPr>
              <w:keepNext/>
              <w:tabs>
                <w:tab w:val="left" w:pos="142"/>
              </w:tabs>
              <w:ind w:left="0" w:firstLine="0"/>
              <w:rPr>
                <w:szCs w:val="22"/>
              </w:rPr>
            </w:pPr>
            <w:r w:rsidRPr="007E4DA1">
              <w:t>Zwiększyć dawkę dobową o 25 mg do maksymalnej dawki 100 mg/dobę.</w:t>
            </w:r>
          </w:p>
        </w:tc>
      </w:tr>
      <w:tr w:rsidR="00A350DA" w:rsidRPr="007E4DA1" w14:paraId="7C5ACF41" w14:textId="77777777" w:rsidTr="00EE3105">
        <w:trPr>
          <w:cantSplit/>
        </w:trPr>
        <w:tc>
          <w:tcPr>
            <w:tcW w:w="2943" w:type="dxa"/>
            <w:tcMar>
              <w:top w:w="0" w:type="dxa"/>
              <w:left w:w="108" w:type="dxa"/>
              <w:bottom w:w="0" w:type="dxa"/>
              <w:right w:w="108" w:type="dxa"/>
            </w:tcMar>
          </w:tcPr>
          <w:p w14:paraId="15C4757A" w14:textId="77777777" w:rsidR="00A350DA" w:rsidRPr="007E4DA1" w:rsidRDefault="00A350DA" w:rsidP="001A6584">
            <w:pPr>
              <w:keepNext/>
              <w:tabs>
                <w:tab w:val="left" w:pos="142"/>
              </w:tabs>
              <w:ind w:left="0" w:firstLine="0"/>
              <w:rPr>
                <w:szCs w:val="22"/>
              </w:rPr>
            </w:pPr>
            <w:r w:rsidRPr="007E4DA1">
              <w:t>≥50 000/μl do ≤100 000/μl</w:t>
            </w:r>
          </w:p>
        </w:tc>
        <w:tc>
          <w:tcPr>
            <w:tcW w:w="6165" w:type="dxa"/>
            <w:tcMar>
              <w:top w:w="0" w:type="dxa"/>
              <w:left w:w="108" w:type="dxa"/>
              <w:bottom w:w="0" w:type="dxa"/>
              <w:right w:w="108" w:type="dxa"/>
            </w:tcMar>
          </w:tcPr>
          <w:p w14:paraId="2CDB83C4" w14:textId="77777777" w:rsidR="00A350DA" w:rsidRPr="007E4DA1" w:rsidRDefault="00A350DA" w:rsidP="001A6584">
            <w:pPr>
              <w:keepNext/>
              <w:tabs>
                <w:tab w:val="left" w:pos="142"/>
              </w:tabs>
              <w:ind w:left="0" w:firstLine="0"/>
              <w:rPr>
                <w:szCs w:val="22"/>
              </w:rPr>
            </w:pPr>
            <w:r w:rsidRPr="007E4DA1">
              <w:t>Stosować najmniejszą dawkę eltrombopagu konieczną do uniknięcia zmniejszenia dawki peginterferonu.</w:t>
            </w:r>
          </w:p>
        </w:tc>
      </w:tr>
      <w:tr w:rsidR="00A350DA" w:rsidRPr="007E4DA1" w14:paraId="50ED099F" w14:textId="77777777" w:rsidTr="00EE3105">
        <w:trPr>
          <w:cantSplit/>
        </w:trPr>
        <w:tc>
          <w:tcPr>
            <w:tcW w:w="2943" w:type="dxa"/>
            <w:tcMar>
              <w:top w:w="0" w:type="dxa"/>
              <w:left w:w="108" w:type="dxa"/>
              <w:bottom w:w="0" w:type="dxa"/>
              <w:right w:w="108" w:type="dxa"/>
            </w:tcMar>
          </w:tcPr>
          <w:p w14:paraId="42CDD907" w14:textId="77777777" w:rsidR="00A350DA" w:rsidRPr="007E4DA1" w:rsidRDefault="00A350DA" w:rsidP="001A6584">
            <w:pPr>
              <w:keepNext/>
              <w:tabs>
                <w:tab w:val="left" w:pos="142"/>
              </w:tabs>
              <w:ind w:left="0" w:firstLine="0"/>
              <w:rPr>
                <w:szCs w:val="22"/>
              </w:rPr>
            </w:pPr>
            <w:r w:rsidRPr="007E4DA1">
              <w:t>&gt;100 000/μl do ≤150 000/μl</w:t>
            </w:r>
          </w:p>
        </w:tc>
        <w:tc>
          <w:tcPr>
            <w:tcW w:w="6165" w:type="dxa"/>
            <w:tcMar>
              <w:top w:w="0" w:type="dxa"/>
              <w:left w:w="108" w:type="dxa"/>
              <w:bottom w:w="0" w:type="dxa"/>
              <w:right w:w="108" w:type="dxa"/>
            </w:tcMar>
          </w:tcPr>
          <w:p w14:paraId="6E0BACB2" w14:textId="77777777" w:rsidR="00A350DA" w:rsidRPr="007E4DA1" w:rsidRDefault="00A350DA" w:rsidP="001A6584">
            <w:pPr>
              <w:keepNext/>
              <w:tabs>
                <w:tab w:val="left" w:pos="142"/>
              </w:tabs>
              <w:ind w:left="0" w:firstLine="0"/>
              <w:rPr>
                <w:szCs w:val="22"/>
              </w:rPr>
            </w:pPr>
            <w:r w:rsidRPr="007E4DA1">
              <w:t>Zmniejszyć dawkę dobową o 25</w:t>
            </w:r>
            <w:r w:rsidR="00536498" w:rsidRPr="007E4DA1">
              <w:t> </w:t>
            </w:r>
            <w:r w:rsidRPr="007E4DA1">
              <w:t>mg. Odczekać 2</w:t>
            </w:r>
            <w:r w:rsidR="00A95E72" w:rsidRPr="007E4DA1">
              <w:t> </w:t>
            </w:r>
            <w:r w:rsidRPr="007E4DA1">
              <w:t>tygodnie, aby ocenić efekty dostosowania dawki oraz ewentualnych kolejnych dostosowań dawek</w:t>
            </w:r>
            <w:r w:rsidRPr="007E4DA1">
              <w:rPr>
                <w:vertAlign w:val="superscript"/>
              </w:rPr>
              <w:t>♦</w:t>
            </w:r>
            <w:r w:rsidRPr="007E4DA1">
              <w:t>.</w:t>
            </w:r>
          </w:p>
        </w:tc>
      </w:tr>
      <w:tr w:rsidR="00A350DA" w:rsidRPr="007E4DA1" w14:paraId="36808548" w14:textId="77777777" w:rsidTr="00EE3105">
        <w:trPr>
          <w:cantSplit/>
        </w:trPr>
        <w:tc>
          <w:tcPr>
            <w:tcW w:w="2943" w:type="dxa"/>
            <w:tcMar>
              <w:top w:w="0" w:type="dxa"/>
              <w:left w:w="108" w:type="dxa"/>
              <w:bottom w:w="0" w:type="dxa"/>
              <w:right w:w="108" w:type="dxa"/>
            </w:tcMar>
          </w:tcPr>
          <w:p w14:paraId="3096F466" w14:textId="77777777" w:rsidR="00A350DA" w:rsidRPr="007E4DA1" w:rsidRDefault="00A350DA" w:rsidP="001A6584">
            <w:pPr>
              <w:keepNext/>
              <w:tabs>
                <w:tab w:val="left" w:pos="142"/>
              </w:tabs>
              <w:ind w:left="0" w:firstLine="0"/>
              <w:rPr>
                <w:szCs w:val="22"/>
              </w:rPr>
            </w:pPr>
            <w:r w:rsidRPr="007E4DA1">
              <w:t>&gt;150 000/μl.</w:t>
            </w:r>
          </w:p>
        </w:tc>
        <w:tc>
          <w:tcPr>
            <w:tcW w:w="6165" w:type="dxa"/>
            <w:tcMar>
              <w:top w:w="0" w:type="dxa"/>
              <w:left w:w="108" w:type="dxa"/>
              <w:bottom w:w="0" w:type="dxa"/>
              <w:right w:w="108" w:type="dxa"/>
            </w:tcMar>
          </w:tcPr>
          <w:p w14:paraId="2A2ACC84" w14:textId="77777777" w:rsidR="00A350DA" w:rsidRPr="007E4DA1" w:rsidRDefault="00A350DA" w:rsidP="001A6584">
            <w:pPr>
              <w:keepNext/>
              <w:tabs>
                <w:tab w:val="left" w:pos="142"/>
              </w:tabs>
              <w:ind w:left="0" w:firstLine="0"/>
            </w:pPr>
            <w:r w:rsidRPr="007E4DA1">
              <w:t>Przerwać stosowanie eltrombopagu; zwiększyć częstość kontrolowania liczby płytek krwi do dwóch razy w tygodniu.</w:t>
            </w:r>
          </w:p>
          <w:p w14:paraId="46F4A72A" w14:textId="77777777" w:rsidR="00A350DA" w:rsidRPr="007E4DA1" w:rsidRDefault="00A350DA" w:rsidP="001A6584">
            <w:pPr>
              <w:keepNext/>
              <w:tabs>
                <w:tab w:val="left" w:pos="142"/>
              </w:tabs>
              <w:ind w:left="0" w:firstLine="0"/>
            </w:pPr>
          </w:p>
          <w:p w14:paraId="32BDCD7A" w14:textId="09FEDA20" w:rsidR="00A350DA" w:rsidRPr="007E4DA1" w:rsidRDefault="00A350DA" w:rsidP="001A6584">
            <w:pPr>
              <w:keepNext/>
              <w:tabs>
                <w:tab w:val="left" w:pos="142"/>
              </w:tabs>
              <w:ind w:left="0" w:firstLine="0"/>
              <w:rPr>
                <w:szCs w:val="22"/>
              </w:rPr>
            </w:pPr>
            <w:r w:rsidRPr="007E4DA1">
              <w:t>Kiedy liczba płytek krwi osiągnie wartość</w:t>
            </w:r>
            <w:r w:rsidR="00690B2F">
              <w:t xml:space="preserve"> </w:t>
            </w:r>
            <w:r w:rsidRPr="007E4DA1">
              <w:t>≤100 000/µl, ponownie rozpocząć leczenie, stosując dawkę dobową zmniejszoną o 25 mg*.</w:t>
            </w:r>
          </w:p>
        </w:tc>
      </w:tr>
      <w:tr w:rsidR="00B67F6E" w:rsidRPr="007E4DA1" w14:paraId="5169E248" w14:textId="77777777" w:rsidTr="00EE3105">
        <w:trPr>
          <w:cantSplit/>
        </w:trPr>
        <w:tc>
          <w:tcPr>
            <w:tcW w:w="9108" w:type="dxa"/>
            <w:gridSpan w:val="2"/>
            <w:tcMar>
              <w:top w:w="0" w:type="dxa"/>
              <w:left w:w="108" w:type="dxa"/>
              <w:bottom w:w="0" w:type="dxa"/>
              <w:right w:w="108" w:type="dxa"/>
            </w:tcMar>
          </w:tcPr>
          <w:p w14:paraId="1EAA27E8" w14:textId="77777777" w:rsidR="00B67F6E" w:rsidRPr="0090150C" w:rsidRDefault="00B67F6E" w:rsidP="001A6584">
            <w:pPr>
              <w:keepNext/>
              <w:rPr>
                <w:sz w:val="20"/>
                <w:szCs w:val="20"/>
              </w:rPr>
            </w:pPr>
            <w:r w:rsidRPr="0090150C">
              <w:rPr>
                <w:sz w:val="20"/>
                <w:szCs w:val="20"/>
              </w:rPr>
              <w:t>*</w:t>
            </w:r>
            <w:r w:rsidRPr="0090150C">
              <w:rPr>
                <w:sz w:val="20"/>
                <w:szCs w:val="20"/>
              </w:rPr>
              <w:tab/>
              <w:t>W przypadku pacjentów przyjmujących eltrombopag w dawce 25 mg raz na dobę należy rozważyć rozpoczęcie podawania leku w dawce 25 mg co drugi dzień.</w:t>
            </w:r>
          </w:p>
          <w:p w14:paraId="5BC937AE" w14:textId="6696F4BF" w:rsidR="00B67F6E" w:rsidRPr="007E4DA1" w:rsidRDefault="00B67F6E" w:rsidP="00EC4057">
            <w:r w:rsidRPr="0090150C">
              <w:rPr>
                <w:sz w:val="20"/>
                <w:szCs w:val="20"/>
                <w:vertAlign w:val="superscript"/>
              </w:rPr>
              <w:t>♦</w:t>
            </w:r>
            <w:r w:rsidRPr="0090150C">
              <w:rPr>
                <w:sz w:val="20"/>
                <w:szCs w:val="20"/>
              </w:rPr>
              <w:tab/>
              <w:t>W chwili rozpoczęcia leczenia przeciwwirusowego liczba płytek krwi może zmniejszyć się, w związku z czym należy unikać szybkiego zmniejszania dawki eltrombopagu.</w:t>
            </w:r>
          </w:p>
        </w:tc>
      </w:tr>
    </w:tbl>
    <w:p w14:paraId="6BA7D044" w14:textId="77777777" w:rsidR="00A350DA" w:rsidRPr="007E4DA1" w:rsidRDefault="00A350DA" w:rsidP="001A6584">
      <w:pPr>
        <w:tabs>
          <w:tab w:val="left" w:pos="142"/>
        </w:tabs>
        <w:ind w:left="0" w:firstLine="0"/>
      </w:pPr>
    </w:p>
    <w:p w14:paraId="1FEDB24C" w14:textId="77777777" w:rsidR="00A350DA" w:rsidRPr="007E4DA1" w:rsidRDefault="00A350DA" w:rsidP="001A6584">
      <w:pPr>
        <w:keepNext/>
        <w:tabs>
          <w:tab w:val="left" w:pos="142"/>
        </w:tabs>
        <w:ind w:left="0" w:firstLine="0"/>
      </w:pPr>
      <w:r w:rsidRPr="007E4DA1">
        <w:rPr>
          <w:i/>
        </w:rPr>
        <w:t>Przerwanie stosowania</w:t>
      </w:r>
    </w:p>
    <w:p w14:paraId="7CDDCF2B" w14:textId="77777777" w:rsidR="00A350DA" w:rsidRPr="007E4DA1" w:rsidRDefault="00A350DA" w:rsidP="001A6584">
      <w:pPr>
        <w:tabs>
          <w:tab w:val="left" w:pos="142"/>
        </w:tabs>
        <w:ind w:left="0" w:firstLine="0"/>
      </w:pPr>
      <w:r w:rsidRPr="007E4DA1">
        <w:t>Leczenie eltrombopagiem należy przerwać, jeśli po 2 tygodniach jego podawania w dawce 100 mg na dobę liczba płytek krwi nie zwiększy się do poziomu wymaganego do rozpoczęcia leczenia przeciwwirusowego.</w:t>
      </w:r>
    </w:p>
    <w:p w14:paraId="6461A259" w14:textId="77777777" w:rsidR="00A350DA" w:rsidRPr="007E4DA1" w:rsidRDefault="00A350DA" w:rsidP="001A6584">
      <w:pPr>
        <w:tabs>
          <w:tab w:val="left" w:pos="142"/>
        </w:tabs>
        <w:ind w:left="0" w:firstLine="0"/>
      </w:pPr>
    </w:p>
    <w:p w14:paraId="109E28BF" w14:textId="77777777" w:rsidR="00A350DA" w:rsidRPr="007E4DA1" w:rsidRDefault="00A350DA" w:rsidP="001A6584">
      <w:pPr>
        <w:tabs>
          <w:tab w:val="left" w:pos="142"/>
        </w:tabs>
        <w:ind w:left="0" w:firstLine="0"/>
        <w:rPr>
          <w:color w:val="000000"/>
        </w:rPr>
      </w:pPr>
      <w:r w:rsidRPr="007E4DA1">
        <w:t>Leczenie eltrombopagiem należy zakończyć w chwili przerwania leczenia przeciwwirusowego, chyba że uzasadnione będzie inne postępowanie. Nadmierny wzrost liczby płytek krwi lub istotne nieprawidłowości w wynikach badań wątroby również wymagają przerwania leczenia.</w:t>
      </w:r>
    </w:p>
    <w:p w14:paraId="1E8DD6E5" w14:textId="77777777" w:rsidR="00A350DA" w:rsidRPr="007E4DA1" w:rsidRDefault="00A350DA" w:rsidP="001A6584">
      <w:pPr>
        <w:tabs>
          <w:tab w:val="left" w:pos="142"/>
        </w:tabs>
        <w:ind w:left="0" w:firstLine="0"/>
      </w:pPr>
    </w:p>
    <w:p w14:paraId="1D6727AB" w14:textId="77777777" w:rsidR="00041A08" w:rsidRPr="00041A08" w:rsidRDefault="00A350DA" w:rsidP="001A6584">
      <w:pPr>
        <w:keepNext/>
        <w:tabs>
          <w:tab w:val="left" w:pos="142"/>
        </w:tabs>
        <w:ind w:left="0" w:firstLine="0"/>
      </w:pPr>
      <w:r w:rsidRPr="007E4DA1">
        <w:rPr>
          <w:i/>
          <w:u w:val="single"/>
        </w:rPr>
        <w:t>Ciężka niedokrwistość aplastyczna</w:t>
      </w:r>
    </w:p>
    <w:p w14:paraId="5519A130" w14:textId="65DE54C6" w:rsidR="00A350DA" w:rsidRPr="007E4DA1" w:rsidRDefault="00A350DA" w:rsidP="001A6584">
      <w:pPr>
        <w:keepNext/>
        <w:tabs>
          <w:tab w:val="left" w:pos="142"/>
        </w:tabs>
        <w:ind w:left="0" w:firstLine="0"/>
      </w:pPr>
    </w:p>
    <w:p w14:paraId="7E58EB0E" w14:textId="77777777" w:rsidR="00041A08" w:rsidRPr="00041A08" w:rsidRDefault="00A350DA" w:rsidP="001A6584">
      <w:pPr>
        <w:keepNext/>
        <w:tabs>
          <w:tab w:val="left" w:pos="142"/>
        </w:tabs>
        <w:ind w:left="0" w:firstLine="0"/>
      </w:pPr>
      <w:r w:rsidRPr="007E4DA1">
        <w:rPr>
          <w:i/>
        </w:rPr>
        <w:t>Wstępny schemat dawkowania</w:t>
      </w:r>
    </w:p>
    <w:p w14:paraId="48065191" w14:textId="63A9A62D" w:rsidR="00A350DA" w:rsidRPr="007E4DA1" w:rsidRDefault="00A350DA" w:rsidP="001A6584">
      <w:pPr>
        <w:tabs>
          <w:tab w:val="left" w:pos="142"/>
        </w:tabs>
        <w:ind w:left="0" w:firstLine="0"/>
      </w:pPr>
      <w:r w:rsidRPr="007E4DA1">
        <w:t xml:space="preserve">Leczenie eltrombopagiem należy rozpocząć od dawki 50 mg raz na dobę. U pacjentów pochodzenia </w:t>
      </w:r>
      <w:r w:rsidR="009C195E" w:rsidRPr="007E4DA1">
        <w:t>wschodnio-/południowo-wschodnio</w:t>
      </w:r>
      <w:r w:rsidRPr="007E4DA1">
        <w:t>azjatyckiego leczenie eltrombopagiem należy rozpoczynać od zmniejszonej dawki wynoszącej 25 mg raz na dobę (patrz punkt 5.2). Leczenia nie należy rozpoczynać, jeśli u pacjenta występują nieprawidłowości cytogenetyczne dotyczące chromosomu</w:t>
      </w:r>
      <w:r w:rsidR="00254D3C" w:rsidRPr="007E4DA1">
        <w:t> </w:t>
      </w:r>
      <w:r w:rsidRPr="007E4DA1">
        <w:t>7.</w:t>
      </w:r>
    </w:p>
    <w:p w14:paraId="35740590" w14:textId="77777777" w:rsidR="00A350DA" w:rsidRPr="007E4DA1" w:rsidRDefault="00A350DA" w:rsidP="001A6584">
      <w:pPr>
        <w:tabs>
          <w:tab w:val="left" w:pos="142"/>
        </w:tabs>
        <w:ind w:left="0" w:firstLine="0"/>
      </w:pPr>
    </w:p>
    <w:p w14:paraId="3F062FA4" w14:textId="77777777" w:rsidR="00A350DA" w:rsidRPr="007E4DA1" w:rsidRDefault="00A350DA" w:rsidP="001A6584">
      <w:pPr>
        <w:keepNext/>
        <w:tabs>
          <w:tab w:val="left" w:pos="142"/>
        </w:tabs>
        <w:ind w:left="0" w:firstLine="0"/>
      </w:pPr>
      <w:r w:rsidRPr="007E4DA1">
        <w:rPr>
          <w:i/>
        </w:rPr>
        <w:t>Monitorowanie i dostosowanie dawki</w:t>
      </w:r>
    </w:p>
    <w:p w14:paraId="6B5E879C" w14:textId="0A3CE6D7" w:rsidR="00A350DA" w:rsidRPr="007E4DA1" w:rsidRDefault="00A350DA" w:rsidP="001A6584">
      <w:pPr>
        <w:ind w:left="0" w:firstLine="0"/>
      </w:pPr>
      <w:r w:rsidRPr="007E4DA1">
        <w:t>Osiągnięcie odpowiedzi hematologicznej wymaga stopniowego zwiększania dawki, na ogół do wysokości 150 mg, co może zająć do 16</w:t>
      </w:r>
      <w:r w:rsidR="00C11D69" w:rsidRPr="007E4DA1">
        <w:t> </w:t>
      </w:r>
      <w:r w:rsidRPr="007E4DA1">
        <w:t>tygodni od rozpoczęcia leczenia eltrombopagiem (patrz punkt 5.1). Dawkę eltrombopagu należy dostosowywać, w razie konieczności zwiększając ją o 50 mg co 2</w:t>
      </w:r>
      <w:r w:rsidR="00C11D69" w:rsidRPr="007E4DA1">
        <w:t> </w:t>
      </w:r>
      <w:r w:rsidRPr="007E4DA1">
        <w:t xml:space="preserve">tygodnie, aby uzyskać liczbę płytek krwi </w:t>
      </w:r>
      <w:r w:rsidRPr="007E4DA1">
        <w:sym w:font="Symbol" w:char="F0B3"/>
      </w:r>
      <w:r w:rsidRPr="007E4DA1">
        <w:t xml:space="preserve">50 000/μl. U pacjentów przyjmujących dawkę 25 mg raz na dobę, przed rozpoczęciem zwiększania dawki o 50 mg, należy zwiększyć dawkę do 50 mg na dobę. Nie należy przekraczać dawki 150 mg na dobę. Należy regularnie monitorować parametry hematologiczne i czynność wątroby przez cały czas trwania leczenia eltrombopagiem i modyfikować dawkowanie eltrombopagu w zależności od liczby płytek krwi, zgodnie ze wskazówkami podanymi w </w:t>
      </w:r>
      <w:r w:rsidR="00C00A76">
        <w:t>t</w:t>
      </w:r>
      <w:r w:rsidRPr="007E4DA1">
        <w:t>abeli 3.</w:t>
      </w:r>
    </w:p>
    <w:p w14:paraId="24854E21" w14:textId="77777777" w:rsidR="00A350DA" w:rsidRPr="007E4DA1" w:rsidRDefault="00A350DA" w:rsidP="001A6584">
      <w:pPr>
        <w:tabs>
          <w:tab w:val="left" w:pos="142"/>
        </w:tabs>
        <w:ind w:left="0" w:firstLine="0"/>
      </w:pPr>
    </w:p>
    <w:p w14:paraId="35750666" w14:textId="77777777" w:rsidR="00041A08" w:rsidRPr="00041A08" w:rsidRDefault="00A350DA" w:rsidP="001A6584">
      <w:pPr>
        <w:keepNext/>
        <w:keepLines/>
        <w:ind w:left="1134" w:hanging="1134"/>
      </w:pPr>
      <w:r w:rsidRPr="007E4DA1">
        <w:rPr>
          <w:b/>
        </w:rPr>
        <w:lastRenderedPageBreak/>
        <w:t>Tabela 3</w:t>
      </w:r>
      <w:r w:rsidR="00081AA9" w:rsidRPr="007E4DA1">
        <w:rPr>
          <w:b/>
        </w:rPr>
        <w:tab/>
      </w:r>
      <w:r w:rsidRPr="007E4DA1">
        <w:rPr>
          <w:b/>
        </w:rPr>
        <w:t>Dostosowanie dawki eltrombopagu u pacjentów z ciężką niedokrwistością aplastyczną</w:t>
      </w:r>
    </w:p>
    <w:p w14:paraId="5C2E28E5" w14:textId="1EEAEC39" w:rsidR="00A350DA" w:rsidRPr="007E4DA1" w:rsidRDefault="00A350DA" w:rsidP="001A6584">
      <w:pPr>
        <w:keepNext/>
        <w:keepLines/>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A350DA" w:rsidRPr="007E4DA1" w14:paraId="21054043" w14:textId="77777777" w:rsidTr="00CB1E5B">
        <w:tc>
          <w:tcPr>
            <w:tcW w:w="3228" w:type="dxa"/>
          </w:tcPr>
          <w:p w14:paraId="71E3CA41" w14:textId="77777777" w:rsidR="00A350DA" w:rsidRPr="00EE3105" w:rsidRDefault="00A350DA" w:rsidP="001A6584">
            <w:pPr>
              <w:keepNext/>
              <w:jc w:val="center"/>
              <w:rPr>
                <w:b/>
                <w:bCs/>
                <w:szCs w:val="22"/>
              </w:rPr>
            </w:pPr>
            <w:r w:rsidRPr="00EE3105">
              <w:rPr>
                <w:b/>
                <w:bCs/>
                <w:szCs w:val="22"/>
              </w:rPr>
              <w:t>Liczba płytek krwi</w:t>
            </w:r>
          </w:p>
        </w:tc>
        <w:tc>
          <w:tcPr>
            <w:tcW w:w="5880" w:type="dxa"/>
          </w:tcPr>
          <w:p w14:paraId="4AD3237D" w14:textId="77777777" w:rsidR="00A350DA" w:rsidRPr="00EE3105" w:rsidRDefault="00A350DA" w:rsidP="001A6584">
            <w:pPr>
              <w:keepNext/>
              <w:jc w:val="center"/>
              <w:rPr>
                <w:b/>
                <w:bCs/>
                <w:szCs w:val="22"/>
              </w:rPr>
            </w:pPr>
            <w:r w:rsidRPr="00EE3105">
              <w:rPr>
                <w:b/>
                <w:bCs/>
                <w:szCs w:val="22"/>
              </w:rPr>
              <w:t>Dostosowanie dawki w zależności od odpowiedzi</w:t>
            </w:r>
          </w:p>
        </w:tc>
      </w:tr>
      <w:tr w:rsidR="00A350DA" w:rsidRPr="007E4DA1" w14:paraId="639361C8" w14:textId="77777777" w:rsidTr="00CB1E5B">
        <w:tc>
          <w:tcPr>
            <w:tcW w:w="3228" w:type="dxa"/>
          </w:tcPr>
          <w:p w14:paraId="617F199D" w14:textId="77777777" w:rsidR="00A350DA" w:rsidRPr="007E4DA1" w:rsidRDefault="00A350DA" w:rsidP="001A6584">
            <w:pPr>
              <w:keepNext/>
              <w:ind w:left="0" w:firstLine="0"/>
              <w:rPr>
                <w:szCs w:val="22"/>
              </w:rPr>
            </w:pPr>
            <w:r w:rsidRPr="007E4DA1">
              <w:rPr>
                <w:szCs w:val="22"/>
              </w:rPr>
              <w:t>&lt;50 000/µl po co najmniej 2 tygodniach leczenia</w:t>
            </w:r>
          </w:p>
          <w:p w14:paraId="64067C9E" w14:textId="77777777" w:rsidR="00A350DA" w:rsidRPr="007E4DA1" w:rsidRDefault="00A350DA" w:rsidP="001A6584">
            <w:pPr>
              <w:keepNext/>
              <w:rPr>
                <w:szCs w:val="22"/>
              </w:rPr>
            </w:pPr>
          </w:p>
        </w:tc>
        <w:tc>
          <w:tcPr>
            <w:tcW w:w="5880" w:type="dxa"/>
          </w:tcPr>
          <w:p w14:paraId="67E79868" w14:textId="77777777" w:rsidR="00A350DA" w:rsidRPr="007E4DA1" w:rsidRDefault="00A350DA" w:rsidP="001A6584">
            <w:pPr>
              <w:keepNext/>
              <w:ind w:left="33" w:hanging="33"/>
              <w:rPr>
                <w:szCs w:val="22"/>
              </w:rPr>
            </w:pPr>
            <w:r w:rsidRPr="007E4DA1">
              <w:rPr>
                <w:szCs w:val="22"/>
              </w:rPr>
              <w:t>Zwiększać dawkę dobową o 50 mg do maksymalnej dawki 150 mg/dobę.</w:t>
            </w:r>
          </w:p>
          <w:p w14:paraId="3ACEB3E9" w14:textId="77777777" w:rsidR="00A350DA" w:rsidRPr="007E4DA1" w:rsidRDefault="00A350DA" w:rsidP="001A6584">
            <w:pPr>
              <w:keepNext/>
              <w:rPr>
                <w:szCs w:val="22"/>
              </w:rPr>
            </w:pPr>
          </w:p>
          <w:p w14:paraId="26D8BB3A" w14:textId="77777777" w:rsidR="00A350DA" w:rsidRPr="007E4DA1" w:rsidRDefault="00A350DA" w:rsidP="001A6584">
            <w:pPr>
              <w:keepNext/>
              <w:ind w:left="33" w:hanging="33"/>
              <w:rPr>
                <w:szCs w:val="22"/>
              </w:rPr>
            </w:pPr>
            <w:r w:rsidRPr="007E4DA1">
              <w:rPr>
                <w:szCs w:val="22"/>
              </w:rPr>
              <w:t xml:space="preserve">U pacjentów przyjmujących dawkę 25 mg raz na dobę, </w:t>
            </w:r>
            <w:r w:rsidRPr="007E4DA1">
              <w:t>przed rozpoczęciem zwiększania dawki o 50 mg, należy zwiększyć dawkę do 50 mg na dobę</w:t>
            </w:r>
            <w:r w:rsidRPr="007E4DA1">
              <w:rPr>
                <w:szCs w:val="22"/>
              </w:rPr>
              <w:t>.</w:t>
            </w:r>
          </w:p>
        </w:tc>
      </w:tr>
      <w:tr w:rsidR="00A350DA" w:rsidRPr="007E4DA1" w14:paraId="405AC3DC" w14:textId="77777777" w:rsidTr="00CB1E5B">
        <w:tc>
          <w:tcPr>
            <w:tcW w:w="3228" w:type="dxa"/>
          </w:tcPr>
          <w:p w14:paraId="281B1AF6" w14:textId="77777777" w:rsidR="00A350DA" w:rsidRPr="007E4DA1" w:rsidRDefault="00A350DA" w:rsidP="001A6584">
            <w:pPr>
              <w:keepNext/>
              <w:rPr>
                <w:szCs w:val="22"/>
              </w:rPr>
            </w:pPr>
            <w:r w:rsidRPr="007E4DA1">
              <w:rPr>
                <w:szCs w:val="22"/>
              </w:rPr>
              <w:sym w:font="Symbol" w:char="F0B3"/>
            </w:r>
            <w:r w:rsidRPr="007E4DA1">
              <w:rPr>
                <w:szCs w:val="22"/>
              </w:rPr>
              <w:t xml:space="preserve">50 000/µl do </w:t>
            </w:r>
            <w:r w:rsidRPr="007E4DA1">
              <w:rPr>
                <w:szCs w:val="22"/>
              </w:rPr>
              <w:sym w:font="Symbol" w:char="F0A3"/>
            </w:r>
            <w:r w:rsidRPr="007E4DA1">
              <w:rPr>
                <w:szCs w:val="22"/>
              </w:rPr>
              <w:t>150 000/µl</w:t>
            </w:r>
          </w:p>
        </w:tc>
        <w:tc>
          <w:tcPr>
            <w:tcW w:w="5880" w:type="dxa"/>
          </w:tcPr>
          <w:p w14:paraId="32E61906" w14:textId="77777777" w:rsidR="00A350DA" w:rsidRPr="007E4DA1" w:rsidRDefault="00A350DA" w:rsidP="001A6584">
            <w:pPr>
              <w:keepNext/>
              <w:ind w:left="33" w:hanging="33"/>
              <w:rPr>
                <w:szCs w:val="22"/>
              </w:rPr>
            </w:pPr>
            <w:r w:rsidRPr="007E4DA1">
              <w:rPr>
                <w:szCs w:val="22"/>
              </w:rPr>
              <w:t>Stosować najmniejszą dawkę eltrombopagu, aby utrzymać liczbę płytek krwi.</w:t>
            </w:r>
          </w:p>
        </w:tc>
      </w:tr>
      <w:tr w:rsidR="00A350DA" w:rsidRPr="007E4DA1" w14:paraId="6A3A8E43" w14:textId="77777777" w:rsidTr="00CB1E5B">
        <w:tc>
          <w:tcPr>
            <w:tcW w:w="3228" w:type="dxa"/>
          </w:tcPr>
          <w:p w14:paraId="7518B01A" w14:textId="77777777" w:rsidR="00A350DA" w:rsidRPr="007E4DA1" w:rsidRDefault="00A350DA" w:rsidP="001A6584">
            <w:pPr>
              <w:keepNext/>
              <w:rPr>
                <w:szCs w:val="22"/>
              </w:rPr>
            </w:pPr>
            <w:r w:rsidRPr="007E4DA1">
              <w:rPr>
                <w:szCs w:val="22"/>
              </w:rPr>
              <w:t xml:space="preserve">&gt;150 000/µl do </w:t>
            </w:r>
            <w:r w:rsidRPr="007E4DA1">
              <w:rPr>
                <w:szCs w:val="22"/>
              </w:rPr>
              <w:sym w:font="Symbol" w:char="F0A3"/>
            </w:r>
            <w:r w:rsidRPr="007E4DA1">
              <w:rPr>
                <w:szCs w:val="22"/>
              </w:rPr>
              <w:t>250 000/µl</w:t>
            </w:r>
          </w:p>
        </w:tc>
        <w:tc>
          <w:tcPr>
            <w:tcW w:w="5880" w:type="dxa"/>
          </w:tcPr>
          <w:p w14:paraId="4F28C5D6" w14:textId="77777777" w:rsidR="00A350DA" w:rsidRPr="007E4DA1" w:rsidRDefault="00A350DA" w:rsidP="001A6584">
            <w:pPr>
              <w:keepNext/>
              <w:ind w:left="33" w:hanging="33"/>
              <w:rPr>
                <w:szCs w:val="22"/>
              </w:rPr>
            </w:pPr>
            <w:r w:rsidRPr="007E4DA1">
              <w:rPr>
                <w:szCs w:val="22"/>
              </w:rPr>
              <w:t>Zmniejszać dawkę dobową o 50 mg. Odczekać 2 tygodnie i ocenić wpływ tej i każdej kolejnej zmiany dawki.</w:t>
            </w:r>
          </w:p>
        </w:tc>
      </w:tr>
      <w:tr w:rsidR="00A350DA" w:rsidRPr="007E4DA1" w14:paraId="698A64DD" w14:textId="77777777" w:rsidTr="00CB1E5B">
        <w:trPr>
          <w:trHeight w:val="1137"/>
        </w:trPr>
        <w:tc>
          <w:tcPr>
            <w:tcW w:w="3228" w:type="dxa"/>
          </w:tcPr>
          <w:p w14:paraId="63709347" w14:textId="77777777" w:rsidR="00A350DA" w:rsidRPr="007E4DA1" w:rsidRDefault="00A350DA" w:rsidP="001A6584">
            <w:pPr>
              <w:rPr>
                <w:szCs w:val="22"/>
              </w:rPr>
            </w:pPr>
            <w:r w:rsidRPr="007E4DA1">
              <w:rPr>
                <w:szCs w:val="22"/>
              </w:rPr>
              <w:t>&gt;250 000/µl</w:t>
            </w:r>
          </w:p>
        </w:tc>
        <w:tc>
          <w:tcPr>
            <w:tcW w:w="5880" w:type="dxa"/>
          </w:tcPr>
          <w:p w14:paraId="70CEFD0E" w14:textId="77777777" w:rsidR="00A350DA" w:rsidRPr="007E4DA1" w:rsidRDefault="00A350DA" w:rsidP="001A6584">
            <w:pPr>
              <w:ind w:left="33" w:hanging="33"/>
              <w:rPr>
                <w:szCs w:val="22"/>
              </w:rPr>
            </w:pPr>
            <w:r w:rsidRPr="007E4DA1">
              <w:rPr>
                <w:szCs w:val="22"/>
              </w:rPr>
              <w:t>Przerwać leczenie eltrombopagiem; na co najmniej jeden tydzień.</w:t>
            </w:r>
          </w:p>
          <w:p w14:paraId="4FCF025D" w14:textId="77777777" w:rsidR="00A350DA" w:rsidRPr="007E4DA1" w:rsidRDefault="00A350DA" w:rsidP="001A6584">
            <w:pPr>
              <w:rPr>
                <w:szCs w:val="22"/>
              </w:rPr>
            </w:pPr>
          </w:p>
          <w:p w14:paraId="539A826D" w14:textId="77777777" w:rsidR="00A350DA" w:rsidRPr="007E4DA1" w:rsidRDefault="00A350DA" w:rsidP="001A6584">
            <w:pPr>
              <w:ind w:left="33" w:hanging="33"/>
              <w:rPr>
                <w:szCs w:val="22"/>
              </w:rPr>
            </w:pPr>
            <w:r w:rsidRPr="007E4DA1">
              <w:rPr>
                <w:szCs w:val="22"/>
              </w:rPr>
              <w:t>Jeśli liczba płytek krwi obniży się do wartości</w:t>
            </w:r>
            <w:r w:rsidRPr="007E4DA1">
              <w:t> </w:t>
            </w:r>
            <w:r w:rsidRPr="007E4DA1">
              <w:rPr>
                <w:szCs w:val="22"/>
              </w:rPr>
              <w:t>≤100 000/µl wznowić leczenie dawką dobową zmniejszoną o 50 mg.</w:t>
            </w:r>
          </w:p>
        </w:tc>
      </w:tr>
    </w:tbl>
    <w:p w14:paraId="7D4C673F" w14:textId="77777777" w:rsidR="00A350DA" w:rsidRPr="007E4DA1" w:rsidRDefault="00A350DA" w:rsidP="001A6584">
      <w:pPr>
        <w:tabs>
          <w:tab w:val="left" w:pos="142"/>
        </w:tabs>
        <w:ind w:left="0" w:firstLine="0"/>
      </w:pPr>
    </w:p>
    <w:p w14:paraId="7721CA7A" w14:textId="77777777" w:rsidR="00A350DA" w:rsidRPr="007E4DA1" w:rsidRDefault="00A350DA" w:rsidP="001A6584">
      <w:pPr>
        <w:keepNext/>
        <w:tabs>
          <w:tab w:val="left" w:pos="142"/>
        </w:tabs>
        <w:ind w:left="0" w:firstLine="0"/>
      </w:pPr>
      <w:r w:rsidRPr="007E4DA1">
        <w:rPr>
          <w:i/>
        </w:rPr>
        <w:t>Stopniowe zmniejszanie dawki u pacjentów z odpowiedzią trójliniową (leukocyty, erytrocyty i płytki krwi)</w:t>
      </w:r>
    </w:p>
    <w:p w14:paraId="6661AE6B" w14:textId="77777777" w:rsidR="00A350DA" w:rsidRPr="007E4DA1" w:rsidRDefault="00A350DA" w:rsidP="001A6584">
      <w:pPr>
        <w:tabs>
          <w:tab w:val="left" w:pos="142"/>
        </w:tabs>
        <w:ind w:left="0" w:firstLine="0"/>
      </w:pPr>
      <w:r w:rsidRPr="007E4DA1">
        <w:t>U pacjentów, którzy uzyskają odpowiedź trójliniową, w tym uniezależnienie od transfuzji, trwającą przynajmniej 8 tygodni: dawkę eltrombopagu można zmniejszyć o 50%.</w:t>
      </w:r>
    </w:p>
    <w:p w14:paraId="4C6D21B3" w14:textId="77777777" w:rsidR="00A350DA" w:rsidRPr="007E4DA1" w:rsidRDefault="00A350DA" w:rsidP="001A6584">
      <w:pPr>
        <w:tabs>
          <w:tab w:val="left" w:pos="142"/>
        </w:tabs>
        <w:ind w:left="0" w:firstLine="0"/>
      </w:pPr>
    </w:p>
    <w:p w14:paraId="11B2C046" w14:textId="77777777" w:rsidR="00A350DA" w:rsidRPr="007E4DA1" w:rsidRDefault="00A350DA" w:rsidP="001A6584">
      <w:pPr>
        <w:tabs>
          <w:tab w:val="left" w:pos="142"/>
        </w:tabs>
        <w:ind w:left="0" w:firstLine="0"/>
      </w:pPr>
      <w:r w:rsidRPr="007E4DA1">
        <w:t xml:space="preserve">Jeśli liczba komórek nie zmieni się po 8 tygodniach przy zmniejszonej dawce leku, eltrombopag </w:t>
      </w:r>
      <w:r w:rsidR="00620EA4" w:rsidRPr="007E4DA1">
        <w:t>trzeba</w:t>
      </w:r>
      <w:r w:rsidRPr="007E4DA1">
        <w:t xml:space="preserve"> odstawić i monitorować liczbę komórek krwi (morfologię krwi). Jeśli liczba płytek krwi spadnie do wartości &lt;30 000/μl, stężenie hemoglobiny zmniejszy się do &lt;9 g/dl lub całkowita liczba neutrofili (ANC – </w:t>
      </w:r>
      <w:r w:rsidRPr="007E4DA1">
        <w:rPr>
          <w:i/>
        </w:rPr>
        <w:t>absolute neutrophil count</w:t>
      </w:r>
      <w:r w:rsidRPr="007E4DA1">
        <w:t>) wyniesie &lt;0,5 x 10</w:t>
      </w:r>
      <w:r w:rsidRPr="007E4DA1">
        <w:rPr>
          <w:vertAlign w:val="superscript"/>
        </w:rPr>
        <w:t>9</w:t>
      </w:r>
      <w:r w:rsidRPr="007E4DA1">
        <w:t>/l, można wznowić leczenie eltrombopagiem we wcześniej stosowanej skutecznej dawce.</w:t>
      </w:r>
    </w:p>
    <w:p w14:paraId="1186F4A8" w14:textId="77777777" w:rsidR="00A350DA" w:rsidRPr="007E4DA1" w:rsidRDefault="00A350DA" w:rsidP="001A6584">
      <w:pPr>
        <w:tabs>
          <w:tab w:val="left" w:pos="142"/>
        </w:tabs>
        <w:ind w:left="0" w:firstLine="0"/>
      </w:pPr>
    </w:p>
    <w:p w14:paraId="01647F7E" w14:textId="77777777" w:rsidR="00A350DA" w:rsidRPr="007E4DA1" w:rsidRDefault="00A350DA" w:rsidP="001A6584">
      <w:pPr>
        <w:keepNext/>
        <w:tabs>
          <w:tab w:val="left" w:pos="142"/>
        </w:tabs>
        <w:ind w:left="0" w:firstLine="0"/>
      </w:pPr>
      <w:r w:rsidRPr="007E4DA1">
        <w:rPr>
          <w:i/>
        </w:rPr>
        <w:t>Przerwanie stosowania</w:t>
      </w:r>
    </w:p>
    <w:p w14:paraId="077BA991" w14:textId="5D706B32" w:rsidR="00A350DA" w:rsidRPr="007E4DA1" w:rsidRDefault="00A350DA" w:rsidP="001A6584">
      <w:pPr>
        <w:tabs>
          <w:tab w:val="left" w:pos="142"/>
        </w:tabs>
        <w:ind w:left="0" w:firstLine="0"/>
      </w:pPr>
      <w:r w:rsidRPr="007E4DA1">
        <w:t>Jeśli po 16</w:t>
      </w:r>
      <w:r w:rsidR="00C11D69" w:rsidRPr="007E4DA1">
        <w:t> </w:t>
      </w:r>
      <w:r w:rsidRPr="007E4DA1">
        <w:t xml:space="preserve">tygodniach leczenia eltrombopagiem nie uzyskano żadnej odpowiedzi hematologicznej, leczenie należy przerwać. Jeśli wystąpią nowe nieprawidłowości cytogenetyczne, </w:t>
      </w:r>
      <w:r w:rsidR="00620EA4" w:rsidRPr="007E4DA1">
        <w:t>trzeba</w:t>
      </w:r>
      <w:r w:rsidRPr="007E4DA1">
        <w:t xml:space="preserve"> ocenić, czy kontynuacja leczenia eltrombopagiem jest właściwa (patrz punkty 4.4</w:t>
      </w:r>
      <w:r w:rsidR="00C11D69" w:rsidRPr="007E4DA1">
        <w:t> </w:t>
      </w:r>
      <w:r w:rsidRPr="007E4DA1">
        <w:t>i</w:t>
      </w:r>
      <w:r w:rsidR="00C11D69" w:rsidRPr="007E4DA1">
        <w:t xml:space="preserve"> </w:t>
      </w:r>
      <w:r w:rsidRPr="007E4DA1">
        <w:t xml:space="preserve">4.8). Nadmierne odpowiedzi dotyczące liczby płytek krwi (przedstawione w </w:t>
      </w:r>
      <w:r w:rsidR="00C00A76">
        <w:t>t</w:t>
      </w:r>
      <w:r w:rsidRPr="007E4DA1">
        <w:t>abeli 3) lub istotne nieprawidłowości w wynikach badań wątroby również wymagają przerwania leczenia eltrombopagiem (patrz punkt 4.8).</w:t>
      </w:r>
    </w:p>
    <w:p w14:paraId="2E24DA46" w14:textId="77777777" w:rsidR="00A350DA" w:rsidRPr="007E4DA1" w:rsidRDefault="00A350DA" w:rsidP="001A6584">
      <w:pPr>
        <w:tabs>
          <w:tab w:val="left" w:pos="142"/>
        </w:tabs>
        <w:ind w:left="0" w:firstLine="0"/>
      </w:pPr>
    </w:p>
    <w:p w14:paraId="00ABB3EE" w14:textId="77777777" w:rsidR="00041A08" w:rsidRPr="00041A08" w:rsidRDefault="00A350DA" w:rsidP="001A6584">
      <w:pPr>
        <w:keepNext/>
        <w:tabs>
          <w:tab w:val="left" w:pos="142"/>
        </w:tabs>
        <w:ind w:left="0" w:firstLine="0"/>
      </w:pPr>
      <w:r w:rsidRPr="007E4DA1">
        <w:rPr>
          <w:i/>
          <w:u w:val="single"/>
        </w:rPr>
        <w:t>Szczególne grupy pacjentów</w:t>
      </w:r>
    </w:p>
    <w:p w14:paraId="5622555A" w14:textId="77777777" w:rsidR="00041A08" w:rsidRPr="00041A08" w:rsidRDefault="00041A08" w:rsidP="001A6584">
      <w:pPr>
        <w:keepNext/>
        <w:tabs>
          <w:tab w:val="left" w:pos="142"/>
        </w:tabs>
        <w:ind w:left="0" w:firstLine="0"/>
      </w:pPr>
    </w:p>
    <w:p w14:paraId="378B14CE" w14:textId="77777777" w:rsidR="00A350DA" w:rsidRPr="007E4DA1" w:rsidRDefault="00A350DA" w:rsidP="001A6584">
      <w:pPr>
        <w:keepNext/>
        <w:tabs>
          <w:tab w:val="left" w:pos="142"/>
        </w:tabs>
        <w:ind w:left="0" w:firstLine="0"/>
        <w:rPr>
          <w:iCs/>
        </w:rPr>
      </w:pPr>
      <w:r w:rsidRPr="007E4DA1">
        <w:rPr>
          <w:i/>
          <w:iCs/>
        </w:rPr>
        <w:t>Zaburzenia czynności nerek</w:t>
      </w:r>
    </w:p>
    <w:p w14:paraId="6DA9F5C7" w14:textId="77777777" w:rsidR="00A350DA" w:rsidRPr="007E4DA1" w:rsidRDefault="00A350DA" w:rsidP="001A6584">
      <w:pPr>
        <w:tabs>
          <w:tab w:val="left" w:pos="142"/>
        </w:tabs>
        <w:ind w:left="0" w:firstLine="0"/>
      </w:pPr>
      <w:r w:rsidRPr="007E4DA1">
        <w:t>U pacjentów z zaburzeniami czynności nerek nie jest konieczne dostosowanie dawki. U tych pacjentów eltrombopag należy stosować z ostrożnością i pod ścisłą kontrolą, z oceną stężenia kreatyniny w surowicy i/lub analizą moczu (patrz punkt</w:t>
      </w:r>
      <w:r w:rsidR="00C11D69" w:rsidRPr="007E4DA1">
        <w:t> </w:t>
      </w:r>
      <w:r w:rsidRPr="007E4DA1">
        <w:t>5.2).</w:t>
      </w:r>
    </w:p>
    <w:p w14:paraId="2C46D66B" w14:textId="77777777" w:rsidR="00A350DA" w:rsidRPr="007E4DA1" w:rsidRDefault="00A350DA" w:rsidP="001A6584">
      <w:pPr>
        <w:tabs>
          <w:tab w:val="left" w:pos="142"/>
        </w:tabs>
        <w:ind w:left="0" w:firstLine="0"/>
        <w:rPr>
          <w:rStyle w:val="CSIchar"/>
        </w:rPr>
      </w:pPr>
    </w:p>
    <w:p w14:paraId="349C9BEA" w14:textId="77777777" w:rsidR="00A350DA" w:rsidRPr="007E4DA1" w:rsidRDefault="00A350DA" w:rsidP="001A6584">
      <w:pPr>
        <w:keepNext/>
        <w:tabs>
          <w:tab w:val="left" w:pos="142"/>
        </w:tabs>
        <w:ind w:left="0" w:firstLine="0"/>
      </w:pPr>
      <w:r w:rsidRPr="007E4DA1">
        <w:rPr>
          <w:i/>
          <w:iCs/>
        </w:rPr>
        <w:t>Zaburzenia czynności wątroby</w:t>
      </w:r>
    </w:p>
    <w:p w14:paraId="77164010" w14:textId="77777777" w:rsidR="00A350DA" w:rsidRPr="007E4DA1" w:rsidRDefault="00A350DA" w:rsidP="001A6584">
      <w:pPr>
        <w:tabs>
          <w:tab w:val="left" w:pos="142"/>
          <w:tab w:val="left" w:pos="360"/>
        </w:tabs>
        <w:ind w:left="0" w:firstLine="0"/>
        <w:rPr>
          <w:szCs w:val="22"/>
        </w:rPr>
      </w:pPr>
      <w:r w:rsidRPr="007E4DA1">
        <w:rPr>
          <w:szCs w:val="22"/>
        </w:rPr>
        <w:t xml:space="preserve">Nie należy stosować eltrombopagu </w:t>
      </w:r>
      <w:r w:rsidRPr="007E4DA1">
        <w:t xml:space="preserve">u pacjentów z pierwotną małopłytkowością immunologiczną z zaburzeniami czynności wątroby (w skali Child-Pugh </w:t>
      </w:r>
      <w:r w:rsidRPr="007E4DA1">
        <w:rPr>
          <w:szCs w:val="22"/>
        </w:rPr>
        <w:t>≥5), chyba że oczekiwane korzyści przeważają zidentyfikowane ryzyko zakrzepicy żyły wrotnej (patrz punkt</w:t>
      </w:r>
      <w:r w:rsidR="00C11D69" w:rsidRPr="007E4DA1">
        <w:rPr>
          <w:szCs w:val="22"/>
        </w:rPr>
        <w:t> </w:t>
      </w:r>
      <w:r w:rsidRPr="007E4DA1">
        <w:rPr>
          <w:szCs w:val="22"/>
        </w:rPr>
        <w:t>4.4).</w:t>
      </w:r>
    </w:p>
    <w:p w14:paraId="2BA4A0C5" w14:textId="77777777" w:rsidR="00A350DA" w:rsidRPr="007E4DA1" w:rsidRDefault="00A350DA" w:rsidP="001A6584">
      <w:pPr>
        <w:tabs>
          <w:tab w:val="left" w:pos="142"/>
          <w:tab w:val="left" w:pos="360"/>
        </w:tabs>
        <w:ind w:left="0" w:firstLine="0"/>
      </w:pPr>
    </w:p>
    <w:p w14:paraId="65B88240" w14:textId="77777777" w:rsidR="00A350DA" w:rsidRPr="007E4DA1" w:rsidRDefault="00A350DA" w:rsidP="001A6584">
      <w:pPr>
        <w:tabs>
          <w:tab w:val="left" w:pos="142"/>
          <w:tab w:val="left" w:pos="360"/>
        </w:tabs>
        <w:ind w:left="0" w:firstLine="0"/>
      </w:pPr>
      <w:r w:rsidRPr="007E4DA1">
        <w:t xml:space="preserve">Jeśli lekarz uzna, że stosowanie eltrombopagu jest konieczne u pacjentów z pierwotną małopłytkowością immunologiczną z zaburzeniami czynności wątroby, to leczenie należy rozpoczynać od dawki 25 mg raz na dobę. Po rozpoczęciu podawania eltrombopagu u pacjentów z zaburzeniami czynności wątroby, należy </w:t>
      </w:r>
      <w:r w:rsidR="00036F72" w:rsidRPr="007E4DA1">
        <w:t>przestrzegać</w:t>
      </w:r>
      <w:r w:rsidRPr="007E4DA1">
        <w:t xml:space="preserve"> trzytygodni</w:t>
      </w:r>
      <w:r w:rsidR="00620EA4" w:rsidRPr="007E4DA1">
        <w:t>ow</w:t>
      </w:r>
      <w:r w:rsidR="00036F72" w:rsidRPr="007E4DA1">
        <w:t>ego odstępu</w:t>
      </w:r>
      <w:r w:rsidRPr="007E4DA1">
        <w:t xml:space="preserve"> przed zwiększeniem dawki.</w:t>
      </w:r>
    </w:p>
    <w:p w14:paraId="7269C589" w14:textId="77777777" w:rsidR="00A350DA" w:rsidRPr="007E4DA1" w:rsidRDefault="00A350DA" w:rsidP="001A6584">
      <w:pPr>
        <w:tabs>
          <w:tab w:val="left" w:pos="142"/>
        </w:tabs>
        <w:ind w:left="0" w:firstLine="0"/>
        <w:rPr>
          <w:bCs/>
        </w:rPr>
      </w:pPr>
    </w:p>
    <w:p w14:paraId="5ECC1560" w14:textId="3CCD33A2" w:rsidR="00A350DA" w:rsidRPr="007E4DA1" w:rsidRDefault="00A350DA" w:rsidP="001A6584">
      <w:pPr>
        <w:tabs>
          <w:tab w:val="left" w:pos="142"/>
        </w:tabs>
        <w:ind w:left="0" w:firstLine="0"/>
      </w:pPr>
      <w:r w:rsidRPr="007E4DA1">
        <w:lastRenderedPageBreak/>
        <w:t xml:space="preserve">Nie ma potrzeby dostosowania dawki u pacjentów z małopłytkowością zakażonych wirusem WZW C, a także u pacjentów z łagodnymi zaburzeniami czynności wątroby (wynik ≤6 w skali Child-Pugh). Pacjenci z przewlekłym zakażeniem wirusem WZW C oraz pacjenci z </w:t>
      </w:r>
      <w:r w:rsidR="00B67F6E">
        <w:t>SAA</w:t>
      </w:r>
      <w:r w:rsidRPr="007E4DA1">
        <w:t xml:space="preserve"> i zaburzeniami czynności wątroby powinni rozpoczynać przyjmowanie eltrombopagu w dawce 25 mg raz na dobę (patrz punkt 5.2). Po rozpoczęciu podawania eltrombopagu pacjentom z zaburzeniami czynności wątroby należy </w:t>
      </w:r>
      <w:r w:rsidR="00036F72" w:rsidRPr="007E4DA1">
        <w:t>przestrzegać</w:t>
      </w:r>
      <w:r w:rsidR="00620EA4" w:rsidRPr="007E4DA1">
        <w:t xml:space="preserve"> dwu</w:t>
      </w:r>
      <w:r w:rsidRPr="007E4DA1">
        <w:t>tygodni</w:t>
      </w:r>
      <w:r w:rsidR="00620EA4" w:rsidRPr="007E4DA1">
        <w:t>ow</w:t>
      </w:r>
      <w:r w:rsidR="00036F72" w:rsidRPr="007E4DA1">
        <w:t>ego odstępu</w:t>
      </w:r>
      <w:r w:rsidRPr="007E4DA1">
        <w:t xml:space="preserve"> przed zwiększeniem dawki.</w:t>
      </w:r>
    </w:p>
    <w:p w14:paraId="565CE069" w14:textId="77777777" w:rsidR="00A350DA" w:rsidRPr="007E4DA1" w:rsidRDefault="00A350DA" w:rsidP="001A6584">
      <w:pPr>
        <w:tabs>
          <w:tab w:val="left" w:pos="142"/>
        </w:tabs>
        <w:ind w:left="0" w:firstLine="0"/>
        <w:rPr>
          <w:szCs w:val="22"/>
        </w:rPr>
      </w:pPr>
    </w:p>
    <w:p w14:paraId="441A027F" w14:textId="77777777" w:rsidR="00A350DA" w:rsidRPr="007E4DA1" w:rsidRDefault="00A350DA" w:rsidP="001A6584">
      <w:pPr>
        <w:tabs>
          <w:tab w:val="left" w:pos="142"/>
        </w:tabs>
        <w:ind w:left="0" w:firstLine="0"/>
        <w:rPr>
          <w:szCs w:val="22"/>
        </w:rPr>
      </w:pPr>
      <w:r w:rsidRPr="007E4DA1">
        <w:t xml:space="preserve">Istnieje zwiększone ryzyko wystąpienia zdarzeń niepożądanych, w tym dekompensacji czynności wątroby i incydentów zakrzepowo-zatorowych </w:t>
      </w:r>
      <w:r w:rsidR="009C195E" w:rsidRPr="007E4DA1">
        <w:t xml:space="preserve">(ang. </w:t>
      </w:r>
      <w:r w:rsidR="009C195E" w:rsidRPr="007E4DA1">
        <w:rPr>
          <w:i/>
        </w:rPr>
        <w:t>thromboembolic events</w:t>
      </w:r>
      <w:r w:rsidR="009C195E" w:rsidRPr="007E4DA1">
        <w:t>, TEE</w:t>
      </w:r>
      <w:r w:rsidR="00451DED" w:rsidRPr="007E4DA1">
        <w:t>s</w:t>
      </w:r>
      <w:r w:rsidR="009C195E" w:rsidRPr="007E4DA1">
        <w:t xml:space="preserve">) </w:t>
      </w:r>
      <w:r w:rsidRPr="007E4DA1">
        <w:t>u pacjentów z małopłytkowością, z zaawansowaną przewlekłą chorobą wątroby leczonych eltrombopagiem w celu przygotowania do przeprowadzenia zabiegów inwazyjnych lub u pacjentów z małopłytkowością z WZW C, otrzymujących leczenie przeciwwirusowe, (patrz punkty 4.4 i 4.8).</w:t>
      </w:r>
    </w:p>
    <w:p w14:paraId="7E3137C2" w14:textId="77777777" w:rsidR="00041A08" w:rsidRPr="00041A08" w:rsidRDefault="00041A08" w:rsidP="001A6584">
      <w:pPr>
        <w:tabs>
          <w:tab w:val="left" w:pos="142"/>
        </w:tabs>
        <w:ind w:left="0" w:firstLine="0"/>
      </w:pPr>
    </w:p>
    <w:p w14:paraId="59439B87" w14:textId="77777777" w:rsidR="00041A08" w:rsidRPr="00041A08" w:rsidRDefault="00A350DA" w:rsidP="001A6584">
      <w:pPr>
        <w:keepNext/>
        <w:tabs>
          <w:tab w:val="left" w:pos="142"/>
        </w:tabs>
        <w:ind w:left="0" w:firstLine="0"/>
      </w:pPr>
      <w:r w:rsidRPr="007E4DA1">
        <w:rPr>
          <w:i/>
          <w:iCs/>
        </w:rPr>
        <w:t>Pacjenci w podeszłym wieku</w:t>
      </w:r>
    </w:p>
    <w:p w14:paraId="28583B63" w14:textId="343E68B4" w:rsidR="00A350DA" w:rsidRPr="007E4DA1" w:rsidRDefault="00A350DA" w:rsidP="001A6584">
      <w:pPr>
        <w:tabs>
          <w:tab w:val="left" w:pos="142"/>
        </w:tabs>
        <w:ind w:left="0" w:firstLine="0"/>
      </w:pPr>
      <w:r w:rsidRPr="007E4DA1">
        <w:t>Dostępnych jest niewiele danych na temat stosowania eltrombopagu u pacjentów w wieku 65</w:t>
      </w:r>
      <w:r w:rsidR="00C11D69" w:rsidRPr="007E4DA1">
        <w:t> </w:t>
      </w:r>
      <w:r w:rsidRPr="007E4DA1">
        <w:t>lat i starszych z pierwotną małopłytkowością immunologiczną, natomiast nie są dostępne żadne doświadczenia kliniczne dotyczące takich pacjentów w wieku powyżej 85 lat. Ogólnie w badaniach klinicznych nie stwierdzono znamiennych klinicznie różnic pod względem bezpieczeństwa stosowania eltrombopagu u pacjentów w wieku co najmniej 65</w:t>
      </w:r>
      <w:r w:rsidR="00C11D69" w:rsidRPr="007E4DA1">
        <w:t> </w:t>
      </w:r>
      <w:r w:rsidRPr="007E4DA1">
        <w:t>lat w porównaniu do młodszych pacjentów. Inne dane kliniczne nie wykazały różnic w odpowiedzi na leczenie u pacjentów w podeszłym wieku w porównaniu z młodszymi pacjentami, jednak nie można wykluczyć większej wrażliwości niektórych osób w starszym wieku (patrz punkt 5.2).</w:t>
      </w:r>
    </w:p>
    <w:p w14:paraId="5BEB040E" w14:textId="77777777" w:rsidR="00A350DA" w:rsidRPr="007E4DA1" w:rsidRDefault="00A350DA" w:rsidP="001A6584">
      <w:pPr>
        <w:tabs>
          <w:tab w:val="left" w:pos="142"/>
        </w:tabs>
        <w:ind w:left="0" w:firstLine="0"/>
      </w:pPr>
    </w:p>
    <w:p w14:paraId="620764AD" w14:textId="77777777" w:rsidR="00A350DA" w:rsidRPr="007E4DA1" w:rsidRDefault="00A350DA" w:rsidP="001A6584">
      <w:pPr>
        <w:tabs>
          <w:tab w:val="left" w:pos="142"/>
        </w:tabs>
        <w:ind w:left="0" w:firstLine="0"/>
        <w:rPr>
          <w:szCs w:val="22"/>
        </w:rPr>
      </w:pPr>
      <w:r w:rsidRPr="007E4DA1">
        <w:t>Dane na temat stosowania eltrombopagu u pacjentów zakażonych wirusem WZW C i pacjentów z SAA w wieku powyżej 75 lat są ograniczone. U pacjentów takich należy zachować ostrożność (patrz punkt 4.4).</w:t>
      </w:r>
    </w:p>
    <w:p w14:paraId="4134FF85" w14:textId="77777777" w:rsidR="00041A08" w:rsidRPr="00041A08" w:rsidRDefault="00041A08" w:rsidP="001A6584">
      <w:pPr>
        <w:tabs>
          <w:tab w:val="left" w:pos="142"/>
        </w:tabs>
        <w:ind w:left="0" w:firstLine="0"/>
      </w:pPr>
    </w:p>
    <w:p w14:paraId="4433ED3C" w14:textId="77777777" w:rsidR="00A350DA" w:rsidRPr="007E4DA1" w:rsidRDefault="00A350DA" w:rsidP="001A6584">
      <w:pPr>
        <w:keepNext/>
        <w:tabs>
          <w:tab w:val="left" w:pos="142"/>
        </w:tabs>
        <w:ind w:left="0" w:firstLine="0"/>
        <w:rPr>
          <w:shd w:val="clear" w:color="auto" w:fill="CCCCCC"/>
        </w:rPr>
      </w:pPr>
      <w:r w:rsidRPr="007E4DA1">
        <w:rPr>
          <w:i/>
          <w:szCs w:val="22"/>
        </w:rPr>
        <w:t xml:space="preserve">Pacjenci pochodzenia </w:t>
      </w:r>
      <w:r w:rsidR="009C195E" w:rsidRPr="007E4DA1">
        <w:rPr>
          <w:i/>
          <w:szCs w:val="22"/>
        </w:rPr>
        <w:t>wschodnio-/południowo-wschodnio</w:t>
      </w:r>
      <w:r w:rsidRPr="007E4DA1">
        <w:rPr>
          <w:i/>
          <w:szCs w:val="22"/>
        </w:rPr>
        <w:t>azjatyckiego</w:t>
      </w:r>
    </w:p>
    <w:p w14:paraId="17210026" w14:textId="05920987" w:rsidR="00A350DA" w:rsidRPr="007E4DA1" w:rsidRDefault="00A350DA" w:rsidP="001A6584">
      <w:pPr>
        <w:tabs>
          <w:tab w:val="left" w:pos="142"/>
        </w:tabs>
        <w:ind w:left="0" w:firstLine="0"/>
      </w:pPr>
      <w:r w:rsidRPr="007E4DA1">
        <w:t xml:space="preserve">U </w:t>
      </w:r>
      <w:r w:rsidR="009C195E" w:rsidRPr="007E4DA1">
        <w:t xml:space="preserve">dorosłych </w:t>
      </w:r>
      <w:r w:rsidRPr="007E4DA1">
        <w:t>pacjentów</w:t>
      </w:r>
      <w:r w:rsidR="009C195E" w:rsidRPr="007E4DA1">
        <w:t xml:space="preserve"> oraz dzieci i młodzieży</w:t>
      </w:r>
      <w:r w:rsidRPr="007E4DA1">
        <w:t xml:space="preserve"> pochodzenia </w:t>
      </w:r>
      <w:r w:rsidR="009C195E" w:rsidRPr="007E4DA1">
        <w:t>wschodnio-/południowo-wschodnio</w:t>
      </w:r>
      <w:r w:rsidRPr="007E4DA1">
        <w:t>azjatyckiego, w tym u pacjentów z zaburzeniami czynności wątroby, leczenie eltrombopagiem należy rozpoczynać od dawki 25 mg raz na dobę (patrz punkt</w:t>
      </w:r>
      <w:r w:rsidR="00C11D69" w:rsidRPr="007E4DA1">
        <w:t> </w:t>
      </w:r>
      <w:r w:rsidRPr="007E4DA1">
        <w:t>5.2).</w:t>
      </w:r>
    </w:p>
    <w:p w14:paraId="680F741D" w14:textId="77777777" w:rsidR="00A350DA" w:rsidRPr="007E4DA1" w:rsidRDefault="00A350DA" w:rsidP="001A6584">
      <w:pPr>
        <w:tabs>
          <w:tab w:val="left" w:pos="142"/>
        </w:tabs>
        <w:ind w:left="0" w:firstLine="0"/>
      </w:pPr>
    </w:p>
    <w:p w14:paraId="33E67339" w14:textId="77777777" w:rsidR="00A350DA" w:rsidRPr="007E4DA1" w:rsidRDefault="00A350DA" w:rsidP="001A6584">
      <w:pPr>
        <w:tabs>
          <w:tab w:val="left" w:pos="142"/>
        </w:tabs>
        <w:ind w:left="0" w:firstLine="0"/>
      </w:pPr>
      <w:r w:rsidRPr="007E4DA1">
        <w:t>Należy kontrolować liczbę płytek krwi i postępować zgodnie ze standardowymi kryteriami dostosowywania dawki.</w:t>
      </w:r>
    </w:p>
    <w:p w14:paraId="2ADF20C2" w14:textId="77777777" w:rsidR="00A350DA" w:rsidRPr="007E4DA1" w:rsidRDefault="00A350DA" w:rsidP="001A6584">
      <w:pPr>
        <w:tabs>
          <w:tab w:val="left" w:pos="142"/>
        </w:tabs>
        <w:ind w:left="0" w:firstLine="0"/>
        <w:rPr>
          <w:szCs w:val="22"/>
        </w:rPr>
      </w:pPr>
    </w:p>
    <w:p w14:paraId="4CF87E27" w14:textId="77777777" w:rsidR="00A350DA" w:rsidRPr="007E4DA1" w:rsidRDefault="00A350DA" w:rsidP="001A6584">
      <w:pPr>
        <w:keepNext/>
        <w:tabs>
          <w:tab w:val="left" w:pos="142"/>
        </w:tabs>
        <w:ind w:left="0" w:firstLine="0"/>
        <w:rPr>
          <w:szCs w:val="22"/>
        </w:rPr>
      </w:pPr>
      <w:r w:rsidRPr="007E4DA1">
        <w:rPr>
          <w:i/>
        </w:rPr>
        <w:t>Dzieci i młodzież</w:t>
      </w:r>
    </w:p>
    <w:p w14:paraId="2C8B84E5" w14:textId="274298DB" w:rsidR="002459E7" w:rsidRDefault="001A2BDF" w:rsidP="001A6584">
      <w:pPr>
        <w:tabs>
          <w:tab w:val="left" w:pos="142"/>
        </w:tabs>
        <w:ind w:left="0" w:firstLine="0"/>
        <w:rPr>
          <w:szCs w:val="22"/>
        </w:rPr>
      </w:pPr>
      <w:r w:rsidRPr="007E4DA1">
        <w:rPr>
          <w:szCs w:val="22"/>
        </w:rPr>
        <w:t xml:space="preserve">Produkt leczniczy Revolade nie jest zalecany do stosowania u dzieci w wieku poniżej </w:t>
      </w:r>
      <w:r w:rsidR="00B67F6E">
        <w:rPr>
          <w:szCs w:val="22"/>
        </w:rPr>
        <w:t>1</w:t>
      </w:r>
      <w:r w:rsidR="00EC4057">
        <w:rPr>
          <w:szCs w:val="22"/>
        </w:rPr>
        <w:t> </w:t>
      </w:r>
      <w:r w:rsidRPr="007E4DA1">
        <w:rPr>
          <w:szCs w:val="22"/>
        </w:rPr>
        <w:t xml:space="preserve">roku z </w:t>
      </w:r>
      <w:r w:rsidR="00851248" w:rsidRPr="007E4DA1">
        <w:rPr>
          <w:szCs w:val="22"/>
        </w:rPr>
        <w:t>pierwotną</w:t>
      </w:r>
      <w:r w:rsidRPr="007E4DA1">
        <w:rPr>
          <w:szCs w:val="22"/>
        </w:rPr>
        <w:t xml:space="preserve"> małopłytkowością immunologiczną</w:t>
      </w:r>
      <w:r w:rsidR="00036F72" w:rsidRPr="007E4DA1">
        <w:rPr>
          <w:szCs w:val="22"/>
        </w:rPr>
        <w:t>,</w:t>
      </w:r>
      <w:r w:rsidRPr="007E4DA1">
        <w:rPr>
          <w:szCs w:val="22"/>
        </w:rPr>
        <w:t xml:space="preserve"> ze względu na brak wystarczających danych dotyczących bezpieczeństwa stosowania i skuteczności. </w:t>
      </w:r>
    </w:p>
    <w:p w14:paraId="48A87E2A" w14:textId="77777777" w:rsidR="002459E7" w:rsidRDefault="002459E7" w:rsidP="001A6584">
      <w:pPr>
        <w:tabs>
          <w:tab w:val="left" w:pos="142"/>
        </w:tabs>
        <w:ind w:left="0" w:firstLine="0"/>
        <w:rPr>
          <w:szCs w:val="22"/>
        </w:rPr>
      </w:pPr>
    </w:p>
    <w:p w14:paraId="54A19C72" w14:textId="2690FD7F" w:rsidR="002459E7" w:rsidRDefault="00A350DA" w:rsidP="001A6584">
      <w:pPr>
        <w:tabs>
          <w:tab w:val="left" w:pos="142"/>
        </w:tabs>
        <w:ind w:left="0" w:firstLine="0"/>
        <w:rPr>
          <w:szCs w:val="22"/>
        </w:rPr>
      </w:pPr>
      <w:r w:rsidRPr="007E4DA1">
        <w:rPr>
          <w:szCs w:val="22"/>
        </w:rPr>
        <w:t xml:space="preserve">Nie </w:t>
      </w:r>
      <w:r w:rsidR="001A2BDF" w:rsidRPr="007E4DA1">
        <w:rPr>
          <w:szCs w:val="22"/>
        </w:rPr>
        <w:t>określono</w:t>
      </w:r>
      <w:r w:rsidRPr="007E4DA1">
        <w:rPr>
          <w:szCs w:val="22"/>
        </w:rPr>
        <w:t xml:space="preserve"> bezpieczeństwa stosowania </w:t>
      </w:r>
      <w:r w:rsidR="001A2BDF" w:rsidRPr="007E4DA1">
        <w:rPr>
          <w:szCs w:val="22"/>
        </w:rPr>
        <w:t xml:space="preserve">ani skuteczności </w:t>
      </w:r>
      <w:r w:rsidRPr="007E4DA1">
        <w:rPr>
          <w:szCs w:val="22"/>
        </w:rPr>
        <w:t>eltrombopagu u dzieci i młodzieży (&lt;18</w:t>
      </w:r>
      <w:r w:rsidR="001B1D8E" w:rsidRPr="007E4DA1">
        <w:rPr>
          <w:szCs w:val="22"/>
        </w:rPr>
        <w:t> </w:t>
      </w:r>
      <w:r w:rsidRPr="007E4DA1">
        <w:rPr>
          <w:szCs w:val="22"/>
        </w:rPr>
        <w:t>lat)</w:t>
      </w:r>
      <w:r w:rsidR="00C11D69" w:rsidRPr="007E4DA1">
        <w:t xml:space="preserve"> </w:t>
      </w:r>
      <w:r w:rsidR="00036F72" w:rsidRPr="007E4DA1">
        <w:t>w małopłytkowości związanej z</w:t>
      </w:r>
      <w:r w:rsidR="00C11D69" w:rsidRPr="007E4DA1">
        <w:t xml:space="preserve"> przewlekłym wirusowym zapaleniem wątroby typu C</w:t>
      </w:r>
      <w:r w:rsidRPr="007E4DA1">
        <w:rPr>
          <w:szCs w:val="22"/>
        </w:rPr>
        <w:t xml:space="preserve">. </w:t>
      </w:r>
      <w:r w:rsidR="002459E7">
        <w:rPr>
          <w:szCs w:val="22"/>
        </w:rPr>
        <w:t>Dane nie są dostępne.</w:t>
      </w:r>
    </w:p>
    <w:p w14:paraId="6D7BA64A" w14:textId="77777777" w:rsidR="002459E7" w:rsidRDefault="002459E7" w:rsidP="001A6584">
      <w:pPr>
        <w:tabs>
          <w:tab w:val="left" w:pos="142"/>
        </w:tabs>
        <w:ind w:left="0" w:firstLine="0"/>
        <w:rPr>
          <w:szCs w:val="22"/>
        </w:rPr>
      </w:pPr>
    </w:p>
    <w:p w14:paraId="740C898A" w14:textId="227D99F3" w:rsidR="00A350DA" w:rsidRPr="007E4DA1" w:rsidRDefault="002459E7" w:rsidP="001A6584">
      <w:pPr>
        <w:tabs>
          <w:tab w:val="left" w:pos="142"/>
        </w:tabs>
        <w:ind w:left="0" w:firstLine="0"/>
        <w:rPr>
          <w:noProof/>
          <w:szCs w:val="22"/>
        </w:rPr>
      </w:pPr>
      <w:r>
        <w:rPr>
          <w:szCs w:val="22"/>
        </w:rPr>
        <w:t>Nie określono bezpieczeństwa stosowania ani skuteczności eltrombopagu u dzieci i młodzieży (&lt;18 lat) z SAA. Aktualne dane przedstawiono w punkcie 4.8, 5.1 i 5.2, ale brak zaleceń dotyczących dawkowania.</w:t>
      </w:r>
    </w:p>
    <w:p w14:paraId="20055823" w14:textId="77777777" w:rsidR="00A350DA" w:rsidRPr="007E4DA1" w:rsidRDefault="00A350DA" w:rsidP="001A6584">
      <w:pPr>
        <w:tabs>
          <w:tab w:val="left" w:pos="142"/>
        </w:tabs>
        <w:ind w:left="0" w:firstLine="0"/>
      </w:pPr>
    </w:p>
    <w:p w14:paraId="647152E5" w14:textId="77777777" w:rsidR="00041A08" w:rsidRPr="00041A08" w:rsidRDefault="00A350DA" w:rsidP="001A6584">
      <w:pPr>
        <w:keepNext/>
        <w:tabs>
          <w:tab w:val="left" w:pos="142"/>
        </w:tabs>
        <w:ind w:left="0" w:firstLine="0"/>
      </w:pPr>
      <w:r w:rsidRPr="007E4DA1">
        <w:rPr>
          <w:u w:val="single"/>
        </w:rPr>
        <w:t>Sposób podawania</w:t>
      </w:r>
      <w:r w:rsidR="00A6158A" w:rsidRPr="007E4DA1">
        <w:rPr>
          <w:u w:val="single"/>
        </w:rPr>
        <w:t xml:space="preserve"> (patrz punkt 6.6)</w:t>
      </w:r>
    </w:p>
    <w:p w14:paraId="5D947316" w14:textId="293B567A" w:rsidR="00A350DA" w:rsidRPr="007E4DA1" w:rsidRDefault="00A350DA" w:rsidP="001A6584">
      <w:pPr>
        <w:keepNext/>
        <w:tabs>
          <w:tab w:val="left" w:pos="142"/>
        </w:tabs>
        <w:ind w:left="0" w:firstLine="0"/>
      </w:pPr>
    </w:p>
    <w:p w14:paraId="230FF2AD" w14:textId="77777777" w:rsidR="001A2BDF" w:rsidRPr="007E4DA1" w:rsidRDefault="00A350DA" w:rsidP="001A6584">
      <w:pPr>
        <w:pStyle w:val="listbull"/>
        <w:keepNext/>
        <w:numPr>
          <w:ilvl w:val="0"/>
          <w:numId w:val="0"/>
        </w:numPr>
        <w:tabs>
          <w:tab w:val="left" w:pos="142"/>
        </w:tabs>
        <w:spacing w:after="0"/>
        <w:rPr>
          <w:sz w:val="20"/>
          <w:szCs w:val="22"/>
          <w:lang w:val="pl-PL"/>
        </w:rPr>
      </w:pPr>
      <w:r w:rsidRPr="007E4DA1">
        <w:rPr>
          <w:sz w:val="22"/>
          <w:szCs w:val="22"/>
          <w:lang w:val="pl-PL"/>
        </w:rPr>
        <w:t>Podanie doustne</w:t>
      </w:r>
      <w:r w:rsidR="00C97103" w:rsidRPr="007E4DA1">
        <w:rPr>
          <w:sz w:val="22"/>
          <w:szCs w:val="22"/>
          <w:lang w:val="pl-PL"/>
        </w:rPr>
        <w:t>.</w:t>
      </w:r>
    </w:p>
    <w:p w14:paraId="35DDAEF7" w14:textId="4022D6C5" w:rsidR="00A350DA" w:rsidRPr="007E4DA1" w:rsidRDefault="00D64589" w:rsidP="001A6584">
      <w:pPr>
        <w:pStyle w:val="listbull"/>
        <w:numPr>
          <w:ilvl w:val="0"/>
          <w:numId w:val="0"/>
        </w:numPr>
        <w:tabs>
          <w:tab w:val="left" w:pos="142"/>
        </w:tabs>
        <w:spacing w:after="0"/>
        <w:rPr>
          <w:color w:val="000000"/>
          <w:sz w:val="22"/>
          <w:szCs w:val="22"/>
          <w:lang w:val="pl-PL"/>
        </w:rPr>
      </w:pPr>
      <w:r w:rsidRPr="007E4DA1">
        <w:rPr>
          <w:sz w:val="22"/>
          <w:lang w:val="pl-PL"/>
        </w:rPr>
        <w:t>Zawiesinę</w:t>
      </w:r>
      <w:r w:rsidR="00A350DA" w:rsidRPr="007E4DA1">
        <w:rPr>
          <w:sz w:val="22"/>
          <w:lang w:val="pl-PL"/>
        </w:rPr>
        <w:t xml:space="preserve"> należy przyjmować przynajmniej </w:t>
      </w:r>
      <w:r w:rsidR="001A2BDF" w:rsidRPr="007E4DA1">
        <w:rPr>
          <w:sz w:val="22"/>
          <w:lang w:val="pl-PL"/>
        </w:rPr>
        <w:t>dwie</w:t>
      </w:r>
      <w:r w:rsidR="00A350DA" w:rsidRPr="007E4DA1">
        <w:rPr>
          <w:sz w:val="22"/>
          <w:lang w:val="pl-PL"/>
        </w:rPr>
        <w:t xml:space="preserve"> godziny przed lub cztery godziny po jakimkolwiek innym produkcie </w:t>
      </w:r>
      <w:r w:rsidR="00E21164" w:rsidRPr="00353671">
        <w:rPr>
          <w:sz w:val="22"/>
          <w:szCs w:val="22"/>
          <w:lang w:val="pl-PL"/>
        </w:rPr>
        <w:t xml:space="preserve">zawierającym kationy wielowartościowe (np. żelazo, wapń, magnez, glin, selen i cynk) </w:t>
      </w:r>
      <w:r w:rsidR="00A350DA" w:rsidRPr="007E4DA1">
        <w:rPr>
          <w:sz w:val="22"/>
          <w:lang w:val="pl-PL"/>
        </w:rPr>
        <w:t>z następujących kategorii: środki zobojętniające kwas żołądkowy, nabiał (lub inne produkty żywieniowe zawierające wapń)</w:t>
      </w:r>
      <w:r w:rsidR="00E21164">
        <w:rPr>
          <w:sz w:val="22"/>
          <w:lang w:val="pl-PL"/>
        </w:rPr>
        <w:t xml:space="preserve"> lub</w:t>
      </w:r>
      <w:r w:rsidR="00A350DA" w:rsidRPr="007E4DA1">
        <w:rPr>
          <w:sz w:val="22"/>
          <w:lang w:val="pl-PL"/>
        </w:rPr>
        <w:t xml:space="preserve"> suplementy mineralne (patrz punkty</w:t>
      </w:r>
      <w:r w:rsidR="00406FA8" w:rsidRPr="007E4DA1">
        <w:rPr>
          <w:sz w:val="22"/>
          <w:lang w:val="pl-PL"/>
        </w:rPr>
        <w:t> </w:t>
      </w:r>
      <w:r w:rsidR="00A350DA" w:rsidRPr="007E4DA1">
        <w:rPr>
          <w:sz w:val="22"/>
          <w:lang w:val="pl-PL"/>
        </w:rPr>
        <w:t>4.5 i 5.2)</w:t>
      </w:r>
      <w:r w:rsidR="00A350DA" w:rsidRPr="007E4DA1">
        <w:rPr>
          <w:color w:val="000000"/>
          <w:sz w:val="22"/>
          <w:lang w:val="pl-PL"/>
        </w:rPr>
        <w:t>.</w:t>
      </w:r>
    </w:p>
    <w:p w14:paraId="148E0496" w14:textId="77777777" w:rsidR="00A350DA" w:rsidRPr="007E4DA1" w:rsidRDefault="00A350DA" w:rsidP="001A6584">
      <w:pPr>
        <w:tabs>
          <w:tab w:val="left" w:pos="142"/>
        </w:tabs>
        <w:ind w:left="0" w:firstLine="0"/>
      </w:pPr>
    </w:p>
    <w:p w14:paraId="2752B394" w14:textId="77777777" w:rsidR="00A350DA" w:rsidRPr="007E4DA1" w:rsidRDefault="00A350DA" w:rsidP="001A6584">
      <w:pPr>
        <w:keepNext/>
      </w:pPr>
      <w:r w:rsidRPr="007E4DA1">
        <w:rPr>
          <w:b/>
        </w:rPr>
        <w:lastRenderedPageBreak/>
        <w:t>4.3</w:t>
      </w:r>
      <w:r w:rsidRPr="007E4DA1">
        <w:rPr>
          <w:b/>
        </w:rPr>
        <w:tab/>
        <w:t>Przeciwwskazania</w:t>
      </w:r>
    </w:p>
    <w:p w14:paraId="2ABFFA60" w14:textId="77777777" w:rsidR="00A350DA" w:rsidRPr="007E4DA1" w:rsidRDefault="00A350DA" w:rsidP="001A6584">
      <w:pPr>
        <w:keepNext/>
        <w:tabs>
          <w:tab w:val="left" w:pos="142"/>
        </w:tabs>
        <w:ind w:left="0" w:firstLine="0"/>
      </w:pPr>
    </w:p>
    <w:p w14:paraId="21F504E7" w14:textId="77777777" w:rsidR="00A350DA" w:rsidRPr="007E4DA1" w:rsidRDefault="00A350DA" w:rsidP="001A6584">
      <w:pPr>
        <w:tabs>
          <w:tab w:val="left" w:pos="142"/>
        </w:tabs>
        <w:ind w:left="0" w:firstLine="0"/>
      </w:pPr>
      <w:r w:rsidRPr="007E4DA1">
        <w:t>Nadwrażliwość na eltrombopag lub na którąkolwiek substancję pomocniczą wymienioną w punkcie</w:t>
      </w:r>
      <w:r w:rsidR="00F04447" w:rsidRPr="007E4DA1">
        <w:t> </w:t>
      </w:r>
      <w:r w:rsidRPr="007E4DA1">
        <w:t>6.1.</w:t>
      </w:r>
    </w:p>
    <w:p w14:paraId="4FC9C518" w14:textId="77777777" w:rsidR="00A350DA" w:rsidRPr="007E4DA1" w:rsidRDefault="00A350DA" w:rsidP="001A6584">
      <w:pPr>
        <w:tabs>
          <w:tab w:val="left" w:pos="142"/>
        </w:tabs>
        <w:ind w:left="0" w:firstLine="0"/>
      </w:pPr>
    </w:p>
    <w:p w14:paraId="76481AF4" w14:textId="77777777" w:rsidR="00041A08" w:rsidRPr="00041A08" w:rsidRDefault="00A350DA" w:rsidP="001A6584">
      <w:pPr>
        <w:keepNext/>
        <w:tabs>
          <w:tab w:val="left" w:pos="-16018"/>
        </w:tabs>
      </w:pPr>
      <w:r w:rsidRPr="007E4DA1">
        <w:rPr>
          <w:b/>
        </w:rPr>
        <w:t>4.4</w:t>
      </w:r>
      <w:r w:rsidRPr="007E4DA1">
        <w:rPr>
          <w:b/>
        </w:rPr>
        <w:tab/>
        <w:t>Specjalne ostrzeżenia i środki ostrożności dotyczące stosowania</w:t>
      </w:r>
    </w:p>
    <w:p w14:paraId="783D729C" w14:textId="658339AA" w:rsidR="00A350DA" w:rsidRPr="007E4DA1" w:rsidRDefault="00A350DA" w:rsidP="001A6584">
      <w:pPr>
        <w:keepNext/>
        <w:tabs>
          <w:tab w:val="left" w:pos="142"/>
        </w:tabs>
        <w:ind w:left="0" w:firstLine="0"/>
      </w:pPr>
    </w:p>
    <w:p w14:paraId="6862BDC2" w14:textId="77777777" w:rsidR="00A350DA" w:rsidRPr="007E4DA1" w:rsidRDefault="00A350DA" w:rsidP="001A6584">
      <w:pPr>
        <w:keepNext/>
        <w:pBdr>
          <w:top w:val="single" w:sz="4" w:space="1" w:color="auto"/>
          <w:left w:val="single" w:sz="4" w:space="4" w:color="auto"/>
          <w:bottom w:val="single" w:sz="4" w:space="1" w:color="auto"/>
          <w:right w:val="single" w:sz="4" w:space="4" w:color="auto"/>
        </w:pBdr>
        <w:tabs>
          <w:tab w:val="left" w:pos="142"/>
        </w:tabs>
        <w:ind w:left="0" w:firstLine="0"/>
      </w:pPr>
      <w:r w:rsidRPr="007E4DA1">
        <w:t>U pacjentów z małopłytkowością zakażonych wirusem WZW C, u których stwierdzono zaawansowaną chorobę wątroby, zdefiniowaną jako małe stężenie albumin ≤35 g/l lub wynik ≥10 w skali MELD</w:t>
      </w:r>
      <w:r w:rsidR="00D64589" w:rsidRPr="007E4DA1">
        <w:t xml:space="preserve"> (ang. </w:t>
      </w:r>
      <w:r w:rsidR="00D64589" w:rsidRPr="007E4DA1">
        <w:rPr>
          <w:i/>
        </w:rPr>
        <w:t>model for end stage liver disease</w:t>
      </w:r>
      <w:r w:rsidR="00D64589" w:rsidRPr="007E4DA1">
        <w:t>)</w:t>
      </w:r>
      <w:r w:rsidRPr="007E4DA1">
        <w:t>, leczonych eltrombopagiem w skojarzeniu z terapią opartą na interferonie, istnieje zwiększone ryzyko działań niepożądanych, w tym dekompensacji czynności wątroby potencjalnie prowadzącej do zgonu oraz incydentów zakrzepowo-zatorowych. Ponadto korzyści z leczenia pod względem odsetka pacjentów osiągających trwałą odpowiedź wirusologiczną (SVR) w porównaniu z placebo były niewielkie w tej grupie pacjentów (zwłaszcza u osób z wyjściowym stężeniem albumin ≤35 g/l) w porównaniu z całą grupą (patrz punkt 5.1). Leczenie eltrombopagiem u tych pacjentów powinno być rozpoczynane wyłącznie przez lekarzy mających doświadczenie w leczeniu zaawansowanego WZW C i tylko wtedy, gdy ryzyko małopłytkowości lub wstrzymania leczenia przeciwwirusowego wymaga interwencji. Jeżeli leczenie zostanie uznane za wskazane klinicznie, wymagane jest ścisłe monitorowanie tych pacjentów.</w:t>
      </w:r>
    </w:p>
    <w:p w14:paraId="2F16BBAE" w14:textId="77777777" w:rsidR="00A350DA" w:rsidRPr="007E4DA1" w:rsidRDefault="00A350DA" w:rsidP="001A6584">
      <w:pPr>
        <w:tabs>
          <w:tab w:val="left" w:pos="142"/>
          <w:tab w:val="left" w:pos="450"/>
        </w:tabs>
        <w:ind w:left="0" w:firstLine="0"/>
        <w:rPr>
          <w:szCs w:val="22"/>
        </w:rPr>
      </w:pPr>
    </w:p>
    <w:p w14:paraId="33BF1B6B" w14:textId="77777777" w:rsidR="00041A08" w:rsidRPr="00041A08" w:rsidRDefault="00A350DA" w:rsidP="001A6584">
      <w:pPr>
        <w:keepNext/>
        <w:tabs>
          <w:tab w:val="left" w:pos="142"/>
          <w:tab w:val="left" w:pos="450"/>
        </w:tabs>
        <w:ind w:left="0" w:firstLine="0"/>
        <w:rPr>
          <w:szCs w:val="22"/>
        </w:rPr>
      </w:pPr>
      <w:r w:rsidRPr="007E4DA1">
        <w:rPr>
          <w:u w:val="single"/>
        </w:rPr>
        <w:t>Skojarzenie z lekami przeciwwirusowymi o działaniu bezpośrednim</w:t>
      </w:r>
    </w:p>
    <w:p w14:paraId="040F5E7F" w14:textId="6A860D74" w:rsidR="00A350DA" w:rsidRPr="007E4DA1" w:rsidRDefault="00A350DA" w:rsidP="001A6584">
      <w:pPr>
        <w:keepNext/>
        <w:tabs>
          <w:tab w:val="left" w:pos="142"/>
          <w:tab w:val="left" w:pos="450"/>
        </w:tabs>
        <w:ind w:left="0" w:firstLine="0"/>
        <w:rPr>
          <w:szCs w:val="22"/>
        </w:rPr>
      </w:pPr>
    </w:p>
    <w:p w14:paraId="5CA8D5FF" w14:textId="77777777" w:rsidR="00A350DA" w:rsidRPr="007E4DA1" w:rsidRDefault="00A350DA" w:rsidP="001A6584">
      <w:pPr>
        <w:tabs>
          <w:tab w:val="left" w:pos="142"/>
          <w:tab w:val="left" w:pos="450"/>
        </w:tabs>
        <w:ind w:left="0" w:firstLine="0"/>
        <w:rPr>
          <w:szCs w:val="22"/>
        </w:rPr>
      </w:pPr>
      <w:r w:rsidRPr="007E4DA1">
        <w:t>Nie ustalono bezpieczeństwa stosowania ani skuteczności w skojarzeniu z lekami przeciwwirusowymi o działaniu bezpośrednim, zarejestrowanymi do leczenia przewlekłego zakażenia wirusem zapalenia wątroby typu C.</w:t>
      </w:r>
    </w:p>
    <w:p w14:paraId="542689C0" w14:textId="77777777" w:rsidR="00A350DA" w:rsidRPr="007E4DA1" w:rsidRDefault="00A350DA" w:rsidP="001A6584">
      <w:pPr>
        <w:tabs>
          <w:tab w:val="left" w:pos="142"/>
        </w:tabs>
        <w:ind w:left="0" w:firstLine="0"/>
      </w:pPr>
    </w:p>
    <w:p w14:paraId="1AFF66DC" w14:textId="77777777" w:rsidR="00041A08" w:rsidRPr="00041A08" w:rsidRDefault="00A350DA" w:rsidP="001A6584">
      <w:pPr>
        <w:keepNext/>
        <w:tabs>
          <w:tab w:val="left" w:pos="142"/>
        </w:tabs>
        <w:ind w:left="0" w:firstLine="0"/>
        <w:rPr>
          <w:color w:val="000000"/>
          <w:szCs w:val="24"/>
        </w:rPr>
      </w:pPr>
      <w:r w:rsidRPr="007E4DA1">
        <w:rPr>
          <w:color w:val="000000"/>
          <w:szCs w:val="24"/>
          <w:u w:val="single"/>
        </w:rPr>
        <w:t>Ryzyko hepatotoksyczności</w:t>
      </w:r>
    </w:p>
    <w:p w14:paraId="66EEBC3C" w14:textId="458BB083" w:rsidR="00A350DA" w:rsidRPr="007E4DA1" w:rsidRDefault="00A350DA" w:rsidP="001A6584">
      <w:pPr>
        <w:keepNext/>
        <w:tabs>
          <w:tab w:val="left" w:pos="142"/>
        </w:tabs>
        <w:ind w:left="0" w:firstLine="0"/>
        <w:rPr>
          <w:color w:val="000000"/>
          <w:szCs w:val="24"/>
        </w:rPr>
      </w:pPr>
    </w:p>
    <w:p w14:paraId="6FB844AD" w14:textId="77777777" w:rsidR="00A350DA" w:rsidRPr="007E4DA1" w:rsidRDefault="00A350DA" w:rsidP="001A6584">
      <w:pPr>
        <w:tabs>
          <w:tab w:val="left" w:pos="142"/>
        </w:tabs>
        <w:ind w:left="0" w:firstLine="0"/>
        <w:rPr>
          <w:color w:val="000000"/>
          <w:szCs w:val="22"/>
          <w:shd w:val="clear" w:color="auto" w:fill="CCCCCC"/>
        </w:rPr>
      </w:pPr>
      <w:r w:rsidRPr="007E4DA1">
        <w:rPr>
          <w:color w:val="000000"/>
          <w:szCs w:val="22"/>
        </w:rPr>
        <w:t>Stosowanie eltrombopagu może wywołać zaburzenia czynności wątroby</w:t>
      </w:r>
      <w:r w:rsidR="00B101AD" w:rsidRPr="007E4DA1">
        <w:rPr>
          <w:color w:val="000000"/>
          <w:szCs w:val="22"/>
        </w:rPr>
        <w:t xml:space="preserve"> i ciężką hepatotoksyczność, która może stanowić zagrożenie życia</w:t>
      </w:r>
      <w:r w:rsidRPr="007E4DA1">
        <w:rPr>
          <w:color w:val="000000"/>
          <w:szCs w:val="22"/>
        </w:rPr>
        <w:t xml:space="preserve"> </w:t>
      </w:r>
      <w:r w:rsidRPr="007E4DA1">
        <w:rPr>
          <w:color w:val="000000"/>
        </w:rPr>
        <w:t>(patrz punkt</w:t>
      </w:r>
      <w:r w:rsidR="00406FA8" w:rsidRPr="007E4DA1">
        <w:rPr>
          <w:color w:val="000000"/>
        </w:rPr>
        <w:t> </w:t>
      </w:r>
      <w:r w:rsidRPr="007E4DA1">
        <w:rPr>
          <w:color w:val="000000"/>
        </w:rPr>
        <w:t>4.8).</w:t>
      </w:r>
    </w:p>
    <w:p w14:paraId="0B2F9CDC" w14:textId="77777777" w:rsidR="00A350DA" w:rsidRPr="007E4DA1" w:rsidRDefault="00A350DA" w:rsidP="001A6584">
      <w:pPr>
        <w:tabs>
          <w:tab w:val="left" w:pos="142"/>
        </w:tabs>
        <w:ind w:left="0" w:firstLine="0"/>
        <w:rPr>
          <w:color w:val="000000"/>
          <w:szCs w:val="22"/>
        </w:rPr>
      </w:pPr>
    </w:p>
    <w:p w14:paraId="3CA148B6" w14:textId="77777777" w:rsidR="00A350DA" w:rsidRPr="007E4DA1" w:rsidRDefault="00A350DA" w:rsidP="001A6584">
      <w:pPr>
        <w:keepNext/>
        <w:tabs>
          <w:tab w:val="left" w:pos="142"/>
        </w:tabs>
        <w:ind w:left="0" w:firstLine="0"/>
        <w:rPr>
          <w:color w:val="000000"/>
        </w:rPr>
      </w:pPr>
      <w:r w:rsidRPr="007E4DA1">
        <w:rPr>
          <w:color w:val="000000"/>
        </w:rPr>
        <w:t>Przed rozpoczęciem leczenia eltrombopagiem, co 2</w:t>
      </w:r>
      <w:r w:rsidR="00406FA8" w:rsidRPr="007E4DA1">
        <w:rPr>
          <w:color w:val="000000"/>
        </w:rPr>
        <w:t> </w:t>
      </w:r>
      <w:r w:rsidRPr="007E4DA1">
        <w:rPr>
          <w:color w:val="000000"/>
        </w:rPr>
        <w:t xml:space="preserve">tygodnie w czasie okresu dostosowywania dawki oraz co miesiąc po ustaleniu stałej dawki, należy oznaczać aktywność </w:t>
      </w:r>
      <w:r w:rsidR="0020439B" w:rsidRPr="007E4DA1">
        <w:rPr>
          <w:color w:val="000000"/>
        </w:rPr>
        <w:t>aminotransferazy alaninowej (</w:t>
      </w:r>
      <w:r w:rsidRPr="007E4DA1">
        <w:rPr>
          <w:color w:val="000000"/>
        </w:rPr>
        <w:t>AlAT</w:t>
      </w:r>
      <w:r w:rsidR="0020439B" w:rsidRPr="007E4DA1">
        <w:rPr>
          <w:color w:val="000000"/>
        </w:rPr>
        <w:t>)</w:t>
      </w:r>
      <w:r w:rsidRPr="007E4DA1">
        <w:rPr>
          <w:color w:val="000000"/>
        </w:rPr>
        <w:t xml:space="preserve">, </w:t>
      </w:r>
      <w:r w:rsidR="0020439B" w:rsidRPr="007E4DA1">
        <w:rPr>
          <w:color w:val="000000"/>
        </w:rPr>
        <w:t>aminotranferazy asparaginianowej (</w:t>
      </w:r>
      <w:r w:rsidRPr="007E4DA1">
        <w:rPr>
          <w:color w:val="000000"/>
        </w:rPr>
        <w:t>AspAT</w:t>
      </w:r>
      <w:r w:rsidR="0020439B" w:rsidRPr="007E4DA1">
        <w:rPr>
          <w:color w:val="000000"/>
        </w:rPr>
        <w:t>)</w:t>
      </w:r>
      <w:r w:rsidRPr="007E4DA1">
        <w:rPr>
          <w:color w:val="000000"/>
        </w:rPr>
        <w:t xml:space="preserve"> i stężenie bilirubiny w surowicy. </w:t>
      </w:r>
      <w:r w:rsidRPr="007E4DA1">
        <w:t xml:space="preserve">Eltrombopag hamuje UGT1A1 i OATP1B1, co może prowadzić do pośredniej hiperbilirubinemii. W przypadku podwyższonego stężenia bilirubiny należy przeprowadzić </w:t>
      </w:r>
      <w:r w:rsidR="00DB0C89" w:rsidRPr="007E4DA1">
        <w:t>badanie jej frakcji</w:t>
      </w:r>
      <w:r w:rsidRPr="007E4DA1">
        <w:t xml:space="preserve">. </w:t>
      </w:r>
      <w:r w:rsidRPr="007E4DA1">
        <w:rPr>
          <w:color w:val="000000"/>
        </w:rPr>
        <w:t>W przypadku nieprawidłowych wyników badań czynności wątroby badania należy powtórzyć po 3 do 5</w:t>
      </w:r>
      <w:r w:rsidR="00406FA8" w:rsidRPr="007E4DA1">
        <w:rPr>
          <w:color w:val="000000"/>
        </w:rPr>
        <w:t> </w:t>
      </w:r>
      <w:r w:rsidRPr="007E4DA1">
        <w:rPr>
          <w:color w:val="000000"/>
        </w:rPr>
        <w:t>dniach. Jeśli nieprawidłowe wyniki zostaną potwierdzone, należy monitorować wyniki badań czynności wątroby, do czasu kiedy wyniki ulegną normalizacji, stabilizacji lub powrócą do wartości sprzed rozpoczęcia terapii. Stosowanie eltrombopagu należy przerwać, jeśli aktywność AlAT zwiększy się (</w:t>
      </w:r>
      <w:r w:rsidRPr="007E4DA1">
        <w:rPr>
          <w:color w:val="000000"/>
        </w:rPr>
        <w:sym w:font="Symbol" w:char="F0B3"/>
      </w:r>
      <w:r w:rsidRPr="007E4DA1">
        <w:rPr>
          <w:color w:val="000000"/>
        </w:rPr>
        <w:t>3</w:t>
      </w:r>
      <w:r w:rsidR="00D64589" w:rsidRPr="007E4DA1">
        <w:rPr>
          <w:color w:val="000000"/>
        </w:rPr>
        <w:t> </w:t>
      </w:r>
      <w:r w:rsidR="0020439B" w:rsidRPr="007E4DA1">
        <w:rPr>
          <w:color w:val="000000"/>
        </w:rPr>
        <w:t>razy górna granica normy [</w:t>
      </w:r>
      <w:r w:rsidRPr="007E4DA1">
        <w:rPr>
          <w:color w:val="000000"/>
        </w:rPr>
        <w:t>x</w:t>
      </w:r>
      <w:r w:rsidR="00D64589" w:rsidRPr="007E4DA1">
        <w:rPr>
          <w:color w:val="000000"/>
        </w:rPr>
        <w:t> </w:t>
      </w:r>
      <w:r w:rsidRPr="007E4DA1">
        <w:rPr>
          <w:color w:val="000000"/>
        </w:rPr>
        <w:t>GGN</w:t>
      </w:r>
      <w:r w:rsidR="0020439B" w:rsidRPr="007E4DA1">
        <w:rPr>
          <w:color w:val="000000"/>
        </w:rPr>
        <w:t>]</w:t>
      </w:r>
      <w:r w:rsidRPr="007E4DA1">
        <w:rPr>
          <w:color w:val="000000"/>
        </w:rPr>
        <w:t xml:space="preserve"> </w:t>
      </w:r>
      <w:r w:rsidRPr="007E4DA1">
        <w:t>u pacjentów z prawidłową czynnością wątroby</w:t>
      </w:r>
      <w:r w:rsidR="00AA41D5" w:rsidRPr="007E4DA1">
        <w:t>,</w:t>
      </w:r>
      <w:r w:rsidRPr="007E4DA1">
        <w:t xml:space="preserve"> lub z wynikiem ≥3</w:t>
      </w:r>
      <w:r w:rsidR="00D64589" w:rsidRPr="007E4DA1">
        <w:t> x</w:t>
      </w:r>
      <w:r w:rsidRPr="007E4DA1">
        <w:t> wartość wyjściowa</w:t>
      </w:r>
      <w:r w:rsidR="00AA41D5" w:rsidRPr="007E4DA1">
        <w:t xml:space="preserve"> lub </w:t>
      </w:r>
      <w:r w:rsidR="00AA41D5" w:rsidRPr="007E4DA1">
        <w:rPr>
          <w:color w:val="000000"/>
        </w:rPr>
        <w:t>&gt;5 x GGN, którykolwiek z nich jest niższy,</w:t>
      </w:r>
      <w:r w:rsidRPr="007E4DA1">
        <w:t xml:space="preserve"> w przypadku pacjentów ze zwiększoną aktywnością transaminaz przed rozpoczęciem leczenia</w:t>
      </w:r>
      <w:r w:rsidR="00AA41D5" w:rsidRPr="007E4DA1">
        <w:t>)</w:t>
      </w:r>
      <w:r w:rsidRPr="007E4DA1">
        <w:t xml:space="preserve"> </w:t>
      </w:r>
      <w:r w:rsidRPr="007E4DA1">
        <w:rPr>
          <w:color w:val="000000"/>
        </w:rPr>
        <w:t>i:</w:t>
      </w:r>
    </w:p>
    <w:p w14:paraId="126F4F14" w14:textId="77777777" w:rsidR="00A350DA" w:rsidRPr="007E4DA1" w:rsidRDefault="00A350DA" w:rsidP="001A6584">
      <w:pPr>
        <w:pStyle w:val="LBLBulletStyle1"/>
        <w:keepNext/>
        <w:tabs>
          <w:tab w:val="clear" w:pos="360"/>
          <w:tab w:val="clear" w:pos="720"/>
          <w:tab w:val="clear" w:pos="994"/>
        </w:tabs>
        <w:spacing w:line="240" w:lineRule="auto"/>
        <w:ind w:left="567" w:hanging="567"/>
        <w:rPr>
          <w:color w:val="000000"/>
          <w:sz w:val="22"/>
          <w:szCs w:val="22"/>
          <w:lang w:val="pl-PL"/>
        </w:rPr>
      </w:pPr>
      <w:r w:rsidRPr="007E4DA1">
        <w:rPr>
          <w:sz w:val="22"/>
          <w:szCs w:val="22"/>
          <w:lang w:val="pl-PL"/>
        </w:rPr>
        <w:t>będzie się nadal zwiększać, lub</w:t>
      </w:r>
    </w:p>
    <w:p w14:paraId="53396764" w14:textId="77777777" w:rsidR="00A350DA" w:rsidRPr="007E4DA1" w:rsidRDefault="00A350DA" w:rsidP="001A6584">
      <w:pPr>
        <w:pStyle w:val="LBLBulletStyle1"/>
        <w:keepNext/>
        <w:tabs>
          <w:tab w:val="clear" w:pos="360"/>
          <w:tab w:val="clear" w:pos="720"/>
          <w:tab w:val="clear" w:pos="994"/>
        </w:tabs>
        <w:spacing w:line="240" w:lineRule="auto"/>
        <w:ind w:left="567" w:hanging="567"/>
        <w:rPr>
          <w:color w:val="000000"/>
          <w:sz w:val="22"/>
          <w:szCs w:val="22"/>
          <w:lang w:val="pl-PL"/>
        </w:rPr>
      </w:pPr>
      <w:r w:rsidRPr="007E4DA1">
        <w:rPr>
          <w:color w:val="000000"/>
          <w:sz w:val="22"/>
          <w:szCs w:val="22"/>
          <w:lang w:val="pl-PL"/>
        </w:rPr>
        <w:t>będzie utrzymywać się ≥4</w:t>
      </w:r>
      <w:r w:rsidR="00406FA8" w:rsidRPr="007E4DA1">
        <w:rPr>
          <w:color w:val="000000"/>
          <w:sz w:val="22"/>
          <w:szCs w:val="22"/>
          <w:lang w:val="pl-PL"/>
        </w:rPr>
        <w:t> </w:t>
      </w:r>
      <w:r w:rsidRPr="007E4DA1">
        <w:rPr>
          <w:color w:val="000000"/>
          <w:sz w:val="22"/>
          <w:szCs w:val="22"/>
          <w:lang w:val="pl-PL"/>
        </w:rPr>
        <w:t>tygodni, lub</w:t>
      </w:r>
    </w:p>
    <w:p w14:paraId="5C4038D9" w14:textId="77777777" w:rsidR="00A350DA" w:rsidRPr="007E4DA1" w:rsidRDefault="00A350DA" w:rsidP="001A6584">
      <w:pPr>
        <w:pStyle w:val="LBLBulletStyle1"/>
        <w:keepNext/>
        <w:tabs>
          <w:tab w:val="clear" w:pos="360"/>
          <w:tab w:val="clear" w:pos="720"/>
          <w:tab w:val="clear" w:pos="994"/>
        </w:tabs>
        <w:spacing w:line="240" w:lineRule="auto"/>
        <w:ind w:left="567" w:hanging="567"/>
        <w:rPr>
          <w:color w:val="000000"/>
          <w:sz w:val="22"/>
          <w:szCs w:val="22"/>
          <w:lang w:val="pl-PL"/>
        </w:rPr>
      </w:pPr>
      <w:r w:rsidRPr="007E4DA1">
        <w:rPr>
          <w:color w:val="000000"/>
          <w:sz w:val="22"/>
          <w:szCs w:val="22"/>
          <w:lang w:val="pl-PL"/>
        </w:rPr>
        <w:t>będzie związana ze zwiększeniem stężenia bilirubiny bezpośredniej, lub</w:t>
      </w:r>
    </w:p>
    <w:p w14:paraId="26D1CEA6" w14:textId="77777777" w:rsidR="00A350DA" w:rsidRPr="007E4DA1" w:rsidRDefault="00A350DA" w:rsidP="001A6584">
      <w:pPr>
        <w:pStyle w:val="LBLBulletStyle1"/>
        <w:tabs>
          <w:tab w:val="clear" w:pos="360"/>
          <w:tab w:val="clear" w:pos="720"/>
          <w:tab w:val="clear" w:pos="994"/>
        </w:tabs>
        <w:spacing w:line="240" w:lineRule="auto"/>
        <w:ind w:left="567" w:hanging="567"/>
        <w:rPr>
          <w:color w:val="000000"/>
          <w:sz w:val="22"/>
          <w:szCs w:val="22"/>
          <w:lang w:val="pl-PL"/>
        </w:rPr>
      </w:pPr>
      <w:r w:rsidRPr="007E4DA1">
        <w:rPr>
          <w:color w:val="000000"/>
          <w:sz w:val="22"/>
          <w:szCs w:val="22"/>
          <w:lang w:val="pl-PL"/>
        </w:rPr>
        <w:t>będzie związana z objawami klinicznymi uszkodzenia wątroby lub objawami dekompensacji wątroby.</w:t>
      </w:r>
    </w:p>
    <w:p w14:paraId="59F18CC5" w14:textId="77777777" w:rsidR="00A350DA" w:rsidRPr="007E4DA1" w:rsidRDefault="00A350DA" w:rsidP="001A6584">
      <w:pPr>
        <w:tabs>
          <w:tab w:val="left" w:pos="142"/>
        </w:tabs>
        <w:ind w:left="0" w:firstLine="0"/>
        <w:rPr>
          <w:color w:val="000000"/>
          <w:szCs w:val="22"/>
        </w:rPr>
      </w:pPr>
    </w:p>
    <w:p w14:paraId="22B252EF" w14:textId="77777777" w:rsidR="00A350DA" w:rsidRPr="007E4DA1" w:rsidRDefault="00A350DA" w:rsidP="001A6584">
      <w:pPr>
        <w:tabs>
          <w:tab w:val="left" w:pos="142"/>
        </w:tabs>
        <w:ind w:left="0" w:firstLine="0"/>
        <w:rPr>
          <w:color w:val="000000"/>
        </w:rPr>
      </w:pPr>
      <w:r w:rsidRPr="007E4DA1">
        <w:rPr>
          <w:color w:val="000000"/>
        </w:rPr>
        <w:t>Należy zachować ostrożność podczas stosowania eltrombopagu u pacjentów z chorobami wątroby. U pacjentów z pierwotną małopłytkowością immunologiczną i SAA należy zastosować mniejszą dawkę początkową eltrombopagu</w:t>
      </w:r>
      <w:r w:rsidR="00D64589" w:rsidRPr="007E4DA1">
        <w:rPr>
          <w:color w:val="000000"/>
        </w:rPr>
        <w:t>. Trzeba</w:t>
      </w:r>
      <w:r w:rsidRPr="007E4DA1">
        <w:rPr>
          <w:color w:val="000000"/>
        </w:rPr>
        <w:t xml:space="preserve"> ściśle monitorować pacjentów z zaburzeniami czynności wątroby podczas stosowania tego leku (patrz punkt</w:t>
      </w:r>
      <w:r w:rsidR="00406FA8" w:rsidRPr="007E4DA1">
        <w:rPr>
          <w:color w:val="000000"/>
        </w:rPr>
        <w:t> </w:t>
      </w:r>
      <w:r w:rsidRPr="007E4DA1">
        <w:rPr>
          <w:color w:val="000000"/>
        </w:rPr>
        <w:t>4.2).</w:t>
      </w:r>
    </w:p>
    <w:p w14:paraId="2E246DD9" w14:textId="77777777" w:rsidR="00A350DA" w:rsidRPr="007E4DA1" w:rsidRDefault="00A350DA" w:rsidP="001A6584">
      <w:pPr>
        <w:tabs>
          <w:tab w:val="left" w:pos="142"/>
        </w:tabs>
        <w:ind w:left="0" w:firstLine="0"/>
        <w:rPr>
          <w:color w:val="000000"/>
        </w:rPr>
      </w:pPr>
    </w:p>
    <w:p w14:paraId="20FAE0EA" w14:textId="77777777" w:rsidR="00041A08" w:rsidRPr="00041A08" w:rsidRDefault="00A350DA" w:rsidP="001A6584">
      <w:pPr>
        <w:keepNext/>
        <w:tabs>
          <w:tab w:val="left" w:pos="142"/>
        </w:tabs>
        <w:ind w:left="0" w:firstLine="0"/>
        <w:rPr>
          <w:szCs w:val="22"/>
        </w:rPr>
      </w:pPr>
      <w:r w:rsidRPr="007E4DA1">
        <w:rPr>
          <w:u w:val="single"/>
        </w:rPr>
        <w:lastRenderedPageBreak/>
        <w:t>Dekompensacja czynności wątroby (podczas stosowania w skojarzeniu z interferonem)</w:t>
      </w:r>
    </w:p>
    <w:p w14:paraId="2464044D" w14:textId="5319D485" w:rsidR="00A350DA" w:rsidRPr="007E4DA1" w:rsidRDefault="00A350DA" w:rsidP="001A6584">
      <w:pPr>
        <w:keepNext/>
        <w:tabs>
          <w:tab w:val="left" w:pos="142"/>
        </w:tabs>
        <w:ind w:left="0" w:firstLine="0"/>
        <w:rPr>
          <w:szCs w:val="22"/>
        </w:rPr>
      </w:pPr>
    </w:p>
    <w:p w14:paraId="2C05D078" w14:textId="77777777" w:rsidR="00A350DA" w:rsidRPr="007E4DA1" w:rsidRDefault="00A350DA" w:rsidP="001A6584">
      <w:pPr>
        <w:tabs>
          <w:tab w:val="left" w:pos="142"/>
        </w:tabs>
        <w:ind w:left="0" w:firstLine="0"/>
        <w:rPr>
          <w:rFonts w:eastAsia="MS Mincho"/>
        </w:rPr>
      </w:pPr>
      <w:r w:rsidRPr="007E4DA1">
        <w:t>Dekompensacja czynności wątroby u pacjentów z przewlekłym wirusowym zapaleniem wątroby typu C Należy monitorować pacjentów ze zmniejszonym stężeniem albumin (≤35 g/l) lub z wyjściowym wynikiem ≥10 w skali MELD.</w:t>
      </w:r>
    </w:p>
    <w:p w14:paraId="761B64E8" w14:textId="77777777" w:rsidR="00A350DA" w:rsidRPr="007E4DA1" w:rsidRDefault="00A350DA" w:rsidP="001A6584">
      <w:pPr>
        <w:tabs>
          <w:tab w:val="left" w:pos="142"/>
        </w:tabs>
        <w:ind w:left="0" w:firstLine="0"/>
      </w:pPr>
    </w:p>
    <w:p w14:paraId="13FB05E8" w14:textId="139627F9" w:rsidR="00A350DA" w:rsidRPr="007E4DA1" w:rsidRDefault="00A350DA" w:rsidP="001A6584">
      <w:pPr>
        <w:tabs>
          <w:tab w:val="left" w:pos="142"/>
        </w:tabs>
        <w:ind w:left="0" w:firstLine="0"/>
      </w:pPr>
      <w:r w:rsidRPr="007E4DA1">
        <w:t xml:space="preserve">Pacjenci z przewlekłym zakażeniem wirusem WZW C i marskością wątroby mogą być w grupie ryzyka dekompensacji czynności wątroby podczas otrzymywania leczenia interferonem alfa. </w:t>
      </w:r>
      <w:r w:rsidR="0090150C" w:rsidRPr="007E4DA1">
        <w:t>W</w:t>
      </w:r>
      <w:r w:rsidR="0090150C">
        <w:t> </w:t>
      </w:r>
      <w:r w:rsidR="009C195E" w:rsidRPr="007E4DA1">
        <w:t>dwóch</w:t>
      </w:r>
      <w:r w:rsidRPr="007E4DA1">
        <w:t xml:space="preserve"> kontrolowanych badaniach klinicznych z udziałem pacjentów z małopłytkowością i zakażeniem wirusem WZW C, </w:t>
      </w:r>
      <w:r w:rsidR="0020439B" w:rsidRPr="007E4DA1">
        <w:t xml:space="preserve">dekompensacją </w:t>
      </w:r>
      <w:r w:rsidRPr="007E4DA1">
        <w:t xml:space="preserve">czynności wątroby (wodobrzusze, encefalopatia wątrobowa, krwawienie z żylaków, spontaniczne bakteryjne zapalenie otrzewnej) </w:t>
      </w:r>
      <w:r w:rsidR="0020439B" w:rsidRPr="007E4DA1">
        <w:t xml:space="preserve">występowała </w:t>
      </w:r>
      <w:r w:rsidRPr="007E4DA1">
        <w:t>częściej w grupie eltrombopagu (11%) niż w grupie placebo (6%). U pacjentów ze zmniejszonym stężeniem albumin (≤35 g/l) lub</w:t>
      </w:r>
      <w:r w:rsidR="003E1B50" w:rsidRPr="007E4DA1">
        <w:t xml:space="preserve"> z</w:t>
      </w:r>
      <w:r w:rsidRPr="007E4DA1">
        <w:t xml:space="preserve"> wyjściowym wynikiem ≥10 w skali MELD ryzyko wystąpienia dekompensacji czynności wątroby było </w:t>
      </w:r>
      <w:r w:rsidR="0020439B" w:rsidRPr="007E4DA1">
        <w:t>3</w:t>
      </w:r>
      <w:r w:rsidR="00265FB7" w:rsidRPr="007E4DA1">
        <w:t> </w:t>
      </w:r>
      <w:r w:rsidR="0020439B" w:rsidRPr="007E4DA1">
        <w:t xml:space="preserve">razy </w:t>
      </w:r>
      <w:r w:rsidRPr="007E4DA1">
        <w:t xml:space="preserve">większe, jak też częściej występowały zdarzenia niepożądane zakończone zgonem niż wśród pacjentów z mniej zaawansowaną chorobą wątroby. Ponadto korzyści z leczenia pod względem odsetka pacjentów osiągających trwałą odpowiedź wirusologiczną (ang. </w:t>
      </w:r>
      <w:r w:rsidRPr="007E4DA1">
        <w:rPr>
          <w:i/>
        </w:rPr>
        <w:t>sustained virologic response</w:t>
      </w:r>
      <w:r w:rsidRPr="007E4DA1">
        <w:t>, SVR) w porównaniu z placebo były niewielkie w tej grupie pacjentów (zwłaszcza u osób z wyjściowym stężeniem albumin ≤35 g/l) w porównaniu z całą grupą. Eltrombopag należy podawać takim pacjentom tylko po starannym rozważeniu spodziewanych korzyści w stosunku do ryzyka. Pacjentów z tej grupy należy uważnie monitorować w celu wykrycia występowania objawów przedmiotowych lub podmiotowych dekompensacji czynności wątroby. Kryteria przerwania leczenia przedstawiono w odpowiedniej charakterystyce produktu leczniczego zawierającego interferon. Leczenie eltrombopagiem należy zakończyć w chwili przerwania leczenia przeciwwirusowego z powodu dekompensacji czynności wątroby.</w:t>
      </w:r>
    </w:p>
    <w:p w14:paraId="53932861" w14:textId="77777777" w:rsidR="00041A08" w:rsidRPr="00041A08" w:rsidRDefault="00041A08" w:rsidP="001A6584">
      <w:pPr>
        <w:tabs>
          <w:tab w:val="left" w:pos="142"/>
        </w:tabs>
        <w:ind w:left="0" w:firstLine="0"/>
        <w:rPr>
          <w:color w:val="000000"/>
          <w:szCs w:val="22"/>
        </w:rPr>
      </w:pPr>
    </w:p>
    <w:p w14:paraId="211D408D" w14:textId="77777777" w:rsidR="00041A08" w:rsidRPr="00041A08" w:rsidRDefault="00A350DA" w:rsidP="001A6584">
      <w:pPr>
        <w:keepNext/>
        <w:tabs>
          <w:tab w:val="left" w:pos="142"/>
        </w:tabs>
        <w:ind w:left="0" w:firstLine="0"/>
        <w:rPr>
          <w:color w:val="000000"/>
        </w:rPr>
      </w:pPr>
      <w:r w:rsidRPr="007E4DA1">
        <w:rPr>
          <w:color w:val="000000"/>
          <w:u w:val="single"/>
        </w:rPr>
        <w:t>Powikłania zakrzepowe/zakrzepowo-zatorowe</w:t>
      </w:r>
    </w:p>
    <w:p w14:paraId="1FC24DA1" w14:textId="4F80F3FE" w:rsidR="00A350DA" w:rsidRPr="007E4DA1" w:rsidRDefault="00A350DA" w:rsidP="001A6584">
      <w:pPr>
        <w:keepNext/>
        <w:tabs>
          <w:tab w:val="left" w:pos="142"/>
        </w:tabs>
        <w:ind w:left="0" w:firstLine="0"/>
        <w:rPr>
          <w:color w:val="000000"/>
          <w:szCs w:val="22"/>
        </w:rPr>
      </w:pPr>
    </w:p>
    <w:p w14:paraId="7C28DC9F" w14:textId="06457835" w:rsidR="00A350DA" w:rsidRPr="007E4DA1" w:rsidRDefault="00A350DA" w:rsidP="001A6584">
      <w:pPr>
        <w:tabs>
          <w:tab w:val="left" w:pos="142"/>
        </w:tabs>
        <w:ind w:left="0" w:firstLine="0"/>
      </w:pPr>
      <w:r w:rsidRPr="007E4DA1">
        <w:t>W kontrolowanych badaniach klinicznych z udziałem pacjentów z małopłytkowością i zakażeniem wirusem WZW C, otrzymujących leczenie oparte na interferonie (n=1</w:t>
      </w:r>
      <w:r w:rsidR="005F162F" w:rsidRPr="007E4DA1">
        <w:t> </w:t>
      </w:r>
      <w:r w:rsidRPr="007E4DA1">
        <w:t xml:space="preserve">439), </w:t>
      </w:r>
      <w:r w:rsidR="00C879E6" w:rsidRPr="007E4DA1">
        <w:t xml:space="preserve">TEEs </w:t>
      </w:r>
      <w:r w:rsidRPr="007E4DA1">
        <w:t>wystąpiły u 38 z 955 pacjentów (4%) leczonych eltrombopagiem oraz u 6 z 484 pacjentów (1%) w grupie placebo. Zaobserwowane powikłania zakrzepowe lub zakrzepowo-zatorowe obejmowały zarówno zdarzenia żylne, jak i tętnicze. Większość incydentów zakrzepowo-zatorowych nie miało ciężkiego przebiegu i ustępowała do czasu zakończenia badania. Najczęstszym incydentem zakrzepowo-zatorowym w obu grupach leczenia była zakrzepica żyły wrotnej (zaburzenie to wystąpiło u 2% pacjentów leczonych eltrombopagiem oraz u &lt;</w:t>
      </w:r>
      <w:r w:rsidR="00406FA8" w:rsidRPr="007E4DA1">
        <w:t> </w:t>
      </w:r>
      <w:r w:rsidRPr="007E4DA1">
        <w:t xml:space="preserve">1% pacjentów otrzymujących placebo). Nie zaobserwowano wyraźnego związku czasowego pomiędzy rozpoczęciem leczenia i wystąpieniem incydentu zakrzepowo-zatorowego. U pacjentów ze zmniejszonym stężeniem albumin (≤35 g/l) lub z wynikiem ≥10 w skali MELD ryzyko incydentu zakrzepowo-zatorowego było </w:t>
      </w:r>
      <w:r w:rsidR="00C879E6" w:rsidRPr="007E4DA1">
        <w:t>2</w:t>
      </w:r>
      <w:r w:rsidR="00265FB7" w:rsidRPr="007E4DA1">
        <w:t> </w:t>
      </w:r>
      <w:r w:rsidR="00C879E6" w:rsidRPr="007E4DA1">
        <w:t xml:space="preserve">razy </w:t>
      </w:r>
      <w:r w:rsidRPr="007E4DA1">
        <w:t>wyższe niż u pacjentów z większym stężeniem albumin; w grupie pacjentów w wieku ≥60 lat ryzyko incydentu zakrzepowo-zatorowego było dwukrotnie wyższe niż u pacjentów młodszych. Eltrombopag należy podawać takim pacjentom tylko po starannym rozważeniu spodziewanych korzyści w stosunku do ryzyka. Pacjenci powinni być poddawani ścisłej obserwacji w kierunku występowania objawów przedmiotowych lub podmiotowych incydentów zakrzepowo-zatorowych.</w:t>
      </w:r>
    </w:p>
    <w:p w14:paraId="46A4B660" w14:textId="77777777" w:rsidR="00A350DA" w:rsidRPr="007E4DA1" w:rsidRDefault="00A350DA" w:rsidP="001A6584">
      <w:pPr>
        <w:tabs>
          <w:tab w:val="left" w:pos="142"/>
        </w:tabs>
        <w:ind w:left="0" w:firstLine="0"/>
        <w:rPr>
          <w:color w:val="000000"/>
          <w:szCs w:val="22"/>
        </w:rPr>
      </w:pPr>
    </w:p>
    <w:p w14:paraId="37F54908" w14:textId="502899BE" w:rsidR="00A350DA" w:rsidRPr="007E4DA1" w:rsidRDefault="00A350DA" w:rsidP="001A6584">
      <w:pPr>
        <w:tabs>
          <w:tab w:val="left" w:pos="142"/>
        </w:tabs>
        <w:ind w:left="0" w:firstLine="0"/>
        <w:rPr>
          <w:color w:val="000000"/>
          <w:szCs w:val="22"/>
        </w:rPr>
      </w:pPr>
      <w:r w:rsidRPr="007E4DA1">
        <w:rPr>
          <w:color w:val="000000"/>
          <w:szCs w:val="22"/>
        </w:rPr>
        <w:t>U pacjentów z przewlekłą chorobą wątroby leczonych eltrombopagiem w dawce 75</w:t>
      </w:r>
      <w:r w:rsidR="00406FA8" w:rsidRPr="007E4DA1">
        <w:rPr>
          <w:color w:val="000000"/>
          <w:szCs w:val="22"/>
        </w:rPr>
        <w:t> </w:t>
      </w:r>
      <w:r w:rsidRPr="007E4DA1">
        <w:rPr>
          <w:color w:val="000000"/>
          <w:szCs w:val="22"/>
        </w:rPr>
        <w:t xml:space="preserve">mg raz na dobę przez </w:t>
      </w:r>
      <w:r w:rsidR="00C879E6" w:rsidRPr="007E4DA1">
        <w:rPr>
          <w:color w:val="000000"/>
          <w:szCs w:val="22"/>
        </w:rPr>
        <w:t>2</w:t>
      </w:r>
      <w:r w:rsidR="00265FB7" w:rsidRPr="007E4DA1">
        <w:rPr>
          <w:color w:val="000000"/>
          <w:szCs w:val="22"/>
        </w:rPr>
        <w:t> </w:t>
      </w:r>
      <w:r w:rsidRPr="007E4DA1">
        <w:rPr>
          <w:color w:val="000000"/>
          <w:szCs w:val="22"/>
        </w:rPr>
        <w:t xml:space="preserve">tygodnie w celu przygotowania do przeprowadzenia procedur inwazyjnych stwierdzono zwiększone ryzyko incydentów zakrzepowo-zatorowych. Incydenty zakrzepowo-zatorowe wystąpiły u sześciu spośród 143 (4%) dorosłych pacjentów z przewlekłą chorobą wątroby przyjmujących eltrombopag (wszystkie w obrębie układu żyły wrotnej) oraz u </w:t>
      </w:r>
      <w:r w:rsidR="009C195E" w:rsidRPr="007E4DA1">
        <w:rPr>
          <w:color w:val="000000"/>
          <w:szCs w:val="22"/>
        </w:rPr>
        <w:t>dwóch</w:t>
      </w:r>
      <w:r w:rsidR="00C879E6" w:rsidRPr="007E4DA1">
        <w:rPr>
          <w:color w:val="000000"/>
          <w:szCs w:val="22"/>
        </w:rPr>
        <w:t xml:space="preserve"> </w:t>
      </w:r>
      <w:r w:rsidRPr="007E4DA1">
        <w:rPr>
          <w:color w:val="000000"/>
          <w:szCs w:val="22"/>
        </w:rPr>
        <w:t>spośród 145 (1%) pacjentów z grupy placebo (jeden w obrębie układu żyły wrotnej i jeden zawał mięśnia sercowego). U pięciu spośród 6 pacjentów leczonych eltrombopagiem wystąpiły powikłania zakrzepowe przy liczbie płytek &gt;200 000/µl, w ciągu 30</w:t>
      </w:r>
      <w:r w:rsidR="00406FA8" w:rsidRPr="007E4DA1">
        <w:rPr>
          <w:color w:val="000000"/>
          <w:szCs w:val="22"/>
        </w:rPr>
        <w:t> </w:t>
      </w:r>
      <w:r w:rsidRPr="007E4DA1">
        <w:rPr>
          <w:color w:val="000000"/>
          <w:szCs w:val="22"/>
        </w:rPr>
        <w:t xml:space="preserve">dni po podaniu ostatniej dawki eltrombopagu. </w:t>
      </w:r>
      <w:r w:rsidRPr="007E4DA1">
        <w:t>Eltrombopag nie jest wskazany do leczenia małopłytkowości u pacjentów z przewlekłą chorobą wątroby w trakcie oczekiwania na zabiegi inwazyjne.</w:t>
      </w:r>
    </w:p>
    <w:p w14:paraId="57FF8EAC" w14:textId="77777777" w:rsidR="00A350DA" w:rsidRPr="007E4DA1" w:rsidRDefault="00A350DA" w:rsidP="001A6584">
      <w:pPr>
        <w:tabs>
          <w:tab w:val="left" w:pos="142"/>
        </w:tabs>
        <w:ind w:left="0" w:firstLine="0"/>
        <w:rPr>
          <w:szCs w:val="22"/>
        </w:rPr>
      </w:pPr>
    </w:p>
    <w:p w14:paraId="0211435D" w14:textId="77777777" w:rsidR="00A350DA" w:rsidRPr="007E4DA1" w:rsidRDefault="00A350DA" w:rsidP="001A6584">
      <w:pPr>
        <w:tabs>
          <w:tab w:val="left" w:pos="142"/>
        </w:tabs>
        <w:ind w:left="0" w:firstLine="0"/>
        <w:rPr>
          <w:szCs w:val="22"/>
        </w:rPr>
      </w:pPr>
      <w:r w:rsidRPr="007E4DA1">
        <w:t>W badaniach klinicznych eltrombopagu stosowanego w pierwotnej małopłytkowości immunologicznej incydenty zakrzepowo</w:t>
      </w:r>
      <w:r w:rsidRPr="007E4DA1">
        <w:noBreakHyphen/>
        <w:t xml:space="preserve">zatorowe występowały zarówno u pacjentów ze </w:t>
      </w:r>
      <w:r w:rsidRPr="007E4DA1">
        <w:lastRenderedPageBreak/>
        <w:t xml:space="preserve">zmniejszoną, jak i prawidłową liczbą płytek krwi. Należy zachować ostrożność podczas podawania eltrombopagu pacjentom ze stwierdzonymi czynnikami ryzyka powikłań zakrzepowo-zatorowych, w tym między innymi z dziedzicznymi (np. czynnik V Leiden) lub nabytymi czynnikami ryzyka (np. niedobór ATIII, zespół antyfosfolipidowy), w podeszłym wieku, z przedłużonym okresem immobilizacji, z nowotworami złośliwymi, stosujących środki antykoncepcyjne i hormonalną terapię zastępczą, po operacjach lub urazach, z otyłością i palących tytoń. Jeżeli liczba płytek krwi przekracza poziom docelowy, należy uważnie kontrolować liczbę płytek krwi i rozważyć zmniejszenie dawki eltrombopagu lub odstawienie tego leku (patrz punkt 4.2). U pacjentów z grupy zwiększonego ryzyka </w:t>
      </w:r>
      <w:r w:rsidR="00C879E6" w:rsidRPr="007E4DA1">
        <w:t>TEEs</w:t>
      </w:r>
      <w:r w:rsidRPr="007E4DA1">
        <w:t xml:space="preserve"> o dowolnej etiologii należy rozważyć stosunek korzyści do ryzyka.</w:t>
      </w:r>
    </w:p>
    <w:p w14:paraId="6B520952" w14:textId="77777777" w:rsidR="00DE3EA1" w:rsidRPr="007E4DA1" w:rsidRDefault="00DE3EA1" w:rsidP="001A6584">
      <w:pPr>
        <w:tabs>
          <w:tab w:val="left" w:pos="142"/>
        </w:tabs>
        <w:ind w:left="0" w:firstLine="0"/>
        <w:rPr>
          <w:szCs w:val="22"/>
        </w:rPr>
      </w:pPr>
    </w:p>
    <w:p w14:paraId="453C7405" w14:textId="77777777" w:rsidR="00C879E6" w:rsidRPr="007E4DA1" w:rsidRDefault="00C879E6" w:rsidP="001A6584">
      <w:pPr>
        <w:tabs>
          <w:tab w:val="left" w:pos="142"/>
        </w:tabs>
        <w:ind w:left="0" w:firstLine="0"/>
        <w:rPr>
          <w:szCs w:val="22"/>
        </w:rPr>
      </w:pPr>
      <w:r w:rsidRPr="007E4DA1">
        <w:rPr>
          <w:szCs w:val="22"/>
        </w:rPr>
        <w:t xml:space="preserve">Nie odnotowano żadnego przypadku TEE w badaniu klinicznym w opornej postaci SAA, jednak nie można wykluczyć ryzyka tych zdarzeń w tej populacji pacjentów z uwagi na ograniczoną liczbę pacjentów z ekspozycją na lek. Ponieważ </w:t>
      </w:r>
      <w:r w:rsidR="0007719A" w:rsidRPr="007E4DA1">
        <w:rPr>
          <w:szCs w:val="22"/>
        </w:rPr>
        <w:t>do stosowania u pacjentów z SAA wskazana jest największa zarejestrowana dawka leku</w:t>
      </w:r>
      <w:r w:rsidRPr="007E4DA1">
        <w:rPr>
          <w:szCs w:val="22"/>
        </w:rPr>
        <w:t xml:space="preserve"> (150 mg/dobę) i z uwagi na charakter zdarzenia</w:t>
      </w:r>
      <w:r w:rsidR="0007719A" w:rsidRPr="007E4DA1">
        <w:rPr>
          <w:szCs w:val="22"/>
        </w:rPr>
        <w:t>,</w:t>
      </w:r>
      <w:r w:rsidRPr="007E4DA1">
        <w:rPr>
          <w:szCs w:val="22"/>
        </w:rPr>
        <w:t xml:space="preserve"> można spodziewać się wystąpienia TEEs w tej populacji pacjentów.</w:t>
      </w:r>
    </w:p>
    <w:p w14:paraId="3B3BBD82" w14:textId="77777777" w:rsidR="00C879E6" w:rsidRPr="007E4DA1" w:rsidRDefault="00C879E6" w:rsidP="001A6584">
      <w:pPr>
        <w:tabs>
          <w:tab w:val="left" w:pos="142"/>
        </w:tabs>
        <w:ind w:left="0" w:firstLine="0"/>
        <w:rPr>
          <w:szCs w:val="22"/>
        </w:rPr>
      </w:pPr>
    </w:p>
    <w:p w14:paraId="7DE1E7F5" w14:textId="77777777" w:rsidR="00A350DA" w:rsidRPr="007E4DA1" w:rsidRDefault="00A350DA" w:rsidP="001A6584">
      <w:pPr>
        <w:tabs>
          <w:tab w:val="left" w:pos="142"/>
        </w:tabs>
        <w:ind w:left="0" w:firstLine="0"/>
        <w:rPr>
          <w:szCs w:val="22"/>
        </w:rPr>
      </w:pPr>
      <w:r w:rsidRPr="007E4DA1">
        <w:t xml:space="preserve">Nie należy stosować eltrombopagu u pacjentów z pierwotną małopłytkowością immunologiczną i zaburzeniami czynności wątroby (wynik ≥5 w skali Child-Pugh), chyba że oczekiwane korzyści przewyższają zidentyfikowane ryzyko zakrzepicy żyły wrotnej. Jeżeli leczenie zostanie uznane za właściwe, </w:t>
      </w:r>
      <w:r w:rsidR="00D64589" w:rsidRPr="007E4DA1">
        <w:t>trzeba</w:t>
      </w:r>
      <w:r w:rsidRPr="007E4DA1">
        <w:t xml:space="preserve"> zachować ostrożność podczas podawania eltrombopagu pacjentom z zaburzeniami czynności wątroby (patrz punkty 4.2 i</w:t>
      </w:r>
      <w:r w:rsidR="00406FA8" w:rsidRPr="007E4DA1">
        <w:t> </w:t>
      </w:r>
      <w:r w:rsidRPr="007E4DA1">
        <w:t>4.8).</w:t>
      </w:r>
    </w:p>
    <w:p w14:paraId="7A421C90" w14:textId="77777777" w:rsidR="00041A08" w:rsidRPr="00041A08" w:rsidRDefault="00041A08" w:rsidP="001A6584">
      <w:pPr>
        <w:tabs>
          <w:tab w:val="left" w:pos="142"/>
        </w:tabs>
        <w:ind w:left="0" w:firstLine="0"/>
        <w:rPr>
          <w:szCs w:val="22"/>
        </w:rPr>
      </w:pPr>
    </w:p>
    <w:p w14:paraId="486D6303" w14:textId="77777777" w:rsidR="00041A08" w:rsidRPr="00041A08" w:rsidRDefault="00A350DA" w:rsidP="001A6584">
      <w:pPr>
        <w:keepNext/>
        <w:tabs>
          <w:tab w:val="left" w:pos="142"/>
        </w:tabs>
        <w:ind w:left="0" w:firstLine="0"/>
        <w:rPr>
          <w:szCs w:val="22"/>
        </w:rPr>
      </w:pPr>
      <w:r w:rsidRPr="007E4DA1">
        <w:rPr>
          <w:szCs w:val="22"/>
          <w:u w:val="single"/>
        </w:rPr>
        <w:t>Krwawienie po przerwaniu stosowania eltrombopagu</w:t>
      </w:r>
    </w:p>
    <w:p w14:paraId="4129EDFD" w14:textId="554EBB1E" w:rsidR="00A350DA" w:rsidRPr="007E4DA1" w:rsidRDefault="00A350DA" w:rsidP="001A6584">
      <w:pPr>
        <w:keepNext/>
        <w:tabs>
          <w:tab w:val="left" w:pos="142"/>
        </w:tabs>
        <w:ind w:left="0" w:firstLine="0"/>
        <w:rPr>
          <w:szCs w:val="22"/>
        </w:rPr>
      </w:pPr>
    </w:p>
    <w:p w14:paraId="009BCD9E" w14:textId="77777777" w:rsidR="00A350DA" w:rsidRPr="007E4DA1" w:rsidRDefault="00A350DA" w:rsidP="001A6584">
      <w:pPr>
        <w:tabs>
          <w:tab w:val="left" w:pos="142"/>
        </w:tabs>
        <w:ind w:left="0" w:firstLine="0"/>
        <w:rPr>
          <w:bCs/>
          <w:szCs w:val="22"/>
          <w:lang w:eastAsia="es-ES"/>
        </w:rPr>
      </w:pPr>
      <w:r w:rsidRPr="007E4DA1">
        <w:rPr>
          <w:bCs/>
          <w:szCs w:val="22"/>
          <w:lang w:eastAsia="es-ES"/>
        </w:rPr>
        <w:t>Istnieje ryzyko nawrotu małopłytkowości po przerwaniu leczenia eltrombopagiem. U większości pacjentów po przerwaniu leczenia eltrombopagiem liczba płytek krwi powraca do wartości sprzed leczenia w ciągu 2</w:t>
      </w:r>
      <w:r w:rsidR="00406FA8" w:rsidRPr="007E4DA1">
        <w:rPr>
          <w:bCs/>
          <w:szCs w:val="22"/>
          <w:lang w:eastAsia="es-ES"/>
        </w:rPr>
        <w:t> </w:t>
      </w:r>
      <w:r w:rsidRPr="007E4DA1">
        <w:rPr>
          <w:bCs/>
          <w:szCs w:val="22"/>
          <w:lang w:eastAsia="es-ES"/>
        </w:rPr>
        <w:t>tygodni, co powoduje zwiększenie ryzyka krwawienia i w niektórych przypadkach może prowadzić do krwawienia. Ryzyko jest większe, jeśli leczenie eltrombopagiem zostanie przerwane u pacjenta otrzymującego leki przeciwzakrzepowe lub przeciwpłytkowe. Zaleca się, aby w przypadku przerwania stosowania eltrombopagu rozpocząć leczenie pierwotnej małopłytkowości immunologicznej zgodnie z aktualnymi wytycznymi. Ponadto może być konieczne przerwanie stosowania leków przeciwzakrzepowych lub przeciwpłytkowych, odwrócenie działania antykoagulacyjnego lub przetoczenie koncentratu płytek krwi. Przez 4</w:t>
      </w:r>
      <w:r w:rsidR="00406FA8" w:rsidRPr="007E4DA1">
        <w:rPr>
          <w:bCs/>
          <w:szCs w:val="22"/>
          <w:lang w:eastAsia="es-ES"/>
        </w:rPr>
        <w:t> </w:t>
      </w:r>
      <w:r w:rsidRPr="007E4DA1">
        <w:rPr>
          <w:bCs/>
          <w:szCs w:val="22"/>
          <w:lang w:eastAsia="es-ES"/>
        </w:rPr>
        <w:t>tygodnie po przerwaniu leczenia eltrombopagiem należy koniecznie co tydzień oznaczać liczbę płytek krwi.</w:t>
      </w:r>
    </w:p>
    <w:p w14:paraId="742BDD8B" w14:textId="77777777" w:rsidR="00A350DA" w:rsidRPr="007E4DA1" w:rsidRDefault="00A350DA" w:rsidP="001A6584">
      <w:pPr>
        <w:tabs>
          <w:tab w:val="left" w:pos="142"/>
        </w:tabs>
        <w:ind w:left="0" w:firstLine="0"/>
        <w:rPr>
          <w:bCs/>
          <w:szCs w:val="22"/>
          <w:lang w:eastAsia="es-ES"/>
        </w:rPr>
      </w:pPr>
    </w:p>
    <w:p w14:paraId="51DF11B6" w14:textId="77777777" w:rsidR="00A350DA" w:rsidRPr="007E4DA1" w:rsidRDefault="00A350DA" w:rsidP="001A6584">
      <w:pPr>
        <w:tabs>
          <w:tab w:val="left" w:pos="142"/>
          <w:tab w:val="left" w:pos="2460"/>
        </w:tabs>
        <w:ind w:left="0" w:firstLine="0"/>
        <w:rPr>
          <w:szCs w:val="22"/>
        </w:rPr>
      </w:pPr>
      <w:r w:rsidRPr="007E4DA1">
        <w:t>W badaniach klinicznych z udziałem pacjentów zakażonych wirusem WZW C, po odstawieniu peginterferonu, rybawiryny i eltrombopagu obserwowano większą częstość występowania krwawienia z przewodu pokarmowego, w tym przypadków ciężkich i prowadzących do zgonu. Po przerwaniu leczenia pacjentów należy monitorować w celu wykrycia objawów przedmiotowych i podmiotowych krwawienia z przewodu pokarmowego.</w:t>
      </w:r>
    </w:p>
    <w:p w14:paraId="277C4042" w14:textId="77777777" w:rsidR="00041A08" w:rsidRPr="00041A08" w:rsidRDefault="00041A08" w:rsidP="001A6584">
      <w:pPr>
        <w:pStyle w:val="LBLLevel2"/>
        <w:tabs>
          <w:tab w:val="left" w:pos="142"/>
        </w:tabs>
        <w:spacing w:line="240" w:lineRule="auto"/>
        <w:rPr>
          <w:rFonts w:ascii="Times New Roman" w:hAnsi="Times New Roman"/>
          <w:b w:val="0"/>
          <w:sz w:val="22"/>
          <w:szCs w:val="22"/>
          <w:lang w:val="pl-PL"/>
        </w:rPr>
      </w:pPr>
    </w:p>
    <w:p w14:paraId="4DA45419" w14:textId="77777777" w:rsidR="00041A08" w:rsidRPr="00041A08" w:rsidRDefault="00A350DA" w:rsidP="001A6584">
      <w:pPr>
        <w:keepNext/>
        <w:tabs>
          <w:tab w:val="left" w:pos="142"/>
          <w:tab w:val="left" w:pos="720"/>
          <w:tab w:val="left" w:pos="990"/>
          <w:tab w:val="left" w:pos="1260"/>
        </w:tabs>
        <w:ind w:left="0" w:firstLine="0"/>
        <w:rPr>
          <w:color w:val="000000"/>
        </w:rPr>
      </w:pPr>
      <w:r w:rsidRPr="007E4DA1">
        <w:rPr>
          <w:u w:val="single"/>
        </w:rPr>
        <w:t>Wytwarzanie retykuliny w szpiku kostnym i ryzyko zwłóknienia szpiku kostnego</w:t>
      </w:r>
    </w:p>
    <w:p w14:paraId="5235A4B5" w14:textId="64B9F978" w:rsidR="00A350DA" w:rsidRPr="007E4DA1" w:rsidRDefault="00A350DA" w:rsidP="001A6584">
      <w:pPr>
        <w:keepNext/>
        <w:tabs>
          <w:tab w:val="left" w:pos="142"/>
          <w:tab w:val="left" w:pos="720"/>
          <w:tab w:val="left" w:pos="990"/>
          <w:tab w:val="left" w:pos="1260"/>
        </w:tabs>
        <w:ind w:left="0" w:firstLine="0"/>
        <w:rPr>
          <w:color w:val="000000"/>
        </w:rPr>
      </w:pPr>
    </w:p>
    <w:p w14:paraId="6EFC8739" w14:textId="77777777" w:rsidR="00A350DA" w:rsidRPr="007E4DA1" w:rsidRDefault="00A350DA" w:rsidP="001A6584">
      <w:pPr>
        <w:tabs>
          <w:tab w:val="left" w:pos="142"/>
          <w:tab w:val="left" w:pos="720"/>
          <w:tab w:val="left" w:pos="990"/>
          <w:tab w:val="left" w:pos="1260"/>
        </w:tabs>
        <w:ind w:left="0" w:firstLine="0"/>
        <w:rPr>
          <w:color w:val="000000"/>
        </w:rPr>
      </w:pPr>
      <w:r w:rsidRPr="007E4DA1">
        <w:rPr>
          <w:color w:val="000000"/>
        </w:rPr>
        <w:t>Eltrombopag może zwiększać ryzyko powstawania lub progresji włókien retykulinowych w szpiku kostnym. Do chwili obecnej nie ustalono znaczenia tego faktu, podobnie jak w przypadku innych agonistów receptora trombopoetyny.</w:t>
      </w:r>
    </w:p>
    <w:p w14:paraId="68DC7CE2" w14:textId="77777777" w:rsidR="00A350DA" w:rsidRPr="007E4DA1" w:rsidRDefault="00A350DA" w:rsidP="001A6584">
      <w:pPr>
        <w:tabs>
          <w:tab w:val="left" w:pos="142"/>
        </w:tabs>
        <w:ind w:left="0" w:firstLine="0"/>
      </w:pPr>
    </w:p>
    <w:p w14:paraId="6DAFC895" w14:textId="77777777" w:rsidR="00A350DA" w:rsidRPr="007E4DA1" w:rsidRDefault="00A350DA" w:rsidP="001A6584">
      <w:pPr>
        <w:tabs>
          <w:tab w:val="left" w:pos="142"/>
        </w:tabs>
        <w:ind w:left="0" w:firstLine="0"/>
        <w:rPr>
          <w:color w:val="000000"/>
        </w:rPr>
      </w:pPr>
      <w:r w:rsidRPr="007E4DA1">
        <w:rPr>
          <w:color w:val="000000"/>
        </w:rPr>
        <w:t>Przed rozpoczęciem podawania eltrombopagu należy dokładnie zbadać rozmaz krwi obwodowej w celu ustalenia pierwotnego stopnia nieprawidłowości morfologicznych komórek krwi. Po ustaleniu stałej dawki eltrombopagu należy co miesiąc wykonywać pełną morfologię krwi z oznaczaniem wszystkich typów białych krwinek. W przypadku stwierdzenia obecności komórek niedojrzałych lub dysplastycznych, należy zbadać rozmaz krwi obwodowej w poszukiwaniu nowych lub postępujących nieprawidłowości morfologicznych (np. łezkowate lub jądrzaste erytrocyty, niedojrzałe leukocyty) lub cytopenii. Jeśli u pacjenta wystąpią nowe lub postępujące nieprawidłowości morfologiczne czy też cytopenia, należy przerwać leczenie eltrombopagiem i rozważyć wykonanie biopsji szpiku kostnego z barwieniem oceniającym włóknienie.</w:t>
      </w:r>
    </w:p>
    <w:p w14:paraId="0BAEFE35" w14:textId="77777777" w:rsidR="00A350DA" w:rsidRPr="007E4DA1" w:rsidRDefault="00A350DA" w:rsidP="001A6584">
      <w:pPr>
        <w:tabs>
          <w:tab w:val="left" w:pos="142"/>
        </w:tabs>
        <w:ind w:left="0" w:firstLine="0"/>
        <w:rPr>
          <w:color w:val="000000"/>
          <w:szCs w:val="22"/>
        </w:rPr>
      </w:pPr>
    </w:p>
    <w:p w14:paraId="5C134CEC" w14:textId="77777777" w:rsidR="00041A08" w:rsidRPr="00041A08" w:rsidRDefault="00A350DA" w:rsidP="001A6584">
      <w:pPr>
        <w:keepNext/>
        <w:tabs>
          <w:tab w:val="left" w:pos="142"/>
        </w:tabs>
        <w:autoSpaceDE w:val="0"/>
        <w:autoSpaceDN w:val="0"/>
        <w:adjustRightInd w:val="0"/>
        <w:ind w:left="0" w:firstLine="0"/>
        <w:rPr>
          <w:color w:val="000000"/>
        </w:rPr>
      </w:pPr>
      <w:r w:rsidRPr="007E4DA1">
        <w:rPr>
          <w:iCs/>
          <w:color w:val="000000"/>
          <w:u w:val="single"/>
        </w:rPr>
        <w:lastRenderedPageBreak/>
        <w:t xml:space="preserve">Progresja istniejących zespołów mielodysplastycznych (ang. </w:t>
      </w:r>
      <w:r w:rsidR="00D64589" w:rsidRPr="007E4DA1">
        <w:rPr>
          <w:iCs/>
          <w:color w:val="000000"/>
          <w:u w:val="single"/>
        </w:rPr>
        <w:t>m</w:t>
      </w:r>
      <w:r w:rsidRPr="007E4DA1">
        <w:rPr>
          <w:iCs/>
          <w:color w:val="000000"/>
          <w:szCs w:val="22"/>
          <w:u w:val="single"/>
        </w:rPr>
        <w:t xml:space="preserve">yelodysplastic </w:t>
      </w:r>
      <w:r w:rsidR="00D64589" w:rsidRPr="007E4DA1">
        <w:rPr>
          <w:iCs/>
          <w:color w:val="000000"/>
          <w:szCs w:val="22"/>
          <w:u w:val="single"/>
        </w:rPr>
        <w:t>s</w:t>
      </w:r>
      <w:r w:rsidRPr="007E4DA1">
        <w:rPr>
          <w:iCs/>
          <w:color w:val="000000"/>
          <w:szCs w:val="22"/>
          <w:u w:val="single"/>
        </w:rPr>
        <w:t>yndrome, MDS)</w:t>
      </w:r>
    </w:p>
    <w:p w14:paraId="63CEC3E0" w14:textId="343B2550" w:rsidR="00A350DA" w:rsidRPr="007E4DA1" w:rsidRDefault="00A350DA" w:rsidP="001A6584">
      <w:pPr>
        <w:keepNext/>
        <w:tabs>
          <w:tab w:val="left" w:pos="142"/>
        </w:tabs>
        <w:autoSpaceDE w:val="0"/>
        <w:autoSpaceDN w:val="0"/>
        <w:adjustRightInd w:val="0"/>
        <w:ind w:left="0" w:firstLine="0"/>
        <w:rPr>
          <w:iCs/>
          <w:color w:val="000000"/>
          <w:szCs w:val="22"/>
        </w:rPr>
      </w:pPr>
    </w:p>
    <w:p w14:paraId="0E3D6655" w14:textId="41E0E2E8" w:rsidR="00A350DA" w:rsidRPr="007E4DA1" w:rsidRDefault="00C725C4" w:rsidP="001A6584">
      <w:pPr>
        <w:tabs>
          <w:tab w:val="left" w:pos="142"/>
        </w:tabs>
        <w:autoSpaceDE w:val="0"/>
        <w:autoSpaceDN w:val="0"/>
        <w:adjustRightInd w:val="0"/>
        <w:ind w:left="0" w:firstLine="0"/>
        <w:rPr>
          <w:iCs/>
          <w:color w:val="000000"/>
        </w:rPr>
      </w:pPr>
      <w:r w:rsidRPr="007E4DA1">
        <w:rPr>
          <w:szCs w:val="22"/>
        </w:rPr>
        <w:t xml:space="preserve">Na podstawie przesłanek teoretycznych istnieje obawa, że agoniści TPO-R mogą stymulować progresję istniejących nowotworów układu krwiotwórczego, takich jak MDS. </w:t>
      </w:r>
      <w:r w:rsidR="00A350DA" w:rsidRPr="007E4DA1">
        <w:rPr>
          <w:szCs w:val="22"/>
        </w:rPr>
        <w:t>Stymulatory receptora trombopoetyny są czynnikami wzrostu, które prowadzą do rozwoju i różnicowania komórek prekursorowych układu płytkotwórczego oraz do wytwarzania płytek krwi. Receptory trombopoetyny występują głównie na powierzchni komórek linii mieloidalnej.</w:t>
      </w:r>
    </w:p>
    <w:p w14:paraId="648B8B51" w14:textId="77777777" w:rsidR="00A350DA" w:rsidRPr="007E4DA1" w:rsidRDefault="00A350DA" w:rsidP="001A6584">
      <w:pPr>
        <w:tabs>
          <w:tab w:val="left" w:pos="142"/>
        </w:tabs>
        <w:autoSpaceDE w:val="0"/>
        <w:autoSpaceDN w:val="0"/>
        <w:adjustRightInd w:val="0"/>
        <w:ind w:left="0" w:firstLine="0"/>
        <w:rPr>
          <w:iCs/>
          <w:color w:val="000000"/>
        </w:rPr>
      </w:pPr>
    </w:p>
    <w:p w14:paraId="586C845B" w14:textId="77777777" w:rsidR="00A350DA" w:rsidRPr="007E4DA1" w:rsidRDefault="00A350DA" w:rsidP="001A6584">
      <w:pPr>
        <w:tabs>
          <w:tab w:val="left" w:pos="142"/>
        </w:tabs>
        <w:autoSpaceDE w:val="0"/>
        <w:autoSpaceDN w:val="0"/>
        <w:adjustRightInd w:val="0"/>
        <w:ind w:left="0" w:firstLine="0"/>
        <w:rPr>
          <w:iCs/>
          <w:color w:val="000000"/>
        </w:rPr>
      </w:pPr>
      <w:r w:rsidRPr="007E4DA1">
        <w:rPr>
          <w:iCs/>
          <w:color w:val="000000"/>
        </w:rPr>
        <w:t xml:space="preserve">W badaniach klinicznych z zastosowaniem agonistów receptora trombopoetyny u pacjentów z MDS, zaobserwowano przemijające zwiększenie liczby komórek blastycznych oraz przypadki progresji MDS do ostrej białaczki szpikowej (ang. </w:t>
      </w:r>
      <w:r w:rsidRPr="007E4DA1">
        <w:rPr>
          <w:i/>
          <w:color w:val="000000"/>
          <w:szCs w:val="22"/>
        </w:rPr>
        <w:t>acute myeloid leukaemia, AML</w:t>
      </w:r>
      <w:r w:rsidRPr="007E4DA1">
        <w:rPr>
          <w:color w:val="000000"/>
          <w:szCs w:val="22"/>
        </w:rPr>
        <w:t>).</w:t>
      </w:r>
    </w:p>
    <w:p w14:paraId="561E8068" w14:textId="77777777" w:rsidR="00A350DA" w:rsidRPr="007E4DA1" w:rsidRDefault="00A350DA" w:rsidP="001A6584">
      <w:pPr>
        <w:tabs>
          <w:tab w:val="left" w:pos="142"/>
        </w:tabs>
        <w:autoSpaceDE w:val="0"/>
        <w:autoSpaceDN w:val="0"/>
        <w:adjustRightInd w:val="0"/>
        <w:ind w:left="0" w:firstLine="0"/>
        <w:rPr>
          <w:rFonts w:ascii="TimesNewRoman" w:hAnsi="TimesNewRoman" w:cs="TimesNewRoman"/>
          <w:sz w:val="20"/>
        </w:rPr>
      </w:pPr>
    </w:p>
    <w:p w14:paraId="6B30FE74" w14:textId="77777777" w:rsidR="00A350DA" w:rsidRPr="007E4DA1" w:rsidRDefault="00A350DA" w:rsidP="001A6584">
      <w:pPr>
        <w:tabs>
          <w:tab w:val="left" w:pos="142"/>
        </w:tabs>
        <w:ind w:left="0" w:firstLine="0"/>
      </w:pPr>
      <w:r w:rsidRPr="007E4DA1">
        <w:t>U osób dorosłych i pacjentów w podeszłym wieku rozpoznanie pierwotnej małopłytkowości immunologicznej lub SAA należy potwierdzić przez wykluczenie innych stanów klinicznych przebiegających z małopłytkowością, w szczególności trzeba wykluczyć MDS. Należy rozważyć wykonanie biopsji aspiracyjnej szpiku i trepanobiopsji w czasie choroby i leczenia, szczególnie u pacjentów w wieku powyżej 60</w:t>
      </w:r>
      <w:r w:rsidR="00406FA8" w:rsidRPr="007E4DA1">
        <w:t> </w:t>
      </w:r>
      <w:r w:rsidRPr="007E4DA1">
        <w:t>lat, z objawami układowymi i innymi nieprawidłowymi objawami, takimi jak zwiększenie liczby komórek blastycznych we krwi obwodowej.</w:t>
      </w:r>
    </w:p>
    <w:p w14:paraId="519E9ED4" w14:textId="77777777" w:rsidR="00A350DA" w:rsidRPr="007E4DA1" w:rsidRDefault="00A350DA" w:rsidP="001A6584">
      <w:pPr>
        <w:tabs>
          <w:tab w:val="left" w:pos="142"/>
        </w:tabs>
        <w:ind w:left="0" w:firstLine="0"/>
      </w:pPr>
    </w:p>
    <w:p w14:paraId="4D3FFA11" w14:textId="77777777" w:rsidR="00A350DA" w:rsidRPr="007E4DA1" w:rsidRDefault="00A350DA" w:rsidP="001A6584">
      <w:pPr>
        <w:pStyle w:val="LBLBulletStyle1"/>
        <w:numPr>
          <w:ilvl w:val="0"/>
          <w:numId w:val="0"/>
        </w:numPr>
        <w:tabs>
          <w:tab w:val="left" w:pos="142"/>
        </w:tabs>
        <w:spacing w:line="240" w:lineRule="auto"/>
        <w:rPr>
          <w:sz w:val="22"/>
          <w:szCs w:val="22"/>
          <w:lang w:val="pl-PL"/>
        </w:rPr>
      </w:pPr>
      <w:r w:rsidRPr="007E4DA1">
        <w:rPr>
          <w:sz w:val="22"/>
          <w:szCs w:val="22"/>
          <w:lang w:val="pl-PL"/>
        </w:rPr>
        <w:t xml:space="preserve">Nie ustalono skuteczności i bezpieczeństwa stosowania </w:t>
      </w:r>
      <w:r w:rsidR="00C8430C" w:rsidRPr="007E4DA1">
        <w:rPr>
          <w:sz w:val="22"/>
          <w:szCs w:val="22"/>
          <w:lang w:val="pl-PL"/>
        </w:rPr>
        <w:t>produktu leczniczego Revolade</w:t>
      </w:r>
      <w:r w:rsidRPr="007E4DA1">
        <w:rPr>
          <w:sz w:val="22"/>
          <w:szCs w:val="22"/>
          <w:lang w:val="pl-PL"/>
        </w:rPr>
        <w:t xml:space="preserve"> w </w:t>
      </w:r>
      <w:r w:rsidR="00C8430C" w:rsidRPr="007E4DA1">
        <w:rPr>
          <w:sz w:val="22"/>
          <w:szCs w:val="22"/>
          <w:lang w:val="pl-PL"/>
        </w:rPr>
        <w:t xml:space="preserve">leczeniu </w:t>
      </w:r>
      <w:r w:rsidRPr="007E4DA1">
        <w:rPr>
          <w:sz w:val="22"/>
          <w:szCs w:val="22"/>
          <w:lang w:val="pl-PL"/>
        </w:rPr>
        <w:t xml:space="preserve">małopłytkowości związanej z MDS. </w:t>
      </w:r>
      <w:r w:rsidR="00C8430C" w:rsidRPr="007E4DA1">
        <w:rPr>
          <w:sz w:val="22"/>
          <w:szCs w:val="22"/>
          <w:lang w:val="pl-PL"/>
        </w:rPr>
        <w:t>Nie należy stosować produktu leczniczego Revolade p</w:t>
      </w:r>
      <w:r w:rsidRPr="007E4DA1">
        <w:rPr>
          <w:sz w:val="22"/>
          <w:szCs w:val="22"/>
          <w:lang w:val="pl-PL"/>
        </w:rPr>
        <w:t>oza badaniami klinicznymi w leczeniu małopłytkowości związanej z MDS</w:t>
      </w:r>
      <w:r w:rsidR="00C8430C" w:rsidRPr="007E4DA1">
        <w:rPr>
          <w:sz w:val="22"/>
          <w:szCs w:val="22"/>
          <w:lang w:val="pl-PL"/>
        </w:rPr>
        <w:t>.</w:t>
      </w:r>
    </w:p>
    <w:p w14:paraId="2A6929DB" w14:textId="77777777" w:rsidR="00A350DA" w:rsidRPr="007E4DA1" w:rsidRDefault="00A350DA" w:rsidP="001A6584">
      <w:pPr>
        <w:tabs>
          <w:tab w:val="left" w:pos="142"/>
        </w:tabs>
        <w:ind w:left="0" w:firstLine="0"/>
        <w:rPr>
          <w:color w:val="000000"/>
          <w:szCs w:val="22"/>
        </w:rPr>
      </w:pPr>
    </w:p>
    <w:p w14:paraId="61D442EB" w14:textId="77777777" w:rsidR="00041A08" w:rsidRPr="00041A08" w:rsidRDefault="00A350DA" w:rsidP="001A6584">
      <w:pPr>
        <w:keepNext/>
        <w:tabs>
          <w:tab w:val="left" w:pos="142"/>
        </w:tabs>
        <w:ind w:left="0" w:firstLine="0"/>
        <w:rPr>
          <w:color w:val="000000"/>
          <w:szCs w:val="22"/>
        </w:rPr>
      </w:pPr>
      <w:r w:rsidRPr="007E4DA1">
        <w:rPr>
          <w:color w:val="000000"/>
          <w:szCs w:val="22"/>
          <w:u w:val="single"/>
        </w:rPr>
        <w:t>Nieprawidłowości cytogenetyczne i progresja do MDS/AML u pacjentów z SAA</w:t>
      </w:r>
    </w:p>
    <w:p w14:paraId="45CC4EAE" w14:textId="6B7AD1EC" w:rsidR="00A350DA" w:rsidRPr="007E4DA1" w:rsidRDefault="00A350DA" w:rsidP="001A6584">
      <w:pPr>
        <w:keepNext/>
        <w:tabs>
          <w:tab w:val="left" w:pos="142"/>
        </w:tabs>
        <w:ind w:left="0" w:firstLine="0"/>
        <w:rPr>
          <w:color w:val="000000"/>
          <w:szCs w:val="22"/>
        </w:rPr>
      </w:pPr>
    </w:p>
    <w:p w14:paraId="49F33D5B" w14:textId="77777777" w:rsidR="00A350DA" w:rsidRPr="007E4DA1" w:rsidRDefault="00A350DA" w:rsidP="001A6584">
      <w:pPr>
        <w:tabs>
          <w:tab w:val="left" w:pos="142"/>
        </w:tabs>
        <w:ind w:left="0" w:firstLine="0"/>
        <w:rPr>
          <w:color w:val="000000"/>
          <w:szCs w:val="22"/>
        </w:rPr>
      </w:pPr>
      <w:r w:rsidRPr="007E4DA1">
        <w:rPr>
          <w:color w:val="000000"/>
          <w:szCs w:val="22"/>
        </w:rPr>
        <w:t xml:space="preserve">Wiadomo, że u pacjentów z SAA występują nieprawidłowości cytogenetyczne. Nie wiadomo, czy eltrombopag zwiększa ryzyko wystąpienia nieprawidłowości cytogenetycznych u pacjentów z SAA. W badaniu klinicznym II fazy z eltrombopagiem w leczeniu </w:t>
      </w:r>
      <w:r w:rsidR="00C8430C" w:rsidRPr="007E4DA1">
        <w:rPr>
          <w:color w:val="000000"/>
          <w:szCs w:val="22"/>
        </w:rPr>
        <w:t xml:space="preserve">opornej </w:t>
      </w:r>
      <w:r w:rsidRPr="007E4DA1">
        <w:rPr>
          <w:color w:val="000000"/>
          <w:szCs w:val="22"/>
        </w:rPr>
        <w:t>SAA</w:t>
      </w:r>
      <w:r w:rsidR="00C8430C" w:rsidRPr="007E4DA1">
        <w:rPr>
          <w:color w:val="000000"/>
          <w:szCs w:val="22"/>
        </w:rPr>
        <w:t>, w którym stosowano dawkę początkową 50 mg/dobę (zwiększaną co 2 tygodnie do maksymalnej dawki 150 mg/dobę) (ELT112523)</w:t>
      </w:r>
      <w:r w:rsidRPr="007E4DA1">
        <w:rPr>
          <w:color w:val="000000"/>
          <w:szCs w:val="22"/>
        </w:rPr>
        <w:t xml:space="preserve"> wystąpienie nowych nieprawidłowości cytogenetycznych obserwowano u </w:t>
      </w:r>
      <w:r w:rsidR="00C8430C" w:rsidRPr="007E4DA1">
        <w:rPr>
          <w:color w:val="000000"/>
          <w:szCs w:val="22"/>
        </w:rPr>
        <w:t>17,1</w:t>
      </w:r>
      <w:r w:rsidRPr="007E4DA1">
        <w:rPr>
          <w:color w:val="000000"/>
          <w:szCs w:val="22"/>
        </w:rPr>
        <w:t xml:space="preserve">% </w:t>
      </w:r>
      <w:r w:rsidR="00C8430C" w:rsidRPr="007E4DA1">
        <w:rPr>
          <w:color w:val="000000"/>
          <w:szCs w:val="22"/>
        </w:rPr>
        <w:t xml:space="preserve">dorosłych </w:t>
      </w:r>
      <w:r w:rsidRPr="007E4DA1">
        <w:rPr>
          <w:color w:val="000000"/>
          <w:szCs w:val="22"/>
        </w:rPr>
        <w:t>pacjentów [</w:t>
      </w:r>
      <w:r w:rsidR="00C8430C" w:rsidRPr="007E4DA1">
        <w:rPr>
          <w:color w:val="000000"/>
          <w:szCs w:val="22"/>
        </w:rPr>
        <w:t>7</w:t>
      </w:r>
      <w:r w:rsidRPr="007E4DA1">
        <w:rPr>
          <w:color w:val="000000"/>
          <w:szCs w:val="22"/>
        </w:rPr>
        <w:t>/</w:t>
      </w:r>
      <w:r w:rsidR="00C8430C" w:rsidRPr="007E4DA1">
        <w:rPr>
          <w:color w:val="000000"/>
          <w:szCs w:val="22"/>
        </w:rPr>
        <w:t xml:space="preserve">41 </w:t>
      </w:r>
      <w:r w:rsidRPr="007E4DA1">
        <w:rPr>
          <w:color w:val="000000"/>
          <w:szCs w:val="22"/>
        </w:rPr>
        <w:t xml:space="preserve">(z których </w:t>
      </w:r>
      <w:r w:rsidR="00C8430C" w:rsidRPr="007E4DA1">
        <w:rPr>
          <w:color w:val="000000"/>
          <w:szCs w:val="22"/>
        </w:rPr>
        <w:t>4 </w:t>
      </w:r>
      <w:r w:rsidRPr="007E4DA1">
        <w:rPr>
          <w:color w:val="000000"/>
          <w:szCs w:val="22"/>
        </w:rPr>
        <w:t>miało zmiany w chromosomie 7)]. Mediana czasu do wystąpienia nieprawidłowości cytogenetycznych w tym badaniu wyniosła 2,9</w:t>
      </w:r>
      <w:r w:rsidR="00406FA8" w:rsidRPr="007E4DA1">
        <w:rPr>
          <w:color w:val="000000"/>
          <w:szCs w:val="22"/>
        </w:rPr>
        <w:t> </w:t>
      </w:r>
      <w:r w:rsidRPr="007E4DA1">
        <w:rPr>
          <w:color w:val="000000"/>
          <w:szCs w:val="22"/>
        </w:rPr>
        <w:t>miesięcy.</w:t>
      </w:r>
    </w:p>
    <w:p w14:paraId="1385A53A" w14:textId="77777777" w:rsidR="00D815B7" w:rsidRPr="007E4DA1" w:rsidRDefault="00D815B7" w:rsidP="001A6584">
      <w:pPr>
        <w:tabs>
          <w:tab w:val="left" w:pos="142"/>
        </w:tabs>
        <w:ind w:left="0" w:firstLine="0"/>
        <w:rPr>
          <w:color w:val="000000"/>
          <w:szCs w:val="22"/>
        </w:rPr>
      </w:pPr>
    </w:p>
    <w:p w14:paraId="09205B65" w14:textId="77777777" w:rsidR="00C8430C" w:rsidRPr="007E4DA1" w:rsidRDefault="00C8430C" w:rsidP="001A6584">
      <w:pPr>
        <w:tabs>
          <w:tab w:val="left" w:pos="142"/>
        </w:tabs>
        <w:ind w:left="0" w:firstLine="0"/>
        <w:rPr>
          <w:color w:val="000000"/>
          <w:szCs w:val="22"/>
        </w:rPr>
      </w:pPr>
      <w:r w:rsidRPr="007E4DA1">
        <w:rPr>
          <w:color w:val="000000"/>
          <w:szCs w:val="22"/>
        </w:rPr>
        <w:t>W badaniu klinicznym II fazy z eltrombopagiem w leczeniu opornej SAA, w którym stosowano dawkę 150 mg/dobę (z uwzględnieniem modyfikacji dawkowania ze względu na pochodzenie etniczne lub wiek, zgodnie ze wskazaniami) (ELT116826), wystąpienie nowych nieprawidłowości cytogenetycznych obserwowano u 22,6% dorosłych pacjentów [7/31 (z których 3 miało zmiany w chromosomie 7)]. U wszystkich 7 pacjentów wyjściowy wynik badania cytogenetycznego był prawidłowy. U sześciu pacjentów nieprawidłowości cytogenetyczne wystąpiły w 3. miesiącu leczenia eltrombopagiem, a u jednego pacjenta nieprawidłowości cytogenetyczne wystąpiły w miesiącu</w:t>
      </w:r>
      <w:r w:rsidR="00265FB7" w:rsidRPr="007E4DA1">
        <w:rPr>
          <w:color w:val="000000"/>
          <w:szCs w:val="22"/>
        </w:rPr>
        <w:t> </w:t>
      </w:r>
      <w:r w:rsidRPr="007E4DA1">
        <w:rPr>
          <w:color w:val="000000"/>
          <w:szCs w:val="22"/>
        </w:rPr>
        <w:t>6.</w:t>
      </w:r>
    </w:p>
    <w:p w14:paraId="395EE372" w14:textId="77777777" w:rsidR="00C8430C" w:rsidRPr="007E4DA1" w:rsidRDefault="00C8430C" w:rsidP="001A6584">
      <w:pPr>
        <w:tabs>
          <w:tab w:val="left" w:pos="142"/>
        </w:tabs>
        <w:ind w:left="0" w:firstLine="0"/>
        <w:rPr>
          <w:color w:val="000000"/>
          <w:szCs w:val="22"/>
        </w:rPr>
      </w:pPr>
    </w:p>
    <w:p w14:paraId="08485745" w14:textId="77777777" w:rsidR="00A350DA" w:rsidRPr="007E4DA1" w:rsidRDefault="00A350DA" w:rsidP="001A6584">
      <w:pPr>
        <w:tabs>
          <w:tab w:val="left" w:pos="142"/>
        </w:tabs>
        <w:ind w:left="0" w:firstLine="0"/>
        <w:rPr>
          <w:color w:val="000000"/>
          <w:szCs w:val="22"/>
        </w:rPr>
      </w:pPr>
      <w:r w:rsidRPr="007E4DA1">
        <w:rPr>
          <w:color w:val="000000"/>
          <w:szCs w:val="22"/>
        </w:rPr>
        <w:t>W badaniach klinicznych z eltrombopagiem w leczeniu SAA u 4% pacjentów (5/133) rozpoznano MDS. Mediana czasu do rozpoznania wyniosła 3</w:t>
      </w:r>
      <w:r w:rsidR="00406FA8" w:rsidRPr="007E4DA1">
        <w:rPr>
          <w:color w:val="000000"/>
          <w:szCs w:val="22"/>
        </w:rPr>
        <w:t> </w:t>
      </w:r>
      <w:r w:rsidRPr="007E4DA1">
        <w:rPr>
          <w:color w:val="000000"/>
          <w:szCs w:val="22"/>
        </w:rPr>
        <w:t>miesiące od rozpoczęcia leczenia eltrombopagiem.</w:t>
      </w:r>
    </w:p>
    <w:p w14:paraId="5A48B726" w14:textId="77777777" w:rsidR="00A350DA" w:rsidRPr="007E4DA1" w:rsidRDefault="00A350DA" w:rsidP="001A6584">
      <w:pPr>
        <w:tabs>
          <w:tab w:val="left" w:pos="142"/>
        </w:tabs>
        <w:ind w:left="0" w:firstLine="0"/>
        <w:rPr>
          <w:color w:val="000000"/>
          <w:szCs w:val="22"/>
        </w:rPr>
      </w:pPr>
    </w:p>
    <w:p w14:paraId="32A718C7" w14:textId="77777777" w:rsidR="00A350DA" w:rsidRPr="007E4DA1" w:rsidRDefault="00A350DA" w:rsidP="001A6584">
      <w:pPr>
        <w:tabs>
          <w:tab w:val="left" w:pos="142"/>
        </w:tabs>
        <w:ind w:left="0" w:firstLine="0"/>
        <w:rPr>
          <w:color w:val="000000"/>
          <w:szCs w:val="22"/>
        </w:rPr>
      </w:pPr>
      <w:r w:rsidRPr="007E4DA1">
        <w:rPr>
          <w:color w:val="000000"/>
          <w:szCs w:val="22"/>
        </w:rPr>
        <w:t>U pacjentów z SAA</w:t>
      </w:r>
      <w:r w:rsidRPr="007E4DA1">
        <w:t xml:space="preserve"> opornych na wcześniejsze leczenie immunosupresyjne lub którzy przebyli wcześniejsze intensywne leczeni</w:t>
      </w:r>
      <w:r w:rsidRPr="007E4DA1">
        <w:rPr>
          <w:color w:val="000000"/>
          <w:szCs w:val="22"/>
        </w:rPr>
        <w:t>e immunosupresyjne, zaleca się wykonanie badania szpiku kostnego z aspiracją materiału do badań cytogenetycznych przed rozpoczęciem leczenia eltrombopagiem, po 3 miesiącach od rozpoczęcia leczenia, a następnie po 6</w:t>
      </w:r>
      <w:r w:rsidR="00406FA8" w:rsidRPr="007E4DA1">
        <w:rPr>
          <w:color w:val="000000"/>
          <w:szCs w:val="22"/>
        </w:rPr>
        <w:t> </w:t>
      </w:r>
      <w:r w:rsidRPr="007E4DA1">
        <w:rPr>
          <w:color w:val="000000"/>
          <w:szCs w:val="22"/>
        </w:rPr>
        <w:t xml:space="preserve">miesiącach. W przypadku stwierdzenia nowych nieprawidłowości cytogenetycznych </w:t>
      </w:r>
      <w:r w:rsidR="00D64589" w:rsidRPr="007E4DA1">
        <w:rPr>
          <w:color w:val="000000"/>
          <w:szCs w:val="22"/>
        </w:rPr>
        <w:t>trzeba</w:t>
      </w:r>
      <w:r w:rsidRPr="007E4DA1">
        <w:rPr>
          <w:color w:val="000000"/>
          <w:szCs w:val="22"/>
        </w:rPr>
        <w:t xml:space="preserve"> ocenić, czy kontynuacja leczenia eltrombopagiem jest właściwa.</w:t>
      </w:r>
    </w:p>
    <w:p w14:paraId="4F6E5A51" w14:textId="77777777" w:rsidR="00A350DA" w:rsidRPr="007E4DA1" w:rsidRDefault="00A350DA" w:rsidP="001A6584">
      <w:pPr>
        <w:tabs>
          <w:tab w:val="left" w:pos="142"/>
        </w:tabs>
        <w:ind w:left="0" w:firstLine="0"/>
        <w:rPr>
          <w:color w:val="000000"/>
          <w:szCs w:val="22"/>
        </w:rPr>
      </w:pPr>
    </w:p>
    <w:p w14:paraId="62785102" w14:textId="77777777" w:rsidR="00041A08" w:rsidRPr="00041A08" w:rsidRDefault="00A350DA" w:rsidP="001A6584">
      <w:pPr>
        <w:keepNext/>
        <w:tabs>
          <w:tab w:val="left" w:pos="142"/>
        </w:tabs>
        <w:ind w:left="0" w:firstLine="0"/>
        <w:rPr>
          <w:color w:val="000000"/>
          <w:szCs w:val="22"/>
        </w:rPr>
      </w:pPr>
      <w:r w:rsidRPr="007E4DA1">
        <w:rPr>
          <w:color w:val="000000"/>
          <w:szCs w:val="22"/>
          <w:u w:val="single"/>
        </w:rPr>
        <w:t>Zmiany w oku</w:t>
      </w:r>
    </w:p>
    <w:p w14:paraId="24C415E5" w14:textId="271818B3" w:rsidR="00A350DA" w:rsidRPr="007E4DA1" w:rsidRDefault="00A350DA" w:rsidP="001A6584">
      <w:pPr>
        <w:keepNext/>
        <w:tabs>
          <w:tab w:val="left" w:pos="142"/>
        </w:tabs>
        <w:ind w:left="0" w:firstLine="0"/>
        <w:rPr>
          <w:color w:val="000000"/>
          <w:szCs w:val="24"/>
        </w:rPr>
      </w:pPr>
    </w:p>
    <w:p w14:paraId="1188B5B4" w14:textId="3221359D" w:rsidR="00A350DA" w:rsidRPr="007E4DA1" w:rsidRDefault="00A350DA" w:rsidP="001A6584">
      <w:pPr>
        <w:tabs>
          <w:tab w:val="left" w:pos="142"/>
        </w:tabs>
        <w:ind w:left="0" w:firstLine="0"/>
      </w:pPr>
      <w:r w:rsidRPr="007E4DA1">
        <w:rPr>
          <w:color w:val="000000"/>
          <w:szCs w:val="24"/>
        </w:rPr>
        <w:t>W badaniach toksykologicznych eltrombopagu na gryzoniach stwierdzono występowanie zaćmy (patrz punkt</w:t>
      </w:r>
      <w:r w:rsidR="00406FA8" w:rsidRPr="007E4DA1">
        <w:rPr>
          <w:color w:val="000000"/>
          <w:szCs w:val="24"/>
        </w:rPr>
        <w:t> </w:t>
      </w:r>
      <w:r w:rsidRPr="007E4DA1">
        <w:rPr>
          <w:color w:val="000000"/>
          <w:szCs w:val="24"/>
        </w:rPr>
        <w:t xml:space="preserve">5.3). </w:t>
      </w:r>
      <w:r w:rsidRPr="007E4DA1">
        <w:t>W kontrolowanych badaniach z udziałem pacjentów z małopłytkowością i zakażeniem wirusem WZW C, otrzymujących leczenie interferonem (n=1</w:t>
      </w:r>
      <w:r w:rsidR="005F162F" w:rsidRPr="007E4DA1">
        <w:t> </w:t>
      </w:r>
      <w:r w:rsidRPr="007E4DA1">
        <w:t xml:space="preserve">439), progresję stwierdzonej przed badaniem zaćmy lub nowe przypadki zaćmy zaobserwowano u 8% pacjentów w </w:t>
      </w:r>
      <w:r w:rsidRPr="007E4DA1">
        <w:lastRenderedPageBreak/>
        <w:t>grupie leczonej eltrombopagiem oraz u 5% pacjentów w grupie placebo. U pacjentów WZW C, którzy otrzymywali interferon, rybawirynę i eltrombopag, obserwowano krwotoki siatkówkowe, głównie w stopniu nasilenia 1 lub 2 (u 2% pacjentów w grupie leczonej eltrombopagiem oraz u 2% pacjentów w grupie placebo). Krwotoki te występowały na powierzchni siatkówki (przedsiatkówkowe), pod siatkówką (podsiatkówkowe) lub w obrębie tkanek siatkówki. Zaleca się rutynowe badania okulistyczne pacjentów.</w:t>
      </w:r>
    </w:p>
    <w:p w14:paraId="44AF871E" w14:textId="77777777" w:rsidR="00A350DA" w:rsidRPr="007E4DA1" w:rsidRDefault="00A350DA" w:rsidP="001A6584">
      <w:pPr>
        <w:tabs>
          <w:tab w:val="left" w:pos="142"/>
        </w:tabs>
        <w:ind w:left="0" w:firstLine="0"/>
      </w:pPr>
    </w:p>
    <w:p w14:paraId="79920826" w14:textId="77777777" w:rsidR="00041A08" w:rsidRPr="00041A08" w:rsidRDefault="00A350DA" w:rsidP="001A6584">
      <w:pPr>
        <w:keepNext/>
        <w:tabs>
          <w:tab w:val="left" w:pos="142"/>
        </w:tabs>
        <w:ind w:left="0" w:firstLine="0"/>
        <w:rPr>
          <w:szCs w:val="22"/>
        </w:rPr>
      </w:pPr>
      <w:r w:rsidRPr="007E4DA1">
        <w:rPr>
          <w:u w:val="single"/>
        </w:rPr>
        <w:t>Wydłużenie odstępu QT/QTc</w:t>
      </w:r>
    </w:p>
    <w:p w14:paraId="724F9E33" w14:textId="77777777" w:rsidR="00041A08" w:rsidRPr="00041A08" w:rsidRDefault="00041A08" w:rsidP="001A6584">
      <w:pPr>
        <w:keepNext/>
        <w:tabs>
          <w:tab w:val="left" w:pos="142"/>
        </w:tabs>
        <w:ind w:left="0" w:firstLine="0"/>
        <w:rPr>
          <w:szCs w:val="22"/>
        </w:rPr>
      </w:pPr>
    </w:p>
    <w:p w14:paraId="08DF6546" w14:textId="77777777" w:rsidR="00A350DA" w:rsidRPr="007E4DA1" w:rsidRDefault="00A350DA" w:rsidP="001A6584">
      <w:pPr>
        <w:tabs>
          <w:tab w:val="left" w:pos="142"/>
        </w:tabs>
        <w:ind w:left="0" w:firstLine="0"/>
        <w:rPr>
          <w:szCs w:val="22"/>
        </w:rPr>
      </w:pPr>
      <w:r w:rsidRPr="007E4DA1">
        <w:t>Badanie, w którym oceniano odstęp QTc u zdrowych ochotników otrzymujących eltrombopag w dawce 150 mg na dobę, nie wykazało klinicznie istotnego wpływu na repolaryzację mięśnia sercowego. W badaniach klinicznych z udziałem pacjentów z pierwotną małopłytkowością immunologiczną oraz u pacjentów z małopłytkowością i zakażeniem wirusem WZW C obserwowano wydłużenie odstępu QTc. Znaczenie kliniczne tych przypadków wydłużenia odstępu QTc jest nieznane.</w:t>
      </w:r>
    </w:p>
    <w:p w14:paraId="7375093A" w14:textId="77777777" w:rsidR="00041A08" w:rsidRPr="00041A08" w:rsidRDefault="00041A08" w:rsidP="001A6584">
      <w:pPr>
        <w:tabs>
          <w:tab w:val="left" w:pos="142"/>
        </w:tabs>
        <w:ind w:left="0" w:firstLine="0"/>
        <w:rPr>
          <w:szCs w:val="22"/>
        </w:rPr>
      </w:pPr>
    </w:p>
    <w:p w14:paraId="70ADA2D4" w14:textId="77777777" w:rsidR="00041A08" w:rsidRPr="00041A08" w:rsidRDefault="00A350DA" w:rsidP="001A6584">
      <w:pPr>
        <w:keepNext/>
        <w:tabs>
          <w:tab w:val="left" w:pos="142"/>
        </w:tabs>
        <w:ind w:left="0" w:firstLine="0"/>
      </w:pPr>
      <w:r w:rsidRPr="007E4DA1">
        <w:rPr>
          <w:u w:val="single"/>
        </w:rPr>
        <w:t>Utrata odpowiedzi na eltrombopag</w:t>
      </w:r>
    </w:p>
    <w:p w14:paraId="6CE0170D" w14:textId="6BEFFC44" w:rsidR="00A350DA" w:rsidRPr="007E4DA1" w:rsidRDefault="00A350DA" w:rsidP="001A6584">
      <w:pPr>
        <w:keepNext/>
        <w:tabs>
          <w:tab w:val="left" w:pos="142"/>
        </w:tabs>
        <w:ind w:left="0" w:firstLine="0"/>
        <w:rPr>
          <w:szCs w:val="22"/>
        </w:rPr>
      </w:pPr>
    </w:p>
    <w:p w14:paraId="6BE13592" w14:textId="77777777" w:rsidR="00A350DA" w:rsidRPr="007E4DA1" w:rsidRDefault="00A350DA" w:rsidP="001A6584">
      <w:pPr>
        <w:tabs>
          <w:tab w:val="left" w:pos="142"/>
        </w:tabs>
        <w:ind w:left="0" w:firstLine="0"/>
      </w:pPr>
      <w:r w:rsidRPr="007E4DA1">
        <w:t>W przypadku utraty odpowiedzi lub niepowodzenia w utrzymaniu odpowiedzi płytkowej na leczenie eltrombopagiem w zakresie zalecanych dawek, należy poszukiwać przyczyny takiego stanu, w tym zwiększenia ilości retykuliny w szpiku kostnym.</w:t>
      </w:r>
    </w:p>
    <w:p w14:paraId="39D118F3" w14:textId="77777777" w:rsidR="00832D62" w:rsidRPr="007E4DA1" w:rsidRDefault="00832D62" w:rsidP="001A6584">
      <w:pPr>
        <w:tabs>
          <w:tab w:val="left" w:pos="142"/>
        </w:tabs>
        <w:ind w:left="0" w:firstLine="0"/>
        <w:rPr>
          <w:color w:val="000000"/>
          <w:szCs w:val="22"/>
        </w:rPr>
      </w:pPr>
    </w:p>
    <w:p w14:paraId="24181507" w14:textId="77777777" w:rsidR="00041A08" w:rsidRPr="00041A08" w:rsidRDefault="009C195E" w:rsidP="001A6584">
      <w:pPr>
        <w:keepNext/>
        <w:tabs>
          <w:tab w:val="left" w:pos="142"/>
        </w:tabs>
        <w:ind w:left="0" w:firstLine="0"/>
        <w:rPr>
          <w:color w:val="000000"/>
          <w:szCs w:val="22"/>
        </w:rPr>
      </w:pPr>
      <w:r w:rsidRPr="007E4DA1">
        <w:rPr>
          <w:color w:val="000000"/>
          <w:szCs w:val="22"/>
          <w:u w:val="single"/>
        </w:rPr>
        <w:t>D</w:t>
      </w:r>
      <w:r w:rsidR="00832D62" w:rsidRPr="007E4DA1">
        <w:rPr>
          <w:color w:val="000000"/>
          <w:szCs w:val="22"/>
          <w:u w:val="single"/>
        </w:rPr>
        <w:t>zieci i młodzież</w:t>
      </w:r>
    </w:p>
    <w:p w14:paraId="7979CAFB" w14:textId="504C8F08" w:rsidR="00832D62" w:rsidRPr="007E4DA1" w:rsidRDefault="00832D62" w:rsidP="001A6584">
      <w:pPr>
        <w:keepNext/>
        <w:tabs>
          <w:tab w:val="left" w:pos="142"/>
        </w:tabs>
        <w:ind w:left="0" w:firstLine="0"/>
        <w:rPr>
          <w:color w:val="000000"/>
          <w:szCs w:val="22"/>
        </w:rPr>
      </w:pPr>
    </w:p>
    <w:p w14:paraId="51726C75" w14:textId="0594B382" w:rsidR="009C195E" w:rsidRPr="007E4DA1" w:rsidRDefault="00832D62" w:rsidP="001A6584">
      <w:pPr>
        <w:tabs>
          <w:tab w:val="left" w:pos="142"/>
        </w:tabs>
        <w:ind w:left="0" w:firstLine="0"/>
        <w:rPr>
          <w:color w:val="000000"/>
          <w:szCs w:val="22"/>
        </w:rPr>
      </w:pPr>
      <w:r w:rsidRPr="007E4DA1">
        <w:rPr>
          <w:color w:val="000000"/>
          <w:szCs w:val="22"/>
        </w:rPr>
        <w:t xml:space="preserve">Powyższe ostrzeżenia i środki ostrożności dla </w:t>
      </w:r>
      <w:r w:rsidRPr="007E4DA1">
        <w:rPr>
          <w:szCs w:val="22"/>
        </w:rPr>
        <w:t>pierwotnej małopłytkowości immunologicznej</w:t>
      </w:r>
      <w:r w:rsidRPr="007E4DA1">
        <w:rPr>
          <w:color w:val="000000"/>
          <w:szCs w:val="22"/>
        </w:rPr>
        <w:t xml:space="preserve"> dotyczą także populacji dzieci i młodzieży.</w:t>
      </w:r>
    </w:p>
    <w:p w14:paraId="2DB7B2A6" w14:textId="77777777" w:rsidR="006304CB" w:rsidRPr="007E4DA1" w:rsidRDefault="006304CB" w:rsidP="001A6584">
      <w:pPr>
        <w:tabs>
          <w:tab w:val="left" w:pos="142"/>
        </w:tabs>
        <w:ind w:left="0" w:firstLine="0"/>
        <w:rPr>
          <w:color w:val="000000"/>
          <w:szCs w:val="22"/>
        </w:rPr>
      </w:pPr>
    </w:p>
    <w:p w14:paraId="451AD5C9" w14:textId="77777777" w:rsidR="00041A08" w:rsidRPr="00041A08" w:rsidRDefault="00634D6C" w:rsidP="001A6584">
      <w:pPr>
        <w:keepNext/>
        <w:tabs>
          <w:tab w:val="left" w:pos="142"/>
        </w:tabs>
        <w:ind w:left="0" w:firstLine="0"/>
        <w:rPr>
          <w:color w:val="000000"/>
          <w:szCs w:val="22"/>
        </w:rPr>
      </w:pPr>
      <w:r w:rsidRPr="007E4DA1">
        <w:rPr>
          <w:color w:val="000000"/>
          <w:szCs w:val="22"/>
          <w:u w:val="single"/>
        </w:rPr>
        <w:t>Wpływ na wyniki badań laboratoryjnych</w:t>
      </w:r>
    </w:p>
    <w:p w14:paraId="6318F056" w14:textId="4AEB6F54" w:rsidR="00634D6C" w:rsidRPr="007E4DA1" w:rsidRDefault="00634D6C" w:rsidP="001A6584">
      <w:pPr>
        <w:keepNext/>
        <w:tabs>
          <w:tab w:val="left" w:pos="142"/>
        </w:tabs>
        <w:ind w:left="0" w:firstLine="0"/>
        <w:rPr>
          <w:color w:val="000000"/>
          <w:szCs w:val="22"/>
        </w:rPr>
      </w:pPr>
    </w:p>
    <w:p w14:paraId="4EC8FA45" w14:textId="77777777" w:rsidR="00634D6C" w:rsidRPr="007E4DA1" w:rsidRDefault="00634D6C" w:rsidP="001A6584">
      <w:pPr>
        <w:tabs>
          <w:tab w:val="left" w:pos="142"/>
        </w:tabs>
        <w:ind w:left="0" w:firstLine="0"/>
        <w:rPr>
          <w:color w:val="000000"/>
          <w:szCs w:val="22"/>
        </w:rPr>
      </w:pPr>
      <w:r w:rsidRPr="007E4DA1">
        <w:rPr>
          <w:color w:val="000000"/>
          <w:szCs w:val="22"/>
        </w:rPr>
        <w:t xml:space="preserve">Eltrombopag </w:t>
      </w:r>
      <w:r w:rsidR="00EF3D5C" w:rsidRPr="007E4DA1">
        <w:rPr>
          <w:color w:val="000000"/>
          <w:szCs w:val="22"/>
        </w:rPr>
        <w:t xml:space="preserve">jest intensywnie zabarwiony i w związku z tym może wpływać </w:t>
      </w:r>
      <w:r w:rsidRPr="007E4DA1">
        <w:rPr>
          <w:color w:val="000000"/>
          <w:szCs w:val="22"/>
        </w:rPr>
        <w:t xml:space="preserve">na wyniki niektórych badań laboratoryjnych. U pacjentów przyjmujących produkt leczniczy Revolade zgłaszano przypadki </w:t>
      </w:r>
      <w:r w:rsidR="00EF3D5C" w:rsidRPr="007E4DA1">
        <w:rPr>
          <w:color w:val="000000"/>
          <w:szCs w:val="22"/>
        </w:rPr>
        <w:t>zabarwienia</w:t>
      </w:r>
      <w:r w:rsidR="0057666A" w:rsidRPr="007E4DA1">
        <w:rPr>
          <w:color w:val="000000"/>
          <w:szCs w:val="22"/>
        </w:rPr>
        <w:t xml:space="preserve"> surowicy oraz wpływu</w:t>
      </w:r>
      <w:r w:rsidRPr="007E4DA1">
        <w:rPr>
          <w:color w:val="000000"/>
          <w:szCs w:val="22"/>
        </w:rPr>
        <w:t xml:space="preserve"> na wyniki oznaczania bilirubiny całkowitej i kreatyniny. W przypadku rozbieżności pomiędzy wynikami badań laboratoryjnych a objawami klinicznymi, pomocne w ustaleniu ważności wyniku może być ponowne wykonanie badania przy użyciu innej metody.</w:t>
      </w:r>
    </w:p>
    <w:p w14:paraId="0F35F98B" w14:textId="77777777" w:rsidR="006304CB" w:rsidRPr="007E4DA1" w:rsidRDefault="006304CB" w:rsidP="001A6584">
      <w:pPr>
        <w:tabs>
          <w:tab w:val="left" w:pos="142"/>
        </w:tabs>
        <w:ind w:left="0" w:firstLine="0"/>
        <w:rPr>
          <w:color w:val="000000"/>
          <w:szCs w:val="22"/>
        </w:rPr>
      </w:pPr>
    </w:p>
    <w:p w14:paraId="24B3001F" w14:textId="77777777" w:rsidR="00A350DA" w:rsidRPr="007E4DA1" w:rsidRDefault="00A350DA" w:rsidP="001A6584">
      <w:pPr>
        <w:keepNext/>
      </w:pPr>
      <w:r w:rsidRPr="007E4DA1">
        <w:rPr>
          <w:b/>
        </w:rPr>
        <w:t>4.5</w:t>
      </w:r>
      <w:r w:rsidRPr="007E4DA1">
        <w:rPr>
          <w:b/>
        </w:rPr>
        <w:tab/>
        <w:t xml:space="preserve">Interakcje z innymi </w:t>
      </w:r>
      <w:r w:rsidR="001A2BDF" w:rsidRPr="007E4DA1">
        <w:rPr>
          <w:b/>
        </w:rPr>
        <w:t>produktami leczniczymi</w:t>
      </w:r>
      <w:r w:rsidRPr="007E4DA1">
        <w:rPr>
          <w:b/>
        </w:rPr>
        <w:t xml:space="preserve"> i inne rodzaje interakcji</w:t>
      </w:r>
    </w:p>
    <w:p w14:paraId="021868B4" w14:textId="77777777" w:rsidR="00A350DA" w:rsidRPr="007E4DA1" w:rsidRDefault="00A350DA" w:rsidP="001A6584">
      <w:pPr>
        <w:keepNext/>
        <w:tabs>
          <w:tab w:val="left" w:pos="142"/>
        </w:tabs>
        <w:ind w:left="0" w:firstLine="0"/>
        <w:rPr>
          <w:rStyle w:val="LBLLevel2Char"/>
          <w:rFonts w:ascii="Times New Roman" w:hAnsi="Times New Roman"/>
          <w:b w:val="0"/>
          <w:sz w:val="22"/>
          <w:szCs w:val="22"/>
          <w:lang w:val="pl-PL"/>
        </w:rPr>
      </w:pPr>
    </w:p>
    <w:p w14:paraId="59A0DF6D" w14:textId="77777777" w:rsidR="00041A08" w:rsidRPr="00041A08" w:rsidRDefault="00A350DA" w:rsidP="001A6584">
      <w:pPr>
        <w:keepNext/>
        <w:tabs>
          <w:tab w:val="left" w:pos="142"/>
        </w:tabs>
        <w:ind w:left="0" w:firstLine="0"/>
        <w:rPr>
          <w:rFonts w:eastAsia="MS Mincho"/>
        </w:rPr>
      </w:pPr>
      <w:r w:rsidRPr="007E4DA1">
        <w:rPr>
          <w:rFonts w:eastAsia="MS Mincho"/>
          <w:u w:val="single"/>
        </w:rPr>
        <w:t>Wpływ eltrombopagu na inne produkty lecznicze</w:t>
      </w:r>
    </w:p>
    <w:p w14:paraId="1B0EDCFC" w14:textId="31886BEB" w:rsidR="00A350DA" w:rsidRPr="007E4DA1" w:rsidRDefault="00A350DA" w:rsidP="001A6584">
      <w:pPr>
        <w:keepNext/>
        <w:tabs>
          <w:tab w:val="left" w:pos="142"/>
        </w:tabs>
        <w:ind w:left="0" w:firstLine="0"/>
      </w:pPr>
    </w:p>
    <w:p w14:paraId="4F365DC3" w14:textId="77777777" w:rsidR="00041A08" w:rsidRPr="00041A08" w:rsidRDefault="00A350DA" w:rsidP="001A6584">
      <w:pPr>
        <w:keepNext/>
        <w:tabs>
          <w:tab w:val="left" w:pos="142"/>
        </w:tabs>
        <w:ind w:left="0" w:firstLine="0"/>
      </w:pPr>
      <w:r w:rsidRPr="007E4DA1">
        <w:rPr>
          <w:i/>
          <w:u w:val="single"/>
        </w:rPr>
        <w:t xml:space="preserve">Inhibitory reduktazy </w:t>
      </w:r>
      <w:smartTag w:uri="urn:schemas-microsoft-com:office:smarttags" w:element="stockticker">
        <w:r w:rsidRPr="007E4DA1">
          <w:rPr>
            <w:i/>
            <w:u w:val="single"/>
          </w:rPr>
          <w:t>HMG</w:t>
        </w:r>
      </w:smartTag>
      <w:r w:rsidRPr="007E4DA1">
        <w:rPr>
          <w:i/>
          <w:u w:val="single"/>
        </w:rPr>
        <w:t xml:space="preserve"> CoA</w:t>
      </w:r>
    </w:p>
    <w:p w14:paraId="11B27797" w14:textId="77777777" w:rsidR="00041A08" w:rsidRPr="00041A08" w:rsidRDefault="00041A08" w:rsidP="001A6584">
      <w:pPr>
        <w:keepNext/>
        <w:tabs>
          <w:tab w:val="left" w:pos="142"/>
        </w:tabs>
        <w:ind w:left="0" w:firstLine="0"/>
        <w:rPr>
          <w:szCs w:val="22"/>
        </w:rPr>
      </w:pPr>
    </w:p>
    <w:p w14:paraId="6653F95F" w14:textId="77777777" w:rsidR="00A350DA" w:rsidRPr="007E4DA1" w:rsidRDefault="00A350DA" w:rsidP="001A6584">
      <w:pPr>
        <w:tabs>
          <w:tab w:val="left" w:pos="142"/>
        </w:tabs>
        <w:ind w:left="0" w:firstLine="0"/>
      </w:pPr>
      <w:r w:rsidRPr="007E4DA1">
        <w:t>Podawanie eltrombopagu w dawce 75 mg raz na dobę przez 5</w:t>
      </w:r>
      <w:r w:rsidR="00406FA8" w:rsidRPr="007E4DA1">
        <w:t> </w:t>
      </w:r>
      <w:r w:rsidRPr="007E4DA1">
        <w:t>dni wraz z pojedynczą dawką 10 mg rozuwastatyny, substratu OATP1B1 i BCRP, 39</w:t>
      </w:r>
      <w:r w:rsidR="00406FA8" w:rsidRPr="007E4DA1">
        <w:t> </w:t>
      </w:r>
      <w:r w:rsidRPr="007E4DA1">
        <w:t>zdrowym osobom dorosłym prowadziło do zwiększenia C</w:t>
      </w:r>
      <w:r w:rsidRPr="007E4DA1">
        <w:rPr>
          <w:szCs w:val="24"/>
          <w:vertAlign w:val="subscript"/>
        </w:rPr>
        <w:t>max</w:t>
      </w:r>
      <w:r w:rsidRPr="007E4DA1">
        <w:t xml:space="preserve"> i AUC</w:t>
      </w:r>
      <w:r w:rsidRPr="007E4DA1">
        <w:rPr>
          <w:vertAlign w:val="subscript"/>
        </w:rPr>
        <w:t>0-</w:t>
      </w:r>
      <w:r w:rsidRPr="007E4DA1">
        <w:rPr>
          <w:vertAlign w:val="subscript"/>
        </w:rPr>
        <w:sym w:font="Symbol" w:char="F0A5"/>
      </w:r>
      <w:r w:rsidRPr="007E4DA1">
        <w:t xml:space="preserve"> rozuwastatyny w osoczu odpowiednio o 103% (90% przedział ufności [CI]: 82%, 126%) i o 55% (90% CI: 42%, 69%). Spodziewane są </w:t>
      </w:r>
      <w:r w:rsidRPr="007E4DA1">
        <w:rPr>
          <w:rFonts w:eastAsia="MS Mincho"/>
          <w:lang w:eastAsia="ja-JP"/>
        </w:rPr>
        <w:t xml:space="preserve">również interakcje z innymi inhibitorami reduktazy </w:t>
      </w:r>
      <w:smartTag w:uri="urn:schemas-microsoft-com:office:smarttags" w:element="stockticker">
        <w:r w:rsidRPr="007E4DA1">
          <w:rPr>
            <w:rFonts w:eastAsia="MS Mincho"/>
            <w:lang w:eastAsia="ja-JP"/>
          </w:rPr>
          <w:t>HMG</w:t>
        </w:r>
      </w:smartTag>
      <w:r w:rsidRPr="007E4DA1">
        <w:rPr>
          <w:rFonts w:eastAsia="MS Mincho"/>
          <w:lang w:eastAsia="ja-JP"/>
        </w:rPr>
        <w:t xml:space="preserve">-CoA, w tym atorwastatyną, fluwastatyną, lowastatyną, prawastatyną i symwastatyną. W przypadku jednoczesnego podawania z </w:t>
      </w:r>
      <w:r w:rsidRPr="007E4DA1">
        <w:t>eltrombopagiem należy rozważyć zmniejszenie dawki statyn i ściśle monitorować pacjenta w celu wykrycia działań niepożądanych statyn (patrz punkt 5.2).</w:t>
      </w:r>
    </w:p>
    <w:p w14:paraId="06A2A4C4" w14:textId="77777777" w:rsidR="00041A08" w:rsidRPr="00041A08" w:rsidRDefault="00041A08" w:rsidP="001A6584">
      <w:pPr>
        <w:tabs>
          <w:tab w:val="left" w:pos="142"/>
        </w:tabs>
        <w:ind w:left="0" w:firstLine="0"/>
        <w:rPr>
          <w:szCs w:val="22"/>
        </w:rPr>
      </w:pPr>
    </w:p>
    <w:p w14:paraId="7261B220" w14:textId="77777777" w:rsidR="00041A08" w:rsidRPr="00041A08" w:rsidRDefault="00A350DA" w:rsidP="001A6584">
      <w:pPr>
        <w:keepNext/>
        <w:tabs>
          <w:tab w:val="left" w:pos="142"/>
        </w:tabs>
        <w:ind w:left="0" w:firstLine="0"/>
      </w:pPr>
      <w:r w:rsidRPr="007E4DA1">
        <w:rPr>
          <w:i/>
          <w:u w:val="single"/>
        </w:rPr>
        <w:t>Substraty OATP1B1 i BCRP</w:t>
      </w:r>
    </w:p>
    <w:p w14:paraId="6742BD68" w14:textId="73B7EF3B" w:rsidR="00A350DA" w:rsidRPr="007E4DA1" w:rsidRDefault="00A350DA" w:rsidP="001A6584">
      <w:pPr>
        <w:keepNext/>
        <w:tabs>
          <w:tab w:val="left" w:pos="142"/>
        </w:tabs>
        <w:ind w:left="0" w:firstLine="0"/>
      </w:pPr>
    </w:p>
    <w:p w14:paraId="066931CD" w14:textId="77777777" w:rsidR="00A350DA" w:rsidRPr="007E4DA1" w:rsidRDefault="00A350DA" w:rsidP="001A6584">
      <w:pPr>
        <w:tabs>
          <w:tab w:val="left" w:pos="142"/>
        </w:tabs>
        <w:ind w:left="0" w:firstLine="0"/>
      </w:pPr>
      <w:r w:rsidRPr="007E4DA1">
        <w:t>Należy zachować ostrożność w przypadku jednoczesnego stosowania eltrombopagu i substratów OATP1B1 (np. metotreksat) oraz BCRP (np. topotekan i metotreksat) (patrz punkt 5.2).</w:t>
      </w:r>
    </w:p>
    <w:p w14:paraId="28979C91" w14:textId="77777777" w:rsidR="00041A08" w:rsidRPr="00041A08" w:rsidRDefault="00041A08" w:rsidP="001A6584">
      <w:pPr>
        <w:tabs>
          <w:tab w:val="left" w:pos="142"/>
        </w:tabs>
        <w:ind w:left="0" w:firstLine="0"/>
        <w:rPr>
          <w:szCs w:val="22"/>
        </w:rPr>
      </w:pPr>
    </w:p>
    <w:p w14:paraId="519F1ADE" w14:textId="77777777" w:rsidR="00041A08" w:rsidRPr="00041A08" w:rsidRDefault="00A350DA" w:rsidP="001A6584">
      <w:pPr>
        <w:keepNext/>
        <w:tabs>
          <w:tab w:val="left" w:pos="142"/>
        </w:tabs>
        <w:ind w:left="0" w:firstLine="0"/>
        <w:rPr>
          <w:color w:val="000000"/>
          <w:szCs w:val="22"/>
        </w:rPr>
      </w:pPr>
      <w:r w:rsidRPr="007E4DA1">
        <w:rPr>
          <w:i/>
          <w:color w:val="000000"/>
          <w:szCs w:val="22"/>
          <w:u w:val="single"/>
        </w:rPr>
        <w:lastRenderedPageBreak/>
        <w:t>Substraty cytochromu P450</w:t>
      </w:r>
    </w:p>
    <w:p w14:paraId="5B5E2457" w14:textId="77777777" w:rsidR="00041A08" w:rsidRPr="00041A08" w:rsidRDefault="00041A08" w:rsidP="001A6584">
      <w:pPr>
        <w:keepNext/>
        <w:tabs>
          <w:tab w:val="left" w:pos="142"/>
        </w:tabs>
        <w:ind w:left="0" w:firstLine="0"/>
        <w:rPr>
          <w:color w:val="000000"/>
          <w:szCs w:val="22"/>
        </w:rPr>
      </w:pPr>
    </w:p>
    <w:p w14:paraId="23840D7E" w14:textId="77777777" w:rsidR="00A350DA" w:rsidRPr="007E4DA1" w:rsidRDefault="00A350DA" w:rsidP="001A6584">
      <w:pPr>
        <w:tabs>
          <w:tab w:val="left" w:pos="142"/>
        </w:tabs>
        <w:ind w:left="0" w:firstLine="0"/>
        <w:rPr>
          <w:color w:val="000000"/>
          <w:szCs w:val="22"/>
        </w:rPr>
      </w:pPr>
      <w:r w:rsidRPr="007E4DA1">
        <w:rPr>
          <w:color w:val="000000"/>
          <w:szCs w:val="22"/>
        </w:rPr>
        <w:t xml:space="preserve">W badaniach z wykorzystaniem ludzkich mikrosomów wątrobowych wykazano, że </w:t>
      </w:r>
      <w:r w:rsidRPr="007E4DA1">
        <w:rPr>
          <w:i/>
          <w:color w:val="000000"/>
          <w:szCs w:val="22"/>
        </w:rPr>
        <w:t>in vitro</w:t>
      </w:r>
      <w:r w:rsidRPr="007E4DA1">
        <w:rPr>
          <w:color w:val="000000"/>
          <w:szCs w:val="22"/>
        </w:rPr>
        <w:t xml:space="preserve"> eltrombopag (w dawkach do 100 </w:t>
      </w:r>
      <w:r w:rsidRPr="007E4DA1">
        <w:rPr>
          <w:color w:val="000000"/>
          <w:szCs w:val="22"/>
        </w:rPr>
        <w:sym w:font="Symbol" w:char="F06D"/>
      </w:r>
      <w:r w:rsidRPr="007E4DA1">
        <w:rPr>
          <w:color w:val="000000"/>
          <w:szCs w:val="22"/>
        </w:rPr>
        <w:t>M ) nie hamuje enzymów</w:t>
      </w:r>
      <w:r w:rsidRPr="007E4DA1">
        <w:rPr>
          <w:i/>
          <w:color w:val="000000"/>
          <w:szCs w:val="22"/>
        </w:rPr>
        <w:t xml:space="preserve"> </w:t>
      </w:r>
      <w:r w:rsidRPr="007E4DA1">
        <w:rPr>
          <w:color w:val="000000"/>
          <w:szCs w:val="22"/>
        </w:rPr>
        <w:t>CYP450 1A2, 2A6, 2C19, 2D6, 2E1, 3A4/5 i 4A9/11 ale hamuje CYP2C8 i CYP2C9, co stwierdzono stosując jako substraty testowe paklitaksel i diklofenak. Podawanie eltrombopagu w dawce 75 mg raz na dobę 24 zdrowym mężczyznom przez 7</w:t>
      </w:r>
      <w:r w:rsidR="00406FA8" w:rsidRPr="007E4DA1">
        <w:rPr>
          <w:color w:val="000000"/>
          <w:szCs w:val="22"/>
        </w:rPr>
        <w:t> </w:t>
      </w:r>
      <w:r w:rsidRPr="007E4DA1">
        <w:rPr>
          <w:color w:val="000000"/>
          <w:szCs w:val="22"/>
        </w:rPr>
        <w:t>dni nie powodowało zahamowania ani indukcji metabolizmu substratów testowych 1A2 (kofeina), 2C19 (omeprazol), 2C9 (flurbiprofen) i 3A4 (midazolam) u ludzi. Nie przewiduje się istotnych klinicznie interakcji podczas jednoczesnego stosowania eltrombopagu i substratów CYP450</w:t>
      </w:r>
      <w:r w:rsidRPr="007E4DA1">
        <w:t xml:space="preserve"> (patrz punkt 5.2)</w:t>
      </w:r>
      <w:r w:rsidRPr="007E4DA1">
        <w:rPr>
          <w:color w:val="000000"/>
          <w:szCs w:val="22"/>
        </w:rPr>
        <w:t>.</w:t>
      </w:r>
    </w:p>
    <w:p w14:paraId="1C0654C5" w14:textId="77777777" w:rsidR="00A350DA" w:rsidRPr="007E4DA1" w:rsidRDefault="00A350DA" w:rsidP="001A6584">
      <w:pPr>
        <w:tabs>
          <w:tab w:val="left" w:pos="142"/>
        </w:tabs>
        <w:ind w:left="0" w:firstLine="0"/>
        <w:rPr>
          <w:color w:val="000000"/>
          <w:szCs w:val="22"/>
        </w:rPr>
      </w:pPr>
    </w:p>
    <w:p w14:paraId="43FF0DC4" w14:textId="77777777" w:rsidR="00041A08" w:rsidRPr="00041A08" w:rsidRDefault="00A350DA" w:rsidP="001A6584">
      <w:pPr>
        <w:keepNext/>
        <w:tabs>
          <w:tab w:val="left" w:pos="142"/>
        </w:tabs>
        <w:ind w:left="0" w:firstLine="0"/>
      </w:pPr>
      <w:r w:rsidRPr="007E4DA1">
        <w:rPr>
          <w:i/>
          <w:u w:val="single"/>
        </w:rPr>
        <w:t>Inhibitory proteazy WZW C</w:t>
      </w:r>
    </w:p>
    <w:p w14:paraId="1A3B399D" w14:textId="5FD686D2" w:rsidR="00A350DA" w:rsidRPr="007E4DA1" w:rsidRDefault="00A350DA" w:rsidP="001A6584">
      <w:pPr>
        <w:keepNext/>
        <w:tabs>
          <w:tab w:val="left" w:pos="142"/>
        </w:tabs>
        <w:ind w:left="0" w:firstLine="0"/>
      </w:pPr>
    </w:p>
    <w:p w14:paraId="6D1E047D" w14:textId="77777777" w:rsidR="00A350DA" w:rsidRPr="007E4DA1" w:rsidRDefault="00A350DA" w:rsidP="001A6584">
      <w:pPr>
        <w:tabs>
          <w:tab w:val="left" w:pos="142"/>
        </w:tabs>
        <w:ind w:left="0" w:firstLine="0"/>
      </w:pPr>
      <w:r w:rsidRPr="007E4DA1">
        <w:t>Nie jest wymagane dostosowanie dawkowania podczas skojarzonego zastosowania eltrombopagu z telaprewirem lub boceprewirem. Jednoczesne podanie pojedynczej dawki 200 mg eltrombopagu z 750 mg telaprewiru co 8 godzin nie powodowało zmiany ekspozycji osoczowej na telaprewir.</w:t>
      </w:r>
    </w:p>
    <w:p w14:paraId="339F220D" w14:textId="77777777" w:rsidR="00A350DA" w:rsidRPr="007E4DA1" w:rsidRDefault="00A350DA" w:rsidP="001A6584">
      <w:pPr>
        <w:tabs>
          <w:tab w:val="left" w:pos="142"/>
        </w:tabs>
        <w:ind w:left="0" w:firstLine="0"/>
      </w:pPr>
    </w:p>
    <w:p w14:paraId="7AEA2343" w14:textId="77777777" w:rsidR="00A350DA" w:rsidRPr="007E4DA1" w:rsidRDefault="00A350DA" w:rsidP="001A6584">
      <w:pPr>
        <w:tabs>
          <w:tab w:val="left" w:pos="142"/>
        </w:tabs>
        <w:ind w:left="0" w:firstLine="0"/>
      </w:pPr>
      <w:r w:rsidRPr="007E4DA1">
        <w:t>Jednoczesne podanie pojedynczej dawki 200</w:t>
      </w:r>
      <w:r w:rsidR="00406FA8" w:rsidRPr="007E4DA1">
        <w:t> </w:t>
      </w:r>
      <w:r w:rsidRPr="007E4DA1">
        <w:t>mg eltrombopagu z 800</w:t>
      </w:r>
      <w:r w:rsidR="00406FA8" w:rsidRPr="007E4DA1">
        <w:t> </w:t>
      </w:r>
      <w:r w:rsidRPr="007E4DA1">
        <w:t>mg boceprewiru co 8</w:t>
      </w:r>
      <w:r w:rsidR="00406FA8" w:rsidRPr="007E4DA1">
        <w:t> </w:t>
      </w:r>
      <w:r w:rsidRPr="007E4DA1">
        <w:t>godzin nie zmieniło osoczowego AUC</w:t>
      </w:r>
      <w:r w:rsidRPr="007E4DA1">
        <w:rPr>
          <w:rFonts w:eastAsia="Calibri"/>
          <w:vertAlign w:val="subscript"/>
        </w:rPr>
        <w:t>(0-</w:t>
      </w:r>
      <w:r w:rsidRPr="007E4DA1">
        <w:rPr>
          <w:rFonts w:eastAsia="Calibri"/>
          <w:vertAlign w:val="subscript"/>
        </w:rPr>
        <w:sym w:font="Symbol" w:char="F074"/>
      </w:r>
      <w:r w:rsidRPr="007E4DA1">
        <w:rPr>
          <w:rFonts w:eastAsia="Calibri"/>
          <w:vertAlign w:val="subscript"/>
        </w:rPr>
        <w:t>)</w:t>
      </w:r>
      <w:r w:rsidRPr="007E4DA1">
        <w:rPr>
          <w:rFonts w:eastAsia="Calibri"/>
        </w:rPr>
        <w:t xml:space="preserve"> boceprewiru, ale spowodowało zwiększenie C</w:t>
      </w:r>
      <w:r w:rsidRPr="007E4DA1">
        <w:rPr>
          <w:rFonts w:eastAsia="Calibri"/>
          <w:vertAlign w:val="subscript"/>
        </w:rPr>
        <w:t>max</w:t>
      </w:r>
      <w:r w:rsidRPr="007E4DA1">
        <w:rPr>
          <w:rFonts w:eastAsia="Calibri"/>
        </w:rPr>
        <w:t xml:space="preserve"> o 20% i zmniejszenie C</w:t>
      </w:r>
      <w:r w:rsidRPr="007E4DA1">
        <w:rPr>
          <w:rFonts w:eastAsia="Calibri"/>
          <w:vertAlign w:val="subscript"/>
        </w:rPr>
        <w:t>min</w:t>
      </w:r>
      <w:r w:rsidRPr="007E4DA1">
        <w:rPr>
          <w:rFonts w:eastAsia="Calibri"/>
        </w:rPr>
        <w:t xml:space="preserve"> o 32%. Nie ustalono klinicznego znaczenia zmniejszenia wartości C</w:t>
      </w:r>
      <w:r w:rsidRPr="007E4DA1">
        <w:rPr>
          <w:rFonts w:eastAsia="Calibri"/>
          <w:vertAlign w:val="subscript"/>
        </w:rPr>
        <w:t>min</w:t>
      </w:r>
      <w:r w:rsidRPr="007E4DA1">
        <w:rPr>
          <w:rFonts w:eastAsia="Calibri"/>
        </w:rPr>
        <w:t>, zaleca się ściślejsze monitorowanie wskaźników klinicznych i laboratoryjnych supresji WZW C.</w:t>
      </w:r>
    </w:p>
    <w:p w14:paraId="0357B9AE" w14:textId="77777777" w:rsidR="00A350DA" w:rsidRPr="007E4DA1" w:rsidRDefault="00A350DA" w:rsidP="001A6584">
      <w:pPr>
        <w:tabs>
          <w:tab w:val="left" w:pos="142"/>
        </w:tabs>
        <w:ind w:left="0" w:firstLine="0"/>
        <w:rPr>
          <w:color w:val="000000"/>
          <w:szCs w:val="22"/>
        </w:rPr>
      </w:pPr>
    </w:p>
    <w:p w14:paraId="1FD24BE3" w14:textId="77777777" w:rsidR="00041A08" w:rsidRPr="00041A08" w:rsidRDefault="00A350DA" w:rsidP="001A6584">
      <w:pPr>
        <w:keepNext/>
        <w:tabs>
          <w:tab w:val="left" w:pos="142"/>
        </w:tabs>
        <w:ind w:left="0" w:firstLine="0"/>
        <w:rPr>
          <w:color w:val="000000"/>
          <w:szCs w:val="22"/>
        </w:rPr>
      </w:pPr>
      <w:r w:rsidRPr="007E4DA1">
        <w:rPr>
          <w:color w:val="000000"/>
          <w:szCs w:val="22"/>
          <w:u w:val="single"/>
        </w:rPr>
        <w:t>Wpływ innych produktów leczniczych na eltrombopag</w:t>
      </w:r>
    </w:p>
    <w:p w14:paraId="2278733C" w14:textId="2ABFEC20" w:rsidR="00D70D82" w:rsidRPr="007E4DA1" w:rsidRDefault="00D70D82" w:rsidP="001A6584">
      <w:pPr>
        <w:keepNext/>
        <w:tabs>
          <w:tab w:val="left" w:pos="142"/>
        </w:tabs>
        <w:spacing w:line="260" w:lineRule="exact"/>
        <w:ind w:left="0" w:firstLine="0"/>
      </w:pPr>
    </w:p>
    <w:p w14:paraId="1F89CDCC" w14:textId="77777777" w:rsidR="00041A08" w:rsidRPr="00041A08" w:rsidRDefault="00D70D82" w:rsidP="001A6584">
      <w:pPr>
        <w:keepNext/>
        <w:jc w:val="both"/>
      </w:pPr>
      <w:r w:rsidRPr="007E4DA1">
        <w:rPr>
          <w:i/>
          <w:iCs/>
          <w:u w:val="single"/>
        </w:rPr>
        <w:t>Cyklosporyna</w:t>
      </w:r>
    </w:p>
    <w:p w14:paraId="775888D6" w14:textId="61B60925" w:rsidR="00D70D82" w:rsidRPr="007E4DA1" w:rsidRDefault="00D70D82" w:rsidP="001A6584">
      <w:pPr>
        <w:keepNext/>
      </w:pPr>
    </w:p>
    <w:p w14:paraId="1A867441" w14:textId="0486A3E1" w:rsidR="00D70D82" w:rsidRPr="007E4DA1" w:rsidRDefault="00D70D82" w:rsidP="001A6584">
      <w:pPr>
        <w:keepNext/>
        <w:tabs>
          <w:tab w:val="left" w:pos="142"/>
        </w:tabs>
        <w:ind w:left="0" w:firstLine="0"/>
      </w:pPr>
      <w:r w:rsidRPr="007E4DA1">
        <w:t xml:space="preserve">Zmniejszenie ekspozycji na eltrombopag obserwowano podczas jednoczesnego podawania cyklosporyny (inhibitora BCRP) w dawce 200 mg i 600 mg. </w:t>
      </w:r>
      <w:r w:rsidR="00695A02" w:rsidRPr="007E4DA1">
        <w:t>Jednoczesne podawanie cyklosporyny w dawce 200 mg zmniejszyło C</w:t>
      </w:r>
      <w:r w:rsidR="00695A02" w:rsidRPr="007E4DA1">
        <w:rPr>
          <w:vertAlign w:val="subscript"/>
        </w:rPr>
        <w:t>max</w:t>
      </w:r>
      <w:r w:rsidR="00695A02" w:rsidRPr="007E4DA1">
        <w:rPr>
          <w:i/>
          <w:vertAlign w:val="subscript"/>
        </w:rPr>
        <w:t xml:space="preserve"> </w:t>
      </w:r>
      <w:r w:rsidR="00695A02" w:rsidRPr="007E4DA1">
        <w:t xml:space="preserve">i </w:t>
      </w:r>
      <w:r w:rsidR="00A11A08" w:rsidRPr="007E4DA1">
        <w:rPr>
          <w:szCs w:val="22"/>
        </w:rPr>
        <w:t>AUC</w:t>
      </w:r>
      <w:r w:rsidR="00A11A08" w:rsidRPr="007E4DA1">
        <w:rPr>
          <w:szCs w:val="22"/>
          <w:vertAlign w:val="subscript"/>
        </w:rPr>
        <w:t>0-</w:t>
      </w:r>
      <w:r w:rsidR="00A11A08" w:rsidRPr="007E4DA1">
        <w:rPr>
          <w:szCs w:val="22"/>
          <w:vertAlign w:val="subscript"/>
        </w:rPr>
        <w:sym w:font="Symbol" w:char="F0A5"/>
      </w:r>
      <w:r w:rsidR="00695A02" w:rsidRPr="007E4DA1">
        <w:t xml:space="preserve"> eltrombopagu odpowiednio o 25% i 18%. Jednoczesne podawanie cyklosporyny w dawce 600 mg zmniejszyło C</w:t>
      </w:r>
      <w:r w:rsidR="00695A02" w:rsidRPr="007E4DA1">
        <w:rPr>
          <w:vertAlign w:val="subscript"/>
        </w:rPr>
        <w:t>max</w:t>
      </w:r>
      <w:r w:rsidR="00695A02" w:rsidRPr="007E4DA1">
        <w:t xml:space="preserve"> i </w:t>
      </w:r>
      <w:r w:rsidR="00A11A08" w:rsidRPr="007E4DA1">
        <w:rPr>
          <w:szCs w:val="22"/>
        </w:rPr>
        <w:t>AUC</w:t>
      </w:r>
      <w:r w:rsidR="00A11A08" w:rsidRPr="007E4DA1">
        <w:rPr>
          <w:szCs w:val="22"/>
          <w:vertAlign w:val="subscript"/>
        </w:rPr>
        <w:t>0-</w:t>
      </w:r>
      <w:r w:rsidR="00A11A08" w:rsidRPr="007E4DA1">
        <w:rPr>
          <w:szCs w:val="22"/>
          <w:vertAlign w:val="subscript"/>
        </w:rPr>
        <w:sym w:font="Symbol" w:char="F0A5"/>
      </w:r>
      <w:r w:rsidR="00695A02" w:rsidRPr="007E4DA1">
        <w:t xml:space="preserve"> eltrombopagu odpowiednio o 39% i 24%. </w:t>
      </w:r>
      <w:r w:rsidRPr="007E4DA1">
        <w:t>Możliwe jest dostosowanie dawki eltrombopagu w czasie trwania leczenia, w zależności od liczby płytek krwi u pacjenta (patrz punkt 4.2). Liczbę płytek krwi należy kontrolować przynajmniej raz na tydzień przez 2 do 3 tygodni, gdy podaje się eltrombopag jednocześnie z cyklosporyną. Może zajść potrzeba zwiększenia dawki eltrombopagu w oparciu o liczbę płytek krwi.</w:t>
      </w:r>
    </w:p>
    <w:p w14:paraId="3326AB6B" w14:textId="77777777" w:rsidR="00A350DA" w:rsidRPr="007E4DA1" w:rsidRDefault="00A350DA" w:rsidP="001A6584">
      <w:pPr>
        <w:tabs>
          <w:tab w:val="left" w:pos="142"/>
        </w:tabs>
        <w:ind w:left="0" w:firstLine="0"/>
      </w:pPr>
    </w:p>
    <w:p w14:paraId="5DBA7794" w14:textId="77777777" w:rsidR="00041A08" w:rsidRPr="00041A08" w:rsidRDefault="00A350DA" w:rsidP="001A6584">
      <w:pPr>
        <w:keepNext/>
        <w:tabs>
          <w:tab w:val="left" w:pos="142"/>
        </w:tabs>
        <w:ind w:left="0" w:firstLine="0"/>
      </w:pPr>
      <w:r w:rsidRPr="007E4DA1">
        <w:rPr>
          <w:i/>
          <w:u w:val="single"/>
        </w:rPr>
        <w:t>Kationy wielowartościowe (chelatowanie)</w:t>
      </w:r>
    </w:p>
    <w:p w14:paraId="0851DA5B" w14:textId="04A8E088" w:rsidR="00A350DA" w:rsidRPr="007E4DA1" w:rsidRDefault="00A350DA" w:rsidP="001A6584">
      <w:pPr>
        <w:keepNext/>
        <w:tabs>
          <w:tab w:val="left" w:pos="142"/>
        </w:tabs>
        <w:ind w:left="0" w:firstLine="0"/>
      </w:pPr>
    </w:p>
    <w:p w14:paraId="4732798C" w14:textId="77777777" w:rsidR="00A350DA" w:rsidRPr="007E4DA1" w:rsidRDefault="00A350DA" w:rsidP="001A6584">
      <w:pPr>
        <w:tabs>
          <w:tab w:val="left" w:pos="142"/>
        </w:tabs>
        <w:ind w:left="0" w:firstLine="0"/>
      </w:pPr>
      <w:r w:rsidRPr="007E4DA1">
        <w:t>Eltrombopag chelatuje wielowartościowe kationy, takie jak żelazo, wapń, magnez, glin, selen i cynk. Podanie pojedynczej dawki 75 mg eltrombopagu ze środkiem zobojętniającym kwas żołądkowy zawierającym wielowartościowe kationy (1524 mg wodorotlenku glinu i 1425 mg węglanu magnezu) zmniejsza AUC</w:t>
      </w:r>
      <w:r w:rsidRPr="007E4DA1">
        <w:rPr>
          <w:vertAlign w:val="subscript"/>
        </w:rPr>
        <w:t>0-</w:t>
      </w:r>
      <w:r w:rsidRPr="007E4DA1">
        <w:rPr>
          <w:vertAlign w:val="subscript"/>
        </w:rPr>
        <w:sym w:font="Symbol" w:char="F0A5"/>
      </w:r>
      <w:r w:rsidRPr="007E4DA1">
        <w:t xml:space="preserve"> eltrombopagu w osoczu o 70% (90% CI: 64%, 76%) i C</w:t>
      </w:r>
      <w:r w:rsidRPr="007E4DA1">
        <w:rPr>
          <w:szCs w:val="24"/>
          <w:vertAlign w:val="subscript"/>
        </w:rPr>
        <w:t xml:space="preserve">max </w:t>
      </w:r>
      <w:r w:rsidRPr="007E4DA1">
        <w:t xml:space="preserve">o 70% (90% CI: 62%, 76%). </w:t>
      </w:r>
      <w:r w:rsidR="00D7042C" w:rsidRPr="007E4DA1">
        <w:rPr>
          <w:szCs w:val="22"/>
        </w:rPr>
        <w:t>Eltrombopag należy przyjmować przynajmniej dwie godziny przed lub cztery godziny po spożyciu takich produktów jak środki zobojętniające, produkty nabiałowe lub suplementy mineralne</w:t>
      </w:r>
      <w:r w:rsidR="00D7042C" w:rsidRPr="007E4DA1">
        <w:t xml:space="preserve"> </w:t>
      </w:r>
      <w:r w:rsidRPr="007E4DA1">
        <w:t>zawierające wielowartościowe kationy, by uniknąć znacznego zmniejszenia wchłaniania eltrombopagu wywołanego chelatowaniem (patrz punkty</w:t>
      </w:r>
      <w:r w:rsidR="00406FA8" w:rsidRPr="007E4DA1">
        <w:t> </w:t>
      </w:r>
      <w:r w:rsidRPr="007E4DA1">
        <w:t>4.2 i 5.2).</w:t>
      </w:r>
    </w:p>
    <w:p w14:paraId="766DDB4E" w14:textId="77777777" w:rsidR="00A350DA" w:rsidRPr="007E4DA1" w:rsidRDefault="00A350DA" w:rsidP="001A6584">
      <w:pPr>
        <w:tabs>
          <w:tab w:val="left" w:pos="142"/>
          <w:tab w:val="left" w:pos="4410"/>
        </w:tabs>
        <w:ind w:left="0" w:firstLine="0"/>
      </w:pPr>
    </w:p>
    <w:p w14:paraId="360A1062" w14:textId="77777777" w:rsidR="00041A08" w:rsidRPr="00041A08" w:rsidRDefault="00A350DA" w:rsidP="001A6584">
      <w:pPr>
        <w:keepNext/>
        <w:tabs>
          <w:tab w:val="left" w:pos="142"/>
          <w:tab w:val="left" w:pos="4410"/>
        </w:tabs>
        <w:ind w:left="0" w:firstLine="0"/>
        <w:rPr>
          <w:szCs w:val="22"/>
        </w:rPr>
      </w:pPr>
      <w:r w:rsidRPr="007E4DA1">
        <w:rPr>
          <w:i/>
          <w:szCs w:val="22"/>
          <w:u w:val="single"/>
        </w:rPr>
        <w:t>Lopinawir / rytonawir</w:t>
      </w:r>
    </w:p>
    <w:p w14:paraId="162145CD" w14:textId="558A4F1E" w:rsidR="00A350DA" w:rsidRPr="007E4DA1" w:rsidRDefault="00A350DA" w:rsidP="001A6584">
      <w:pPr>
        <w:keepNext/>
        <w:tabs>
          <w:tab w:val="left" w:pos="142"/>
          <w:tab w:val="left" w:pos="4410"/>
        </w:tabs>
        <w:ind w:left="0" w:firstLine="0"/>
        <w:rPr>
          <w:szCs w:val="22"/>
        </w:rPr>
      </w:pPr>
    </w:p>
    <w:p w14:paraId="157F83B2" w14:textId="6D2F08B0" w:rsidR="00A350DA" w:rsidRPr="007E4DA1" w:rsidRDefault="00A350DA" w:rsidP="001A6584">
      <w:pPr>
        <w:tabs>
          <w:tab w:val="left" w:pos="142"/>
          <w:tab w:val="left" w:pos="4410"/>
        </w:tabs>
        <w:ind w:left="0" w:firstLine="0"/>
        <w:rPr>
          <w:szCs w:val="22"/>
        </w:rPr>
      </w:pPr>
      <w:r w:rsidRPr="007E4DA1">
        <w:rPr>
          <w:szCs w:val="22"/>
        </w:rPr>
        <w:t>Jednoczesne podawanie eltrombopagu z lopinawirem/rytonawirem może powodować zmniejszenie stężenia eltrombopagu. Badanie przeprowadzone z udziałem 40</w:t>
      </w:r>
      <w:r w:rsidR="00406FA8" w:rsidRPr="007E4DA1">
        <w:rPr>
          <w:szCs w:val="22"/>
        </w:rPr>
        <w:t> </w:t>
      </w:r>
      <w:r w:rsidRPr="007E4DA1">
        <w:rPr>
          <w:szCs w:val="22"/>
        </w:rPr>
        <w:t xml:space="preserve">zdrowych ochotników wykazało, że jednoczesne podanie </w:t>
      </w:r>
      <w:r w:rsidR="00695A02" w:rsidRPr="007E4DA1">
        <w:rPr>
          <w:szCs w:val="22"/>
        </w:rPr>
        <w:t xml:space="preserve">pojedynczej dawki </w:t>
      </w:r>
      <w:r w:rsidRPr="007E4DA1">
        <w:rPr>
          <w:szCs w:val="22"/>
        </w:rPr>
        <w:t>100</w:t>
      </w:r>
      <w:r w:rsidR="00406FA8" w:rsidRPr="007E4DA1">
        <w:rPr>
          <w:szCs w:val="22"/>
        </w:rPr>
        <w:t> </w:t>
      </w:r>
      <w:r w:rsidRPr="007E4DA1">
        <w:rPr>
          <w:szCs w:val="22"/>
        </w:rPr>
        <w:t xml:space="preserve">mg eltrombopagu z powtarzanymi dwa razy na dobę dawkami </w:t>
      </w:r>
      <w:r w:rsidRPr="007E4DA1">
        <w:rPr>
          <w:color w:val="000000"/>
          <w:szCs w:val="22"/>
          <w:lang w:eastAsia="en-GB"/>
        </w:rPr>
        <w:t>lopinawiru/rytonawiru 400/100</w:t>
      </w:r>
      <w:r w:rsidR="00406FA8" w:rsidRPr="007E4DA1">
        <w:rPr>
          <w:color w:val="000000"/>
          <w:szCs w:val="22"/>
          <w:lang w:eastAsia="en-GB"/>
        </w:rPr>
        <w:t> </w:t>
      </w:r>
      <w:r w:rsidRPr="007E4DA1">
        <w:rPr>
          <w:color w:val="000000"/>
          <w:szCs w:val="22"/>
          <w:lang w:eastAsia="en-GB"/>
        </w:rPr>
        <w:t xml:space="preserve">mg powodowało zmniejszenie </w:t>
      </w:r>
      <w:r w:rsidR="00A11A08" w:rsidRPr="007E4DA1">
        <w:rPr>
          <w:szCs w:val="22"/>
        </w:rPr>
        <w:t>AUC</w:t>
      </w:r>
      <w:r w:rsidR="00A11A08" w:rsidRPr="007E4DA1">
        <w:rPr>
          <w:szCs w:val="22"/>
          <w:vertAlign w:val="subscript"/>
        </w:rPr>
        <w:t>0-</w:t>
      </w:r>
      <w:r w:rsidR="00A11A08" w:rsidRPr="007E4DA1">
        <w:rPr>
          <w:szCs w:val="22"/>
          <w:vertAlign w:val="subscript"/>
        </w:rPr>
        <w:sym w:font="Symbol" w:char="F0A5"/>
      </w:r>
      <w:r w:rsidR="00695A02" w:rsidRPr="007E4DA1">
        <w:rPr>
          <w:szCs w:val="22"/>
          <w:vertAlign w:val="subscript"/>
          <w:lang w:eastAsia="es-ES"/>
        </w:rPr>
        <w:t xml:space="preserve"> </w:t>
      </w:r>
      <w:r w:rsidRPr="007E4DA1">
        <w:rPr>
          <w:color w:val="000000"/>
          <w:szCs w:val="22"/>
          <w:lang w:eastAsia="en-GB"/>
        </w:rPr>
        <w:t xml:space="preserve">eltrombopagu w osoczu o 17% (90% CI: 6,6%, 26,6%). </w:t>
      </w:r>
      <w:r w:rsidRPr="007E4DA1">
        <w:rPr>
          <w:szCs w:val="22"/>
        </w:rPr>
        <w:t>Należy zatem zachować ostrożność w przypadku, gdy eltrombopag jest stosowany jednocześnie z lopinawirem/rytonawirem. Należy uważnie monitorować liczbę płytek krwi w celu właściwego zaplanowania dawki eltrombopagu w przypadku rozpoczynania lub przerywania stosowania lopinawiru/rytonawiru.</w:t>
      </w:r>
    </w:p>
    <w:p w14:paraId="57EBFC4F" w14:textId="77777777" w:rsidR="00A350DA" w:rsidRPr="007E4DA1" w:rsidRDefault="00A350DA" w:rsidP="001A6584">
      <w:pPr>
        <w:tabs>
          <w:tab w:val="left" w:pos="142"/>
        </w:tabs>
        <w:ind w:left="0" w:firstLine="0"/>
        <w:rPr>
          <w:szCs w:val="22"/>
        </w:rPr>
      </w:pPr>
    </w:p>
    <w:p w14:paraId="5672F27D" w14:textId="77777777" w:rsidR="00041A08" w:rsidRPr="00041A08" w:rsidRDefault="00A350DA" w:rsidP="001A6584">
      <w:pPr>
        <w:keepNext/>
        <w:tabs>
          <w:tab w:val="left" w:pos="142"/>
        </w:tabs>
        <w:ind w:left="0" w:firstLine="0"/>
        <w:rPr>
          <w:szCs w:val="22"/>
        </w:rPr>
      </w:pPr>
      <w:r w:rsidRPr="007E4DA1">
        <w:rPr>
          <w:i/>
          <w:u w:val="single"/>
        </w:rPr>
        <w:lastRenderedPageBreak/>
        <w:t>Inhibitory i induktory CYP1A2 i CYP2C8</w:t>
      </w:r>
    </w:p>
    <w:p w14:paraId="45A50A40" w14:textId="77777777" w:rsidR="00041A08" w:rsidRPr="00041A08" w:rsidRDefault="00041A08" w:rsidP="001A6584">
      <w:pPr>
        <w:keepNext/>
        <w:tabs>
          <w:tab w:val="left" w:pos="142"/>
        </w:tabs>
        <w:ind w:left="0" w:firstLine="0"/>
        <w:rPr>
          <w:szCs w:val="22"/>
        </w:rPr>
      </w:pPr>
    </w:p>
    <w:p w14:paraId="2D1ACD4C" w14:textId="77777777" w:rsidR="00A350DA" w:rsidRPr="007E4DA1" w:rsidRDefault="00A350DA" w:rsidP="001A6584">
      <w:pPr>
        <w:tabs>
          <w:tab w:val="left" w:pos="142"/>
        </w:tabs>
        <w:ind w:left="0" w:firstLine="0"/>
      </w:pPr>
      <w:r w:rsidRPr="007E4DA1">
        <w:t>Eltrombopag jest metabolizowany przez wiele szlaków, między innymi z udziałem CYP1A2, CYP2C8, UGT1A1 i UGT1A3 (patrz punkt 5.2). W przypadku produktów leczniczych, które hamują lub indukują jeden enzym, jest mało prawdopodobne, aby miało to istotny wpływ na stężenie eltrombopagu w osoczu, jednak produkty lecznicze, które hamują lub indukują wiele enzymów, mogą powodować zwiększenie (np. fluwoksamina) bądź zmniejszenie (np. ryfampicyna) stężenia eltrombopagu.</w:t>
      </w:r>
    </w:p>
    <w:p w14:paraId="78429B8C" w14:textId="77777777" w:rsidR="00A350DA" w:rsidRPr="007E4DA1" w:rsidRDefault="00A350DA" w:rsidP="001A6584">
      <w:pPr>
        <w:tabs>
          <w:tab w:val="left" w:pos="142"/>
        </w:tabs>
        <w:ind w:left="0" w:firstLine="0"/>
        <w:rPr>
          <w:szCs w:val="22"/>
        </w:rPr>
      </w:pPr>
    </w:p>
    <w:p w14:paraId="725517E0" w14:textId="77777777" w:rsidR="00041A08" w:rsidRPr="00041A08" w:rsidRDefault="00A350DA" w:rsidP="001A6584">
      <w:pPr>
        <w:keepNext/>
        <w:tabs>
          <w:tab w:val="left" w:pos="142"/>
        </w:tabs>
        <w:ind w:left="0" w:firstLine="0"/>
        <w:rPr>
          <w:szCs w:val="22"/>
        </w:rPr>
      </w:pPr>
      <w:r w:rsidRPr="007E4DA1">
        <w:rPr>
          <w:i/>
          <w:u w:val="single"/>
        </w:rPr>
        <w:t>Inhibitory proteazy WZW C</w:t>
      </w:r>
    </w:p>
    <w:p w14:paraId="6787219F" w14:textId="77777777" w:rsidR="00041A08" w:rsidRPr="00041A08" w:rsidRDefault="00041A08" w:rsidP="001A6584">
      <w:pPr>
        <w:keepNext/>
        <w:tabs>
          <w:tab w:val="left" w:pos="142"/>
        </w:tabs>
        <w:ind w:left="0" w:firstLine="0"/>
        <w:rPr>
          <w:szCs w:val="22"/>
        </w:rPr>
      </w:pPr>
    </w:p>
    <w:p w14:paraId="72CC0AEC" w14:textId="77777777" w:rsidR="00A350DA" w:rsidRPr="007E4DA1" w:rsidRDefault="00A350DA" w:rsidP="001A6584">
      <w:pPr>
        <w:tabs>
          <w:tab w:val="left" w:pos="142"/>
        </w:tabs>
        <w:ind w:left="0" w:firstLine="0"/>
      </w:pPr>
      <w:r w:rsidRPr="007E4DA1">
        <w:t>Wyniki badania interakcji farmakokinetycznych pomiędzy lekami wykazały, że jednoczesne podawanie wielokrotnych dawek boceprewiru (800 mg co 8 godzin) lub telaprewiru (750 mg co 8 godzin) z pojedynczą dawką eltrombopagu (200 mg) nie zmieniało ekspozycji na eltrombopag w stopniu istotnym klinicznie.</w:t>
      </w:r>
    </w:p>
    <w:p w14:paraId="18CBEC02" w14:textId="77777777" w:rsidR="00A350DA" w:rsidRPr="007E4DA1" w:rsidRDefault="00A350DA" w:rsidP="001A6584">
      <w:pPr>
        <w:tabs>
          <w:tab w:val="left" w:pos="142"/>
        </w:tabs>
        <w:ind w:left="0" w:firstLine="0"/>
        <w:rPr>
          <w:szCs w:val="22"/>
        </w:rPr>
      </w:pPr>
    </w:p>
    <w:p w14:paraId="208F4748" w14:textId="77777777" w:rsidR="00041A08" w:rsidRPr="00041A08" w:rsidRDefault="00A350DA" w:rsidP="001A6584">
      <w:pPr>
        <w:keepNext/>
        <w:tabs>
          <w:tab w:val="left" w:pos="142"/>
          <w:tab w:val="left" w:pos="4410"/>
        </w:tabs>
        <w:ind w:left="0" w:firstLine="0"/>
        <w:rPr>
          <w:szCs w:val="22"/>
        </w:rPr>
      </w:pPr>
      <w:r w:rsidRPr="007E4DA1">
        <w:rPr>
          <w:szCs w:val="22"/>
          <w:u w:val="single"/>
        </w:rPr>
        <w:t>Produkty lecznicze stosowane w leczeniu pierwotnej małopłytkowości immunologicznej</w:t>
      </w:r>
    </w:p>
    <w:p w14:paraId="78DD8943" w14:textId="4581D32D" w:rsidR="00A350DA" w:rsidRPr="007E4DA1" w:rsidRDefault="00A350DA" w:rsidP="001A6584">
      <w:pPr>
        <w:keepNext/>
        <w:tabs>
          <w:tab w:val="left" w:pos="142"/>
        </w:tabs>
        <w:ind w:left="0" w:firstLine="0"/>
        <w:rPr>
          <w:szCs w:val="22"/>
        </w:rPr>
      </w:pPr>
    </w:p>
    <w:p w14:paraId="5346994A" w14:textId="77777777" w:rsidR="00041A08" w:rsidRPr="00041A08" w:rsidRDefault="00A350DA" w:rsidP="001A6584">
      <w:pPr>
        <w:tabs>
          <w:tab w:val="left" w:pos="142"/>
          <w:tab w:val="left" w:pos="4410"/>
        </w:tabs>
        <w:ind w:left="0" w:firstLine="0"/>
      </w:pPr>
      <w:r w:rsidRPr="007E4DA1">
        <w:t>Do produktów leczniczych stosowanych w badaniach klinicznych w terapii pierwotnej małopłytkowości immunologicznej w skojarzeniu z eltrombopagiem należały kortykosteroidy, danazol i (lub) azatiopryna, dożylne preparaty immunoglobulin (IVIG) i immunoglobulina anty-D. W przypadku skojarzenia eltrombopagu z innymi produktami leczniczymi w leczeniu pierwotnej małopłytkowości immunologicznej należy monitorować liczbę płytek krwi, aby nie dopuścić do przekroczenia zalecanego zakresu liczby płytek krwi (patrz punkt</w:t>
      </w:r>
      <w:r w:rsidR="00265FB7" w:rsidRPr="007E4DA1">
        <w:t> </w:t>
      </w:r>
      <w:r w:rsidRPr="007E4DA1">
        <w:t>4.2).</w:t>
      </w:r>
    </w:p>
    <w:p w14:paraId="090659C4" w14:textId="473EE792" w:rsidR="00A350DA" w:rsidRPr="007E4DA1" w:rsidRDefault="00A350DA" w:rsidP="001A6584">
      <w:pPr>
        <w:tabs>
          <w:tab w:val="left" w:pos="142"/>
        </w:tabs>
        <w:ind w:left="0" w:firstLine="0"/>
        <w:rPr>
          <w:szCs w:val="22"/>
        </w:rPr>
      </w:pPr>
    </w:p>
    <w:p w14:paraId="427845C1" w14:textId="77777777" w:rsidR="00041A08" w:rsidRPr="00041A08" w:rsidRDefault="000E584A" w:rsidP="001A6584">
      <w:pPr>
        <w:keepNext/>
        <w:tabs>
          <w:tab w:val="left" w:pos="142"/>
          <w:tab w:val="left" w:pos="4410"/>
        </w:tabs>
        <w:ind w:left="0" w:firstLine="0"/>
        <w:rPr>
          <w:szCs w:val="22"/>
        </w:rPr>
      </w:pPr>
      <w:r w:rsidRPr="007E4DA1">
        <w:rPr>
          <w:szCs w:val="22"/>
          <w:u w:val="single"/>
        </w:rPr>
        <w:t>Interakcje z pokarmem</w:t>
      </w:r>
    </w:p>
    <w:p w14:paraId="627F0A65" w14:textId="33AE5825" w:rsidR="000E584A" w:rsidRPr="007E4DA1" w:rsidRDefault="000E584A" w:rsidP="001A6584">
      <w:pPr>
        <w:keepNext/>
        <w:tabs>
          <w:tab w:val="left" w:pos="142"/>
          <w:tab w:val="left" w:pos="4410"/>
        </w:tabs>
        <w:ind w:left="0" w:firstLine="0"/>
        <w:rPr>
          <w:szCs w:val="22"/>
        </w:rPr>
      </w:pPr>
    </w:p>
    <w:p w14:paraId="3EBE9EE8" w14:textId="77777777" w:rsidR="000E584A" w:rsidRPr="007E4DA1" w:rsidRDefault="000E584A" w:rsidP="001A6584">
      <w:pPr>
        <w:tabs>
          <w:tab w:val="left" w:pos="142"/>
          <w:tab w:val="left" w:pos="4410"/>
        </w:tabs>
        <w:ind w:left="0" w:firstLine="0"/>
        <w:rPr>
          <w:szCs w:val="22"/>
        </w:rPr>
      </w:pPr>
      <w:r w:rsidRPr="007E4DA1">
        <w:rPr>
          <w:szCs w:val="22"/>
        </w:rPr>
        <w:t>Podawanie eltrombopagu w postaci tabletek lub proszku do sporządzania zawiesiny doustnej jednocześnie z posiłkiem o dużej zawartości wapnia (np. posiłkiem zawierającym produkty mleczne) skutkowało istotnym zmniejszeniem wielkości AUC</w:t>
      </w:r>
      <w:r w:rsidRPr="007E4DA1">
        <w:rPr>
          <w:szCs w:val="22"/>
          <w:vertAlign w:val="subscript"/>
        </w:rPr>
        <w:t>0-∞</w:t>
      </w:r>
      <w:r w:rsidRPr="007E4DA1">
        <w:rPr>
          <w:szCs w:val="22"/>
        </w:rPr>
        <w:t xml:space="preserve"> i C</w:t>
      </w:r>
      <w:r w:rsidRPr="007E4DA1">
        <w:rPr>
          <w:szCs w:val="22"/>
          <w:vertAlign w:val="subscript"/>
        </w:rPr>
        <w:t>max</w:t>
      </w:r>
      <w:r w:rsidRPr="007E4DA1">
        <w:rPr>
          <w:szCs w:val="22"/>
        </w:rPr>
        <w:t xml:space="preserve"> eltrombopagu w osoczu. Natomiast podanie eltrombopagu na 2 godziny przed lub 4 godziny po posiłku o dużej zawartości wapnia lub podanie leku wraz z pokarmami o małej zawartości wapnia [&lt; 50 mg wapnia] nie powodowało klinicznie istotnych zmian ekspozycji na eltrombopag w osoczu (patrz punkt 4.2).</w:t>
      </w:r>
    </w:p>
    <w:p w14:paraId="31E2F86F" w14:textId="77777777" w:rsidR="000E584A" w:rsidRPr="007E4DA1" w:rsidRDefault="000E584A" w:rsidP="001A6584">
      <w:pPr>
        <w:tabs>
          <w:tab w:val="left" w:pos="142"/>
          <w:tab w:val="left" w:pos="4410"/>
        </w:tabs>
        <w:ind w:left="0" w:firstLine="0"/>
        <w:rPr>
          <w:szCs w:val="22"/>
        </w:rPr>
      </w:pPr>
    </w:p>
    <w:p w14:paraId="6B617F1B" w14:textId="77777777" w:rsidR="000E584A" w:rsidRPr="007E4DA1" w:rsidRDefault="000E584A" w:rsidP="001A6584">
      <w:pPr>
        <w:tabs>
          <w:tab w:val="left" w:pos="142"/>
          <w:tab w:val="left" w:pos="4410"/>
        </w:tabs>
        <w:ind w:left="0" w:firstLine="0"/>
        <w:rPr>
          <w:szCs w:val="22"/>
        </w:rPr>
      </w:pPr>
      <w:r w:rsidRPr="007E4DA1">
        <w:rPr>
          <w:szCs w:val="22"/>
        </w:rPr>
        <w:t>Podanie pojedynczej dawki 50 mg eltrombopagu w postaci tabletek jednocześnie ze standardowym, wysokokalorycznym, bogatotłuszczowym śniadaniem, zawierającym produkty mleczne spowodowało zmniejszenie średniej wielkości AUC</w:t>
      </w:r>
      <w:r w:rsidRPr="007E4DA1">
        <w:rPr>
          <w:szCs w:val="22"/>
          <w:vertAlign w:val="subscript"/>
        </w:rPr>
        <w:t>0-∞</w:t>
      </w:r>
      <w:r w:rsidRPr="007E4DA1">
        <w:rPr>
          <w:szCs w:val="22"/>
        </w:rPr>
        <w:t xml:space="preserve"> eltrombopagu w osoczu o 59%, a średniego C</w:t>
      </w:r>
      <w:r w:rsidRPr="007E4DA1">
        <w:rPr>
          <w:szCs w:val="22"/>
          <w:vertAlign w:val="subscript"/>
        </w:rPr>
        <w:t>max</w:t>
      </w:r>
      <w:r w:rsidRPr="007E4DA1">
        <w:rPr>
          <w:szCs w:val="22"/>
        </w:rPr>
        <w:t xml:space="preserve"> o 65%.</w:t>
      </w:r>
    </w:p>
    <w:p w14:paraId="16562546" w14:textId="77777777" w:rsidR="000E584A" w:rsidRPr="007E4DA1" w:rsidRDefault="000E584A" w:rsidP="001A6584">
      <w:pPr>
        <w:tabs>
          <w:tab w:val="left" w:pos="142"/>
          <w:tab w:val="left" w:pos="4410"/>
        </w:tabs>
        <w:ind w:left="0" w:firstLine="0"/>
        <w:rPr>
          <w:szCs w:val="22"/>
        </w:rPr>
      </w:pPr>
    </w:p>
    <w:p w14:paraId="01E0A8A7" w14:textId="77777777" w:rsidR="000E584A" w:rsidRPr="007E4DA1" w:rsidRDefault="000E584A" w:rsidP="001A6584">
      <w:pPr>
        <w:tabs>
          <w:tab w:val="left" w:pos="142"/>
          <w:tab w:val="left" w:pos="4410"/>
        </w:tabs>
        <w:ind w:left="0" w:firstLine="0"/>
        <w:rPr>
          <w:szCs w:val="22"/>
        </w:rPr>
      </w:pPr>
      <w:r w:rsidRPr="007E4DA1">
        <w:rPr>
          <w:szCs w:val="22"/>
        </w:rPr>
        <w:t>Podanie pojedynczej dawki 25 mg eltrombopagu w postaci proszku do sporządzania zawiesiny doustnej jednocześnie z posiłkiem o dużej zawartości wapnia, umiarkowanej zawartości tłuszczu i umiarkowanej kaloryczności spowodowało zmniejszenie średniej wielkości AUC</w:t>
      </w:r>
      <w:r w:rsidRPr="007E4DA1">
        <w:rPr>
          <w:szCs w:val="22"/>
          <w:vertAlign w:val="subscript"/>
        </w:rPr>
        <w:t>0-∞</w:t>
      </w:r>
      <w:r w:rsidRPr="007E4DA1">
        <w:rPr>
          <w:szCs w:val="22"/>
        </w:rPr>
        <w:t xml:space="preserve"> eltrombopagu w osoczu o 75%, a średniego C</w:t>
      </w:r>
      <w:r w:rsidRPr="007E4DA1">
        <w:rPr>
          <w:szCs w:val="22"/>
          <w:vertAlign w:val="subscript"/>
        </w:rPr>
        <w:t>max</w:t>
      </w:r>
      <w:r w:rsidRPr="007E4DA1">
        <w:rPr>
          <w:szCs w:val="22"/>
        </w:rPr>
        <w:t xml:space="preserve"> o 79%. To zmniejszenie ekspozycji było osłabione, gdy pojedynczą dawkę 25 mg eltrombopagu w postaci proszku do sporządzania zawiesiny doustnej podano na 2 godziny przed posiłkiem o dużej zawartości wapnia (średnia wielkość AUC</w:t>
      </w:r>
      <w:r w:rsidRPr="007E4DA1">
        <w:rPr>
          <w:szCs w:val="22"/>
          <w:vertAlign w:val="subscript"/>
        </w:rPr>
        <w:t>0-∞</w:t>
      </w:r>
      <w:r w:rsidRPr="007E4DA1">
        <w:rPr>
          <w:szCs w:val="22"/>
        </w:rPr>
        <w:t xml:space="preserve"> zmniejszyła się o 20%, a średnie C</w:t>
      </w:r>
      <w:r w:rsidRPr="007E4DA1">
        <w:rPr>
          <w:szCs w:val="22"/>
          <w:vertAlign w:val="subscript"/>
        </w:rPr>
        <w:t>max</w:t>
      </w:r>
      <w:r w:rsidRPr="007E4DA1">
        <w:rPr>
          <w:szCs w:val="22"/>
        </w:rPr>
        <w:t xml:space="preserve"> o 14%).</w:t>
      </w:r>
    </w:p>
    <w:p w14:paraId="22B2C751" w14:textId="77777777" w:rsidR="000E584A" w:rsidRPr="007E4DA1" w:rsidRDefault="000E584A" w:rsidP="001A6584">
      <w:pPr>
        <w:tabs>
          <w:tab w:val="left" w:pos="142"/>
          <w:tab w:val="left" w:pos="4410"/>
        </w:tabs>
        <w:ind w:left="0" w:firstLine="0"/>
        <w:rPr>
          <w:szCs w:val="22"/>
        </w:rPr>
      </w:pPr>
    </w:p>
    <w:p w14:paraId="3F952E31" w14:textId="77777777" w:rsidR="000E584A" w:rsidRPr="007E4DA1" w:rsidRDefault="000E584A" w:rsidP="001A6584">
      <w:pPr>
        <w:tabs>
          <w:tab w:val="left" w:pos="142"/>
        </w:tabs>
        <w:ind w:left="0" w:firstLine="0"/>
        <w:rPr>
          <w:szCs w:val="22"/>
        </w:rPr>
      </w:pPr>
      <w:r w:rsidRPr="007E4DA1">
        <w:rPr>
          <w:szCs w:val="22"/>
        </w:rPr>
        <w:t>Produkty spożywcze o małej zawartości wapnia (&lt;50 mg wapnia), w tym owoce, chuda szynka, wołowina i niewzbogacony (bez dodatku wapnia, magnezu lub żelaza) sok owocowy, niewzbogacone mleko sojowe i niewzbogacone ziarna nie miały istotnego wpływu na ekspozycję eltrombopagu w osoczu, niezależnie od ich kaloryczności i zawartości tłuszczu (patrz punkt 4.2 i 4.5).</w:t>
      </w:r>
    </w:p>
    <w:p w14:paraId="5919EE62" w14:textId="77777777" w:rsidR="000E584A" w:rsidRPr="007E4DA1" w:rsidRDefault="000E584A" w:rsidP="001A6584">
      <w:pPr>
        <w:tabs>
          <w:tab w:val="left" w:pos="142"/>
        </w:tabs>
        <w:ind w:left="0" w:firstLine="0"/>
        <w:rPr>
          <w:szCs w:val="22"/>
        </w:rPr>
      </w:pPr>
    </w:p>
    <w:p w14:paraId="52DB049C" w14:textId="77777777" w:rsidR="00A350DA" w:rsidRPr="007E4DA1" w:rsidRDefault="00A350DA" w:rsidP="001A6584">
      <w:pPr>
        <w:keepNext/>
        <w:rPr>
          <w:szCs w:val="22"/>
        </w:rPr>
      </w:pPr>
      <w:r w:rsidRPr="007E4DA1">
        <w:rPr>
          <w:b/>
          <w:szCs w:val="22"/>
        </w:rPr>
        <w:lastRenderedPageBreak/>
        <w:t>4.6</w:t>
      </w:r>
      <w:r w:rsidRPr="007E4DA1">
        <w:rPr>
          <w:b/>
          <w:szCs w:val="22"/>
        </w:rPr>
        <w:tab/>
      </w:r>
      <w:r w:rsidRPr="007E4DA1">
        <w:rPr>
          <w:b/>
        </w:rPr>
        <w:t>Wpływ na płodność, ciążę i laktację</w:t>
      </w:r>
    </w:p>
    <w:p w14:paraId="374CBACD" w14:textId="77777777" w:rsidR="00A350DA" w:rsidRPr="007E4DA1" w:rsidRDefault="00A350DA" w:rsidP="001A6584">
      <w:pPr>
        <w:keepNext/>
        <w:tabs>
          <w:tab w:val="left" w:pos="142"/>
        </w:tabs>
        <w:ind w:left="0" w:firstLine="0"/>
        <w:rPr>
          <w:szCs w:val="22"/>
        </w:rPr>
      </w:pPr>
    </w:p>
    <w:p w14:paraId="218E10BD" w14:textId="77777777" w:rsidR="00041A08" w:rsidRPr="00041A08" w:rsidRDefault="00A350DA" w:rsidP="001A6584">
      <w:pPr>
        <w:keepNext/>
        <w:tabs>
          <w:tab w:val="left" w:pos="142"/>
        </w:tabs>
        <w:ind w:left="0" w:firstLine="0"/>
        <w:rPr>
          <w:szCs w:val="22"/>
        </w:rPr>
      </w:pPr>
      <w:r w:rsidRPr="007E4DA1">
        <w:rPr>
          <w:szCs w:val="22"/>
          <w:u w:val="single"/>
        </w:rPr>
        <w:t>Ciąża</w:t>
      </w:r>
    </w:p>
    <w:p w14:paraId="45B91ECC" w14:textId="1B18CD70" w:rsidR="00A350DA" w:rsidRPr="007E4DA1" w:rsidRDefault="00A350DA" w:rsidP="001A6584">
      <w:pPr>
        <w:keepNext/>
        <w:tabs>
          <w:tab w:val="left" w:pos="142"/>
        </w:tabs>
        <w:ind w:left="0" w:firstLine="0"/>
        <w:rPr>
          <w:szCs w:val="22"/>
        </w:rPr>
      </w:pPr>
    </w:p>
    <w:p w14:paraId="69DF5D69" w14:textId="77777777" w:rsidR="00A350DA" w:rsidRPr="007E4DA1" w:rsidRDefault="00A350DA" w:rsidP="001A6584">
      <w:pPr>
        <w:tabs>
          <w:tab w:val="left" w:pos="142"/>
        </w:tabs>
        <w:ind w:left="0" w:firstLine="0"/>
        <w:rPr>
          <w:szCs w:val="22"/>
        </w:rPr>
      </w:pPr>
      <w:r w:rsidRPr="007E4DA1">
        <w:rPr>
          <w:szCs w:val="22"/>
        </w:rPr>
        <w:t xml:space="preserve">Brak danych lub istnieją tylko ograniczone dane dotyczące stosowania </w:t>
      </w:r>
      <w:r w:rsidRPr="007E4DA1">
        <w:t>eltrombopagu</w:t>
      </w:r>
      <w:r w:rsidRPr="007E4DA1">
        <w:rPr>
          <w:szCs w:val="22"/>
        </w:rPr>
        <w:t xml:space="preserve"> u kobiet w okresie ciąży. Badania na zwierzętach wykazały szkodliwy wpływ na reprodukcję (patrz punkt</w:t>
      </w:r>
      <w:r w:rsidR="00406FA8" w:rsidRPr="007E4DA1">
        <w:rPr>
          <w:szCs w:val="22"/>
        </w:rPr>
        <w:t> </w:t>
      </w:r>
      <w:r w:rsidRPr="007E4DA1">
        <w:rPr>
          <w:szCs w:val="22"/>
        </w:rPr>
        <w:t>5.3).</w:t>
      </w:r>
      <w:r w:rsidRPr="007E4DA1">
        <w:t xml:space="preserve"> Potencjalne zagrożenie dla człowieka nie jest znane.</w:t>
      </w:r>
    </w:p>
    <w:p w14:paraId="390F752A" w14:textId="77777777" w:rsidR="00A350DA" w:rsidRPr="007E4DA1" w:rsidRDefault="00A350DA" w:rsidP="001A6584">
      <w:pPr>
        <w:tabs>
          <w:tab w:val="left" w:pos="142"/>
        </w:tabs>
        <w:ind w:left="0" w:firstLine="0"/>
        <w:rPr>
          <w:szCs w:val="22"/>
        </w:rPr>
      </w:pPr>
    </w:p>
    <w:p w14:paraId="210E94F1" w14:textId="77777777" w:rsidR="00A350DA" w:rsidRPr="007E4DA1" w:rsidRDefault="00A350DA" w:rsidP="001A6584">
      <w:pPr>
        <w:tabs>
          <w:tab w:val="left" w:pos="142"/>
        </w:tabs>
        <w:ind w:left="0" w:firstLine="0"/>
        <w:rPr>
          <w:szCs w:val="22"/>
        </w:rPr>
      </w:pPr>
      <w:r w:rsidRPr="007E4DA1">
        <w:rPr>
          <w:szCs w:val="22"/>
        </w:rPr>
        <w:t>Produkt Revolade nie jest zalecany do stosowania w okresie ciąży.</w:t>
      </w:r>
    </w:p>
    <w:p w14:paraId="47749C5F" w14:textId="77777777" w:rsidR="00A350DA" w:rsidRPr="007E4DA1" w:rsidRDefault="00A350DA" w:rsidP="001A6584">
      <w:pPr>
        <w:tabs>
          <w:tab w:val="left" w:pos="142"/>
        </w:tabs>
        <w:ind w:left="0" w:firstLine="0"/>
      </w:pPr>
    </w:p>
    <w:p w14:paraId="3DD8449D" w14:textId="77777777" w:rsidR="00041A08" w:rsidRPr="00041A08" w:rsidRDefault="00A350DA" w:rsidP="001A6584">
      <w:pPr>
        <w:keepNext/>
        <w:tabs>
          <w:tab w:val="left" w:pos="142"/>
        </w:tabs>
        <w:ind w:left="0" w:firstLine="0"/>
        <w:rPr>
          <w:szCs w:val="22"/>
        </w:rPr>
      </w:pPr>
      <w:r w:rsidRPr="007E4DA1">
        <w:rPr>
          <w:u w:val="single"/>
        </w:rPr>
        <w:t>Kobiety w wieku rozrodczym / Antykoncepcja u mężczyzn i kobiet</w:t>
      </w:r>
    </w:p>
    <w:p w14:paraId="0C9143A9" w14:textId="6224EE56" w:rsidR="00A350DA" w:rsidRPr="007E4DA1" w:rsidRDefault="00A350DA" w:rsidP="001A6584">
      <w:pPr>
        <w:keepNext/>
        <w:tabs>
          <w:tab w:val="left" w:pos="142"/>
        </w:tabs>
        <w:ind w:left="0" w:firstLine="0"/>
      </w:pPr>
    </w:p>
    <w:p w14:paraId="3BDD509C" w14:textId="77777777" w:rsidR="00A350DA" w:rsidRPr="007E4DA1" w:rsidRDefault="00A350DA" w:rsidP="001A6584">
      <w:pPr>
        <w:tabs>
          <w:tab w:val="left" w:pos="142"/>
        </w:tabs>
        <w:ind w:left="0" w:firstLine="0"/>
        <w:rPr>
          <w:szCs w:val="22"/>
        </w:rPr>
      </w:pPr>
      <w:r w:rsidRPr="007E4DA1">
        <w:t>Nie zaleca się także stosowania produktu Revolade u kobiet w wieku rozrodczym, które nie stosują antykoncepcji.</w:t>
      </w:r>
    </w:p>
    <w:p w14:paraId="346A3C93" w14:textId="77777777" w:rsidR="00A350DA" w:rsidRPr="007E4DA1" w:rsidRDefault="00A350DA" w:rsidP="001A6584">
      <w:pPr>
        <w:tabs>
          <w:tab w:val="left" w:pos="142"/>
        </w:tabs>
        <w:ind w:left="0" w:firstLine="0"/>
      </w:pPr>
    </w:p>
    <w:p w14:paraId="5452F3C7" w14:textId="77777777" w:rsidR="00041A08" w:rsidRPr="00041A08" w:rsidRDefault="00A350DA" w:rsidP="001A6584">
      <w:pPr>
        <w:keepNext/>
        <w:tabs>
          <w:tab w:val="left" w:pos="142"/>
        </w:tabs>
        <w:ind w:left="0" w:firstLine="0"/>
      </w:pPr>
      <w:r w:rsidRPr="007E4DA1">
        <w:rPr>
          <w:u w:val="single"/>
        </w:rPr>
        <w:t>Karmienie piersią</w:t>
      </w:r>
    </w:p>
    <w:p w14:paraId="7DDFD510" w14:textId="2CCD200A" w:rsidR="00A350DA" w:rsidRPr="007E4DA1" w:rsidRDefault="00A350DA" w:rsidP="001A6584">
      <w:pPr>
        <w:keepNext/>
        <w:tabs>
          <w:tab w:val="left" w:pos="142"/>
        </w:tabs>
        <w:ind w:left="0" w:firstLine="0"/>
      </w:pPr>
    </w:p>
    <w:p w14:paraId="0EFDC273" w14:textId="77777777" w:rsidR="00A350DA" w:rsidRPr="007E4DA1" w:rsidRDefault="00A350DA" w:rsidP="001A6584">
      <w:pPr>
        <w:tabs>
          <w:tab w:val="left" w:pos="142"/>
        </w:tabs>
        <w:ind w:left="0" w:firstLine="0"/>
        <w:rPr>
          <w:szCs w:val="22"/>
        </w:rPr>
      </w:pPr>
      <w:r w:rsidRPr="007E4DA1">
        <w:rPr>
          <w:szCs w:val="22"/>
        </w:rPr>
        <w:t xml:space="preserve">Nie wiadomo, czy </w:t>
      </w:r>
      <w:r w:rsidRPr="007E4DA1">
        <w:t xml:space="preserve">eltrombopag </w:t>
      </w:r>
      <w:r w:rsidRPr="007E4DA1">
        <w:rPr>
          <w:szCs w:val="22"/>
        </w:rPr>
        <w:t xml:space="preserve">/metabolity przenikają do mleka ludzkiego. </w:t>
      </w:r>
      <w:r w:rsidRPr="007E4DA1">
        <w:t>Badania na zwierzętach wykazały, że eltrombopag może przenikać do mleka (patrz punkt</w:t>
      </w:r>
      <w:r w:rsidR="00406FA8" w:rsidRPr="007E4DA1">
        <w:t> </w:t>
      </w:r>
      <w:r w:rsidRPr="007E4DA1">
        <w:t xml:space="preserve">5.3); dlatego nie można wykluczyć zagrożenia dla dziecka karmionego piersią. </w:t>
      </w:r>
      <w:r w:rsidRPr="007E4DA1">
        <w:rPr>
          <w:szCs w:val="22"/>
        </w:rPr>
        <w:t xml:space="preserve">Należy podjąć decyzję, czy przerwać karmienie piersią czy </w:t>
      </w:r>
      <w:r w:rsidRPr="007E4DA1">
        <w:t>kontynuować/</w:t>
      </w:r>
      <w:r w:rsidRPr="007E4DA1">
        <w:rPr>
          <w:szCs w:val="22"/>
        </w:rPr>
        <w:t>przerwać podawanie produktu Revolade, biorąc pod uwagę korzyści z karmienia piersią dla dziecka i korzyści z leczenia dla matki.</w:t>
      </w:r>
    </w:p>
    <w:p w14:paraId="38195E2A" w14:textId="77777777" w:rsidR="00A350DA" w:rsidRPr="007E4DA1" w:rsidRDefault="00A350DA" w:rsidP="001A6584">
      <w:pPr>
        <w:tabs>
          <w:tab w:val="left" w:pos="142"/>
        </w:tabs>
        <w:ind w:left="0" w:firstLine="0"/>
        <w:rPr>
          <w:szCs w:val="22"/>
        </w:rPr>
      </w:pPr>
    </w:p>
    <w:p w14:paraId="0E885231" w14:textId="77777777" w:rsidR="00041A08" w:rsidRPr="00041A08" w:rsidRDefault="00A350DA" w:rsidP="001A6584">
      <w:pPr>
        <w:keepNext/>
        <w:tabs>
          <w:tab w:val="left" w:pos="142"/>
        </w:tabs>
        <w:ind w:left="0" w:firstLine="0"/>
        <w:rPr>
          <w:noProof/>
          <w:szCs w:val="22"/>
        </w:rPr>
      </w:pPr>
      <w:r w:rsidRPr="007E4DA1">
        <w:rPr>
          <w:noProof/>
          <w:u w:val="single"/>
        </w:rPr>
        <w:t>Płodność</w:t>
      </w:r>
    </w:p>
    <w:p w14:paraId="3046F618" w14:textId="0D5EF276" w:rsidR="00A350DA" w:rsidRPr="007E4DA1" w:rsidRDefault="00A350DA" w:rsidP="001A6584">
      <w:pPr>
        <w:keepNext/>
        <w:tabs>
          <w:tab w:val="left" w:pos="142"/>
        </w:tabs>
        <w:ind w:left="0" w:firstLine="0"/>
        <w:rPr>
          <w:noProof/>
          <w:szCs w:val="22"/>
        </w:rPr>
      </w:pPr>
    </w:p>
    <w:p w14:paraId="2D5BB3DD" w14:textId="77777777" w:rsidR="00A350DA" w:rsidRPr="007E4DA1" w:rsidRDefault="00A350DA" w:rsidP="001A6584">
      <w:pPr>
        <w:tabs>
          <w:tab w:val="left" w:pos="142"/>
        </w:tabs>
        <w:ind w:left="0" w:firstLine="0"/>
      </w:pPr>
      <w:r w:rsidRPr="007E4DA1">
        <w:t>Nie zaobserwowano wpływu na płodność u samców i samic szczurów przy ekspozycji podobnej jak u ludzi. Nie można jednak wykluczyć ryzyka u ludzi (patrz punkt 5.3).</w:t>
      </w:r>
    </w:p>
    <w:p w14:paraId="320FE127" w14:textId="77777777" w:rsidR="00A350DA" w:rsidRPr="007E4DA1" w:rsidRDefault="00A350DA" w:rsidP="001A6584">
      <w:pPr>
        <w:tabs>
          <w:tab w:val="left" w:pos="142"/>
        </w:tabs>
        <w:ind w:left="0" w:firstLine="0"/>
        <w:rPr>
          <w:szCs w:val="22"/>
        </w:rPr>
      </w:pPr>
    </w:p>
    <w:p w14:paraId="263D7407" w14:textId="77777777" w:rsidR="00A350DA" w:rsidRPr="007E4DA1" w:rsidRDefault="00A350DA" w:rsidP="001A6584">
      <w:pPr>
        <w:keepNext/>
        <w:rPr>
          <w:szCs w:val="22"/>
        </w:rPr>
      </w:pPr>
      <w:r w:rsidRPr="007E4DA1">
        <w:rPr>
          <w:b/>
          <w:szCs w:val="22"/>
        </w:rPr>
        <w:t>4.7</w:t>
      </w:r>
      <w:r w:rsidRPr="007E4DA1">
        <w:rPr>
          <w:b/>
          <w:szCs w:val="22"/>
        </w:rPr>
        <w:tab/>
      </w:r>
      <w:r w:rsidRPr="007E4DA1">
        <w:rPr>
          <w:b/>
        </w:rPr>
        <w:t>Wpływ na zdolność prowadzenia pojazdów i obsługiwania maszyn</w:t>
      </w:r>
    </w:p>
    <w:p w14:paraId="1E9908BC" w14:textId="77777777" w:rsidR="00A350DA" w:rsidRPr="007E4DA1" w:rsidRDefault="00A350DA" w:rsidP="001A6584">
      <w:pPr>
        <w:keepNext/>
        <w:tabs>
          <w:tab w:val="left" w:pos="142"/>
        </w:tabs>
        <w:ind w:left="0" w:firstLine="0"/>
        <w:rPr>
          <w:szCs w:val="22"/>
        </w:rPr>
      </w:pPr>
    </w:p>
    <w:p w14:paraId="6FF0E61E" w14:textId="406D3F4C" w:rsidR="00A350DA" w:rsidRPr="007E4DA1" w:rsidRDefault="00A350DA" w:rsidP="001A6584">
      <w:pPr>
        <w:keepNext/>
        <w:tabs>
          <w:tab w:val="left" w:pos="142"/>
        </w:tabs>
        <w:ind w:left="0" w:firstLine="0"/>
      </w:pPr>
      <w:r w:rsidRPr="007E4DA1">
        <w:t>Eltrombopag wy</w:t>
      </w:r>
      <w:r w:rsidR="005603B2" w:rsidRPr="007E4DA1">
        <w:t>wiera</w:t>
      </w:r>
      <w:r w:rsidRPr="007E4DA1">
        <w:t xml:space="preserve"> </w:t>
      </w:r>
      <w:r w:rsidR="0033248D" w:rsidRPr="007E4DA1">
        <w:t>nieistotny</w:t>
      </w:r>
      <w:r w:rsidRPr="007E4DA1">
        <w:t xml:space="preserve"> wpływ na zdolność prowadzenia pojazdów i obsługiwania maszyn. Przy rozważaniu zdolności pacjenta do wykonywania czynności, które wymagają osądu bądź zdolności ruchowych lub poznawczych należy mieć na względzie stan kliniczny pacjenta oraz profil działań niepożądanych eltrombopagu, w tym występowanie zawrotów głowy lub brak uwagi.</w:t>
      </w:r>
    </w:p>
    <w:p w14:paraId="07B8F43A" w14:textId="77777777" w:rsidR="00A350DA" w:rsidRPr="007E4DA1" w:rsidRDefault="00A350DA" w:rsidP="001A6584">
      <w:pPr>
        <w:tabs>
          <w:tab w:val="left" w:pos="142"/>
        </w:tabs>
        <w:ind w:left="0" w:firstLine="0"/>
        <w:rPr>
          <w:szCs w:val="22"/>
        </w:rPr>
      </w:pPr>
    </w:p>
    <w:p w14:paraId="2A6D69E7" w14:textId="77777777" w:rsidR="00041A08" w:rsidRPr="00041A08" w:rsidRDefault="00A350DA" w:rsidP="001A6584">
      <w:pPr>
        <w:keepNext/>
        <w:rPr>
          <w:szCs w:val="22"/>
        </w:rPr>
      </w:pPr>
      <w:r w:rsidRPr="007E4DA1">
        <w:rPr>
          <w:b/>
          <w:szCs w:val="22"/>
        </w:rPr>
        <w:t>4.8</w:t>
      </w:r>
      <w:r w:rsidRPr="007E4DA1">
        <w:rPr>
          <w:b/>
          <w:szCs w:val="22"/>
        </w:rPr>
        <w:tab/>
        <w:t>Działania niepożądane</w:t>
      </w:r>
    </w:p>
    <w:p w14:paraId="49E39475" w14:textId="56739023" w:rsidR="00A350DA" w:rsidRPr="007E4DA1" w:rsidRDefault="00A350DA" w:rsidP="001A6584">
      <w:pPr>
        <w:keepNext/>
        <w:tabs>
          <w:tab w:val="left" w:pos="1389"/>
        </w:tabs>
        <w:ind w:left="0" w:firstLine="0"/>
        <w:rPr>
          <w:szCs w:val="22"/>
        </w:rPr>
      </w:pPr>
    </w:p>
    <w:p w14:paraId="2651B971" w14:textId="77777777" w:rsidR="00041A08" w:rsidRPr="00041A08" w:rsidRDefault="00A350DA" w:rsidP="001A6584">
      <w:pPr>
        <w:keepNext/>
        <w:tabs>
          <w:tab w:val="left" w:pos="1389"/>
        </w:tabs>
        <w:ind w:left="0" w:firstLine="0"/>
        <w:rPr>
          <w:szCs w:val="22"/>
        </w:rPr>
      </w:pPr>
      <w:r w:rsidRPr="007E4DA1">
        <w:rPr>
          <w:szCs w:val="22"/>
          <w:u w:val="single"/>
        </w:rPr>
        <w:t>Podsumowanie profilu bezpieczeństwa</w:t>
      </w:r>
    </w:p>
    <w:p w14:paraId="6DA2789E" w14:textId="1EC5D38E" w:rsidR="006258D0" w:rsidRPr="007E4DA1" w:rsidRDefault="006258D0" w:rsidP="001A6584">
      <w:pPr>
        <w:keepNext/>
        <w:tabs>
          <w:tab w:val="left" w:pos="1389"/>
        </w:tabs>
        <w:ind w:left="0" w:firstLine="0"/>
        <w:rPr>
          <w:szCs w:val="22"/>
        </w:rPr>
      </w:pPr>
    </w:p>
    <w:p w14:paraId="0CFA4082" w14:textId="77777777" w:rsidR="006258D0" w:rsidRPr="007E4DA1" w:rsidRDefault="006258D0" w:rsidP="001A6584">
      <w:pPr>
        <w:keepNext/>
        <w:tabs>
          <w:tab w:val="left" w:pos="142"/>
        </w:tabs>
        <w:ind w:left="0" w:firstLine="0"/>
      </w:pPr>
      <w:r w:rsidRPr="007E4DA1">
        <w:rPr>
          <w:i/>
          <w:u w:val="single"/>
        </w:rPr>
        <w:t>Małopłytkowość immunologiczna u pacjentów dorosłych, dzieci i młodzieży</w:t>
      </w:r>
    </w:p>
    <w:p w14:paraId="77897F7C" w14:textId="77777777" w:rsidR="006258D0" w:rsidRPr="007E4DA1" w:rsidRDefault="006258D0" w:rsidP="001A6584">
      <w:pPr>
        <w:keepNext/>
        <w:tabs>
          <w:tab w:val="left" w:pos="142"/>
        </w:tabs>
        <w:ind w:left="0" w:firstLine="0"/>
      </w:pPr>
    </w:p>
    <w:p w14:paraId="70ECA417" w14:textId="3A222E16" w:rsidR="00D64589" w:rsidRPr="007E4DA1" w:rsidRDefault="006258D0" w:rsidP="001A6584">
      <w:pPr>
        <w:tabs>
          <w:tab w:val="left" w:pos="1389"/>
        </w:tabs>
        <w:ind w:left="0" w:firstLine="0"/>
      </w:pPr>
      <w:r w:rsidRPr="007E4DA1">
        <w:t xml:space="preserve">Bezpieczeństwo stosowania produktu leczniczego Revolade </w:t>
      </w:r>
      <w:r w:rsidR="00A11A08" w:rsidRPr="007E4DA1">
        <w:t xml:space="preserve">u dorosłych pacjentów (N=763) </w:t>
      </w:r>
      <w:r w:rsidRPr="007E4DA1">
        <w:t xml:space="preserve">oceniano na podstawie zbiorczych danych z badań kontrolowanych placebo, prowadzonych metodą podwójnie ślepej próby TRA100773A i B, TRA102537 (RAISE) i TRA113765, w których 403 pacjentów otrzymywało produkt leczniczy Revolade, a 179 pacjentów otrzymywało placebo, a także na podstawie danych z ukończonych otwartych badań </w:t>
      </w:r>
      <w:r w:rsidR="00A11A08" w:rsidRPr="007E4DA1">
        <w:t xml:space="preserve">(N=360) </w:t>
      </w:r>
      <w:r w:rsidRPr="007E4DA1">
        <w:t>TRA108057</w:t>
      </w:r>
      <w:r w:rsidR="00A11A08" w:rsidRPr="007E4DA1">
        <w:t xml:space="preserve"> (REPEAT)</w:t>
      </w:r>
      <w:r w:rsidRPr="007E4DA1">
        <w:t>, TRA105325 (EXTEND) i TRA112940</w:t>
      </w:r>
      <w:r w:rsidR="00A11A08" w:rsidRPr="007E4DA1">
        <w:t xml:space="preserve"> (patrz punkt 5.1)</w:t>
      </w:r>
      <w:r w:rsidRPr="007E4DA1">
        <w:t>. Pacjenci otrzymywali lek badany przez okres do 8 lat (w badaniu EXTEND).</w:t>
      </w:r>
      <w:r w:rsidR="00D64589" w:rsidRPr="007E4DA1">
        <w:t>Najważniejszymi ciężkimi działaniami niepożądanymi były toksyczne działania na wątrobę i zdarzenia zakrzepowe/zakrzepowo-zatorowe. Do najczęstszych działań niepożądanych występujących u przynajmniej 10% pacjentów należały: nudności, biegunka</w:t>
      </w:r>
      <w:r w:rsidR="00A11A08" w:rsidRPr="007E4DA1">
        <w:t>,</w:t>
      </w:r>
      <w:r w:rsidRPr="007E4DA1">
        <w:t xml:space="preserve"> zwiększenie aktywności aminotransferazy alaninowej</w:t>
      </w:r>
      <w:r w:rsidR="00A11A08" w:rsidRPr="007E4DA1">
        <w:t xml:space="preserve"> oraz ból pleców</w:t>
      </w:r>
      <w:r w:rsidR="00D64589" w:rsidRPr="007E4DA1">
        <w:t>.</w:t>
      </w:r>
    </w:p>
    <w:p w14:paraId="416003DC" w14:textId="77777777" w:rsidR="00D64589" w:rsidRPr="007E4DA1" w:rsidRDefault="00D64589" w:rsidP="001A6584">
      <w:pPr>
        <w:tabs>
          <w:tab w:val="left" w:pos="142"/>
        </w:tabs>
        <w:ind w:left="0" w:firstLine="0"/>
      </w:pPr>
    </w:p>
    <w:p w14:paraId="1B80F25B" w14:textId="77777777" w:rsidR="00C02CBB" w:rsidRPr="007E4DA1" w:rsidRDefault="006258D0" w:rsidP="001A6584">
      <w:pPr>
        <w:tabs>
          <w:tab w:val="left" w:pos="142"/>
        </w:tabs>
        <w:ind w:left="0" w:firstLine="0"/>
      </w:pPr>
      <w:r w:rsidRPr="007E4DA1">
        <w:t>Bezpieczeństwo stosowania produktu leczniczego Revolade u dzieci i młodzieży (w wieku od 1 roku do 17</w:t>
      </w:r>
      <w:r w:rsidR="00265FB7" w:rsidRPr="007E4DA1">
        <w:t> </w:t>
      </w:r>
      <w:r w:rsidRPr="007E4DA1">
        <w:t>lat) z wcześniej leczoną ITP wykazano w dwóch badaniach</w:t>
      </w:r>
      <w:r w:rsidR="00A11A08" w:rsidRPr="007E4DA1">
        <w:t xml:space="preserve"> (N=171) (patrz punkt 5.1)</w:t>
      </w:r>
      <w:r w:rsidRPr="007E4DA1">
        <w:t xml:space="preserve">. PETIT2 (TRA115450) było dwuczęściowym, otwartym, randomizowanym badaniem kontrolowanym placebo, prowadzonym metodą podwójnie ślepej próby. Pacjenci byli losowo przydzielani w stosunku 2:1 do grupy otrzymującej produkt leczniczy Revolade (n=63) lub placebo (n=29) maksymalnie przez </w:t>
      </w:r>
      <w:r w:rsidRPr="007E4DA1">
        <w:lastRenderedPageBreak/>
        <w:t>13</w:t>
      </w:r>
      <w:r w:rsidR="00265FB7" w:rsidRPr="007E4DA1">
        <w:t> </w:t>
      </w:r>
      <w:r w:rsidRPr="007E4DA1">
        <w:t>tygodni w randomizowanym okresie badania. PETIT (TRA108062) było trzyczęściowym, otwartym, randomizowanym badaniem kontrolowanym placebo, prowadzonym metodą podwójnie ślepej próby z kohortami rozłożonymi w czasie. Pacjenci zostali losowo przydzieleni w stosunku 2:1 do grupy otrzymującej produkt leczniczy Revolade (n=44) lub placebo (n=21) przez okres do 7</w:t>
      </w:r>
      <w:r w:rsidR="00265FB7" w:rsidRPr="007E4DA1">
        <w:t> </w:t>
      </w:r>
      <w:r w:rsidRPr="007E4DA1">
        <w:t xml:space="preserve">tygodni. </w:t>
      </w:r>
      <w:r w:rsidR="00D64589" w:rsidRPr="007E4DA1">
        <w:t>Profil działań niepożądanych był porównywalny do profilu tych działań obserwowanego u osób dorosłych, przy</w:t>
      </w:r>
      <w:r w:rsidR="00D36ECF" w:rsidRPr="007E4DA1">
        <w:t xml:space="preserve"> </w:t>
      </w:r>
      <w:r w:rsidR="00D64589" w:rsidRPr="007E4DA1">
        <w:t xml:space="preserve">czym wystąpiły pewne dodatkowe działania niepożądane oznaczone symbolem </w:t>
      </w:r>
      <w:r w:rsidR="00D64589" w:rsidRPr="007E4DA1">
        <w:rPr>
          <w:szCs w:val="22"/>
        </w:rPr>
        <w:t>♦</w:t>
      </w:r>
      <w:r w:rsidR="00D64589" w:rsidRPr="007E4DA1">
        <w:t xml:space="preserve"> w tabeli poniżej. Do najczęstszych działań niepożądanych występujących u dzieci i młodzieży z </w:t>
      </w:r>
      <w:r w:rsidR="00D64589" w:rsidRPr="007E4DA1">
        <w:rPr>
          <w:szCs w:val="22"/>
        </w:rPr>
        <w:t>pierwotną małopłytkowością immunologiczną</w:t>
      </w:r>
      <w:r w:rsidR="00D64589" w:rsidRPr="007E4DA1">
        <w:t xml:space="preserve"> w wieku 1 roku i starszych (</w:t>
      </w:r>
      <w:r w:rsidR="00D64589" w:rsidRPr="007E4DA1">
        <w:rPr>
          <w:szCs w:val="22"/>
        </w:rPr>
        <w:t>≥</w:t>
      </w:r>
      <w:r w:rsidR="00D64589" w:rsidRPr="007E4DA1">
        <w:t>3% lub więcej względem placebo) należały: zakażenia górnych dróg oddechowych, zapalenie części nosowej gardła, kaszel, gorączka, ból brzucha, ból jamy ustnej i gardła, ból zębai wodnisty wyciek z nosa.</w:t>
      </w:r>
    </w:p>
    <w:p w14:paraId="3CDE41F5" w14:textId="77777777" w:rsidR="00D64589" w:rsidRPr="007E4DA1" w:rsidRDefault="00D64589" w:rsidP="001A6584">
      <w:pPr>
        <w:tabs>
          <w:tab w:val="left" w:pos="142"/>
        </w:tabs>
        <w:ind w:left="0" w:firstLine="0"/>
      </w:pPr>
    </w:p>
    <w:p w14:paraId="359536FC" w14:textId="77777777" w:rsidR="006258D0" w:rsidRPr="007E4DA1" w:rsidRDefault="006258D0" w:rsidP="00EC4057">
      <w:pPr>
        <w:keepNext/>
        <w:tabs>
          <w:tab w:val="left" w:pos="142"/>
        </w:tabs>
        <w:ind w:left="0" w:firstLine="0"/>
      </w:pPr>
      <w:r w:rsidRPr="007E4DA1">
        <w:rPr>
          <w:i/>
          <w:u w:val="single"/>
        </w:rPr>
        <w:t>Małopłytkowość w przebiegu zakażenia WZW C u dorosłych pacjentów</w:t>
      </w:r>
    </w:p>
    <w:p w14:paraId="386B395D" w14:textId="77777777" w:rsidR="006258D0" w:rsidRPr="007E4DA1" w:rsidRDefault="006258D0" w:rsidP="00EC4057">
      <w:pPr>
        <w:keepNext/>
        <w:tabs>
          <w:tab w:val="left" w:pos="142"/>
        </w:tabs>
        <w:ind w:left="0" w:firstLine="0"/>
      </w:pPr>
    </w:p>
    <w:p w14:paraId="04847A22" w14:textId="4C4ED5E9" w:rsidR="00C02CBB" w:rsidRPr="007E4DA1" w:rsidRDefault="006258D0" w:rsidP="001A6584">
      <w:pPr>
        <w:tabs>
          <w:tab w:val="left" w:pos="142"/>
        </w:tabs>
        <w:ind w:left="0" w:firstLine="0"/>
      </w:pPr>
      <w:r w:rsidRPr="007E4DA1">
        <w:t>ENABLE 1 (TPL103922 n=716</w:t>
      </w:r>
      <w:r w:rsidR="00A11A08" w:rsidRPr="007E4DA1">
        <w:t>, 715 pacjentów leczonych eltrombopagiem</w:t>
      </w:r>
      <w:r w:rsidRPr="007E4DA1">
        <w:t>) i ENABLE 2 (TPL108390 n=805)</w:t>
      </w:r>
      <w:r w:rsidRPr="007E4DA1">
        <w:rPr>
          <w:bCs/>
        </w:rPr>
        <w:t xml:space="preserve"> </w:t>
      </w:r>
      <w:r w:rsidRPr="007E4DA1">
        <w:t xml:space="preserve">były randomizowanymi, wieloośrodkowymi badaniami kontrolowanymi placebo, prowadzonymi metoda podwójnie ślepej próby, w celu oceny skuteczności i bezpieczeństwa stosowania produktu leczniczego Revolade u pacjentów z małopłytkowością z zakażeniem WZW C, którzy pod innymi względami kwalifikowali się do rozpoczęcia leczenia przeciwwirusowego. W badaniach z WZW C populacja do oceny bezpieczeństwa składała się </w:t>
      </w:r>
      <w:r w:rsidR="00A65BF1" w:rsidRPr="007E4DA1">
        <w:t>ze</w:t>
      </w:r>
      <w:r w:rsidRPr="007E4DA1">
        <w:t xml:space="preserve"> wszystkich pacjentów losowo przydzielonych do grup terapii, którzy otrzymali badany produkt leczniczy metodą podwójnie ślepej próby w części 2 badania ENABLE 1 (leczenie produktem Revolade n=450, leczenie placebo n=232) i ENABLE 2 (leczenie produktem Revolade n=506, leczenie placebo n=25</w:t>
      </w:r>
      <w:r w:rsidR="00A11A08" w:rsidRPr="007E4DA1">
        <w:t>2</w:t>
      </w:r>
      <w:r w:rsidRPr="007E4DA1">
        <w:t>). Analizę pacjentów przeprowadzono według otrzymanego leczenia (całkowita populacja do oceny bezpieczeństwa otrzymująca leczenie metodą podwójnie ślepej próby, Revolade n=955 i placebo n=484).</w:t>
      </w:r>
      <w:r w:rsidR="00D64589" w:rsidRPr="007E4DA1">
        <w:t>Najcięższymi stwierdzonymi działaniami niepożądanymi był toksyczny wpływ na wątrobę oraz zdarzenia zakrzepowe/zakrzepowo-zatorowe. Do najczęstszych dzi</w:t>
      </w:r>
      <w:r w:rsidR="00D46396" w:rsidRPr="007E4DA1">
        <w:t>a</w:t>
      </w:r>
      <w:r w:rsidR="00D64589" w:rsidRPr="007E4DA1">
        <w:t>łań niepożądanych występujących u przynajmniej 10% pacjentów należały: ból głowy, niedokrwistość, zmniejsz</w:t>
      </w:r>
      <w:r w:rsidR="00D46396" w:rsidRPr="007E4DA1">
        <w:t>enie</w:t>
      </w:r>
      <w:r w:rsidR="00D64589" w:rsidRPr="007E4DA1">
        <w:t xml:space="preserve"> apety</w:t>
      </w:r>
      <w:r w:rsidR="00D46396" w:rsidRPr="007E4DA1">
        <w:t>tu</w:t>
      </w:r>
      <w:r w:rsidR="00D64589" w:rsidRPr="007E4DA1">
        <w:t xml:space="preserve">, kaszel, nudności, biegunka, </w:t>
      </w:r>
      <w:r w:rsidRPr="007E4DA1">
        <w:t xml:space="preserve">hiperbilirubinemia, </w:t>
      </w:r>
      <w:r w:rsidR="00D64589" w:rsidRPr="007E4DA1">
        <w:t>łysienie, świąd, ból mięśni, gorączka, uczucie zmęczenia, choroba grypopodobna, osłabienie, dreszcze i obrzęki.</w:t>
      </w:r>
    </w:p>
    <w:p w14:paraId="694E198E" w14:textId="77777777" w:rsidR="00FB77FD" w:rsidRPr="007E4DA1" w:rsidRDefault="00FB77FD" w:rsidP="001A6584">
      <w:pPr>
        <w:tabs>
          <w:tab w:val="left" w:pos="142"/>
        </w:tabs>
        <w:ind w:left="0" w:firstLine="0"/>
      </w:pPr>
    </w:p>
    <w:p w14:paraId="7437470E" w14:textId="482BE7B6" w:rsidR="00FB77FD" w:rsidRPr="007E4DA1" w:rsidRDefault="00FB77FD" w:rsidP="001A6584">
      <w:pPr>
        <w:keepNext/>
        <w:tabs>
          <w:tab w:val="left" w:pos="142"/>
        </w:tabs>
        <w:ind w:left="0" w:firstLine="0"/>
        <w:rPr>
          <w:szCs w:val="22"/>
        </w:rPr>
      </w:pPr>
      <w:r w:rsidRPr="007E4DA1">
        <w:rPr>
          <w:i/>
          <w:szCs w:val="22"/>
          <w:u w:val="single"/>
        </w:rPr>
        <w:t>Ciężka postać niedokrwistości aplastycznej u dorosłych pacjentów</w:t>
      </w:r>
    </w:p>
    <w:p w14:paraId="07ADE890" w14:textId="77777777" w:rsidR="00FB77FD" w:rsidRPr="007E4DA1" w:rsidRDefault="00FB77FD" w:rsidP="001A6584">
      <w:pPr>
        <w:keepNext/>
        <w:tabs>
          <w:tab w:val="left" w:pos="142"/>
        </w:tabs>
        <w:ind w:left="0" w:firstLine="0"/>
      </w:pPr>
    </w:p>
    <w:p w14:paraId="35BF952F" w14:textId="02883E39" w:rsidR="00A350DA" w:rsidRDefault="00A350DA" w:rsidP="001A6584">
      <w:pPr>
        <w:tabs>
          <w:tab w:val="left" w:pos="142"/>
        </w:tabs>
        <w:autoSpaceDE w:val="0"/>
        <w:autoSpaceDN w:val="0"/>
        <w:adjustRightInd w:val="0"/>
        <w:ind w:left="0" w:firstLine="0"/>
      </w:pPr>
      <w:r w:rsidRPr="007E4DA1">
        <w:rPr>
          <w:szCs w:val="22"/>
        </w:rPr>
        <w:t xml:space="preserve">Bezpieczeństwo stosowania </w:t>
      </w:r>
      <w:r w:rsidR="00A11A08" w:rsidRPr="007E4DA1">
        <w:rPr>
          <w:szCs w:val="22"/>
        </w:rPr>
        <w:t>produktu leczniczego Revolade</w:t>
      </w:r>
      <w:r w:rsidRPr="007E4DA1">
        <w:rPr>
          <w:szCs w:val="22"/>
        </w:rPr>
        <w:t xml:space="preserve"> </w:t>
      </w:r>
      <w:r w:rsidR="00E21164">
        <w:rPr>
          <w:szCs w:val="22"/>
        </w:rPr>
        <w:t>u dorosłych pacjentów z SAA</w:t>
      </w:r>
      <w:r w:rsidRPr="007E4DA1">
        <w:rPr>
          <w:szCs w:val="22"/>
        </w:rPr>
        <w:t xml:space="preserve"> było oceniane w jednoramiennym, otwartym badaniu (n=43), w którym </w:t>
      </w:r>
      <w:r w:rsidR="00FB77FD" w:rsidRPr="007E4DA1">
        <w:rPr>
          <w:szCs w:val="22"/>
        </w:rPr>
        <w:t>11</w:t>
      </w:r>
      <w:r w:rsidR="00C02CBB" w:rsidRPr="007E4DA1">
        <w:rPr>
          <w:szCs w:val="22"/>
        </w:rPr>
        <w:t> </w:t>
      </w:r>
      <w:r w:rsidRPr="007E4DA1">
        <w:rPr>
          <w:szCs w:val="22"/>
        </w:rPr>
        <w:t>pacjentów (</w:t>
      </w:r>
      <w:r w:rsidR="00FB77FD" w:rsidRPr="007E4DA1">
        <w:rPr>
          <w:szCs w:val="22"/>
        </w:rPr>
        <w:t>26</w:t>
      </w:r>
      <w:r w:rsidRPr="007E4DA1">
        <w:rPr>
          <w:szCs w:val="22"/>
        </w:rPr>
        <w:t xml:space="preserve">%) leczono przez &gt;6 miesięcy, a </w:t>
      </w:r>
      <w:r w:rsidR="00FB77FD" w:rsidRPr="007E4DA1">
        <w:rPr>
          <w:szCs w:val="22"/>
        </w:rPr>
        <w:t>7 </w:t>
      </w:r>
      <w:r w:rsidRPr="007E4DA1">
        <w:rPr>
          <w:szCs w:val="22"/>
        </w:rPr>
        <w:t>pacjentów (</w:t>
      </w:r>
      <w:r w:rsidR="00B9543F" w:rsidRPr="007E4DA1">
        <w:rPr>
          <w:szCs w:val="22"/>
        </w:rPr>
        <w:t>16</w:t>
      </w:r>
      <w:r w:rsidRPr="007E4DA1">
        <w:rPr>
          <w:szCs w:val="22"/>
        </w:rPr>
        <w:t>%) leczono przez &gt;1 rok</w:t>
      </w:r>
      <w:r w:rsidR="00A11A08" w:rsidRPr="007E4DA1">
        <w:rPr>
          <w:szCs w:val="22"/>
        </w:rPr>
        <w:t xml:space="preserve"> (patrz punkt 5.1)</w:t>
      </w:r>
      <w:r w:rsidRPr="007E4DA1">
        <w:rPr>
          <w:szCs w:val="22"/>
        </w:rPr>
        <w:t>.</w:t>
      </w:r>
      <w:r w:rsidR="00D64589" w:rsidRPr="007E4DA1">
        <w:rPr>
          <w:szCs w:val="22"/>
        </w:rPr>
        <w:t xml:space="preserve"> </w:t>
      </w:r>
      <w:r w:rsidRPr="007E4DA1">
        <w:t>Najczęstszymi działaniami niepożądanymi</w:t>
      </w:r>
      <w:r w:rsidR="00D44B2A" w:rsidRPr="007E4DA1">
        <w:t>,</w:t>
      </w:r>
      <w:r w:rsidRPr="007E4DA1">
        <w:t xml:space="preserve"> które wystąpiły u co najmniej 10% pacjentów</w:t>
      </w:r>
      <w:r w:rsidR="00D44B2A" w:rsidRPr="007E4DA1">
        <w:t>, były</w:t>
      </w:r>
      <w:r w:rsidRPr="007E4DA1">
        <w:t xml:space="preserve">: ból głowy, </w:t>
      </w:r>
      <w:r w:rsidR="00D44B2A" w:rsidRPr="007E4DA1">
        <w:t xml:space="preserve">zawroty głowy, </w:t>
      </w:r>
      <w:r w:rsidRPr="007E4DA1">
        <w:t xml:space="preserve">kaszel, </w:t>
      </w:r>
      <w:r w:rsidR="00D44B2A" w:rsidRPr="007E4DA1">
        <w:t xml:space="preserve">ból jamy ustnej i gardła, </w:t>
      </w:r>
      <w:r w:rsidR="00A11A08" w:rsidRPr="007E4DA1">
        <w:t xml:space="preserve">wodnisty wyciek z nosa, </w:t>
      </w:r>
      <w:r w:rsidRPr="007E4DA1">
        <w:t xml:space="preserve">nudności, biegunka, </w:t>
      </w:r>
      <w:r w:rsidR="00D44B2A" w:rsidRPr="007E4DA1">
        <w:t xml:space="preserve">ból brzucha, wzrost aktywności transaminaz, ból stawów, ból kończyn, </w:t>
      </w:r>
      <w:r w:rsidR="00A11A08" w:rsidRPr="007E4DA1">
        <w:t xml:space="preserve">skurcze mięśni, </w:t>
      </w:r>
      <w:r w:rsidRPr="007E4DA1">
        <w:t>uczucie zmęczenia</w:t>
      </w:r>
      <w:r w:rsidR="00A11A08" w:rsidRPr="007E4DA1">
        <w:t xml:space="preserve"> </w:t>
      </w:r>
      <w:r w:rsidR="00D44B2A" w:rsidRPr="007E4DA1">
        <w:t>i gorączka</w:t>
      </w:r>
      <w:r w:rsidRPr="007E4DA1">
        <w:t>.</w:t>
      </w:r>
    </w:p>
    <w:p w14:paraId="5481242B" w14:textId="77777777" w:rsidR="00E21164" w:rsidRDefault="00E21164" w:rsidP="001A6584">
      <w:pPr>
        <w:tabs>
          <w:tab w:val="left" w:pos="142"/>
        </w:tabs>
        <w:autoSpaceDE w:val="0"/>
        <w:autoSpaceDN w:val="0"/>
        <w:adjustRightInd w:val="0"/>
        <w:ind w:left="0" w:firstLine="0"/>
      </w:pPr>
    </w:p>
    <w:p w14:paraId="6158044F" w14:textId="60F340F0" w:rsidR="00E143EE" w:rsidRPr="00353671" w:rsidRDefault="00E143EE" w:rsidP="00353671">
      <w:pPr>
        <w:keepNext/>
        <w:tabs>
          <w:tab w:val="left" w:pos="142"/>
        </w:tabs>
        <w:autoSpaceDE w:val="0"/>
        <w:autoSpaceDN w:val="0"/>
        <w:adjustRightInd w:val="0"/>
        <w:ind w:left="0" w:firstLine="0"/>
      </w:pPr>
      <w:r>
        <w:rPr>
          <w:i/>
          <w:iCs/>
          <w:u w:val="single"/>
        </w:rPr>
        <w:t>Ciężka niedokrwistość aplastyczna u dzieci i młodzieży</w:t>
      </w:r>
    </w:p>
    <w:p w14:paraId="7D9A8F68" w14:textId="77777777" w:rsidR="00E143EE" w:rsidRDefault="00E143EE" w:rsidP="00353671">
      <w:pPr>
        <w:keepNext/>
        <w:tabs>
          <w:tab w:val="left" w:pos="142"/>
        </w:tabs>
        <w:autoSpaceDE w:val="0"/>
        <w:autoSpaceDN w:val="0"/>
        <w:adjustRightInd w:val="0"/>
        <w:ind w:left="0" w:firstLine="0"/>
      </w:pPr>
    </w:p>
    <w:p w14:paraId="433C66A7" w14:textId="7BB1C184" w:rsidR="00E21164" w:rsidRPr="0090150C" w:rsidRDefault="00E143EE" w:rsidP="001A6584">
      <w:pPr>
        <w:tabs>
          <w:tab w:val="left" w:pos="142"/>
        </w:tabs>
        <w:autoSpaceDE w:val="0"/>
        <w:autoSpaceDN w:val="0"/>
        <w:adjustRightInd w:val="0"/>
        <w:ind w:left="0" w:firstLine="0"/>
        <w:rPr>
          <w:rFonts w:eastAsia="MS Mincho"/>
          <w:szCs w:val="22"/>
        </w:rPr>
      </w:pPr>
      <w:r>
        <w:t>Bezpieczeństwo stosowania produktu leczniczego Revolade u dzieci i młodzieży z oporną na leczenie/nawracającą (kohorta</w:t>
      </w:r>
      <w:r w:rsidR="00353671">
        <w:t> </w:t>
      </w:r>
      <w:r>
        <w:t>A; n=14) lub wcześniej nieleczoną (kohorta</w:t>
      </w:r>
      <w:r w:rsidR="00353671">
        <w:t> </w:t>
      </w:r>
      <w:r>
        <w:t>B; n=37) SAA jest oceniane w trwającym otwartym, niekontrolowanym, wewnątrzosobniczym badaniu z eskalacją dawki (N=51 łącznie) (patrz także punkt 5.1 zawierający szczegółowe informacje o badaniu). Zdarzenia niepożądane o szczególnym znaczeniu, w tym ostre uszkodzenie nerek, toksyczne działanie na wątrobę, zdarzenia zakrzepowo-zatorowe oraz ewolucja klonalna lub nieprawidłowości cytogenetyczne były zgłaszane odpowiednio u 29 (56,9%), 39 (76,5%), 2 (3,9%) i 1 (2,0%) pacjentów. Ogółem częstość, rodzaj i nasilenie działań niepożądanych obserwowanych po zastosowaniu eltrombopagu u dzieci i młodzieży z SAA były spójne z działaniami niepożądanymi obserwowanymi u dorosłych pacjentów z SAA.</w:t>
      </w:r>
    </w:p>
    <w:p w14:paraId="2843E923" w14:textId="77777777" w:rsidR="00041A08" w:rsidRPr="00041A08" w:rsidRDefault="00041A08" w:rsidP="001A6584">
      <w:pPr>
        <w:tabs>
          <w:tab w:val="left" w:pos="142"/>
        </w:tabs>
        <w:ind w:left="0" w:firstLine="0"/>
      </w:pPr>
    </w:p>
    <w:p w14:paraId="3493A52D" w14:textId="77777777" w:rsidR="00041A08" w:rsidRPr="00041A08" w:rsidRDefault="00A350DA" w:rsidP="001A6584">
      <w:pPr>
        <w:keepNext/>
        <w:tabs>
          <w:tab w:val="left" w:pos="142"/>
        </w:tabs>
        <w:ind w:left="0" w:firstLine="0"/>
      </w:pPr>
      <w:r w:rsidRPr="007E4DA1">
        <w:rPr>
          <w:u w:val="single"/>
        </w:rPr>
        <w:t>Zestawienie działań niepożądanych</w:t>
      </w:r>
    </w:p>
    <w:p w14:paraId="74356924" w14:textId="5053A953" w:rsidR="00A350DA" w:rsidRPr="007E4DA1" w:rsidRDefault="00A350DA" w:rsidP="001A6584">
      <w:pPr>
        <w:keepNext/>
        <w:tabs>
          <w:tab w:val="left" w:pos="142"/>
        </w:tabs>
        <w:ind w:left="0" w:firstLine="0"/>
        <w:rPr>
          <w:szCs w:val="22"/>
        </w:rPr>
      </w:pPr>
    </w:p>
    <w:p w14:paraId="400F8B2E" w14:textId="3675BDF7" w:rsidR="00A65BF1" w:rsidRPr="007E4DA1" w:rsidRDefault="00A350DA" w:rsidP="00353671">
      <w:pPr>
        <w:tabs>
          <w:tab w:val="left" w:pos="142"/>
        </w:tabs>
        <w:ind w:left="0" w:firstLine="0"/>
      </w:pPr>
      <w:r w:rsidRPr="007E4DA1">
        <w:t xml:space="preserve">Wymienione poniżej działania niepożądane, zaobserwowane w badaniach dotyczących pierwotnej małopłytkowości immunologicznej </w:t>
      </w:r>
      <w:r w:rsidR="005603B2" w:rsidRPr="007E4DA1">
        <w:t xml:space="preserve">u dorosłych </w:t>
      </w:r>
      <w:r w:rsidRPr="007E4DA1">
        <w:t>(N=</w:t>
      </w:r>
      <w:r w:rsidR="00FB77FD" w:rsidRPr="007E4DA1">
        <w:t>763</w:t>
      </w:r>
      <w:r w:rsidRPr="007E4DA1">
        <w:t xml:space="preserve">), </w:t>
      </w:r>
      <w:r w:rsidR="005603B2" w:rsidRPr="007E4DA1">
        <w:t>w badaniach dotyczących pierwotnej małopłytkowości immunologicznej u dzieci (N=17</w:t>
      </w:r>
      <w:r w:rsidR="00FB77FD" w:rsidRPr="007E4DA1">
        <w:t>1</w:t>
      </w:r>
      <w:r w:rsidR="005603B2" w:rsidRPr="007E4DA1">
        <w:t xml:space="preserve">), </w:t>
      </w:r>
      <w:r w:rsidRPr="007E4DA1">
        <w:t xml:space="preserve">w badaniach dotyczących zakażenia wirusem </w:t>
      </w:r>
      <w:r w:rsidRPr="007E4DA1">
        <w:lastRenderedPageBreak/>
        <w:t>WZW C (N=</w:t>
      </w:r>
      <w:r w:rsidR="00FB77FD" w:rsidRPr="007E4DA1">
        <w:t>1</w:t>
      </w:r>
      <w:r w:rsidR="005F162F" w:rsidRPr="007E4DA1">
        <w:t> </w:t>
      </w:r>
      <w:r w:rsidR="00FB77FD" w:rsidRPr="007E4DA1">
        <w:t>520</w:t>
      </w:r>
      <w:r w:rsidRPr="007E4DA1">
        <w:t>), w badani</w:t>
      </w:r>
      <w:r w:rsidR="00E21164">
        <w:t>u</w:t>
      </w:r>
      <w:r w:rsidRPr="007E4DA1">
        <w:t xml:space="preserve"> z SAA </w:t>
      </w:r>
      <w:r w:rsidR="00E21164">
        <w:t xml:space="preserve">u dorosłych </w:t>
      </w:r>
      <w:r w:rsidRPr="007E4DA1">
        <w:t>(</w:t>
      </w:r>
      <w:r w:rsidR="00FB77FD" w:rsidRPr="007E4DA1">
        <w:t>N</w:t>
      </w:r>
      <w:r w:rsidRPr="007E4DA1">
        <w:t>=43)</w:t>
      </w:r>
      <w:r w:rsidR="00E21164">
        <w:t>, w badaniu z SAA u dzieci i młodzieży</w:t>
      </w:r>
      <w:r w:rsidR="001260F0">
        <w:t xml:space="preserve"> (N=51)</w:t>
      </w:r>
      <w:r w:rsidRPr="007E4DA1">
        <w:t xml:space="preserve"> i w zgłoszeniach po wprowadzeniu leku do obrotu podano zgodnie z klasyfikacją układów i narządów według MedDRA oraz z uwzględnieniem częstości ich występowania</w:t>
      </w:r>
      <w:r w:rsidR="00E21164">
        <w:t xml:space="preserve"> (</w:t>
      </w:r>
      <w:r w:rsidR="00C00A76">
        <w:t>t</w:t>
      </w:r>
      <w:r w:rsidR="00E21164">
        <w:t>abele</w:t>
      </w:r>
      <w:r w:rsidR="0090150C">
        <w:t> </w:t>
      </w:r>
      <w:r w:rsidR="00E21164">
        <w:t>4</w:t>
      </w:r>
      <w:r w:rsidR="00EC4057">
        <w:t xml:space="preserve">, </w:t>
      </w:r>
      <w:r w:rsidR="00E21164">
        <w:t>5 i 6)</w:t>
      </w:r>
      <w:r w:rsidRPr="007E4DA1">
        <w:t>.</w:t>
      </w:r>
      <w:r w:rsidR="00A65BF1" w:rsidRPr="007E4DA1">
        <w:t xml:space="preserve"> W obrębie każdej grupy układów i narządów działania niepożądane podano według częstości występowania, rozpoczynając od najczęstszych. Poszczególne kategorie częstości występowania każdego działania niepożądanego opierają się na następującej konwencji (CIOMSIII): bardzo często (≥1/10); często (≥1/100 do &lt;1/10); niezbyt często (≥1/1000 do &lt;1/100); rzadko (≥1/10 000 do &lt;1/1 000); nieznana (częstość nie może być oszacowana na podstawie dostępnych danych)</w:t>
      </w:r>
    </w:p>
    <w:p w14:paraId="2F5B3C5A" w14:textId="77777777" w:rsidR="00A350DA" w:rsidRPr="007E4DA1" w:rsidRDefault="00A350DA" w:rsidP="001A6584">
      <w:pPr>
        <w:tabs>
          <w:tab w:val="left" w:pos="142"/>
        </w:tabs>
        <w:ind w:left="0" w:firstLine="0"/>
      </w:pPr>
    </w:p>
    <w:p w14:paraId="74D1EC65" w14:textId="6CD53B39" w:rsidR="00041A08" w:rsidRPr="00041A08" w:rsidRDefault="00E21164">
      <w:pPr>
        <w:keepNext/>
        <w:tabs>
          <w:tab w:val="left" w:pos="142"/>
        </w:tabs>
        <w:ind w:left="1134" w:hanging="1134"/>
      </w:pPr>
      <w:r>
        <w:rPr>
          <w:b/>
        </w:rPr>
        <w:t>Tabela 4</w:t>
      </w:r>
      <w:r>
        <w:rPr>
          <w:b/>
        </w:rPr>
        <w:tab/>
        <w:t>Działania niepożądane w p</w:t>
      </w:r>
      <w:r w:rsidR="00A350DA" w:rsidRPr="007E4DA1">
        <w:rPr>
          <w:b/>
        </w:rPr>
        <w:t>opulacj</w:t>
      </w:r>
      <w:r>
        <w:rPr>
          <w:b/>
        </w:rPr>
        <w:t>i</w:t>
      </w:r>
      <w:r w:rsidR="00A350DA" w:rsidRPr="007E4DA1">
        <w:rPr>
          <w:b/>
        </w:rPr>
        <w:t xml:space="preserve"> pacjentów uczestniczących w badaniach dotyczących pierwotnej małopłytkowości immunologicznej</w:t>
      </w:r>
    </w:p>
    <w:p w14:paraId="29B55B55" w14:textId="42849EEE" w:rsidR="00A350DA" w:rsidRPr="007E4DA1" w:rsidRDefault="00A350DA" w:rsidP="001A6584">
      <w:pPr>
        <w:keepNext/>
        <w:tabs>
          <w:tab w:val="left" w:pos="142"/>
        </w:tabs>
        <w:ind w:left="0" w:firstLine="0"/>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1537"/>
        <w:gridCol w:w="4921"/>
      </w:tblGrid>
      <w:tr w:rsidR="00A65BF1" w:rsidRPr="007E4DA1" w14:paraId="12B3988C" w14:textId="77777777" w:rsidTr="00EE3105">
        <w:trPr>
          <w:cantSplit/>
        </w:trPr>
        <w:tc>
          <w:tcPr>
            <w:tcW w:w="2751" w:type="dxa"/>
            <w:tcBorders>
              <w:bottom w:val="single" w:sz="4" w:space="0" w:color="auto"/>
            </w:tcBorders>
            <w:shd w:val="clear" w:color="auto" w:fill="auto"/>
          </w:tcPr>
          <w:p w14:paraId="2D7D941C" w14:textId="77777777" w:rsidR="00A65BF1" w:rsidRPr="007E4DA1" w:rsidRDefault="00A65BF1" w:rsidP="001A6584">
            <w:pPr>
              <w:keepNext/>
              <w:ind w:left="0" w:firstLine="0"/>
              <w:rPr>
                <w:b/>
                <w:szCs w:val="24"/>
                <w:lang w:eastAsia="ja-JP"/>
              </w:rPr>
            </w:pPr>
            <w:r w:rsidRPr="007E4DA1">
              <w:rPr>
                <w:b/>
                <w:szCs w:val="24"/>
                <w:lang w:eastAsia="ja-JP"/>
              </w:rPr>
              <w:t>Klasyfikacja układów i narządów</w:t>
            </w:r>
          </w:p>
        </w:tc>
        <w:tc>
          <w:tcPr>
            <w:tcW w:w="1537" w:type="dxa"/>
            <w:shd w:val="clear" w:color="auto" w:fill="auto"/>
          </w:tcPr>
          <w:p w14:paraId="45A7D3E8" w14:textId="77777777" w:rsidR="00A65BF1" w:rsidRPr="007E4DA1" w:rsidRDefault="00A65BF1" w:rsidP="001A6584">
            <w:pPr>
              <w:keepNext/>
              <w:keepLines/>
              <w:autoSpaceDE w:val="0"/>
              <w:autoSpaceDN w:val="0"/>
              <w:adjustRightInd w:val="0"/>
              <w:ind w:left="0" w:firstLine="0"/>
              <w:rPr>
                <w:b/>
                <w:iCs/>
                <w:szCs w:val="24"/>
                <w:lang w:eastAsia="ja-JP"/>
              </w:rPr>
            </w:pPr>
            <w:r w:rsidRPr="007E4DA1">
              <w:rPr>
                <w:b/>
                <w:iCs/>
                <w:szCs w:val="24"/>
                <w:lang w:eastAsia="ja-JP"/>
              </w:rPr>
              <w:t>Częstość występowania</w:t>
            </w:r>
          </w:p>
        </w:tc>
        <w:tc>
          <w:tcPr>
            <w:tcW w:w="4921" w:type="dxa"/>
            <w:shd w:val="clear" w:color="auto" w:fill="auto"/>
          </w:tcPr>
          <w:p w14:paraId="52794E09" w14:textId="77777777" w:rsidR="00A65BF1" w:rsidRPr="007E4DA1" w:rsidRDefault="00A65BF1" w:rsidP="001A6584">
            <w:pPr>
              <w:keepNext/>
              <w:keepLines/>
              <w:autoSpaceDE w:val="0"/>
              <w:autoSpaceDN w:val="0"/>
              <w:adjustRightInd w:val="0"/>
              <w:ind w:left="0" w:firstLine="0"/>
              <w:rPr>
                <w:b/>
                <w:szCs w:val="24"/>
                <w:lang w:eastAsia="ja-JP"/>
              </w:rPr>
            </w:pPr>
            <w:r w:rsidRPr="007E4DA1">
              <w:rPr>
                <w:b/>
                <w:szCs w:val="24"/>
                <w:lang w:eastAsia="ja-JP"/>
              </w:rPr>
              <w:t>Działanie niepożądane</w:t>
            </w:r>
          </w:p>
        </w:tc>
      </w:tr>
      <w:tr w:rsidR="00A65BF1" w:rsidRPr="007E4DA1" w14:paraId="47FED092" w14:textId="77777777" w:rsidTr="00EE3105">
        <w:trPr>
          <w:cantSplit/>
          <w:trHeight w:val="510"/>
        </w:trPr>
        <w:tc>
          <w:tcPr>
            <w:tcW w:w="2751" w:type="dxa"/>
            <w:vMerge w:val="restart"/>
            <w:shd w:val="clear" w:color="auto" w:fill="auto"/>
          </w:tcPr>
          <w:p w14:paraId="0EEFEE35" w14:textId="77777777" w:rsidR="00A65BF1" w:rsidRPr="007E4DA1" w:rsidRDefault="00A65BF1" w:rsidP="001A6584">
            <w:pPr>
              <w:keepNext/>
              <w:keepLines/>
              <w:ind w:left="0" w:firstLine="0"/>
              <w:rPr>
                <w:szCs w:val="24"/>
                <w:lang w:eastAsia="ja-JP"/>
              </w:rPr>
            </w:pPr>
            <w:r w:rsidRPr="007E4DA1">
              <w:rPr>
                <w:szCs w:val="24"/>
                <w:lang w:eastAsia="ja-JP"/>
              </w:rPr>
              <w:t>Zakażenia i zarażenia pasożytnicze</w:t>
            </w:r>
          </w:p>
        </w:tc>
        <w:tc>
          <w:tcPr>
            <w:tcW w:w="1537" w:type="dxa"/>
            <w:shd w:val="clear" w:color="auto" w:fill="auto"/>
          </w:tcPr>
          <w:p w14:paraId="25921556" w14:textId="77777777" w:rsidR="00A65BF1" w:rsidRPr="007E4DA1" w:rsidRDefault="00A65BF1" w:rsidP="001A6584">
            <w:pPr>
              <w:keepNext/>
              <w:keepLines/>
              <w:autoSpaceDE w:val="0"/>
              <w:autoSpaceDN w:val="0"/>
              <w:adjustRightInd w:val="0"/>
              <w:ind w:left="26" w:hanging="26"/>
              <w:rPr>
                <w:szCs w:val="24"/>
                <w:lang w:eastAsia="ja-JP"/>
              </w:rPr>
            </w:pPr>
            <w:r w:rsidRPr="007E4DA1">
              <w:rPr>
                <w:iCs/>
                <w:szCs w:val="24"/>
                <w:lang w:eastAsia="ja-JP"/>
              </w:rPr>
              <w:t>Bardzo często</w:t>
            </w:r>
          </w:p>
        </w:tc>
        <w:tc>
          <w:tcPr>
            <w:tcW w:w="4921" w:type="dxa"/>
            <w:shd w:val="clear" w:color="auto" w:fill="auto"/>
          </w:tcPr>
          <w:p w14:paraId="704952EA" w14:textId="77777777" w:rsidR="00A65BF1" w:rsidRPr="007E4DA1" w:rsidRDefault="00A65BF1" w:rsidP="001A6584">
            <w:pPr>
              <w:keepNext/>
              <w:keepLines/>
              <w:autoSpaceDE w:val="0"/>
              <w:autoSpaceDN w:val="0"/>
              <w:adjustRightInd w:val="0"/>
              <w:ind w:left="0" w:firstLine="0"/>
              <w:rPr>
                <w:szCs w:val="24"/>
                <w:lang w:eastAsia="ja-JP"/>
              </w:rPr>
            </w:pPr>
            <w:r w:rsidRPr="007E4DA1">
              <w:rPr>
                <w:rFonts w:eastAsia="MS Mincho"/>
                <w:szCs w:val="22"/>
                <w:lang w:eastAsia="ja-JP"/>
              </w:rPr>
              <w:t>Zapalenie nosogardła</w:t>
            </w:r>
            <w:r w:rsidRPr="007E4DA1">
              <w:rPr>
                <w:rFonts w:eastAsia="MS Mincho"/>
                <w:szCs w:val="22"/>
                <w:vertAlign w:val="superscript"/>
                <w:lang w:eastAsia="ja-JP"/>
              </w:rPr>
              <w:t>♦</w:t>
            </w:r>
            <w:r w:rsidRPr="007E4DA1">
              <w:rPr>
                <w:rFonts w:eastAsia="MS Mincho"/>
                <w:szCs w:val="22"/>
                <w:lang w:eastAsia="ja-JP"/>
              </w:rPr>
              <w:t>, zakażenie górnych dróg oddechowych</w:t>
            </w:r>
            <w:r w:rsidRPr="007E4DA1">
              <w:rPr>
                <w:rFonts w:eastAsia="MS Mincho"/>
                <w:szCs w:val="22"/>
                <w:vertAlign w:val="superscript"/>
                <w:lang w:eastAsia="ja-JP"/>
              </w:rPr>
              <w:t>♦</w:t>
            </w:r>
          </w:p>
        </w:tc>
      </w:tr>
      <w:tr w:rsidR="00A65BF1" w:rsidRPr="007E4DA1" w14:paraId="596CD9AA" w14:textId="77777777" w:rsidTr="00EE3105">
        <w:trPr>
          <w:cantSplit/>
          <w:trHeight w:val="525"/>
        </w:trPr>
        <w:tc>
          <w:tcPr>
            <w:tcW w:w="2751" w:type="dxa"/>
            <w:vMerge/>
            <w:shd w:val="clear" w:color="auto" w:fill="auto"/>
          </w:tcPr>
          <w:p w14:paraId="15944ABB" w14:textId="77777777" w:rsidR="00A65BF1" w:rsidRPr="007E4DA1" w:rsidRDefault="00A65BF1" w:rsidP="001A6584">
            <w:pPr>
              <w:keepNext/>
              <w:keepLines/>
              <w:autoSpaceDE w:val="0"/>
              <w:autoSpaceDN w:val="0"/>
              <w:adjustRightInd w:val="0"/>
              <w:rPr>
                <w:szCs w:val="24"/>
                <w:lang w:eastAsia="ja-JP"/>
              </w:rPr>
            </w:pPr>
          </w:p>
        </w:tc>
        <w:tc>
          <w:tcPr>
            <w:tcW w:w="1537" w:type="dxa"/>
            <w:shd w:val="clear" w:color="auto" w:fill="auto"/>
          </w:tcPr>
          <w:p w14:paraId="7503ABAA" w14:textId="77777777" w:rsidR="00A65BF1" w:rsidRPr="007E4DA1" w:rsidRDefault="00A65BF1" w:rsidP="001A6584">
            <w:pPr>
              <w:keepNext/>
              <w:keepLines/>
              <w:autoSpaceDE w:val="0"/>
              <w:autoSpaceDN w:val="0"/>
              <w:adjustRightInd w:val="0"/>
              <w:rPr>
                <w:szCs w:val="24"/>
                <w:lang w:eastAsia="ja-JP"/>
              </w:rPr>
            </w:pPr>
            <w:r w:rsidRPr="007E4DA1">
              <w:rPr>
                <w:iCs/>
                <w:szCs w:val="24"/>
                <w:lang w:eastAsia="ja-JP"/>
              </w:rPr>
              <w:t>Często</w:t>
            </w:r>
          </w:p>
        </w:tc>
        <w:tc>
          <w:tcPr>
            <w:tcW w:w="4921" w:type="dxa"/>
            <w:shd w:val="clear" w:color="auto" w:fill="auto"/>
          </w:tcPr>
          <w:p w14:paraId="28DDA0C1" w14:textId="77777777" w:rsidR="00A65BF1" w:rsidRPr="007E4DA1" w:rsidRDefault="00A65BF1" w:rsidP="003D2760">
            <w:pPr>
              <w:keepLines/>
              <w:autoSpaceDE w:val="0"/>
              <w:autoSpaceDN w:val="0"/>
              <w:adjustRightInd w:val="0"/>
              <w:ind w:left="0" w:firstLine="0"/>
              <w:rPr>
                <w:szCs w:val="24"/>
                <w:lang w:eastAsia="ja-JP"/>
              </w:rPr>
            </w:pPr>
            <w:r w:rsidRPr="007E4DA1">
              <w:rPr>
                <w:szCs w:val="24"/>
                <w:lang w:eastAsia="ja-JP"/>
              </w:rPr>
              <w:t>Zapalenie gardła, grypa, opryszczka wargowa, zapalenie płuc, zapalenie zatok, zapalenie migdałków, zakażenie układu oddechowego, zapalenie dziąseł</w:t>
            </w:r>
          </w:p>
        </w:tc>
      </w:tr>
      <w:tr w:rsidR="00A65BF1" w:rsidRPr="007E4DA1" w14:paraId="4C373E63" w14:textId="77777777" w:rsidTr="00EE3105">
        <w:trPr>
          <w:cantSplit/>
          <w:trHeight w:val="270"/>
        </w:trPr>
        <w:tc>
          <w:tcPr>
            <w:tcW w:w="2751" w:type="dxa"/>
            <w:vMerge/>
            <w:shd w:val="clear" w:color="auto" w:fill="auto"/>
          </w:tcPr>
          <w:p w14:paraId="3FE72886" w14:textId="77777777" w:rsidR="00A65BF1" w:rsidRPr="007E4DA1" w:rsidRDefault="00A65BF1" w:rsidP="001A6584">
            <w:pPr>
              <w:keepNext/>
              <w:keepLines/>
              <w:autoSpaceDE w:val="0"/>
              <w:autoSpaceDN w:val="0"/>
              <w:adjustRightInd w:val="0"/>
              <w:rPr>
                <w:szCs w:val="24"/>
                <w:lang w:eastAsia="ja-JP"/>
              </w:rPr>
            </w:pPr>
          </w:p>
        </w:tc>
        <w:tc>
          <w:tcPr>
            <w:tcW w:w="1537" w:type="dxa"/>
            <w:shd w:val="clear" w:color="auto" w:fill="auto"/>
          </w:tcPr>
          <w:p w14:paraId="220A6763" w14:textId="77777777" w:rsidR="00A65BF1" w:rsidRPr="007E4DA1" w:rsidRDefault="00A65BF1" w:rsidP="001A6584">
            <w:pPr>
              <w:keepNext/>
              <w:keepLines/>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042CF81E" w14:textId="77777777" w:rsidR="00A65BF1" w:rsidRPr="007E4DA1" w:rsidRDefault="00A65BF1" w:rsidP="001A6584">
            <w:pPr>
              <w:keepNext/>
              <w:keepLines/>
              <w:autoSpaceDE w:val="0"/>
              <w:autoSpaceDN w:val="0"/>
              <w:adjustRightInd w:val="0"/>
              <w:ind w:left="0" w:firstLine="0"/>
              <w:rPr>
                <w:szCs w:val="24"/>
                <w:lang w:eastAsia="ja-JP"/>
              </w:rPr>
            </w:pPr>
            <w:r w:rsidRPr="007E4DA1">
              <w:rPr>
                <w:szCs w:val="24"/>
                <w:lang w:eastAsia="ja-JP"/>
              </w:rPr>
              <w:t>Zakażenie skóry</w:t>
            </w:r>
          </w:p>
        </w:tc>
      </w:tr>
      <w:tr w:rsidR="00A65BF1" w:rsidRPr="007E4DA1" w14:paraId="6FE0EBFA" w14:textId="77777777" w:rsidTr="00EE3105">
        <w:trPr>
          <w:cantSplit/>
          <w:trHeight w:val="780"/>
        </w:trPr>
        <w:tc>
          <w:tcPr>
            <w:tcW w:w="2751" w:type="dxa"/>
            <w:shd w:val="clear" w:color="auto" w:fill="auto"/>
          </w:tcPr>
          <w:p w14:paraId="7E612B3C" w14:textId="77777777" w:rsidR="00A65BF1" w:rsidRPr="007E4DA1" w:rsidRDefault="00A65BF1" w:rsidP="001A6584">
            <w:pPr>
              <w:keepLines/>
              <w:autoSpaceDE w:val="0"/>
              <w:autoSpaceDN w:val="0"/>
              <w:adjustRightInd w:val="0"/>
              <w:ind w:left="0" w:firstLine="0"/>
              <w:rPr>
                <w:szCs w:val="24"/>
                <w:lang w:eastAsia="ja-JP"/>
              </w:rPr>
            </w:pPr>
            <w:r w:rsidRPr="007E4DA1">
              <w:rPr>
                <w:szCs w:val="24"/>
                <w:lang w:eastAsia="ja-JP"/>
              </w:rPr>
              <w:t>Nowotwory łagodne, złośliwe i nieokreślone (w tym torbiele i polipy)</w:t>
            </w:r>
          </w:p>
        </w:tc>
        <w:tc>
          <w:tcPr>
            <w:tcW w:w="1537" w:type="dxa"/>
            <w:shd w:val="clear" w:color="auto" w:fill="auto"/>
          </w:tcPr>
          <w:p w14:paraId="70C4A3BD" w14:textId="77777777" w:rsidR="00A65BF1" w:rsidRPr="007E4DA1" w:rsidRDefault="00A65BF1" w:rsidP="001A6584">
            <w:pPr>
              <w:keepLines/>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42CA8F1C" w14:textId="77777777" w:rsidR="00A65BF1" w:rsidRPr="007E4DA1" w:rsidRDefault="00A65BF1" w:rsidP="001A6584">
            <w:pPr>
              <w:keepLines/>
              <w:autoSpaceDE w:val="0"/>
              <w:autoSpaceDN w:val="0"/>
              <w:adjustRightInd w:val="0"/>
              <w:rPr>
                <w:szCs w:val="24"/>
                <w:lang w:eastAsia="ja-JP"/>
              </w:rPr>
            </w:pPr>
            <w:r w:rsidRPr="007E4DA1">
              <w:rPr>
                <w:szCs w:val="24"/>
                <w:lang w:eastAsia="ja-JP"/>
              </w:rPr>
              <w:t>Rak zgięcia esiczo-odbytniczego</w:t>
            </w:r>
          </w:p>
        </w:tc>
      </w:tr>
      <w:tr w:rsidR="00A65BF1" w:rsidRPr="007E4DA1" w14:paraId="13E9056D" w14:textId="77777777" w:rsidTr="00EE3105">
        <w:trPr>
          <w:cantSplit/>
          <w:trHeight w:val="510"/>
        </w:trPr>
        <w:tc>
          <w:tcPr>
            <w:tcW w:w="2751" w:type="dxa"/>
            <w:vMerge w:val="restart"/>
            <w:shd w:val="clear" w:color="auto" w:fill="auto"/>
          </w:tcPr>
          <w:p w14:paraId="22C9C89D" w14:textId="77777777" w:rsidR="00A65BF1" w:rsidRPr="007E4DA1" w:rsidRDefault="00A65BF1" w:rsidP="001A6584">
            <w:pPr>
              <w:keepNext/>
              <w:keepLines/>
              <w:autoSpaceDE w:val="0"/>
              <w:autoSpaceDN w:val="0"/>
              <w:adjustRightInd w:val="0"/>
              <w:ind w:left="0" w:firstLine="0"/>
              <w:rPr>
                <w:szCs w:val="24"/>
                <w:lang w:eastAsia="ja-JP"/>
              </w:rPr>
            </w:pPr>
            <w:r w:rsidRPr="007E4DA1">
              <w:rPr>
                <w:szCs w:val="24"/>
                <w:lang w:eastAsia="ja-JP"/>
              </w:rPr>
              <w:t>Zaburzenia krwi i układu chłonnego</w:t>
            </w:r>
          </w:p>
        </w:tc>
        <w:tc>
          <w:tcPr>
            <w:tcW w:w="1537" w:type="dxa"/>
            <w:shd w:val="clear" w:color="auto" w:fill="auto"/>
          </w:tcPr>
          <w:p w14:paraId="3221ED01" w14:textId="77777777" w:rsidR="00A65BF1" w:rsidRPr="007E4DA1" w:rsidRDefault="00A65BF1" w:rsidP="001A6584">
            <w:pPr>
              <w:keepNext/>
              <w:keepLines/>
              <w:autoSpaceDE w:val="0"/>
              <w:autoSpaceDN w:val="0"/>
              <w:adjustRightInd w:val="0"/>
              <w:rPr>
                <w:szCs w:val="24"/>
                <w:lang w:eastAsia="ja-JP"/>
              </w:rPr>
            </w:pPr>
            <w:r w:rsidRPr="007E4DA1">
              <w:rPr>
                <w:iCs/>
                <w:szCs w:val="24"/>
                <w:lang w:eastAsia="ja-JP"/>
              </w:rPr>
              <w:t>Często</w:t>
            </w:r>
          </w:p>
        </w:tc>
        <w:tc>
          <w:tcPr>
            <w:tcW w:w="4921" w:type="dxa"/>
            <w:shd w:val="clear" w:color="auto" w:fill="auto"/>
          </w:tcPr>
          <w:p w14:paraId="5A8DFB28" w14:textId="77777777" w:rsidR="00A65BF1" w:rsidRPr="007E4DA1" w:rsidRDefault="00A65BF1" w:rsidP="003D2760">
            <w:pPr>
              <w:keepLines/>
              <w:autoSpaceDE w:val="0"/>
              <w:autoSpaceDN w:val="0"/>
              <w:adjustRightInd w:val="0"/>
              <w:ind w:left="0" w:firstLine="0"/>
              <w:rPr>
                <w:szCs w:val="24"/>
                <w:lang w:eastAsia="ja-JP"/>
              </w:rPr>
            </w:pPr>
            <w:r w:rsidRPr="007E4DA1">
              <w:rPr>
                <w:szCs w:val="24"/>
                <w:lang w:eastAsia="ja-JP"/>
              </w:rPr>
              <w:t>Niedokrwistość, eozynofilia, leukocytoza, małopłytkowość, zmniejszenie stężenia hemoglobiny, zmniejszenie liczby krwinek białych</w:t>
            </w:r>
          </w:p>
        </w:tc>
      </w:tr>
      <w:tr w:rsidR="00A65BF1" w:rsidRPr="007E4DA1" w14:paraId="7A978C88" w14:textId="77777777" w:rsidTr="00EE3105">
        <w:trPr>
          <w:cantSplit/>
          <w:trHeight w:val="525"/>
        </w:trPr>
        <w:tc>
          <w:tcPr>
            <w:tcW w:w="2751" w:type="dxa"/>
            <w:vMerge/>
            <w:shd w:val="clear" w:color="auto" w:fill="auto"/>
          </w:tcPr>
          <w:p w14:paraId="6D81DC8B" w14:textId="77777777" w:rsidR="00A65BF1" w:rsidRPr="007E4DA1" w:rsidRDefault="00A65BF1" w:rsidP="001A6584">
            <w:pPr>
              <w:keepNext/>
              <w:keepLines/>
              <w:autoSpaceDE w:val="0"/>
              <w:autoSpaceDN w:val="0"/>
              <w:adjustRightInd w:val="0"/>
              <w:rPr>
                <w:szCs w:val="24"/>
                <w:lang w:eastAsia="ja-JP"/>
              </w:rPr>
            </w:pPr>
          </w:p>
        </w:tc>
        <w:tc>
          <w:tcPr>
            <w:tcW w:w="1537" w:type="dxa"/>
            <w:shd w:val="clear" w:color="auto" w:fill="auto"/>
          </w:tcPr>
          <w:p w14:paraId="29F6B84F" w14:textId="77777777" w:rsidR="00A65BF1" w:rsidRPr="007E4DA1" w:rsidRDefault="00A65BF1" w:rsidP="001A6584">
            <w:pPr>
              <w:keepLines/>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79097341" w14:textId="77777777" w:rsidR="00A65BF1" w:rsidRPr="007E4DA1" w:rsidRDefault="00A65BF1" w:rsidP="001A6584">
            <w:pPr>
              <w:keepLines/>
              <w:autoSpaceDE w:val="0"/>
              <w:autoSpaceDN w:val="0"/>
              <w:adjustRightInd w:val="0"/>
              <w:ind w:left="0" w:firstLine="0"/>
              <w:rPr>
                <w:szCs w:val="24"/>
                <w:lang w:eastAsia="ja-JP"/>
              </w:rPr>
            </w:pPr>
            <w:r w:rsidRPr="007E4DA1">
              <w:rPr>
                <w:szCs w:val="24"/>
                <w:lang w:eastAsia="ja-JP"/>
              </w:rPr>
              <w:t>Anizocytoza, niedokrwistość hemolityczna, mielocytoza, zwiększenie liczby pałeczkowatych granulocytów obojętnochłonnych, obecność mielocytów, zwiększenie liczby płytek krwi, zwiększenie stężenia hemoglobiny</w:t>
            </w:r>
          </w:p>
        </w:tc>
      </w:tr>
      <w:tr w:rsidR="00A65BF1" w:rsidRPr="007E4DA1" w14:paraId="66AD85C7" w14:textId="77777777" w:rsidTr="00EE3105">
        <w:trPr>
          <w:cantSplit/>
          <w:trHeight w:val="255"/>
        </w:trPr>
        <w:tc>
          <w:tcPr>
            <w:tcW w:w="2751" w:type="dxa"/>
            <w:shd w:val="clear" w:color="auto" w:fill="auto"/>
          </w:tcPr>
          <w:p w14:paraId="22F72A6E" w14:textId="77777777" w:rsidR="00A65BF1" w:rsidRPr="007E4DA1" w:rsidRDefault="00A65BF1" w:rsidP="001A6584">
            <w:pPr>
              <w:keepLines/>
              <w:autoSpaceDE w:val="0"/>
              <w:autoSpaceDN w:val="0"/>
              <w:adjustRightInd w:val="0"/>
              <w:ind w:left="0" w:firstLine="0"/>
              <w:rPr>
                <w:szCs w:val="24"/>
                <w:lang w:eastAsia="ja-JP"/>
              </w:rPr>
            </w:pPr>
            <w:r w:rsidRPr="007E4DA1">
              <w:rPr>
                <w:szCs w:val="24"/>
                <w:lang w:eastAsia="ja-JP"/>
              </w:rPr>
              <w:t>Zaburzenia układu immunologicznego</w:t>
            </w:r>
          </w:p>
        </w:tc>
        <w:tc>
          <w:tcPr>
            <w:tcW w:w="1537" w:type="dxa"/>
            <w:shd w:val="clear" w:color="auto" w:fill="auto"/>
          </w:tcPr>
          <w:p w14:paraId="7F237C86" w14:textId="77777777" w:rsidR="00A65BF1" w:rsidRPr="007E4DA1" w:rsidRDefault="00A65BF1" w:rsidP="001A6584">
            <w:pPr>
              <w:keepLines/>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0F6D1439" w14:textId="77777777" w:rsidR="00A65BF1" w:rsidRPr="007E4DA1" w:rsidRDefault="00A65BF1" w:rsidP="001A6584">
            <w:pPr>
              <w:keepLines/>
              <w:autoSpaceDE w:val="0"/>
              <w:autoSpaceDN w:val="0"/>
              <w:adjustRightInd w:val="0"/>
              <w:rPr>
                <w:szCs w:val="24"/>
                <w:lang w:eastAsia="ja-JP"/>
              </w:rPr>
            </w:pPr>
            <w:r w:rsidRPr="007E4DA1">
              <w:rPr>
                <w:szCs w:val="24"/>
                <w:lang w:eastAsia="ja-JP"/>
              </w:rPr>
              <w:t>Nadwrażliwość</w:t>
            </w:r>
          </w:p>
        </w:tc>
      </w:tr>
      <w:tr w:rsidR="00A65BF1" w:rsidRPr="007E4DA1" w14:paraId="46E4E1C8" w14:textId="77777777" w:rsidTr="00EE3105">
        <w:trPr>
          <w:cantSplit/>
          <w:trHeight w:val="255"/>
        </w:trPr>
        <w:tc>
          <w:tcPr>
            <w:tcW w:w="2751" w:type="dxa"/>
            <w:vMerge w:val="restart"/>
            <w:shd w:val="clear" w:color="auto" w:fill="auto"/>
          </w:tcPr>
          <w:p w14:paraId="29F2108A" w14:textId="77777777" w:rsidR="00A65BF1" w:rsidRPr="007E4DA1" w:rsidRDefault="00A65BF1" w:rsidP="001A6584">
            <w:pPr>
              <w:keepNext/>
              <w:keepLines/>
              <w:autoSpaceDE w:val="0"/>
              <w:autoSpaceDN w:val="0"/>
              <w:adjustRightInd w:val="0"/>
              <w:ind w:left="0" w:firstLine="0"/>
              <w:rPr>
                <w:szCs w:val="24"/>
                <w:lang w:eastAsia="ja-JP"/>
              </w:rPr>
            </w:pPr>
            <w:r w:rsidRPr="007E4DA1">
              <w:rPr>
                <w:szCs w:val="24"/>
                <w:lang w:eastAsia="ja-JP"/>
              </w:rPr>
              <w:t>Zaburzenia metabolizmu i odżywiania</w:t>
            </w:r>
          </w:p>
        </w:tc>
        <w:tc>
          <w:tcPr>
            <w:tcW w:w="1537" w:type="dxa"/>
            <w:shd w:val="clear" w:color="auto" w:fill="auto"/>
          </w:tcPr>
          <w:p w14:paraId="46715187" w14:textId="77777777" w:rsidR="00A65BF1" w:rsidRPr="007E4DA1" w:rsidRDefault="00A65BF1" w:rsidP="001A6584">
            <w:pPr>
              <w:keepNext/>
              <w:keepLines/>
              <w:autoSpaceDE w:val="0"/>
              <w:autoSpaceDN w:val="0"/>
              <w:adjustRightInd w:val="0"/>
              <w:rPr>
                <w:szCs w:val="24"/>
                <w:lang w:eastAsia="ja-JP"/>
              </w:rPr>
            </w:pPr>
            <w:r w:rsidRPr="007E4DA1">
              <w:rPr>
                <w:iCs/>
                <w:szCs w:val="24"/>
                <w:lang w:eastAsia="ja-JP"/>
              </w:rPr>
              <w:t>Często</w:t>
            </w:r>
          </w:p>
        </w:tc>
        <w:tc>
          <w:tcPr>
            <w:tcW w:w="4921" w:type="dxa"/>
            <w:shd w:val="clear" w:color="auto" w:fill="auto"/>
          </w:tcPr>
          <w:p w14:paraId="04518841" w14:textId="77777777" w:rsidR="00A65BF1" w:rsidRPr="007E4DA1" w:rsidRDefault="00A65BF1" w:rsidP="001A6584">
            <w:pPr>
              <w:keepNext/>
              <w:keepLines/>
              <w:autoSpaceDE w:val="0"/>
              <w:autoSpaceDN w:val="0"/>
              <w:adjustRightInd w:val="0"/>
              <w:ind w:left="0" w:firstLine="0"/>
              <w:rPr>
                <w:szCs w:val="24"/>
                <w:lang w:eastAsia="ja-JP"/>
              </w:rPr>
            </w:pPr>
            <w:r w:rsidRPr="007E4DA1">
              <w:rPr>
                <w:szCs w:val="24"/>
                <w:lang w:eastAsia="ja-JP"/>
              </w:rPr>
              <w:t>Hipokaliemia, zmniejszenie apetytu, zwiększenie stężenia kwasu moczowego we krwi</w:t>
            </w:r>
          </w:p>
        </w:tc>
      </w:tr>
      <w:tr w:rsidR="00A65BF1" w:rsidRPr="007E4DA1" w14:paraId="6BC36247" w14:textId="77777777" w:rsidTr="00EE3105">
        <w:trPr>
          <w:cantSplit/>
          <w:trHeight w:val="270"/>
        </w:trPr>
        <w:tc>
          <w:tcPr>
            <w:tcW w:w="2751" w:type="dxa"/>
            <w:vMerge/>
            <w:tcBorders>
              <w:bottom w:val="single" w:sz="4" w:space="0" w:color="auto"/>
            </w:tcBorders>
            <w:shd w:val="clear" w:color="auto" w:fill="auto"/>
          </w:tcPr>
          <w:p w14:paraId="55B68A06" w14:textId="77777777" w:rsidR="00A65BF1" w:rsidRPr="007E4DA1" w:rsidRDefault="00A65BF1" w:rsidP="001A6584">
            <w:pPr>
              <w:keepNext/>
              <w:keepLines/>
              <w:autoSpaceDE w:val="0"/>
              <w:autoSpaceDN w:val="0"/>
              <w:adjustRightInd w:val="0"/>
              <w:rPr>
                <w:szCs w:val="24"/>
                <w:lang w:eastAsia="ja-JP"/>
              </w:rPr>
            </w:pPr>
          </w:p>
        </w:tc>
        <w:tc>
          <w:tcPr>
            <w:tcW w:w="1537" w:type="dxa"/>
            <w:shd w:val="clear" w:color="auto" w:fill="auto"/>
          </w:tcPr>
          <w:p w14:paraId="56D9F640" w14:textId="77777777" w:rsidR="00A65BF1" w:rsidRPr="007E4DA1" w:rsidRDefault="00A65BF1" w:rsidP="001A6584">
            <w:pPr>
              <w:keepLines/>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02C8C893" w14:textId="77777777" w:rsidR="00A65BF1" w:rsidRPr="007E4DA1" w:rsidRDefault="00A65BF1" w:rsidP="001A6584">
            <w:pPr>
              <w:keepLines/>
              <w:autoSpaceDE w:val="0"/>
              <w:autoSpaceDN w:val="0"/>
              <w:adjustRightInd w:val="0"/>
              <w:rPr>
                <w:szCs w:val="24"/>
                <w:lang w:eastAsia="ja-JP"/>
              </w:rPr>
            </w:pPr>
            <w:r w:rsidRPr="007E4DA1">
              <w:rPr>
                <w:szCs w:val="24"/>
                <w:lang w:eastAsia="ja-JP"/>
              </w:rPr>
              <w:t>Jadłowstręt, dna moczanowa, hipokalcemia</w:t>
            </w:r>
          </w:p>
        </w:tc>
      </w:tr>
      <w:tr w:rsidR="00A65BF1" w:rsidRPr="007E4DA1" w14:paraId="13F13AC4" w14:textId="77777777" w:rsidTr="00EE3105">
        <w:trPr>
          <w:cantSplit/>
          <w:trHeight w:val="255"/>
        </w:trPr>
        <w:tc>
          <w:tcPr>
            <w:tcW w:w="2751" w:type="dxa"/>
            <w:vMerge w:val="restart"/>
            <w:shd w:val="clear" w:color="auto" w:fill="auto"/>
          </w:tcPr>
          <w:p w14:paraId="419E2473" w14:textId="77777777" w:rsidR="00A65BF1" w:rsidRPr="007E4DA1" w:rsidRDefault="00A65BF1" w:rsidP="001A6584">
            <w:pPr>
              <w:keepLines/>
              <w:autoSpaceDE w:val="0"/>
              <w:autoSpaceDN w:val="0"/>
              <w:adjustRightInd w:val="0"/>
              <w:rPr>
                <w:szCs w:val="24"/>
                <w:lang w:eastAsia="ja-JP"/>
              </w:rPr>
            </w:pPr>
            <w:r w:rsidRPr="007E4DA1">
              <w:rPr>
                <w:szCs w:val="24"/>
                <w:lang w:eastAsia="ja-JP"/>
              </w:rPr>
              <w:t>Zaburzenia psychiczne</w:t>
            </w:r>
          </w:p>
        </w:tc>
        <w:tc>
          <w:tcPr>
            <w:tcW w:w="1537" w:type="dxa"/>
            <w:shd w:val="clear" w:color="auto" w:fill="auto"/>
          </w:tcPr>
          <w:p w14:paraId="6AE9147C" w14:textId="77777777" w:rsidR="00A65BF1" w:rsidRPr="007E4DA1" w:rsidRDefault="00A65BF1" w:rsidP="001A6584">
            <w:pPr>
              <w:keepLines/>
              <w:autoSpaceDE w:val="0"/>
              <w:autoSpaceDN w:val="0"/>
              <w:adjustRightInd w:val="0"/>
              <w:rPr>
                <w:szCs w:val="24"/>
                <w:lang w:eastAsia="ja-JP"/>
              </w:rPr>
            </w:pPr>
            <w:r w:rsidRPr="007E4DA1">
              <w:rPr>
                <w:iCs/>
                <w:szCs w:val="24"/>
                <w:lang w:eastAsia="ja-JP"/>
              </w:rPr>
              <w:t>Często</w:t>
            </w:r>
          </w:p>
        </w:tc>
        <w:tc>
          <w:tcPr>
            <w:tcW w:w="4921" w:type="dxa"/>
            <w:shd w:val="clear" w:color="auto" w:fill="auto"/>
          </w:tcPr>
          <w:p w14:paraId="0AC3C88B" w14:textId="77777777" w:rsidR="00A65BF1" w:rsidRPr="007E4DA1" w:rsidRDefault="00A65BF1" w:rsidP="001A6584">
            <w:pPr>
              <w:keepLines/>
              <w:autoSpaceDE w:val="0"/>
              <w:autoSpaceDN w:val="0"/>
              <w:adjustRightInd w:val="0"/>
              <w:rPr>
                <w:szCs w:val="24"/>
                <w:lang w:eastAsia="ja-JP"/>
              </w:rPr>
            </w:pPr>
            <w:r w:rsidRPr="007E4DA1">
              <w:rPr>
                <w:szCs w:val="24"/>
                <w:lang w:eastAsia="ja-JP"/>
              </w:rPr>
              <w:t>Zaburzenia snu, depresja</w:t>
            </w:r>
          </w:p>
        </w:tc>
      </w:tr>
      <w:tr w:rsidR="00A65BF1" w:rsidRPr="007E4DA1" w14:paraId="00A2CD1F" w14:textId="77777777" w:rsidTr="00EE3105">
        <w:trPr>
          <w:cantSplit/>
          <w:trHeight w:val="255"/>
        </w:trPr>
        <w:tc>
          <w:tcPr>
            <w:tcW w:w="2751" w:type="dxa"/>
            <w:vMerge/>
            <w:tcBorders>
              <w:bottom w:val="single" w:sz="4" w:space="0" w:color="auto"/>
            </w:tcBorders>
            <w:shd w:val="clear" w:color="auto" w:fill="auto"/>
          </w:tcPr>
          <w:p w14:paraId="28682282" w14:textId="77777777" w:rsidR="00A65BF1" w:rsidRPr="007E4DA1" w:rsidRDefault="00A65BF1" w:rsidP="001A6584">
            <w:pPr>
              <w:keepLines/>
              <w:autoSpaceDE w:val="0"/>
              <w:autoSpaceDN w:val="0"/>
              <w:adjustRightInd w:val="0"/>
              <w:rPr>
                <w:szCs w:val="24"/>
                <w:lang w:eastAsia="ja-JP"/>
              </w:rPr>
            </w:pPr>
          </w:p>
        </w:tc>
        <w:tc>
          <w:tcPr>
            <w:tcW w:w="1537" w:type="dxa"/>
            <w:shd w:val="clear" w:color="auto" w:fill="auto"/>
          </w:tcPr>
          <w:p w14:paraId="3E009CA2" w14:textId="77777777" w:rsidR="00A65BF1" w:rsidRPr="007E4DA1" w:rsidRDefault="00A65BF1" w:rsidP="001A6584">
            <w:pPr>
              <w:keepLines/>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3885D0AA" w14:textId="77777777" w:rsidR="00A65BF1" w:rsidRPr="007E4DA1" w:rsidRDefault="00A65BF1" w:rsidP="001A6584">
            <w:pPr>
              <w:keepLines/>
              <w:autoSpaceDE w:val="0"/>
              <w:autoSpaceDN w:val="0"/>
              <w:adjustRightInd w:val="0"/>
              <w:rPr>
                <w:szCs w:val="24"/>
                <w:lang w:eastAsia="ja-JP"/>
              </w:rPr>
            </w:pPr>
            <w:r w:rsidRPr="007E4DA1">
              <w:rPr>
                <w:szCs w:val="24"/>
                <w:lang w:eastAsia="ja-JP"/>
              </w:rPr>
              <w:t>Apatia, zmiany nastroju, płaczliwość</w:t>
            </w:r>
          </w:p>
        </w:tc>
      </w:tr>
      <w:tr w:rsidR="00A65BF1" w:rsidRPr="007E4DA1" w14:paraId="03BF700F" w14:textId="77777777" w:rsidTr="00EE3105">
        <w:trPr>
          <w:cantSplit/>
          <w:trHeight w:val="255"/>
        </w:trPr>
        <w:tc>
          <w:tcPr>
            <w:tcW w:w="2751" w:type="dxa"/>
            <w:vMerge w:val="restart"/>
            <w:shd w:val="clear" w:color="auto" w:fill="auto"/>
          </w:tcPr>
          <w:p w14:paraId="00A3DD0E" w14:textId="77777777" w:rsidR="00A65BF1" w:rsidRPr="007E4DA1" w:rsidRDefault="00A65BF1" w:rsidP="001A6584">
            <w:pPr>
              <w:keepNext/>
              <w:keepLines/>
              <w:autoSpaceDE w:val="0"/>
              <w:autoSpaceDN w:val="0"/>
              <w:adjustRightInd w:val="0"/>
              <w:ind w:left="0" w:firstLine="0"/>
              <w:rPr>
                <w:iCs/>
                <w:szCs w:val="24"/>
                <w:lang w:eastAsia="ja-JP"/>
              </w:rPr>
            </w:pPr>
            <w:r w:rsidRPr="007E4DA1">
              <w:rPr>
                <w:iCs/>
                <w:szCs w:val="24"/>
                <w:lang w:eastAsia="ja-JP"/>
              </w:rPr>
              <w:t>Zaburzenia układu nerwowego</w:t>
            </w:r>
          </w:p>
        </w:tc>
        <w:tc>
          <w:tcPr>
            <w:tcW w:w="1537" w:type="dxa"/>
            <w:shd w:val="clear" w:color="auto" w:fill="auto"/>
          </w:tcPr>
          <w:p w14:paraId="29641DCF" w14:textId="77777777" w:rsidR="00A65BF1" w:rsidRPr="007E4DA1" w:rsidRDefault="00A65BF1" w:rsidP="001A6584">
            <w:pPr>
              <w:keepNext/>
              <w:keepLines/>
              <w:autoSpaceDE w:val="0"/>
              <w:autoSpaceDN w:val="0"/>
              <w:adjustRightInd w:val="0"/>
              <w:rPr>
                <w:szCs w:val="24"/>
                <w:lang w:eastAsia="ja-JP"/>
              </w:rPr>
            </w:pPr>
            <w:r w:rsidRPr="007E4DA1">
              <w:rPr>
                <w:iCs/>
                <w:szCs w:val="24"/>
                <w:lang w:eastAsia="ja-JP"/>
              </w:rPr>
              <w:t>Często</w:t>
            </w:r>
          </w:p>
        </w:tc>
        <w:tc>
          <w:tcPr>
            <w:tcW w:w="4921" w:type="dxa"/>
            <w:shd w:val="clear" w:color="auto" w:fill="auto"/>
          </w:tcPr>
          <w:p w14:paraId="00D84443" w14:textId="77777777" w:rsidR="00A65BF1" w:rsidRPr="007E4DA1" w:rsidRDefault="00A65BF1" w:rsidP="001A6584">
            <w:pPr>
              <w:keepNext/>
              <w:keepLines/>
              <w:autoSpaceDE w:val="0"/>
              <w:autoSpaceDN w:val="0"/>
              <w:adjustRightInd w:val="0"/>
              <w:rPr>
                <w:szCs w:val="24"/>
                <w:lang w:eastAsia="ja-JP"/>
              </w:rPr>
            </w:pPr>
            <w:r w:rsidRPr="007E4DA1">
              <w:rPr>
                <w:szCs w:val="24"/>
                <w:lang w:eastAsia="ja-JP"/>
              </w:rPr>
              <w:t>Parestezje, niedoczulica, senność, migrena</w:t>
            </w:r>
          </w:p>
        </w:tc>
      </w:tr>
      <w:tr w:rsidR="00A65BF1" w:rsidRPr="007E4DA1" w14:paraId="6D9B19C7" w14:textId="77777777" w:rsidTr="00EE3105">
        <w:trPr>
          <w:cantSplit/>
          <w:trHeight w:val="780"/>
        </w:trPr>
        <w:tc>
          <w:tcPr>
            <w:tcW w:w="2751" w:type="dxa"/>
            <w:vMerge/>
            <w:tcBorders>
              <w:bottom w:val="single" w:sz="4" w:space="0" w:color="auto"/>
            </w:tcBorders>
            <w:shd w:val="clear" w:color="auto" w:fill="auto"/>
          </w:tcPr>
          <w:p w14:paraId="623AA3A3" w14:textId="77777777" w:rsidR="00A65BF1" w:rsidRPr="007E4DA1" w:rsidRDefault="00A65BF1" w:rsidP="001A6584">
            <w:pPr>
              <w:keepNext/>
              <w:keepLines/>
              <w:autoSpaceDE w:val="0"/>
              <w:autoSpaceDN w:val="0"/>
              <w:adjustRightInd w:val="0"/>
              <w:rPr>
                <w:szCs w:val="24"/>
                <w:lang w:eastAsia="ja-JP"/>
              </w:rPr>
            </w:pPr>
          </w:p>
        </w:tc>
        <w:tc>
          <w:tcPr>
            <w:tcW w:w="1537" w:type="dxa"/>
            <w:shd w:val="clear" w:color="auto" w:fill="auto"/>
          </w:tcPr>
          <w:p w14:paraId="7EA48A09" w14:textId="77777777" w:rsidR="00A65BF1" w:rsidRPr="007E4DA1" w:rsidRDefault="00A65BF1" w:rsidP="001A6584">
            <w:pPr>
              <w:keepLines/>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09506E10" w14:textId="77777777" w:rsidR="00A65BF1" w:rsidRPr="007E4DA1" w:rsidRDefault="00A65BF1" w:rsidP="001A6584">
            <w:pPr>
              <w:keepLines/>
              <w:autoSpaceDE w:val="0"/>
              <w:autoSpaceDN w:val="0"/>
              <w:adjustRightInd w:val="0"/>
              <w:ind w:left="0" w:firstLine="0"/>
              <w:rPr>
                <w:szCs w:val="24"/>
                <w:lang w:eastAsia="ja-JP"/>
              </w:rPr>
            </w:pPr>
            <w:r w:rsidRPr="007E4DA1">
              <w:rPr>
                <w:szCs w:val="24"/>
                <w:lang w:eastAsia="ja-JP"/>
              </w:rPr>
              <w:t>Drżenia, zaburzenia równowagi, dyzestezja, porażenie połowicze, migrena z aurą, neuropatia obwodowa, obwodowa neuropatia czuciowa, zaburzenia mowy, toksyczna neuropatia, ból głowy pochodzenia naczyniowego</w:t>
            </w:r>
          </w:p>
        </w:tc>
      </w:tr>
      <w:tr w:rsidR="00A65BF1" w:rsidRPr="007E4DA1" w14:paraId="79D80B6C" w14:textId="77777777" w:rsidTr="00EE3105">
        <w:trPr>
          <w:cantSplit/>
          <w:trHeight w:val="255"/>
        </w:trPr>
        <w:tc>
          <w:tcPr>
            <w:tcW w:w="2751" w:type="dxa"/>
            <w:vMerge w:val="restart"/>
            <w:shd w:val="clear" w:color="auto" w:fill="auto"/>
          </w:tcPr>
          <w:p w14:paraId="7238C972" w14:textId="77777777" w:rsidR="00A65BF1" w:rsidRPr="007E4DA1" w:rsidRDefault="00A65BF1" w:rsidP="00353671">
            <w:pPr>
              <w:keepLines/>
              <w:autoSpaceDE w:val="0"/>
              <w:autoSpaceDN w:val="0"/>
              <w:adjustRightInd w:val="0"/>
              <w:rPr>
                <w:iCs/>
                <w:szCs w:val="24"/>
                <w:lang w:eastAsia="ja-JP"/>
              </w:rPr>
            </w:pPr>
            <w:r w:rsidRPr="007E4DA1">
              <w:rPr>
                <w:iCs/>
                <w:szCs w:val="24"/>
                <w:lang w:eastAsia="ja-JP"/>
              </w:rPr>
              <w:t>Zaburzenia oka</w:t>
            </w:r>
          </w:p>
        </w:tc>
        <w:tc>
          <w:tcPr>
            <w:tcW w:w="1537" w:type="dxa"/>
            <w:shd w:val="clear" w:color="auto" w:fill="auto"/>
          </w:tcPr>
          <w:p w14:paraId="079518D2" w14:textId="77777777" w:rsidR="00A65BF1" w:rsidRPr="007E4DA1" w:rsidRDefault="00A65BF1" w:rsidP="00353671">
            <w:pPr>
              <w:keepLines/>
              <w:autoSpaceDE w:val="0"/>
              <w:autoSpaceDN w:val="0"/>
              <w:adjustRightInd w:val="0"/>
              <w:rPr>
                <w:szCs w:val="24"/>
                <w:lang w:eastAsia="ja-JP"/>
              </w:rPr>
            </w:pPr>
            <w:r w:rsidRPr="007E4DA1">
              <w:rPr>
                <w:iCs/>
                <w:szCs w:val="24"/>
                <w:lang w:eastAsia="ja-JP"/>
              </w:rPr>
              <w:t>Często</w:t>
            </w:r>
          </w:p>
        </w:tc>
        <w:tc>
          <w:tcPr>
            <w:tcW w:w="4921" w:type="dxa"/>
            <w:shd w:val="clear" w:color="auto" w:fill="auto"/>
          </w:tcPr>
          <w:p w14:paraId="7DE5F43F" w14:textId="77777777" w:rsidR="00A65BF1" w:rsidRPr="007E4DA1" w:rsidRDefault="00A65BF1" w:rsidP="00353671">
            <w:pPr>
              <w:keepLines/>
              <w:autoSpaceDE w:val="0"/>
              <w:autoSpaceDN w:val="0"/>
              <w:adjustRightInd w:val="0"/>
              <w:ind w:left="0" w:firstLine="0"/>
              <w:rPr>
                <w:szCs w:val="24"/>
                <w:lang w:eastAsia="ja-JP"/>
              </w:rPr>
            </w:pPr>
            <w:r w:rsidRPr="007E4DA1">
              <w:rPr>
                <w:szCs w:val="24"/>
                <w:lang w:eastAsia="ja-JP"/>
              </w:rPr>
              <w:t>Zespół suchego oka, niewyraźne widzenie, ból oka, zmniejszenie ostrości wzroku</w:t>
            </w:r>
          </w:p>
        </w:tc>
      </w:tr>
      <w:tr w:rsidR="00A65BF1" w:rsidRPr="007E4DA1" w14:paraId="7E6F2B0A" w14:textId="77777777" w:rsidTr="00EE3105">
        <w:trPr>
          <w:cantSplit/>
          <w:trHeight w:val="1050"/>
        </w:trPr>
        <w:tc>
          <w:tcPr>
            <w:tcW w:w="2751" w:type="dxa"/>
            <w:vMerge/>
            <w:tcBorders>
              <w:bottom w:val="single" w:sz="4" w:space="0" w:color="auto"/>
            </w:tcBorders>
            <w:shd w:val="clear" w:color="auto" w:fill="auto"/>
          </w:tcPr>
          <w:p w14:paraId="703B15DC" w14:textId="77777777" w:rsidR="00A65BF1" w:rsidRPr="007E4DA1" w:rsidRDefault="00A65BF1" w:rsidP="00EE3105">
            <w:pPr>
              <w:keepLines/>
              <w:autoSpaceDE w:val="0"/>
              <w:autoSpaceDN w:val="0"/>
              <w:adjustRightInd w:val="0"/>
              <w:rPr>
                <w:szCs w:val="24"/>
                <w:lang w:eastAsia="ja-JP"/>
              </w:rPr>
            </w:pPr>
          </w:p>
        </w:tc>
        <w:tc>
          <w:tcPr>
            <w:tcW w:w="1537" w:type="dxa"/>
            <w:shd w:val="clear" w:color="auto" w:fill="auto"/>
          </w:tcPr>
          <w:p w14:paraId="25C27ADB" w14:textId="77777777" w:rsidR="00A65BF1" w:rsidRPr="007E4DA1" w:rsidRDefault="00A65BF1" w:rsidP="00353671">
            <w:pPr>
              <w:keepLines/>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30EFE69F" w14:textId="77777777" w:rsidR="00A65BF1" w:rsidRPr="007E4DA1" w:rsidRDefault="00A65BF1" w:rsidP="00353671">
            <w:pPr>
              <w:keepLines/>
              <w:autoSpaceDE w:val="0"/>
              <w:autoSpaceDN w:val="0"/>
              <w:adjustRightInd w:val="0"/>
              <w:ind w:left="0" w:firstLine="0"/>
              <w:rPr>
                <w:szCs w:val="24"/>
                <w:lang w:eastAsia="ja-JP"/>
              </w:rPr>
            </w:pPr>
            <w:r w:rsidRPr="007E4DA1">
              <w:rPr>
                <w:szCs w:val="24"/>
                <w:lang w:eastAsia="ja-JP"/>
              </w:rPr>
              <w:t>Zmętnienie soczewki, astygmatyzm, zaćma korowa, zwiększone łzawienie, krwotok siatkówkowy, epiteliopatia barwnikowa siatkówki, zaburzenia widzenia, nieprawidłowe wyniki badania ostrości wzroku, zapalenie powiek, suche zapalenie rogówki i spojówki</w:t>
            </w:r>
          </w:p>
        </w:tc>
      </w:tr>
      <w:tr w:rsidR="00A65BF1" w:rsidRPr="007E4DA1" w14:paraId="7FCB6AC4" w14:textId="77777777" w:rsidTr="00EE3105">
        <w:trPr>
          <w:cantSplit/>
          <w:trHeight w:val="255"/>
        </w:trPr>
        <w:tc>
          <w:tcPr>
            <w:tcW w:w="2751" w:type="dxa"/>
            <w:tcBorders>
              <w:top w:val="single" w:sz="4" w:space="0" w:color="auto"/>
            </w:tcBorders>
            <w:shd w:val="clear" w:color="auto" w:fill="auto"/>
          </w:tcPr>
          <w:p w14:paraId="09D31134" w14:textId="77777777" w:rsidR="00A65BF1" w:rsidRPr="007E4DA1" w:rsidRDefault="00A65BF1" w:rsidP="001A6584">
            <w:pPr>
              <w:keepNext/>
              <w:keepLines/>
              <w:autoSpaceDE w:val="0"/>
              <w:autoSpaceDN w:val="0"/>
              <w:adjustRightInd w:val="0"/>
              <w:rPr>
                <w:szCs w:val="22"/>
                <w:lang w:eastAsia="ja-JP"/>
              </w:rPr>
            </w:pPr>
            <w:r w:rsidRPr="007E4DA1">
              <w:rPr>
                <w:szCs w:val="22"/>
                <w:lang w:eastAsia="ja-JP"/>
              </w:rPr>
              <w:lastRenderedPageBreak/>
              <w:t>Zaburzenia ucha i błędnika</w:t>
            </w:r>
          </w:p>
        </w:tc>
        <w:tc>
          <w:tcPr>
            <w:tcW w:w="1537" w:type="dxa"/>
            <w:shd w:val="clear" w:color="auto" w:fill="auto"/>
          </w:tcPr>
          <w:p w14:paraId="0147A108" w14:textId="77777777" w:rsidR="00A65BF1" w:rsidRPr="007E4DA1" w:rsidRDefault="00A65BF1" w:rsidP="001A6584">
            <w:pPr>
              <w:keepNext/>
              <w:keepLines/>
              <w:autoSpaceDE w:val="0"/>
              <w:autoSpaceDN w:val="0"/>
              <w:adjustRightInd w:val="0"/>
              <w:rPr>
                <w:szCs w:val="22"/>
                <w:lang w:eastAsia="ja-JP"/>
              </w:rPr>
            </w:pPr>
            <w:r w:rsidRPr="007E4DA1">
              <w:rPr>
                <w:iCs/>
                <w:szCs w:val="24"/>
                <w:lang w:eastAsia="ja-JP"/>
              </w:rPr>
              <w:t>Często</w:t>
            </w:r>
          </w:p>
        </w:tc>
        <w:tc>
          <w:tcPr>
            <w:tcW w:w="4921" w:type="dxa"/>
            <w:shd w:val="clear" w:color="auto" w:fill="auto"/>
          </w:tcPr>
          <w:p w14:paraId="33F958AB" w14:textId="77777777" w:rsidR="00A65BF1" w:rsidRPr="007E4DA1" w:rsidRDefault="00A65BF1" w:rsidP="001A6584">
            <w:pPr>
              <w:keepNext/>
              <w:keepLines/>
              <w:autoSpaceDE w:val="0"/>
              <w:autoSpaceDN w:val="0"/>
              <w:adjustRightInd w:val="0"/>
              <w:rPr>
                <w:szCs w:val="22"/>
                <w:lang w:eastAsia="ja-JP"/>
              </w:rPr>
            </w:pPr>
            <w:r w:rsidRPr="007E4DA1">
              <w:rPr>
                <w:szCs w:val="22"/>
                <w:lang w:eastAsia="ja-JP"/>
              </w:rPr>
              <w:t>Ból ucha, zawroty głowy</w:t>
            </w:r>
          </w:p>
        </w:tc>
      </w:tr>
      <w:tr w:rsidR="00A65BF1" w:rsidRPr="007E4DA1" w14:paraId="0F1ADB2F" w14:textId="77777777" w:rsidTr="00EE3105">
        <w:trPr>
          <w:cantSplit/>
          <w:trHeight w:val="510"/>
        </w:trPr>
        <w:tc>
          <w:tcPr>
            <w:tcW w:w="2751" w:type="dxa"/>
            <w:shd w:val="clear" w:color="auto" w:fill="auto"/>
          </w:tcPr>
          <w:p w14:paraId="39CBD3F5" w14:textId="77777777" w:rsidR="00A65BF1" w:rsidRPr="007E4DA1" w:rsidRDefault="00A65BF1" w:rsidP="001A6584">
            <w:pPr>
              <w:keepLines/>
              <w:autoSpaceDE w:val="0"/>
              <w:autoSpaceDN w:val="0"/>
              <w:adjustRightInd w:val="0"/>
              <w:rPr>
                <w:szCs w:val="24"/>
                <w:lang w:eastAsia="ja-JP"/>
              </w:rPr>
            </w:pPr>
            <w:r w:rsidRPr="007E4DA1">
              <w:rPr>
                <w:szCs w:val="24"/>
                <w:lang w:eastAsia="ja-JP"/>
              </w:rPr>
              <w:t>Zaburzenia serca</w:t>
            </w:r>
          </w:p>
        </w:tc>
        <w:tc>
          <w:tcPr>
            <w:tcW w:w="1537" w:type="dxa"/>
            <w:shd w:val="clear" w:color="auto" w:fill="auto"/>
          </w:tcPr>
          <w:p w14:paraId="5B8F2BB4" w14:textId="77777777" w:rsidR="00A65BF1" w:rsidRPr="007E4DA1" w:rsidRDefault="00A65BF1" w:rsidP="001A6584">
            <w:pPr>
              <w:keepLines/>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1E8C8018" w14:textId="77777777" w:rsidR="00A65BF1" w:rsidRPr="007E4DA1" w:rsidRDefault="00A65BF1" w:rsidP="003D2760">
            <w:pPr>
              <w:keepLines/>
              <w:autoSpaceDE w:val="0"/>
              <w:autoSpaceDN w:val="0"/>
              <w:adjustRightInd w:val="0"/>
              <w:ind w:left="0" w:firstLine="0"/>
              <w:rPr>
                <w:szCs w:val="24"/>
                <w:lang w:eastAsia="ja-JP"/>
              </w:rPr>
            </w:pPr>
            <w:r w:rsidRPr="007E4DA1">
              <w:rPr>
                <w:szCs w:val="24"/>
                <w:lang w:eastAsia="ja-JP"/>
              </w:rPr>
              <w:t>Tachykardia, ostry zawał mięśnia sercowego, zaburzenia sercowo-naczyniowe, sinica, częstoskurcz zatokowy, wydłużenie odstępu QT w zapisie elektrokardiograficznym</w:t>
            </w:r>
          </w:p>
        </w:tc>
      </w:tr>
      <w:tr w:rsidR="00A65BF1" w:rsidRPr="007E4DA1" w14:paraId="3A456351" w14:textId="77777777" w:rsidTr="00EE3105">
        <w:trPr>
          <w:cantSplit/>
          <w:trHeight w:val="255"/>
        </w:trPr>
        <w:tc>
          <w:tcPr>
            <w:tcW w:w="2751" w:type="dxa"/>
            <w:vMerge w:val="restart"/>
            <w:shd w:val="clear" w:color="auto" w:fill="auto"/>
          </w:tcPr>
          <w:p w14:paraId="145751F9" w14:textId="77777777" w:rsidR="00A65BF1" w:rsidRPr="007E4DA1" w:rsidRDefault="00A65BF1" w:rsidP="001A6584">
            <w:pPr>
              <w:keepNext/>
              <w:keepLines/>
              <w:autoSpaceDE w:val="0"/>
              <w:autoSpaceDN w:val="0"/>
              <w:adjustRightInd w:val="0"/>
              <w:rPr>
                <w:szCs w:val="24"/>
                <w:lang w:eastAsia="ja-JP"/>
              </w:rPr>
            </w:pPr>
            <w:r w:rsidRPr="007E4DA1">
              <w:rPr>
                <w:szCs w:val="24"/>
                <w:lang w:eastAsia="ja-JP"/>
              </w:rPr>
              <w:t>Zaburzenia naczyniowe</w:t>
            </w:r>
          </w:p>
        </w:tc>
        <w:tc>
          <w:tcPr>
            <w:tcW w:w="1537" w:type="dxa"/>
            <w:shd w:val="clear" w:color="auto" w:fill="auto"/>
          </w:tcPr>
          <w:p w14:paraId="74F08443" w14:textId="77777777" w:rsidR="00A65BF1" w:rsidRPr="007E4DA1" w:rsidRDefault="00A65BF1" w:rsidP="001A6584">
            <w:pPr>
              <w:keepNext/>
              <w:keepLines/>
              <w:autoSpaceDE w:val="0"/>
              <w:autoSpaceDN w:val="0"/>
              <w:adjustRightInd w:val="0"/>
              <w:rPr>
                <w:szCs w:val="24"/>
                <w:lang w:eastAsia="ja-JP"/>
              </w:rPr>
            </w:pPr>
            <w:r w:rsidRPr="007E4DA1">
              <w:rPr>
                <w:iCs/>
                <w:szCs w:val="24"/>
                <w:lang w:eastAsia="ja-JP"/>
              </w:rPr>
              <w:t>Często</w:t>
            </w:r>
          </w:p>
        </w:tc>
        <w:tc>
          <w:tcPr>
            <w:tcW w:w="4921" w:type="dxa"/>
            <w:shd w:val="clear" w:color="auto" w:fill="auto"/>
          </w:tcPr>
          <w:p w14:paraId="4A0EF121" w14:textId="77777777" w:rsidR="00A65BF1" w:rsidRPr="007E4DA1" w:rsidRDefault="00A65BF1" w:rsidP="001A6584">
            <w:pPr>
              <w:keepNext/>
              <w:keepLines/>
              <w:autoSpaceDE w:val="0"/>
              <w:autoSpaceDN w:val="0"/>
              <w:adjustRightInd w:val="0"/>
              <w:rPr>
                <w:szCs w:val="24"/>
                <w:lang w:eastAsia="ja-JP"/>
              </w:rPr>
            </w:pPr>
            <w:r w:rsidRPr="007E4DA1">
              <w:rPr>
                <w:szCs w:val="24"/>
                <w:lang w:eastAsia="ja-JP"/>
              </w:rPr>
              <w:t>Zakrzepica żył głębokich, krwiak, uderzenia gorąca</w:t>
            </w:r>
          </w:p>
        </w:tc>
      </w:tr>
      <w:tr w:rsidR="00A65BF1" w:rsidRPr="007E4DA1" w14:paraId="1E24E770" w14:textId="77777777" w:rsidTr="00EE3105">
        <w:trPr>
          <w:cantSplit/>
          <w:trHeight w:val="270"/>
        </w:trPr>
        <w:tc>
          <w:tcPr>
            <w:tcW w:w="2751" w:type="dxa"/>
            <w:vMerge/>
            <w:tcBorders>
              <w:bottom w:val="single" w:sz="4" w:space="0" w:color="auto"/>
            </w:tcBorders>
            <w:shd w:val="clear" w:color="auto" w:fill="auto"/>
          </w:tcPr>
          <w:p w14:paraId="12FFFC96" w14:textId="77777777" w:rsidR="00A65BF1" w:rsidRPr="007E4DA1" w:rsidRDefault="00A65BF1" w:rsidP="001A6584">
            <w:pPr>
              <w:keepNext/>
              <w:keepLines/>
              <w:autoSpaceDE w:val="0"/>
              <w:autoSpaceDN w:val="0"/>
              <w:adjustRightInd w:val="0"/>
              <w:rPr>
                <w:szCs w:val="24"/>
                <w:lang w:eastAsia="ja-JP"/>
              </w:rPr>
            </w:pPr>
          </w:p>
        </w:tc>
        <w:tc>
          <w:tcPr>
            <w:tcW w:w="1537" w:type="dxa"/>
            <w:shd w:val="clear" w:color="auto" w:fill="auto"/>
          </w:tcPr>
          <w:p w14:paraId="0189B806" w14:textId="77777777" w:rsidR="00A65BF1" w:rsidRPr="007E4DA1" w:rsidRDefault="00A65BF1" w:rsidP="001A6584">
            <w:pPr>
              <w:keepLines/>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1B657421" w14:textId="77777777" w:rsidR="00A65BF1" w:rsidRPr="007E4DA1" w:rsidRDefault="00A65BF1" w:rsidP="003D2760">
            <w:pPr>
              <w:keepLines/>
              <w:autoSpaceDE w:val="0"/>
              <w:autoSpaceDN w:val="0"/>
              <w:adjustRightInd w:val="0"/>
              <w:ind w:left="0" w:firstLine="0"/>
              <w:rPr>
                <w:szCs w:val="24"/>
                <w:lang w:eastAsia="ja-JP"/>
              </w:rPr>
            </w:pPr>
            <w:r w:rsidRPr="007E4DA1">
              <w:rPr>
                <w:szCs w:val="24"/>
                <w:lang w:eastAsia="ja-JP"/>
              </w:rPr>
              <w:t xml:space="preserve">Zator, zakrzepowe zapalenie żył powierzchownych, </w:t>
            </w:r>
            <w:r w:rsidRPr="003D2760">
              <w:rPr>
                <w:rFonts w:eastAsia="MS Mincho"/>
                <w:color w:val="000000"/>
                <w:szCs w:val="22"/>
                <w:lang w:eastAsia="ja-JP"/>
              </w:rPr>
              <w:t>zaczerwienienie</w:t>
            </w:r>
          </w:p>
        </w:tc>
      </w:tr>
      <w:tr w:rsidR="00A65BF1" w:rsidRPr="007E4DA1" w14:paraId="315E4493" w14:textId="77777777" w:rsidTr="00EE3105">
        <w:trPr>
          <w:cantSplit/>
          <w:trHeight w:val="510"/>
        </w:trPr>
        <w:tc>
          <w:tcPr>
            <w:tcW w:w="2751" w:type="dxa"/>
            <w:vMerge w:val="restart"/>
            <w:shd w:val="clear" w:color="auto" w:fill="auto"/>
          </w:tcPr>
          <w:p w14:paraId="08CF83AD" w14:textId="77777777" w:rsidR="00A65BF1" w:rsidRPr="007E4DA1" w:rsidRDefault="00A65BF1" w:rsidP="001A6584">
            <w:pPr>
              <w:keepNext/>
              <w:keepLines/>
              <w:autoSpaceDE w:val="0"/>
              <w:autoSpaceDN w:val="0"/>
              <w:adjustRightInd w:val="0"/>
              <w:ind w:left="0" w:firstLine="0"/>
              <w:rPr>
                <w:szCs w:val="24"/>
                <w:lang w:eastAsia="ja-JP"/>
              </w:rPr>
            </w:pPr>
            <w:r w:rsidRPr="007E4DA1">
              <w:rPr>
                <w:szCs w:val="24"/>
                <w:lang w:eastAsia="ja-JP"/>
              </w:rPr>
              <w:t>Zaburzenia układu oddechowego, klatki piersiowej i śródpiersia</w:t>
            </w:r>
          </w:p>
        </w:tc>
        <w:tc>
          <w:tcPr>
            <w:tcW w:w="1537" w:type="dxa"/>
            <w:shd w:val="clear" w:color="auto" w:fill="auto"/>
          </w:tcPr>
          <w:p w14:paraId="1BFB46B9" w14:textId="77777777" w:rsidR="00A65BF1" w:rsidRPr="007E4DA1" w:rsidRDefault="00A65BF1" w:rsidP="001A6584">
            <w:pPr>
              <w:keepNext/>
              <w:keepLines/>
              <w:autoSpaceDE w:val="0"/>
              <w:autoSpaceDN w:val="0"/>
              <w:adjustRightInd w:val="0"/>
              <w:ind w:left="0" w:firstLine="0"/>
              <w:rPr>
                <w:iCs/>
                <w:szCs w:val="24"/>
                <w:lang w:eastAsia="ja-JP"/>
              </w:rPr>
            </w:pPr>
            <w:r w:rsidRPr="007E4DA1">
              <w:rPr>
                <w:iCs/>
                <w:szCs w:val="24"/>
                <w:lang w:eastAsia="ja-JP"/>
              </w:rPr>
              <w:t>Bardzo często</w:t>
            </w:r>
          </w:p>
        </w:tc>
        <w:tc>
          <w:tcPr>
            <w:tcW w:w="4921" w:type="dxa"/>
            <w:shd w:val="clear" w:color="auto" w:fill="auto"/>
          </w:tcPr>
          <w:p w14:paraId="11D4F240" w14:textId="77777777" w:rsidR="00A65BF1" w:rsidRPr="007E4DA1" w:rsidRDefault="00A65BF1" w:rsidP="001A6584">
            <w:pPr>
              <w:keepNext/>
              <w:keepLines/>
              <w:autoSpaceDE w:val="0"/>
              <w:autoSpaceDN w:val="0"/>
              <w:adjustRightInd w:val="0"/>
              <w:rPr>
                <w:szCs w:val="24"/>
                <w:lang w:eastAsia="ja-JP"/>
              </w:rPr>
            </w:pPr>
            <w:r w:rsidRPr="007E4DA1">
              <w:rPr>
                <w:szCs w:val="24"/>
                <w:lang w:eastAsia="ja-JP"/>
              </w:rPr>
              <w:t>Kaszel</w:t>
            </w:r>
            <w:r w:rsidRPr="007E4DA1">
              <w:rPr>
                <w:szCs w:val="24"/>
                <w:vertAlign w:val="superscript"/>
              </w:rPr>
              <w:t>♦</w:t>
            </w:r>
          </w:p>
        </w:tc>
      </w:tr>
      <w:tr w:rsidR="00A65BF1" w:rsidRPr="007E4DA1" w14:paraId="33961F0E" w14:textId="77777777" w:rsidTr="00EE3105">
        <w:trPr>
          <w:cantSplit/>
          <w:trHeight w:val="270"/>
        </w:trPr>
        <w:tc>
          <w:tcPr>
            <w:tcW w:w="2751" w:type="dxa"/>
            <w:vMerge/>
            <w:shd w:val="clear" w:color="auto" w:fill="auto"/>
          </w:tcPr>
          <w:p w14:paraId="087989E5" w14:textId="77777777" w:rsidR="00A65BF1" w:rsidRPr="007E4DA1" w:rsidRDefault="00A65BF1" w:rsidP="001A6584">
            <w:pPr>
              <w:keepNext/>
              <w:keepLines/>
              <w:autoSpaceDE w:val="0"/>
              <w:autoSpaceDN w:val="0"/>
              <w:adjustRightInd w:val="0"/>
              <w:rPr>
                <w:szCs w:val="24"/>
                <w:lang w:eastAsia="ja-JP"/>
              </w:rPr>
            </w:pPr>
          </w:p>
        </w:tc>
        <w:tc>
          <w:tcPr>
            <w:tcW w:w="1537" w:type="dxa"/>
            <w:shd w:val="clear" w:color="auto" w:fill="auto"/>
          </w:tcPr>
          <w:p w14:paraId="39ABC0CA" w14:textId="77777777" w:rsidR="00A65BF1" w:rsidRPr="007E4DA1" w:rsidRDefault="00A65BF1" w:rsidP="001A6584">
            <w:pPr>
              <w:keepNext/>
              <w:keepLines/>
              <w:autoSpaceDE w:val="0"/>
              <w:autoSpaceDN w:val="0"/>
              <w:adjustRightInd w:val="0"/>
              <w:rPr>
                <w:szCs w:val="24"/>
                <w:lang w:eastAsia="ja-JP"/>
              </w:rPr>
            </w:pPr>
            <w:r w:rsidRPr="007E4DA1">
              <w:rPr>
                <w:iCs/>
                <w:szCs w:val="24"/>
                <w:lang w:eastAsia="ja-JP"/>
              </w:rPr>
              <w:t>Często</w:t>
            </w:r>
          </w:p>
        </w:tc>
        <w:tc>
          <w:tcPr>
            <w:tcW w:w="4921" w:type="dxa"/>
            <w:shd w:val="clear" w:color="auto" w:fill="auto"/>
          </w:tcPr>
          <w:p w14:paraId="0D0FD61F" w14:textId="77777777" w:rsidR="00A65BF1" w:rsidRPr="007E4DA1" w:rsidRDefault="00A65BF1" w:rsidP="001A6584">
            <w:pPr>
              <w:keepNext/>
              <w:keepLines/>
              <w:autoSpaceDE w:val="0"/>
              <w:autoSpaceDN w:val="0"/>
              <w:adjustRightInd w:val="0"/>
              <w:rPr>
                <w:szCs w:val="24"/>
                <w:vertAlign w:val="superscript"/>
              </w:rPr>
            </w:pPr>
            <w:r w:rsidRPr="007E4DA1">
              <w:rPr>
                <w:szCs w:val="24"/>
                <w:lang w:eastAsia="ja-JP"/>
              </w:rPr>
              <w:t>Ból jamy ustnej i gardła</w:t>
            </w:r>
            <w:r w:rsidR="00A11A08" w:rsidRPr="007E4DA1">
              <w:rPr>
                <w:szCs w:val="24"/>
                <w:vertAlign w:val="superscript"/>
              </w:rPr>
              <w:t>♦</w:t>
            </w:r>
            <w:r w:rsidRPr="007E4DA1">
              <w:rPr>
                <w:szCs w:val="24"/>
                <w:lang w:eastAsia="ja-JP"/>
              </w:rPr>
              <w:t>, wodnisty wyciek z nosa</w:t>
            </w:r>
            <w:r w:rsidRPr="007E4DA1">
              <w:rPr>
                <w:szCs w:val="24"/>
                <w:vertAlign w:val="superscript"/>
              </w:rPr>
              <w:t>♦</w:t>
            </w:r>
          </w:p>
        </w:tc>
      </w:tr>
      <w:tr w:rsidR="00A65BF1" w:rsidRPr="007E4DA1" w14:paraId="6EE04BF4" w14:textId="77777777" w:rsidTr="00EE3105">
        <w:trPr>
          <w:cantSplit/>
        </w:trPr>
        <w:tc>
          <w:tcPr>
            <w:tcW w:w="2751" w:type="dxa"/>
            <w:vMerge/>
            <w:tcBorders>
              <w:bottom w:val="single" w:sz="4" w:space="0" w:color="auto"/>
            </w:tcBorders>
            <w:shd w:val="clear" w:color="auto" w:fill="auto"/>
          </w:tcPr>
          <w:p w14:paraId="213233FB" w14:textId="77777777" w:rsidR="00A65BF1" w:rsidRPr="007E4DA1" w:rsidRDefault="00A65BF1" w:rsidP="001A6584">
            <w:pPr>
              <w:keepNext/>
              <w:keepLines/>
              <w:autoSpaceDE w:val="0"/>
              <w:autoSpaceDN w:val="0"/>
              <w:adjustRightInd w:val="0"/>
              <w:rPr>
                <w:szCs w:val="24"/>
                <w:lang w:eastAsia="ja-JP"/>
              </w:rPr>
            </w:pPr>
          </w:p>
        </w:tc>
        <w:tc>
          <w:tcPr>
            <w:tcW w:w="1537" w:type="dxa"/>
            <w:shd w:val="clear" w:color="auto" w:fill="auto"/>
          </w:tcPr>
          <w:p w14:paraId="1E00DA22" w14:textId="77777777" w:rsidR="00A65BF1" w:rsidRPr="007E4DA1" w:rsidRDefault="00A65BF1" w:rsidP="001A6584">
            <w:pPr>
              <w:keepLines/>
              <w:autoSpaceDE w:val="0"/>
              <w:autoSpaceDN w:val="0"/>
              <w:adjustRightInd w:val="0"/>
              <w:rPr>
                <w:iCs/>
                <w:szCs w:val="24"/>
                <w:lang w:eastAsia="ja-JP"/>
              </w:rPr>
            </w:pPr>
            <w:r w:rsidRPr="007E4DA1">
              <w:rPr>
                <w:szCs w:val="24"/>
                <w:lang w:eastAsia="ja-JP"/>
              </w:rPr>
              <w:t>Niezbyt często</w:t>
            </w:r>
          </w:p>
        </w:tc>
        <w:tc>
          <w:tcPr>
            <w:tcW w:w="4921" w:type="dxa"/>
            <w:shd w:val="clear" w:color="auto" w:fill="auto"/>
          </w:tcPr>
          <w:p w14:paraId="21BD1BCD" w14:textId="77777777" w:rsidR="00A65BF1" w:rsidRPr="007E4DA1" w:rsidRDefault="00A65BF1" w:rsidP="003D2760">
            <w:pPr>
              <w:keepLines/>
              <w:autoSpaceDE w:val="0"/>
              <w:autoSpaceDN w:val="0"/>
              <w:adjustRightInd w:val="0"/>
              <w:ind w:left="0" w:firstLine="0"/>
              <w:rPr>
                <w:szCs w:val="24"/>
                <w:lang w:eastAsia="ja-JP"/>
              </w:rPr>
            </w:pPr>
            <w:r w:rsidRPr="007E4DA1">
              <w:rPr>
                <w:rFonts w:eastAsia="MS Mincho"/>
                <w:color w:val="000000"/>
                <w:szCs w:val="22"/>
                <w:lang w:eastAsia="ja-JP"/>
              </w:rPr>
              <w:t>Zatorowość płucna, zawał płuca, dyskomfort w jamie nosowej, zmiany pęcherzowe w jamie ustnej i gardle, zaburzenia zatok, zespół bezdechu sennego</w:t>
            </w:r>
          </w:p>
        </w:tc>
      </w:tr>
      <w:tr w:rsidR="00A65BF1" w:rsidRPr="007E4DA1" w14:paraId="4BE196BD" w14:textId="77777777" w:rsidTr="00EE3105">
        <w:trPr>
          <w:cantSplit/>
          <w:trHeight w:val="525"/>
        </w:trPr>
        <w:tc>
          <w:tcPr>
            <w:tcW w:w="2751" w:type="dxa"/>
            <w:vMerge w:val="restart"/>
            <w:shd w:val="clear" w:color="auto" w:fill="auto"/>
          </w:tcPr>
          <w:p w14:paraId="2DCED098" w14:textId="77777777" w:rsidR="00A65BF1" w:rsidRPr="007E4DA1" w:rsidRDefault="00A65BF1" w:rsidP="001A6584">
            <w:pPr>
              <w:keepNext/>
              <w:keepLines/>
              <w:autoSpaceDE w:val="0"/>
              <w:autoSpaceDN w:val="0"/>
              <w:adjustRightInd w:val="0"/>
              <w:rPr>
                <w:iCs/>
                <w:szCs w:val="24"/>
                <w:lang w:eastAsia="ja-JP"/>
              </w:rPr>
            </w:pPr>
            <w:r w:rsidRPr="007E4DA1">
              <w:rPr>
                <w:iCs/>
                <w:szCs w:val="24"/>
                <w:lang w:eastAsia="ja-JP"/>
              </w:rPr>
              <w:t>Zaburzenia żołądka i jelit</w:t>
            </w:r>
          </w:p>
        </w:tc>
        <w:tc>
          <w:tcPr>
            <w:tcW w:w="1537" w:type="dxa"/>
            <w:shd w:val="clear" w:color="auto" w:fill="auto"/>
          </w:tcPr>
          <w:p w14:paraId="722521EB" w14:textId="77777777" w:rsidR="00A65BF1" w:rsidRPr="007E4DA1" w:rsidRDefault="00A65BF1" w:rsidP="001A6584">
            <w:pPr>
              <w:keepNext/>
              <w:keepLines/>
              <w:autoSpaceDE w:val="0"/>
              <w:autoSpaceDN w:val="0"/>
              <w:adjustRightInd w:val="0"/>
              <w:ind w:left="26" w:hanging="26"/>
              <w:rPr>
                <w:iCs/>
                <w:szCs w:val="24"/>
                <w:lang w:eastAsia="ja-JP"/>
              </w:rPr>
            </w:pPr>
            <w:r w:rsidRPr="007E4DA1">
              <w:rPr>
                <w:iCs/>
                <w:szCs w:val="24"/>
                <w:lang w:eastAsia="ja-JP"/>
              </w:rPr>
              <w:t>Bardzo często</w:t>
            </w:r>
          </w:p>
        </w:tc>
        <w:tc>
          <w:tcPr>
            <w:tcW w:w="4921" w:type="dxa"/>
            <w:shd w:val="clear" w:color="auto" w:fill="auto"/>
          </w:tcPr>
          <w:p w14:paraId="1593383F" w14:textId="17782EBF" w:rsidR="00A65BF1" w:rsidRPr="007E4DA1" w:rsidRDefault="00A65BF1" w:rsidP="001A6584">
            <w:pPr>
              <w:keepNext/>
              <w:keepLines/>
              <w:autoSpaceDE w:val="0"/>
              <w:autoSpaceDN w:val="0"/>
              <w:adjustRightInd w:val="0"/>
              <w:rPr>
                <w:szCs w:val="24"/>
                <w:lang w:eastAsia="ja-JP"/>
              </w:rPr>
            </w:pPr>
            <w:r w:rsidRPr="007E4DA1">
              <w:rPr>
                <w:szCs w:val="24"/>
                <w:lang w:eastAsia="ja-JP"/>
              </w:rPr>
              <w:t>Nudności, biegunka</w:t>
            </w:r>
          </w:p>
        </w:tc>
      </w:tr>
      <w:tr w:rsidR="00A65BF1" w:rsidRPr="007E4DA1" w14:paraId="6542622B" w14:textId="77777777" w:rsidTr="00EE3105">
        <w:trPr>
          <w:cantSplit/>
          <w:trHeight w:val="780"/>
        </w:trPr>
        <w:tc>
          <w:tcPr>
            <w:tcW w:w="2751" w:type="dxa"/>
            <w:vMerge/>
            <w:shd w:val="clear" w:color="auto" w:fill="auto"/>
          </w:tcPr>
          <w:p w14:paraId="28609FF0" w14:textId="77777777" w:rsidR="00A65BF1" w:rsidRPr="007E4DA1" w:rsidRDefault="00A65BF1" w:rsidP="001A6584">
            <w:pPr>
              <w:keepNext/>
              <w:keepLines/>
              <w:autoSpaceDE w:val="0"/>
              <w:autoSpaceDN w:val="0"/>
              <w:adjustRightInd w:val="0"/>
              <w:rPr>
                <w:szCs w:val="24"/>
                <w:lang w:eastAsia="ja-JP"/>
              </w:rPr>
            </w:pPr>
          </w:p>
        </w:tc>
        <w:tc>
          <w:tcPr>
            <w:tcW w:w="1537" w:type="dxa"/>
            <w:shd w:val="clear" w:color="auto" w:fill="auto"/>
          </w:tcPr>
          <w:p w14:paraId="1DE47469" w14:textId="77777777" w:rsidR="00A65BF1" w:rsidRPr="007E4DA1" w:rsidRDefault="00A65BF1" w:rsidP="001A6584">
            <w:pPr>
              <w:keepNext/>
              <w:keepLines/>
              <w:autoSpaceDE w:val="0"/>
              <w:autoSpaceDN w:val="0"/>
              <w:adjustRightInd w:val="0"/>
              <w:rPr>
                <w:szCs w:val="24"/>
                <w:lang w:eastAsia="ja-JP"/>
              </w:rPr>
            </w:pPr>
            <w:r w:rsidRPr="007E4DA1">
              <w:rPr>
                <w:iCs/>
                <w:szCs w:val="24"/>
                <w:lang w:eastAsia="ja-JP"/>
              </w:rPr>
              <w:t>Często</w:t>
            </w:r>
          </w:p>
        </w:tc>
        <w:tc>
          <w:tcPr>
            <w:tcW w:w="4921" w:type="dxa"/>
            <w:shd w:val="clear" w:color="auto" w:fill="auto"/>
          </w:tcPr>
          <w:p w14:paraId="605298CA" w14:textId="4B4DDEA3" w:rsidR="00A65BF1" w:rsidRPr="007E4DA1" w:rsidRDefault="00A65BF1" w:rsidP="001A6584">
            <w:pPr>
              <w:keepNext/>
              <w:keepLines/>
              <w:autoSpaceDE w:val="0"/>
              <w:autoSpaceDN w:val="0"/>
              <w:adjustRightInd w:val="0"/>
              <w:ind w:left="47" w:hanging="47"/>
              <w:rPr>
                <w:szCs w:val="24"/>
                <w:lang w:eastAsia="ja-JP"/>
              </w:rPr>
            </w:pPr>
            <w:r w:rsidRPr="007E4DA1">
              <w:rPr>
                <w:szCs w:val="24"/>
                <w:lang w:eastAsia="ja-JP"/>
              </w:rPr>
              <w:t>Owrzodzenie jamy ustnej, ból zębów</w:t>
            </w:r>
            <w:r w:rsidRPr="007E4DA1">
              <w:rPr>
                <w:szCs w:val="24"/>
                <w:vertAlign w:val="superscript"/>
                <w:lang w:eastAsia="ja-JP"/>
              </w:rPr>
              <w:t>♦</w:t>
            </w:r>
            <w:r w:rsidRPr="007E4DA1">
              <w:rPr>
                <w:szCs w:val="24"/>
                <w:lang w:eastAsia="ja-JP"/>
              </w:rPr>
              <w:t>, wymioty, ból brzucha*, krwawienie z jamy ustnej, wzdęcia</w:t>
            </w:r>
          </w:p>
          <w:p w14:paraId="5BBC6382" w14:textId="77777777" w:rsidR="00A65BF1" w:rsidRPr="007E4DA1" w:rsidRDefault="00A65BF1" w:rsidP="001A6584">
            <w:pPr>
              <w:keepNext/>
              <w:keepLines/>
              <w:autoSpaceDE w:val="0"/>
              <w:autoSpaceDN w:val="0"/>
              <w:adjustRightInd w:val="0"/>
              <w:rPr>
                <w:szCs w:val="24"/>
                <w:lang w:eastAsia="ja-JP"/>
              </w:rPr>
            </w:pPr>
            <w:r w:rsidRPr="007E4DA1">
              <w:rPr>
                <w:szCs w:val="24"/>
                <w:lang w:eastAsia="ja-JP"/>
              </w:rPr>
              <w:t>* Bardzo często u dzieci i młodzieży z ITP</w:t>
            </w:r>
          </w:p>
        </w:tc>
      </w:tr>
      <w:tr w:rsidR="00A65BF1" w:rsidRPr="007E4DA1" w14:paraId="3E076D81" w14:textId="77777777" w:rsidTr="00EE3105">
        <w:trPr>
          <w:cantSplit/>
          <w:trHeight w:val="795"/>
        </w:trPr>
        <w:tc>
          <w:tcPr>
            <w:tcW w:w="2751" w:type="dxa"/>
            <w:vMerge/>
            <w:tcBorders>
              <w:bottom w:val="single" w:sz="4" w:space="0" w:color="auto"/>
            </w:tcBorders>
            <w:shd w:val="clear" w:color="auto" w:fill="auto"/>
          </w:tcPr>
          <w:p w14:paraId="3EBCF3B2" w14:textId="77777777" w:rsidR="00A65BF1" w:rsidRPr="007E4DA1" w:rsidRDefault="00A65BF1" w:rsidP="001A6584">
            <w:pPr>
              <w:keepLines/>
              <w:autoSpaceDE w:val="0"/>
              <w:autoSpaceDN w:val="0"/>
              <w:adjustRightInd w:val="0"/>
              <w:rPr>
                <w:szCs w:val="24"/>
                <w:lang w:eastAsia="ja-JP"/>
              </w:rPr>
            </w:pPr>
          </w:p>
        </w:tc>
        <w:tc>
          <w:tcPr>
            <w:tcW w:w="1537" w:type="dxa"/>
            <w:shd w:val="clear" w:color="auto" w:fill="auto"/>
          </w:tcPr>
          <w:p w14:paraId="71DDD8F7" w14:textId="77777777" w:rsidR="00A65BF1" w:rsidRPr="007E4DA1" w:rsidRDefault="00A65BF1" w:rsidP="001A6584">
            <w:pPr>
              <w:keepLines/>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66D96BBF" w14:textId="77777777" w:rsidR="00A65BF1" w:rsidRPr="007E4DA1" w:rsidRDefault="00A65BF1" w:rsidP="003D2760">
            <w:pPr>
              <w:keepLines/>
              <w:autoSpaceDE w:val="0"/>
              <w:autoSpaceDN w:val="0"/>
              <w:adjustRightInd w:val="0"/>
              <w:ind w:left="0" w:firstLine="0"/>
              <w:rPr>
                <w:szCs w:val="24"/>
                <w:lang w:eastAsia="ja-JP"/>
              </w:rPr>
            </w:pPr>
            <w:r w:rsidRPr="007E4DA1">
              <w:rPr>
                <w:szCs w:val="24"/>
                <w:lang w:eastAsia="ja-JP"/>
              </w:rPr>
              <w:t>Suchość w jamie ustnej, glosodynia, bolesność uciskowa w jamie brzusznej, odbarwienie stolca, zatrucie pokarmowe, częste oddawanie stolca, wymioty krwawe, uczucie dyskomfortu w jamie ustnej</w:t>
            </w:r>
          </w:p>
        </w:tc>
      </w:tr>
      <w:tr w:rsidR="00A65BF1" w:rsidRPr="007E4DA1" w14:paraId="278198D9" w14:textId="77777777" w:rsidTr="00EE3105">
        <w:trPr>
          <w:cantSplit/>
          <w:trHeight w:val="510"/>
        </w:trPr>
        <w:tc>
          <w:tcPr>
            <w:tcW w:w="2751" w:type="dxa"/>
            <w:vMerge w:val="restart"/>
            <w:shd w:val="clear" w:color="auto" w:fill="auto"/>
          </w:tcPr>
          <w:p w14:paraId="3E00D604" w14:textId="77777777" w:rsidR="00A65BF1" w:rsidRPr="007E4DA1" w:rsidRDefault="00A65BF1" w:rsidP="001A6584">
            <w:pPr>
              <w:keepLines/>
              <w:autoSpaceDE w:val="0"/>
              <w:autoSpaceDN w:val="0"/>
              <w:adjustRightInd w:val="0"/>
              <w:ind w:left="0" w:firstLine="0"/>
              <w:rPr>
                <w:szCs w:val="24"/>
                <w:lang w:eastAsia="ja-JP"/>
              </w:rPr>
            </w:pPr>
            <w:r w:rsidRPr="007E4DA1">
              <w:rPr>
                <w:szCs w:val="24"/>
                <w:lang w:eastAsia="ja-JP"/>
              </w:rPr>
              <w:t>Zaburzenia wątroby i dróg żółciowych</w:t>
            </w:r>
          </w:p>
        </w:tc>
        <w:tc>
          <w:tcPr>
            <w:tcW w:w="1537" w:type="dxa"/>
            <w:shd w:val="clear" w:color="auto" w:fill="auto"/>
          </w:tcPr>
          <w:p w14:paraId="411F1D5D" w14:textId="77777777" w:rsidR="00A65BF1" w:rsidRPr="007E4DA1" w:rsidRDefault="00A65BF1" w:rsidP="001A6584">
            <w:pPr>
              <w:keepLines/>
              <w:autoSpaceDE w:val="0"/>
              <w:autoSpaceDN w:val="0"/>
              <w:adjustRightInd w:val="0"/>
              <w:ind w:left="26" w:hanging="26"/>
              <w:rPr>
                <w:szCs w:val="24"/>
                <w:lang w:eastAsia="ja-JP"/>
              </w:rPr>
            </w:pPr>
            <w:r w:rsidRPr="007E4DA1">
              <w:rPr>
                <w:iCs/>
                <w:szCs w:val="24"/>
                <w:lang w:eastAsia="ja-JP"/>
              </w:rPr>
              <w:t>Bardzo często</w:t>
            </w:r>
          </w:p>
        </w:tc>
        <w:tc>
          <w:tcPr>
            <w:tcW w:w="4921" w:type="dxa"/>
            <w:shd w:val="clear" w:color="auto" w:fill="auto"/>
          </w:tcPr>
          <w:p w14:paraId="61B63E51" w14:textId="77777777" w:rsidR="00A65BF1" w:rsidRPr="007E4DA1" w:rsidRDefault="00A65BF1" w:rsidP="003D2760">
            <w:pPr>
              <w:keepLines/>
              <w:autoSpaceDE w:val="0"/>
              <w:autoSpaceDN w:val="0"/>
              <w:adjustRightInd w:val="0"/>
              <w:ind w:left="0" w:firstLine="0"/>
              <w:rPr>
                <w:szCs w:val="24"/>
                <w:lang w:eastAsia="ja-JP"/>
              </w:rPr>
            </w:pPr>
            <w:r w:rsidRPr="007E4DA1">
              <w:rPr>
                <w:szCs w:val="24"/>
                <w:lang w:eastAsia="ja-JP"/>
              </w:rPr>
              <w:t>Zwiększenie aktywności aminotransferazy alaninowej</w:t>
            </w:r>
            <w:r w:rsidRPr="007E4DA1">
              <w:rPr>
                <w:szCs w:val="24"/>
                <w:vertAlign w:val="superscript"/>
                <w:lang w:eastAsia="ja-JP"/>
              </w:rPr>
              <w:t>†</w:t>
            </w:r>
          </w:p>
        </w:tc>
      </w:tr>
      <w:tr w:rsidR="00A65BF1" w:rsidRPr="007E4DA1" w14:paraId="5C531F7C" w14:textId="77777777" w:rsidTr="00EE3105">
        <w:trPr>
          <w:cantSplit/>
          <w:trHeight w:val="525"/>
        </w:trPr>
        <w:tc>
          <w:tcPr>
            <w:tcW w:w="2751" w:type="dxa"/>
            <w:vMerge/>
            <w:shd w:val="clear" w:color="auto" w:fill="auto"/>
          </w:tcPr>
          <w:p w14:paraId="31D17421" w14:textId="77777777" w:rsidR="00A65BF1" w:rsidRPr="007E4DA1" w:rsidRDefault="00A65BF1" w:rsidP="001A6584">
            <w:pPr>
              <w:keepLines/>
              <w:autoSpaceDE w:val="0"/>
              <w:autoSpaceDN w:val="0"/>
              <w:adjustRightInd w:val="0"/>
              <w:rPr>
                <w:szCs w:val="24"/>
                <w:lang w:eastAsia="ja-JP"/>
              </w:rPr>
            </w:pPr>
          </w:p>
        </w:tc>
        <w:tc>
          <w:tcPr>
            <w:tcW w:w="1537" w:type="dxa"/>
            <w:shd w:val="clear" w:color="auto" w:fill="auto"/>
          </w:tcPr>
          <w:p w14:paraId="4B60F1C6" w14:textId="77777777" w:rsidR="00A65BF1" w:rsidRPr="007E4DA1" w:rsidRDefault="00A65BF1" w:rsidP="001A6584">
            <w:pPr>
              <w:keepLines/>
              <w:autoSpaceDE w:val="0"/>
              <w:autoSpaceDN w:val="0"/>
              <w:adjustRightInd w:val="0"/>
              <w:rPr>
                <w:szCs w:val="24"/>
                <w:lang w:eastAsia="ja-JP"/>
              </w:rPr>
            </w:pPr>
            <w:r w:rsidRPr="007E4DA1">
              <w:rPr>
                <w:iCs/>
                <w:szCs w:val="24"/>
                <w:lang w:eastAsia="ja-JP"/>
              </w:rPr>
              <w:t>Często</w:t>
            </w:r>
          </w:p>
        </w:tc>
        <w:tc>
          <w:tcPr>
            <w:tcW w:w="4921" w:type="dxa"/>
            <w:shd w:val="clear" w:color="auto" w:fill="auto"/>
          </w:tcPr>
          <w:p w14:paraId="61282653" w14:textId="77777777" w:rsidR="00A65BF1" w:rsidRPr="007E4DA1" w:rsidRDefault="00A65BF1" w:rsidP="001A6584">
            <w:pPr>
              <w:keepLines/>
              <w:autoSpaceDE w:val="0"/>
              <w:autoSpaceDN w:val="0"/>
              <w:adjustRightInd w:val="0"/>
              <w:ind w:left="0" w:firstLine="0"/>
              <w:rPr>
                <w:szCs w:val="24"/>
                <w:lang w:eastAsia="ja-JP"/>
              </w:rPr>
            </w:pPr>
            <w:r w:rsidRPr="007E4DA1">
              <w:rPr>
                <w:szCs w:val="24"/>
                <w:lang w:eastAsia="ja-JP"/>
              </w:rPr>
              <w:t>Zwiększenie aktywności aminotransferazy asparaginianowej</w:t>
            </w:r>
            <w:r w:rsidRPr="007E4DA1">
              <w:rPr>
                <w:szCs w:val="24"/>
                <w:vertAlign w:val="superscript"/>
                <w:lang w:eastAsia="ja-JP"/>
              </w:rPr>
              <w:t xml:space="preserve"> †</w:t>
            </w:r>
            <w:r w:rsidRPr="007E4DA1">
              <w:rPr>
                <w:szCs w:val="24"/>
                <w:lang w:eastAsia="ja-JP"/>
              </w:rPr>
              <w:t>, hiperbilirubinemia, zaburzenia czynności wątroby</w:t>
            </w:r>
          </w:p>
        </w:tc>
      </w:tr>
      <w:tr w:rsidR="00A65BF1" w:rsidRPr="007E4DA1" w14:paraId="546917D6" w14:textId="77777777" w:rsidTr="00EE3105">
        <w:trPr>
          <w:cantSplit/>
          <w:trHeight w:val="255"/>
        </w:trPr>
        <w:tc>
          <w:tcPr>
            <w:tcW w:w="2751" w:type="dxa"/>
            <w:vMerge/>
            <w:tcBorders>
              <w:bottom w:val="single" w:sz="4" w:space="0" w:color="auto"/>
            </w:tcBorders>
            <w:shd w:val="clear" w:color="auto" w:fill="auto"/>
          </w:tcPr>
          <w:p w14:paraId="7BEBB002" w14:textId="77777777" w:rsidR="00A65BF1" w:rsidRPr="007E4DA1" w:rsidRDefault="00A65BF1" w:rsidP="001A6584">
            <w:pPr>
              <w:keepLines/>
              <w:autoSpaceDE w:val="0"/>
              <w:autoSpaceDN w:val="0"/>
              <w:adjustRightInd w:val="0"/>
              <w:rPr>
                <w:szCs w:val="24"/>
                <w:lang w:eastAsia="ja-JP"/>
              </w:rPr>
            </w:pPr>
          </w:p>
        </w:tc>
        <w:tc>
          <w:tcPr>
            <w:tcW w:w="1537" w:type="dxa"/>
            <w:shd w:val="clear" w:color="auto" w:fill="auto"/>
          </w:tcPr>
          <w:p w14:paraId="1BCC465F" w14:textId="77777777" w:rsidR="00A65BF1" w:rsidRPr="007E4DA1" w:rsidRDefault="00A65BF1" w:rsidP="001A6584">
            <w:pPr>
              <w:keepLines/>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06B477EB" w14:textId="77777777" w:rsidR="00A65BF1" w:rsidRPr="007E4DA1" w:rsidRDefault="00A65BF1" w:rsidP="001A6584">
            <w:pPr>
              <w:keepLines/>
              <w:autoSpaceDE w:val="0"/>
              <w:autoSpaceDN w:val="0"/>
              <w:adjustRightInd w:val="0"/>
              <w:ind w:left="0" w:firstLine="0"/>
              <w:rPr>
                <w:szCs w:val="24"/>
                <w:lang w:eastAsia="ja-JP"/>
              </w:rPr>
            </w:pPr>
            <w:r w:rsidRPr="007E4DA1">
              <w:rPr>
                <w:szCs w:val="24"/>
                <w:lang w:eastAsia="ja-JP"/>
              </w:rPr>
              <w:t>Cholestaza, zmiany w wątrobie, zapalenie wątroby, polekowe uszkodzenie wątroby</w:t>
            </w:r>
          </w:p>
        </w:tc>
      </w:tr>
      <w:tr w:rsidR="00A65BF1" w:rsidRPr="007E4DA1" w14:paraId="008931DC" w14:textId="77777777" w:rsidTr="00EE3105">
        <w:trPr>
          <w:cantSplit/>
          <w:trHeight w:val="255"/>
        </w:trPr>
        <w:tc>
          <w:tcPr>
            <w:tcW w:w="2751" w:type="dxa"/>
            <w:vMerge w:val="restart"/>
            <w:shd w:val="clear" w:color="auto" w:fill="auto"/>
          </w:tcPr>
          <w:p w14:paraId="5EC43FB0" w14:textId="77777777" w:rsidR="00A65BF1" w:rsidRPr="007E4DA1" w:rsidRDefault="00A65BF1" w:rsidP="001A6584">
            <w:pPr>
              <w:keepNext/>
              <w:keepLines/>
              <w:autoSpaceDE w:val="0"/>
              <w:autoSpaceDN w:val="0"/>
              <w:adjustRightInd w:val="0"/>
              <w:ind w:left="0" w:firstLine="0"/>
              <w:rPr>
                <w:szCs w:val="24"/>
                <w:lang w:eastAsia="ja-JP"/>
              </w:rPr>
            </w:pPr>
            <w:r w:rsidRPr="007E4DA1">
              <w:rPr>
                <w:szCs w:val="24"/>
                <w:lang w:eastAsia="ja-JP"/>
              </w:rPr>
              <w:t>Zaburzenia skóry i tkanki podskórnej</w:t>
            </w:r>
          </w:p>
        </w:tc>
        <w:tc>
          <w:tcPr>
            <w:tcW w:w="1537" w:type="dxa"/>
            <w:shd w:val="clear" w:color="auto" w:fill="auto"/>
          </w:tcPr>
          <w:p w14:paraId="29CC1FB3" w14:textId="77777777" w:rsidR="00A65BF1" w:rsidRPr="007E4DA1" w:rsidRDefault="00A65BF1" w:rsidP="001A6584">
            <w:pPr>
              <w:keepNext/>
              <w:keepLines/>
              <w:autoSpaceDE w:val="0"/>
              <w:autoSpaceDN w:val="0"/>
              <w:adjustRightInd w:val="0"/>
              <w:rPr>
                <w:szCs w:val="24"/>
                <w:lang w:eastAsia="ja-JP"/>
              </w:rPr>
            </w:pPr>
            <w:r w:rsidRPr="007E4DA1">
              <w:rPr>
                <w:iCs/>
                <w:szCs w:val="24"/>
                <w:lang w:eastAsia="ja-JP"/>
              </w:rPr>
              <w:t>Często</w:t>
            </w:r>
          </w:p>
        </w:tc>
        <w:tc>
          <w:tcPr>
            <w:tcW w:w="4921" w:type="dxa"/>
            <w:shd w:val="clear" w:color="auto" w:fill="auto"/>
          </w:tcPr>
          <w:p w14:paraId="16E8EAED" w14:textId="77777777" w:rsidR="00A65BF1" w:rsidRPr="007E4DA1" w:rsidRDefault="00A65BF1" w:rsidP="001A6584">
            <w:pPr>
              <w:keepNext/>
              <w:keepLines/>
              <w:autoSpaceDE w:val="0"/>
              <w:autoSpaceDN w:val="0"/>
              <w:adjustRightInd w:val="0"/>
              <w:ind w:left="0" w:firstLine="0"/>
              <w:rPr>
                <w:szCs w:val="24"/>
                <w:lang w:eastAsia="ja-JP"/>
              </w:rPr>
            </w:pPr>
            <w:r w:rsidRPr="007E4DA1">
              <w:rPr>
                <w:szCs w:val="24"/>
                <w:lang w:eastAsia="ja-JP"/>
              </w:rPr>
              <w:t>Wysypka, łysienie, nadmierna potliwość, uogólniony świąd, wybroczyny</w:t>
            </w:r>
          </w:p>
        </w:tc>
      </w:tr>
      <w:tr w:rsidR="00A65BF1" w:rsidRPr="007E4DA1" w14:paraId="616909DA" w14:textId="77777777" w:rsidTr="00EE3105">
        <w:trPr>
          <w:cantSplit/>
          <w:trHeight w:val="525"/>
        </w:trPr>
        <w:tc>
          <w:tcPr>
            <w:tcW w:w="2751" w:type="dxa"/>
            <w:vMerge/>
            <w:tcBorders>
              <w:bottom w:val="single" w:sz="4" w:space="0" w:color="auto"/>
            </w:tcBorders>
            <w:shd w:val="clear" w:color="auto" w:fill="auto"/>
          </w:tcPr>
          <w:p w14:paraId="2A4A7B65" w14:textId="77777777" w:rsidR="00A65BF1" w:rsidRPr="007E4DA1" w:rsidRDefault="00A65BF1" w:rsidP="001A6584">
            <w:pPr>
              <w:keepNext/>
              <w:keepLines/>
              <w:autoSpaceDE w:val="0"/>
              <w:autoSpaceDN w:val="0"/>
              <w:adjustRightInd w:val="0"/>
              <w:rPr>
                <w:szCs w:val="24"/>
                <w:lang w:eastAsia="ja-JP"/>
              </w:rPr>
            </w:pPr>
          </w:p>
        </w:tc>
        <w:tc>
          <w:tcPr>
            <w:tcW w:w="1537" w:type="dxa"/>
            <w:shd w:val="clear" w:color="auto" w:fill="auto"/>
          </w:tcPr>
          <w:p w14:paraId="066CAD8F" w14:textId="77777777" w:rsidR="00A65BF1" w:rsidRPr="007E4DA1" w:rsidRDefault="00A65BF1" w:rsidP="001A6584">
            <w:pPr>
              <w:keepLines/>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124AFA17" w14:textId="77777777" w:rsidR="00A65BF1" w:rsidRPr="007E4DA1" w:rsidRDefault="00A65BF1" w:rsidP="001A6584">
            <w:pPr>
              <w:keepLines/>
              <w:autoSpaceDE w:val="0"/>
              <w:autoSpaceDN w:val="0"/>
              <w:adjustRightInd w:val="0"/>
              <w:ind w:left="0" w:firstLine="0"/>
              <w:rPr>
                <w:szCs w:val="24"/>
                <w:lang w:eastAsia="ja-JP"/>
              </w:rPr>
            </w:pPr>
            <w:r w:rsidRPr="007E4DA1">
              <w:rPr>
                <w:szCs w:val="24"/>
                <w:lang w:eastAsia="ja-JP"/>
              </w:rPr>
              <w:t>Pokrzywka, dermatoza, zimne poty, rumień, melanoza, zaburzenia pigmentacji, odbarwienie skóry, złuszczanie skóry</w:t>
            </w:r>
          </w:p>
        </w:tc>
      </w:tr>
      <w:tr w:rsidR="00A11A08" w:rsidRPr="007E4DA1" w14:paraId="311ADFDB" w14:textId="77777777" w:rsidTr="00EE3105">
        <w:trPr>
          <w:cantSplit/>
          <w:trHeight w:val="525"/>
        </w:trPr>
        <w:tc>
          <w:tcPr>
            <w:tcW w:w="2751" w:type="dxa"/>
            <w:vMerge w:val="restart"/>
            <w:shd w:val="clear" w:color="auto" w:fill="auto"/>
          </w:tcPr>
          <w:p w14:paraId="15ABC8F3" w14:textId="0562E078" w:rsidR="00A11A08" w:rsidRPr="007E4DA1" w:rsidRDefault="00EE6F49" w:rsidP="003D2760">
            <w:pPr>
              <w:keepNext/>
              <w:keepLines/>
              <w:autoSpaceDE w:val="0"/>
              <w:autoSpaceDN w:val="0"/>
              <w:adjustRightInd w:val="0"/>
              <w:ind w:left="0" w:firstLine="0"/>
              <w:rPr>
                <w:szCs w:val="24"/>
                <w:lang w:eastAsia="ja-JP"/>
              </w:rPr>
            </w:pPr>
            <w:r w:rsidRPr="007E4DA1">
              <w:rPr>
                <w:iCs/>
                <w:szCs w:val="24"/>
                <w:lang w:eastAsia="ja-JP"/>
              </w:rPr>
              <w:t>Zabu</w:t>
            </w:r>
            <w:r w:rsidR="0032696C" w:rsidRPr="007E4DA1">
              <w:rPr>
                <w:iCs/>
                <w:szCs w:val="24"/>
                <w:lang w:eastAsia="ja-JP"/>
              </w:rPr>
              <w:t>rzenia</w:t>
            </w:r>
            <w:r w:rsidR="00A11A08" w:rsidRPr="007E4DA1">
              <w:rPr>
                <w:iCs/>
                <w:szCs w:val="24"/>
                <w:lang w:eastAsia="ja-JP"/>
              </w:rPr>
              <w:t xml:space="preserve"> mięśniowo-szkieletowe i tkanki łącznej</w:t>
            </w:r>
          </w:p>
        </w:tc>
        <w:tc>
          <w:tcPr>
            <w:tcW w:w="1537" w:type="dxa"/>
            <w:shd w:val="clear" w:color="auto" w:fill="auto"/>
          </w:tcPr>
          <w:p w14:paraId="7A48DEDA" w14:textId="77777777" w:rsidR="00A11A08" w:rsidRPr="007E4DA1" w:rsidRDefault="00A11A08" w:rsidP="001A6584">
            <w:pPr>
              <w:keepLines/>
              <w:autoSpaceDE w:val="0"/>
              <w:autoSpaceDN w:val="0"/>
              <w:adjustRightInd w:val="0"/>
              <w:rPr>
                <w:szCs w:val="24"/>
                <w:lang w:eastAsia="ja-JP"/>
              </w:rPr>
            </w:pPr>
            <w:r w:rsidRPr="007E4DA1">
              <w:rPr>
                <w:szCs w:val="24"/>
                <w:lang w:eastAsia="ja-JP"/>
              </w:rPr>
              <w:t>Bardzo często</w:t>
            </w:r>
          </w:p>
        </w:tc>
        <w:tc>
          <w:tcPr>
            <w:tcW w:w="4921" w:type="dxa"/>
            <w:shd w:val="clear" w:color="auto" w:fill="auto"/>
          </w:tcPr>
          <w:p w14:paraId="589A4376" w14:textId="14053F97" w:rsidR="00A11A08" w:rsidRPr="007E4DA1" w:rsidRDefault="00A11A08" w:rsidP="001A6584">
            <w:pPr>
              <w:keepLines/>
              <w:autoSpaceDE w:val="0"/>
              <w:autoSpaceDN w:val="0"/>
              <w:adjustRightInd w:val="0"/>
              <w:ind w:left="0" w:firstLine="0"/>
              <w:rPr>
                <w:szCs w:val="24"/>
                <w:lang w:eastAsia="ja-JP"/>
              </w:rPr>
            </w:pPr>
            <w:r w:rsidRPr="007E4DA1">
              <w:rPr>
                <w:szCs w:val="24"/>
                <w:lang w:eastAsia="ja-JP"/>
              </w:rPr>
              <w:t>Ból pleców</w:t>
            </w:r>
          </w:p>
        </w:tc>
      </w:tr>
      <w:tr w:rsidR="00A11A08" w:rsidRPr="007E4DA1" w14:paraId="5DAB5313" w14:textId="77777777" w:rsidTr="00EE3105">
        <w:trPr>
          <w:cantSplit/>
          <w:trHeight w:val="255"/>
        </w:trPr>
        <w:tc>
          <w:tcPr>
            <w:tcW w:w="2751" w:type="dxa"/>
            <w:vMerge/>
            <w:shd w:val="clear" w:color="auto" w:fill="auto"/>
          </w:tcPr>
          <w:p w14:paraId="6F0AB42A" w14:textId="77777777" w:rsidR="00A11A08" w:rsidRPr="007E4DA1" w:rsidRDefault="00A11A08" w:rsidP="001A6584">
            <w:pPr>
              <w:keepNext/>
              <w:keepLines/>
              <w:autoSpaceDE w:val="0"/>
              <w:autoSpaceDN w:val="0"/>
              <w:adjustRightInd w:val="0"/>
              <w:ind w:left="0" w:firstLine="0"/>
              <w:rPr>
                <w:iCs/>
                <w:szCs w:val="24"/>
                <w:lang w:eastAsia="ja-JP"/>
              </w:rPr>
            </w:pPr>
          </w:p>
        </w:tc>
        <w:tc>
          <w:tcPr>
            <w:tcW w:w="1537" w:type="dxa"/>
            <w:shd w:val="clear" w:color="auto" w:fill="auto"/>
          </w:tcPr>
          <w:p w14:paraId="08AEA6C6" w14:textId="77777777" w:rsidR="00A11A08" w:rsidRPr="007E4DA1" w:rsidRDefault="00A11A08" w:rsidP="001A6584">
            <w:pPr>
              <w:keepNext/>
              <w:keepLines/>
              <w:autoSpaceDE w:val="0"/>
              <w:autoSpaceDN w:val="0"/>
              <w:adjustRightInd w:val="0"/>
              <w:rPr>
                <w:szCs w:val="24"/>
                <w:lang w:eastAsia="ja-JP"/>
              </w:rPr>
            </w:pPr>
            <w:r w:rsidRPr="007E4DA1">
              <w:rPr>
                <w:iCs/>
                <w:szCs w:val="24"/>
                <w:lang w:eastAsia="ja-JP"/>
              </w:rPr>
              <w:t>Często</w:t>
            </w:r>
          </w:p>
        </w:tc>
        <w:tc>
          <w:tcPr>
            <w:tcW w:w="4921" w:type="dxa"/>
            <w:shd w:val="clear" w:color="auto" w:fill="auto"/>
          </w:tcPr>
          <w:p w14:paraId="2F40A29E" w14:textId="4FEB73D3" w:rsidR="00A11A08" w:rsidRPr="007E4DA1" w:rsidRDefault="00A11A08" w:rsidP="001A6584">
            <w:pPr>
              <w:keepNext/>
              <w:keepLines/>
              <w:autoSpaceDE w:val="0"/>
              <w:autoSpaceDN w:val="0"/>
              <w:adjustRightInd w:val="0"/>
              <w:ind w:left="0" w:firstLine="0"/>
              <w:rPr>
                <w:szCs w:val="24"/>
                <w:lang w:eastAsia="ja-JP"/>
              </w:rPr>
            </w:pPr>
            <w:r w:rsidRPr="007E4DA1">
              <w:rPr>
                <w:szCs w:val="24"/>
                <w:lang w:eastAsia="ja-JP"/>
              </w:rPr>
              <w:t>Bóle mięśni, skurcze mięśni, bóle mięśniowo-szkieletowe, bóle kości</w:t>
            </w:r>
          </w:p>
        </w:tc>
      </w:tr>
      <w:tr w:rsidR="00A11A08" w:rsidRPr="007E4DA1" w14:paraId="26BF3BC3" w14:textId="77777777" w:rsidTr="00EE3105">
        <w:trPr>
          <w:cantSplit/>
          <w:trHeight w:val="270"/>
        </w:trPr>
        <w:tc>
          <w:tcPr>
            <w:tcW w:w="2751" w:type="dxa"/>
            <w:vMerge/>
            <w:shd w:val="clear" w:color="auto" w:fill="auto"/>
          </w:tcPr>
          <w:p w14:paraId="109EEB47" w14:textId="77777777" w:rsidR="00A11A08" w:rsidRPr="007E4DA1" w:rsidRDefault="00A11A08" w:rsidP="001A6584">
            <w:pPr>
              <w:keepNext/>
              <w:keepLines/>
              <w:autoSpaceDE w:val="0"/>
              <w:autoSpaceDN w:val="0"/>
              <w:adjustRightInd w:val="0"/>
              <w:rPr>
                <w:szCs w:val="24"/>
                <w:lang w:eastAsia="ja-JP"/>
              </w:rPr>
            </w:pPr>
          </w:p>
        </w:tc>
        <w:tc>
          <w:tcPr>
            <w:tcW w:w="1537" w:type="dxa"/>
            <w:shd w:val="clear" w:color="auto" w:fill="auto"/>
          </w:tcPr>
          <w:p w14:paraId="3BB4C16F" w14:textId="77777777" w:rsidR="00A11A08" w:rsidRPr="007E4DA1" w:rsidRDefault="00A11A08" w:rsidP="001A6584">
            <w:pPr>
              <w:keepNext/>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206D9379" w14:textId="77777777" w:rsidR="00A11A08" w:rsidRPr="007E4DA1" w:rsidRDefault="00A11A08" w:rsidP="001A6584">
            <w:pPr>
              <w:keepNext/>
              <w:autoSpaceDE w:val="0"/>
              <w:autoSpaceDN w:val="0"/>
              <w:adjustRightInd w:val="0"/>
              <w:rPr>
                <w:szCs w:val="24"/>
                <w:lang w:eastAsia="ja-JP"/>
              </w:rPr>
            </w:pPr>
            <w:r w:rsidRPr="007E4DA1">
              <w:rPr>
                <w:szCs w:val="24"/>
                <w:lang w:eastAsia="ja-JP"/>
              </w:rPr>
              <w:t>Osłabienie siły mięśniowej</w:t>
            </w:r>
          </w:p>
        </w:tc>
      </w:tr>
      <w:tr w:rsidR="00A65BF1" w:rsidRPr="007E4DA1" w14:paraId="257DBC00" w14:textId="77777777" w:rsidTr="00EE3105">
        <w:trPr>
          <w:cantSplit/>
          <w:trHeight w:val="510"/>
        </w:trPr>
        <w:tc>
          <w:tcPr>
            <w:tcW w:w="2751" w:type="dxa"/>
            <w:vMerge w:val="restart"/>
            <w:shd w:val="clear" w:color="auto" w:fill="auto"/>
          </w:tcPr>
          <w:p w14:paraId="1164612A" w14:textId="77777777" w:rsidR="00A65BF1" w:rsidRPr="007E4DA1" w:rsidRDefault="00A65BF1" w:rsidP="001A6584">
            <w:pPr>
              <w:keepNext/>
              <w:keepLines/>
              <w:autoSpaceDE w:val="0"/>
              <w:autoSpaceDN w:val="0"/>
              <w:adjustRightInd w:val="0"/>
              <w:ind w:left="0" w:firstLine="0"/>
              <w:rPr>
                <w:szCs w:val="24"/>
                <w:lang w:eastAsia="ja-JP"/>
              </w:rPr>
            </w:pPr>
            <w:r w:rsidRPr="007E4DA1">
              <w:rPr>
                <w:szCs w:val="24"/>
                <w:lang w:eastAsia="ja-JP"/>
              </w:rPr>
              <w:t>Zaburzenia nerek i dróg moczowych</w:t>
            </w:r>
          </w:p>
        </w:tc>
        <w:tc>
          <w:tcPr>
            <w:tcW w:w="1537" w:type="dxa"/>
            <w:shd w:val="clear" w:color="auto" w:fill="auto"/>
          </w:tcPr>
          <w:p w14:paraId="52F03A02" w14:textId="77777777" w:rsidR="00A65BF1" w:rsidRPr="007E4DA1" w:rsidRDefault="00A65BF1" w:rsidP="001A6584">
            <w:pPr>
              <w:keepNext/>
              <w:keepLines/>
              <w:autoSpaceDE w:val="0"/>
              <w:autoSpaceDN w:val="0"/>
              <w:adjustRightInd w:val="0"/>
              <w:rPr>
                <w:iCs/>
                <w:szCs w:val="24"/>
                <w:lang w:eastAsia="ja-JP"/>
              </w:rPr>
            </w:pPr>
            <w:r w:rsidRPr="007E4DA1">
              <w:rPr>
                <w:iCs/>
                <w:szCs w:val="24"/>
                <w:lang w:eastAsia="ja-JP"/>
              </w:rPr>
              <w:t>Często</w:t>
            </w:r>
          </w:p>
        </w:tc>
        <w:tc>
          <w:tcPr>
            <w:tcW w:w="4921" w:type="dxa"/>
            <w:shd w:val="clear" w:color="auto" w:fill="auto"/>
          </w:tcPr>
          <w:p w14:paraId="64EE4FF1" w14:textId="77777777" w:rsidR="00A65BF1" w:rsidRPr="007E4DA1" w:rsidRDefault="00A65BF1" w:rsidP="003D2760">
            <w:pPr>
              <w:keepLines/>
              <w:autoSpaceDE w:val="0"/>
              <w:autoSpaceDN w:val="0"/>
              <w:adjustRightInd w:val="0"/>
              <w:ind w:left="0" w:firstLine="0"/>
              <w:rPr>
                <w:szCs w:val="24"/>
                <w:lang w:eastAsia="ja-JP"/>
              </w:rPr>
            </w:pPr>
            <w:r w:rsidRPr="007E4DA1">
              <w:rPr>
                <w:szCs w:val="24"/>
                <w:lang w:eastAsia="ja-JP"/>
              </w:rPr>
              <w:t>Białkomocz, zwiększenie stężenia kreatyniny we krwi, mikroangiopatia zakrzepowa z niewydolnością nerek</w:t>
            </w:r>
            <w:r w:rsidRPr="007E4DA1">
              <w:rPr>
                <w:szCs w:val="24"/>
                <w:vertAlign w:val="superscript"/>
                <w:lang w:eastAsia="ja-JP"/>
              </w:rPr>
              <w:t xml:space="preserve"> ‡</w:t>
            </w:r>
          </w:p>
        </w:tc>
      </w:tr>
      <w:tr w:rsidR="00A65BF1" w:rsidRPr="007E4DA1" w14:paraId="3FA05A0E" w14:textId="77777777" w:rsidTr="00EE3105">
        <w:trPr>
          <w:cantSplit/>
          <w:trHeight w:val="525"/>
        </w:trPr>
        <w:tc>
          <w:tcPr>
            <w:tcW w:w="2751" w:type="dxa"/>
            <w:vMerge/>
            <w:shd w:val="clear" w:color="auto" w:fill="auto"/>
          </w:tcPr>
          <w:p w14:paraId="63A2119B" w14:textId="77777777" w:rsidR="00A65BF1" w:rsidRPr="007E4DA1" w:rsidRDefault="00A65BF1" w:rsidP="001A6584">
            <w:pPr>
              <w:keepNext/>
              <w:autoSpaceDE w:val="0"/>
              <w:autoSpaceDN w:val="0"/>
              <w:adjustRightInd w:val="0"/>
              <w:rPr>
                <w:szCs w:val="24"/>
                <w:lang w:eastAsia="ja-JP"/>
              </w:rPr>
            </w:pPr>
          </w:p>
        </w:tc>
        <w:tc>
          <w:tcPr>
            <w:tcW w:w="1537" w:type="dxa"/>
            <w:shd w:val="clear" w:color="auto" w:fill="auto"/>
          </w:tcPr>
          <w:p w14:paraId="5B8A5DB2" w14:textId="77777777" w:rsidR="00A65BF1" w:rsidRPr="007E4DA1" w:rsidRDefault="00A65BF1" w:rsidP="001A6584">
            <w:pPr>
              <w:keepLines/>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66394F34" w14:textId="77777777" w:rsidR="00A65BF1" w:rsidRPr="007E4DA1" w:rsidRDefault="00A65BF1" w:rsidP="001A6584">
            <w:pPr>
              <w:keepLines/>
              <w:autoSpaceDE w:val="0"/>
              <w:autoSpaceDN w:val="0"/>
              <w:adjustRightInd w:val="0"/>
              <w:ind w:left="0" w:firstLine="0"/>
              <w:rPr>
                <w:szCs w:val="24"/>
              </w:rPr>
            </w:pPr>
            <w:r w:rsidRPr="007E4DA1">
              <w:rPr>
                <w:szCs w:val="24"/>
                <w:lang w:eastAsia="ja-JP"/>
              </w:rPr>
              <w:t>Niewydolność nerek, leukocyturia, toczniowe zapalenie nerek, nokturia, zwiększenie stężenia mocznika we krwi, zwiększenie wskaźnika białko-kreatynina w moczu</w:t>
            </w:r>
          </w:p>
        </w:tc>
      </w:tr>
      <w:tr w:rsidR="00A65BF1" w:rsidRPr="007E4DA1" w14:paraId="3FE23FCE" w14:textId="77777777" w:rsidTr="00EE3105">
        <w:trPr>
          <w:cantSplit/>
          <w:trHeight w:val="525"/>
        </w:trPr>
        <w:tc>
          <w:tcPr>
            <w:tcW w:w="2751" w:type="dxa"/>
            <w:tcBorders>
              <w:bottom w:val="single" w:sz="4" w:space="0" w:color="auto"/>
            </w:tcBorders>
            <w:shd w:val="clear" w:color="auto" w:fill="auto"/>
          </w:tcPr>
          <w:p w14:paraId="05AB8E9A" w14:textId="77777777" w:rsidR="00A65BF1" w:rsidRPr="007E4DA1" w:rsidRDefault="00A65BF1" w:rsidP="00353671">
            <w:pPr>
              <w:keepNext/>
              <w:keepLines/>
              <w:autoSpaceDE w:val="0"/>
              <w:autoSpaceDN w:val="0"/>
              <w:adjustRightInd w:val="0"/>
              <w:ind w:left="0" w:firstLine="0"/>
              <w:rPr>
                <w:iCs/>
                <w:szCs w:val="24"/>
                <w:lang w:eastAsia="ja-JP"/>
              </w:rPr>
            </w:pPr>
            <w:r w:rsidRPr="007E4DA1">
              <w:rPr>
                <w:iCs/>
                <w:szCs w:val="24"/>
                <w:lang w:eastAsia="ja-JP"/>
              </w:rPr>
              <w:t>Zaburzenia układu rozrodczego i piersi</w:t>
            </w:r>
          </w:p>
        </w:tc>
        <w:tc>
          <w:tcPr>
            <w:tcW w:w="1537" w:type="dxa"/>
            <w:shd w:val="clear" w:color="auto" w:fill="auto"/>
          </w:tcPr>
          <w:p w14:paraId="218A5050" w14:textId="77777777" w:rsidR="00A65BF1" w:rsidRPr="007E4DA1" w:rsidRDefault="00A65BF1" w:rsidP="00353671">
            <w:pPr>
              <w:keepNext/>
              <w:keepLines/>
              <w:autoSpaceDE w:val="0"/>
              <w:autoSpaceDN w:val="0"/>
              <w:adjustRightInd w:val="0"/>
              <w:rPr>
                <w:szCs w:val="24"/>
                <w:lang w:eastAsia="ja-JP"/>
              </w:rPr>
            </w:pPr>
            <w:r w:rsidRPr="007E4DA1">
              <w:rPr>
                <w:iCs/>
                <w:szCs w:val="24"/>
                <w:lang w:eastAsia="ja-JP"/>
              </w:rPr>
              <w:t>Często</w:t>
            </w:r>
          </w:p>
        </w:tc>
        <w:tc>
          <w:tcPr>
            <w:tcW w:w="4921" w:type="dxa"/>
            <w:shd w:val="clear" w:color="auto" w:fill="auto"/>
          </w:tcPr>
          <w:p w14:paraId="5237C08A" w14:textId="77777777" w:rsidR="00A65BF1" w:rsidRPr="007E4DA1" w:rsidRDefault="00A65BF1" w:rsidP="00353671">
            <w:pPr>
              <w:keepNext/>
              <w:keepLines/>
              <w:autoSpaceDE w:val="0"/>
              <w:autoSpaceDN w:val="0"/>
              <w:adjustRightInd w:val="0"/>
              <w:rPr>
                <w:szCs w:val="24"/>
                <w:lang w:eastAsia="ja-JP"/>
              </w:rPr>
            </w:pPr>
            <w:r w:rsidRPr="007E4DA1">
              <w:rPr>
                <w:szCs w:val="24"/>
                <w:lang w:eastAsia="ja-JP"/>
              </w:rPr>
              <w:t>Krwotok miesiączkowy</w:t>
            </w:r>
          </w:p>
        </w:tc>
      </w:tr>
      <w:tr w:rsidR="00A65BF1" w:rsidRPr="007E4DA1" w14:paraId="7F66F5DE" w14:textId="77777777" w:rsidTr="00EE3105">
        <w:trPr>
          <w:cantSplit/>
          <w:trHeight w:val="510"/>
        </w:trPr>
        <w:tc>
          <w:tcPr>
            <w:tcW w:w="2751" w:type="dxa"/>
            <w:vMerge w:val="restart"/>
            <w:shd w:val="clear" w:color="auto" w:fill="auto"/>
          </w:tcPr>
          <w:p w14:paraId="65B69B39" w14:textId="77777777" w:rsidR="00A65BF1" w:rsidRPr="007E4DA1" w:rsidRDefault="00A65BF1" w:rsidP="00353671">
            <w:pPr>
              <w:keepLines/>
              <w:autoSpaceDE w:val="0"/>
              <w:autoSpaceDN w:val="0"/>
              <w:adjustRightInd w:val="0"/>
              <w:ind w:left="0" w:firstLine="0"/>
              <w:rPr>
                <w:iCs/>
                <w:szCs w:val="24"/>
                <w:lang w:eastAsia="ja-JP"/>
              </w:rPr>
            </w:pPr>
            <w:r w:rsidRPr="007E4DA1">
              <w:rPr>
                <w:iCs/>
                <w:szCs w:val="24"/>
                <w:lang w:eastAsia="ja-JP"/>
              </w:rPr>
              <w:t>Zaburzenia ogólne i stany w miejscu podania</w:t>
            </w:r>
          </w:p>
        </w:tc>
        <w:tc>
          <w:tcPr>
            <w:tcW w:w="1537" w:type="dxa"/>
            <w:shd w:val="clear" w:color="auto" w:fill="auto"/>
          </w:tcPr>
          <w:p w14:paraId="296DCE4C" w14:textId="77777777" w:rsidR="00A65BF1" w:rsidRPr="007E4DA1" w:rsidRDefault="00A65BF1" w:rsidP="00353671">
            <w:pPr>
              <w:keepLines/>
              <w:autoSpaceDE w:val="0"/>
              <w:autoSpaceDN w:val="0"/>
              <w:adjustRightInd w:val="0"/>
              <w:rPr>
                <w:szCs w:val="24"/>
                <w:lang w:eastAsia="ja-JP"/>
              </w:rPr>
            </w:pPr>
            <w:r w:rsidRPr="007E4DA1">
              <w:rPr>
                <w:iCs/>
                <w:szCs w:val="24"/>
                <w:lang w:eastAsia="ja-JP"/>
              </w:rPr>
              <w:t>Często</w:t>
            </w:r>
          </w:p>
        </w:tc>
        <w:tc>
          <w:tcPr>
            <w:tcW w:w="4921" w:type="dxa"/>
            <w:shd w:val="clear" w:color="auto" w:fill="auto"/>
          </w:tcPr>
          <w:p w14:paraId="7490055C" w14:textId="77777777" w:rsidR="00A65BF1" w:rsidRPr="007E4DA1" w:rsidRDefault="00A65BF1" w:rsidP="00353671">
            <w:pPr>
              <w:keepLines/>
              <w:autoSpaceDE w:val="0"/>
              <w:autoSpaceDN w:val="0"/>
              <w:adjustRightInd w:val="0"/>
              <w:rPr>
                <w:szCs w:val="24"/>
                <w:lang w:eastAsia="ja-JP"/>
              </w:rPr>
            </w:pPr>
            <w:r w:rsidRPr="007E4DA1">
              <w:rPr>
                <w:szCs w:val="24"/>
                <w:lang w:eastAsia="ja-JP"/>
              </w:rPr>
              <w:t>Gorączka</w:t>
            </w:r>
            <w:r w:rsidRPr="007E4DA1">
              <w:rPr>
                <w:szCs w:val="24"/>
              </w:rPr>
              <w:t>*, ból w klatce piersiowej</w:t>
            </w:r>
            <w:r w:rsidRPr="007E4DA1">
              <w:rPr>
                <w:szCs w:val="24"/>
                <w:lang w:eastAsia="ja-JP"/>
              </w:rPr>
              <w:t>, osłabienie</w:t>
            </w:r>
          </w:p>
          <w:p w14:paraId="542A8CC3" w14:textId="77777777" w:rsidR="00A65BF1" w:rsidRPr="007E4DA1" w:rsidRDefault="00A65BF1" w:rsidP="00353671">
            <w:pPr>
              <w:keepLines/>
              <w:autoSpaceDE w:val="0"/>
              <w:autoSpaceDN w:val="0"/>
              <w:adjustRightInd w:val="0"/>
              <w:rPr>
                <w:szCs w:val="24"/>
                <w:lang w:eastAsia="ja-JP"/>
              </w:rPr>
            </w:pPr>
            <w:r w:rsidRPr="007E4DA1">
              <w:rPr>
                <w:szCs w:val="24"/>
                <w:lang w:eastAsia="ja-JP"/>
              </w:rPr>
              <w:t>*Bardzo często u dzieci i młodzieży z ITP</w:t>
            </w:r>
          </w:p>
        </w:tc>
      </w:tr>
      <w:tr w:rsidR="00A65BF1" w:rsidRPr="007E4DA1" w14:paraId="6302C3F5" w14:textId="77777777" w:rsidTr="00EE3105">
        <w:trPr>
          <w:cantSplit/>
          <w:trHeight w:val="525"/>
        </w:trPr>
        <w:tc>
          <w:tcPr>
            <w:tcW w:w="2751" w:type="dxa"/>
            <w:vMerge/>
            <w:shd w:val="clear" w:color="auto" w:fill="auto"/>
          </w:tcPr>
          <w:p w14:paraId="2BF34E78" w14:textId="77777777" w:rsidR="00A65BF1" w:rsidRPr="007E4DA1" w:rsidRDefault="00A65BF1" w:rsidP="00EE3105">
            <w:pPr>
              <w:keepLines/>
              <w:autoSpaceDE w:val="0"/>
              <w:autoSpaceDN w:val="0"/>
              <w:adjustRightInd w:val="0"/>
              <w:rPr>
                <w:szCs w:val="24"/>
                <w:lang w:eastAsia="ja-JP"/>
              </w:rPr>
            </w:pPr>
          </w:p>
        </w:tc>
        <w:tc>
          <w:tcPr>
            <w:tcW w:w="1537" w:type="dxa"/>
            <w:shd w:val="clear" w:color="auto" w:fill="auto"/>
          </w:tcPr>
          <w:p w14:paraId="30161F25" w14:textId="77777777" w:rsidR="00A65BF1" w:rsidRPr="007E4DA1" w:rsidRDefault="00A65BF1" w:rsidP="00353671">
            <w:pPr>
              <w:keepLines/>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5BB5A834" w14:textId="77777777" w:rsidR="00A65BF1" w:rsidRPr="007E4DA1" w:rsidRDefault="00A65BF1" w:rsidP="00353671">
            <w:pPr>
              <w:keepLines/>
              <w:autoSpaceDE w:val="0"/>
              <w:autoSpaceDN w:val="0"/>
              <w:adjustRightInd w:val="0"/>
              <w:ind w:left="0" w:firstLine="0"/>
              <w:rPr>
                <w:szCs w:val="24"/>
                <w:lang w:eastAsia="ja-JP"/>
              </w:rPr>
            </w:pPr>
            <w:r w:rsidRPr="007E4DA1">
              <w:rPr>
                <w:szCs w:val="24"/>
                <w:lang w:eastAsia="ja-JP"/>
              </w:rPr>
              <w:t>Uczucie gorąca, krwotok w miejscu nakłucia naczynia, podenerwowanie, stan zapalny rany, złe samopoczucie, uczucie obecności ciała obcego</w:t>
            </w:r>
          </w:p>
        </w:tc>
      </w:tr>
      <w:tr w:rsidR="00A65BF1" w:rsidRPr="007E4DA1" w14:paraId="0CAA3CA1" w14:textId="77777777" w:rsidTr="00EE3105">
        <w:trPr>
          <w:cantSplit/>
          <w:trHeight w:val="255"/>
        </w:trPr>
        <w:tc>
          <w:tcPr>
            <w:tcW w:w="2751" w:type="dxa"/>
            <w:vMerge w:val="restart"/>
            <w:shd w:val="clear" w:color="auto" w:fill="auto"/>
          </w:tcPr>
          <w:p w14:paraId="7C246B83" w14:textId="77777777" w:rsidR="00A65BF1" w:rsidRPr="007E4DA1" w:rsidRDefault="00A65BF1" w:rsidP="001A6584">
            <w:pPr>
              <w:keepNext/>
              <w:keepLines/>
              <w:autoSpaceDE w:val="0"/>
              <w:autoSpaceDN w:val="0"/>
              <w:adjustRightInd w:val="0"/>
              <w:rPr>
                <w:iCs/>
                <w:szCs w:val="24"/>
                <w:lang w:eastAsia="ja-JP"/>
              </w:rPr>
            </w:pPr>
            <w:r w:rsidRPr="007E4DA1">
              <w:rPr>
                <w:iCs/>
                <w:szCs w:val="24"/>
                <w:lang w:eastAsia="ja-JP"/>
              </w:rPr>
              <w:lastRenderedPageBreak/>
              <w:t>Badania diagnostyczne</w:t>
            </w:r>
          </w:p>
        </w:tc>
        <w:tc>
          <w:tcPr>
            <w:tcW w:w="1537" w:type="dxa"/>
            <w:shd w:val="clear" w:color="auto" w:fill="auto"/>
          </w:tcPr>
          <w:p w14:paraId="1C3D74CE" w14:textId="77777777" w:rsidR="00A65BF1" w:rsidRPr="007E4DA1" w:rsidRDefault="00A65BF1" w:rsidP="001A6584">
            <w:pPr>
              <w:keepNext/>
              <w:keepLines/>
              <w:autoSpaceDE w:val="0"/>
              <w:autoSpaceDN w:val="0"/>
              <w:adjustRightInd w:val="0"/>
              <w:rPr>
                <w:iCs/>
                <w:szCs w:val="24"/>
                <w:lang w:eastAsia="ja-JP"/>
              </w:rPr>
            </w:pPr>
            <w:r w:rsidRPr="007E4DA1">
              <w:rPr>
                <w:iCs/>
                <w:szCs w:val="24"/>
                <w:lang w:eastAsia="ja-JP"/>
              </w:rPr>
              <w:t>Często</w:t>
            </w:r>
          </w:p>
        </w:tc>
        <w:tc>
          <w:tcPr>
            <w:tcW w:w="4921" w:type="dxa"/>
            <w:shd w:val="clear" w:color="auto" w:fill="auto"/>
          </w:tcPr>
          <w:p w14:paraId="7CB6D22E" w14:textId="77777777" w:rsidR="00A65BF1" w:rsidRPr="007E4DA1" w:rsidRDefault="00A65BF1" w:rsidP="003D2760">
            <w:pPr>
              <w:keepLines/>
              <w:autoSpaceDE w:val="0"/>
              <w:autoSpaceDN w:val="0"/>
              <w:adjustRightInd w:val="0"/>
              <w:ind w:left="0" w:firstLine="0"/>
              <w:rPr>
                <w:szCs w:val="24"/>
                <w:lang w:eastAsia="ja-JP"/>
              </w:rPr>
            </w:pPr>
            <w:r w:rsidRPr="007E4DA1">
              <w:rPr>
                <w:szCs w:val="24"/>
                <w:lang w:eastAsia="ja-JP"/>
              </w:rPr>
              <w:t>Zwiększenie aktywności fosfatazy alkalicznej we krwi</w:t>
            </w:r>
          </w:p>
        </w:tc>
      </w:tr>
      <w:tr w:rsidR="00A65BF1" w:rsidRPr="007E4DA1" w14:paraId="75FD1668" w14:textId="77777777" w:rsidTr="00EE3105">
        <w:trPr>
          <w:cantSplit/>
        </w:trPr>
        <w:tc>
          <w:tcPr>
            <w:tcW w:w="2751" w:type="dxa"/>
            <w:vMerge/>
            <w:shd w:val="clear" w:color="auto" w:fill="auto"/>
          </w:tcPr>
          <w:p w14:paraId="79E4A129" w14:textId="77777777" w:rsidR="00A65BF1" w:rsidRPr="007E4DA1" w:rsidRDefault="00A65BF1" w:rsidP="001A6584">
            <w:pPr>
              <w:keepNext/>
              <w:autoSpaceDE w:val="0"/>
              <w:autoSpaceDN w:val="0"/>
              <w:adjustRightInd w:val="0"/>
              <w:rPr>
                <w:iCs/>
                <w:szCs w:val="24"/>
                <w:lang w:eastAsia="ja-JP"/>
              </w:rPr>
            </w:pPr>
          </w:p>
        </w:tc>
        <w:tc>
          <w:tcPr>
            <w:tcW w:w="1537" w:type="dxa"/>
            <w:shd w:val="clear" w:color="auto" w:fill="auto"/>
          </w:tcPr>
          <w:p w14:paraId="53079655" w14:textId="77777777" w:rsidR="00A65BF1" w:rsidRPr="007E4DA1" w:rsidRDefault="00A65BF1" w:rsidP="001A6584">
            <w:pPr>
              <w:keepLines/>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651F1F35" w14:textId="77777777" w:rsidR="00A65BF1" w:rsidRPr="007E4DA1" w:rsidRDefault="00A65BF1" w:rsidP="003D2760">
            <w:pPr>
              <w:keepLines/>
              <w:autoSpaceDE w:val="0"/>
              <w:autoSpaceDN w:val="0"/>
              <w:adjustRightInd w:val="0"/>
              <w:ind w:left="0" w:firstLine="0"/>
              <w:rPr>
                <w:szCs w:val="24"/>
                <w:lang w:eastAsia="ja-JP"/>
              </w:rPr>
            </w:pPr>
            <w:r w:rsidRPr="007E4DA1">
              <w:rPr>
                <w:szCs w:val="24"/>
                <w:lang w:eastAsia="ja-JP"/>
              </w:rPr>
              <w:t>Zwiększenie stężenia albuminy we krwi, zwiększenie stężenia białka całkowitego, zmniejszenie stężenia albuminy we krwi, zwiększenie pH moczu</w:t>
            </w:r>
          </w:p>
        </w:tc>
      </w:tr>
      <w:tr w:rsidR="00A65BF1" w:rsidRPr="007E4DA1" w14:paraId="219C4425" w14:textId="77777777" w:rsidTr="00EE3105">
        <w:trPr>
          <w:cantSplit/>
          <w:trHeight w:val="510"/>
        </w:trPr>
        <w:tc>
          <w:tcPr>
            <w:tcW w:w="2751" w:type="dxa"/>
            <w:shd w:val="clear" w:color="auto" w:fill="auto"/>
          </w:tcPr>
          <w:p w14:paraId="0951920A" w14:textId="77777777" w:rsidR="00A65BF1" w:rsidRPr="007E4DA1" w:rsidRDefault="00A65BF1" w:rsidP="001A6584">
            <w:pPr>
              <w:keepNext/>
              <w:keepLines/>
              <w:autoSpaceDE w:val="0"/>
              <w:autoSpaceDN w:val="0"/>
              <w:adjustRightInd w:val="0"/>
              <w:ind w:left="0" w:firstLine="0"/>
              <w:rPr>
                <w:szCs w:val="24"/>
              </w:rPr>
            </w:pPr>
            <w:r w:rsidRPr="007E4DA1">
              <w:rPr>
                <w:szCs w:val="24"/>
              </w:rPr>
              <w:t>Urazy, zatrucia i powikłania po zabiegach</w:t>
            </w:r>
          </w:p>
        </w:tc>
        <w:tc>
          <w:tcPr>
            <w:tcW w:w="1537" w:type="dxa"/>
            <w:shd w:val="clear" w:color="auto" w:fill="auto"/>
          </w:tcPr>
          <w:p w14:paraId="195C3FA9" w14:textId="77777777" w:rsidR="00A65BF1" w:rsidRPr="007E4DA1" w:rsidRDefault="00A65BF1" w:rsidP="001A6584">
            <w:pPr>
              <w:keepNext/>
              <w:keepLines/>
              <w:autoSpaceDE w:val="0"/>
              <w:autoSpaceDN w:val="0"/>
              <w:adjustRightInd w:val="0"/>
              <w:rPr>
                <w:szCs w:val="24"/>
                <w:lang w:eastAsia="ja-JP"/>
              </w:rPr>
            </w:pPr>
            <w:r w:rsidRPr="007E4DA1">
              <w:rPr>
                <w:szCs w:val="24"/>
                <w:lang w:eastAsia="ja-JP"/>
              </w:rPr>
              <w:t>Niezbyt często</w:t>
            </w:r>
          </w:p>
        </w:tc>
        <w:tc>
          <w:tcPr>
            <w:tcW w:w="4921" w:type="dxa"/>
            <w:shd w:val="clear" w:color="auto" w:fill="auto"/>
          </w:tcPr>
          <w:p w14:paraId="0302E873" w14:textId="77777777" w:rsidR="00A65BF1" w:rsidRPr="007E4DA1" w:rsidRDefault="00A65BF1" w:rsidP="001A6584">
            <w:pPr>
              <w:keepNext/>
              <w:keepLines/>
              <w:autoSpaceDE w:val="0"/>
              <w:autoSpaceDN w:val="0"/>
              <w:adjustRightInd w:val="0"/>
              <w:rPr>
                <w:szCs w:val="24"/>
              </w:rPr>
            </w:pPr>
            <w:r w:rsidRPr="007E4DA1">
              <w:rPr>
                <w:szCs w:val="24"/>
              </w:rPr>
              <w:t>Oparzenie słoneczne</w:t>
            </w:r>
          </w:p>
        </w:tc>
      </w:tr>
      <w:tr w:rsidR="00E21164" w:rsidRPr="007E4DA1" w14:paraId="677EF47F" w14:textId="77777777" w:rsidTr="00EE3105">
        <w:trPr>
          <w:cantSplit/>
          <w:trHeight w:val="510"/>
        </w:trPr>
        <w:tc>
          <w:tcPr>
            <w:tcW w:w="9209" w:type="dxa"/>
            <w:gridSpan w:val="3"/>
            <w:shd w:val="clear" w:color="auto" w:fill="auto"/>
          </w:tcPr>
          <w:p w14:paraId="179C3339" w14:textId="77777777" w:rsidR="00E21164" w:rsidRPr="003D2760" w:rsidRDefault="00E21164" w:rsidP="001A6584">
            <w:pPr>
              <w:keepNext/>
              <w:keepLines/>
              <w:rPr>
                <w:sz w:val="20"/>
                <w:szCs w:val="20"/>
              </w:rPr>
            </w:pPr>
            <w:r w:rsidRPr="003D2760">
              <w:rPr>
                <w:sz w:val="20"/>
                <w:szCs w:val="20"/>
                <w:vertAlign w:val="superscript"/>
              </w:rPr>
              <w:t>♦</w:t>
            </w:r>
            <w:r w:rsidRPr="003D2760">
              <w:rPr>
                <w:sz w:val="20"/>
                <w:szCs w:val="20"/>
                <w:vertAlign w:val="superscript"/>
              </w:rPr>
              <w:tab/>
            </w:r>
            <w:r w:rsidRPr="003D2760">
              <w:rPr>
                <w:sz w:val="20"/>
                <w:szCs w:val="20"/>
              </w:rPr>
              <w:t>Dodatkowe działania niepożądane obserwowane w badaniach z udziałem dzieci i młodzieży (w wieku od 1 do 17 lat).</w:t>
            </w:r>
          </w:p>
          <w:p w14:paraId="5E65CA34" w14:textId="77777777" w:rsidR="00E21164" w:rsidRPr="003D2760" w:rsidRDefault="00E21164" w:rsidP="001A6584">
            <w:pPr>
              <w:keepLines/>
              <w:autoSpaceDE w:val="0"/>
              <w:autoSpaceDN w:val="0"/>
              <w:adjustRightInd w:val="0"/>
              <w:rPr>
                <w:rFonts w:eastAsia="MS Mincho"/>
                <w:color w:val="000000"/>
                <w:sz w:val="20"/>
                <w:szCs w:val="20"/>
                <w:lang w:eastAsia="ja-JP"/>
              </w:rPr>
            </w:pPr>
            <w:r w:rsidRPr="003D2760">
              <w:rPr>
                <w:sz w:val="20"/>
                <w:szCs w:val="20"/>
                <w:vertAlign w:val="superscript"/>
                <w:lang w:eastAsia="ja-JP"/>
              </w:rPr>
              <w:t>†</w:t>
            </w:r>
            <w:r w:rsidRPr="003D2760">
              <w:rPr>
                <w:rFonts w:eastAsia="MS Mincho"/>
                <w:color w:val="000000"/>
                <w:sz w:val="20"/>
                <w:szCs w:val="20"/>
                <w:lang w:eastAsia="ja-JP"/>
              </w:rPr>
              <w:tab/>
              <w:t>Zwiększenie aktywności aminotransferazy alaninowej i aminotransferazy asparaginianowej może występować jednocześnie, chociaż z mniejszą częstością.</w:t>
            </w:r>
          </w:p>
          <w:p w14:paraId="48FE869C" w14:textId="6634E4BD" w:rsidR="00E21164" w:rsidRPr="003D2760" w:rsidRDefault="00E21164" w:rsidP="003D2760">
            <w:pPr>
              <w:keepLines/>
              <w:autoSpaceDE w:val="0"/>
              <w:autoSpaceDN w:val="0"/>
              <w:adjustRightInd w:val="0"/>
              <w:rPr>
                <w:sz w:val="20"/>
                <w:szCs w:val="20"/>
              </w:rPr>
            </w:pPr>
            <w:r w:rsidRPr="003D2760">
              <w:rPr>
                <w:sz w:val="20"/>
                <w:szCs w:val="20"/>
                <w:vertAlign w:val="superscript"/>
                <w:lang w:eastAsia="ja-JP"/>
              </w:rPr>
              <w:t>‡</w:t>
            </w:r>
            <w:r w:rsidRPr="003D2760">
              <w:rPr>
                <w:sz w:val="20"/>
                <w:szCs w:val="20"/>
                <w:lang w:eastAsia="ja-JP"/>
              </w:rPr>
              <w:tab/>
            </w:r>
            <w:r w:rsidRPr="003D2760">
              <w:rPr>
                <w:sz w:val="20"/>
                <w:szCs w:val="20"/>
              </w:rPr>
              <w:t>Termin zbiorczy obejmujący preferowane terminy oznaczające ostre uszkodzenie nerek i niewydolność nerek</w:t>
            </w:r>
            <w:r w:rsidR="001260F0">
              <w:rPr>
                <w:sz w:val="20"/>
                <w:szCs w:val="20"/>
              </w:rPr>
              <w:t>.</w:t>
            </w:r>
          </w:p>
        </w:tc>
      </w:tr>
    </w:tbl>
    <w:p w14:paraId="3E3A58AB" w14:textId="77777777" w:rsidR="00D36ECF" w:rsidRPr="007E4DA1" w:rsidRDefault="00D36ECF" w:rsidP="001A6584">
      <w:pPr>
        <w:autoSpaceDE w:val="0"/>
        <w:autoSpaceDN w:val="0"/>
        <w:adjustRightInd w:val="0"/>
        <w:rPr>
          <w:rFonts w:eastAsia="MS Mincho"/>
          <w:color w:val="000000"/>
          <w:szCs w:val="22"/>
          <w:lang w:eastAsia="ja-JP"/>
        </w:rPr>
      </w:pPr>
    </w:p>
    <w:p w14:paraId="68C6F16B" w14:textId="0F1A154A" w:rsidR="00041A08" w:rsidRPr="00041A08" w:rsidRDefault="00E21164">
      <w:pPr>
        <w:keepNext/>
        <w:tabs>
          <w:tab w:val="left" w:pos="142"/>
        </w:tabs>
        <w:autoSpaceDE w:val="0"/>
        <w:autoSpaceDN w:val="0"/>
        <w:adjustRightInd w:val="0"/>
        <w:ind w:left="1134" w:hanging="1134"/>
        <w:rPr>
          <w:rFonts w:eastAsia="MS Mincho"/>
          <w:szCs w:val="22"/>
        </w:rPr>
      </w:pPr>
      <w:r>
        <w:rPr>
          <w:b/>
        </w:rPr>
        <w:t>Tabela 5</w:t>
      </w:r>
      <w:r>
        <w:rPr>
          <w:b/>
        </w:rPr>
        <w:tab/>
        <w:t>Działania niepożądane w p</w:t>
      </w:r>
      <w:r w:rsidR="00A350DA" w:rsidRPr="007E4DA1">
        <w:rPr>
          <w:b/>
        </w:rPr>
        <w:t>opulacj</w:t>
      </w:r>
      <w:r>
        <w:rPr>
          <w:b/>
        </w:rPr>
        <w:t>i</w:t>
      </w:r>
      <w:r w:rsidR="00A350DA" w:rsidRPr="007E4DA1">
        <w:rPr>
          <w:b/>
        </w:rPr>
        <w:t xml:space="preserve"> pacjentów uczestniczących w badaniach dotyczących zakażenia wirusem WZW C (leczenie w skojarzeniu z terapią przeciwwirusową zawierającą interferon i rybawirynę)</w:t>
      </w:r>
    </w:p>
    <w:p w14:paraId="45029AE0" w14:textId="3466DA06" w:rsidR="00C02CBB" w:rsidRPr="007E4DA1" w:rsidRDefault="00C02CBB" w:rsidP="001A6584">
      <w:pPr>
        <w:keepNext/>
        <w:tabs>
          <w:tab w:val="left" w:pos="142"/>
        </w:tabs>
        <w:autoSpaceDE w:val="0"/>
        <w:autoSpaceDN w:val="0"/>
        <w:adjustRightInd w:val="0"/>
        <w:ind w:left="0" w:firstLine="0"/>
        <w:rPr>
          <w:rFonts w:eastAsia="MS Mincho"/>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gridCol w:w="4990"/>
      </w:tblGrid>
      <w:tr w:rsidR="00413D2F" w:rsidRPr="007E4DA1" w14:paraId="5B8A77E7" w14:textId="77777777" w:rsidTr="00EE3105">
        <w:trPr>
          <w:cantSplit/>
        </w:trPr>
        <w:tc>
          <w:tcPr>
            <w:tcW w:w="2943" w:type="dxa"/>
            <w:shd w:val="clear" w:color="auto" w:fill="auto"/>
          </w:tcPr>
          <w:p w14:paraId="0FFC5E0B" w14:textId="77777777" w:rsidR="00413D2F" w:rsidRPr="007E4DA1" w:rsidRDefault="00413D2F" w:rsidP="001A6584">
            <w:pPr>
              <w:keepNext/>
              <w:ind w:left="0" w:firstLine="0"/>
              <w:rPr>
                <w:b/>
                <w:color w:val="000000"/>
                <w:szCs w:val="22"/>
                <w:lang w:eastAsia="ja-JP"/>
              </w:rPr>
            </w:pPr>
            <w:r w:rsidRPr="007E4DA1">
              <w:rPr>
                <w:b/>
                <w:color w:val="000000"/>
                <w:szCs w:val="22"/>
                <w:lang w:eastAsia="ja-JP"/>
              </w:rPr>
              <w:t>Klasyfikacja układów i narządów</w:t>
            </w:r>
          </w:p>
        </w:tc>
        <w:tc>
          <w:tcPr>
            <w:tcW w:w="1276" w:type="dxa"/>
            <w:shd w:val="clear" w:color="auto" w:fill="auto"/>
          </w:tcPr>
          <w:p w14:paraId="5FB0773A" w14:textId="77777777" w:rsidR="00413D2F" w:rsidRPr="007E4DA1" w:rsidRDefault="00413D2F" w:rsidP="001A6584">
            <w:pPr>
              <w:keepNext/>
              <w:keepLines/>
              <w:autoSpaceDE w:val="0"/>
              <w:autoSpaceDN w:val="0"/>
              <w:adjustRightInd w:val="0"/>
              <w:ind w:left="34" w:hanging="34"/>
              <w:rPr>
                <w:b/>
                <w:iCs/>
                <w:szCs w:val="22"/>
                <w:lang w:eastAsia="ja-JP"/>
              </w:rPr>
            </w:pPr>
            <w:r w:rsidRPr="007E4DA1">
              <w:rPr>
                <w:b/>
                <w:iCs/>
                <w:szCs w:val="22"/>
                <w:lang w:eastAsia="ja-JP"/>
              </w:rPr>
              <w:t>Częstość występowania</w:t>
            </w:r>
          </w:p>
        </w:tc>
        <w:tc>
          <w:tcPr>
            <w:tcW w:w="4990" w:type="dxa"/>
            <w:shd w:val="clear" w:color="auto" w:fill="auto"/>
          </w:tcPr>
          <w:p w14:paraId="0FDAE4DC" w14:textId="77777777" w:rsidR="00413D2F" w:rsidRPr="007E4DA1" w:rsidRDefault="00413D2F" w:rsidP="001A6584">
            <w:pPr>
              <w:keepNext/>
              <w:keepLines/>
              <w:autoSpaceDE w:val="0"/>
              <w:autoSpaceDN w:val="0"/>
              <w:adjustRightInd w:val="0"/>
              <w:rPr>
                <w:b/>
                <w:color w:val="000000"/>
                <w:szCs w:val="22"/>
                <w:lang w:eastAsia="ja-JP"/>
              </w:rPr>
            </w:pPr>
            <w:r w:rsidRPr="007E4DA1">
              <w:rPr>
                <w:b/>
                <w:color w:val="000000"/>
                <w:szCs w:val="22"/>
                <w:lang w:eastAsia="ja-JP"/>
              </w:rPr>
              <w:t>Działanie niepożądane</w:t>
            </w:r>
          </w:p>
        </w:tc>
      </w:tr>
      <w:tr w:rsidR="00413D2F" w:rsidRPr="007E4DA1" w14:paraId="2E943A13" w14:textId="77777777" w:rsidTr="00EE3105">
        <w:trPr>
          <w:cantSplit/>
        </w:trPr>
        <w:tc>
          <w:tcPr>
            <w:tcW w:w="2943" w:type="dxa"/>
            <w:vMerge w:val="restart"/>
            <w:shd w:val="clear" w:color="auto" w:fill="auto"/>
          </w:tcPr>
          <w:p w14:paraId="6A26CAA8" w14:textId="77777777" w:rsidR="00413D2F" w:rsidRPr="007E4DA1" w:rsidRDefault="00413D2F" w:rsidP="001A6584">
            <w:pPr>
              <w:keepNext/>
              <w:keepLines/>
              <w:ind w:left="0" w:firstLine="0"/>
              <w:rPr>
                <w:color w:val="000000"/>
                <w:szCs w:val="22"/>
                <w:lang w:eastAsia="ja-JP"/>
              </w:rPr>
            </w:pPr>
            <w:r w:rsidRPr="007E4DA1">
              <w:rPr>
                <w:color w:val="000000"/>
                <w:szCs w:val="22"/>
                <w:lang w:eastAsia="ja-JP"/>
              </w:rPr>
              <w:t>Zakażenia i zarażenia pasożytnicze</w:t>
            </w:r>
          </w:p>
        </w:tc>
        <w:tc>
          <w:tcPr>
            <w:tcW w:w="1276" w:type="dxa"/>
            <w:shd w:val="clear" w:color="auto" w:fill="auto"/>
          </w:tcPr>
          <w:p w14:paraId="6D3984E4" w14:textId="77777777" w:rsidR="00413D2F" w:rsidRPr="007E4DA1" w:rsidRDefault="00413D2F" w:rsidP="001A6584">
            <w:pPr>
              <w:keepNext/>
              <w:keepLines/>
              <w:autoSpaceDE w:val="0"/>
              <w:autoSpaceDN w:val="0"/>
              <w:adjustRightInd w:val="0"/>
              <w:rPr>
                <w:iCs/>
                <w:szCs w:val="22"/>
                <w:lang w:eastAsia="ja-JP"/>
              </w:rPr>
            </w:pPr>
            <w:r w:rsidRPr="007E4DA1">
              <w:rPr>
                <w:iCs/>
                <w:szCs w:val="22"/>
                <w:lang w:eastAsia="ja-JP"/>
              </w:rPr>
              <w:t>Często</w:t>
            </w:r>
          </w:p>
        </w:tc>
        <w:tc>
          <w:tcPr>
            <w:tcW w:w="4990" w:type="dxa"/>
            <w:shd w:val="clear" w:color="auto" w:fill="auto"/>
          </w:tcPr>
          <w:p w14:paraId="52AC1451" w14:textId="77777777" w:rsidR="00413D2F" w:rsidRPr="0090150C" w:rsidRDefault="00413D2F" w:rsidP="0090150C">
            <w:pPr>
              <w:keepNext/>
              <w:keepLines/>
              <w:autoSpaceDE w:val="0"/>
              <w:autoSpaceDN w:val="0"/>
              <w:adjustRightInd w:val="0"/>
              <w:ind w:left="0" w:firstLine="0"/>
            </w:pPr>
            <w:r w:rsidRPr="0090150C">
              <w:t>Zakażenie układu moczowego, zakażenie górnych dróg oddechowych, zapalenie oskrzeli, zapalenie nosogardła, grypa, opryszczka wargowa</w:t>
            </w:r>
          </w:p>
        </w:tc>
      </w:tr>
      <w:tr w:rsidR="00413D2F" w:rsidRPr="007E4DA1" w14:paraId="7BCF2FC9" w14:textId="77777777" w:rsidTr="00EE3105">
        <w:trPr>
          <w:cantSplit/>
        </w:trPr>
        <w:tc>
          <w:tcPr>
            <w:tcW w:w="2943" w:type="dxa"/>
            <w:vMerge/>
            <w:shd w:val="clear" w:color="auto" w:fill="auto"/>
          </w:tcPr>
          <w:p w14:paraId="0784ABCB" w14:textId="77777777" w:rsidR="00413D2F" w:rsidRPr="007E4DA1" w:rsidRDefault="00413D2F" w:rsidP="001A6584">
            <w:pPr>
              <w:keepNext/>
              <w:rPr>
                <w:color w:val="000000"/>
                <w:szCs w:val="22"/>
                <w:lang w:eastAsia="ja-JP"/>
              </w:rPr>
            </w:pPr>
          </w:p>
        </w:tc>
        <w:tc>
          <w:tcPr>
            <w:tcW w:w="1276" w:type="dxa"/>
            <w:shd w:val="clear" w:color="auto" w:fill="auto"/>
          </w:tcPr>
          <w:p w14:paraId="07BF49C4" w14:textId="77777777" w:rsidR="00413D2F" w:rsidRPr="007E4DA1" w:rsidRDefault="00413D2F" w:rsidP="001A6584">
            <w:pPr>
              <w:keepNext/>
              <w:keepLines/>
              <w:autoSpaceDE w:val="0"/>
              <w:autoSpaceDN w:val="0"/>
              <w:adjustRightInd w:val="0"/>
              <w:ind w:left="0" w:firstLine="0"/>
              <w:rPr>
                <w:iCs/>
                <w:szCs w:val="22"/>
                <w:lang w:eastAsia="ja-JP"/>
              </w:rPr>
            </w:pPr>
            <w:r w:rsidRPr="007E4DA1">
              <w:rPr>
                <w:iCs/>
                <w:szCs w:val="22"/>
                <w:lang w:eastAsia="ja-JP"/>
              </w:rPr>
              <w:t>Niezbyt często</w:t>
            </w:r>
          </w:p>
        </w:tc>
        <w:tc>
          <w:tcPr>
            <w:tcW w:w="4990" w:type="dxa"/>
            <w:shd w:val="clear" w:color="auto" w:fill="auto"/>
          </w:tcPr>
          <w:p w14:paraId="507D8E76" w14:textId="77777777" w:rsidR="00413D2F" w:rsidRPr="0090150C" w:rsidRDefault="00413D2F" w:rsidP="0090150C">
            <w:pPr>
              <w:keepNext/>
              <w:keepLines/>
              <w:autoSpaceDE w:val="0"/>
              <w:autoSpaceDN w:val="0"/>
              <w:adjustRightInd w:val="0"/>
              <w:ind w:left="0" w:firstLine="0"/>
            </w:pPr>
            <w:r w:rsidRPr="0090150C">
              <w:t>Zapalenie żołądka i jelit, zapalenie gardła</w:t>
            </w:r>
          </w:p>
        </w:tc>
      </w:tr>
      <w:tr w:rsidR="00413D2F" w:rsidRPr="007E4DA1" w14:paraId="76B3D760" w14:textId="77777777" w:rsidTr="00EE3105">
        <w:trPr>
          <w:cantSplit/>
        </w:trPr>
        <w:tc>
          <w:tcPr>
            <w:tcW w:w="2943" w:type="dxa"/>
            <w:tcBorders>
              <w:bottom w:val="single" w:sz="4" w:space="0" w:color="auto"/>
            </w:tcBorders>
            <w:shd w:val="clear" w:color="auto" w:fill="auto"/>
          </w:tcPr>
          <w:p w14:paraId="566939F0" w14:textId="77777777" w:rsidR="00413D2F" w:rsidRPr="007E4DA1" w:rsidRDefault="00413D2F" w:rsidP="001A6584">
            <w:pPr>
              <w:keepLines/>
              <w:ind w:left="0" w:firstLine="0"/>
              <w:rPr>
                <w:color w:val="000000"/>
                <w:szCs w:val="22"/>
                <w:lang w:eastAsia="ja-JP"/>
              </w:rPr>
            </w:pPr>
            <w:r w:rsidRPr="007E4DA1">
              <w:rPr>
                <w:color w:val="000000"/>
                <w:szCs w:val="22"/>
                <w:lang w:eastAsia="ja-JP"/>
              </w:rPr>
              <w:t>Nowotwory łagodne, złośliwe i nieokreślone (w tym torbiele i polipy)</w:t>
            </w:r>
          </w:p>
        </w:tc>
        <w:tc>
          <w:tcPr>
            <w:tcW w:w="1276" w:type="dxa"/>
            <w:shd w:val="clear" w:color="auto" w:fill="auto"/>
          </w:tcPr>
          <w:p w14:paraId="1DE09936" w14:textId="77777777" w:rsidR="00413D2F" w:rsidRPr="007E4DA1" w:rsidRDefault="00413D2F" w:rsidP="001A6584">
            <w:pPr>
              <w:keepLines/>
              <w:autoSpaceDE w:val="0"/>
              <w:autoSpaceDN w:val="0"/>
              <w:adjustRightInd w:val="0"/>
              <w:rPr>
                <w:iCs/>
                <w:szCs w:val="22"/>
                <w:lang w:eastAsia="ja-JP"/>
              </w:rPr>
            </w:pPr>
            <w:r w:rsidRPr="007E4DA1">
              <w:rPr>
                <w:iCs/>
                <w:szCs w:val="22"/>
                <w:lang w:eastAsia="ja-JP"/>
              </w:rPr>
              <w:t>Często</w:t>
            </w:r>
          </w:p>
        </w:tc>
        <w:tc>
          <w:tcPr>
            <w:tcW w:w="4990" w:type="dxa"/>
            <w:shd w:val="clear" w:color="auto" w:fill="auto"/>
          </w:tcPr>
          <w:p w14:paraId="4C626B1B" w14:textId="77777777" w:rsidR="00413D2F" w:rsidRPr="0090150C" w:rsidRDefault="00413D2F" w:rsidP="0090150C">
            <w:pPr>
              <w:keepNext/>
              <w:keepLines/>
              <w:autoSpaceDE w:val="0"/>
              <w:autoSpaceDN w:val="0"/>
              <w:adjustRightInd w:val="0"/>
              <w:ind w:left="0" w:firstLine="0"/>
            </w:pPr>
            <w:r w:rsidRPr="0090150C">
              <w:t>Nowotwór złośliwy wątroby</w:t>
            </w:r>
          </w:p>
        </w:tc>
      </w:tr>
      <w:tr w:rsidR="00413D2F" w:rsidRPr="007E4DA1" w14:paraId="4E0BD657" w14:textId="77777777" w:rsidTr="00EE3105">
        <w:trPr>
          <w:cantSplit/>
        </w:trPr>
        <w:tc>
          <w:tcPr>
            <w:tcW w:w="2943" w:type="dxa"/>
            <w:vMerge w:val="restart"/>
            <w:shd w:val="clear" w:color="auto" w:fill="auto"/>
          </w:tcPr>
          <w:p w14:paraId="6C5A85A5" w14:textId="77777777" w:rsidR="00413D2F" w:rsidRPr="007E4DA1" w:rsidRDefault="00413D2F" w:rsidP="001A6584">
            <w:pPr>
              <w:keepNext/>
              <w:keepLines/>
              <w:autoSpaceDE w:val="0"/>
              <w:autoSpaceDN w:val="0"/>
              <w:adjustRightInd w:val="0"/>
              <w:ind w:left="0" w:firstLine="0"/>
              <w:rPr>
                <w:szCs w:val="22"/>
                <w:lang w:eastAsia="ja-JP"/>
              </w:rPr>
            </w:pPr>
            <w:r w:rsidRPr="007E4DA1">
              <w:rPr>
                <w:szCs w:val="22"/>
                <w:lang w:eastAsia="ja-JP"/>
              </w:rPr>
              <w:t>Zaburzenia krwi i układu chłonnego</w:t>
            </w:r>
          </w:p>
        </w:tc>
        <w:tc>
          <w:tcPr>
            <w:tcW w:w="1276" w:type="dxa"/>
            <w:shd w:val="clear" w:color="auto" w:fill="auto"/>
          </w:tcPr>
          <w:p w14:paraId="67C5E9E0" w14:textId="77777777" w:rsidR="00413D2F" w:rsidRPr="007E4DA1" w:rsidRDefault="00413D2F" w:rsidP="001A6584">
            <w:pPr>
              <w:keepNext/>
              <w:keepLines/>
              <w:autoSpaceDE w:val="0"/>
              <w:autoSpaceDN w:val="0"/>
              <w:adjustRightInd w:val="0"/>
              <w:ind w:left="34" w:hanging="34"/>
              <w:rPr>
                <w:iCs/>
                <w:szCs w:val="22"/>
                <w:lang w:eastAsia="ja-JP"/>
              </w:rPr>
            </w:pPr>
            <w:r w:rsidRPr="007E4DA1">
              <w:rPr>
                <w:iCs/>
                <w:szCs w:val="22"/>
                <w:lang w:eastAsia="ja-JP"/>
              </w:rPr>
              <w:t>Bardzo często</w:t>
            </w:r>
          </w:p>
        </w:tc>
        <w:tc>
          <w:tcPr>
            <w:tcW w:w="4990" w:type="dxa"/>
            <w:shd w:val="clear" w:color="auto" w:fill="auto"/>
          </w:tcPr>
          <w:p w14:paraId="2EAA159C" w14:textId="77777777" w:rsidR="00413D2F" w:rsidRPr="0090150C" w:rsidRDefault="00413D2F" w:rsidP="0090150C">
            <w:pPr>
              <w:keepNext/>
              <w:keepLines/>
              <w:autoSpaceDE w:val="0"/>
              <w:autoSpaceDN w:val="0"/>
              <w:adjustRightInd w:val="0"/>
              <w:ind w:left="0" w:firstLine="0"/>
            </w:pPr>
            <w:r w:rsidRPr="0090150C">
              <w:t>Niedokrwistość</w:t>
            </w:r>
          </w:p>
        </w:tc>
      </w:tr>
      <w:tr w:rsidR="00413D2F" w:rsidRPr="007E4DA1" w14:paraId="4DDA2D43" w14:textId="77777777" w:rsidTr="00EE3105">
        <w:trPr>
          <w:cantSplit/>
        </w:trPr>
        <w:tc>
          <w:tcPr>
            <w:tcW w:w="2943" w:type="dxa"/>
            <w:vMerge/>
            <w:shd w:val="clear" w:color="auto" w:fill="auto"/>
          </w:tcPr>
          <w:p w14:paraId="372AAB30" w14:textId="77777777" w:rsidR="00413D2F" w:rsidRPr="007E4DA1" w:rsidRDefault="00413D2F" w:rsidP="001A6584">
            <w:pPr>
              <w:keepNext/>
              <w:rPr>
                <w:color w:val="000000"/>
                <w:szCs w:val="22"/>
                <w:lang w:eastAsia="ja-JP"/>
              </w:rPr>
            </w:pPr>
          </w:p>
        </w:tc>
        <w:tc>
          <w:tcPr>
            <w:tcW w:w="1276" w:type="dxa"/>
            <w:shd w:val="clear" w:color="auto" w:fill="auto"/>
          </w:tcPr>
          <w:p w14:paraId="7AF61345" w14:textId="77777777" w:rsidR="00413D2F" w:rsidRPr="007E4DA1" w:rsidRDefault="00413D2F" w:rsidP="001A6584">
            <w:pPr>
              <w:keepLines/>
              <w:autoSpaceDE w:val="0"/>
              <w:autoSpaceDN w:val="0"/>
              <w:adjustRightInd w:val="0"/>
              <w:rPr>
                <w:iCs/>
                <w:szCs w:val="22"/>
                <w:lang w:eastAsia="ja-JP"/>
              </w:rPr>
            </w:pPr>
            <w:r w:rsidRPr="007E4DA1">
              <w:rPr>
                <w:iCs/>
                <w:szCs w:val="22"/>
                <w:lang w:eastAsia="ja-JP"/>
              </w:rPr>
              <w:t>Często</w:t>
            </w:r>
          </w:p>
        </w:tc>
        <w:tc>
          <w:tcPr>
            <w:tcW w:w="4990" w:type="dxa"/>
            <w:shd w:val="clear" w:color="auto" w:fill="auto"/>
          </w:tcPr>
          <w:p w14:paraId="4D4E3F2B" w14:textId="77777777" w:rsidR="00413D2F" w:rsidRPr="0090150C" w:rsidRDefault="00413D2F" w:rsidP="0090150C">
            <w:pPr>
              <w:keepNext/>
              <w:keepLines/>
              <w:autoSpaceDE w:val="0"/>
              <w:autoSpaceDN w:val="0"/>
              <w:adjustRightInd w:val="0"/>
              <w:ind w:left="0" w:firstLine="0"/>
            </w:pPr>
            <w:r w:rsidRPr="0090150C">
              <w:t>Limfopenia</w:t>
            </w:r>
          </w:p>
        </w:tc>
      </w:tr>
      <w:tr w:rsidR="00413D2F" w:rsidRPr="007E4DA1" w14:paraId="27D84122" w14:textId="77777777" w:rsidTr="00EE3105">
        <w:trPr>
          <w:cantSplit/>
        </w:trPr>
        <w:tc>
          <w:tcPr>
            <w:tcW w:w="2943" w:type="dxa"/>
            <w:vMerge/>
            <w:tcBorders>
              <w:bottom w:val="single" w:sz="4" w:space="0" w:color="auto"/>
            </w:tcBorders>
            <w:shd w:val="clear" w:color="auto" w:fill="auto"/>
          </w:tcPr>
          <w:p w14:paraId="4607389C" w14:textId="77777777" w:rsidR="00413D2F" w:rsidRPr="007E4DA1" w:rsidRDefault="00413D2F" w:rsidP="001A6584">
            <w:pPr>
              <w:keepNext/>
              <w:rPr>
                <w:color w:val="000000"/>
                <w:szCs w:val="22"/>
                <w:lang w:eastAsia="ja-JP"/>
              </w:rPr>
            </w:pPr>
          </w:p>
        </w:tc>
        <w:tc>
          <w:tcPr>
            <w:tcW w:w="1276" w:type="dxa"/>
            <w:shd w:val="clear" w:color="auto" w:fill="auto"/>
          </w:tcPr>
          <w:p w14:paraId="1E138746" w14:textId="77777777" w:rsidR="00413D2F" w:rsidRPr="007E4DA1" w:rsidRDefault="00413D2F" w:rsidP="001A6584">
            <w:pPr>
              <w:keepLines/>
              <w:autoSpaceDE w:val="0"/>
              <w:autoSpaceDN w:val="0"/>
              <w:adjustRightInd w:val="0"/>
              <w:ind w:left="0" w:firstLine="0"/>
              <w:rPr>
                <w:iCs/>
                <w:szCs w:val="22"/>
                <w:lang w:eastAsia="ja-JP"/>
              </w:rPr>
            </w:pPr>
            <w:r w:rsidRPr="007E4DA1">
              <w:rPr>
                <w:iCs/>
                <w:szCs w:val="22"/>
                <w:lang w:eastAsia="ja-JP"/>
              </w:rPr>
              <w:t>Niezbyt często</w:t>
            </w:r>
          </w:p>
        </w:tc>
        <w:tc>
          <w:tcPr>
            <w:tcW w:w="4990" w:type="dxa"/>
            <w:shd w:val="clear" w:color="auto" w:fill="auto"/>
          </w:tcPr>
          <w:p w14:paraId="6E3950A8" w14:textId="77777777" w:rsidR="00413D2F" w:rsidRPr="0090150C" w:rsidRDefault="00413D2F" w:rsidP="0090150C">
            <w:pPr>
              <w:keepNext/>
              <w:keepLines/>
              <w:autoSpaceDE w:val="0"/>
              <w:autoSpaceDN w:val="0"/>
              <w:adjustRightInd w:val="0"/>
              <w:ind w:left="0" w:firstLine="0"/>
            </w:pPr>
            <w:r w:rsidRPr="0090150C">
              <w:t>Niedokrwistość hemolityczna</w:t>
            </w:r>
          </w:p>
        </w:tc>
      </w:tr>
      <w:tr w:rsidR="00413D2F" w:rsidRPr="007E4DA1" w14:paraId="69F98012" w14:textId="77777777" w:rsidTr="00EE3105">
        <w:trPr>
          <w:cantSplit/>
        </w:trPr>
        <w:tc>
          <w:tcPr>
            <w:tcW w:w="2943" w:type="dxa"/>
            <w:vMerge w:val="restart"/>
            <w:shd w:val="clear" w:color="auto" w:fill="auto"/>
          </w:tcPr>
          <w:p w14:paraId="2E4771D2" w14:textId="77777777" w:rsidR="00413D2F" w:rsidRPr="007E4DA1" w:rsidRDefault="00413D2F" w:rsidP="001A6584">
            <w:pPr>
              <w:keepNext/>
              <w:autoSpaceDE w:val="0"/>
              <w:autoSpaceDN w:val="0"/>
              <w:adjustRightInd w:val="0"/>
              <w:ind w:left="0" w:firstLine="0"/>
              <w:rPr>
                <w:iCs/>
                <w:szCs w:val="22"/>
                <w:lang w:eastAsia="ja-JP"/>
              </w:rPr>
            </w:pPr>
            <w:r w:rsidRPr="007E4DA1">
              <w:rPr>
                <w:iCs/>
                <w:szCs w:val="22"/>
                <w:lang w:eastAsia="ja-JP"/>
              </w:rPr>
              <w:t>Zaburzenia metabolizmu i odżywiania</w:t>
            </w:r>
          </w:p>
        </w:tc>
        <w:tc>
          <w:tcPr>
            <w:tcW w:w="1276" w:type="dxa"/>
            <w:shd w:val="clear" w:color="auto" w:fill="auto"/>
          </w:tcPr>
          <w:p w14:paraId="05E64F2C" w14:textId="77777777" w:rsidR="00413D2F" w:rsidRPr="007E4DA1" w:rsidRDefault="00413D2F" w:rsidP="001A6584">
            <w:pPr>
              <w:keepNext/>
              <w:autoSpaceDE w:val="0"/>
              <w:autoSpaceDN w:val="0"/>
              <w:adjustRightInd w:val="0"/>
              <w:ind w:left="34" w:hanging="34"/>
              <w:rPr>
                <w:iCs/>
                <w:szCs w:val="22"/>
                <w:lang w:eastAsia="ja-JP"/>
              </w:rPr>
            </w:pPr>
            <w:r w:rsidRPr="007E4DA1">
              <w:rPr>
                <w:iCs/>
                <w:szCs w:val="22"/>
                <w:lang w:eastAsia="ja-JP"/>
              </w:rPr>
              <w:t>Bardzo często</w:t>
            </w:r>
          </w:p>
        </w:tc>
        <w:tc>
          <w:tcPr>
            <w:tcW w:w="4990" w:type="dxa"/>
            <w:shd w:val="clear" w:color="auto" w:fill="auto"/>
          </w:tcPr>
          <w:p w14:paraId="6F780234" w14:textId="77777777" w:rsidR="00413D2F" w:rsidRPr="0090150C" w:rsidRDefault="00413D2F" w:rsidP="0090150C">
            <w:pPr>
              <w:keepNext/>
              <w:keepLines/>
              <w:autoSpaceDE w:val="0"/>
              <w:autoSpaceDN w:val="0"/>
              <w:adjustRightInd w:val="0"/>
              <w:ind w:left="0" w:firstLine="0"/>
            </w:pPr>
            <w:r w:rsidRPr="0090150C">
              <w:t>Zmniejszenie łaknienia</w:t>
            </w:r>
          </w:p>
        </w:tc>
      </w:tr>
      <w:tr w:rsidR="00413D2F" w:rsidRPr="007E4DA1" w14:paraId="3C7E4192" w14:textId="77777777" w:rsidTr="00EE3105">
        <w:trPr>
          <w:cantSplit/>
        </w:trPr>
        <w:tc>
          <w:tcPr>
            <w:tcW w:w="2943" w:type="dxa"/>
            <w:vMerge/>
            <w:tcBorders>
              <w:bottom w:val="single" w:sz="4" w:space="0" w:color="auto"/>
            </w:tcBorders>
            <w:shd w:val="clear" w:color="auto" w:fill="auto"/>
          </w:tcPr>
          <w:p w14:paraId="23B3240F" w14:textId="77777777" w:rsidR="00413D2F" w:rsidRPr="007E4DA1" w:rsidRDefault="00413D2F" w:rsidP="001A6584">
            <w:pPr>
              <w:rPr>
                <w:color w:val="000000"/>
                <w:szCs w:val="22"/>
                <w:lang w:eastAsia="ja-JP"/>
              </w:rPr>
            </w:pPr>
          </w:p>
        </w:tc>
        <w:tc>
          <w:tcPr>
            <w:tcW w:w="1276" w:type="dxa"/>
            <w:shd w:val="clear" w:color="auto" w:fill="auto"/>
          </w:tcPr>
          <w:p w14:paraId="2A7B0E0B" w14:textId="77777777" w:rsidR="00413D2F" w:rsidRPr="007E4DA1" w:rsidRDefault="00413D2F" w:rsidP="001A6584">
            <w:pPr>
              <w:autoSpaceDE w:val="0"/>
              <w:autoSpaceDN w:val="0"/>
              <w:adjustRightInd w:val="0"/>
              <w:rPr>
                <w:iCs/>
                <w:szCs w:val="22"/>
                <w:lang w:eastAsia="ja-JP"/>
              </w:rPr>
            </w:pPr>
            <w:r w:rsidRPr="007E4DA1">
              <w:rPr>
                <w:iCs/>
                <w:szCs w:val="22"/>
                <w:lang w:eastAsia="ja-JP"/>
              </w:rPr>
              <w:t>Często</w:t>
            </w:r>
          </w:p>
        </w:tc>
        <w:tc>
          <w:tcPr>
            <w:tcW w:w="4990" w:type="dxa"/>
            <w:shd w:val="clear" w:color="auto" w:fill="auto"/>
          </w:tcPr>
          <w:p w14:paraId="4DD6977C" w14:textId="77777777" w:rsidR="00413D2F" w:rsidRPr="0090150C" w:rsidRDefault="00413D2F" w:rsidP="0090150C">
            <w:pPr>
              <w:keepNext/>
              <w:keepLines/>
              <w:autoSpaceDE w:val="0"/>
              <w:autoSpaceDN w:val="0"/>
              <w:adjustRightInd w:val="0"/>
              <w:ind w:left="0" w:firstLine="0"/>
            </w:pPr>
            <w:r w:rsidRPr="0090150C">
              <w:t>Hiperglikemia, nieprawidłowa utrata masy ciała</w:t>
            </w:r>
          </w:p>
        </w:tc>
      </w:tr>
      <w:tr w:rsidR="00413D2F" w:rsidRPr="007E4DA1" w14:paraId="694B9410" w14:textId="77777777" w:rsidTr="00EE3105">
        <w:trPr>
          <w:cantSplit/>
        </w:trPr>
        <w:tc>
          <w:tcPr>
            <w:tcW w:w="2943" w:type="dxa"/>
            <w:vMerge w:val="restart"/>
            <w:tcBorders>
              <w:top w:val="single" w:sz="4" w:space="0" w:color="auto"/>
            </w:tcBorders>
            <w:shd w:val="clear" w:color="auto" w:fill="auto"/>
          </w:tcPr>
          <w:p w14:paraId="52A6497E" w14:textId="77777777" w:rsidR="00413D2F" w:rsidRPr="007E4DA1" w:rsidRDefault="00413D2F" w:rsidP="001A6584">
            <w:pPr>
              <w:keepNext/>
              <w:rPr>
                <w:color w:val="000000"/>
                <w:szCs w:val="22"/>
                <w:lang w:eastAsia="ja-JP"/>
              </w:rPr>
            </w:pPr>
            <w:r w:rsidRPr="007E4DA1">
              <w:rPr>
                <w:color w:val="000000"/>
                <w:szCs w:val="22"/>
                <w:lang w:eastAsia="ja-JP"/>
              </w:rPr>
              <w:t>Zaburzenia psychiczne</w:t>
            </w:r>
          </w:p>
        </w:tc>
        <w:tc>
          <w:tcPr>
            <w:tcW w:w="1276" w:type="dxa"/>
            <w:shd w:val="clear" w:color="auto" w:fill="auto"/>
          </w:tcPr>
          <w:p w14:paraId="505E3D3D" w14:textId="77777777" w:rsidR="00413D2F" w:rsidRPr="007E4DA1" w:rsidRDefault="00413D2F" w:rsidP="001A6584">
            <w:pPr>
              <w:keepNext/>
              <w:autoSpaceDE w:val="0"/>
              <w:autoSpaceDN w:val="0"/>
              <w:adjustRightInd w:val="0"/>
              <w:rPr>
                <w:iCs/>
                <w:szCs w:val="22"/>
                <w:lang w:eastAsia="ja-JP"/>
              </w:rPr>
            </w:pPr>
            <w:r w:rsidRPr="007E4DA1">
              <w:rPr>
                <w:iCs/>
                <w:szCs w:val="22"/>
                <w:lang w:eastAsia="ja-JP"/>
              </w:rPr>
              <w:t>Często</w:t>
            </w:r>
          </w:p>
        </w:tc>
        <w:tc>
          <w:tcPr>
            <w:tcW w:w="4990" w:type="dxa"/>
            <w:shd w:val="clear" w:color="auto" w:fill="auto"/>
          </w:tcPr>
          <w:p w14:paraId="4A603E87" w14:textId="77777777" w:rsidR="00413D2F" w:rsidRPr="0090150C" w:rsidRDefault="00413D2F" w:rsidP="0090150C">
            <w:pPr>
              <w:keepNext/>
              <w:keepLines/>
              <w:autoSpaceDE w:val="0"/>
              <w:autoSpaceDN w:val="0"/>
              <w:adjustRightInd w:val="0"/>
              <w:ind w:left="0" w:firstLine="0"/>
            </w:pPr>
            <w:r w:rsidRPr="0090150C">
              <w:t>Depresja, niepokój, zaburzenia snu</w:t>
            </w:r>
          </w:p>
        </w:tc>
      </w:tr>
      <w:tr w:rsidR="00413D2F" w:rsidRPr="007E4DA1" w14:paraId="247220A1" w14:textId="77777777" w:rsidTr="00EE3105">
        <w:trPr>
          <w:cantSplit/>
        </w:trPr>
        <w:tc>
          <w:tcPr>
            <w:tcW w:w="2943" w:type="dxa"/>
            <w:vMerge/>
            <w:tcBorders>
              <w:bottom w:val="single" w:sz="4" w:space="0" w:color="auto"/>
            </w:tcBorders>
            <w:shd w:val="clear" w:color="auto" w:fill="auto"/>
          </w:tcPr>
          <w:p w14:paraId="137C0D8C" w14:textId="77777777" w:rsidR="00413D2F" w:rsidRPr="007E4DA1" w:rsidRDefault="00413D2F" w:rsidP="001A6584">
            <w:pPr>
              <w:keepLines/>
              <w:rPr>
                <w:color w:val="000000"/>
                <w:szCs w:val="22"/>
                <w:lang w:eastAsia="ja-JP"/>
              </w:rPr>
            </w:pPr>
          </w:p>
        </w:tc>
        <w:tc>
          <w:tcPr>
            <w:tcW w:w="1276" w:type="dxa"/>
            <w:shd w:val="clear" w:color="auto" w:fill="auto"/>
          </w:tcPr>
          <w:p w14:paraId="19205E46" w14:textId="77777777" w:rsidR="00413D2F" w:rsidRPr="007E4DA1" w:rsidRDefault="00413D2F" w:rsidP="001A6584">
            <w:pPr>
              <w:keepLines/>
              <w:autoSpaceDE w:val="0"/>
              <w:autoSpaceDN w:val="0"/>
              <w:adjustRightInd w:val="0"/>
              <w:ind w:left="0" w:firstLine="0"/>
              <w:rPr>
                <w:iCs/>
                <w:szCs w:val="22"/>
                <w:lang w:eastAsia="ja-JP"/>
              </w:rPr>
            </w:pPr>
            <w:r w:rsidRPr="007E4DA1">
              <w:rPr>
                <w:iCs/>
                <w:szCs w:val="22"/>
                <w:lang w:eastAsia="ja-JP"/>
              </w:rPr>
              <w:t>Niezbyt często</w:t>
            </w:r>
          </w:p>
        </w:tc>
        <w:tc>
          <w:tcPr>
            <w:tcW w:w="4990" w:type="dxa"/>
            <w:shd w:val="clear" w:color="auto" w:fill="auto"/>
          </w:tcPr>
          <w:p w14:paraId="09CD4F91" w14:textId="77777777" w:rsidR="00413D2F" w:rsidRPr="0090150C" w:rsidRDefault="00413D2F" w:rsidP="0090150C">
            <w:pPr>
              <w:keepNext/>
              <w:keepLines/>
              <w:autoSpaceDE w:val="0"/>
              <w:autoSpaceDN w:val="0"/>
              <w:adjustRightInd w:val="0"/>
              <w:ind w:left="0" w:firstLine="0"/>
            </w:pPr>
            <w:r w:rsidRPr="0090150C">
              <w:t>Stan splątania, pobudzenie</w:t>
            </w:r>
          </w:p>
        </w:tc>
      </w:tr>
      <w:tr w:rsidR="00413D2F" w:rsidRPr="007E4DA1" w14:paraId="7ED22CF4" w14:textId="77777777" w:rsidTr="00EE3105">
        <w:trPr>
          <w:cantSplit/>
        </w:trPr>
        <w:tc>
          <w:tcPr>
            <w:tcW w:w="2943" w:type="dxa"/>
            <w:vMerge w:val="restart"/>
            <w:shd w:val="clear" w:color="auto" w:fill="auto"/>
          </w:tcPr>
          <w:p w14:paraId="495A87BF" w14:textId="77777777" w:rsidR="00413D2F" w:rsidRPr="007E4DA1" w:rsidRDefault="00413D2F" w:rsidP="001A6584">
            <w:pPr>
              <w:keepNext/>
              <w:keepLines/>
              <w:autoSpaceDE w:val="0"/>
              <w:autoSpaceDN w:val="0"/>
              <w:adjustRightInd w:val="0"/>
              <w:rPr>
                <w:iCs/>
                <w:color w:val="000000"/>
                <w:szCs w:val="22"/>
                <w:lang w:eastAsia="ja-JP"/>
              </w:rPr>
            </w:pPr>
            <w:r w:rsidRPr="007E4DA1">
              <w:rPr>
                <w:iCs/>
                <w:color w:val="000000"/>
                <w:szCs w:val="22"/>
                <w:lang w:eastAsia="ja-JP"/>
              </w:rPr>
              <w:t>Zaburzenia układu nerwowego</w:t>
            </w:r>
          </w:p>
        </w:tc>
        <w:tc>
          <w:tcPr>
            <w:tcW w:w="1276" w:type="dxa"/>
            <w:shd w:val="clear" w:color="auto" w:fill="auto"/>
          </w:tcPr>
          <w:p w14:paraId="31167A43" w14:textId="77777777" w:rsidR="00413D2F" w:rsidRPr="007E4DA1" w:rsidRDefault="00413D2F" w:rsidP="001A6584">
            <w:pPr>
              <w:keepNext/>
              <w:keepLines/>
              <w:autoSpaceDE w:val="0"/>
              <w:autoSpaceDN w:val="0"/>
              <w:adjustRightInd w:val="0"/>
              <w:ind w:left="0" w:firstLine="0"/>
              <w:rPr>
                <w:iCs/>
                <w:szCs w:val="22"/>
                <w:lang w:eastAsia="ja-JP"/>
              </w:rPr>
            </w:pPr>
            <w:r w:rsidRPr="007E4DA1">
              <w:rPr>
                <w:iCs/>
                <w:szCs w:val="22"/>
                <w:lang w:eastAsia="ja-JP"/>
              </w:rPr>
              <w:t>Bardzo często</w:t>
            </w:r>
          </w:p>
        </w:tc>
        <w:tc>
          <w:tcPr>
            <w:tcW w:w="4990" w:type="dxa"/>
            <w:shd w:val="clear" w:color="auto" w:fill="auto"/>
          </w:tcPr>
          <w:p w14:paraId="465D27F1" w14:textId="77777777" w:rsidR="00413D2F" w:rsidRPr="0090150C" w:rsidRDefault="00413D2F" w:rsidP="0090150C">
            <w:pPr>
              <w:keepNext/>
              <w:keepLines/>
              <w:autoSpaceDE w:val="0"/>
              <w:autoSpaceDN w:val="0"/>
              <w:adjustRightInd w:val="0"/>
              <w:ind w:left="0" w:firstLine="0"/>
            </w:pPr>
            <w:r w:rsidRPr="0090150C">
              <w:t>Ból głowy</w:t>
            </w:r>
          </w:p>
        </w:tc>
      </w:tr>
      <w:tr w:rsidR="00413D2F" w:rsidRPr="007E4DA1" w14:paraId="2915A742" w14:textId="77777777" w:rsidTr="00EE3105">
        <w:trPr>
          <w:cantSplit/>
        </w:trPr>
        <w:tc>
          <w:tcPr>
            <w:tcW w:w="2943" w:type="dxa"/>
            <w:vMerge/>
            <w:shd w:val="clear" w:color="auto" w:fill="auto"/>
          </w:tcPr>
          <w:p w14:paraId="601375C3" w14:textId="77777777" w:rsidR="00413D2F" w:rsidRPr="007E4DA1" w:rsidRDefault="00413D2F" w:rsidP="001A6584">
            <w:pPr>
              <w:keepNext/>
              <w:rPr>
                <w:color w:val="000000"/>
                <w:szCs w:val="22"/>
                <w:lang w:eastAsia="ja-JP"/>
              </w:rPr>
            </w:pPr>
          </w:p>
        </w:tc>
        <w:tc>
          <w:tcPr>
            <w:tcW w:w="1276" w:type="dxa"/>
            <w:shd w:val="clear" w:color="auto" w:fill="auto"/>
          </w:tcPr>
          <w:p w14:paraId="6599B40C" w14:textId="77777777" w:rsidR="00413D2F" w:rsidRPr="007E4DA1" w:rsidRDefault="00413D2F" w:rsidP="001A6584">
            <w:pPr>
              <w:keepLines/>
              <w:autoSpaceDE w:val="0"/>
              <w:autoSpaceDN w:val="0"/>
              <w:adjustRightInd w:val="0"/>
              <w:rPr>
                <w:iCs/>
                <w:szCs w:val="22"/>
                <w:lang w:eastAsia="ja-JP"/>
              </w:rPr>
            </w:pPr>
            <w:r w:rsidRPr="007E4DA1">
              <w:rPr>
                <w:iCs/>
                <w:szCs w:val="22"/>
                <w:lang w:eastAsia="ja-JP"/>
              </w:rPr>
              <w:t>Często</w:t>
            </w:r>
          </w:p>
        </w:tc>
        <w:tc>
          <w:tcPr>
            <w:tcW w:w="4990" w:type="dxa"/>
            <w:shd w:val="clear" w:color="auto" w:fill="auto"/>
          </w:tcPr>
          <w:p w14:paraId="549D1403" w14:textId="77777777" w:rsidR="00413D2F" w:rsidRPr="0090150C" w:rsidRDefault="00413D2F" w:rsidP="0090150C">
            <w:pPr>
              <w:keepNext/>
              <w:keepLines/>
              <w:autoSpaceDE w:val="0"/>
              <w:autoSpaceDN w:val="0"/>
              <w:adjustRightInd w:val="0"/>
              <w:ind w:left="0" w:firstLine="0"/>
            </w:pPr>
            <w:r w:rsidRPr="0090150C">
              <w:t>Zawroty głowy, zaburzenia uwagi, zaburzenia smaku, encefalopatia wątrobowa, letarg, zaburzenia pamięci, parestezje</w:t>
            </w:r>
          </w:p>
        </w:tc>
      </w:tr>
      <w:tr w:rsidR="00413D2F" w:rsidRPr="007E4DA1" w14:paraId="743A16F6" w14:textId="77777777" w:rsidTr="00EE3105">
        <w:trPr>
          <w:cantSplit/>
        </w:trPr>
        <w:tc>
          <w:tcPr>
            <w:tcW w:w="2943" w:type="dxa"/>
            <w:shd w:val="clear" w:color="auto" w:fill="auto"/>
          </w:tcPr>
          <w:p w14:paraId="3EBE6598" w14:textId="77777777" w:rsidR="00413D2F" w:rsidRPr="007E4DA1" w:rsidRDefault="00413D2F" w:rsidP="001A6584">
            <w:pPr>
              <w:keepLines/>
              <w:autoSpaceDE w:val="0"/>
              <w:autoSpaceDN w:val="0"/>
              <w:adjustRightInd w:val="0"/>
              <w:rPr>
                <w:color w:val="000000"/>
                <w:szCs w:val="22"/>
                <w:lang w:eastAsia="ja-JP"/>
              </w:rPr>
            </w:pPr>
            <w:r w:rsidRPr="007E4DA1">
              <w:rPr>
                <w:iCs/>
                <w:color w:val="000000"/>
                <w:szCs w:val="22"/>
                <w:lang w:eastAsia="ja-JP"/>
              </w:rPr>
              <w:t>Zaburzenia oka</w:t>
            </w:r>
          </w:p>
        </w:tc>
        <w:tc>
          <w:tcPr>
            <w:tcW w:w="1276" w:type="dxa"/>
            <w:shd w:val="clear" w:color="auto" w:fill="auto"/>
          </w:tcPr>
          <w:p w14:paraId="294C5129" w14:textId="77777777" w:rsidR="00413D2F" w:rsidRPr="007E4DA1" w:rsidRDefault="00413D2F" w:rsidP="001A6584">
            <w:pPr>
              <w:keepLines/>
              <w:autoSpaceDE w:val="0"/>
              <w:autoSpaceDN w:val="0"/>
              <w:adjustRightInd w:val="0"/>
              <w:rPr>
                <w:iCs/>
                <w:szCs w:val="22"/>
                <w:lang w:eastAsia="ja-JP"/>
              </w:rPr>
            </w:pPr>
            <w:r w:rsidRPr="007E4DA1">
              <w:rPr>
                <w:iCs/>
                <w:szCs w:val="22"/>
                <w:lang w:eastAsia="ja-JP"/>
              </w:rPr>
              <w:t>Często</w:t>
            </w:r>
          </w:p>
        </w:tc>
        <w:tc>
          <w:tcPr>
            <w:tcW w:w="4990" w:type="dxa"/>
            <w:shd w:val="clear" w:color="auto" w:fill="auto"/>
          </w:tcPr>
          <w:p w14:paraId="6FD25CAC" w14:textId="77777777" w:rsidR="00413D2F" w:rsidRPr="0090150C" w:rsidRDefault="00413D2F" w:rsidP="0090150C">
            <w:pPr>
              <w:keepNext/>
              <w:keepLines/>
              <w:autoSpaceDE w:val="0"/>
              <w:autoSpaceDN w:val="0"/>
              <w:adjustRightInd w:val="0"/>
              <w:ind w:left="0" w:firstLine="0"/>
            </w:pPr>
            <w:r w:rsidRPr="0090150C">
              <w:t>Zaćma, wysięki w siatkówce, zespół suchego oka, zażółcenie oczu, krwawienie do siatkówki</w:t>
            </w:r>
          </w:p>
        </w:tc>
      </w:tr>
      <w:tr w:rsidR="00413D2F" w:rsidRPr="007E4DA1" w14:paraId="795AD3E5" w14:textId="77777777" w:rsidTr="00EE3105">
        <w:trPr>
          <w:cantSplit/>
        </w:trPr>
        <w:tc>
          <w:tcPr>
            <w:tcW w:w="2943" w:type="dxa"/>
            <w:shd w:val="clear" w:color="auto" w:fill="auto"/>
          </w:tcPr>
          <w:p w14:paraId="738FCB88" w14:textId="77777777" w:rsidR="00413D2F" w:rsidRPr="007E4DA1" w:rsidRDefault="00413D2F" w:rsidP="001A6584">
            <w:pPr>
              <w:keepLines/>
              <w:autoSpaceDE w:val="0"/>
              <w:autoSpaceDN w:val="0"/>
              <w:adjustRightInd w:val="0"/>
              <w:rPr>
                <w:iCs/>
                <w:color w:val="000000"/>
                <w:szCs w:val="22"/>
                <w:lang w:eastAsia="ja-JP"/>
              </w:rPr>
            </w:pPr>
            <w:r w:rsidRPr="007E4DA1">
              <w:rPr>
                <w:iCs/>
                <w:color w:val="000000"/>
                <w:szCs w:val="22"/>
                <w:lang w:eastAsia="ja-JP"/>
              </w:rPr>
              <w:t>Zaburzenia ucha i błędnika</w:t>
            </w:r>
          </w:p>
        </w:tc>
        <w:tc>
          <w:tcPr>
            <w:tcW w:w="1276" w:type="dxa"/>
            <w:shd w:val="clear" w:color="auto" w:fill="auto"/>
          </w:tcPr>
          <w:p w14:paraId="6E801D76" w14:textId="77777777" w:rsidR="00413D2F" w:rsidRPr="007E4DA1" w:rsidRDefault="00413D2F" w:rsidP="001A6584">
            <w:pPr>
              <w:keepLines/>
              <w:autoSpaceDE w:val="0"/>
              <w:autoSpaceDN w:val="0"/>
              <w:adjustRightInd w:val="0"/>
              <w:rPr>
                <w:iCs/>
                <w:szCs w:val="22"/>
                <w:lang w:eastAsia="ja-JP"/>
              </w:rPr>
            </w:pPr>
            <w:r w:rsidRPr="007E4DA1">
              <w:rPr>
                <w:iCs/>
                <w:szCs w:val="22"/>
                <w:lang w:eastAsia="ja-JP"/>
              </w:rPr>
              <w:t>Często</w:t>
            </w:r>
          </w:p>
        </w:tc>
        <w:tc>
          <w:tcPr>
            <w:tcW w:w="4990" w:type="dxa"/>
            <w:shd w:val="clear" w:color="auto" w:fill="auto"/>
          </w:tcPr>
          <w:p w14:paraId="43F717DA" w14:textId="77777777" w:rsidR="00413D2F" w:rsidRPr="0090150C" w:rsidRDefault="00413D2F" w:rsidP="0090150C">
            <w:pPr>
              <w:keepNext/>
              <w:keepLines/>
              <w:autoSpaceDE w:val="0"/>
              <w:autoSpaceDN w:val="0"/>
              <w:adjustRightInd w:val="0"/>
              <w:ind w:left="0" w:firstLine="0"/>
            </w:pPr>
            <w:r w:rsidRPr="0090150C">
              <w:t>Zawroty głowy</w:t>
            </w:r>
          </w:p>
        </w:tc>
      </w:tr>
      <w:tr w:rsidR="00413D2F" w:rsidRPr="007E4DA1" w14:paraId="6F808B44" w14:textId="77777777" w:rsidTr="00EE3105">
        <w:trPr>
          <w:cantSplit/>
        </w:trPr>
        <w:tc>
          <w:tcPr>
            <w:tcW w:w="2943" w:type="dxa"/>
            <w:tcBorders>
              <w:bottom w:val="single" w:sz="4" w:space="0" w:color="auto"/>
            </w:tcBorders>
            <w:shd w:val="clear" w:color="auto" w:fill="auto"/>
          </w:tcPr>
          <w:p w14:paraId="2C7FDFE5" w14:textId="77777777" w:rsidR="00413D2F" w:rsidRPr="007E4DA1" w:rsidRDefault="00413D2F" w:rsidP="001A6584">
            <w:pPr>
              <w:keepLines/>
              <w:autoSpaceDE w:val="0"/>
              <w:autoSpaceDN w:val="0"/>
              <w:adjustRightInd w:val="0"/>
              <w:rPr>
                <w:iCs/>
                <w:color w:val="000000"/>
                <w:szCs w:val="22"/>
                <w:lang w:eastAsia="ja-JP"/>
              </w:rPr>
            </w:pPr>
            <w:r w:rsidRPr="007E4DA1">
              <w:rPr>
                <w:iCs/>
                <w:color w:val="000000"/>
                <w:szCs w:val="22"/>
                <w:lang w:eastAsia="ja-JP"/>
              </w:rPr>
              <w:t>Zaburzenia serca</w:t>
            </w:r>
          </w:p>
        </w:tc>
        <w:tc>
          <w:tcPr>
            <w:tcW w:w="1276" w:type="dxa"/>
            <w:shd w:val="clear" w:color="auto" w:fill="auto"/>
          </w:tcPr>
          <w:p w14:paraId="40BD16A7" w14:textId="77777777" w:rsidR="00413D2F" w:rsidRPr="007E4DA1" w:rsidRDefault="00413D2F" w:rsidP="001A6584">
            <w:pPr>
              <w:keepLines/>
              <w:autoSpaceDE w:val="0"/>
              <w:autoSpaceDN w:val="0"/>
              <w:adjustRightInd w:val="0"/>
              <w:rPr>
                <w:iCs/>
                <w:szCs w:val="22"/>
                <w:lang w:eastAsia="ja-JP"/>
              </w:rPr>
            </w:pPr>
            <w:r w:rsidRPr="007E4DA1">
              <w:rPr>
                <w:iCs/>
                <w:szCs w:val="22"/>
                <w:lang w:eastAsia="ja-JP"/>
              </w:rPr>
              <w:t>Często</w:t>
            </w:r>
          </w:p>
        </w:tc>
        <w:tc>
          <w:tcPr>
            <w:tcW w:w="4990" w:type="dxa"/>
            <w:shd w:val="clear" w:color="auto" w:fill="auto"/>
          </w:tcPr>
          <w:p w14:paraId="311AE2EE" w14:textId="77777777" w:rsidR="00413D2F" w:rsidRPr="0090150C" w:rsidRDefault="00413D2F" w:rsidP="0090150C">
            <w:pPr>
              <w:keepNext/>
              <w:keepLines/>
              <w:autoSpaceDE w:val="0"/>
              <w:autoSpaceDN w:val="0"/>
              <w:adjustRightInd w:val="0"/>
              <w:ind w:left="0" w:firstLine="0"/>
            </w:pPr>
            <w:r w:rsidRPr="0090150C">
              <w:t>Kołatanie serca</w:t>
            </w:r>
          </w:p>
        </w:tc>
      </w:tr>
      <w:tr w:rsidR="00413D2F" w:rsidRPr="007E4DA1" w14:paraId="7C90D6D5" w14:textId="77777777" w:rsidTr="00EE3105">
        <w:trPr>
          <w:cantSplit/>
        </w:trPr>
        <w:tc>
          <w:tcPr>
            <w:tcW w:w="2943" w:type="dxa"/>
            <w:vMerge w:val="restart"/>
            <w:shd w:val="clear" w:color="auto" w:fill="auto"/>
          </w:tcPr>
          <w:p w14:paraId="316BA27F" w14:textId="77777777" w:rsidR="00413D2F" w:rsidRPr="007E4DA1" w:rsidRDefault="00413D2F" w:rsidP="001A6584">
            <w:pPr>
              <w:keepNext/>
              <w:keepLines/>
              <w:autoSpaceDE w:val="0"/>
              <w:autoSpaceDN w:val="0"/>
              <w:adjustRightInd w:val="0"/>
              <w:ind w:left="0" w:firstLine="0"/>
              <w:rPr>
                <w:iCs/>
                <w:color w:val="000000"/>
                <w:szCs w:val="22"/>
                <w:lang w:eastAsia="ja-JP"/>
              </w:rPr>
            </w:pPr>
            <w:r w:rsidRPr="007E4DA1">
              <w:rPr>
                <w:iCs/>
                <w:color w:val="000000"/>
                <w:szCs w:val="22"/>
                <w:lang w:eastAsia="ja-JP"/>
              </w:rPr>
              <w:lastRenderedPageBreak/>
              <w:t>Zaburzenia oddechowe, klatki piersiowej i śródpiersia</w:t>
            </w:r>
          </w:p>
        </w:tc>
        <w:tc>
          <w:tcPr>
            <w:tcW w:w="1276" w:type="dxa"/>
            <w:shd w:val="clear" w:color="auto" w:fill="auto"/>
          </w:tcPr>
          <w:p w14:paraId="0945A01B" w14:textId="77777777" w:rsidR="00413D2F" w:rsidRPr="007E4DA1" w:rsidRDefault="00413D2F" w:rsidP="001A6584">
            <w:pPr>
              <w:keepNext/>
              <w:keepLines/>
              <w:autoSpaceDE w:val="0"/>
              <w:autoSpaceDN w:val="0"/>
              <w:adjustRightInd w:val="0"/>
              <w:ind w:left="34" w:hanging="34"/>
              <w:rPr>
                <w:iCs/>
                <w:szCs w:val="22"/>
                <w:lang w:eastAsia="ja-JP"/>
              </w:rPr>
            </w:pPr>
            <w:r w:rsidRPr="007E4DA1">
              <w:rPr>
                <w:iCs/>
                <w:szCs w:val="22"/>
                <w:lang w:eastAsia="ja-JP"/>
              </w:rPr>
              <w:t>Bardzo często</w:t>
            </w:r>
          </w:p>
        </w:tc>
        <w:tc>
          <w:tcPr>
            <w:tcW w:w="4990" w:type="dxa"/>
            <w:shd w:val="clear" w:color="auto" w:fill="auto"/>
          </w:tcPr>
          <w:p w14:paraId="4F1BE79A" w14:textId="77777777" w:rsidR="00413D2F" w:rsidRPr="0090150C" w:rsidRDefault="00413D2F" w:rsidP="0090150C">
            <w:pPr>
              <w:keepNext/>
              <w:keepLines/>
              <w:autoSpaceDE w:val="0"/>
              <w:autoSpaceDN w:val="0"/>
              <w:adjustRightInd w:val="0"/>
              <w:ind w:left="0" w:firstLine="0"/>
            </w:pPr>
            <w:r w:rsidRPr="0090150C">
              <w:t>Kaszel</w:t>
            </w:r>
          </w:p>
        </w:tc>
      </w:tr>
      <w:tr w:rsidR="00413D2F" w:rsidRPr="007E4DA1" w14:paraId="43184A34" w14:textId="77777777" w:rsidTr="00EE3105">
        <w:trPr>
          <w:cantSplit/>
        </w:trPr>
        <w:tc>
          <w:tcPr>
            <w:tcW w:w="2943" w:type="dxa"/>
            <w:vMerge/>
            <w:shd w:val="clear" w:color="auto" w:fill="auto"/>
          </w:tcPr>
          <w:p w14:paraId="5B8EAC0D" w14:textId="77777777" w:rsidR="00413D2F" w:rsidRPr="007E4DA1" w:rsidRDefault="00413D2F" w:rsidP="001A6584">
            <w:pPr>
              <w:keepNext/>
              <w:rPr>
                <w:color w:val="000000"/>
                <w:szCs w:val="22"/>
                <w:lang w:eastAsia="ja-JP"/>
              </w:rPr>
            </w:pPr>
          </w:p>
        </w:tc>
        <w:tc>
          <w:tcPr>
            <w:tcW w:w="1276" w:type="dxa"/>
            <w:shd w:val="clear" w:color="auto" w:fill="auto"/>
          </w:tcPr>
          <w:p w14:paraId="0B6B6689" w14:textId="77777777" w:rsidR="00413D2F" w:rsidRPr="007E4DA1" w:rsidRDefault="00413D2F" w:rsidP="001A6584">
            <w:pPr>
              <w:keepLines/>
              <w:autoSpaceDE w:val="0"/>
              <w:autoSpaceDN w:val="0"/>
              <w:adjustRightInd w:val="0"/>
              <w:rPr>
                <w:iCs/>
                <w:szCs w:val="22"/>
                <w:lang w:eastAsia="ja-JP"/>
              </w:rPr>
            </w:pPr>
            <w:r w:rsidRPr="007E4DA1">
              <w:rPr>
                <w:iCs/>
                <w:szCs w:val="22"/>
                <w:lang w:eastAsia="ja-JP"/>
              </w:rPr>
              <w:t>Często</w:t>
            </w:r>
          </w:p>
        </w:tc>
        <w:tc>
          <w:tcPr>
            <w:tcW w:w="4990" w:type="dxa"/>
            <w:shd w:val="clear" w:color="auto" w:fill="auto"/>
          </w:tcPr>
          <w:p w14:paraId="32495A41" w14:textId="77777777" w:rsidR="00413D2F" w:rsidRPr="0090150C" w:rsidRDefault="00413D2F" w:rsidP="0090150C">
            <w:pPr>
              <w:keepNext/>
              <w:keepLines/>
              <w:autoSpaceDE w:val="0"/>
              <w:autoSpaceDN w:val="0"/>
              <w:adjustRightInd w:val="0"/>
              <w:ind w:left="0" w:firstLine="0"/>
            </w:pPr>
            <w:r w:rsidRPr="0090150C">
              <w:t>Duszność, ból jamy ustnej i gardła, duszność wysiłkowa, produktywny kaszel</w:t>
            </w:r>
          </w:p>
        </w:tc>
      </w:tr>
      <w:tr w:rsidR="00413D2F" w:rsidRPr="007E4DA1" w14:paraId="377E5C17" w14:textId="77777777" w:rsidTr="00EE3105">
        <w:trPr>
          <w:cantSplit/>
        </w:trPr>
        <w:tc>
          <w:tcPr>
            <w:tcW w:w="2943" w:type="dxa"/>
            <w:vMerge w:val="restart"/>
            <w:shd w:val="clear" w:color="auto" w:fill="auto"/>
          </w:tcPr>
          <w:p w14:paraId="15E37786" w14:textId="77777777" w:rsidR="00413D2F" w:rsidRPr="007E4DA1" w:rsidRDefault="00413D2F" w:rsidP="001A6584">
            <w:pPr>
              <w:keepNext/>
              <w:keepLines/>
              <w:autoSpaceDE w:val="0"/>
              <w:autoSpaceDN w:val="0"/>
              <w:adjustRightInd w:val="0"/>
              <w:rPr>
                <w:color w:val="000000"/>
                <w:szCs w:val="22"/>
                <w:lang w:eastAsia="ja-JP"/>
              </w:rPr>
            </w:pPr>
            <w:r w:rsidRPr="007E4DA1">
              <w:rPr>
                <w:iCs/>
                <w:color w:val="000000"/>
                <w:szCs w:val="22"/>
                <w:lang w:eastAsia="ja-JP"/>
              </w:rPr>
              <w:t>Zaburzenia żołądka i jelit</w:t>
            </w:r>
          </w:p>
        </w:tc>
        <w:tc>
          <w:tcPr>
            <w:tcW w:w="1276" w:type="dxa"/>
            <w:shd w:val="clear" w:color="auto" w:fill="auto"/>
          </w:tcPr>
          <w:p w14:paraId="526CFFDC" w14:textId="77777777" w:rsidR="00413D2F" w:rsidRPr="007E4DA1" w:rsidRDefault="00413D2F" w:rsidP="001A6584">
            <w:pPr>
              <w:keepNext/>
              <w:keepLines/>
              <w:autoSpaceDE w:val="0"/>
              <w:autoSpaceDN w:val="0"/>
              <w:adjustRightInd w:val="0"/>
              <w:ind w:left="0" w:firstLine="0"/>
              <w:rPr>
                <w:iCs/>
                <w:szCs w:val="22"/>
                <w:lang w:eastAsia="ja-JP"/>
              </w:rPr>
            </w:pPr>
            <w:r w:rsidRPr="007E4DA1">
              <w:rPr>
                <w:iCs/>
                <w:szCs w:val="22"/>
                <w:lang w:eastAsia="ja-JP"/>
              </w:rPr>
              <w:t>Bardzo często</w:t>
            </w:r>
          </w:p>
        </w:tc>
        <w:tc>
          <w:tcPr>
            <w:tcW w:w="4990" w:type="dxa"/>
            <w:shd w:val="clear" w:color="auto" w:fill="auto"/>
          </w:tcPr>
          <w:p w14:paraId="3AA06CE5" w14:textId="77777777" w:rsidR="00413D2F" w:rsidRPr="0090150C" w:rsidRDefault="00413D2F" w:rsidP="0090150C">
            <w:pPr>
              <w:keepNext/>
              <w:keepLines/>
              <w:autoSpaceDE w:val="0"/>
              <w:autoSpaceDN w:val="0"/>
              <w:adjustRightInd w:val="0"/>
              <w:ind w:left="0" w:firstLine="0"/>
            </w:pPr>
            <w:r w:rsidRPr="0090150C">
              <w:t>Nudności, biegunka</w:t>
            </w:r>
          </w:p>
        </w:tc>
      </w:tr>
      <w:tr w:rsidR="00413D2F" w:rsidRPr="007E4DA1" w14:paraId="273FD05C" w14:textId="77777777" w:rsidTr="00EE3105">
        <w:trPr>
          <w:cantSplit/>
        </w:trPr>
        <w:tc>
          <w:tcPr>
            <w:tcW w:w="2943" w:type="dxa"/>
            <w:vMerge/>
            <w:shd w:val="clear" w:color="auto" w:fill="auto"/>
          </w:tcPr>
          <w:p w14:paraId="059FC277" w14:textId="77777777" w:rsidR="00413D2F" w:rsidRPr="007E4DA1" w:rsidRDefault="00413D2F" w:rsidP="001A6584">
            <w:pPr>
              <w:keepNext/>
              <w:keepLines/>
              <w:autoSpaceDE w:val="0"/>
              <w:autoSpaceDN w:val="0"/>
              <w:adjustRightInd w:val="0"/>
              <w:rPr>
                <w:iCs/>
                <w:color w:val="000000"/>
                <w:szCs w:val="22"/>
                <w:lang w:eastAsia="ja-JP"/>
              </w:rPr>
            </w:pPr>
          </w:p>
        </w:tc>
        <w:tc>
          <w:tcPr>
            <w:tcW w:w="1276" w:type="dxa"/>
            <w:shd w:val="clear" w:color="auto" w:fill="auto"/>
          </w:tcPr>
          <w:p w14:paraId="5CF3F61E" w14:textId="77777777" w:rsidR="00413D2F" w:rsidRPr="007E4DA1" w:rsidRDefault="00413D2F" w:rsidP="001A6584">
            <w:pPr>
              <w:keepNext/>
              <w:keepLines/>
              <w:autoSpaceDE w:val="0"/>
              <w:autoSpaceDN w:val="0"/>
              <w:adjustRightInd w:val="0"/>
              <w:rPr>
                <w:iCs/>
                <w:szCs w:val="22"/>
                <w:lang w:eastAsia="ja-JP"/>
              </w:rPr>
            </w:pPr>
            <w:r w:rsidRPr="007E4DA1">
              <w:rPr>
                <w:iCs/>
                <w:szCs w:val="22"/>
                <w:lang w:eastAsia="ja-JP"/>
              </w:rPr>
              <w:t>Często</w:t>
            </w:r>
          </w:p>
        </w:tc>
        <w:tc>
          <w:tcPr>
            <w:tcW w:w="4990" w:type="dxa"/>
            <w:shd w:val="clear" w:color="auto" w:fill="auto"/>
          </w:tcPr>
          <w:p w14:paraId="1635C128" w14:textId="77777777" w:rsidR="00413D2F" w:rsidRPr="0090150C" w:rsidRDefault="00413D2F" w:rsidP="0090150C">
            <w:pPr>
              <w:keepNext/>
              <w:keepLines/>
              <w:autoSpaceDE w:val="0"/>
              <w:autoSpaceDN w:val="0"/>
              <w:adjustRightInd w:val="0"/>
              <w:ind w:left="0" w:firstLine="0"/>
            </w:pPr>
            <w:r w:rsidRPr="0090150C">
              <w:t>Wymioty, wodobrzusze, bóle brzucha, bóle w nadbrzuszu, niestrawność, suchość w jamie ustnej, zaparcia, wzdęcie jamy brzusznej, ból zęba, zapalenie jamy ustnej, choroba refluksowa żołądkowo-przełykowa, żylaki odbytu, dyskomfort w jamie brzusznej, żylaki przełyku</w:t>
            </w:r>
          </w:p>
        </w:tc>
      </w:tr>
      <w:tr w:rsidR="00413D2F" w:rsidRPr="007E4DA1" w14:paraId="604541F9" w14:textId="77777777" w:rsidTr="00EE3105">
        <w:trPr>
          <w:cantSplit/>
        </w:trPr>
        <w:tc>
          <w:tcPr>
            <w:tcW w:w="2943" w:type="dxa"/>
            <w:vMerge/>
            <w:tcBorders>
              <w:bottom w:val="single" w:sz="4" w:space="0" w:color="auto"/>
            </w:tcBorders>
            <w:shd w:val="clear" w:color="auto" w:fill="auto"/>
          </w:tcPr>
          <w:p w14:paraId="56290F12" w14:textId="77777777" w:rsidR="00413D2F" w:rsidRPr="007E4DA1" w:rsidRDefault="00413D2F" w:rsidP="001A6584">
            <w:pPr>
              <w:keepNext/>
              <w:keepLines/>
              <w:autoSpaceDE w:val="0"/>
              <w:autoSpaceDN w:val="0"/>
              <w:adjustRightInd w:val="0"/>
              <w:rPr>
                <w:iCs/>
                <w:color w:val="000000"/>
                <w:szCs w:val="22"/>
                <w:lang w:eastAsia="ja-JP"/>
              </w:rPr>
            </w:pPr>
          </w:p>
        </w:tc>
        <w:tc>
          <w:tcPr>
            <w:tcW w:w="1276" w:type="dxa"/>
            <w:shd w:val="clear" w:color="auto" w:fill="auto"/>
          </w:tcPr>
          <w:p w14:paraId="0034017B" w14:textId="77777777" w:rsidR="00413D2F" w:rsidRPr="007E4DA1" w:rsidRDefault="00413D2F" w:rsidP="001A6584">
            <w:pPr>
              <w:keepLines/>
              <w:autoSpaceDE w:val="0"/>
              <w:autoSpaceDN w:val="0"/>
              <w:adjustRightInd w:val="0"/>
              <w:ind w:left="0" w:firstLine="0"/>
              <w:rPr>
                <w:iCs/>
                <w:szCs w:val="22"/>
                <w:lang w:eastAsia="ja-JP"/>
              </w:rPr>
            </w:pPr>
            <w:r w:rsidRPr="007E4DA1">
              <w:rPr>
                <w:iCs/>
                <w:szCs w:val="22"/>
                <w:lang w:eastAsia="ja-JP"/>
              </w:rPr>
              <w:t>Niezbyt często</w:t>
            </w:r>
          </w:p>
        </w:tc>
        <w:tc>
          <w:tcPr>
            <w:tcW w:w="4990" w:type="dxa"/>
            <w:shd w:val="clear" w:color="auto" w:fill="auto"/>
          </w:tcPr>
          <w:p w14:paraId="66297A49" w14:textId="77777777" w:rsidR="00413D2F" w:rsidRPr="0090150C" w:rsidRDefault="00413D2F" w:rsidP="003D2760">
            <w:pPr>
              <w:keepNext/>
              <w:keepLines/>
              <w:autoSpaceDE w:val="0"/>
              <w:autoSpaceDN w:val="0"/>
              <w:adjustRightInd w:val="0"/>
              <w:ind w:left="0" w:firstLine="0"/>
            </w:pPr>
            <w:r w:rsidRPr="0090150C">
              <w:t>Krwawienie z żylaków przełyku, zapalenie błony śluzowej żołądka, aftowe zapalenie jamy ustnej</w:t>
            </w:r>
          </w:p>
        </w:tc>
      </w:tr>
      <w:tr w:rsidR="00413D2F" w:rsidRPr="007E4DA1" w14:paraId="594BF3F9" w14:textId="77777777" w:rsidTr="00EE3105">
        <w:trPr>
          <w:cantSplit/>
        </w:trPr>
        <w:tc>
          <w:tcPr>
            <w:tcW w:w="2943" w:type="dxa"/>
            <w:vMerge w:val="restart"/>
            <w:shd w:val="clear" w:color="auto" w:fill="auto"/>
          </w:tcPr>
          <w:p w14:paraId="5C00D48F" w14:textId="77777777" w:rsidR="00413D2F" w:rsidRPr="007E4DA1" w:rsidRDefault="00413D2F" w:rsidP="001A6584">
            <w:pPr>
              <w:keepLines/>
              <w:autoSpaceDE w:val="0"/>
              <w:autoSpaceDN w:val="0"/>
              <w:adjustRightInd w:val="0"/>
              <w:ind w:left="0" w:firstLine="0"/>
              <w:rPr>
                <w:iCs/>
                <w:color w:val="000000"/>
                <w:szCs w:val="22"/>
                <w:lang w:eastAsia="ja-JP"/>
              </w:rPr>
            </w:pPr>
            <w:r w:rsidRPr="007E4DA1">
              <w:rPr>
                <w:iCs/>
                <w:color w:val="000000"/>
                <w:szCs w:val="22"/>
                <w:lang w:eastAsia="ja-JP"/>
              </w:rPr>
              <w:t>Zaburzenia wątroby i dróg żółciowych</w:t>
            </w:r>
          </w:p>
        </w:tc>
        <w:tc>
          <w:tcPr>
            <w:tcW w:w="1276" w:type="dxa"/>
            <w:shd w:val="clear" w:color="auto" w:fill="auto"/>
          </w:tcPr>
          <w:p w14:paraId="26E74964" w14:textId="77777777" w:rsidR="00413D2F" w:rsidRPr="007E4DA1" w:rsidRDefault="00413D2F" w:rsidP="001A6584">
            <w:pPr>
              <w:keepLines/>
              <w:autoSpaceDE w:val="0"/>
              <w:autoSpaceDN w:val="0"/>
              <w:adjustRightInd w:val="0"/>
              <w:rPr>
                <w:iCs/>
                <w:szCs w:val="22"/>
                <w:lang w:eastAsia="ja-JP"/>
              </w:rPr>
            </w:pPr>
            <w:r w:rsidRPr="007E4DA1">
              <w:rPr>
                <w:iCs/>
                <w:szCs w:val="22"/>
                <w:lang w:eastAsia="ja-JP"/>
              </w:rPr>
              <w:t>Często</w:t>
            </w:r>
          </w:p>
        </w:tc>
        <w:tc>
          <w:tcPr>
            <w:tcW w:w="4990" w:type="dxa"/>
            <w:shd w:val="clear" w:color="auto" w:fill="auto"/>
          </w:tcPr>
          <w:p w14:paraId="11F75A32" w14:textId="77777777" w:rsidR="00413D2F" w:rsidRPr="0090150C" w:rsidRDefault="00413D2F" w:rsidP="003D2760">
            <w:pPr>
              <w:keepNext/>
              <w:keepLines/>
              <w:autoSpaceDE w:val="0"/>
              <w:autoSpaceDN w:val="0"/>
              <w:adjustRightInd w:val="0"/>
              <w:ind w:left="0" w:firstLine="0"/>
            </w:pPr>
            <w:r w:rsidRPr="003D2760">
              <w:t>Hiperbilirubinemia</w:t>
            </w:r>
            <w:r w:rsidRPr="0090150C">
              <w:t>, żółtaczka, polekowe uszkodzenie wątroby</w:t>
            </w:r>
          </w:p>
        </w:tc>
      </w:tr>
      <w:tr w:rsidR="00413D2F" w:rsidRPr="007E4DA1" w14:paraId="5B578A2E" w14:textId="77777777" w:rsidTr="00EE3105">
        <w:trPr>
          <w:cantSplit/>
        </w:trPr>
        <w:tc>
          <w:tcPr>
            <w:tcW w:w="2943" w:type="dxa"/>
            <w:vMerge/>
            <w:tcBorders>
              <w:bottom w:val="single" w:sz="4" w:space="0" w:color="auto"/>
            </w:tcBorders>
            <w:shd w:val="clear" w:color="auto" w:fill="auto"/>
          </w:tcPr>
          <w:p w14:paraId="51DB800E" w14:textId="77777777" w:rsidR="00413D2F" w:rsidRPr="007E4DA1" w:rsidRDefault="00413D2F" w:rsidP="001A6584">
            <w:pPr>
              <w:keepLines/>
              <w:autoSpaceDE w:val="0"/>
              <w:autoSpaceDN w:val="0"/>
              <w:adjustRightInd w:val="0"/>
              <w:rPr>
                <w:iCs/>
                <w:color w:val="000000"/>
                <w:szCs w:val="22"/>
                <w:lang w:eastAsia="ja-JP"/>
              </w:rPr>
            </w:pPr>
          </w:p>
        </w:tc>
        <w:tc>
          <w:tcPr>
            <w:tcW w:w="1276" w:type="dxa"/>
            <w:shd w:val="clear" w:color="auto" w:fill="auto"/>
          </w:tcPr>
          <w:p w14:paraId="6CCC88CD" w14:textId="77777777" w:rsidR="00413D2F" w:rsidRPr="007E4DA1" w:rsidRDefault="00413D2F" w:rsidP="001A6584">
            <w:pPr>
              <w:keepLines/>
              <w:autoSpaceDE w:val="0"/>
              <w:autoSpaceDN w:val="0"/>
              <w:adjustRightInd w:val="0"/>
              <w:ind w:left="0" w:firstLine="0"/>
              <w:rPr>
                <w:iCs/>
                <w:szCs w:val="22"/>
                <w:lang w:eastAsia="ja-JP"/>
              </w:rPr>
            </w:pPr>
            <w:r w:rsidRPr="007E4DA1">
              <w:rPr>
                <w:iCs/>
                <w:szCs w:val="22"/>
                <w:lang w:eastAsia="ja-JP"/>
              </w:rPr>
              <w:t>Niezbyt często</w:t>
            </w:r>
          </w:p>
        </w:tc>
        <w:tc>
          <w:tcPr>
            <w:tcW w:w="4990" w:type="dxa"/>
            <w:shd w:val="clear" w:color="auto" w:fill="auto"/>
          </w:tcPr>
          <w:p w14:paraId="7DA91A01" w14:textId="77777777" w:rsidR="00413D2F" w:rsidRPr="0090150C" w:rsidRDefault="00413D2F" w:rsidP="0090150C">
            <w:pPr>
              <w:keepNext/>
              <w:keepLines/>
              <w:autoSpaceDE w:val="0"/>
              <w:autoSpaceDN w:val="0"/>
              <w:adjustRightInd w:val="0"/>
              <w:ind w:left="0" w:firstLine="0"/>
            </w:pPr>
            <w:r w:rsidRPr="0090150C">
              <w:t>Zakrzepica żyły wrotnej, niewydolność wątroby</w:t>
            </w:r>
          </w:p>
        </w:tc>
      </w:tr>
      <w:tr w:rsidR="00413D2F" w:rsidRPr="007E4DA1" w14:paraId="6E84FD6E" w14:textId="77777777" w:rsidTr="00EE3105">
        <w:trPr>
          <w:cantSplit/>
        </w:trPr>
        <w:tc>
          <w:tcPr>
            <w:tcW w:w="2943" w:type="dxa"/>
            <w:vMerge w:val="restart"/>
            <w:shd w:val="clear" w:color="auto" w:fill="auto"/>
          </w:tcPr>
          <w:p w14:paraId="485CDD41" w14:textId="77777777" w:rsidR="00413D2F" w:rsidRPr="007E4DA1" w:rsidRDefault="00413D2F" w:rsidP="001A6584">
            <w:pPr>
              <w:keepNext/>
              <w:keepLines/>
              <w:autoSpaceDE w:val="0"/>
              <w:autoSpaceDN w:val="0"/>
              <w:adjustRightInd w:val="0"/>
              <w:ind w:left="0" w:firstLine="0"/>
              <w:rPr>
                <w:iCs/>
                <w:color w:val="000000"/>
                <w:szCs w:val="22"/>
                <w:lang w:eastAsia="ja-JP"/>
              </w:rPr>
            </w:pPr>
            <w:r w:rsidRPr="007E4DA1">
              <w:rPr>
                <w:iCs/>
                <w:color w:val="000000"/>
                <w:szCs w:val="22"/>
                <w:lang w:eastAsia="ja-JP"/>
              </w:rPr>
              <w:t>Zaburzenia skóry i tkanki podskórnej</w:t>
            </w:r>
          </w:p>
        </w:tc>
        <w:tc>
          <w:tcPr>
            <w:tcW w:w="1276" w:type="dxa"/>
            <w:shd w:val="clear" w:color="auto" w:fill="auto"/>
          </w:tcPr>
          <w:p w14:paraId="2DA0D896" w14:textId="77777777" w:rsidR="00413D2F" w:rsidRPr="007E4DA1" w:rsidRDefault="00413D2F" w:rsidP="001A6584">
            <w:pPr>
              <w:keepNext/>
              <w:keepLines/>
              <w:autoSpaceDE w:val="0"/>
              <w:autoSpaceDN w:val="0"/>
              <w:adjustRightInd w:val="0"/>
              <w:ind w:left="34" w:hanging="34"/>
              <w:rPr>
                <w:iCs/>
                <w:szCs w:val="22"/>
                <w:lang w:eastAsia="ja-JP"/>
              </w:rPr>
            </w:pPr>
            <w:r w:rsidRPr="007E4DA1">
              <w:rPr>
                <w:iCs/>
                <w:szCs w:val="22"/>
                <w:lang w:eastAsia="ja-JP"/>
              </w:rPr>
              <w:t>Bardzo często</w:t>
            </w:r>
          </w:p>
        </w:tc>
        <w:tc>
          <w:tcPr>
            <w:tcW w:w="4990" w:type="dxa"/>
            <w:shd w:val="clear" w:color="auto" w:fill="auto"/>
          </w:tcPr>
          <w:p w14:paraId="0EA1C165" w14:textId="77777777" w:rsidR="00413D2F" w:rsidRPr="0090150C" w:rsidRDefault="00413D2F" w:rsidP="0090150C">
            <w:pPr>
              <w:keepNext/>
              <w:keepLines/>
              <w:autoSpaceDE w:val="0"/>
              <w:autoSpaceDN w:val="0"/>
              <w:adjustRightInd w:val="0"/>
              <w:ind w:left="0" w:firstLine="0"/>
            </w:pPr>
            <w:r w:rsidRPr="0090150C">
              <w:t>Świąd</w:t>
            </w:r>
          </w:p>
        </w:tc>
      </w:tr>
      <w:tr w:rsidR="00413D2F" w:rsidRPr="007E4DA1" w14:paraId="55F1AD1E" w14:textId="77777777" w:rsidTr="00EE3105">
        <w:trPr>
          <w:cantSplit/>
        </w:trPr>
        <w:tc>
          <w:tcPr>
            <w:tcW w:w="2943" w:type="dxa"/>
            <w:vMerge/>
            <w:shd w:val="clear" w:color="auto" w:fill="auto"/>
          </w:tcPr>
          <w:p w14:paraId="7EFB5892" w14:textId="77777777" w:rsidR="00413D2F" w:rsidRPr="007E4DA1" w:rsidRDefault="00413D2F" w:rsidP="001A6584">
            <w:pPr>
              <w:keepNext/>
              <w:keepLines/>
              <w:autoSpaceDE w:val="0"/>
              <w:autoSpaceDN w:val="0"/>
              <w:adjustRightInd w:val="0"/>
              <w:rPr>
                <w:iCs/>
                <w:color w:val="000000"/>
                <w:szCs w:val="22"/>
                <w:lang w:eastAsia="ja-JP"/>
              </w:rPr>
            </w:pPr>
          </w:p>
        </w:tc>
        <w:tc>
          <w:tcPr>
            <w:tcW w:w="1276" w:type="dxa"/>
            <w:shd w:val="clear" w:color="auto" w:fill="auto"/>
          </w:tcPr>
          <w:p w14:paraId="0B81E3BC" w14:textId="77777777" w:rsidR="00413D2F" w:rsidRPr="007E4DA1" w:rsidRDefault="00413D2F" w:rsidP="001A6584">
            <w:pPr>
              <w:keepNext/>
              <w:keepLines/>
              <w:autoSpaceDE w:val="0"/>
              <w:autoSpaceDN w:val="0"/>
              <w:adjustRightInd w:val="0"/>
              <w:rPr>
                <w:iCs/>
                <w:szCs w:val="22"/>
                <w:lang w:eastAsia="ja-JP"/>
              </w:rPr>
            </w:pPr>
            <w:r w:rsidRPr="007E4DA1">
              <w:rPr>
                <w:iCs/>
                <w:szCs w:val="22"/>
                <w:lang w:eastAsia="ja-JP"/>
              </w:rPr>
              <w:t>Często</w:t>
            </w:r>
          </w:p>
        </w:tc>
        <w:tc>
          <w:tcPr>
            <w:tcW w:w="4990" w:type="dxa"/>
            <w:shd w:val="clear" w:color="auto" w:fill="auto"/>
          </w:tcPr>
          <w:p w14:paraId="110A5F2B" w14:textId="77777777" w:rsidR="00413D2F" w:rsidRPr="0090150C" w:rsidRDefault="00413D2F" w:rsidP="001A6584">
            <w:pPr>
              <w:keepNext/>
              <w:keepLines/>
              <w:autoSpaceDE w:val="0"/>
              <w:autoSpaceDN w:val="0"/>
              <w:adjustRightInd w:val="0"/>
              <w:ind w:left="0" w:firstLine="0"/>
            </w:pPr>
            <w:r w:rsidRPr="0090150C">
              <w:t>Wysypka, suchość skóry, wyprysk, swędząca wysypka, rumień, nadmierna potliwość, uogólniony świąd, łysienie</w:t>
            </w:r>
          </w:p>
        </w:tc>
      </w:tr>
      <w:tr w:rsidR="00413D2F" w:rsidRPr="007E4DA1" w14:paraId="28F8F7E8" w14:textId="77777777" w:rsidTr="00EE3105">
        <w:trPr>
          <w:cantSplit/>
        </w:trPr>
        <w:tc>
          <w:tcPr>
            <w:tcW w:w="2943" w:type="dxa"/>
            <w:vMerge/>
            <w:tcBorders>
              <w:bottom w:val="nil"/>
            </w:tcBorders>
            <w:shd w:val="clear" w:color="auto" w:fill="auto"/>
          </w:tcPr>
          <w:p w14:paraId="338B3017" w14:textId="77777777" w:rsidR="00413D2F" w:rsidRPr="007E4DA1" w:rsidRDefault="00413D2F" w:rsidP="001A6584">
            <w:pPr>
              <w:keepNext/>
              <w:keepLines/>
              <w:autoSpaceDE w:val="0"/>
              <w:autoSpaceDN w:val="0"/>
              <w:adjustRightInd w:val="0"/>
              <w:rPr>
                <w:iCs/>
                <w:color w:val="000000"/>
                <w:szCs w:val="22"/>
                <w:lang w:eastAsia="ja-JP"/>
              </w:rPr>
            </w:pPr>
          </w:p>
        </w:tc>
        <w:tc>
          <w:tcPr>
            <w:tcW w:w="1276" w:type="dxa"/>
            <w:shd w:val="clear" w:color="auto" w:fill="auto"/>
          </w:tcPr>
          <w:p w14:paraId="7DC0B42C" w14:textId="77777777" w:rsidR="00413D2F" w:rsidRPr="007E4DA1" w:rsidRDefault="00413D2F" w:rsidP="001A6584">
            <w:pPr>
              <w:keepLines/>
              <w:autoSpaceDE w:val="0"/>
              <w:autoSpaceDN w:val="0"/>
              <w:adjustRightInd w:val="0"/>
              <w:ind w:left="0" w:firstLine="0"/>
              <w:rPr>
                <w:iCs/>
                <w:szCs w:val="22"/>
                <w:lang w:eastAsia="ja-JP"/>
              </w:rPr>
            </w:pPr>
            <w:r w:rsidRPr="007E4DA1">
              <w:rPr>
                <w:iCs/>
                <w:szCs w:val="22"/>
                <w:lang w:eastAsia="ja-JP"/>
              </w:rPr>
              <w:t>Niezbyt często</w:t>
            </w:r>
          </w:p>
        </w:tc>
        <w:tc>
          <w:tcPr>
            <w:tcW w:w="4990" w:type="dxa"/>
            <w:shd w:val="clear" w:color="auto" w:fill="auto"/>
          </w:tcPr>
          <w:p w14:paraId="64CD09AC" w14:textId="77777777" w:rsidR="00413D2F" w:rsidRPr="0090150C" w:rsidRDefault="00413D2F" w:rsidP="0090150C">
            <w:pPr>
              <w:keepNext/>
              <w:keepLines/>
              <w:autoSpaceDE w:val="0"/>
              <w:autoSpaceDN w:val="0"/>
              <w:adjustRightInd w:val="0"/>
              <w:ind w:left="0" w:firstLine="0"/>
            </w:pPr>
            <w:r w:rsidRPr="0090150C">
              <w:t>Zmiany skórne, odbarwienie skóry, nadmierna pigmentacja skóry, nocne poty</w:t>
            </w:r>
          </w:p>
        </w:tc>
      </w:tr>
      <w:tr w:rsidR="00413D2F" w:rsidRPr="007E4DA1" w14:paraId="3F7F6FD7" w14:textId="77777777" w:rsidTr="00EE3105">
        <w:trPr>
          <w:cantSplit/>
        </w:trPr>
        <w:tc>
          <w:tcPr>
            <w:tcW w:w="2943" w:type="dxa"/>
            <w:vMerge w:val="restart"/>
            <w:shd w:val="clear" w:color="auto" w:fill="auto"/>
          </w:tcPr>
          <w:p w14:paraId="724B52C0" w14:textId="77777777" w:rsidR="00413D2F" w:rsidRPr="007E4DA1" w:rsidRDefault="00413D2F" w:rsidP="001A6584">
            <w:pPr>
              <w:keepNext/>
              <w:keepLines/>
              <w:autoSpaceDE w:val="0"/>
              <w:autoSpaceDN w:val="0"/>
              <w:adjustRightInd w:val="0"/>
              <w:ind w:left="0" w:firstLine="0"/>
              <w:rPr>
                <w:iCs/>
                <w:color w:val="000000"/>
                <w:szCs w:val="22"/>
                <w:lang w:eastAsia="ja-JP"/>
              </w:rPr>
            </w:pPr>
            <w:r w:rsidRPr="007E4DA1">
              <w:rPr>
                <w:iCs/>
                <w:color w:val="000000"/>
                <w:szCs w:val="22"/>
                <w:lang w:eastAsia="ja-JP"/>
              </w:rPr>
              <w:t>Zaburzenia mięśniowo-szkieletowe i tkanki łącznej</w:t>
            </w:r>
          </w:p>
        </w:tc>
        <w:tc>
          <w:tcPr>
            <w:tcW w:w="1276" w:type="dxa"/>
            <w:shd w:val="clear" w:color="auto" w:fill="auto"/>
          </w:tcPr>
          <w:p w14:paraId="4EB276ED" w14:textId="77777777" w:rsidR="00413D2F" w:rsidRPr="007E4DA1" w:rsidRDefault="00413D2F" w:rsidP="001A6584">
            <w:pPr>
              <w:keepNext/>
              <w:keepLines/>
              <w:autoSpaceDE w:val="0"/>
              <w:autoSpaceDN w:val="0"/>
              <w:adjustRightInd w:val="0"/>
              <w:ind w:left="0" w:firstLine="0"/>
              <w:rPr>
                <w:szCs w:val="22"/>
              </w:rPr>
            </w:pPr>
            <w:r w:rsidRPr="007E4DA1">
              <w:rPr>
                <w:iCs/>
                <w:szCs w:val="22"/>
                <w:lang w:eastAsia="ja-JP"/>
              </w:rPr>
              <w:t>Bardzo często</w:t>
            </w:r>
          </w:p>
        </w:tc>
        <w:tc>
          <w:tcPr>
            <w:tcW w:w="4990" w:type="dxa"/>
            <w:shd w:val="clear" w:color="auto" w:fill="auto"/>
          </w:tcPr>
          <w:p w14:paraId="2F894095" w14:textId="77777777" w:rsidR="00413D2F" w:rsidRPr="0090150C" w:rsidRDefault="00413D2F" w:rsidP="0090150C">
            <w:pPr>
              <w:keepNext/>
              <w:keepLines/>
              <w:autoSpaceDE w:val="0"/>
              <w:autoSpaceDN w:val="0"/>
              <w:adjustRightInd w:val="0"/>
              <w:ind w:left="0" w:firstLine="0"/>
            </w:pPr>
            <w:r w:rsidRPr="0090150C">
              <w:t>Bóle mięśni</w:t>
            </w:r>
          </w:p>
        </w:tc>
      </w:tr>
      <w:tr w:rsidR="00413D2F" w:rsidRPr="007E4DA1" w14:paraId="5D50E677" w14:textId="77777777" w:rsidTr="00EE3105">
        <w:trPr>
          <w:cantSplit/>
        </w:trPr>
        <w:tc>
          <w:tcPr>
            <w:tcW w:w="2943" w:type="dxa"/>
            <w:vMerge/>
            <w:shd w:val="clear" w:color="auto" w:fill="auto"/>
          </w:tcPr>
          <w:p w14:paraId="16F27189" w14:textId="77777777" w:rsidR="00413D2F" w:rsidRPr="007E4DA1" w:rsidRDefault="00413D2F" w:rsidP="001A6584">
            <w:pPr>
              <w:keepNext/>
              <w:keepLines/>
              <w:autoSpaceDE w:val="0"/>
              <w:autoSpaceDN w:val="0"/>
              <w:adjustRightInd w:val="0"/>
              <w:rPr>
                <w:iCs/>
                <w:color w:val="000000"/>
                <w:szCs w:val="22"/>
                <w:lang w:eastAsia="ja-JP"/>
              </w:rPr>
            </w:pPr>
          </w:p>
        </w:tc>
        <w:tc>
          <w:tcPr>
            <w:tcW w:w="1276" w:type="dxa"/>
            <w:shd w:val="clear" w:color="auto" w:fill="auto"/>
          </w:tcPr>
          <w:p w14:paraId="6DFA53DB" w14:textId="77777777" w:rsidR="00413D2F" w:rsidRPr="007E4DA1" w:rsidRDefault="00413D2F" w:rsidP="001A6584">
            <w:pPr>
              <w:keepLines/>
              <w:autoSpaceDE w:val="0"/>
              <w:autoSpaceDN w:val="0"/>
              <w:adjustRightInd w:val="0"/>
              <w:rPr>
                <w:szCs w:val="22"/>
              </w:rPr>
            </w:pPr>
            <w:r w:rsidRPr="007E4DA1">
              <w:rPr>
                <w:iCs/>
                <w:szCs w:val="22"/>
                <w:lang w:eastAsia="ja-JP"/>
              </w:rPr>
              <w:t>Często</w:t>
            </w:r>
          </w:p>
        </w:tc>
        <w:tc>
          <w:tcPr>
            <w:tcW w:w="4990" w:type="dxa"/>
            <w:shd w:val="clear" w:color="auto" w:fill="auto"/>
          </w:tcPr>
          <w:p w14:paraId="376FF684" w14:textId="77777777" w:rsidR="00413D2F" w:rsidRPr="0090150C" w:rsidRDefault="00413D2F" w:rsidP="0090150C">
            <w:pPr>
              <w:keepNext/>
              <w:keepLines/>
              <w:autoSpaceDE w:val="0"/>
              <w:autoSpaceDN w:val="0"/>
              <w:adjustRightInd w:val="0"/>
              <w:ind w:left="0" w:firstLine="0"/>
            </w:pPr>
            <w:r w:rsidRPr="007E4DA1">
              <w:t>Bóle stawów, skurcze mięśni, bóle pleców, bóle kończyn, bóle mięśniowo-szkieletowe, bóle kości</w:t>
            </w:r>
          </w:p>
        </w:tc>
      </w:tr>
      <w:tr w:rsidR="00413D2F" w:rsidRPr="007E4DA1" w14:paraId="0CE375B6" w14:textId="77777777" w:rsidTr="00EE3105">
        <w:trPr>
          <w:cantSplit/>
        </w:trPr>
        <w:tc>
          <w:tcPr>
            <w:tcW w:w="2943" w:type="dxa"/>
            <w:shd w:val="clear" w:color="auto" w:fill="auto"/>
          </w:tcPr>
          <w:p w14:paraId="03A64C22" w14:textId="77777777" w:rsidR="00413D2F" w:rsidRPr="007E4DA1" w:rsidRDefault="00413D2F" w:rsidP="001A6584">
            <w:pPr>
              <w:keepNext/>
              <w:keepLines/>
              <w:autoSpaceDE w:val="0"/>
              <w:autoSpaceDN w:val="0"/>
              <w:adjustRightInd w:val="0"/>
              <w:ind w:left="0" w:firstLine="0"/>
              <w:rPr>
                <w:iCs/>
                <w:color w:val="000000"/>
                <w:szCs w:val="22"/>
                <w:lang w:eastAsia="ja-JP"/>
              </w:rPr>
            </w:pPr>
            <w:r w:rsidRPr="007E4DA1">
              <w:rPr>
                <w:iCs/>
                <w:color w:val="000000"/>
                <w:szCs w:val="22"/>
                <w:lang w:eastAsia="ja-JP"/>
              </w:rPr>
              <w:t>Zaburzenia nerek i dróg moczowych</w:t>
            </w:r>
          </w:p>
        </w:tc>
        <w:tc>
          <w:tcPr>
            <w:tcW w:w="1276" w:type="dxa"/>
            <w:shd w:val="clear" w:color="auto" w:fill="auto"/>
          </w:tcPr>
          <w:p w14:paraId="1DC37338" w14:textId="77777777" w:rsidR="00413D2F" w:rsidRPr="007E4DA1" w:rsidRDefault="00413D2F" w:rsidP="001A6584">
            <w:pPr>
              <w:keepLines/>
              <w:autoSpaceDE w:val="0"/>
              <w:autoSpaceDN w:val="0"/>
              <w:adjustRightInd w:val="0"/>
              <w:ind w:left="0" w:firstLine="0"/>
              <w:rPr>
                <w:szCs w:val="22"/>
              </w:rPr>
            </w:pPr>
            <w:r w:rsidRPr="007E4DA1">
              <w:rPr>
                <w:iCs/>
                <w:szCs w:val="22"/>
                <w:lang w:eastAsia="ja-JP"/>
              </w:rPr>
              <w:t>Niezbyt często</w:t>
            </w:r>
          </w:p>
        </w:tc>
        <w:tc>
          <w:tcPr>
            <w:tcW w:w="4990" w:type="dxa"/>
            <w:shd w:val="clear" w:color="auto" w:fill="auto"/>
          </w:tcPr>
          <w:p w14:paraId="6E27EE07" w14:textId="77777777" w:rsidR="00413D2F" w:rsidRPr="0090150C" w:rsidRDefault="00413D2F" w:rsidP="0090150C">
            <w:pPr>
              <w:keepNext/>
              <w:keepLines/>
              <w:autoSpaceDE w:val="0"/>
              <w:autoSpaceDN w:val="0"/>
              <w:adjustRightInd w:val="0"/>
              <w:ind w:left="0" w:firstLine="0"/>
            </w:pPr>
            <w:r w:rsidRPr="0090150C">
              <w:t xml:space="preserve">Mikroangiopatia zakrzepowa z ostrą niewydolnością nerek †, bolesne oddawanie moczu </w:t>
            </w:r>
          </w:p>
        </w:tc>
      </w:tr>
      <w:tr w:rsidR="00413D2F" w:rsidRPr="007E4DA1" w14:paraId="5106D3A1" w14:textId="77777777" w:rsidTr="00EE3105">
        <w:trPr>
          <w:cantSplit/>
        </w:trPr>
        <w:tc>
          <w:tcPr>
            <w:tcW w:w="2943" w:type="dxa"/>
            <w:vMerge w:val="restart"/>
            <w:shd w:val="clear" w:color="auto" w:fill="auto"/>
          </w:tcPr>
          <w:p w14:paraId="0D2781A4" w14:textId="77777777" w:rsidR="00413D2F" w:rsidRPr="007E4DA1" w:rsidRDefault="00413D2F" w:rsidP="001A6584">
            <w:pPr>
              <w:keepNext/>
              <w:keepLines/>
              <w:autoSpaceDE w:val="0"/>
              <w:autoSpaceDN w:val="0"/>
              <w:adjustRightInd w:val="0"/>
              <w:ind w:left="0" w:firstLine="0"/>
              <w:rPr>
                <w:iCs/>
                <w:color w:val="000000"/>
                <w:szCs w:val="22"/>
                <w:lang w:eastAsia="ja-JP"/>
              </w:rPr>
            </w:pPr>
            <w:r w:rsidRPr="007E4DA1">
              <w:rPr>
                <w:iCs/>
                <w:color w:val="000000"/>
                <w:szCs w:val="22"/>
                <w:lang w:eastAsia="ja-JP"/>
              </w:rPr>
              <w:t>Zaburzenia ogólne i stany w miejscu podania</w:t>
            </w:r>
          </w:p>
        </w:tc>
        <w:tc>
          <w:tcPr>
            <w:tcW w:w="1276" w:type="dxa"/>
            <w:shd w:val="clear" w:color="auto" w:fill="auto"/>
          </w:tcPr>
          <w:p w14:paraId="3FA51EBC" w14:textId="77777777" w:rsidR="00413D2F" w:rsidRPr="007E4DA1" w:rsidRDefault="00413D2F" w:rsidP="001A6584">
            <w:pPr>
              <w:keepNext/>
              <w:keepLines/>
              <w:autoSpaceDE w:val="0"/>
              <w:autoSpaceDN w:val="0"/>
              <w:adjustRightInd w:val="0"/>
              <w:ind w:left="34" w:hanging="34"/>
              <w:rPr>
                <w:szCs w:val="22"/>
              </w:rPr>
            </w:pPr>
            <w:r w:rsidRPr="007E4DA1">
              <w:rPr>
                <w:iCs/>
                <w:szCs w:val="22"/>
                <w:lang w:eastAsia="ja-JP"/>
              </w:rPr>
              <w:t>Bardzo często</w:t>
            </w:r>
          </w:p>
        </w:tc>
        <w:tc>
          <w:tcPr>
            <w:tcW w:w="4990" w:type="dxa"/>
            <w:shd w:val="clear" w:color="auto" w:fill="auto"/>
          </w:tcPr>
          <w:p w14:paraId="3C98E7F1" w14:textId="77777777" w:rsidR="00413D2F" w:rsidRPr="0090150C" w:rsidRDefault="00413D2F" w:rsidP="0090150C">
            <w:pPr>
              <w:keepNext/>
              <w:keepLines/>
              <w:autoSpaceDE w:val="0"/>
              <w:autoSpaceDN w:val="0"/>
              <w:adjustRightInd w:val="0"/>
              <w:ind w:left="0" w:firstLine="0"/>
            </w:pPr>
            <w:r w:rsidRPr="007E4DA1">
              <w:t xml:space="preserve">Gorączka, uczucie zmęczenia, objawy grypopodobne, </w:t>
            </w:r>
            <w:r w:rsidRPr="0090150C">
              <w:t>osłabienie</w:t>
            </w:r>
            <w:r w:rsidRPr="007E4DA1">
              <w:t>, dreszcze</w:t>
            </w:r>
          </w:p>
        </w:tc>
      </w:tr>
      <w:tr w:rsidR="00413D2F" w:rsidRPr="007E4DA1" w14:paraId="50C3A2A5" w14:textId="77777777" w:rsidTr="00EE3105">
        <w:trPr>
          <w:cantSplit/>
        </w:trPr>
        <w:tc>
          <w:tcPr>
            <w:tcW w:w="2943" w:type="dxa"/>
            <w:vMerge/>
            <w:shd w:val="clear" w:color="auto" w:fill="auto"/>
          </w:tcPr>
          <w:p w14:paraId="0DF1A17B" w14:textId="77777777" w:rsidR="00413D2F" w:rsidRPr="007E4DA1" w:rsidRDefault="00413D2F" w:rsidP="001A6584">
            <w:pPr>
              <w:keepNext/>
              <w:keepLines/>
              <w:autoSpaceDE w:val="0"/>
              <w:autoSpaceDN w:val="0"/>
              <w:adjustRightInd w:val="0"/>
              <w:rPr>
                <w:iCs/>
                <w:color w:val="000000"/>
                <w:szCs w:val="22"/>
                <w:lang w:eastAsia="ja-JP"/>
              </w:rPr>
            </w:pPr>
          </w:p>
        </w:tc>
        <w:tc>
          <w:tcPr>
            <w:tcW w:w="1276" w:type="dxa"/>
            <w:shd w:val="clear" w:color="auto" w:fill="auto"/>
          </w:tcPr>
          <w:p w14:paraId="09CCA4EF" w14:textId="77777777" w:rsidR="00413D2F" w:rsidRPr="007E4DA1" w:rsidRDefault="00413D2F" w:rsidP="001A6584">
            <w:pPr>
              <w:keepNext/>
              <w:keepLines/>
              <w:autoSpaceDE w:val="0"/>
              <w:autoSpaceDN w:val="0"/>
              <w:adjustRightInd w:val="0"/>
              <w:rPr>
                <w:szCs w:val="22"/>
              </w:rPr>
            </w:pPr>
            <w:r w:rsidRPr="007E4DA1">
              <w:rPr>
                <w:iCs/>
                <w:szCs w:val="22"/>
                <w:lang w:eastAsia="ja-JP"/>
              </w:rPr>
              <w:t>Często</w:t>
            </w:r>
          </w:p>
        </w:tc>
        <w:tc>
          <w:tcPr>
            <w:tcW w:w="4990" w:type="dxa"/>
            <w:shd w:val="clear" w:color="auto" w:fill="auto"/>
          </w:tcPr>
          <w:p w14:paraId="0AE00F9D" w14:textId="77777777" w:rsidR="00413D2F" w:rsidRPr="0090150C" w:rsidRDefault="00413D2F" w:rsidP="001A6584">
            <w:pPr>
              <w:keepNext/>
              <w:keepLines/>
              <w:autoSpaceDE w:val="0"/>
              <w:autoSpaceDN w:val="0"/>
              <w:adjustRightInd w:val="0"/>
              <w:ind w:left="0" w:firstLine="0"/>
            </w:pPr>
            <w:r w:rsidRPr="007E4DA1">
              <w:t>Drażliwość, dolegliwości bólowe, złe samopoczucie, reakcja w miejscu wstrzyknięcia, ból w klatce piersiowej pochodzenia pozasercowego, obrzęk, obrzęki obwodowe</w:t>
            </w:r>
          </w:p>
        </w:tc>
      </w:tr>
      <w:tr w:rsidR="00413D2F" w:rsidRPr="007E4DA1" w14:paraId="43AAAF25" w14:textId="77777777" w:rsidTr="00EE3105">
        <w:trPr>
          <w:cantSplit/>
        </w:trPr>
        <w:tc>
          <w:tcPr>
            <w:tcW w:w="2943" w:type="dxa"/>
            <w:vMerge/>
            <w:tcBorders>
              <w:bottom w:val="single" w:sz="4" w:space="0" w:color="auto"/>
            </w:tcBorders>
            <w:shd w:val="clear" w:color="auto" w:fill="auto"/>
          </w:tcPr>
          <w:p w14:paraId="7C437F03" w14:textId="77777777" w:rsidR="00413D2F" w:rsidRPr="007E4DA1" w:rsidRDefault="00413D2F" w:rsidP="001A6584">
            <w:pPr>
              <w:keepNext/>
              <w:keepLines/>
              <w:autoSpaceDE w:val="0"/>
              <w:autoSpaceDN w:val="0"/>
              <w:adjustRightInd w:val="0"/>
              <w:rPr>
                <w:iCs/>
                <w:color w:val="000000"/>
                <w:szCs w:val="22"/>
                <w:lang w:eastAsia="ja-JP"/>
              </w:rPr>
            </w:pPr>
          </w:p>
        </w:tc>
        <w:tc>
          <w:tcPr>
            <w:tcW w:w="1276" w:type="dxa"/>
            <w:shd w:val="clear" w:color="auto" w:fill="auto"/>
          </w:tcPr>
          <w:p w14:paraId="446C8595" w14:textId="77777777" w:rsidR="00413D2F" w:rsidRPr="007E4DA1" w:rsidRDefault="00413D2F" w:rsidP="001A6584">
            <w:pPr>
              <w:keepLines/>
              <w:autoSpaceDE w:val="0"/>
              <w:autoSpaceDN w:val="0"/>
              <w:adjustRightInd w:val="0"/>
              <w:ind w:left="0" w:firstLine="0"/>
              <w:rPr>
                <w:szCs w:val="22"/>
              </w:rPr>
            </w:pPr>
            <w:r w:rsidRPr="007E4DA1">
              <w:rPr>
                <w:iCs/>
                <w:szCs w:val="22"/>
                <w:lang w:eastAsia="ja-JP"/>
              </w:rPr>
              <w:t>Niezbyt często</w:t>
            </w:r>
          </w:p>
        </w:tc>
        <w:tc>
          <w:tcPr>
            <w:tcW w:w="4990" w:type="dxa"/>
            <w:shd w:val="clear" w:color="auto" w:fill="auto"/>
          </w:tcPr>
          <w:p w14:paraId="124D89C3" w14:textId="77777777" w:rsidR="00413D2F" w:rsidRPr="0090150C" w:rsidRDefault="00413D2F" w:rsidP="0090150C">
            <w:pPr>
              <w:keepNext/>
              <w:keepLines/>
              <w:autoSpaceDE w:val="0"/>
              <w:autoSpaceDN w:val="0"/>
              <w:adjustRightInd w:val="0"/>
              <w:ind w:left="0" w:firstLine="0"/>
            </w:pPr>
            <w:r w:rsidRPr="0090150C">
              <w:t>Świąd w miejscu wstrzyknięcia, wysypka w miejscu wstrzyknięcia, uczucie dyskomfortu w klatce piersiowej</w:t>
            </w:r>
          </w:p>
        </w:tc>
      </w:tr>
      <w:tr w:rsidR="00413D2F" w:rsidRPr="007E4DA1" w14:paraId="366E4320" w14:textId="77777777" w:rsidTr="00EE3105">
        <w:trPr>
          <w:cantSplit/>
        </w:trPr>
        <w:tc>
          <w:tcPr>
            <w:tcW w:w="2943" w:type="dxa"/>
            <w:vMerge w:val="restart"/>
            <w:shd w:val="clear" w:color="auto" w:fill="auto"/>
          </w:tcPr>
          <w:p w14:paraId="060DE5DA" w14:textId="77777777" w:rsidR="00413D2F" w:rsidRPr="007E4DA1" w:rsidRDefault="00413D2F" w:rsidP="001A6584">
            <w:pPr>
              <w:keepNext/>
              <w:keepLines/>
              <w:autoSpaceDE w:val="0"/>
              <w:autoSpaceDN w:val="0"/>
              <w:adjustRightInd w:val="0"/>
              <w:ind w:left="0" w:firstLine="0"/>
              <w:rPr>
                <w:iCs/>
                <w:color w:val="000000"/>
                <w:szCs w:val="22"/>
                <w:lang w:eastAsia="ja-JP"/>
              </w:rPr>
            </w:pPr>
            <w:r w:rsidRPr="007E4DA1">
              <w:rPr>
                <w:iCs/>
                <w:color w:val="000000"/>
                <w:szCs w:val="22"/>
                <w:lang w:eastAsia="ja-JP"/>
              </w:rPr>
              <w:t>Badania diagnostyczne</w:t>
            </w:r>
          </w:p>
        </w:tc>
        <w:tc>
          <w:tcPr>
            <w:tcW w:w="1276" w:type="dxa"/>
            <w:shd w:val="clear" w:color="auto" w:fill="auto"/>
          </w:tcPr>
          <w:p w14:paraId="5E3793A4" w14:textId="77777777" w:rsidR="00413D2F" w:rsidRPr="007E4DA1" w:rsidRDefault="00413D2F" w:rsidP="001A6584">
            <w:pPr>
              <w:keepNext/>
              <w:keepLines/>
              <w:autoSpaceDE w:val="0"/>
              <w:autoSpaceDN w:val="0"/>
              <w:adjustRightInd w:val="0"/>
              <w:rPr>
                <w:iCs/>
                <w:szCs w:val="22"/>
                <w:lang w:eastAsia="ja-JP"/>
              </w:rPr>
            </w:pPr>
            <w:r w:rsidRPr="007E4DA1">
              <w:rPr>
                <w:iCs/>
                <w:szCs w:val="22"/>
                <w:lang w:eastAsia="ja-JP"/>
              </w:rPr>
              <w:t>Często</w:t>
            </w:r>
          </w:p>
        </w:tc>
        <w:tc>
          <w:tcPr>
            <w:tcW w:w="4990" w:type="dxa"/>
            <w:shd w:val="clear" w:color="auto" w:fill="auto"/>
          </w:tcPr>
          <w:p w14:paraId="1527E44E" w14:textId="77777777" w:rsidR="00413D2F" w:rsidRPr="0090150C" w:rsidRDefault="00413D2F" w:rsidP="001A6584">
            <w:pPr>
              <w:keepNext/>
              <w:keepLines/>
              <w:autoSpaceDE w:val="0"/>
              <w:autoSpaceDN w:val="0"/>
              <w:adjustRightInd w:val="0"/>
              <w:ind w:left="0" w:firstLine="0"/>
            </w:pPr>
            <w:r w:rsidRPr="007E4DA1">
              <w:t>Zwiększenie stężenia bilirubiny we krwi, zmniejszenie masy ciała, zmniejszenie liczby krwinek białych, zmniejszenie stężenia hemoglobiny, zmniejszenie liczby neutrofilów, zwiększenie międzynarodowego współczynnika znormalizowanego, wydłużenie czasu częściowej tromboplastyny po aktywacji, zwiększenie stężenia glukozy we krwi, zmniejszenie stężenia albumin we krwi</w:t>
            </w:r>
          </w:p>
        </w:tc>
      </w:tr>
      <w:tr w:rsidR="00413D2F" w:rsidRPr="007E4DA1" w14:paraId="33A3983B" w14:textId="77777777" w:rsidTr="00EE3105">
        <w:trPr>
          <w:cantSplit/>
        </w:trPr>
        <w:tc>
          <w:tcPr>
            <w:tcW w:w="2943" w:type="dxa"/>
            <w:vMerge/>
            <w:shd w:val="clear" w:color="auto" w:fill="auto"/>
          </w:tcPr>
          <w:p w14:paraId="3F1204B5" w14:textId="77777777" w:rsidR="00413D2F" w:rsidRPr="007E4DA1" w:rsidRDefault="00413D2F" w:rsidP="001A6584">
            <w:pPr>
              <w:keepNext/>
              <w:keepLines/>
              <w:autoSpaceDE w:val="0"/>
              <w:autoSpaceDN w:val="0"/>
              <w:adjustRightInd w:val="0"/>
              <w:rPr>
                <w:iCs/>
                <w:color w:val="000000"/>
                <w:szCs w:val="22"/>
                <w:lang w:eastAsia="ja-JP"/>
              </w:rPr>
            </w:pPr>
          </w:p>
        </w:tc>
        <w:tc>
          <w:tcPr>
            <w:tcW w:w="1276" w:type="dxa"/>
            <w:shd w:val="clear" w:color="auto" w:fill="auto"/>
          </w:tcPr>
          <w:p w14:paraId="314B64AD" w14:textId="77777777" w:rsidR="00413D2F" w:rsidRPr="007E4DA1" w:rsidRDefault="00413D2F" w:rsidP="001A6584">
            <w:pPr>
              <w:keepNext/>
              <w:keepLines/>
              <w:autoSpaceDE w:val="0"/>
              <w:autoSpaceDN w:val="0"/>
              <w:adjustRightInd w:val="0"/>
              <w:ind w:left="34" w:hanging="34"/>
              <w:rPr>
                <w:iCs/>
                <w:szCs w:val="22"/>
                <w:lang w:eastAsia="ja-JP"/>
              </w:rPr>
            </w:pPr>
            <w:r w:rsidRPr="007E4DA1">
              <w:rPr>
                <w:iCs/>
                <w:szCs w:val="22"/>
                <w:lang w:eastAsia="ja-JP"/>
              </w:rPr>
              <w:t>Niezbyt często</w:t>
            </w:r>
          </w:p>
        </w:tc>
        <w:tc>
          <w:tcPr>
            <w:tcW w:w="4990" w:type="dxa"/>
            <w:shd w:val="clear" w:color="auto" w:fill="auto"/>
          </w:tcPr>
          <w:p w14:paraId="34622148" w14:textId="77777777" w:rsidR="00413D2F" w:rsidRPr="0090150C" w:rsidRDefault="00413D2F" w:rsidP="0090150C">
            <w:pPr>
              <w:keepNext/>
              <w:keepLines/>
              <w:autoSpaceDE w:val="0"/>
              <w:autoSpaceDN w:val="0"/>
              <w:adjustRightInd w:val="0"/>
              <w:ind w:left="0" w:firstLine="0"/>
            </w:pPr>
            <w:r w:rsidRPr="0090150C">
              <w:t>Wydłużenie odstępu QT w zapisie elektrokardiograficznym</w:t>
            </w:r>
          </w:p>
        </w:tc>
      </w:tr>
      <w:tr w:rsidR="00E21164" w:rsidRPr="007E4DA1" w14:paraId="5CAACE96" w14:textId="77777777" w:rsidTr="00EE3105">
        <w:trPr>
          <w:cantSplit/>
        </w:trPr>
        <w:tc>
          <w:tcPr>
            <w:tcW w:w="9209" w:type="dxa"/>
            <w:gridSpan w:val="3"/>
            <w:tcBorders>
              <w:bottom w:val="single" w:sz="4" w:space="0" w:color="auto"/>
            </w:tcBorders>
            <w:shd w:val="clear" w:color="auto" w:fill="auto"/>
          </w:tcPr>
          <w:p w14:paraId="04200D4C" w14:textId="4B3863E4" w:rsidR="00E21164" w:rsidRPr="003D2760" w:rsidRDefault="00E21164" w:rsidP="003D2760">
            <w:pPr>
              <w:autoSpaceDE w:val="0"/>
              <w:autoSpaceDN w:val="0"/>
              <w:adjustRightInd w:val="0"/>
              <w:rPr>
                <w:sz w:val="20"/>
                <w:szCs w:val="20"/>
                <w:lang w:eastAsia="ja-JP"/>
              </w:rPr>
            </w:pPr>
            <w:r w:rsidRPr="003D2760">
              <w:rPr>
                <w:rFonts w:eastAsia="MS Mincho"/>
                <w:sz w:val="20"/>
                <w:szCs w:val="20"/>
                <w:vertAlign w:val="superscript"/>
                <w:lang w:eastAsia="ja-JP"/>
              </w:rPr>
              <w:t>†</w:t>
            </w:r>
            <w:r w:rsidRPr="003D2760">
              <w:rPr>
                <w:rFonts w:eastAsia="MS Mincho"/>
                <w:sz w:val="20"/>
                <w:szCs w:val="20"/>
                <w:lang w:eastAsia="ja-JP"/>
              </w:rPr>
              <w:tab/>
            </w:r>
            <w:r w:rsidRPr="003D2760">
              <w:rPr>
                <w:sz w:val="20"/>
                <w:szCs w:val="20"/>
              </w:rPr>
              <w:t>Termin zbiorczy obejmujący preferowane terminy oznaczające skąpomocz, niewydolność nerek i zaburzenia czynności nerek</w:t>
            </w:r>
            <w:r w:rsidR="001260F0">
              <w:rPr>
                <w:sz w:val="20"/>
                <w:szCs w:val="20"/>
              </w:rPr>
              <w:t>.</w:t>
            </w:r>
          </w:p>
        </w:tc>
      </w:tr>
    </w:tbl>
    <w:p w14:paraId="623CD2E1" w14:textId="77777777" w:rsidR="00A350DA" w:rsidRPr="007E4DA1" w:rsidRDefault="00A350DA" w:rsidP="001A6584">
      <w:pPr>
        <w:tabs>
          <w:tab w:val="left" w:pos="142"/>
        </w:tabs>
        <w:autoSpaceDE w:val="0"/>
        <w:autoSpaceDN w:val="0"/>
        <w:adjustRightInd w:val="0"/>
        <w:ind w:left="0" w:firstLine="0"/>
        <w:rPr>
          <w:szCs w:val="22"/>
        </w:rPr>
      </w:pPr>
    </w:p>
    <w:p w14:paraId="333DF4AD" w14:textId="133F9978" w:rsidR="00041A08" w:rsidRPr="00041A08" w:rsidRDefault="00E21164">
      <w:pPr>
        <w:keepNext/>
        <w:tabs>
          <w:tab w:val="left" w:pos="142"/>
        </w:tabs>
        <w:ind w:left="1134" w:hanging="1134"/>
        <w:rPr>
          <w:szCs w:val="22"/>
        </w:rPr>
      </w:pPr>
      <w:r>
        <w:rPr>
          <w:b/>
          <w:szCs w:val="22"/>
        </w:rPr>
        <w:lastRenderedPageBreak/>
        <w:t>Tabela 6</w:t>
      </w:r>
      <w:r>
        <w:rPr>
          <w:b/>
          <w:szCs w:val="22"/>
        </w:rPr>
        <w:tab/>
        <w:t>Działania niepożądane w p</w:t>
      </w:r>
      <w:r w:rsidR="00A350DA" w:rsidRPr="007E4DA1">
        <w:rPr>
          <w:b/>
          <w:szCs w:val="22"/>
        </w:rPr>
        <w:t>opulacj</w:t>
      </w:r>
      <w:r>
        <w:rPr>
          <w:b/>
          <w:szCs w:val="22"/>
        </w:rPr>
        <w:t>i</w:t>
      </w:r>
      <w:r w:rsidR="00A350DA" w:rsidRPr="007E4DA1">
        <w:rPr>
          <w:b/>
          <w:szCs w:val="22"/>
        </w:rPr>
        <w:t xml:space="preserve"> pacjentów uczestniczących w badaniu </w:t>
      </w:r>
      <w:r w:rsidR="00672F34" w:rsidRPr="007E4DA1">
        <w:rPr>
          <w:b/>
          <w:szCs w:val="22"/>
        </w:rPr>
        <w:t xml:space="preserve">dotyczącym </w:t>
      </w:r>
      <w:r w:rsidR="00A350DA" w:rsidRPr="007E4DA1">
        <w:rPr>
          <w:b/>
          <w:szCs w:val="22"/>
        </w:rPr>
        <w:t>SAA</w:t>
      </w:r>
    </w:p>
    <w:p w14:paraId="1E8EE9B6" w14:textId="33287C86" w:rsidR="00672F34" w:rsidRPr="007E4DA1" w:rsidRDefault="00672F34" w:rsidP="001A6584">
      <w:pPr>
        <w:keepNext/>
        <w:tabs>
          <w:tab w:val="left" w:pos="142"/>
        </w:tabs>
        <w:ind w:left="0" w:firstLine="0"/>
        <w:rPr>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9"/>
        <w:gridCol w:w="4957"/>
      </w:tblGrid>
      <w:tr w:rsidR="00672F34" w:rsidRPr="007E4DA1" w14:paraId="2EFC2673" w14:textId="77777777" w:rsidTr="009D255C">
        <w:trPr>
          <w:cantSplit/>
        </w:trPr>
        <w:tc>
          <w:tcPr>
            <w:tcW w:w="2943" w:type="dxa"/>
            <w:shd w:val="clear" w:color="auto" w:fill="auto"/>
          </w:tcPr>
          <w:p w14:paraId="6BA8B106" w14:textId="77777777" w:rsidR="00672F34" w:rsidRPr="007E4DA1" w:rsidRDefault="00672F34" w:rsidP="001A6584">
            <w:pPr>
              <w:keepNext/>
              <w:ind w:left="0" w:firstLine="0"/>
              <w:rPr>
                <w:b/>
                <w:szCs w:val="22"/>
                <w:lang w:eastAsia="ja-JP"/>
              </w:rPr>
            </w:pPr>
            <w:r w:rsidRPr="007E4DA1">
              <w:rPr>
                <w:b/>
                <w:szCs w:val="22"/>
                <w:lang w:eastAsia="ja-JP"/>
              </w:rPr>
              <w:t>Klasyfikacja układów i narządów</w:t>
            </w:r>
          </w:p>
        </w:tc>
        <w:tc>
          <w:tcPr>
            <w:tcW w:w="1309" w:type="dxa"/>
            <w:shd w:val="clear" w:color="auto" w:fill="auto"/>
          </w:tcPr>
          <w:p w14:paraId="419C1F14" w14:textId="77777777" w:rsidR="00672F34" w:rsidRPr="007E4DA1" w:rsidRDefault="00672F34" w:rsidP="001A6584">
            <w:pPr>
              <w:keepNext/>
              <w:keepLines/>
              <w:autoSpaceDE w:val="0"/>
              <w:autoSpaceDN w:val="0"/>
              <w:adjustRightInd w:val="0"/>
              <w:ind w:left="0" w:firstLine="0"/>
              <w:rPr>
                <w:b/>
                <w:iCs/>
                <w:szCs w:val="22"/>
                <w:lang w:eastAsia="ja-JP"/>
              </w:rPr>
            </w:pPr>
            <w:r w:rsidRPr="007E4DA1">
              <w:rPr>
                <w:b/>
                <w:iCs/>
                <w:szCs w:val="22"/>
                <w:lang w:eastAsia="ja-JP"/>
              </w:rPr>
              <w:t>Częstość występowania</w:t>
            </w:r>
          </w:p>
        </w:tc>
        <w:tc>
          <w:tcPr>
            <w:tcW w:w="4957" w:type="dxa"/>
            <w:shd w:val="clear" w:color="auto" w:fill="auto"/>
          </w:tcPr>
          <w:p w14:paraId="1D610B53" w14:textId="77777777" w:rsidR="00672F34" w:rsidRPr="007E4DA1" w:rsidRDefault="00672F34" w:rsidP="009D255C">
            <w:pPr>
              <w:keepNext/>
              <w:keepLines/>
              <w:autoSpaceDE w:val="0"/>
              <w:autoSpaceDN w:val="0"/>
              <w:adjustRightInd w:val="0"/>
              <w:ind w:left="0" w:firstLine="0"/>
              <w:rPr>
                <w:b/>
                <w:szCs w:val="22"/>
                <w:lang w:eastAsia="ja-JP"/>
              </w:rPr>
            </w:pPr>
            <w:r w:rsidRPr="007E4DA1">
              <w:rPr>
                <w:b/>
                <w:szCs w:val="22"/>
                <w:lang w:eastAsia="ja-JP"/>
              </w:rPr>
              <w:t>Działanie niepożądane</w:t>
            </w:r>
          </w:p>
        </w:tc>
      </w:tr>
      <w:tr w:rsidR="00672F34" w:rsidRPr="007E4DA1" w14:paraId="7CC642F4" w14:textId="77777777" w:rsidTr="009D255C">
        <w:trPr>
          <w:cantSplit/>
        </w:trPr>
        <w:tc>
          <w:tcPr>
            <w:tcW w:w="2943" w:type="dxa"/>
            <w:shd w:val="clear" w:color="auto" w:fill="auto"/>
          </w:tcPr>
          <w:p w14:paraId="1A5BE591" w14:textId="77777777" w:rsidR="00672F34" w:rsidRPr="007E4DA1" w:rsidRDefault="00672F34" w:rsidP="001A6584">
            <w:pPr>
              <w:keepNext/>
              <w:autoSpaceDE w:val="0"/>
              <w:autoSpaceDN w:val="0"/>
              <w:adjustRightInd w:val="0"/>
              <w:ind w:left="0" w:firstLine="0"/>
              <w:rPr>
                <w:szCs w:val="22"/>
                <w:lang w:eastAsia="ja-JP"/>
              </w:rPr>
            </w:pPr>
            <w:r w:rsidRPr="007E4DA1">
              <w:rPr>
                <w:szCs w:val="22"/>
                <w:lang w:eastAsia="ja-JP"/>
              </w:rPr>
              <w:t>Zaburzenia krwi i układu chłonnego</w:t>
            </w:r>
          </w:p>
        </w:tc>
        <w:tc>
          <w:tcPr>
            <w:tcW w:w="1309" w:type="dxa"/>
            <w:shd w:val="clear" w:color="auto" w:fill="auto"/>
          </w:tcPr>
          <w:p w14:paraId="5282B2B5" w14:textId="77777777" w:rsidR="00672F34" w:rsidRPr="007E4DA1" w:rsidRDefault="00672F34" w:rsidP="001A6584">
            <w:pPr>
              <w:keepNext/>
              <w:keepLines/>
              <w:autoSpaceDE w:val="0"/>
              <w:autoSpaceDN w:val="0"/>
              <w:adjustRightInd w:val="0"/>
              <w:rPr>
                <w:iCs/>
                <w:szCs w:val="22"/>
                <w:lang w:eastAsia="ja-JP"/>
              </w:rPr>
            </w:pPr>
            <w:r w:rsidRPr="007E4DA1">
              <w:rPr>
                <w:szCs w:val="22"/>
              </w:rPr>
              <w:t>Często</w:t>
            </w:r>
          </w:p>
        </w:tc>
        <w:tc>
          <w:tcPr>
            <w:tcW w:w="4957" w:type="dxa"/>
            <w:shd w:val="clear" w:color="auto" w:fill="auto"/>
          </w:tcPr>
          <w:p w14:paraId="7B0EAB15" w14:textId="77777777" w:rsidR="00672F34" w:rsidRPr="0090150C" w:rsidRDefault="00672F34" w:rsidP="0090150C">
            <w:pPr>
              <w:keepNext/>
              <w:keepLines/>
              <w:autoSpaceDE w:val="0"/>
              <w:autoSpaceDN w:val="0"/>
              <w:adjustRightInd w:val="0"/>
              <w:ind w:left="0" w:firstLine="0"/>
            </w:pPr>
            <w:r w:rsidRPr="0090150C">
              <w:t>Neutropenia, zawał śledziony</w:t>
            </w:r>
          </w:p>
        </w:tc>
      </w:tr>
      <w:tr w:rsidR="00672F34" w:rsidRPr="007E4DA1" w14:paraId="102E35D1" w14:textId="77777777" w:rsidTr="009D255C">
        <w:trPr>
          <w:cantSplit/>
        </w:trPr>
        <w:tc>
          <w:tcPr>
            <w:tcW w:w="2943" w:type="dxa"/>
            <w:tcBorders>
              <w:bottom w:val="single" w:sz="4" w:space="0" w:color="auto"/>
            </w:tcBorders>
            <w:shd w:val="clear" w:color="auto" w:fill="auto"/>
          </w:tcPr>
          <w:p w14:paraId="5D03946F" w14:textId="77777777" w:rsidR="00672F34" w:rsidRPr="007E4DA1" w:rsidRDefault="00672F34" w:rsidP="001A6584">
            <w:pPr>
              <w:keepLines/>
              <w:ind w:left="0" w:firstLine="0"/>
              <w:rPr>
                <w:szCs w:val="22"/>
              </w:rPr>
            </w:pPr>
            <w:r w:rsidRPr="007E4DA1">
              <w:rPr>
                <w:szCs w:val="22"/>
              </w:rPr>
              <w:t>Zaburzenia metabolizmu i odżywiania</w:t>
            </w:r>
          </w:p>
        </w:tc>
        <w:tc>
          <w:tcPr>
            <w:tcW w:w="1309" w:type="dxa"/>
            <w:shd w:val="clear" w:color="auto" w:fill="auto"/>
          </w:tcPr>
          <w:p w14:paraId="6D6241A9" w14:textId="77777777" w:rsidR="00672F34" w:rsidRPr="007E4DA1" w:rsidRDefault="00672F34" w:rsidP="001A6584">
            <w:pPr>
              <w:keepLines/>
              <w:autoSpaceDE w:val="0"/>
              <w:autoSpaceDN w:val="0"/>
              <w:adjustRightInd w:val="0"/>
              <w:rPr>
                <w:iCs/>
                <w:szCs w:val="22"/>
                <w:lang w:eastAsia="ja-JP"/>
              </w:rPr>
            </w:pPr>
            <w:r w:rsidRPr="007E4DA1">
              <w:rPr>
                <w:szCs w:val="22"/>
              </w:rPr>
              <w:t>Często</w:t>
            </w:r>
          </w:p>
        </w:tc>
        <w:tc>
          <w:tcPr>
            <w:tcW w:w="4957" w:type="dxa"/>
            <w:shd w:val="clear" w:color="auto" w:fill="auto"/>
          </w:tcPr>
          <w:p w14:paraId="6D7DDA57" w14:textId="77777777" w:rsidR="00672F34" w:rsidRPr="0090150C" w:rsidRDefault="00672F34" w:rsidP="0090150C">
            <w:pPr>
              <w:keepNext/>
              <w:keepLines/>
              <w:autoSpaceDE w:val="0"/>
              <w:autoSpaceDN w:val="0"/>
              <w:adjustRightInd w:val="0"/>
              <w:ind w:left="0" w:firstLine="0"/>
            </w:pPr>
            <w:r w:rsidRPr="0090150C">
              <w:t>Nadmierne obciążenie żelazem, zmniejszony apetyt, hipoglikemia, zwiększony apetyt</w:t>
            </w:r>
          </w:p>
        </w:tc>
      </w:tr>
      <w:tr w:rsidR="00672F34" w:rsidRPr="007E4DA1" w14:paraId="2A8C6E61" w14:textId="77777777" w:rsidTr="009D255C">
        <w:trPr>
          <w:cantSplit/>
        </w:trPr>
        <w:tc>
          <w:tcPr>
            <w:tcW w:w="2943" w:type="dxa"/>
            <w:tcBorders>
              <w:top w:val="nil"/>
              <w:bottom w:val="single" w:sz="4" w:space="0" w:color="auto"/>
            </w:tcBorders>
            <w:shd w:val="clear" w:color="auto" w:fill="auto"/>
          </w:tcPr>
          <w:p w14:paraId="57D3504A" w14:textId="77777777" w:rsidR="00672F34" w:rsidRPr="007E4DA1" w:rsidRDefault="00672F34" w:rsidP="001A6584">
            <w:pPr>
              <w:keepLines/>
              <w:rPr>
                <w:szCs w:val="22"/>
                <w:lang w:eastAsia="ja-JP"/>
              </w:rPr>
            </w:pPr>
            <w:r w:rsidRPr="007E4DA1">
              <w:rPr>
                <w:szCs w:val="22"/>
              </w:rPr>
              <w:t>Zaburzenia psychiczne</w:t>
            </w:r>
          </w:p>
        </w:tc>
        <w:tc>
          <w:tcPr>
            <w:tcW w:w="1309" w:type="dxa"/>
            <w:shd w:val="clear" w:color="auto" w:fill="auto"/>
          </w:tcPr>
          <w:p w14:paraId="60BC1E04" w14:textId="77777777" w:rsidR="00672F34" w:rsidRPr="007E4DA1" w:rsidRDefault="00672F34" w:rsidP="001A6584">
            <w:pPr>
              <w:keepLines/>
              <w:autoSpaceDE w:val="0"/>
              <w:autoSpaceDN w:val="0"/>
              <w:adjustRightInd w:val="0"/>
              <w:rPr>
                <w:iCs/>
                <w:szCs w:val="22"/>
                <w:lang w:eastAsia="ja-JP"/>
              </w:rPr>
            </w:pPr>
            <w:r w:rsidRPr="007E4DA1">
              <w:rPr>
                <w:szCs w:val="22"/>
              </w:rPr>
              <w:t>Często</w:t>
            </w:r>
          </w:p>
        </w:tc>
        <w:tc>
          <w:tcPr>
            <w:tcW w:w="4957" w:type="dxa"/>
            <w:shd w:val="clear" w:color="auto" w:fill="auto"/>
          </w:tcPr>
          <w:p w14:paraId="2BD87850" w14:textId="77777777" w:rsidR="00672F34" w:rsidRPr="0090150C" w:rsidRDefault="00672F34" w:rsidP="0090150C">
            <w:pPr>
              <w:keepNext/>
              <w:keepLines/>
              <w:autoSpaceDE w:val="0"/>
              <w:autoSpaceDN w:val="0"/>
              <w:adjustRightInd w:val="0"/>
              <w:ind w:left="0" w:firstLine="0"/>
            </w:pPr>
            <w:r w:rsidRPr="0090150C">
              <w:t>Lęk, depresja</w:t>
            </w:r>
          </w:p>
        </w:tc>
      </w:tr>
      <w:tr w:rsidR="00672F34" w:rsidRPr="007E4DA1" w14:paraId="2793E6B5" w14:textId="77777777" w:rsidTr="009D255C">
        <w:trPr>
          <w:cantSplit/>
        </w:trPr>
        <w:tc>
          <w:tcPr>
            <w:tcW w:w="2943" w:type="dxa"/>
            <w:vMerge w:val="restart"/>
            <w:shd w:val="clear" w:color="auto" w:fill="auto"/>
          </w:tcPr>
          <w:p w14:paraId="6873467E" w14:textId="77777777" w:rsidR="00672F34" w:rsidRPr="007E4DA1" w:rsidRDefault="00672F34" w:rsidP="001A6584">
            <w:pPr>
              <w:pStyle w:val="LBLBulletStyle1"/>
              <w:keepNext/>
              <w:keepLines/>
              <w:numPr>
                <w:ilvl w:val="0"/>
                <w:numId w:val="0"/>
              </w:numPr>
              <w:spacing w:line="240" w:lineRule="auto"/>
              <w:rPr>
                <w:sz w:val="22"/>
                <w:szCs w:val="22"/>
                <w:lang w:val="pl-PL"/>
              </w:rPr>
            </w:pPr>
            <w:r w:rsidRPr="007E4DA1">
              <w:rPr>
                <w:sz w:val="22"/>
                <w:szCs w:val="22"/>
                <w:lang w:val="pl-PL"/>
              </w:rPr>
              <w:t>Zaburzenia układu nerwowego</w:t>
            </w:r>
          </w:p>
        </w:tc>
        <w:tc>
          <w:tcPr>
            <w:tcW w:w="1309" w:type="dxa"/>
            <w:shd w:val="clear" w:color="auto" w:fill="auto"/>
          </w:tcPr>
          <w:p w14:paraId="29644603" w14:textId="77777777" w:rsidR="00672F34" w:rsidRPr="007E4DA1" w:rsidRDefault="00672F34" w:rsidP="001A6584">
            <w:pPr>
              <w:keepNext/>
              <w:keepLines/>
              <w:autoSpaceDE w:val="0"/>
              <w:autoSpaceDN w:val="0"/>
              <w:adjustRightInd w:val="0"/>
              <w:ind w:left="34" w:hanging="34"/>
              <w:rPr>
                <w:iCs/>
                <w:szCs w:val="22"/>
                <w:lang w:eastAsia="ja-JP"/>
              </w:rPr>
            </w:pPr>
            <w:r w:rsidRPr="007E4DA1">
              <w:rPr>
                <w:szCs w:val="22"/>
              </w:rPr>
              <w:t>Bardzo często</w:t>
            </w:r>
          </w:p>
        </w:tc>
        <w:tc>
          <w:tcPr>
            <w:tcW w:w="4957" w:type="dxa"/>
            <w:shd w:val="clear" w:color="auto" w:fill="auto"/>
          </w:tcPr>
          <w:p w14:paraId="06DEACB2" w14:textId="77777777" w:rsidR="00672F34" w:rsidRPr="0090150C" w:rsidRDefault="00672F34" w:rsidP="0090150C">
            <w:pPr>
              <w:keepNext/>
              <w:keepLines/>
              <w:autoSpaceDE w:val="0"/>
              <w:autoSpaceDN w:val="0"/>
              <w:adjustRightInd w:val="0"/>
              <w:ind w:left="0" w:firstLine="0"/>
            </w:pPr>
            <w:r w:rsidRPr="0090150C">
              <w:t>Ból głowy, zawroty głowy</w:t>
            </w:r>
          </w:p>
        </w:tc>
      </w:tr>
      <w:tr w:rsidR="00672F34" w:rsidRPr="007E4DA1" w14:paraId="0AB9E2DD" w14:textId="77777777" w:rsidTr="009D255C">
        <w:trPr>
          <w:cantSplit/>
        </w:trPr>
        <w:tc>
          <w:tcPr>
            <w:tcW w:w="2943" w:type="dxa"/>
            <w:vMerge/>
            <w:shd w:val="clear" w:color="auto" w:fill="auto"/>
          </w:tcPr>
          <w:p w14:paraId="70067083" w14:textId="77777777" w:rsidR="00672F34" w:rsidRPr="007E4DA1" w:rsidRDefault="00672F34" w:rsidP="001A6584">
            <w:pPr>
              <w:keepNext/>
              <w:rPr>
                <w:szCs w:val="22"/>
                <w:lang w:eastAsia="ja-JP"/>
              </w:rPr>
            </w:pPr>
          </w:p>
        </w:tc>
        <w:tc>
          <w:tcPr>
            <w:tcW w:w="1309" w:type="dxa"/>
            <w:shd w:val="clear" w:color="auto" w:fill="auto"/>
          </w:tcPr>
          <w:p w14:paraId="42174BB9" w14:textId="77777777" w:rsidR="00672F34" w:rsidRPr="007E4DA1" w:rsidRDefault="00672F34" w:rsidP="001A6584">
            <w:pPr>
              <w:keepLines/>
              <w:autoSpaceDE w:val="0"/>
              <w:autoSpaceDN w:val="0"/>
              <w:adjustRightInd w:val="0"/>
              <w:rPr>
                <w:iCs/>
                <w:szCs w:val="22"/>
                <w:lang w:eastAsia="ja-JP"/>
              </w:rPr>
            </w:pPr>
            <w:r w:rsidRPr="007E4DA1">
              <w:rPr>
                <w:szCs w:val="22"/>
              </w:rPr>
              <w:t>Często</w:t>
            </w:r>
          </w:p>
        </w:tc>
        <w:tc>
          <w:tcPr>
            <w:tcW w:w="4957" w:type="dxa"/>
            <w:shd w:val="clear" w:color="auto" w:fill="auto"/>
          </w:tcPr>
          <w:p w14:paraId="12C0D50C" w14:textId="77777777" w:rsidR="00672F34" w:rsidRPr="0090150C" w:rsidRDefault="00672F34" w:rsidP="0090150C">
            <w:pPr>
              <w:keepNext/>
              <w:keepLines/>
              <w:autoSpaceDE w:val="0"/>
              <w:autoSpaceDN w:val="0"/>
              <w:adjustRightInd w:val="0"/>
              <w:ind w:left="0" w:firstLine="0"/>
            </w:pPr>
            <w:r w:rsidRPr="0090150C">
              <w:t>Omdlenie</w:t>
            </w:r>
          </w:p>
        </w:tc>
      </w:tr>
      <w:tr w:rsidR="00672F34" w:rsidRPr="007E4DA1" w14:paraId="7441AE5E" w14:textId="77777777" w:rsidTr="009D255C">
        <w:trPr>
          <w:cantSplit/>
        </w:trPr>
        <w:tc>
          <w:tcPr>
            <w:tcW w:w="2943" w:type="dxa"/>
            <w:tcBorders>
              <w:bottom w:val="nil"/>
            </w:tcBorders>
            <w:shd w:val="clear" w:color="auto" w:fill="auto"/>
          </w:tcPr>
          <w:p w14:paraId="1840DFED" w14:textId="77777777" w:rsidR="00672F34" w:rsidRPr="007E4DA1" w:rsidRDefault="00672F34" w:rsidP="001A6584">
            <w:pPr>
              <w:pStyle w:val="LBLBulletStyle1"/>
              <w:keepLines/>
              <w:numPr>
                <w:ilvl w:val="0"/>
                <w:numId w:val="0"/>
              </w:numPr>
              <w:spacing w:line="240" w:lineRule="auto"/>
              <w:ind w:left="360" w:hanging="360"/>
              <w:rPr>
                <w:sz w:val="22"/>
                <w:szCs w:val="22"/>
                <w:lang w:val="pl-PL"/>
              </w:rPr>
            </w:pPr>
            <w:r w:rsidRPr="007E4DA1">
              <w:rPr>
                <w:sz w:val="22"/>
                <w:szCs w:val="22"/>
                <w:lang w:val="pl-PL"/>
              </w:rPr>
              <w:t>Zaburzenia oka</w:t>
            </w:r>
          </w:p>
        </w:tc>
        <w:tc>
          <w:tcPr>
            <w:tcW w:w="1309" w:type="dxa"/>
            <w:shd w:val="clear" w:color="auto" w:fill="auto"/>
          </w:tcPr>
          <w:p w14:paraId="0BDB3DF3" w14:textId="77777777" w:rsidR="00672F34" w:rsidRPr="007E4DA1" w:rsidRDefault="00672F34" w:rsidP="001A6584">
            <w:pPr>
              <w:keepLines/>
              <w:autoSpaceDE w:val="0"/>
              <w:autoSpaceDN w:val="0"/>
              <w:adjustRightInd w:val="0"/>
              <w:rPr>
                <w:iCs/>
                <w:szCs w:val="22"/>
                <w:lang w:eastAsia="ja-JP"/>
              </w:rPr>
            </w:pPr>
            <w:r w:rsidRPr="007E4DA1">
              <w:rPr>
                <w:szCs w:val="22"/>
              </w:rPr>
              <w:t>Często</w:t>
            </w:r>
          </w:p>
        </w:tc>
        <w:tc>
          <w:tcPr>
            <w:tcW w:w="4957" w:type="dxa"/>
            <w:shd w:val="clear" w:color="auto" w:fill="auto"/>
          </w:tcPr>
          <w:p w14:paraId="74E44540" w14:textId="77777777" w:rsidR="00672F34" w:rsidRPr="0090150C" w:rsidRDefault="00672F34" w:rsidP="0090150C">
            <w:pPr>
              <w:keepNext/>
              <w:keepLines/>
              <w:autoSpaceDE w:val="0"/>
              <w:autoSpaceDN w:val="0"/>
              <w:adjustRightInd w:val="0"/>
              <w:ind w:left="0" w:firstLine="0"/>
            </w:pPr>
            <w:r w:rsidRPr="0090150C">
              <w:t>Zespół suchego oka, zaćma, zażółcenie oczu, niewyraźne widzenie, zaburzenia widzenia, męty w ciele szklistym</w:t>
            </w:r>
          </w:p>
        </w:tc>
      </w:tr>
      <w:tr w:rsidR="00672F34" w:rsidRPr="007E4DA1" w14:paraId="1DB701DA" w14:textId="77777777" w:rsidTr="009D255C">
        <w:trPr>
          <w:cantSplit/>
        </w:trPr>
        <w:tc>
          <w:tcPr>
            <w:tcW w:w="2943" w:type="dxa"/>
            <w:vMerge w:val="restart"/>
            <w:shd w:val="clear" w:color="auto" w:fill="auto"/>
          </w:tcPr>
          <w:p w14:paraId="16CB51C0" w14:textId="77777777" w:rsidR="00672F34" w:rsidRPr="007E4DA1" w:rsidRDefault="00672F34" w:rsidP="001A6584">
            <w:pPr>
              <w:keepNext/>
              <w:keepLines/>
              <w:ind w:left="0" w:firstLine="0"/>
              <w:rPr>
                <w:szCs w:val="22"/>
              </w:rPr>
            </w:pPr>
            <w:r w:rsidRPr="007E4DA1">
              <w:rPr>
                <w:szCs w:val="22"/>
              </w:rPr>
              <w:t>Zaburzenia układu oddechowego, klatki piersiowej i śródpiersia</w:t>
            </w:r>
          </w:p>
        </w:tc>
        <w:tc>
          <w:tcPr>
            <w:tcW w:w="1309" w:type="dxa"/>
            <w:shd w:val="clear" w:color="auto" w:fill="auto"/>
          </w:tcPr>
          <w:p w14:paraId="110BE122" w14:textId="77777777" w:rsidR="00672F34" w:rsidRPr="007E4DA1" w:rsidRDefault="00672F34" w:rsidP="001A6584">
            <w:pPr>
              <w:keepNext/>
              <w:keepLines/>
              <w:autoSpaceDE w:val="0"/>
              <w:autoSpaceDN w:val="0"/>
              <w:adjustRightInd w:val="0"/>
              <w:ind w:left="34" w:hanging="34"/>
              <w:rPr>
                <w:iCs/>
                <w:szCs w:val="22"/>
                <w:lang w:eastAsia="ja-JP"/>
              </w:rPr>
            </w:pPr>
            <w:r w:rsidRPr="007E4DA1">
              <w:rPr>
                <w:szCs w:val="22"/>
              </w:rPr>
              <w:t>Bardzo często</w:t>
            </w:r>
          </w:p>
        </w:tc>
        <w:tc>
          <w:tcPr>
            <w:tcW w:w="4957" w:type="dxa"/>
            <w:shd w:val="clear" w:color="auto" w:fill="auto"/>
          </w:tcPr>
          <w:p w14:paraId="0FC8998A" w14:textId="77777777" w:rsidR="00672F34" w:rsidRPr="0090150C" w:rsidRDefault="00672F34" w:rsidP="0090150C">
            <w:pPr>
              <w:keepNext/>
              <w:keepLines/>
              <w:autoSpaceDE w:val="0"/>
              <w:autoSpaceDN w:val="0"/>
              <w:adjustRightInd w:val="0"/>
              <w:ind w:left="0" w:firstLine="0"/>
            </w:pPr>
            <w:r w:rsidRPr="0090150C">
              <w:t>Kaszel, ból jamy ustnej i gardła, wodnisty wyciek z nosa</w:t>
            </w:r>
          </w:p>
        </w:tc>
      </w:tr>
      <w:tr w:rsidR="00672F34" w:rsidRPr="007E4DA1" w14:paraId="23AA9969" w14:textId="77777777" w:rsidTr="009D255C">
        <w:trPr>
          <w:cantSplit/>
        </w:trPr>
        <w:tc>
          <w:tcPr>
            <w:tcW w:w="2943" w:type="dxa"/>
            <w:vMerge/>
            <w:tcBorders>
              <w:bottom w:val="single" w:sz="4" w:space="0" w:color="auto"/>
            </w:tcBorders>
            <w:shd w:val="clear" w:color="auto" w:fill="auto"/>
          </w:tcPr>
          <w:p w14:paraId="10CEBCF3" w14:textId="77777777" w:rsidR="00672F34" w:rsidRPr="007E4DA1" w:rsidRDefault="00672F34" w:rsidP="001A6584">
            <w:pPr>
              <w:keepLines/>
              <w:rPr>
                <w:szCs w:val="22"/>
              </w:rPr>
            </w:pPr>
          </w:p>
        </w:tc>
        <w:tc>
          <w:tcPr>
            <w:tcW w:w="1309" w:type="dxa"/>
            <w:shd w:val="clear" w:color="auto" w:fill="auto"/>
          </w:tcPr>
          <w:p w14:paraId="663364F5" w14:textId="77777777" w:rsidR="00672F34" w:rsidRPr="007E4DA1" w:rsidRDefault="00672F34" w:rsidP="001A6584">
            <w:pPr>
              <w:keepLines/>
              <w:autoSpaceDE w:val="0"/>
              <w:autoSpaceDN w:val="0"/>
              <w:adjustRightInd w:val="0"/>
              <w:rPr>
                <w:szCs w:val="22"/>
              </w:rPr>
            </w:pPr>
            <w:r w:rsidRPr="007E4DA1">
              <w:rPr>
                <w:szCs w:val="22"/>
              </w:rPr>
              <w:t>Często</w:t>
            </w:r>
          </w:p>
        </w:tc>
        <w:tc>
          <w:tcPr>
            <w:tcW w:w="4957" w:type="dxa"/>
            <w:shd w:val="clear" w:color="auto" w:fill="auto"/>
          </w:tcPr>
          <w:p w14:paraId="5CB4EB10" w14:textId="77777777" w:rsidR="00672F34" w:rsidRPr="0090150C" w:rsidRDefault="00672F34" w:rsidP="0090150C">
            <w:pPr>
              <w:keepNext/>
              <w:keepLines/>
              <w:autoSpaceDE w:val="0"/>
              <w:autoSpaceDN w:val="0"/>
              <w:adjustRightInd w:val="0"/>
              <w:ind w:left="0" w:firstLine="0"/>
            </w:pPr>
            <w:r w:rsidRPr="0090150C">
              <w:t>Krwawienie z nosa</w:t>
            </w:r>
          </w:p>
        </w:tc>
      </w:tr>
      <w:tr w:rsidR="00672F34" w:rsidRPr="007E4DA1" w14:paraId="64DA2235" w14:textId="77777777" w:rsidTr="009D255C">
        <w:trPr>
          <w:cantSplit/>
        </w:trPr>
        <w:tc>
          <w:tcPr>
            <w:tcW w:w="2943" w:type="dxa"/>
            <w:vMerge w:val="restart"/>
            <w:shd w:val="clear" w:color="auto" w:fill="auto"/>
          </w:tcPr>
          <w:p w14:paraId="62CC0764" w14:textId="77777777" w:rsidR="00672F34" w:rsidRPr="007E4DA1" w:rsidRDefault="00672F34" w:rsidP="001A6584">
            <w:pPr>
              <w:keepNext/>
              <w:keepLines/>
              <w:rPr>
                <w:szCs w:val="22"/>
              </w:rPr>
            </w:pPr>
            <w:r w:rsidRPr="007E4DA1">
              <w:rPr>
                <w:szCs w:val="22"/>
              </w:rPr>
              <w:t>Zaburzenia żołądka i jelit</w:t>
            </w:r>
          </w:p>
        </w:tc>
        <w:tc>
          <w:tcPr>
            <w:tcW w:w="1309" w:type="dxa"/>
            <w:shd w:val="clear" w:color="auto" w:fill="auto"/>
          </w:tcPr>
          <w:p w14:paraId="484474A6" w14:textId="77777777" w:rsidR="00672F34" w:rsidRPr="007E4DA1" w:rsidRDefault="00672F34" w:rsidP="001A6584">
            <w:pPr>
              <w:keepNext/>
              <w:keepLines/>
              <w:autoSpaceDE w:val="0"/>
              <w:autoSpaceDN w:val="0"/>
              <w:adjustRightInd w:val="0"/>
              <w:ind w:left="34" w:hanging="34"/>
              <w:rPr>
                <w:iCs/>
                <w:szCs w:val="22"/>
                <w:lang w:eastAsia="ja-JP"/>
              </w:rPr>
            </w:pPr>
            <w:r w:rsidRPr="007E4DA1">
              <w:rPr>
                <w:szCs w:val="22"/>
              </w:rPr>
              <w:t>Bardzo często</w:t>
            </w:r>
          </w:p>
        </w:tc>
        <w:tc>
          <w:tcPr>
            <w:tcW w:w="4957" w:type="dxa"/>
            <w:shd w:val="clear" w:color="auto" w:fill="auto"/>
          </w:tcPr>
          <w:p w14:paraId="053BDEAC" w14:textId="09EF5681" w:rsidR="00672F34" w:rsidRPr="0090150C" w:rsidRDefault="00672F34" w:rsidP="0090150C">
            <w:pPr>
              <w:keepNext/>
              <w:keepLines/>
              <w:autoSpaceDE w:val="0"/>
              <w:autoSpaceDN w:val="0"/>
              <w:adjustRightInd w:val="0"/>
              <w:ind w:left="0" w:firstLine="0"/>
            </w:pPr>
            <w:r w:rsidRPr="0090150C">
              <w:t>Biegunka, nudności, ból brzucha</w:t>
            </w:r>
          </w:p>
        </w:tc>
      </w:tr>
      <w:tr w:rsidR="00672F34" w:rsidRPr="007E4DA1" w14:paraId="09DD9D9B" w14:textId="77777777" w:rsidTr="009D255C">
        <w:trPr>
          <w:cantSplit/>
        </w:trPr>
        <w:tc>
          <w:tcPr>
            <w:tcW w:w="2943" w:type="dxa"/>
            <w:vMerge/>
            <w:tcBorders>
              <w:bottom w:val="single" w:sz="4" w:space="0" w:color="auto"/>
            </w:tcBorders>
            <w:shd w:val="clear" w:color="auto" w:fill="auto"/>
          </w:tcPr>
          <w:p w14:paraId="1F5F2E29" w14:textId="77777777" w:rsidR="00672F34" w:rsidRPr="007E4DA1" w:rsidRDefault="00672F34" w:rsidP="001A6584">
            <w:pPr>
              <w:keepNext/>
              <w:rPr>
                <w:szCs w:val="22"/>
                <w:lang w:eastAsia="ja-JP"/>
              </w:rPr>
            </w:pPr>
          </w:p>
        </w:tc>
        <w:tc>
          <w:tcPr>
            <w:tcW w:w="1309" w:type="dxa"/>
            <w:shd w:val="clear" w:color="auto" w:fill="auto"/>
          </w:tcPr>
          <w:p w14:paraId="217AABBF" w14:textId="77777777" w:rsidR="00672F34" w:rsidRPr="007E4DA1" w:rsidRDefault="00672F34" w:rsidP="001A6584">
            <w:pPr>
              <w:keepLines/>
              <w:autoSpaceDE w:val="0"/>
              <w:autoSpaceDN w:val="0"/>
              <w:adjustRightInd w:val="0"/>
              <w:rPr>
                <w:iCs/>
                <w:szCs w:val="22"/>
                <w:lang w:eastAsia="ja-JP"/>
              </w:rPr>
            </w:pPr>
            <w:r w:rsidRPr="007E4DA1">
              <w:rPr>
                <w:szCs w:val="22"/>
              </w:rPr>
              <w:t>Często</w:t>
            </w:r>
          </w:p>
        </w:tc>
        <w:tc>
          <w:tcPr>
            <w:tcW w:w="4957" w:type="dxa"/>
            <w:shd w:val="clear" w:color="auto" w:fill="auto"/>
          </w:tcPr>
          <w:p w14:paraId="7A1B717C" w14:textId="5B48D165" w:rsidR="00672F34" w:rsidRPr="0090150C" w:rsidRDefault="00672F34" w:rsidP="0090150C">
            <w:pPr>
              <w:keepNext/>
              <w:keepLines/>
              <w:autoSpaceDE w:val="0"/>
              <w:autoSpaceDN w:val="0"/>
              <w:adjustRightInd w:val="0"/>
              <w:ind w:left="0" w:firstLine="0"/>
            </w:pPr>
            <w:r w:rsidRPr="0090150C">
              <w:t xml:space="preserve">Powstawanie pęcherzy na śluzówce jamy ustnej, ból w jamie ustnej, wymioty, uczucie dyskomfortu w jamie brzusznej, zaparcie, </w:t>
            </w:r>
            <w:r w:rsidR="00E21164" w:rsidRPr="0090150C">
              <w:t xml:space="preserve">krwawienie z dziąseł, </w:t>
            </w:r>
            <w:r w:rsidRPr="0090150C">
              <w:t>wzdęcie jamy brzusznej, dysfagia, odbarwienie stolca, obrzęk języka, zaburzenia motoryki przewodu pokarmowego, wzdęcia</w:t>
            </w:r>
          </w:p>
        </w:tc>
      </w:tr>
      <w:tr w:rsidR="00672F34" w:rsidRPr="007E4DA1" w14:paraId="2AE5AC46" w14:textId="77777777" w:rsidTr="009D255C">
        <w:trPr>
          <w:cantSplit/>
        </w:trPr>
        <w:tc>
          <w:tcPr>
            <w:tcW w:w="2943" w:type="dxa"/>
            <w:vMerge w:val="restart"/>
            <w:tcBorders>
              <w:top w:val="single" w:sz="4" w:space="0" w:color="auto"/>
            </w:tcBorders>
            <w:shd w:val="clear" w:color="auto" w:fill="auto"/>
          </w:tcPr>
          <w:p w14:paraId="15F40B05" w14:textId="77777777" w:rsidR="00672F34" w:rsidRPr="007E4DA1" w:rsidRDefault="00672F34" w:rsidP="001A6584">
            <w:pPr>
              <w:keepNext/>
              <w:keepLines/>
              <w:ind w:left="0" w:firstLine="0"/>
              <w:rPr>
                <w:szCs w:val="22"/>
              </w:rPr>
            </w:pPr>
            <w:r w:rsidRPr="007E4DA1">
              <w:rPr>
                <w:szCs w:val="22"/>
              </w:rPr>
              <w:t>Zaburzenia wątroby i dróg żółciowych</w:t>
            </w:r>
          </w:p>
        </w:tc>
        <w:tc>
          <w:tcPr>
            <w:tcW w:w="1309" w:type="dxa"/>
            <w:shd w:val="clear" w:color="auto" w:fill="auto"/>
          </w:tcPr>
          <w:p w14:paraId="4E576BC6" w14:textId="77777777" w:rsidR="00672F34" w:rsidRPr="007E4DA1" w:rsidRDefault="00672F34" w:rsidP="001A6584">
            <w:pPr>
              <w:keepNext/>
              <w:keepLines/>
              <w:autoSpaceDE w:val="0"/>
              <w:autoSpaceDN w:val="0"/>
              <w:adjustRightInd w:val="0"/>
              <w:ind w:left="0" w:firstLine="0"/>
              <w:rPr>
                <w:szCs w:val="22"/>
              </w:rPr>
            </w:pPr>
            <w:r w:rsidRPr="007E4DA1">
              <w:rPr>
                <w:szCs w:val="22"/>
              </w:rPr>
              <w:t>Bardzo często</w:t>
            </w:r>
          </w:p>
        </w:tc>
        <w:tc>
          <w:tcPr>
            <w:tcW w:w="4957" w:type="dxa"/>
            <w:shd w:val="clear" w:color="auto" w:fill="auto"/>
          </w:tcPr>
          <w:p w14:paraId="0ACE642C" w14:textId="77777777" w:rsidR="00672F34" w:rsidRPr="0090150C" w:rsidRDefault="00672F34" w:rsidP="0090150C">
            <w:pPr>
              <w:keepNext/>
              <w:keepLines/>
              <w:autoSpaceDE w:val="0"/>
              <w:autoSpaceDN w:val="0"/>
              <w:adjustRightInd w:val="0"/>
              <w:ind w:left="0" w:firstLine="0"/>
            </w:pPr>
            <w:r w:rsidRPr="0090150C">
              <w:t>Zwiększenie aktywności transaminaz</w:t>
            </w:r>
          </w:p>
        </w:tc>
      </w:tr>
      <w:tr w:rsidR="00672F34" w:rsidRPr="007E4DA1" w14:paraId="3023D435" w14:textId="77777777" w:rsidTr="009D255C">
        <w:trPr>
          <w:cantSplit/>
        </w:trPr>
        <w:tc>
          <w:tcPr>
            <w:tcW w:w="2943" w:type="dxa"/>
            <w:vMerge/>
            <w:shd w:val="clear" w:color="auto" w:fill="auto"/>
          </w:tcPr>
          <w:p w14:paraId="480ECD6D" w14:textId="77777777" w:rsidR="00672F34" w:rsidRPr="007E4DA1" w:rsidRDefault="00672F34" w:rsidP="001A6584">
            <w:pPr>
              <w:keepNext/>
              <w:keepLines/>
              <w:rPr>
                <w:szCs w:val="22"/>
              </w:rPr>
            </w:pPr>
          </w:p>
        </w:tc>
        <w:tc>
          <w:tcPr>
            <w:tcW w:w="1309" w:type="dxa"/>
            <w:shd w:val="clear" w:color="auto" w:fill="auto"/>
          </w:tcPr>
          <w:p w14:paraId="7AEB99D3" w14:textId="77777777" w:rsidR="00672F34" w:rsidRPr="007E4DA1" w:rsidRDefault="00672F34" w:rsidP="001A6584">
            <w:pPr>
              <w:keepNext/>
              <w:keepLines/>
              <w:autoSpaceDE w:val="0"/>
              <w:autoSpaceDN w:val="0"/>
              <w:adjustRightInd w:val="0"/>
              <w:rPr>
                <w:szCs w:val="22"/>
              </w:rPr>
            </w:pPr>
            <w:r w:rsidRPr="007E4DA1">
              <w:rPr>
                <w:szCs w:val="22"/>
              </w:rPr>
              <w:t>Często</w:t>
            </w:r>
          </w:p>
        </w:tc>
        <w:tc>
          <w:tcPr>
            <w:tcW w:w="4957" w:type="dxa"/>
            <w:shd w:val="clear" w:color="auto" w:fill="auto"/>
          </w:tcPr>
          <w:p w14:paraId="3B791B94" w14:textId="77777777" w:rsidR="00672F34" w:rsidRPr="0090150C" w:rsidRDefault="00672F34" w:rsidP="0090150C">
            <w:pPr>
              <w:keepNext/>
              <w:keepLines/>
              <w:autoSpaceDE w:val="0"/>
              <w:autoSpaceDN w:val="0"/>
              <w:adjustRightInd w:val="0"/>
              <w:ind w:left="0" w:firstLine="0"/>
            </w:pPr>
            <w:r w:rsidRPr="0090150C">
              <w:t>Zwiększenie stężenia bilirubiny we krwi (hiperbilirubinemia), żółtaczka</w:t>
            </w:r>
          </w:p>
        </w:tc>
      </w:tr>
      <w:tr w:rsidR="00672F34" w:rsidRPr="007E4DA1" w14:paraId="6BB5197F" w14:textId="77777777" w:rsidTr="009D255C">
        <w:trPr>
          <w:cantSplit/>
        </w:trPr>
        <w:tc>
          <w:tcPr>
            <w:tcW w:w="2943" w:type="dxa"/>
            <w:vMerge/>
            <w:tcBorders>
              <w:bottom w:val="single" w:sz="4" w:space="0" w:color="auto"/>
            </w:tcBorders>
            <w:shd w:val="clear" w:color="auto" w:fill="auto"/>
          </w:tcPr>
          <w:p w14:paraId="6990CE1E" w14:textId="77777777" w:rsidR="00672F34" w:rsidRPr="007E4DA1" w:rsidRDefault="00672F34" w:rsidP="001A6584">
            <w:pPr>
              <w:keepNext/>
              <w:rPr>
                <w:szCs w:val="22"/>
              </w:rPr>
            </w:pPr>
          </w:p>
        </w:tc>
        <w:tc>
          <w:tcPr>
            <w:tcW w:w="1309" w:type="dxa"/>
            <w:shd w:val="clear" w:color="auto" w:fill="auto"/>
          </w:tcPr>
          <w:p w14:paraId="73403F12" w14:textId="77777777" w:rsidR="00672F34" w:rsidRPr="007E4DA1" w:rsidRDefault="00672F34" w:rsidP="001A6584">
            <w:pPr>
              <w:keepLines/>
              <w:autoSpaceDE w:val="0"/>
              <w:autoSpaceDN w:val="0"/>
              <w:adjustRightInd w:val="0"/>
              <w:rPr>
                <w:szCs w:val="22"/>
              </w:rPr>
            </w:pPr>
            <w:r w:rsidRPr="007E4DA1">
              <w:rPr>
                <w:szCs w:val="22"/>
                <w:lang w:eastAsia="ja-JP"/>
              </w:rPr>
              <w:t>Nieznana</w:t>
            </w:r>
          </w:p>
        </w:tc>
        <w:tc>
          <w:tcPr>
            <w:tcW w:w="4957" w:type="dxa"/>
            <w:shd w:val="clear" w:color="auto" w:fill="auto"/>
          </w:tcPr>
          <w:p w14:paraId="02C07E25" w14:textId="3DD65866" w:rsidR="00672F34" w:rsidRPr="0090150C" w:rsidRDefault="00672F34" w:rsidP="0090150C">
            <w:pPr>
              <w:keepNext/>
              <w:keepLines/>
              <w:autoSpaceDE w:val="0"/>
              <w:autoSpaceDN w:val="0"/>
              <w:adjustRightInd w:val="0"/>
              <w:ind w:left="0" w:firstLine="0"/>
            </w:pPr>
            <w:r w:rsidRPr="0090150C">
              <w:t>Polekowe uszkodzenie wątroby</w:t>
            </w:r>
          </w:p>
          <w:p w14:paraId="2DB3F46F" w14:textId="1332B1D6" w:rsidR="00672F34" w:rsidRPr="0090150C" w:rsidRDefault="00672F34" w:rsidP="0090150C">
            <w:pPr>
              <w:pStyle w:val="LBLBulletStyle1"/>
              <w:keepNext/>
              <w:keepLines/>
              <w:numPr>
                <w:ilvl w:val="0"/>
                <w:numId w:val="0"/>
              </w:numPr>
              <w:autoSpaceDE w:val="0"/>
              <w:autoSpaceDN w:val="0"/>
              <w:adjustRightInd w:val="0"/>
              <w:spacing w:line="240" w:lineRule="auto"/>
              <w:rPr>
                <w:sz w:val="22"/>
                <w:szCs w:val="28"/>
                <w:lang w:val="pl-PL" w:eastAsia="pl-PL"/>
              </w:rPr>
            </w:pPr>
          </w:p>
        </w:tc>
      </w:tr>
      <w:tr w:rsidR="00672F34" w:rsidRPr="007E4DA1" w14:paraId="1FFDC566" w14:textId="77777777" w:rsidTr="009D255C">
        <w:trPr>
          <w:cantSplit/>
          <w:trHeight w:val="206"/>
        </w:trPr>
        <w:tc>
          <w:tcPr>
            <w:tcW w:w="2943" w:type="dxa"/>
            <w:vMerge w:val="restart"/>
            <w:tcBorders>
              <w:top w:val="nil"/>
            </w:tcBorders>
            <w:shd w:val="clear" w:color="auto" w:fill="auto"/>
          </w:tcPr>
          <w:p w14:paraId="1D9FFF72" w14:textId="77777777" w:rsidR="00672F34" w:rsidRPr="007E4DA1" w:rsidRDefault="00672F34" w:rsidP="001A6584">
            <w:pPr>
              <w:keepNext/>
              <w:keepLines/>
              <w:ind w:left="0" w:firstLine="0"/>
              <w:rPr>
                <w:szCs w:val="22"/>
              </w:rPr>
            </w:pPr>
            <w:r w:rsidRPr="007E4DA1">
              <w:rPr>
                <w:szCs w:val="22"/>
              </w:rPr>
              <w:t>Zaburzenia skóry i tkanki podskórnej</w:t>
            </w:r>
          </w:p>
        </w:tc>
        <w:tc>
          <w:tcPr>
            <w:tcW w:w="1309" w:type="dxa"/>
            <w:shd w:val="clear" w:color="auto" w:fill="auto"/>
          </w:tcPr>
          <w:p w14:paraId="1E1777E1" w14:textId="77777777" w:rsidR="00672F34" w:rsidRPr="007E4DA1" w:rsidRDefault="00672F34" w:rsidP="001A6584">
            <w:pPr>
              <w:keepNext/>
              <w:keepLines/>
              <w:autoSpaceDE w:val="0"/>
              <w:autoSpaceDN w:val="0"/>
              <w:adjustRightInd w:val="0"/>
              <w:rPr>
                <w:szCs w:val="22"/>
              </w:rPr>
            </w:pPr>
            <w:r w:rsidRPr="007E4DA1">
              <w:rPr>
                <w:szCs w:val="22"/>
              </w:rPr>
              <w:t>Często</w:t>
            </w:r>
          </w:p>
        </w:tc>
        <w:tc>
          <w:tcPr>
            <w:tcW w:w="4957" w:type="dxa"/>
            <w:shd w:val="clear" w:color="auto" w:fill="auto"/>
          </w:tcPr>
          <w:p w14:paraId="055EC6D0" w14:textId="77777777" w:rsidR="00672F34" w:rsidRPr="0090150C" w:rsidRDefault="00672F34" w:rsidP="0090150C">
            <w:pPr>
              <w:keepNext/>
              <w:keepLines/>
              <w:autoSpaceDE w:val="0"/>
              <w:autoSpaceDN w:val="0"/>
              <w:adjustRightInd w:val="0"/>
              <w:ind w:left="0" w:firstLine="0"/>
            </w:pPr>
            <w:r w:rsidRPr="0090150C">
              <w:t>Wybroczyny, wysypka, świąd, pokrzywka, zmiany skórne, wysypka plamista</w:t>
            </w:r>
          </w:p>
        </w:tc>
      </w:tr>
      <w:tr w:rsidR="00672F34" w:rsidRPr="007E4DA1" w14:paraId="4E31EA39" w14:textId="77777777" w:rsidTr="009D255C">
        <w:trPr>
          <w:cantSplit/>
        </w:trPr>
        <w:tc>
          <w:tcPr>
            <w:tcW w:w="2943" w:type="dxa"/>
            <w:vMerge/>
            <w:tcBorders>
              <w:bottom w:val="single" w:sz="4" w:space="0" w:color="auto"/>
            </w:tcBorders>
            <w:shd w:val="clear" w:color="auto" w:fill="auto"/>
          </w:tcPr>
          <w:p w14:paraId="658A977E" w14:textId="77777777" w:rsidR="00672F34" w:rsidRPr="007E4DA1" w:rsidRDefault="00672F34" w:rsidP="001A6584">
            <w:pPr>
              <w:keepNext/>
              <w:rPr>
                <w:szCs w:val="22"/>
              </w:rPr>
            </w:pPr>
          </w:p>
        </w:tc>
        <w:tc>
          <w:tcPr>
            <w:tcW w:w="1309" w:type="dxa"/>
            <w:shd w:val="clear" w:color="auto" w:fill="auto"/>
          </w:tcPr>
          <w:p w14:paraId="10E2BAE2" w14:textId="77777777" w:rsidR="00672F34" w:rsidRPr="007E4DA1" w:rsidRDefault="00672F34" w:rsidP="001A6584">
            <w:pPr>
              <w:keepLines/>
              <w:autoSpaceDE w:val="0"/>
              <w:autoSpaceDN w:val="0"/>
              <w:adjustRightInd w:val="0"/>
              <w:rPr>
                <w:szCs w:val="22"/>
              </w:rPr>
            </w:pPr>
            <w:r w:rsidRPr="007E4DA1">
              <w:rPr>
                <w:szCs w:val="22"/>
              </w:rPr>
              <w:t>Nieznana</w:t>
            </w:r>
          </w:p>
        </w:tc>
        <w:tc>
          <w:tcPr>
            <w:tcW w:w="4957" w:type="dxa"/>
            <w:shd w:val="clear" w:color="auto" w:fill="auto"/>
          </w:tcPr>
          <w:p w14:paraId="6528181D" w14:textId="77777777" w:rsidR="00672F34" w:rsidRPr="0090150C" w:rsidRDefault="00672F34" w:rsidP="0090150C">
            <w:pPr>
              <w:keepNext/>
              <w:keepLines/>
              <w:autoSpaceDE w:val="0"/>
              <w:autoSpaceDN w:val="0"/>
              <w:adjustRightInd w:val="0"/>
              <w:ind w:left="0" w:firstLine="0"/>
            </w:pPr>
            <w:r w:rsidRPr="0090150C">
              <w:t>Odbarwienie skóry, hiperpigmentacja skóry</w:t>
            </w:r>
          </w:p>
        </w:tc>
      </w:tr>
      <w:tr w:rsidR="00672F34" w:rsidRPr="007E4DA1" w14:paraId="7B227847" w14:textId="77777777" w:rsidTr="009D255C">
        <w:trPr>
          <w:cantSplit/>
        </w:trPr>
        <w:tc>
          <w:tcPr>
            <w:tcW w:w="2943" w:type="dxa"/>
            <w:vMerge w:val="restart"/>
            <w:shd w:val="clear" w:color="auto" w:fill="auto"/>
          </w:tcPr>
          <w:p w14:paraId="6BF376CE" w14:textId="77777777" w:rsidR="00672F34" w:rsidRPr="007E4DA1" w:rsidRDefault="00672F34" w:rsidP="001A6584">
            <w:pPr>
              <w:keepNext/>
              <w:keepLines/>
              <w:ind w:left="0" w:firstLine="0"/>
              <w:rPr>
                <w:szCs w:val="22"/>
              </w:rPr>
            </w:pPr>
            <w:r w:rsidRPr="007E4DA1">
              <w:rPr>
                <w:szCs w:val="22"/>
              </w:rPr>
              <w:t>Zaburzenia mięśniowo-szkieletowe i tkanki łącznej</w:t>
            </w:r>
          </w:p>
        </w:tc>
        <w:tc>
          <w:tcPr>
            <w:tcW w:w="1309" w:type="dxa"/>
            <w:shd w:val="clear" w:color="auto" w:fill="auto"/>
          </w:tcPr>
          <w:p w14:paraId="76219E77" w14:textId="77777777" w:rsidR="00672F34" w:rsidRPr="007E4DA1" w:rsidRDefault="00672F34" w:rsidP="001A6584">
            <w:pPr>
              <w:keepNext/>
              <w:keepLines/>
              <w:autoSpaceDE w:val="0"/>
              <w:autoSpaceDN w:val="0"/>
              <w:adjustRightInd w:val="0"/>
              <w:ind w:left="0" w:firstLine="0"/>
              <w:rPr>
                <w:szCs w:val="22"/>
              </w:rPr>
            </w:pPr>
            <w:r w:rsidRPr="007E4DA1">
              <w:rPr>
                <w:szCs w:val="22"/>
              </w:rPr>
              <w:t>Bardzo często</w:t>
            </w:r>
          </w:p>
        </w:tc>
        <w:tc>
          <w:tcPr>
            <w:tcW w:w="4957" w:type="dxa"/>
            <w:shd w:val="clear" w:color="auto" w:fill="auto"/>
          </w:tcPr>
          <w:p w14:paraId="02C92F26" w14:textId="77777777" w:rsidR="00672F34" w:rsidRPr="0090150C" w:rsidRDefault="00672F34" w:rsidP="0090150C">
            <w:pPr>
              <w:keepNext/>
              <w:keepLines/>
              <w:autoSpaceDE w:val="0"/>
              <w:autoSpaceDN w:val="0"/>
              <w:adjustRightInd w:val="0"/>
              <w:ind w:left="0" w:firstLine="0"/>
            </w:pPr>
            <w:r w:rsidRPr="0090150C">
              <w:t>Bóle stawów, ból w kończynie, skurcze mięśni</w:t>
            </w:r>
          </w:p>
        </w:tc>
      </w:tr>
      <w:tr w:rsidR="00672F34" w:rsidRPr="007E4DA1" w14:paraId="1F97BFAD" w14:textId="77777777" w:rsidTr="009D255C">
        <w:trPr>
          <w:cantSplit/>
        </w:trPr>
        <w:tc>
          <w:tcPr>
            <w:tcW w:w="2943" w:type="dxa"/>
            <w:vMerge/>
            <w:shd w:val="clear" w:color="auto" w:fill="auto"/>
          </w:tcPr>
          <w:p w14:paraId="746D33D4" w14:textId="77777777" w:rsidR="00672F34" w:rsidRPr="007E4DA1" w:rsidRDefault="00672F34" w:rsidP="001A6584">
            <w:pPr>
              <w:keepNext/>
              <w:rPr>
                <w:szCs w:val="22"/>
              </w:rPr>
            </w:pPr>
          </w:p>
        </w:tc>
        <w:tc>
          <w:tcPr>
            <w:tcW w:w="1309" w:type="dxa"/>
            <w:shd w:val="clear" w:color="auto" w:fill="auto"/>
          </w:tcPr>
          <w:p w14:paraId="1C6A3C7C" w14:textId="77777777" w:rsidR="00672F34" w:rsidRPr="007E4DA1" w:rsidRDefault="00672F34" w:rsidP="001A6584">
            <w:pPr>
              <w:keepLines/>
              <w:autoSpaceDE w:val="0"/>
              <w:autoSpaceDN w:val="0"/>
              <w:adjustRightInd w:val="0"/>
              <w:rPr>
                <w:szCs w:val="22"/>
              </w:rPr>
            </w:pPr>
            <w:r w:rsidRPr="007E4DA1">
              <w:rPr>
                <w:szCs w:val="22"/>
              </w:rPr>
              <w:t>Często</w:t>
            </w:r>
          </w:p>
        </w:tc>
        <w:tc>
          <w:tcPr>
            <w:tcW w:w="4957" w:type="dxa"/>
            <w:shd w:val="clear" w:color="auto" w:fill="auto"/>
          </w:tcPr>
          <w:p w14:paraId="329F2D40" w14:textId="77777777" w:rsidR="00672F34" w:rsidRPr="0090150C" w:rsidRDefault="00672F34" w:rsidP="0090150C">
            <w:pPr>
              <w:keepNext/>
              <w:keepLines/>
              <w:autoSpaceDE w:val="0"/>
              <w:autoSpaceDN w:val="0"/>
              <w:adjustRightInd w:val="0"/>
              <w:ind w:left="0" w:firstLine="0"/>
            </w:pPr>
            <w:r w:rsidRPr="0090150C">
              <w:t>Ból pleców, ból mięśni, ból kości</w:t>
            </w:r>
          </w:p>
        </w:tc>
      </w:tr>
      <w:tr w:rsidR="00672F34" w:rsidRPr="007E4DA1" w14:paraId="5A9A9C2F" w14:textId="77777777" w:rsidTr="009D255C">
        <w:trPr>
          <w:cantSplit/>
        </w:trPr>
        <w:tc>
          <w:tcPr>
            <w:tcW w:w="2943" w:type="dxa"/>
            <w:tcBorders>
              <w:bottom w:val="single" w:sz="4" w:space="0" w:color="auto"/>
            </w:tcBorders>
            <w:shd w:val="clear" w:color="auto" w:fill="auto"/>
          </w:tcPr>
          <w:p w14:paraId="1BA11802" w14:textId="77777777" w:rsidR="00672F34" w:rsidRPr="007E4DA1" w:rsidRDefault="00672F34" w:rsidP="001A6584">
            <w:pPr>
              <w:keepLines/>
              <w:ind w:left="0" w:firstLine="0"/>
              <w:rPr>
                <w:szCs w:val="22"/>
              </w:rPr>
            </w:pPr>
            <w:r w:rsidRPr="007E4DA1">
              <w:rPr>
                <w:szCs w:val="22"/>
              </w:rPr>
              <w:t>Zaburzenia nerek i dróg moczowych</w:t>
            </w:r>
          </w:p>
        </w:tc>
        <w:tc>
          <w:tcPr>
            <w:tcW w:w="1309" w:type="dxa"/>
            <w:shd w:val="clear" w:color="auto" w:fill="auto"/>
          </w:tcPr>
          <w:p w14:paraId="0E22B522" w14:textId="77777777" w:rsidR="00672F34" w:rsidRPr="007E4DA1" w:rsidRDefault="00672F34" w:rsidP="001A6584">
            <w:pPr>
              <w:keepLines/>
              <w:autoSpaceDE w:val="0"/>
              <w:autoSpaceDN w:val="0"/>
              <w:adjustRightInd w:val="0"/>
              <w:rPr>
                <w:szCs w:val="22"/>
              </w:rPr>
            </w:pPr>
            <w:r w:rsidRPr="007E4DA1">
              <w:rPr>
                <w:szCs w:val="22"/>
              </w:rPr>
              <w:t>Często</w:t>
            </w:r>
          </w:p>
        </w:tc>
        <w:tc>
          <w:tcPr>
            <w:tcW w:w="4957" w:type="dxa"/>
            <w:shd w:val="clear" w:color="auto" w:fill="auto"/>
          </w:tcPr>
          <w:p w14:paraId="648B99DD" w14:textId="77777777" w:rsidR="00672F34" w:rsidRPr="0090150C" w:rsidRDefault="00672F34" w:rsidP="0090150C">
            <w:pPr>
              <w:keepNext/>
              <w:keepLines/>
              <w:autoSpaceDE w:val="0"/>
              <w:autoSpaceDN w:val="0"/>
              <w:adjustRightInd w:val="0"/>
              <w:ind w:left="0" w:firstLine="0"/>
            </w:pPr>
            <w:r w:rsidRPr="0090150C">
              <w:t>Nieprawidłowa barwa moczu</w:t>
            </w:r>
          </w:p>
        </w:tc>
      </w:tr>
      <w:tr w:rsidR="00672F34" w:rsidRPr="007E4DA1" w14:paraId="2F983EBC" w14:textId="77777777" w:rsidTr="009D255C">
        <w:trPr>
          <w:cantSplit/>
        </w:trPr>
        <w:tc>
          <w:tcPr>
            <w:tcW w:w="2943" w:type="dxa"/>
            <w:vMerge w:val="restart"/>
            <w:shd w:val="clear" w:color="auto" w:fill="auto"/>
          </w:tcPr>
          <w:p w14:paraId="78669C4D" w14:textId="77777777" w:rsidR="00672F34" w:rsidRPr="007E4DA1" w:rsidRDefault="00672F34" w:rsidP="001A6584">
            <w:pPr>
              <w:keepNext/>
              <w:keepLines/>
              <w:ind w:left="0" w:firstLine="0"/>
              <w:rPr>
                <w:szCs w:val="22"/>
              </w:rPr>
            </w:pPr>
            <w:r w:rsidRPr="007E4DA1">
              <w:rPr>
                <w:szCs w:val="22"/>
              </w:rPr>
              <w:t>Zaburzenia ogólne i stany w miejscu podania</w:t>
            </w:r>
          </w:p>
        </w:tc>
        <w:tc>
          <w:tcPr>
            <w:tcW w:w="1309" w:type="dxa"/>
            <w:shd w:val="clear" w:color="auto" w:fill="auto"/>
          </w:tcPr>
          <w:p w14:paraId="13871F06" w14:textId="77777777" w:rsidR="00672F34" w:rsidRPr="007E4DA1" w:rsidRDefault="00672F34" w:rsidP="001A6584">
            <w:pPr>
              <w:keepNext/>
              <w:keepLines/>
              <w:autoSpaceDE w:val="0"/>
              <w:autoSpaceDN w:val="0"/>
              <w:adjustRightInd w:val="0"/>
              <w:ind w:left="0" w:firstLine="0"/>
              <w:rPr>
                <w:szCs w:val="22"/>
              </w:rPr>
            </w:pPr>
            <w:r w:rsidRPr="007E4DA1">
              <w:rPr>
                <w:szCs w:val="22"/>
              </w:rPr>
              <w:t>Bardzo często</w:t>
            </w:r>
          </w:p>
        </w:tc>
        <w:tc>
          <w:tcPr>
            <w:tcW w:w="4957" w:type="dxa"/>
            <w:shd w:val="clear" w:color="auto" w:fill="auto"/>
          </w:tcPr>
          <w:p w14:paraId="41BDF622" w14:textId="77777777" w:rsidR="00672F34" w:rsidRPr="0090150C" w:rsidRDefault="00672F34" w:rsidP="0090150C">
            <w:pPr>
              <w:keepNext/>
              <w:keepLines/>
              <w:autoSpaceDE w:val="0"/>
              <w:autoSpaceDN w:val="0"/>
              <w:adjustRightInd w:val="0"/>
              <w:ind w:left="0" w:firstLine="0"/>
            </w:pPr>
            <w:r w:rsidRPr="0090150C">
              <w:t>Uczucie zmęczenia, gorączka, dreszcze</w:t>
            </w:r>
          </w:p>
        </w:tc>
      </w:tr>
      <w:tr w:rsidR="00672F34" w:rsidRPr="007E4DA1" w14:paraId="722D78B9" w14:textId="77777777" w:rsidTr="009D255C">
        <w:trPr>
          <w:cantSplit/>
        </w:trPr>
        <w:tc>
          <w:tcPr>
            <w:tcW w:w="2943" w:type="dxa"/>
            <w:vMerge/>
            <w:shd w:val="clear" w:color="auto" w:fill="auto"/>
          </w:tcPr>
          <w:p w14:paraId="7EAB779A" w14:textId="77777777" w:rsidR="00672F34" w:rsidRPr="007E4DA1" w:rsidRDefault="00672F34" w:rsidP="001A6584">
            <w:pPr>
              <w:keepNext/>
              <w:keepLines/>
              <w:rPr>
                <w:szCs w:val="22"/>
              </w:rPr>
            </w:pPr>
          </w:p>
        </w:tc>
        <w:tc>
          <w:tcPr>
            <w:tcW w:w="1309" w:type="dxa"/>
            <w:shd w:val="clear" w:color="auto" w:fill="auto"/>
          </w:tcPr>
          <w:p w14:paraId="13184FD3" w14:textId="77777777" w:rsidR="00672F34" w:rsidRPr="007E4DA1" w:rsidRDefault="00672F34" w:rsidP="001A6584">
            <w:pPr>
              <w:keepNext/>
              <w:keepLines/>
              <w:autoSpaceDE w:val="0"/>
              <w:autoSpaceDN w:val="0"/>
              <w:adjustRightInd w:val="0"/>
              <w:rPr>
                <w:szCs w:val="22"/>
              </w:rPr>
            </w:pPr>
            <w:r w:rsidRPr="007E4DA1">
              <w:rPr>
                <w:szCs w:val="22"/>
              </w:rPr>
              <w:t>Często</w:t>
            </w:r>
          </w:p>
        </w:tc>
        <w:tc>
          <w:tcPr>
            <w:tcW w:w="4957" w:type="dxa"/>
            <w:shd w:val="clear" w:color="auto" w:fill="auto"/>
          </w:tcPr>
          <w:p w14:paraId="26BB1551" w14:textId="77777777" w:rsidR="00672F34" w:rsidRPr="0090150C" w:rsidRDefault="00672F34" w:rsidP="0090150C">
            <w:pPr>
              <w:keepNext/>
              <w:keepLines/>
              <w:autoSpaceDE w:val="0"/>
              <w:autoSpaceDN w:val="0"/>
              <w:adjustRightInd w:val="0"/>
              <w:ind w:left="0" w:firstLine="0"/>
            </w:pPr>
            <w:r w:rsidRPr="0090150C">
              <w:t>Osłabienie, obrzęki obwodowe, złe samopoczucie</w:t>
            </w:r>
          </w:p>
        </w:tc>
      </w:tr>
      <w:tr w:rsidR="00672F34" w:rsidRPr="007E4DA1" w14:paraId="7240CE3C" w14:textId="77777777" w:rsidTr="009D255C">
        <w:trPr>
          <w:cantSplit/>
        </w:trPr>
        <w:tc>
          <w:tcPr>
            <w:tcW w:w="2943" w:type="dxa"/>
            <w:shd w:val="clear" w:color="auto" w:fill="auto"/>
          </w:tcPr>
          <w:p w14:paraId="557D492B" w14:textId="77777777" w:rsidR="00672F34" w:rsidRPr="007E4DA1" w:rsidRDefault="00672F34" w:rsidP="001A6584">
            <w:pPr>
              <w:keepLines/>
              <w:rPr>
                <w:szCs w:val="22"/>
              </w:rPr>
            </w:pPr>
            <w:r w:rsidRPr="007E4DA1">
              <w:rPr>
                <w:szCs w:val="22"/>
              </w:rPr>
              <w:t>Badania diagnostyczne</w:t>
            </w:r>
          </w:p>
        </w:tc>
        <w:tc>
          <w:tcPr>
            <w:tcW w:w="1309" w:type="dxa"/>
            <w:shd w:val="clear" w:color="auto" w:fill="auto"/>
          </w:tcPr>
          <w:p w14:paraId="426CC91E" w14:textId="77777777" w:rsidR="00672F34" w:rsidRPr="007E4DA1" w:rsidRDefault="00672F34" w:rsidP="001A6584">
            <w:pPr>
              <w:keepLines/>
              <w:autoSpaceDE w:val="0"/>
              <w:autoSpaceDN w:val="0"/>
              <w:adjustRightInd w:val="0"/>
              <w:rPr>
                <w:szCs w:val="22"/>
              </w:rPr>
            </w:pPr>
            <w:r w:rsidRPr="007E4DA1">
              <w:rPr>
                <w:szCs w:val="22"/>
              </w:rPr>
              <w:t>Często</w:t>
            </w:r>
          </w:p>
        </w:tc>
        <w:tc>
          <w:tcPr>
            <w:tcW w:w="4957" w:type="dxa"/>
            <w:shd w:val="clear" w:color="auto" w:fill="auto"/>
          </w:tcPr>
          <w:p w14:paraId="626C5D36" w14:textId="77777777" w:rsidR="00672F34" w:rsidRPr="007E4DA1" w:rsidRDefault="00672F34" w:rsidP="00674F9D">
            <w:pPr>
              <w:keepLines/>
              <w:ind w:left="0" w:firstLine="0"/>
              <w:rPr>
                <w:szCs w:val="22"/>
              </w:rPr>
            </w:pPr>
            <w:r w:rsidRPr="007E4DA1">
              <w:rPr>
                <w:szCs w:val="22"/>
              </w:rPr>
              <w:t>Zwiększenie aktywności fosfokinazy kreatynowej we krwi</w:t>
            </w:r>
          </w:p>
        </w:tc>
      </w:tr>
    </w:tbl>
    <w:p w14:paraId="6F5415D5" w14:textId="27308B2C" w:rsidR="00E21164" w:rsidRPr="007E4DA1" w:rsidRDefault="00E21164" w:rsidP="001A6584">
      <w:pPr>
        <w:tabs>
          <w:tab w:val="left" w:pos="142"/>
        </w:tabs>
        <w:ind w:left="0" w:firstLine="0"/>
      </w:pPr>
    </w:p>
    <w:p w14:paraId="3D7448A1" w14:textId="77777777" w:rsidR="00041A08" w:rsidRPr="00041A08" w:rsidRDefault="00A350DA" w:rsidP="001A6584">
      <w:pPr>
        <w:keepNext/>
        <w:tabs>
          <w:tab w:val="left" w:pos="142"/>
        </w:tabs>
        <w:ind w:left="0" w:firstLine="0"/>
        <w:rPr>
          <w:szCs w:val="22"/>
        </w:rPr>
      </w:pPr>
      <w:r w:rsidRPr="007E4DA1">
        <w:rPr>
          <w:u w:val="single"/>
        </w:rPr>
        <w:t>Opis wybranych działań niepożądanych</w:t>
      </w:r>
    </w:p>
    <w:p w14:paraId="3443BD28" w14:textId="1F3488E4" w:rsidR="00A350DA" w:rsidRPr="007E4DA1" w:rsidRDefault="00A350DA" w:rsidP="001A6584">
      <w:pPr>
        <w:keepNext/>
        <w:tabs>
          <w:tab w:val="left" w:pos="142"/>
        </w:tabs>
        <w:ind w:left="0" w:firstLine="0"/>
        <w:rPr>
          <w:color w:val="000000"/>
          <w:szCs w:val="22"/>
        </w:rPr>
      </w:pPr>
    </w:p>
    <w:p w14:paraId="42C028BA" w14:textId="77777777" w:rsidR="00041A08" w:rsidRPr="00041A08" w:rsidRDefault="00A350DA" w:rsidP="001A6584">
      <w:pPr>
        <w:keepNext/>
        <w:tabs>
          <w:tab w:val="left" w:pos="142"/>
        </w:tabs>
        <w:ind w:left="0" w:firstLine="0"/>
        <w:rPr>
          <w:color w:val="000000"/>
          <w:szCs w:val="22"/>
        </w:rPr>
      </w:pPr>
      <w:r w:rsidRPr="007E4DA1">
        <w:rPr>
          <w:i/>
          <w:color w:val="000000"/>
          <w:szCs w:val="22"/>
          <w:u w:val="single"/>
        </w:rPr>
        <w:t>Incydenty zakrzepowe</w:t>
      </w:r>
      <w:r w:rsidR="00D36ECF" w:rsidRPr="007E4DA1">
        <w:rPr>
          <w:i/>
          <w:color w:val="000000"/>
          <w:szCs w:val="22"/>
          <w:u w:val="single"/>
        </w:rPr>
        <w:t xml:space="preserve"> </w:t>
      </w:r>
      <w:r w:rsidR="00672F34" w:rsidRPr="007E4DA1">
        <w:rPr>
          <w:i/>
          <w:color w:val="000000"/>
          <w:szCs w:val="22"/>
          <w:u w:val="single"/>
        </w:rPr>
        <w:t>/</w:t>
      </w:r>
      <w:r w:rsidR="00D36ECF" w:rsidRPr="007E4DA1">
        <w:rPr>
          <w:i/>
          <w:color w:val="000000"/>
          <w:szCs w:val="22"/>
          <w:u w:val="single"/>
        </w:rPr>
        <w:t xml:space="preserve"> </w:t>
      </w:r>
      <w:r w:rsidRPr="007E4DA1">
        <w:rPr>
          <w:i/>
          <w:color w:val="000000"/>
          <w:szCs w:val="22"/>
          <w:u w:val="single"/>
        </w:rPr>
        <w:t>zakrzepowo-zatorowe</w:t>
      </w:r>
    </w:p>
    <w:p w14:paraId="4CCFDEC5" w14:textId="31130C00" w:rsidR="00A350DA" w:rsidRPr="007E4DA1" w:rsidRDefault="00A350DA" w:rsidP="001A6584">
      <w:pPr>
        <w:keepNext/>
        <w:tabs>
          <w:tab w:val="left" w:pos="142"/>
        </w:tabs>
        <w:ind w:left="0" w:firstLine="0"/>
        <w:rPr>
          <w:szCs w:val="22"/>
        </w:rPr>
      </w:pPr>
    </w:p>
    <w:p w14:paraId="5DA1F8F7" w14:textId="77777777" w:rsidR="00A350DA" w:rsidRPr="007E4DA1" w:rsidRDefault="00A350DA" w:rsidP="001A6584">
      <w:pPr>
        <w:tabs>
          <w:tab w:val="left" w:pos="142"/>
        </w:tabs>
        <w:ind w:left="0" w:firstLine="0"/>
      </w:pPr>
      <w:r w:rsidRPr="007E4DA1">
        <w:t xml:space="preserve">W 3 kontrolowanych i 2 niekontrolowanych badaniach klinicznych prowadzonych u dorosłych pacjentów z </w:t>
      </w:r>
      <w:r w:rsidRPr="007E4DA1">
        <w:rPr>
          <w:szCs w:val="22"/>
        </w:rPr>
        <w:t>pierwotną małopłytkowością immunologiczną</w:t>
      </w:r>
      <w:r w:rsidRPr="007E4DA1">
        <w:t xml:space="preserve"> przyjmujących eltrombopag (n=446) u 17</w:t>
      </w:r>
      <w:r w:rsidR="00406FA8" w:rsidRPr="007E4DA1">
        <w:t> </w:t>
      </w:r>
      <w:r w:rsidRPr="007E4DA1">
        <w:t xml:space="preserve">pacjentów doszło w sumie do 19 incydentów zakrzepowo-zatorowych, w tym (w kolejności </w:t>
      </w:r>
      <w:r w:rsidRPr="007E4DA1">
        <w:lastRenderedPageBreak/>
        <w:t>zmniejszającej się częstości występowania) do zakrzepicy żył głębokich</w:t>
      </w:r>
      <w:r w:rsidRPr="007E4DA1">
        <w:rPr>
          <w:szCs w:val="22"/>
        </w:rPr>
        <w:t xml:space="preserve"> (n=6)</w:t>
      </w:r>
      <w:r w:rsidRPr="007E4DA1">
        <w:t xml:space="preserve">, zatorowości płucnej </w:t>
      </w:r>
      <w:r w:rsidRPr="007E4DA1">
        <w:rPr>
          <w:szCs w:val="22"/>
        </w:rPr>
        <w:t>(n=6)</w:t>
      </w:r>
      <w:r w:rsidRPr="007E4DA1">
        <w:t xml:space="preserve">, ostrego zawału mięśnia sercowego </w:t>
      </w:r>
      <w:r w:rsidRPr="007E4DA1">
        <w:rPr>
          <w:szCs w:val="22"/>
        </w:rPr>
        <w:t>(n=2)</w:t>
      </w:r>
      <w:r w:rsidRPr="007E4DA1">
        <w:t xml:space="preserve">, zawału mózgu </w:t>
      </w:r>
      <w:r w:rsidRPr="007E4DA1">
        <w:rPr>
          <w:szCs w:val="22"/>
        </w:rPr>
        <w:t>(n=2)</w:t>
      </w:r>
      <w:r w:rsidRPr="007E4DA1">
        <w:t xml:space="preserve">, zatoru </w:t>
      </w:r>
      <w:r w:rsidRPr="007E4DA1">
        <w:rPr>
          <w:szCs w:val="22"/>
        </w:rPr>
        <w:t>(n=1)</w:t>
      </w:r>
      <w:r w:rsidRPr="007E4DA1">
        <w:t xml:space="preserve"> (patrz punkt</w:t>
      </w:r>
      <w:r w:rsidR="00406FA8" w:rsidRPr="007E4DA1">
        <w:t> </w:t>
      </w:r>
      <w:r w:rsidRPr="007E4DA1">
        <w:t>4.4).</w:t>
      </w:r>
    </w:p>
    <w:p w14:paraId="29D90DEC" w14:textId="77777777" w:rsidR="00A350DA" w:rsidRPr="007E4DA1" w:rsidRDefault="00A350DA" w:rsidP="001A6584">
      <w:pPr>
        <w:tabs>
          <w:tab w:val="left" w:pos="142"/>
        </w:tabs>
        <w:ind w:left="0" w:firstLine="0"/>
        <w:rPr>
          <w:szCs w:val="22"/>
        </w:rPr>
      </w:pPr>
    </w:p>
    <w:p w14:paraId="06F7E9AF" w14:textId="77777777" w:rsidR="00A350DA" w:rsidRPr="007E4DA1" w:rsidRDefault="00A350DA" w:rsidP="001A6584">
      <w:pPr>
        <w:tabs>
          <w:tab w:val="left" w:pos="142"/>
        </w:tabs>
        <w:ind w:left="0" w:firstLine="0"/>
        <w:rPr>
          <w:szCs w:val="22"/>
        </w:rPr>
      </w:pPr>
      <w:r w:rsidRPr="007E4DA1">
        <w:rPr>
          <w:szCs w:val="22"/>
        </w:rPr>
        <w:t>W badaniu klinicznym kontrolowanym placebo (n=288, populacja, w której oceniano bezpieczeństwo stosowania) po dwóch tygodniach leczenia w celu przygotowania do procedur inwazyjnych u 6 spośród 143 (4%) dorosłych pacjentów z przewlekłą chorobą wątroby otrzymujących eltrombopag stwierdzono 7 incydentów zakrzepowo-zatorowych w obrębie układu żyły wrotnej oraz u 2 spośród 145 (1%) pacjentów z grupy placebo wystąpiły 3 incydenty zakrzepowo-zatorowe. U pięciu z 6</w:t>
      </w:r>
      <w:r w:rsidR="00406FA8" w:rsidRPr="007E4DA1">
        <w:rPr>
          <w:szCs w:val="22"/>
        </w:rPr>
        <w:t> </w:t>
      </w:r>
      <w:r w:rsidRPr="007E4DA1">
        <w:rPr>
          <w:szCs w:val="22"/>
        </w:rPr>
        <w:t>pacjentów leczonych eltrombopagiem stwierdzono incydenty zakrzepowo zatorowe przy liczbie płytek &gt;200 000/µl.</w:t>
      </w:r>
    </w:p>
    <w:p w14:paraId="6FCC94F8" w14:textId="77777777" w:rsidR="00A350DA" w:rsidRPr="007E4DA1" w:rsidRDefault="00A350DA" w:rsidP="001A6584">
      <w:pPr>
        <w:tabs>
          <w:tab w:val="left" w:pos="142"/>
        </w:tabs>
        <w:ind w:left="0" w:firstLine="0"/>
        <w:rPr>
          <w:szCs w:val="22"/>
        </w:rPr>
      </w:pPr>
    </w:p>
    <w:p w14:paraId="167BE95B" w14:textId="77777777" w:rsidR="00A350DA" w:rsidRPr="007E4DA1" w:rsidRDefault="00A350DA" w:rsidP="001A6584">
      <w:pPr>
        <w:tabs>
          <w:tab w:val="left" w:pos="142"/>
        </w:tabs>
        <w:ind w:left="0" w:firstLine="0"/>
        <w:rPr>
          <w:szCs w:val="22"/>
        </w:rPr>
      </w:pPr>
      <w:r w:rsidRPr="007E4DA1">
        <w:rPr>
          <w:szCs w:val="22"/>
        </w:rPr>
        <w:t>Oprócz liczby płytek ≥200 000/µl nie zidentyfikowano szczególnych czynników ryzyka u pacjentów, u których stwierdzono incydenty zakrzepowo-zatorowe</w:t>
      </w:r>
      <w:r w:rsidR="00406FA8" w:rsidRPr="007E4DA1">
        <w:rPr>
          <w:szCs w:val="22"/>
        </w:rPr>
        <w:t xml:space="preserve"> (patrz punkt 4.4)</w:t>
      </w:r>
      <w:r w:rsidRPr="007E4DA1">
        <w:rPr>
          <w:szCs w:val="22"/>
        </w:rPr>
        <w:t>.</w:t>
      </w:r>
    </w:p>
    <w:p w14:paraId="2AB3F3E5" w14:textId="77777777" w:rsidR="00A350DA" w:rsidRPr="007E4DA1" w:rsidRDefault="00A350DA" w:rsidP="001A6584">
      <w:pPr>
        <w:tabs>
          <w:tab w:val="left" w:pos="142"/>
        </w:tabs>
        <w:ind w:left="0" w:firstLine="0"/>
        <w:rPr>
          <w:szCs w:val="22"/>
        </w:rPr>
      </w:pPr>
    </w:p>
    <w:p w14:paraId="54A055A2" w14:textId="36CAC18D" w:rsidR="00A350DA" w:rsidRPr="007E4DA1" w:rsidRDefault="00A350DA" w:rsidP="001A6584">
      <w:pPr>
        <w:tabs>
          <w:tab w:val="left" w:pos="142"/>
        </w:tabs>
        <w:ind w:left="0" w:firstLine="0"/>
      </w:pPr>
      <w:r w:rsidRPr="007E4DA1">
        <w:t>W kontrolowanych badaniach z udziałem pacjentów z małopłytkowością i zakażeniem wirusem WZW C (n=1</w:t>
      </w:r>
      <w:r w:rsidR="005F162F" w:rsidRPr="007E4DA1">
        <w:t> </w:t>
      </w:r>
      <w:r w:rsidRPr="007E4DA1">
        <w:t>439), incydenty zakrzepowo-zatorowe wystąpiły u 38 z 955 pacjentów (4%) leczonych eltrombopagiem oraz u 6 z 484 pacjentów (1%) w grupie placebo. Najczęstszym incydentem zakrzepowo-zatorowym w obu grupach leczenia była zakrzepica żyły wrotnej (zaburzenie to wystąpiło u 2% pacjentów leczonych eltrombopagiem oraz u &lt;</w:t>
      </w:r>
      <w:r w:rsidR="00406FA8" w:rsidRPr="007E4DA1">
        <w:t> </w:t>
      </w:r>
      <w:r w:rsidRPr="007E4DA1">
        <w:t xml:space="preserve">1% pacjentów otrzymujących placebo) (patrz punkt 4.4). U pacjentów ze zmniejszonym stężeniem albumin (≤35 g/l) lub z wynikiem ≥10 w skali MELD ryzyko wystąpienia incydentu zakrzepowo-zatorowego było </w:t>
      </w:r>
      <w:r w:rsidR="00672F34" w:rsidRPr="007E4DA1">
        <w:t>2</w:t>
      </w:r>
      <w:r w:rsidR="00D36ECF" w:rsidRPr="007E4DA1">
        <w:t> </w:t>
      </w:r>
      <w:r w:rsidR="00672F34" w:rsidRPr="007E4DA1">
        <w:t xml:space="preserve">razy </w:t>
      </w:r>
      <w:r w:rsidRPr="007E4DA1">
        <w:t>wyższe niż u pacjentów z większym stężeniem albumin; w grupie pacjentów w wieku ≥60 lat ryzyko wystąpienia incydentu zakrzepowo-zatorowego było dwukrotnie większe niż u pacjentów młodszych.</w:t>
      </w:r>
    </w:p>
    <w:p w14:paraId="2601FF98" w14:textId="77777777" w:rsidR="00A350DA" w:rsidRPr="007E4DA1" w:rsidRDefault="00A350DA" w:rsidP="001A6584">
      <w:pPr>
        <w:tabs>
          <w:tab w:val="left" w:pos="142"/>
        </w:tabs>
        <w:ind w:left="0" w:firstLine="0"/>
        <w:rPr>
          <w:szCs w:val="22"/>
        </w:rPr>
      </w:pPr>
    </w:p>
    <w:p w14:paraId="22C52AD2" w14:textId="77777777" w:rsidR="00041A08" w:rsidRPr="00041A08" w:rsidRDefault="00A350DA" w:rsidP="001A6584">
      <w:pPr>
        <w:keepNext/>
        <w:tabs>
          <w:tab w:val="left" w:pos="142"/>
        </w:tabs>
        <w:ind w:left="0" w:firstLine="0"/>
        <w:rPr>
          <w:szCs w:val="22"/>
        </w:rPr>
      </w:pPr>
      <w:r w:rsidRPr="007E4DA1">
        <w:rPr>
          <w:i/>
          <w:u w:val="single"/>
        </w:rPr>
        <w:t>Dekompensacja czynności wątroby (podczas stosowania równocześnie z interferonem)</w:t>
      </w:r>
    </w:p>
    <w:p w14:paraId="5102F8E8" w14:textId="60E74168" w:rsidR="00A350DA" w:rsidRPr="007E4DA1" w:rsidRDefault="00A350DA" w:rsidP="001A6584">
      <w:pPr>
        <w:keepNext/>
        <w:tabs>
          <w:tab w:val="left" w:pos="142"/>
        </w:tabs>
        <w:ind w:left="0" w:firstLine="0"/>
        <w:rPr>
          <w:szCs w:val="22"/>
        </w:rPr>
      </w:pPr>
    </w:p>
    <w:p w14:paraId="7A13C660" w14:textId="77777777" w:rsidR="00A350DA" w:rsidRPr="007E4DA1" w:rsidRDefault="00A350DA" w:rsidP="001A6584">
      <w:pPr>
        <w:tabs>
          <w:tab w:val="left" w:pos="142"/>
        </w:tabs>
        <w:ind w:left="0" w:firstLine="0"/>
        <w:rPr>
          <w:szCs w:val="22"/>
        </w:rPr>
      </w:pPr>
      <w:r w:rsidRPr="007E4DA1">
        <w:t xml:space="preserve">Pacjenci z przewlekłym zakażeniem wirusem WZW C i marskością wątroby mogą być w grupie zwiększonego ryzyka dekompensacji czynności wątroby podczas otrzymywania leczenia interferonem alfa. W 2 kontrolowanych badaniach klinicznych z udziałem pacjentów z małopłytkowością i zakażeniem wirusem WZW C, dekompensację czynności wątroby (wodobrzusze, encefalopatia wątrobowa, krwawienie z żylaków, spontaniczne bakteryjne zapalenie otrzewnej) obserwowano częściej w grupie eltrombopagu (11%) niż w grupie placebo (6%). U pacjentów ze zmniejszonym stężeniem albumin (≤35 g/l) lub wyjściowym wynikiem ≥10 w skali MELD ryzyko dekompensacji czynności wątroby było </w:t>
      </w:r>
      <w:r w:rsidR="00672F34" w:rsidRPr="007E4DA1">
        <w:t>3</w:t>
      </w:r>
      <w:r w:rsidR="00D36ECF" w:rsidRPr="007E4DA1">
        <w:t> </w:t>
      </w:r>
      <w:r w:rsidR="00672F34" w:rsidRPr="007E4DA1">
        <w:t xml:space="preserve">razy </w:t>
      </w:r>
      <w:r w:rsidRPr="007E4DA1">
        <w:t>większe, jak też częściej występowały zdarzenia niepożądane ze skutkiem śmiertelnym niż wśród pacjentów z mniej zaawansowaną chorobą wątroby. Eltrombopag należy podawać takim pacjentom tylko po starannym rozważeniu spodziewanych korzyści w stosunku do ryzyka. Pacjentów z tej grupy należy uważnie monitorować w celu wykrycia występowania objawów przedmiotowych lub podmiotowych dekompensacji czynności wątroby (patrz punkt 4.4).</w:t>
      </w:r>
    </w:p>
    <w:p w14:paraId="63AE58DE" w14:textId="77777777" w:rsidR="00C02CBB" w:rsidRPr="007E4DA1" w:rsidRDefault="00C02CBB" w:rsidP="001A6584">
      <w:pPr>
        <w:tabs>
          <w:tab w:val="left" w:pos="142"/>
        </w:tabs>
        <w:ind w:left="0" w:firstLine="0"/>
        <w:rPr>
          <w:szCs w:val="22"/>
        </w:rPr>
      </w:pPr>
    </w:p>
    <w:p w14:paraId="32943090" w14:textId="77777777" w:rsidR="00672F34" w:rsidRPr="007E4DA1" w:rsidRDefault="00672F34" w:rsidP="001A6584">
      <w:pPr>
        <w:keepNext/>
        <w:tabs>
          <w:tab w:val="left" w:pos="142"/>
        </w:tabs>
        <w:ind w:left="0" w:firstLine="0"/>
        <w:rPr>
          <w:szCs w:val="22"/>
        </w:rPr>
      </w:pPr>
      <w:r w:rsidRPr="007E4DA1">
        <w:rPr>
          <w:i/>
          <w:szCs w:val="22"/>
          <w:u w:val="single"/>
        </w:rPr>
        <w:t>Toksyczne działanie na wątrobę</w:t>
      </w:r>
    </w:p>
    <w:p w14:paraId="7A17DE13" w14:textId="77777777" w:rsidR="00672F34" w:rsidRPr="007E4DA1" w:rsidRDefault="00672F34" w:rsidP="001A6584">
      <w:pPr>
        <w:keepNext/>
        <w:tabs>
          <w:tab w:val="left" w:pos="142"/>
        </w:tabs>
        <w:ind w:left="0" w:firstLine="0"/>
        <w:rPr>
          <w:szCs w:val="22"/>
        </w:rPr>
      </w:pPr>
    </w:p>
    <w:p w14:paraId="00AF6FF9" w14:textId="77777777" w:rsidR="00672F34" w:rsidRPr="007E4DA1" w:rsidRDefault="00672F34" w:rsidP="001A6584">
      <w:pPr>
        <w:tabs>
          <w:tab w:val="left" w:pos="142"/>
        </w:tabs>
        <w:ind w:left="0" w:firstLine="0"/>
        <w:rPr>
          <w:szCs w:val="22"/>
        </w:rPr>
      </w:pPr>
      <w:r w:rsidRPr="007E4DA1">
        <w:rPr>
          <w:szCs w:val="22"/>
        </w:rPr>
        <w:t>W kontrolowanych badaniach klinicznych ze stosowaniem eltrombopagu w przewlekłej ITP obserwowano zwiększenie aktywności AlAT, AspAT i stężenia bilirubiny w surowicy (patrz punkt 4.4).</w:t>
      </w:r>
    </w:p>
    <w:p w14:paraId="65675AAD" w14:textId="77777777" w:rsidR="00672F34" w:rsidRPr="007E4DA1" w:rsidRDefault="00672F34" w:rsidP="001A6584">
      <w:pPr>
        <w:tabs>
          <w:tab w:val="left" w:pos="142"/>
        </w:tabs>
        <w:ind w:left="0" w:firstLine="0"/>
        <w:rPr>
          <w:szCs w:val="22"/>
        </w:rPr>
      </w:pPr>
    </w:p>
    <w:p w14:paraId="490E9A08" w14:textId="77777777" w:rsidR="00672F34" w:rsidRPr="007E4DA1" w:rsidRDefault="00672F34" w:rsidP="001A6584">
      <w:pPr>
        <w:tabs>
          <w:tab w:val="left" w:pos="142"/>
        </w:tabs>
        <w:ind w:left="0" w:firstLine="0"/>
        <w:rPr>
          <w:szCs w:val="22"/>
        </w:rPr>
      </w:pPr>
      <w:r w:rsidRPr="007E4DA1">
        <w:rPr>
          <w:szCs w:val="22"/>
        </w:rPr>
        <w:t>Zmiany te były w większości łagodne (stopnia 1-2), odwracalne i nie towarzyszyły im klinicznie istotne objawy wskazujące na zaburzenia czynności wątroby. W 3 badaniach kontrolowanych placebo prowadzonych z udziałem dorosłych pacjentów z przewlekłą ITP u 1 pacjenta z grupy placebo i 1 pacjenta z grupy eltrombopagu wystąpiły nieprawidłowe wyniki badania czynności wątroby stopnia 4. W dwóch badaniach kontrolowanych placebo z udziałem dzieci i młodzieży (w wieku od 1 do 17 lat) z przewlekłą ITP aktywność AlAT ≥3 x GGN zgłaszano u 4,7% pacjentów z grupy eltrombopagu i 0% pacjentów z grupy placebo.</w:t>
      </w:r>
    </w:p>
    <w:p w14:paraId="5037FB86" w14:textId="77777777" w:rsidR="00672F34" w:rsidRPr="007E4DA1" w:rsidRDefault="00672F34" w:rsidP="001A6584">
      <w:pPr>
        <w:tabs>
          <w:tab w:val="left" w:pos="142"/>
        </w:tabs>
        <w:ind w:left="0" w:firstLine="0"/>
        <w:rPr>
          <w:szCs w:val="22"/>
        </w:rPr>
      </w:pPr>
    </w:p>
    <w:p w14:paraId="0EB91C9F" w14:textId="77777777" w:rsidR="00672F34" w:rsidRPr="007E4DA1" w:rsidRDefault="00672F34" w:rsidP="001A6584">
      <w:pPr>
        <w:tabs>
          <w:tab w:val="left" w:pos="142"/>
        </w:tabs>
        <w:ind w:left="0" w:firstLine="0"/>
        <w:rPr>
          <w:szCs w:val="22"/>
        </w:rPr>
      </w:pPr>
      <w:r w:rsidRPr="007E4DA1">
        <w:rPr>
          <w:szCs w:val="22"/>
        </w:rPr>
        <w:t xml:space="preserve">W 2 kontrolowanych badaniach klinicznych z udziałem pacjentów z WZW C, aktywność AlAT lub AspAT ≥3 x GGN zgłaszano u 34% i 38% pacjentów odpowiednio z grupy eltrombopagu i placebo. U większości pacjentów otrzymujących eltrombopag w skojarzeniu z peginterferonem / rybawiryną </w:t>
      </w:r>
      <w:r w:rsidRPr="007E4DA1">
        <w:rPr>
          <w:szCs w:val="22"/>
        </w:rPr>
        <w:lastRenderedPageBreak/>
        <w:t>wystąpi pośrednia hiperbilirubinemia. Ogółem, stężenie bilirubiny całkowitej ≥1,5 x GGN zgłaszano u 76% i 50% pacjentów odpowiednio z grupy eltrombopagu i placebo.</w:t>
      </w:r>
    </w:p>
    <w:p w14:paraId="6E8BCA8A" w14:textId="77777777" w:rsidR="00672F34" w:rsidRPr="007E4DA1" w:rsidRDefault="00672F34" w:rsidP="001A6584">
      <w:pPr>
        <w:tabs>
          <w:tab w:val="left" w:pos="142"/>
        </w:tabs>
        <w:ind w:left="0" w:firstLine="0"/>
        <w:rPr>
          <w:szCs w:val="22"/>
        </w:rPr>
      </w:pPr>
    </w:p>
    <w:p w14:paraId="03E5F49E" w14:textId="77777777" w:rsidR="00672F34" w:rsidRPr="007E4DA1" w:rsidRDefault="00672F34" w:rsidP="001A6584">
      <w:pPr>
        <w:tabs>
          <w:tab w:val="left" w:pos="142"/>
        </w:tabs>
        <w:ind w:left="0" w:firstLine="0"/>
        <w:rPr>
          <w:szCs w:val="22"/>
        </w:rPr>
      </w:pPr>
      <w:r w:rsidRPr="007E4DA1">
        <w:rPr>
          <w:szCs w:val="22"/>
        </w:rPr>
        <w:t>W badaniu II fazy z jedną grupą terapeutyczną otrzymującą monoterapię z powodu opornej SAA, jednoczesne występowanie aktywności AlAT lub AspAT &gt; 3 x GGN przy stężeniu bilirubiny całkowitej (pośredniej) &gt; 1,5 x GGN zgłaszano u 5% pacjentów. Stężenie bilirubiny całkowitej &gt; 1,5 x GGN wystąpiło u 14% pacjentów.</w:t>
      </w:r>
    </w:p>
    <w:p w14:paraId="27E5F4D7" w14:textId="77777777" w:rsidR="00672F34" w:rsidRPr="007E4DA1" w:rsidRDefault="00672F34" w:rsidP="001A6584">
      <w:pPr>
        <w:tabs>
          <w:tab w:val="left" w:pos="142"/>
        </w:tabs>
        <w:ind w:left="0" w:firstLine="0"/>
        <w:rPr>
          <w:szCs w:val="22"/>
        </w:rPr>
      </w:pPr>
    </w:p>
    <w:p w14:paraId="3B568AA7" w14:textId="77777777" w:rsidR="00041A08" w:rsidRPr="00041A08" w:rsidRDefault="00A350DA" w:rsidP="001A6584">
      <w:pPr>
        <w:keepNext/>
        <w:tabs>
          <w:tab w:val="left" w:pos="142"/>
        </w:tabs>
        <w:ind w:left="0" w:firstLine="0"/>
        <w:rPr>
          <w:szCs w:val="22"/>
        </w:rPr>
      </w:pPr>
      <w:r w:rsidRPr="007E4DA1">
        <w:rPr>
          <w:i/>
          <w:szCs w:val="22"/>
          <w:u w:val="single"/>
        </w:rPr>
        <w:t>Małopłytkowość po przerwaniu leczenia</w:t>
      </w:r>
    </w:p>
    <w:p w14:paraId="4F4B3C25" w14:textId="01086D52" w:rsidR="00A350DA" w:rsidRPr="007E4DA1" w:rsidRDefault="00A350DA" w:rsidP="001A6584">
      <w:pPr>
        <w:keepNext/>
        <w:tabs>
          <w:tab w:val="left" w:pos="142"/>
        </w:tabs>
        <w:ind w:left="0" w:firstLine="0"/>
        <w:rPr>
          <w:szCs w:val="22"/>
        </w:rPr>
      </w:pPr>
    </w:p>
    <w:p w14:paraId="144F4896" w14:textId="77777777" w:rsidR="00A350DA" w:rsidRPr="007E4DA1" w:rsidRDefault="00A350DA" w:rsidP="001A6584">
      <w:pPr>
        <w:tabs>
          <w:tab w:val="left" w:pos="142"/>
        </w:tabs>
        <w:ind w:left="0" w:firstLine="0"/>
      </w:pPr>
      <w:r w:rsidRPr="007E4DA1">
        <w:t>W 3 kontrolowanych badaniach klinicznych dotyczących pierwotnej małopłytkowości immunologicznej po przerwaniu leczenia obserwowano przemijające zmniejszenie liczby płytek krwi poniżej liczby początkowej, odpowiednio u 8% pacjentów z grupy eltrombopagu i u 8% pacjentów z grupy placebo (patrz punkt</w:t>
      </w:r>
      <w:r w:rsidR="00406FA8" w:rsidRPr="007E4DA1">
        <w:t> </w:t>
      </w:r>
      <w:r w:rsidRPr="007E4DA1">
        <w:t>4.4).</w:t>
      </w:r>
    </w:p>
    <w:p w14:paraId="0211F46D" w14:textId="77777777" w:rsidR="00041A08" w:rsidRPr="00041A08" w:rsidRDefault="00041A08" w:rsidP="001A6584">
      <w:pPr>
        <w:tabs>
          <w:tab w:val="left" w:pos="142"/>
        </w:tabs>
        <w:ind w:left="0" w:firstLine="0"/>
        <w:rPr>
          <w:szCs w:val="22"/>
        </w:rPr>
      </w:pPr>
    </w:p>
    <w:p w14:paraId="30D287B7" w14:textId="77777777" w:rsidR="00041A08" w:rsidRPr="00041A08" w:rsidRDefault="00A350DA" w:rsidP="001A6584">
      <w:pPr>
        <w:keepNext/>
        <w:tabs>
          <w:tab w:val="left" w:pos="142"/>
        </w:tabs>
        <w:ind w:left="0" w:firstLine="0"/>
        <w:rPr>
          <w:szCs w:val="22"/>
        </w:rPr>
      </w:pPr>
      <w:r w:rsidRPr="007E4DA1">
        <w:rPr>
          <w:i/>
          <w:szCs w:val="22"/>
          <w:u w:val="single"/>
        </w:rPr>
        <w:t>Zwiększenie ilości retykuliny w szpiku kostnym</w:t>
      </w:r>
    </w:p>
    <w:p w14:paraId="1A46E112" w14:textId="05DAAAAE" w:rsidR="00A350DA" w:rsidRPr="007E4DA1" w:rsidRDefault="00A350DA" w:rsidP="001A6584">
      <w:pPr>
        <w:keepNext/>
        <w:tabs>
          <w:tab w:val="left" w:pos="142"/>
        </w:tabs>
        <w:ind w:left="0" w:firstLine="0"/>
        <w:rPr>
          <w:szCs w:val="22"/>
        </w:rPr>
      </w:pPr>
    </w:p>
    <w:p w14:paraId="2C35263D" w14:textId="77777777" w:rsidR="00A350DA" w:rsidRPr="007E4DA1" w:rsidRDefault="00A350DA" w:rsidP="001A6584">
      <w:pPr>
        <w:tabs>
          <w:tab w:val="left" w:pos="142"/>
        </w:tabs>
        <w:ind w:left="0" w:firstLine="0"/>
      </w:pPr>
      <w:r w:rsidRPr="007E4DA1">
        <w:t xml:space="preserve">W całym programie badań u pacjentów nie stwierdzono istotnych klinicznie nieprawidłowości szpiku kostnego ani objawów klinicznych wskazujących na zaburzenia czynności szpiku kostnego. U </w:t>
      </w:r>
      <w:r w:rsidR="002E52D0" w:rsidRPr="007E4DA1">
        <w:t xml:space="preserve">niewielkiej liczby </w:t>
      </w:r>
      <w:r w:rsidRPr="007E4DA1">
        <w:t>pacjent</w:t>
      </w:r>
      <w:r w:rsidR="002E52D0" w:rsidRPr="007E4DA1">
        <w:t>ów</w:t>
      </w:r>
      <w:r w:rsidRPr="007E4DA1">
        <w:t xml:space="preserve"> z pierwotną małopłytkowością immunologiczną przerwano leczenie eltrombopagiem z powodu zwiększenia ilości retykuliny w szpiku kostnym (patrz punkt</w:t>
      </w:r>
      <w:r w:rsidR="00406FA8" w:rsidRPr="007E4DA1">
        <w:t> </w:t>
      </w:r>
      <w:r w:rsidRPr="007E4DA1">
        <w:t>4.4).</w:t>
      </w:r>
    </w:p>
    <w:p w14:paraId="0E08BC91" w14:textId="77777777" w:rsidR="00A350DA" w:rsidRPr="007E4DA1" w:rsidRDefault="00A350DA" w:rsidP="001A6584">
      <w:pPr>
        <w:tabs>
          <w:tab w:val="left" w:pos="142"/>
        </w:tabs>
        <w:ind w:left="0" w:firstLine="0"/>
        <w:rPr>
          <w:szCs w:val="22"/>
        </w:rPr>
      </w:pPr>
    </w:p>
    <w:p w14:paraId="6F3A8ACD" w14:textId="77777777" w:rsidR="00041A08" w:rsidRPr="00041A08" w:rsidRDefault="00A350DA" w:rsidP="001A6584">
      <w:pPr>
        <w:keepNext/>
        <w:tabs>
          <w:tab w:val="left" w:pos="142"/>
        </w:tabs>
        <w:ind w:left="0" w:firstLine="0"/>
        <w:rPr>
          <w:szCs w:val="22"/>
        </w:rPr>
      </w:pPr>
      <w:r w:rsidRPr="007E4DA1">
        <w:rPr>
          <w:i/>
          <w:szCs w:val="22"/>
          <w:u w:val="single"/>
        </w:rPr>
        <w:t>Nieprawidłowości cytogenetyczne</w:t>
      </w:r>
    </w:p>
    <w:p w14:paraId="50AF8366" w14:textId="17AD5249" w:rsidR="00A350DA" w:rsidRPr="007E4DA1" w:rsidRDefault="00A350DA" w:rsidP="001A6584">
      <w:pPr>
        <w:keepNext/>
        <w:tabs>
          <w:tab w:val="left" w:pos="142"/>
        </w:tabs>
        <w:ind w:left="0" w:firstLine="0"/>
        <w:rPr>
          <w:szCs w:val="22"/>
        </w:rPr>
      </w:pPr>
    </w:p>
    <w:p w14:paraId="7850ADD4" w14:textId="77777777" w:rsidR="00EB332D" w:rsidRPr="007E4DA1" w:rsidRDefault="00EB332D" w:rsidP="001A6584">
      <w:pPr>
        <w:tabs>
          <w:tab w:val="left" w:pos="142"/>
        </w:tabs>
        <w:ind w:left="0" w:firstLine="0"/>
        <w:rPr>
          <w:color w:val="000000"/>
          <w:szCs w:val="22"/>
        </w:rPr>
      </w:pPr>
      <w:r w:rsidRPr="007E4DA1">
        <w:rPr>
          <w:color w:val="000000"/>
          <w:szCs w:val="22"/>
        </w:rPr>
        <w:t>W badaniu klinicznym II fazy z eltrombopagiem w leczeniu opornej SAA, w którym stosowano dawkę początkową 50 mg/dobę (zwiększaną co 2 tygodnie do maksymalnej dawki 150 mg/dobę) (ELT112523) wystąpienie nowych nieprawidłowości cytogenetycznych obserwowano u 17,1% dorosłych pacjentów [7/41 (z których 4 miało zmiany w chromosomie 7)]. Mediana czasu do wystąpienia nieprawidłowości cytogenetycznych w tym badaniu wyniosła 2,9 miesięcy.</w:t>
      </w:r>
    </w:p>
    <w:p w14:paraId="4A299B12" w14:textId="77777777" w:rsidR="00EB332D" w:rsidRPr="007E4DA1" w:rsidRDefault="00EB332D" w:rsidP="001A6584">
      <w:pPr>
        <w:tabs>
          <w:tab w:val="left" w:pos="142"/>
        </w:tabs>
        <w:ind w:left="0" w:firstLine="0"/>
        <w:rPr>
          <w:color w:val="000000"/>
          <w:szCs w:val="22"/>
        </w:rPr>
      </w:pPr>
    </w:p>
    <w:p w14:paraId="392EE186" w14:textId="77777777" w:rsidR="00EB332D" w:rsidRPr="007E4DA1" w:rsidRDefault="00EB332D" w:rsidP="001A6584">
      <w:pPr>
        <w:tabs>
          <w:tab w:val="left" w:pos="142"/>
        </w:tabs>
        <w:ind w:left="0" w:firstLine="0"/>
        <w:rPr>
          <w:color w:val="000000"/>
          <w:szCs w:val="22"/>
        </w:rPr>
      </w:pPr>
      <w:r w:rsidRPr="007E4DA1">
        <w:rPr>
          <w:color w:val="000000"/>
          <w:szCs w:val="22"/>
        </w:rPr>
        <w:t>W badaniu klinicznym II fazy z eltrombopagiem w leczeniu opornej SAA, w którym stosowano dawkę 150 mg/dobę (z uwzględnieniem modyfikacji dawkowania ze względu na pochodzenie etniczne lub wiek, zgodnie ze wskazaniami) (ELT116826), wystąpienie nowych nieprawidłowości cytogenetycznych obserwowano u 22,6% dorosłych pacjentów [7/31 (z których 3 miało zmiany w chromosomie 7)]. U wszystkich 7 pacjentów wyjściowy wynik badania cytogenetycznego był prawidłowy. U sześciu pacjentów nieprawidłowości cytogenetyczne wystąpiły w 3.</w:t>
      </w:r>
      <w:r w:rsidR="00CF1D0C" w:rsidRPr="007E4DA1">
        <w:rPr>
          <w:color w:val="000000"/>
          <w:szCs w:val="22"/>
        </w:rPr>
        <w:t> </w:t>
      </w:r>
      <w:r w:rsidRPr="007E4DA1">
        <w:rPr>
          <w:color w:val="000000"/>
          <w:szCs w:val="22"/>
        </w:rPr>
        <w:t>miesiącu leczenia eltrombopagiem, a u jednego pacjenta nieprawidłowości cytogenetyczne wystąpiły w miesiącu</w:t>
      </w:r>
      <w:r w:rsidR="00CF1D0C" w:rsidRPr="007E4DA1">
        <w:rPr>
          <w:color w:val="000000"/>
          <w:szCs w:val="22"/>
        </w:rPr>
        <w:t> </w:t>
      </w:r>
      <w:r w:rsidRPr="007E4DA1">
        <w:rPr>
          <w:color w:val="000000"/>
          <w:szCs w:val="22"/>
        </w:rPr>
        <w:t>6.</w:t>
      </w:r>
    </w:p>
    <w:p w14:paraId="568E9F4E" w14:textId="77777777" w:rsidR="00A350DA" w:rsidRPr="007E4DA1" w:rsidRDefault="00A350DA" w:rsidP="001A6584">
      <w:pPr>
        <w:tabs>
          <w:tab w:val="left" w:pos="142"/>
        </w:tabs>
        <w:ind w:left="0" w:firstLine="0"/>
        <w:rPr>
          <w:szCs w:val="22"/>
        </w:rPr>
      </w:pPr>
    </w:p>
    <w:p w14:paraId="7AED3828" w14:textId="77777777" w:rsidR="00041A08" w:rsidRPr="00041A08" w:rsidRDefault="00A350DA" w:rsidP="001A6584">
      <w:pPr>
        <w:keepNext/>
        <w:tabs>
          <w:tab w:val="left" w:pos="142"/>
        </w:tabs>
        <w:ind w:left="0" w:firstLine="0"/>
        <w:rPr>
          <w:szCs w:val="22"/>
        </w:rPr>
      </w:pPr>
      <w:r w:rsidRPr="007E4DA1">
        <w:rPr>
          <w:i/>
          <w:szCs w:val="22"/>
          <w:u w:val="single"/>
        </w:rPr>
        <w:t>Hematologiczne nowotwory złośliwe</w:t>
      </w:r>
    </w:p>
    <w:p w14:paraId="7ADFFD1E" w14:textId="33EBDF95" w:rsidR="00A350DA" w:rsidRPr="007E4DA1" w:rsidRDefault="00A350DA" w:rsidP="001A6584">
      <w:pPr>
        <w:keepNext/>
        <w:tabs>
          <w:tab w:val="left" w:pos="142"/>
        </w:tabs>
        <w:ind w:left="0" w:firstLine="0"/>
        <w:rPr>
          <w:szCs w:val="22"/>
        </w:rPr>
      </w:pPr>
    </w:p>
    <w:p w14:paraId="7DFE6C25" w14:textId="77777777" w:rsidR="00A350DA" w:rsidRPr="007E4DA1" w:rsidRDefault="00A350DA" w:rsidP="001A6584">
      <w:pPr>
        <w:tabs>
          <w:tab w:val="left" w:pos="142"/>
        </w:tabs>
        <w:ind w:left="0" w:firstLine="0"/>
        <w:rPr>
          <w:szCs w:val="22"/>
        </w:rPr>
      </w:pPr>
      <w:r w:rsidRPr="007E4DA1">
        <w:rPr>
          <w:szCs w:val="22"/>
        </w:rPr>
        <w:t>W jednoramiennym, otwartym badaniu z zastosowaniem eltrombopagu w leczeniu SAA, u trzech (7%) pacjentów rozpoznano MDS w czasie leczenia eltrombopagiem, w dwóch toczących się badaniach (ELT116826 i ELT116643) u 1/28 (4%) pacjentów i 1/62 (2%) pacjentów rozpoznano MDS lub AML w każdym z tych badań.</w:t>
      </w:r>
    </w:p>
    <w:p w14:paraId="79905F59" w14:textId="77777777" w:rsidR="00041A08" w:rsidRPr="00041A08" w:rsidRDefault="00041A08" w:rsidP="001A6584">
      <w:pPr>
        <w:tabs>
          <w:tab w:val="left" w:pos="142"/>
        </w:tabs>
        <w:ind w:left="0" w:firstLine="0"/>
        <w:rPr>
          <w:szCs w:val="22"/>
        </w:rPr>
      </w:pPr>
    </w:p>
    <w:p w14:paraId="441CC3BA" w14:textId="77777777" w:rsidR="00041A08" w:rsidRPr="00041A08" w:rsidRDefault="00A350DA" w:rsidP="001A6584">
      <w:pPr>
        <w:keepNext/>
        <w:tabs>
          <w:tab w:val="left" w:pos="142"/>
        </w:tabs>
        <w:ind w:left="0" w:firstLine="0"/>
        <w:rPr>
          <w:szCs w:val="22"/>
        </w:rPr>
      </w:pPr>
      <w:r w:rsidRPr="007E4DA1">
        <w:rPr>
          <w:szCs w:val="22"/>
          <w:u w:val="single"/>
        </w:rPr>
        <w:t xml:space="preserve">Zgłaszanie </w:t>
      </w:r>
      <w:r w:rsidR="005603B2" w:rsidRPr="007E4DA1">
        <w:rPr>
          <w:szCs w:val="22"/>
          <w:u w:val="single"/>
        </w:rPr>
        <w:t xml:space="preserve">podejrzewanych </w:t>
      </w:r>
      <w:r w:rsidRPr="007E4DA1">
        <w:rPr>
          <w:szCs w:val="22"/>
          <w:u w:val="single"/>
        </w:rPr>
        <w:t>działań niepożądanych</w:t>
      </w:r>
    </w:p>
    <w:p w14:paraId="1E8D883F" w14:textId="77777777" w:rsidR="00041A08" w:rsidRPr="00041A08" w:rsidRDefault="00041A08" w:rsidP="001A6584">
      <w:pPr>
        <w:keepNext/>
        <w:tabs>
          <w:tab w:val="left" w:pos="142"/>
        </w:tabs>
        <w:ind w:left="0" w:firstLine="0"/>
        <w:rPr>
          <w:szCs w:val="22"/>
        </w:rPr>
      </w:pPr>
    </w:p>
    <w:p w14:paraId="30A9E9F2" w14:textId="1ADD142B" w:rsidR="00A350DA" w:rsidRPr="007E4DA1" w:rsidRDefault="00A350DA" w:rsidP="001A6584">
      <w:pPr>
        <w:tabs>
          <w:tab w:val="left" w:pos="142"/>
        </w:tabs>
        <w:ind w:left="0" w:firstLine="0"/>
        <w:rPr>
          <w:noProof/>
          <w:szCs w:val="22"/>
        </w:rPr>
      </w:pPr>
      <w:r w:rsidRPr="007E4DA1">
        <w:rPr>
          <w:noProof/>
          <w:szCs w:val="22"/>
        </w:rPr>
        <w:t>Po dopuszczeniu produktu leczniczego do obrotu istotne jest zgłaszanie podejrzewanych działań niepożądanych.</w:t>
      </w:r>
      <w:r w:rsidRPr="007E4DA1">
        <w:rPr>
          <w:szCs w:val="22"/>
        </w:rPr>
        <w:t xml:space="preserve"> </w:t>
      </w:r>
      <w:r w:rsidRPr="007E4DA1">
        <w:rPr>
          <w:noProof/>
          <w:szCs w:val="22"/>
        </w:rPr>
        <w:t>Umożliwia to nieprzerwane monitorowanie stosunku korzyści do ryzyka stosowania produktu leczniczego.</w:t>
      </w:r>
      <w:r w:rsidRPr="007E4DA1">
        <w:rPr>
          <w:szCs w:val="22"/>
        </w:rPr>
        <w:t xml:space="preserve"> </w:t>
      </w:r>
      <w:r w:rsidRPr="007E4DA1">
        <w:rPr>
          <w:noProof/>
          <w:szCs w:val="22"/>
        </w:rPr>
        <w:t>Osoby należące do fachowego personelu medycznego powinny zgłaszać wszelkie podejrzewane działania niepożądane</w:t>
      </w:r>
      <w:r w:rsidRPr="007E4DA1">
        <w:rPr>
          <w:szCs w:val="22"/>
        </w:rPr>
        <w:t xml:space="preserve"> za pośrednictwem</w:t>
      </w:r>
      <w:r w:rsidRPr="007E4DA1">
        <w:rPr>
          <w:noProof/>
          <w:szCs w:val="22"/>
        </w:rPr>
        <w:t xml:space="preserve"> </w:t>
      </w:r>
      <w:r w:rsidRPr="007E4DA1">
        <w:rPr>
          <w:szCs w:val="22"/>
          <w:shd w:val="pct15" w:color="auto" w:fill="auto"/>
        </w:rPr>
        <w:t xml:space="preserve">krajowego systemu zgłaszania wymienionego w </w:t>
      </w:r>
      <w:r>
        <w:fldChar w:fldCharType="begin"/>
      </w:r>
      <w:r>
        <w:instrText>HYPERLINK "https://www.ema.europa.eu/documents/template-form/qrd-appendix-v-adverse-drug-reaction-reporting-details_en.docx"</w:instrText>
      </w:r>
      <w:r>
        <w:fldChar w:fldCharType="separate"/>
      </w:r>
      <w:r w:rsidRPr="007E4DA1">
        <w:rPr>
          <w:rStyle w:val="Hyperlink"/>
          <w:shd w:val="pct15" w:color="auto" w:fill="auto"/>
        </w:rPr>
        <w:t>załączniku</w:t>
      </w:r>
      <w:r w:rsidR="00EC4057">
        <w:rPr>
          <w:rStyle w:val="Hyperlink"/>
          <w:shd w:val="pct15" w:color="auto" w:fill="auto"/>
        </w:rPr>
        <w:t> </w:t>
      </w:r>
      <w:r w:rsidRPr="007E4DA1">
        <w:rPr>
          <w:rStyle w:val="Hyperlink"/>
          <w:shd w:val="pct15" w:color="auto" w:fill="auto"/>
        </w:rPr>
        <w:t>V</w:t>
      </w:r>
      <w:r>
        <w:fldChar w:fldCharType="end"/>
      </w:r>
      <w:r w:rsidRPr="007E4DA1">
        <w:rPr>
          <w:noProof/>
          <w:szCs w:val="22"/>
        </w:rPr>
        <w:t>.</w:t>
      </w:r>
    </w:p>
    <w:p w14:paraId="0180B199" w14:textId="77777777" w:rsidR="00A350DA" w:rsidRPr="007E4DA1" w:rsidRDefault="00A350DA" w:rsidP="001A6584">
      <w:pPr>
        <w:tabs>
          <w:tab w:val="left" w:pos="142"/>
        </w:tabs>
        <w:ind w:left="0" w:firstLine="0"/>
        <w:rPr>
          <w:szCs w:val="22"/>
        </w:rPr>
      </w:pPr>
    </w:p>
    <w:p w14:paraId="4129F567" w14:textId="77777777" w:rsidR="00A350DA" w:rsidRPr="007E4DA1" w:rsidRDefault="00A350DA" w:rsidP="001A6584">
      <w:pPr>
        <w:keepNext/>
        <w:tabs>
          <w:tab w:val="left" w:pos="-3828"/>
        </w:tabs>
        <w:rPr>
          <w:szCs w:val="22"/>
        </w:rPr>
      </w:pPr>
      <w:r w:rsidRPr="007E4DA1">
        <w:rPr>
          <w:b/>
          <w:szCs w:val="22"/>
        </w:rPr>
        <w:t>4.9</w:t>
      </w:r>
      <w:r w:rsidRPr="007E4DA1">
        <w:rPr>
          <w:b/>
          <w:szCs w:val="22"/>
        </w:rPr>
        <w:tab/>
        <w:t>Przedawkowanie</w:t>
      </w:r>
    </w:p>
    <w:p w14:paraId="01B83A74" w14:textId="77777777" w:rsidR="00A350DA" w:rsidRPr="007E4DA1" w:rsidRDefault="00A350DA" w:rsidP="001A6584">
      <w:pPr>
        <w:keepNext/>
        <w:tabs>
          <w:tab w:val="left" w:pos="142"/>
        </w:tabs>
        <w:ind w:left="0" w:firstLine="0"/>
        <w:rPr>
          <w:szCs w:val="22"/>
        </w:rPr>
      </w:pPr>
    </w:p>
    <w:p w14:paraId="13A71E67" w14:textId="77777777" w:rsidR="00A350DA" w:rsidRPr="007E4DA1" w:rsidRDefault="00A350DA" w:rsidP="001A6584">
      <w:pPr>
        <w:tabs>
          <w:tab w:val="left" w:pos="142"/>
        </w:tabs>
        <w:ind w:left="0" w:firstLine="0"/>
        <w:rPr>
          <w:color w:val="000000"/>
        </w:rPr>
      </w:pPr>
      <w:r w:rsidRPr="007E4DA1">
        <w:rPr>
          <w:color w:val="000000"/>
        </w:rPr>
        <w:t xml:space="preserve">W przypadku przedawkowania eltrombopagu liczba płytek krwi może się nadmiernie zwiększyć, co może prowadzić do powikłań zakrzepowych/zakrzepowo-zatorowych. W przypadku przedawkowania </w:t>
      </w:r>
      <w:r w:rsidRPr="007E4DA1">
        <w:rPr>
          <w:color w:val="000000"/>
        </w:rPr>
        <w:lastRenderedPageBreak/>
        <w:t>należy rozważyć doustne podanie preparatu zawierającego kationy metali, takiego jak preparaty wapnia, glinu czy magnezu, w celu chelatowania eltrombopagu i ograniczenia jego wchłaniania. Należy ściśle monitorować liczbę płytek krwi. Leczenie eltrombopagiem należy wznowić zgodnie z zaleceniami dotyczącymi dawkowania (patrz punkt</w:t>
      </w:r>
      <w:r w:rsidR="00535EDC" w:rsidRPr="007E4DA1">
        <w:rPr>
          <w:color w:val="000000"/>
        </w:rPr>
        <w:t> </w:t>
      </w:r>
      <w:r w:rsidRPr="007E4DA1">
        <w:rPr>
          <w:color w:val="000000"/>
        </w:rPr>
        <w:t>4.2).</w:t>
      </w:r>
    </w:p>
    <w:p w14:paraId="0D4619FC" w14:textId="77777777" w:rsidR="00A350DA" w:rsidRPr="007E4DA1" w:rsidRDefault="00A350DA" w:rsidP="001A6584">
      <w:pPr>
        <w:tabs>
          <w:tab w:val="left" w:pos="142"/>
        </w:tabs>
        <w:ind w:left="0" w:firstLine="0"/>
        <w:rPr>
          <w:szCs w:val="22"/>
        </w:rPr>
      </w:pPr>
    </w:p>
    <w:p w14:paraId="555F8461" w14:textId="77777777" w:rsidR="00A350DA" w:rsidRPr="007E4DA1" w:rsidRDefault="00A350DA" w:rsidP="001A6584">
      <w:pPr>
        <w:tabs>
          <w:tab w:val="left" w:pos="142"/>
        </w:tabs>
        <w:autoSpaceDE w:val="0"/>
        <w:autoSpaceDN w:val="0"/>
        <w:adjustRightInd w:val="0"/>
        <w:ind w:left="0" w:firstLine="0"/>
        <w:rPr>
          <w:rFonts w:eastAsia="MS Mincho"/>
          <w:color w:val="000000"/>
          <w:lang w:eastAsia="ja-JP"/>
        </w:rPr>
      </w:pPr>
      <w:r w:rsidRPr="007E4DA1">
        <w:rPr>
          <w:snapToGrid w:val="0"/>
        </w:rPr>
        <w:t xml:space="preserve">W badaniach klinicznych odnotowano jeden przypadek przedawkowania, kiedy pacjent przyjął 5000 mg eltrombopagu. Zgłoszone działania niepożądane obejmowały niewielką wysypkę, przemijającą bradykardię, zwiększenie aktywności AlAT i AspAT oraz zmęczenie. Największe wartości parametrów czynności wątroby w badaniach wykonanych między dniem </w:t>
      </w:r>
      <w:smartTag w:uri="urn:schemas-microsoft-com:office:smarttags" w:element="metricconverter">
        <w:smartTagPr>
          <w:attr w:name="ProductID" w:val="2. a"/>
        </w:smartTagPr>
        <w:r w:rsidRPr="007E4DA1">
          <w:rPr>
            <w:rFonts w:eastAsia="MS Mincho"/>
            <w:color w:val="000000"/>
            <w:lang w:eastAsia="ja-JP"/>
          </w:rPr>
          <w:t>2. a</w:t>
        </w:r>
      </w:smartTag>
      <w:r w:rsidRPr="007E4DA1">
        <w:rPr>
          <w:rFonts w:eastAsia="MS Mincho"/>
          <w:color w:val="000000"/>
          <w:lang w:eastAsia="ja-JP"/>
        </w:rPr>
        <w:t xml:space="preserve"> 18. po przedawkowaniu wyniosły: aktywność AspAT 1,6</w:t>
      </w:r>
      <w:r w:rsidR="00535EDC" w:rsidRPr="007E4DA1">
        <w:rPr>
          <w:rFonts w:eastAsia="MS Mincho"/>
          <w:color w:val="000000"/>
          <w:lang w:eastAsia="ja-JP"/>
        </w:rPr>
        <w:t> </w:t>
      </w:r>
      <w:r w:rsidRPr="007E4DA1">
        <w:rPr>
          <w:rFonts w:eastAsia="MS Mincho"/>
          <w:color w:val="000000"/>
          <w:lang w:eastAsia="ja-JP"/>
        </w:rPr>
        <w:t>x większa niż górna granica normy, aktywność AlAT 3,9</w:t>
      </w:r>
      <w:r w:rsidR="00535EDC" w:rsidRPr="007E4DA1">
        <w:rPr>
          <w:rFonts w:eastAsia="MS Mincho"/>
          <w:color w:val="000000"/>
          <w:lang w:eastAsia="ja-JP"/>
        </w:rPr>
        <w:t> </w:t>
      </w:r>
      <w:r w:rsidRPr="007E4DA1">
        <w:rPr>
          <w:rFonts w:eastAsia="MS Mincho"/>
          <w:color w:val="000000"/>
          <w:lang w:eastAsia="ja-JP"/>
        </w:rPr>
        <w:t>x większa niż górna granica normy i stężenie bilirubiny całkowitej 2,4</w:t>
      </w:r>
      <w:r w:rsidR="00535EDC" w:rsidRPr="007E4DA1">
        <w:rPr>
          <w:rFonts w:eastAsia="MS Mincho"/>
          <w:color w:val="000000"/>
          <w:lang w:eastAsia="ja-JP"/>
        </w:rPr>
        <w:t> </w:t>
      </w:r>
      <w:r w:rsidRPr="007E4DA1">
        <w:rPr>
          <w:rFonts w:eastAsia="MS Mincho"/>
          <w:color w:val="000000"/>
          <w:lang w:eastAsia="ja-JP"/>
        </w:rPr>
        <w:t>x większe niż górna granica normy. Liczba płytek krwi w 18. dniu po przedawkowaniu wyniosła 672 000/µl, a maksymalna liczba płytek krwi osiągnęła wartość 929 000/µl. Pod wpływem leczenia wszystkie objawy ustąpiły bez żadnych następstw.</w:t>
      </w:r>
    </w:p>
    <w:p w14:paraId="4C66610B" w14:textId="77777777" w:rsidR="00A350DA" w:rsidRPr="007E4DA1" w:rsidRDefault="00A350DA" w:rsidP="001A6584">
      <w:pPr>
        <w:tabs>
          <w:tab w:val="left" w:pos="142"/>
        </w:tabs>
        <w:ind w:left="0" w:firstLine="0"/>
        <w:rPr>
          <w:szCs w:val="22"/>
        </w:rPr>
      </w:pPr>
    </w:p>
    <w:p w14:paraId="0EA5BABE" w14:textId="77777777" w:rsidR="00A350DA" w:rsidRPr="007E4DA1" w:rsidRDefault="00A350DA" w:rsidP="001A6584">
      <w:pPr>
        <w:tabs>
          <w:tab w:val="left" w:pos="142"/>
        </w:tabs>
        <w:ind w:left="0" w:firstLine="0"/>
        <w:rPr>
          <w:color w:val="000000"/>
        </w:rPr>
      </w:pPr>
      <w:r w:rsidRPr="007E4DA1">
        <w:rPr>
          <w:color w:val="000000"/>
        </w:rPr>
        <w:t>Ponieważ eltrombopag nie jest w sposób znaczący wydalany z moczem i silnie wiąże się z białkami osocza, uważa się, że hemodializa nie jest skuteczną metodą zwiększenia eliminacji eltrombopagu.</w:t>
      </w:r>
    </w:p>
    <w:p w14:paraId="06F9B30A" w14:textId="77777777" w:rsidR="00A350DA" w:rsidRPr="007E4DA1" w:rsidRDefault="00A350DA" w:rsidP="001A6584">
      <w:pPr>
        <w:tabs>
          <w:tab w:val="left" w:pos="142"/>
        </w:tabs>
        <w:ind w:left="0" w:firstLine="0"/>
        <w:rPr>
          <w:szCs w:val="22"/>
        </w:rPr>
      </w:pPr>
    </w:p>
    <w:p w14:paraId="345639F6" w14:textId="77777777" w:rsidR="00A350DA" w:rsidRPr="007E4DA1" w:rsidRDefault="00A350DA" w:rsidP="001A6584">
      <w:pPr>
        <w:tabs>
          <w:tab w:val="left" w:pos="142"/>
        </w:tabs>
        <w:ind w:left="0" w:firstLine="0"/>
        <w:rPr>
          <w:szCs w:val="22"/>
        </w:rPr>
      </w:pPr>
    </w:p>
    <w:p w14:paraId="3C392CD4" w14:textId="77777777" w:rsidR="00041A08" w:rsidRPr="00041A08" w:rsidRDefault="00A350DA" w:rsidP="001A6584">
      <w:pPr>
        <w:keepNext/>
      </w:pPr>
      <w:r w:rsidRPr="007E4DA1">
        <w:rPr>
          <w:b/>
        </w:rPr>
        <w:t>5.</w:t>
      </w:r>
      <w:r w:rsidRPr="007E4DA1">
        <w:rPr>
          <w:b/>
        </w:rPr>
        <w:tab/>
        <w:t>WŁAŚCIWOŚCI FARMAKOLOGICZNE</w:t>
      </w:r>
    </w:p>
    <w:p w14:paraId="20C60514" w14:textId="6AE05C13" w:rsidR="00A350DA" w:rsidRPr="007E4DA1" w:rsidRDefault="00A350DA" w:rsidP="001A6584">
      <w:pPr>
        <w:keepNext/>
        <w:tabs>
          <w:tab w:val="left" w:pos="142"/>
        </w:tabs>
        <w:ind w:left="0" w:firstLine="0"/>
      </w:pPr>
    </w:p>
    <w:p w14:paraId="6BDA995E" w14:textId="77777777" w:rsidR="00041A08" w:rsidRPr="00041A08" w:rsidRDefault="00A350DA" w:rsidP="001A6584">
      <w:pPr>
        <w:keepNext/>
        <w:tabs>
          <w:tab w:val="left" w:pos="-2552"/>
        </w:tabs>
      </w:pPr>
      <w:r w:rsidRPr="007E4DA1">
        <w:rPr>
          <w:b/>
        </w:rPr>
        <w:t>5.1</w:t>
      </w:r>
      <w:r w:rsidRPr="007E4DA1">
        <w:rPr>
          <w:b/>
        </w:rPr>
        <w:tab/>
        <w:t>Właściwości farmakodynamiczne</w:t>
      </w:r>
    </w:p>
    <w:p w14:paraId="705C34B0" w14:textId="78799874" w:rsidR="00A350DA" w:rsidRPr="007E4DA1" w:rsidRDefault="00A350DA" w:rsidP="001A6584">
      <w:pPr>
        <w:keepNext/>
        <w:tabs>
          <w:tab w:val="left" w:pos="142"/>
        </w:tabs>
        <w:ind w:left="0" w:firstLine="0"/>
      </w:pPr>
    </w:p>
    <w:p w14:paraId="1C5E3502" w14:textId="77777777" w:rsidR="00A350DA" w:rsidRPr="007E4DA1" w:rsidRDefault="00A350DA" w:rsidP="001A6584">
      <w:pPr>
        <w:tabs>
          <w:tab w:val="left" w:pos="142"/>
        </w:tabs>
        <w:ind w:left="0" w:firstLine="0"/>
      </w:pPr>
      <w:r w:rsidRPr="007E4DA1">
        <w:t>Grupa farmakoterapeutyczna: środki przeciwkrwotoczne, kod ATC: B02BX 05.</w:t>
      </w:r>
    </w:p>
    <w:p w14:paraId="652444F2" w14:textId="77777777" w:rsidR="00A350DA" w:rsidRPr="007E4DA1" w:rsidRDefault="00A350DA" w:rsidP="001A6584">
      <w:pPr>
        <w:tabs>
          <w:tab w:val="left" w:pos="142"/>
        </w:tabs>
        <w:ind w:left="0" w:firstLine="0"/>
        <w:rPr>
          <w:szCs w:val="22"/>
        </w:rPr>
      </w:pPr>
    </w:p>
    <w:p w14:paraId="2DF45E3C" w14:textId="77777777" w:rsidR="00041A08" w:rsidRPr="00041A08" w:rsidRDefault="00A350DA" w:rsidP="001A6584">
      <w:pPr>
        <w:keepNext/>
        <w:tabs>
          <w:tab w:val="left" w:pos="142"/>
        </w:tabs>
        <w:ind w:left="0" w:firstLine="0"/>
        <w:rPr>
          <w:szCs w:val="22"/>
        </w:rPr>
      </w:pPr>
      <w:r w:rsidRPr="007E4DA1">
        <w:rPr>
          <w:szCs w:val="22"/>
          <w:u w:val="single"/>
        </w:rPr>
        <w:t>Mechanizm działania</w:t>
      </w:r>
    </w:p>
    <w:p w14:paraId="36FBD13C" w14:textId="36B08BEA" w:rsidR="00A350DA" w:rsidRPr="007E4DA1" w:rsidRDefault="00A350DA" w:rsidP="001A6584">
      <w:pPr>
        <w:keepNext/>
        <w:tabs>
          <w:tab w:val="left" w:pos="142"/>
        </w:tabs>
        <w:ind w:left="0" w:firstLine="0"/>
        <w:rPr>
          <w:iCs/>
          <w:szCs w:val="22"/>
        </w:rPr>
      </w:pPr>
    </w:p>
    <w:p w14:paraId="7596CBC0" w14:textId="77777777" w:rsidR="00A350DA" w:rsidRPr="007E4DA1" w:rsidRDefault="00A350DA" w:rsidP="001A6584">
      <w:pPr>
        <w:tabs>
          <w:tab w:val="left" w:pos="142"/>
        </w:tabs>
        <w:ind w:left="0" w:firstLine="0"/>
      </w:pPr>
      <w:r w:rsidRPr="007E4DA1">
        <w:t>Trombopoetyna jest główną cytokiną uczestniczącą w regulacji megakariopoezy i wytwarzania płytek krwi oraz jest endogennym ligandem dla receptora trombopoetyny. Eltrombopag oddziałuje na przezbłonową domenę ludzkiego receptora trombopoetyny i inicjuje kaskady sygnałowe podobne, lecz nie identyczne, do kaskad wyzwalanych przez endogenną trombopoetynę, indukując proliferację i różnicowanie z komórek progenitorowych w szpiku kostnym.</w:t>
      </w:r>
    </w:p>
    <w:p w14:paraId="12CFEF8D" w14:textId="77777777" w:rsidR="00041A08" w:rsidRPr="00041A08" w:rsidRDefault="00041A08" w:rsidP="001A6584">
      <w:pPr>
        <w:tabs>
          <w:tab w:val="left" w:pos="142"/>
        </w:tabs>
        <w:ind w:left="0" w:firstLine="0"/>
        <w:rPr>
          <w:szCs w:val="22"/>
        </w:rPr>
      </w:pPr>
    </w:p>
    <w:p w14:paraId="194B456A" w14:textId="77777777" w:rsidR="00041A08" w:rsidRPr="00041A08" w:rsidRDefault="00A350DA" w:rsidP="001A6584">
      <w:pPr>
        <w:keepNext/>
        <w:tabs>
          <w:tab w:val="left" w:pos="142"/>
        </w:tabs>
        <w:ind w:left="0" w:firstLine="0"/>
        <w:rPr>
          <w:szCs w:val="22"/>
        </w:rPr>
      </w:pPr>
      <w:r w:rsidRPr="007E4DA1">
        <w:rPr>
          <w:u w:val="single"/>
        </w:rPr>
        <w:t>Skuteczność kliniczna i bezpieczeństwo stosowania</w:t>
      </w:r>
    </w:p>
    <w:p w14:paraId="5B6C0DEA" w14:textId="4E25C033" w:rsidR="00A350DA" w:rsidRPr="007E4DA1" w:rsidRDefault="00A350DA" w:rsidP="001A6584">
      <w:pPr>
        <w:keepNext/>
        <w:tabs>
          <w:tab w:val="left" w:pos="142"/>
        </w:tabs>
        <w:ind w:left="0" w:firstLine="0"/>
        <w:rPr>
          <w:bCs/>
          <w:color w:val="000000"/>
          <w:szCs w:val="22"/>
        </w:rPr>
      </w:pPr>
    </w:p>
    <w:p w14:paraId="1AF0CC67" w14:textId="77777777" w:rsidR="00041A08" w:rsidRPr="00041A08" w:rsidRDefault="00A350DA" w:rsidP="001A6584">
      <w:pPr>
        <w:keepNext/>
        <w:tabs>
          <w:tab w:val="left" w:pos="142"/>
        </w:tabs>
        <w:ind w:left="0" w:firstLine="0"/>
        <w:rPr>
          <w:szCs w:val="24"/>
        </w:rPr>
      </w:pPr>
      <w:r w:rsidRPr="007E4DA1">
        <w:rPr>
          <w:i/>
          <w:u w:val="single"/>
        </w:rPr>
        <w:t>Badania dotyczące małopłytkowości immunologicznej</w:t>
      </w:r>
      <w:r w:rsidR="00DF3447" w:rsidRPr="007E4DA1">
        <w:rPr>
          <w:i/>
          <w:u w:val="single"/>
        </w:rPr>
        <w:t xml:space="preserve"> (pierwotnej)</w:t>
      </w:r>
    </w:p>
    <w:p w14:paraId="5D60D838" w14:textId="77B2A1A9" w:rsidR="00A350DA" w:rsidRPr="007E4DA1" w:rsidRDefault="00A350DA" w:rsidP="001A6584">
      <w:pPr>
        <w:keepNext/>
        <w:tabs>
          <w:tab w:val="left" w:pos="142"/>
        </w:tabs>
        <w:ind w:left="0" w:firstLine="0"/>
        <w:rPr>
          <w:bCs/>
          <w:color w:val="000000"/>
          <w:szCs w:val="22"/>
        </w:rPr>
      </w:pPr>
    </w:p>
    <w:p w14:paraId="6753D234" w14:textId="511E7FF1" w:rsidR="00A350DA" w:rsidRPr="007E4DA1" w:rsidRDefault="00A350DA" w:rsidP="001A6584">
      <w:pPr>
        <w:tabs>
          <w:tab w:val="left" w:pos="142"/>
        </w:tabs>
        <w:autoSpaceDE w:val="0"/>
        <w:autoSpaceDN w:val="0"/>
        <w:adjustRightInd w:val="0"/>
        <w:ind w:left="0" w:firstLine="0"/>
        <w:rPr>
          <w:bCs/>
        </w:rPr>
      </w:pPr>
      <w:r w:rsidRPr="007E4DA1">
        <w:t xml:space="preserve">Bezpieczeństwo stosowania i skuteczność eltrombopagu u dorosłych pacjentów z leczoną wcześniej </w:t>
      </w:r>
      <w:r w:rsidRPr="007E4DA1">
        <w:rPr>
          <w:szCs w:val="22"/>
        </w:rPr>
        <w:t>pierwotną małopłytkowością immunologiczną</w:t>
      </w:r>
      <w:r w:rsidRPr="007E4DA1">
        <w:t xml:space="preserve"> oceniano w dwóch randomizowanych, kontrolowanych placebo badaniach </w:t>
      </w:r>
      <w:smartTag w:uri="urn:schemas-microsoft-com:office:smarttags" w:element="stockticker">
        <w:r w:rsidRPr="007E4DA1">
          <w:t>III</w:t>
        </w:r>
      </w:smartTag>
      <w:r w:rsidRPr="007E4DA1">
        <w:t xml:space="preserve"> fazy, przeprowadzonych metodą podwójnie ślepej próby: RAISE (</w:t>
      </w:r>
      <w:smartTag w:uri="urn:schemas-microsoft-com:office:smarttags" w:element="stockticker">
        <w:r w:rsidRPr="007E4DA1">
          <w:t>TRA</w:t>
        </w:r>
      </w:smartTag>
      <w:r w:rsidRPr="007E4DA1">
        <w:t xml:space="preserve">102537) i </w:t>
      </w:r>
      <w:smartTag w:uri="urn:schemas-microsoft-com:office:smarttags" w:element="stockticker">
        <w:r w:rsidRPr="007E4DA1">
          <w:t>TRA</w:t>
        </w:r>
      </w:smartTag>
      <w:r w:rsidRPr="007E4DA1">
        <w:t>100773B oraz w dwóch otwartych badaniach: REPEAT (</w:t>
      </w:r>
      <w:smartTag w:uri="urn:schemas-microsoft-com:office:smarttags" w:element="stockticker">
        <w:r w:rsidRPr="007E4DA1">
          <w:t>TRA</w:t>
        </w:r>
      </w:smartTag>
      <w:r w:rsidRPr="007E4DA1">
        <w:t>108057) i EXTEND (</w:t>
      </w:r>
      <w:smartTag w:uri="urn:schemas-microsoft-com:office:smarttags" w:element="stockticker">
        <w:r w:rsidRPr="007E4DA1">
          <w:t>TRA</w:t>
        </w:r>
      </w:smartTag>
      <w:r w:rsidRPr="007E4DA1">
        <w:t xml:space="preserve">105325). </w:t>
      </w:r>
      <w:r w:rsidRPr="007E4DA1">
        <w:rPr>
          <w:bCs/>
        </w:rPr>
        <w:t xml:space="preserve">W sumie </w:t>
      </w:r>
      <w:r w:rsidRPr="007E4DA1">
        <w:t>eltrombopag podawano 277</w:t>
      </w:r>
      <w:r w:rsidR="00535EDC" w:rsidRPr="007E4DA1">
        <w:t> </w:t>
      </w:r>
      <w:r w:rsidRPr="007E4DA1">
        <w:t>pacjentom z pierwotną małopłytkowością immunologiczną przez co najmniej 6</w:t>
      </w:r>
      <w:r w:rsidR="00535EDC" w:rsidRPr="007E4DA1">
        <w:t> </w:t>
      </w:r>
      <w:r w:rsidRPr="007E4DA1">
        <w:t>miesięcy i 202</w:t>
      </w:r>
      <w:r w:rsidR="00535EDC" w:rsidRPr="007E4DA1">
        <w:t> </w:t>
      </w:r>
      <w:r w:rsidRPr="007E4DA1">
        <w:t>pacjentom przez co najmniej rok.</w:t>
      </w:r>
      <w:r w:rsidR="00D64D4E" w:rsidRPr="007E4DA1">
        <w:t xml:space="preserve"> W badaniu II fazy TAPER (CETB115J2411) z jedną grupą badaną oceniano bezpieczeństwo stosowania i skuteczność eltrombopagu oraz jego zdolność do wywoływania trwałej odpowiedzi po zakończeniu leczenia u 105 dorosłych pacjentów z ITP, u których doszło do nawrotu choroby, lub którzy nie odpowiedzieli na leczenie pierwszego rzutu kortykosteroidami.</w:t>
      </w:r>
    </w:p>
    <w:p w14:paraId="4621D1F0" w14:textId="77777777" w:rsidR="00041A08" w:rsidRPr="00041A08" w:rsidRDefault="00041A08" w:rsidP="001A6584">
      <w:pPr>
        <w:tabs>
          <w:tab w:val="left" w:pos="142"/>
        </w:tabs>
        <w:ind w:left="0" w:firstLine="0"/>
        <w:rPr>
          <w:szCs w:val="22"/>
        </w:rPr>
      </w:pPr>
    </w:p>
    <w:p w14:paraId="32845A63" w14:textId="77777777" w:rsidR="00041A08" w:rsidRPr="00041A08" w:rsidRDefault="00A350DA" w:rsidP="001A6584">
      <w:pPr>
        <w:keepNext/>
        <w:tabs>
          <w:tab w:val="left" w:pos="142"/>
        </w:tabs>
        <w:ind w:left="0" w:firstLine="0"/>
      </w:pPr>
      <w:r w:rsidRPr="007E4DA1">
        <w:rPr>
          <w:i/>
        </w:rPr>
        <w:t>Badania kontrolowane placebo, przeprowadzone metodą podwójnie ślepej próby</w:t>
      </w:r>
    </w:p>
    <w:p w14:paraId="497B9B68" w14:textId="1A7FC3B9" w:rsidR="00D26BF8" w:rsidRPr="007E4DA1" w:rsidRDefault="00A350DA" w:rsidP="001A6584">
      <w:pPr>
        <w:keepNext/>
        <w:keepLines/>
        <w:tabs>
          <w:tab w:val="left" w:pos="142"/>
        </w:tabs>
        <w:autoSpaceDE w:val="0"/>
        <w:autoSpaceDN w:val="0"/>
        <w:adjustRightInd w:val="0"/>
        <w:ind w:left="0" w:firstLine="0"/>
        <w:rPr>
          <w:szCs w:val="22"/>
        </w:rPr>
      </w:pPr>
      <w:r w:rsidRPr="007E4DA1">
        <w:rPr>
          <w:szCs w:val="22"/>
        </w:rPr>
        <w:t>Badanie RAISE</w:t>
      </w:r>
      <w:r w:rsidR="00D26BF8" w:rsidRPr="007E4DA1">
        <w:rPr>
          <w:szCs w:val="22"/>
        </w:rPr>
        <w:t>:</w:t>
      </w:r>
    </w:p>
    <w:p w14:paraId="1E539813" w14:textId="52134CF1" w:rsidR="00A350DA" w:rsidRPr="007E4DA1" w:rsidRDefault="00A350DA" w:rsidP="001A6584">
      <w:pPr>
        <w:tabs>
          <w:tab w:val="left" w:pos="142"/>
        </w:tabs>
        <w:autoSpaceDE w:val="0"/>
        <w:autoSpaceDN w:val="0"/>
        <w:adjustRightInd w:val="0"/>
        <w:ind w:left="0" w:firstLine="0"/>
        <w:rPr>
          <w:bCs/>
          <w:szCs w:val="22"/>
        </w:rPr>
      </w:pPr>
      <w:r w:rsidRPr="007E4DA1">
        <w:t>197</w:t>
      </w:r>
      <w:r w:rsidR="00535EDC" w:rsidRPr="007E4DA1">
        <w:t> </w:t>
      </w:r>
      <w:r w:rsidRPr="007E4DA1">
        <w:t>pacjentów z pierwotną małopłytkowością immunologiczną randomizowano w stosunku 2:1 do grup eltrombopagu (n=135) i placebo (n=62).</w:t>
      </w:r>
      <w:r w:rsidRPr="007E4DA1">
        <w:rPr>
          <w:szCs w:val="22"/>
        </w:rPr>
        <w:t xml:space="preserve"> </w:t>
      </w:r>
      <w:r w:rsidRPr="007E4DA1">
        <w:t>Randomizację stratyfikowano pod względem statusu splenektomii, leczenia pierwotnej małopłytkowości immunologicznej stosowanego w momencie rozpoczęcia badania oraz początkowej liczby płytek krwi</w:t>
      </w:r>
      <w:r w:rsidRPr="007E4DA1">
        <w:rPr>
          <w:bCs/>
        </w:rPr>
        <w:t>.</w:t>
      </w:r>
      <w:r w:rsidRPr="007E4DA1">
        <w:rPr>
          <w:bCs/>
          <w:szCs w:val="22"/>
        </w:rPr>
        <w:t xml:space="preserve"> </w:t>
      </w:r>
      <w:r w:rsidRPr="007E4DA1">
        <w:rPr>
          <w:bCs/>
        </w:rPr>
        <w:t xml:space="preserve">Dawkę eltrombopagu u poszczególnych pacjentów korygowano w czasie 6-miesięcznego okresu leczenia na podstawie </w:t>
      </w:r>
      <w:r w:rsidRPr="007E4DA1">
        <w:t>liczby płytek krwi</w:t>
      </w:r>
      <w:r w:rsidRPr="007E4DA1">
        <w:rPr>
          <w:bCs/>
        </w:rPr>
        <w:t>.</w:t>
      </w:r>
      <w:r w:rsidRPr="007E4DA1">
        <w:rPr>
          <w:bCs/>
          <w:szCs w:val="22"/>
        </w:rPr>
        <w:t xml:space="preserve"> </w:t>
      </w:r>
      <w:r w:rsidRPr="007E4DA1">
        <w:rPr>
          <w:bCs/>
        </w:rPr>
        <w:t>U wszystkich pacjentów leczenie rozpoczęto od dawki eltrombopagu 50 mg. Od dnia</w:t>
      </w:r>
      <w:r w:rsidR="00535EDC" w:rsidRPr="007E4DA1">
        <w:rPr>
          <w:bCs/>
        </w:rPr>
        <w:t> </w:t>
      </w:r>
      <w:r w:rsidRPr="007E4DA1">
        <w:rPr>
          <w:bCs/>
        </w:rPr>
        <w:t xml:space="preserve">29. do zakończenia </w:t>
      </w:r>
      <w:r w:rsidRPr="007E4DA1">
        <w:rPr>
          <w:bCs/>
        </w:rPr>
        <w:lastRenderedPageBreak/>
        <w:t>leczenia 15–28% pacjentów otrzymujących eltrombopag przyjmowało dawkę ≤25 mg, a 29–53% pacjentów dawkę 75 mg.</w:t>
      </w:r>
    </w:p>
    <w:p w14:paraId="07FDE19B" w14:textId="77777777" w:rsidR="00A350DA" w:rsidRPr="007E4DA1" w:rsidRDefault="00A350DA" w:rsidP="001A6584">
      <w:pPr>
        <w:tabs>
          <w:tab w:val="left" w:pos="142"/>
        </w:tabs>
        <w:autoSpaceDE w:val="0"/>
        <w:autoSpaceDN w:val="0"/>
        <w:adjustRightInd w:val="0"/>
        <w:ind w:left="0" w:firstLine="0"/>
        <w:rPr>
          <w:bCs/>
          <w:szCs w:val="22"/>
        </w:rPr>
      </w:pPr>
    </w:p>
    <w:p w14:paraId="158E3926" w14:textId="77777777" w:rsidR="00041A08" w:rsidRPr="00041A08" w:rsidRDefault="00A350DA" w:rsidP="001A6584">
      <w:pPr>
        <w:tabs>
          <w:tab w:val="left" w:pos="142"/>
        </w:tabs>
        <w:autoSpaceDE w:val="0"/>
        <w:autoSpaceDN w:val="0"/>
        <w:adjustRightInd w:val="0"/>
        <w:ind w:left="0" w:firstLine="0"/>
        <w:rPr>
          <w:szCs w:val="22"/>
        </w:rPr>
      </w:pPr>
      <w:r w:rsidRPr="007E4DA1">
        <w:rPr>
          <w:bCs/>
          <w:szCs w:val="22"/>
        </w:rPr>
        <w:t xml:space="preserve">Oprócz tego u pacjentów można było zmniejszać ilość produktów leczniczych stosowanych jednocześnie w leczeniu </w:t>
      </w:r>
      <w:r w:rsidRPr="007E4DA1">
        <w:t>pierwotnej małopłytkowości immunologicznej</w:t>
      </w:r>
      <w:r w:rsidRPr="007E4DA1">
        <w:rPr>
          <w:bCs/>
          <w:szCs w:val="22"/>
        </w:rPr>
        <w:t xml:space="preserve"> oraz stosować doraźne leczenie ratunkowe zgodnie z lokalnymi standardami postępowania.</w:t>
      </w:r>
      <w:r w:rsidRPr="007E4DA1">
        <w:rPr>
          <w:color w:val="000000"/>
          <w:szCs w:val="22"/>
        </w:rPr>
        <w:t xml:space="preserve"> Więcej niż połowa pacjentów z obu grup otrzymało uprzednio ≥3</w:t>
      </w:r>
      <w:r w:rsidR="00CF1D0C" w:rsidRPr="007E4DA1">
        <w:rPr>
          <w:color w:val="000000"/>
          <w:szCs w:val="22"/>
        </w:rPr>
        <w:t> </w:t>
      </w:r>
      <w:r w:rsidRPr="007E4DA1">
        <w:rPr>
          <w:color w:val="000000"/>
          <w:szCs w:val="22"/>
        </w:rPr>
        <w:t xml:space="preserve">kursy terapii </w:t>
      </w:r>
      <w:r w:rsidRPr="007E4DA1">
        <w:t xml:space="preserve">pierwotnej małopłytkowości immunologicznej, </w:t>
      </w:r>
      <w:r w:rsidRPr="007E4DA1">
        <w:rPr>
          <w:color w:val="000000"/>
          <w:szCs w:val="22"/>
        </w:rPr>
        <w:t>a u</w:t>
      </w:r>
      <w:r w:rsidRPr="007E4DA1">
        <w:rPr>
          <w:szCs w:val="22"/>
        </w:rPr>
        <w:t xml:space="preserve"> 36% pacjentów wykonano uprzednio splenektomię.</w:t>
      </w:r>
    </w:p>
    <w:p w14:paraId="5EB3AB64" w14:textId="1A8C5B10" w:rsidR="00A350DA" w:rsidRPr="007E4DA1" w:rsidRDefault="00A350DA" w:rsidP="001A6584">
      <w:pPr>
        <w:pStyle w:val="Caption"/>
        <w:tabs>
          <w:tab w:val="left" w:pos="142"/>
        </w:tabs>
        <w:spacing w:before="0" w:after="0"/>
        <w:rPr>
          <w:b w:val="0"/>
          <w:sz w:val="22"/>
          <w:szCs w:val="22"/>
          <w:lang w:val="pl-PL"/>
        </w:rPr>
      </w:pPr>
    </w:p>
    <w:p w14:paraId="2DC30893" w14:textId="77777777" w:rsidR="00A350DA" w:rsidRPr="007E4DA1" w:rsidRDefault="00A350DA" w:rsidP="001A6584">
      <w:pPr>
        <w:tabs>
          <w:tab w:val="left" w:pos="142"/>
        </w:tabs>
        <w:autoSpaceDE w:val="0"/>
        <w:autoSpaceDN w:val="0"/>
        <w:adjustRightInd w:val="0"/>
        <w:ind w:left="0" w:firstLine="0"/>
        <w:rPr>
          <w:bCs/>
          <w:color w:val="000000"/>
        </w:rPr>
      </w:pPr>
      <w:r w:rsidRPr="007E4DA1">
        <w:t>Mediana liczby płytek krwi w momencie rozpoczęcia leczenia wyniosła 16 000/</w:t>
      </w:r>
      <w:r w:rsidRPr="007E4DA1">
        <w:sym w:font="Symbol" w:char="F06D"/>
      </w:r>
      <w:r w:rsidRPr="007E4DA1">
        <w:t>l w obu grupach pacjentów. W grupie eltrombopagu wartość ta utrzymywała się powyżej 50 000/µl w czasie wszystkich wizyt kontrolnych począwszy od dnia 15., natomiast mediana liczby płytek krwi w grupie placebo pozostawała &lt;30 000/µl w czasie całego badania.</w:t>
      </w:r>
    </w:p>
    <w:p w14:paraId="2E2CC2CD" w14:textId="77777777" w:rsidR="00A350DA" w:rsidRPr="007E4DA1" w:rsidRDefault="00A350DA" w:rsidP="001A6584">
      <w:pPr>
        <w:tabs>
          <w:tab w:val="left" w:pos="142"/>
        </w:tabs>
        <w:ind w:left="0" w:firstLine="0"/>
        <w:rPr>
          <w:szCs w:val="22"/>
        </w:rPr>
      </w:pPr>
    </w:p>
    <w:p w14:paraId="0639EC52" w14:textId="63414A63" w:rsidR="00A350DA" w:rsidRPr="007E4DA1" w:rsidRDefault="00A350DA" w:rsidP="001A6584">
      <w:pPr>
        <w:tabs>
          <w:tab w:val="left" w:pos="142"/>
        </w:tabs>
        <w:ind w:left="0" w:firstLine="0"/>
      </w:pPr>
      <w:r w:rsidRPr="007E4DA1">
        <w:t>Odpowiedź na leczenie w postaci liczby płytek krwi w zakresie 50 000</w:t>
      </w:r>
      <w:r w:rsidR="00F865DC" w:rsidRPr="007E4DA1">
        <w:noBreakHyphen/>
      </w:r>
      <w:r w:rsidRPr="007E4DA1">
        <w:t>400 000/</w:t>
      </w:r>
      <w:r w:rsidRPr="007E4DA1">
        <w:sym w:font="Symbol" w:char="F06D"/>
      </w:r>
      <w:r w:rsidRPr="007E4DA1">
        <w:t xml:space="preserve">l bez konieczności </w:t>
      </w:r>
      <w:r w:rsidRPr="007E4DA1">
        <w:rPr>
          <w:bCs/>
          <w:szCs w:val="22"/>
        </w:rPr>
        <w:t>doraźnego leczenia ratunkowego</w:t>
      </w:r>
      <w:r w:rsidRPr="007E4DA1">
        <w:t xml:space="preserve"> uzyskano u znamiennie większej liczby pacjentów w grupie otrzymującej eltrombopag w czasie 6-miesięcznego okresu terapii (p &lt;0,001)</w:t>
      </w:r>
      <w:r w:rsidR="00E21164">
        <w:t xml:space="preserve"> (</w:t>
      </w:r>
      <w:r w:rsidR="00E52F84">
        <w:t>t</w:t>
      </w:r>
      <w:r w:rsidR="00E21164">
        <w:t>abela 7)</w:t>
      </w:r>
      <w:r w:rsidRPr="007E4DA1">
        <w:t>. Taką odpowiedź po 6</w:t>
      </w:r>
      <w:r w:rsidR="00535EDC" w:rsidRPr="007E4DA1">
        <w:t> </w:t>
      </w:r>
      <w:r w:rsidRPr="007E4DA1">
        <w:t>tygodniach leczenia uzyskano u pięćdziesięciu czterech procent pacjentów leczonych eltrombopagiem oraz u 13% pacjentów otrzymujących placebo. Podobna odpowiedź w zakresie liczby płytek krwi utrzymywała się przez cały okres badania, a odsetek pacjentów odpowiadających na leczenie na końcu 6-miesięcznego okresu leczenia wyniósł odpowiednio u 52% i 16%.</w:t>
      </w:r>
    </w:p>
    <w:p w14:paraId="772BC1F4" w14:textId="77777777" w:rsidR="00A350DA" w:rsidRPr="007E4DA1" w:rsidRDefault="00A350DA" w:rsidP="001A6584">
      <w:pPr>
        <w:tabs>
          <w:tab w:val="left" w:pos="142"/>
        </w:tabs>
        <w:ind w:left="0" w:firstLine="0"/>
        <w:rPr>
          <w:szCs w:val="22"/>
        </w:rPr>
      </w:pPr>
    </w:p>
    <w:p w14:paraId="2E851335" w14:textId="2E5B7CA8" w:rsidR="00041A08" w:rsidRPr="00041A08" w:rsidRDefault="00A350DA" w:rsidP="00553AB7">
      <w:pPr>
        <w:pStyle w:val="Caption"/>
        <w:keepNext/>
        <w:tabs>
          <w:tab w:val="left" w:pos="142"/>
        </w:tabs>
        <w:spacing w:before="0" w:after="0"/>
        <w:ind w:left="1134" w:hanging="1134"/>
        <w:rPr>
          <w:b w:val="0"/>
          <w:sz w:val="22"/>
          <w:szCs w:val="22"/>
          <w:lang w:val="pl-PL"/>
        </w:rPr>
      </w:pPr>
      <w:r w:rsidRPr="007E4DA1">
        <w:rPr>
          <w:sz w:val="22"/>
          <w:szCs w:val="22"/>
          <w:lang w:val="pl-PL"/>
        </w:rPr>
        <w:t>Tabela </w:t>
      </w:r>
      <w:r w:rsidR="00E21164">
        <w:rPr>
          <w:sz w:val="22"/>
          <w:szCs w:val="22"/>
          <w:lang w:val="pl-PL"/>
        </w:rPr>
        <w:t>7</w:t>
      </w:r>
      <w:r w:rsidR="00E8216D" w:rsidRPr="007E4DA1">
        <w:rPr>
          <w:sz w:val="22"/>
          <w:szCs w:val="22"/>
          <w:lang w:val="pl-PL"/>
        </w:rPr>
        <w:tab/>
      </w:r>
      <w:r w:rsidRPr="007E4DA1">
        <w:rPr>
          <w:sz w:val="22"/>
          <w:szCs w:val="22"/>
          <w:lang w:val="pl-PL"/>
        </w:rPr>
        <w:t>Drugorzędowe wyniki skuteczności z badania RAISE</w:t>
      </w:r>
    </w:p>
    <w:p w14:paraId="349432BB" w14:textId="3C3A9579" w:rsidR="00A350DA" w:rsidRPr="007E4DA1" w:rsidRDefault="00A350DA" w:rsidP="001A6584">
      <w:pPr>
        <w:keepNext/>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9"/>
        <w:gridCol w:w="1428"/>
        <w:gridCol w:w="1053"/>
      </w:tblGrid>
      <w:tr w:rsidR="00A350DA" w:rsidRPr="007E4DA1" w14:paraId="69C1490B" w14:textId="77777777" w:rsidTr="00553AB7">
        <w:trPr>
          <w:cantSplit/>
        </w:trPr>
        <w:tc>
          <w:tcPr>
            <w:tcW w:w="3631" w:type="pct"/>
            <w:vAlign w:val="bottom"/>
          </w:tcPr>
          <w:p w14:paraId="346B1131" w14:textId="77777777" w:rsidR="00A350DA" w:rsidRPr="007E4DA1" w:rsidRDefault="00A350DA" w:rsidP="001A6584">
            <w:pPr>
              <w:keepNext/>
              <w:tabs>
                <w:tab w:val="left" w:pos="142"/>
              </w:tabs>
              <w:ind w:left="0" w:firstLine="0"/>
            </w:pPr>
          </w:p>
        </w:tc>
        <w:tc>
          <w:tcPr>
            <w:tcW w:w="788" w:type="pct"/>
          </w:tcPr>
          <w:p w14:paraId="0A7F55CD" w14:textId="77777777" w:rsidR="00A350DA" w:rsidRPr="007E4DA1" w:rsidRDefault="00A350DA" w:rsidP="001A6584">
            <w:pPr>
              <w:keepNext/>
              <w:tabs>
                <w:tab w:val="left" w:pos="142"/>
              </w:tabs>
              <w:ind w:left="0" w:firstLine="0"/>
              <w:jc w:val="center"/>
            </w:pPr>
            <w:r w:rsidRPr="007E4DA1">
              <w:t>Eltrombopag</w:t>
            </w:r>
          </w:p>
          <w:p w14:paraId="520B5A82" w14:textId="77777777" w:rsidR="00A350DA" w:rsidRPr="007E4DA1" w:rsidRDefault="00A350DA" w:rsidP="001A6584">
            <w:pPr>
              <w:keepNext/>
              <w:tabs>
                <w:tab w:val="left" w:pos="142"/>
              </w:tabs>
              <w:ind w:left="0" w:firstLine="0"/>
              <w:jc w:val="center"/>
            </w:pPr>
            <w:r w:rsidRPr="007E4DA1">
              <w:t>N=135</w:t>
            </w:r>
          </w:p>
        </w:tc>
        <w:tc>
          <w:tcPr>
            <w:tcW w:w="581" w:type="pct"/>
            <w:vAlign w:val="bottom"/>
          </w:tcPr>
          <w:p w14:paraId="189C208B" w14:textId="77777777" w:rsidR="00A350DA" w:rsidRPr="007E4DA1" w:rsidRDefault="00A350DA" w:rsidP="001A6584">
            <w:pPr>
              <w:keepNext/>
              <w:tabs>
                <w:tab w:val="left" w:pos="142"/>
              </w:tabs>
              <w:ind w:left="0" w:firstLine="0"/>
              <w:jc w:val="center"/>
            </w:pPr>
            <w:r w:rsidRPr="007E4DA1">
              <w:t>Placebo</w:t>
            </w:r>
          </w:p>
          <w:p w14:paraId="38993CE1" w14:textId="77777777" w:rsidR="00A350DA" w:rsidRPr="007E4DA1" w:rsidRDefault="00A350DA" w:rsidP="001A6584">
            <w:pPr>
              <w:keepNext/>
              <w:tabs>
                <w:tab w:val="left" w:pos="142"/>
              </w:tabs>
              <w:ind w:left="0" w:firstLine="0"/>
              <w:jc w:val="center"/>
            </w:pPr>
            <w:r w:rsidRPr="007E4DA1">
              <w:t>N=62</w:t>
            </w:r>
          </w:p>
        </w:tc>
      </w:tr>
      <w:tr w:rsidR="00A350DA" w:rsidRPr="007E4DA1" w14:paraId="4ECBF409" w14:textId="77777777" w:rsidTr="00553AB7">
        <w:trPr>
          <w:cantSplit/>
        </w:trPr>
        <w:tc>
          <w:tcPr>
            <w:tcW w:w="5000" w:type="pct"/>
            <w:gridSpan w:val="3"/>
          </w:tcPr>
          <w:p w14:paraId="371C2BE0" w14:textId="77777777" w:rsidR="00A350DA" w:rsidRPr="007E4DA1" w:rsidRDefault="00A350DA" w:rsidP="001A6584">
            <w:pPr>
              <w:keepNext/>
              <w:tabs>
                <w:tab w:val="left" w:pos="142"/>
              </w:tabs>
              <w:ind w:left="0" w:firstLine="0"/>
            </w:pPr>
            <w:r w:rsidRPr="007E4DA1">
              <w:t>Najważniejsze drugorzędowe punkty końcowe</w:t>
            </w:r>
          </w:p>
        </w:tc>
      </w:tr>
      <w:tr w:rsidR="00A350DA" w:rsidRPr="007E4DA1" w14:paraId="6D6BCCE0" w14:textId="77777777" w:rsidTr="00553AB7">
        <w:trPr>
          <w:cantSplit/>
        </w:trPr>
        <w:tc>
          <w:tcPr>
            <w:tcW w:w="3631" w:type="pct"/>
          </w:tcPr>
          <w:p w14:paraId="015DD7F0" w14:textId="77777777" w:rsidR="00A350DA" w:rsidRPr="007E4DA1" w:rsidRDefault="00A350DA" w:rsidP="001A6584">
            <w:pPr>
              <w:keepNext/>
              <w:tabs>
                <w:tab w:val="left" w:pos="142"/>
              </w:tabs>
              <w:ind w:left="0" w:firstLine="0"/>
            </w:pPr>
            <w:r w:rsidRPr="007E4DA1">
              <w:t xml:space="preserve">Sumaryczna liczba tygodni w których liczba płytek krwi była </w:t>
            </w:r>
            <w:r w:rsidRPr="007E4DA1">
              <w:sym w:font="Symbol" w:char="F0B3"/>
            </w:r>
            <w:r w:rsidRPr="007E4DA1">
              <w:rPr>
                <w:bCs/>
              </w:rPr>
              <w:t>50 000</w:t>
            </w:r>
            <w:r w:rsidR="00F865DC" w:rsidRPr="007E4DA1">
              <w:rPr>
                <w:bCs/>
              </w:rPr>
              <w:noBreakHyphen/>
            </w:r>
            <w:r w:rsidRPr="007E4DA1">
              <w:rPr>
                <w:bCs/>
              </w:rPr>
              <w:t>400 </w:t>
            </w:r>
            <w:r w:rsidRPr="007E4DA1">
              <w:t>000/µl, średnia (SD)</w:t>
            </w:r>
          </w:p>
        </w:tc>
        <w:tc>
          <w:tcPr>
            <w:tcW w:w="788" w:type="pct"/>
            <w:vAlign w:val="center"/>
          </w:tcPr>
          <w:p w14:paraId="0831BD6D" w14:textId="77777777" w:rsidR="00A350DA" w:rsidRPr="007E4DA1" w:rsidRDefault="00A350DA" w:rsidP="001A6584">
            <w:pPr>
              <w:keepNext/>
              <w:tabs>
                <w:tab w:val="left" w:pos="142"/>
              </w:tabs>
              <w:ind w:left="0" w:firstLine="0"/>
              <w:jc w:val="center"/>
            </w:pPr>
            <w:r w:rsidRPr="007E4DA1">
              <w:t>11,3 (9,46)</w:t>
            </w:r>
          </w:p>
        </w:tc>
        <w:tc>
          <w:tcPr>
            <w:tcW w:w="581" w:type="pct"/>
            <w:vAlign w:val="center"/>
          </w:tcPr>
          <w:p w14:paraId="773CAAA7" w14:textId="77777777" w:rsidR="00A350DA" w:rsidRPr="007E4DA1" w:rsidRDefault="00A350DA" w:rsidP="001A6584">
            <w:pPr>
              <w:keepNext/>
              <w:tabs>
                <w:tab w:val="left" w:pos="142"/>
              </w:tabs>
              <w:ind w:left="0" w:firstLine="0"/>
              <w:jc w:val="center"/>
            </w:pPr>
            <w:r w:rsidRPr="007E4DA1">
              <w:t>2,4 (5,95)</w:t>
            </w:r>
          </w:p>
        </w:tc>
      </w:tr>
      <w:tr w:rsidR="00A350DA" w:rsidRPr="007E4DA1" w14:paraId="26D73E35" w14:textId="77777777" w:rsidTr="00553AB7">
        <w:trPr>
          <w:cantSplit/>
        </w:trPr>
        <w:tc>
          <w:tcPr>
            <w:tcW w:w="3631" w:type="pct"/>
            <w:vMerge w:val="restart"/>
          </w:tcPr>
          <w:p w14:paraId="5B9FADE0" w14:textId="77777777" w:rsidR="00A350DA" w:rsidRPr="007E4DA1" w:rsidRDefault="00A350DA" w:rsidP="001A6584">
            <w:pPr>
              <w:keepNext/>
              <w:tabs>
                <w:tab w:val="left" w:pos="142"/>
              </w:tabs>
              <w:ind w:left="0" w:firstLine="0"/>
              <w:rPr>
                <w:rFonts w:ascii="TimesNewRoman" w:hAnsi="TimesNewRoman" w:cs="TimesNewRoman"/>
                <w:color w:val="000000"/>
                <w:szCs w:val="22"/>
              </w:rPr>
            </w:pPr>
            <w:r w:rsidRPr="007E4DA1">
              <w:rPr>
                <w:color w:val="000000"/>
                <w:szCs w:val="22"/>
              </w:rPr>
              <w:t>Pacjenci, u których</w:t>
            </w:r>
            <w:r w:rsidRPr="007E4DA1">
              <w:rPr>
                <w:rFonts w:ascii="TimesNewRoman" w:hAnsi="TimesNewRoman" w:cs="TimesNewRoman"/>
                <w:color w:val="000000"/>
                <w:szCs w:val="22"/>
              </w:rPr>
              <w:t xml:space="preserve"> </w:t>
            </w:r>
            <w:r w:rsidRPr="007E4DA1">
              <w:rPr>
                <w:color w:val="000000"/>
                <w:szCs w:val="22"/>
              </w:rPr>
              <w:t>liczba płytek krwi w ≥75% oznaczeń mieściła się w zakresie docelowym (50 000 do 400 000/</w:t>
            </w:r>
            <w:r w:rsidRPr="007E4DA1">
              <w:rPr>
                <w:color w:val="000000"/>
                <w:szCs w:val="22"/>
              </w:rPr>
              <w:sym w:font="Symbol" w:char="F06D"/>
            </w:r>
            <w:r w:rsidRPr="007E4DA1">
              <w:rPr>
                <w:color w:val="000000"/>
                <w:szCs w:val="22"/>
              </w:rPr>
              <w:t>l) n (%)</w:t>
            </w:r>
          </w:p>
          <w:p w14:paraId="17DE57FF" w14:textId="77777777" w:rsidR="00A350DA" w:rsidRPr="007E4DA1" w:rsidRDefault="00A350DA" w:rsidP="001A6584">
            <w:pPr>
              <w:keepNext/>
              <w:tabs>
                <w:tab w:val="left" w:pos="142"/>
              </w:tabs>
              <w:ind w:left="0" w:firstLine="0"/>
            </w:pPr>
            <w:r w:rsidRPr="007E4DA1">
              <w:tab/>
              <w:t>Wartość</w:t>
            </w:r>
            <w:r w:rsidRPr="007E4DA1">
              <w:rPr>
                <w:i/>
              </w:rPr>
              <w:t xml:space="preserve"> </w:t>
            </w:r>
            <w:r w:rsidR="00BE1E41" w:rsidRPr="007E4DA1">
              <w:rPr>
                <w:i/>
              </w:rPr>
              <w:t>p</w:t>
            </w:r>
            <w:r w:rsidRPr="007E4DA1">
              <w:rPr>
                <w:bCs/>
                <w:vertAlign w:val="superscript"/>
              </w:rPr>
              <w:t xml:space="preserve"> a</w:t>
            </w:r>
          </w:p>
        </w:tc>
        <w:tc>
          <w:tcPr>
            <w:tcW w:w="788" w:type="pct"/>
            <w:vAlign w:val="center"/>
          </w:tcPr>
          <w:p w14:paraId="47E2A183" w14:textId="77777777" w:rsidR="00A350DA" w:rsidRPr="007E4DA1" w:rsidRDefault="00A350DA" w:rsidP="001A6584">
            <w:pPr>
              <w:keepNext/>
              <w:tabs>
                <w:tab w:val="left" w:pos="142"/>
              </w:tabs>
              <w:ind w:left="0" w:firstLine="0"/>
              <w:jc w:val="center"/>
              <w:rPr>
                <w:color w:val="000000"/>
                <w:szCs w:val="22"/>
              </w:rPr>
            </w:pPr>
            <w:r w:rsidRPr="007E4DA1">
              <w:rPr>
                <w:color w:val="000000"/>
                <w:szCs w:val="22"/>
              </w:rPr>
              <w:t>51 (38)</w:t>
            </w:r>
          </w:p>
        </w:tc>
        <w:tc>
          <w:tcPr>
            <w:tcW w:w="581" w:type="pct"/>
            <w:vAlign w:val="center"/>
          </w:tcPr>
          <w:p w14:paraId="5C5AEA31" w14:textId="77777777" w:rsidR="00A350DA" w:rsidRPr="007E4DA1" w:rsidRDefault="00A350DA" w:rsidP="001A6584">
            <w:pPr>
              <w:keepNext/>
              <w:tabs>
                <w:tab w:val="left" w:pos="142"/>
              </w:tabs>
              <w:ind w:left="0" w:firstLine="0"/>
              <w:jc w:val="center"/>
            </w:pPr>
            <w:r w:rsidRPr="007E4DA1">
              <w:rPr>
                <w:color w:val="000000"/>
                <w:szCs w:val="22"/>
              </w:rPr>
              <w:t>4 (7)</w:t>
            </w:r>
          </w:p>
        </w:tc>
      </w:tr>
      <w:tr w:rsidR="00A350DA" w:rsidRPr="007E4DA1" w14:paraId="49ED8A65" w14:textId="77777777" w:rsidTr="00553AB7">
        <w:trPr>
          <w:cantSplit/>
        </w:trPr>
        <w:tc>
          <w:tcPr>
            <w:tcW w:w="3631" w:type="pct"/>
            <w:vMerge/>
          </w:tcPr>
          <w:p w14:paraId="2A7A3A04" w14:textId="77777777" w:rsidR="00A350DA" w:rsidRPr="007E4DA1" w:rsidRDefault="00A350DA" w:rsidP="001A6584">
            <w:pPr>
              <w:keepNext/>
              <w:tabs>
                <w:tab w:val="left" w:pos="142"/>
              </w:tabs>
              <w:ind w:left="0" w:firstLine="0"/>
              <w:rPr>
                <w:color w:val="000000"/>
              </w:rPr>
            </w:pPr>
          </w:p>
        </w:tc>
        <w:tc>
          <w:tcPr>
            <w:tcW w:w="1369" w:type="pct"/>
            <w:gridSpan w:val="2"/>
            <w:vAlign w:val="center"/>
          </w:tcPr>
          <w:p w14:paraId="2E107F39" w14:textId="77777777" w:rsidR="00A350DA" w:rsidRPr="007E4DA1" w:rsidRDefault="00A350DA" w:rsidP="001A6584">
            <w:pPr>
              <w:keepNext/>
              <w:tabs>
                <w:tab w:val="left" w:pos="142"/>
              </w:tabs>
              <w:ind w:left="0" w:firstLine="0"/>
              <w:jc w:val="center"/>
              <w:rPr>
                <w:color w:val="000000"/>
                <w:szCs w:val="22"/>
              </w:rPr>
            </w:pPr>
            <w:r w:rsidRPr="007E4DA1">
              <w:rPr>
                <w:color w:val="000000"/>
                <w:szCs w:val="22"/>
              </w:rPr>
              <w:t>&lt;0,001</w:t>
            </w:r>
          </w:p>
        </w:tc>
      </w:tr>
      <w:tr w:rsidR="00A350DA" w:rsidRPr="007E4DA1" w14:paraId="6029442A" w14:textId="77777777" w:rsidTr="00553AB7">
        <w:trPr>
          <w:cantSplit/>
        </w:trPr>
        <w:tc>
          <w:tcPr>
            <w:tcW w:w="3631" w:type="pct"/>
            <w:tcBorders>
              <w:bottom w:val="nil"/>
            </w:tcBorders>
          </w:tcPr>
          <w:p w14:paraId="38E3129E" w14:textId="77777777" w:rsidR="00A350DA" w:rsidRPr="007E4DA1" w:rsidRDefault="00A350DA" w:rsidP="001A6584">
            <w:pPr>
              <w:keepNext/>
              <w:tabs>
                <w:tab w:val="left" w:pos="142"/>
              </w:tabs>
              <w:ind w:left="0" w:firstLine="0"/>
            </w:pPr>
            <w:r w:rsidRPr="007E4DA1">
              <w:t>Liczba pacjentów, u których wystąpiło krwawienie (stopnie WHO 1</w:t>
            </w:r>
            <w:r w:rsidR="00F865DC" w:rsidRPr="007E4DA1">
              <w:noBreakHyphen/>
            </w:r>
            <w:r w:rsidRPr="007E4DA1">
              <w:t>4) w dowolnym momencie w czasie 6 miesięcy, n (%)</w:t>
            </w:r>
          </w:p>
        </w:tc>
        <w:tc>
          <w:tcPr>
            <w:tcW w:w="788" w:type="pct"/>
            <w:vAlign w:val="center"/>
          </w:tcPr>
          <w:p w14:paraId="7A4E0DA3" w14:textId="77777777" w:rsidR="00A350DA" w:rsidRPr="007E4DA1" w:rsidRDefault="00A350DA" w:rsidP="001A6584">
            <w:pPr>
              <w:keepNext/>
              <w:tabs>
                <w:tab w:val="left" w:pos="142"/>
              </w:tabs>
              <w:ind w:left="0" w:firstLine="0"/>
              <w:jc w:val="center"/>
            </w:pPr>
            <w:r w:rsidRPr="007E4DA1">
              <w:t>106 (79)</w:t>
            </w:r>
          </w:p>
        </w:tc>
        <w:tc>
          <w:tcPr>
            <w:tcW w:w="581" w:type="pct"/>
            <w:vAlign w:val="center"/>
          </w:tcPr>
          <w:p w14:paraId="1F6E290B" w14:textId="77777777" w:rsidR="00A350DA" w:rsidRPr="007E4DA1" w:rsidRDefault="00A350DA" w:rsidP="001A6584">
            <w:pPr>
              <w:keepNext/>
              <w:tabs>
                <w:tab w:val="left" w:pos="142"/>
              </w:tabs>
              <w:ind w:left="0" w:firstLine="0"/>
              <w:jc w:val="center"/>
            </w:pPr>
            <w:r w:rsidRPr="007E4DA1">
              <w:t>56 (93)</w:t>
            </w:r>
          </w:p>
        </w:tc>
      </w:tr>
      <w:tr w:rsidR="00A350DA" w:rsidRPr="007E4DA1" w14:paraId="142CCB60" w14:textId="77777777" w:rsidTr="00553AB7">
        <w:trPr>
          <w:cantSplit/>
        </w:trPr>
        <w:tc>
          <w:tcPr>
            <w:tcW w:w="3631" w:type="pct"/>
            <w:tcBorders>
              <w:top w:val="nil"/>
              <w:bottom w:val="single" w:sz="4" w:space="0" w:color="auto"/>
            </w:tcBorders>
          </w:tcPr>
          <w:p w14:paraId="2A28EFCD" w14:textId="77777777" w:rsidR="00A350DA" w:rsidRPr="007E4DA1" w:rsidRDefault="00A350DA" w:rsidP="001A6584">
            <w:pPr>
              <w:keepNext/>
              <w:tabs>
                <w:tab w:val="left" w:pos="142"/>
              </w:tabs>
              <w:ind w:left="0" w:firstLine="0"/>
            </w:pPr>
            <w:r w:rsidRPr="007E4DA1">
              <w:tab/>
              <w:t xml:space="preserve">Wartość </w:t>
            </w:r>
            <w:r w:rsidR="00BE1E41" w:rsidRPr="007E4DA1">
              <w:rPr>
                <w:i/>
              </w:rPr>
              <w:t>p</w:t>
            </w:r>
            <w:r w:rsidRPr="007E4DA1">
              <w:rPr>
                <w:bCs/>
                <w:vertAlign w:val="superscript"/>
              </w:rPr>
              <w:t xml:space="preserve"> a</w:t>
            </w:r>
          </w:p>
        </w:tc>
        <w:tc>
          <w:tcPr>
            <w:tcW w:w="1369" w:type="pct"/>
            <w:gridSpan w:val="2"/>
          </w:tcPr>
          <w:p w14:paraId="7F845E91" w14:textId="77777777" w:rsidR="00A350DA" w:rsidRPr="007E4DA1" w:rsidRDefault="00A350DA" w:rsidP="001A6584">
            <w:pPr>
              <w:keepNext/>
              <w:tabs>
                <w:tab w:val="left" w:pos="142"/>
              </w:tabs>
              <w:ind w:left="0" w:firstLine="0"/>
              <w:jc w:val="center"/>
            </w:pPr>
            <w:r w:rsidRPr="007E4DA1">
              <w:t>0,012</w:t>
            </w:r>
          </w:p>
        </w:tc>
      </w:tr>
      <w:tr w:rsidR="00A350DA" w:rsidRPr="007E4DA1" w14:paraId="5DC0FA7C" w14:textId="77777777" w:rsidTr="00553AB7">
        <w:trPr>
          <w:cantSplit/>
        </w:trPr>
        <w:tc>
          <w:tcPr>
            <w:tcW w:w="3631" w:type="pct"/>
            <w:tcBorders>
              <w:bottom w:val="nil"/>
            </w:tcBorders>
          </w:tcPr>
          <w:p w14:paraId="1582EE88" w14:textId="77777777" w:rsidR="00A350DA" w:rsidRPr="007E4DA1" w:rsidRDefault="00A350DA" w:rsidP="001A6584">
            <w:pPr>
              <w:keepNext/>
              <w:tabs>
                <w:tab w:val="left" w:pos="142"/>
              </w:tabs>
              <w:ind w:left="0" w:firstLine="0"/>
            </w:pPr>
            <w:r w:rsidRPr="007E4DA1">
              <w:t>Liczba pacjentów, u których wystąpiło krwawienie (stopnie WHO 2</w:t>
            </w:r>
            <w:r w:rsidR="00F865DC" w:rsidRPr="007E4DA1">
              <w:noBreakHyphen/>
            </w:r>
            <w:r w:rsidRPr="007E4DA1">
              <w:t>4) w dowolnym momencie w czasie 6 miesięcy, n (%)</w:t>
            </w:r>
          </w:p>
        </w:tc>
        <w:tc>
          <w:tcPr>
            <w:tcW w:w="788" w:type="pct"/>
            <w:vAlign w:val="center"/>
          </w:tcPr>
          <w:p w14:paraId="5B0583EA" w14:textId="77777777" w:rsidR="00A350DA" w:rsidRPr="007E4DA1" w:rsidRDefault="00A350DA" w:rsidP="001A6584">
            <w:pPr>
              <w:keepNext/>
              <w:tabs>
                <w:tab w:val="left" w:pos="142"/>
              </w:tabs>
              <w:ind w:left="0" w:firstLine="0"/>
              <w:jc w:val="center"/>
            </w:pPr>
            <w:r w:rsidRPr="007E4DA1">
              <w:t>44 (33)</w:t>
            </w:r>
          </w:p>
        </w:tc>
        <w:tc>
          <w:tcPr>
            <w:tcW w:w="581" w:type="pct"/>
            <w:vAlign w:val="center"/>
          </w:tcPr>
          <w:p w14:paraId="7DA27DCC" w14:textId="77777777" w:rsidR="00A350DA" w:rsidRPr="007E4DA1" w:rsidRDefault="00A350DA" w:rsidP="001A6584">
            <w:pPr>
              <w:keepNext/>
              <w:tabs>
                <w:tab w:val="left" w:pos="142"/>
              </w:tabs>
              <w:ind w:left="0" w:firstLine="0"/>
              <w:jc w:val="center"/>
            </w:pPr>
            <w:r w:rsidRPr="007E4DA1">
              <w:t>32 (53)</w:t>
            </w:r>
          </w:p>
        </w:tc>
      </w:tr>
      <w:tr w:rsidR="00A350DA" w:rsidRPr="007E4DA1" w14:paraId="2DF131EF" w14:textId="77777777" w:rsidTr="00553AB7">
        <w:trPr>
          <w:cantSplit/>
        </w:trPr>
        <w:tc>
          <w:tcPr>
            <w:tcW w:w="3631" w:type="pct"/>
            <w:tcBorders>
              <w:top w:val="nil"/>
            </w:tcBorders>
          </w:tcPr>
          <w:p w14:paraId="4F565F28" w14:textId="77777777" w:rsidR="00A350DA" w:rsidRPr="007E4DA1" w:rsidRDefault="00A350DA" w:rsidP="001A6584">
            <w:pPr>
              <w:keepNext/>
              <w:tabs>
                <w:tab w:val="left" w:pos="142"/>
              </w:tabs>
              <w:ind w:left="0" w:firstLine="0"/>
            </w:pPr>
            <w:r w:rsidRPr="007E4DA1">
              <w:tab/>
              <w:t xml:space="preserve">Wartość </w:t>
            </w:r>
            <w:r w:rsidR="00BE1E41" w:rsidRPr="007E4DA1">
              <w:rPr>
                <w:i/>
              </w:rPr>
              <w:t>p</w:t>
            </w:r>
            <w:r w:rsidRPr="007E4DA1">
              <w:rPr>
                <w:bCs/>
                <w:vertAlign w:val="superscript"/>
              </w:rPr>
              <w:t xml:space="preserve"> a</w:t>
            </w:r>
          </w:p>
        </w:tc>
        <w:tc>
          <w:tcPr>
            <w:tcW w:w="1369" w:type="pct"/>
            <w:gridSpan w:val="2"/>
            <w:vAlign w:val="center"/>
          </w:tcPr>
          <w:p w14:paraId="3F8D61E4" w14:textId="77777777" w:rsidR="00A350DA" w:rsidRPr="007E4DA1" w:rsidRDefault="00A350DA" w:rsidP="001A6584">
            <w:pPr>
              <w:keepNext/>
              <w:tabs>
                <w:tab w:val="left" w:pos="142"/>
              </w:tabs>
              <w:ind w:left="0" w:firstLine="0"/>
              <w:jc w:val="center"/>
            </w:pPr>
            <w:r w:rsidRPr="007E4DA1">
              <w:t>0,002</w:t>
            </w:r>
          </w:p>
        </w:tc>
      </w:tr>
      <w:tr w:rsidR="00A350DA" w:rsidRPr="007E4DA1" w14:paraId="3B4671F6" w14:textId="77777777" w:rsidTr="00553AB7">
        <w:trPr>
          <w:cantSplit/>
        </w:trPr>
        <w:tc>
          <w:tcPr>
            <w:tcW w:w="3631" w:type="pct"/>
            <w:vMerge w:val="restart"/>
          </w:tcPr>
          <w:p w14:paraId="191569F4" w14:textId="77777777" w:rsidR="00A350DA" w:rsidRPr="007E4DA1" w:rsidRDefault="00A350DA" w:rsidP="001A6584">
            <w:pPr>
              <w:keepNext/>
              <w:tabs>
                <w:tab w:val="left" w:pos="142"/>
              </w:tabs>
              <w:ind w:left="0" w:firstLine="0"/>
            </w:pPr>
            <w:r w:rsidRPr="007E4DA1">
              <w:t xml:space="preserve">Liczba pacjentów wymagających </w:t>
            </w:r>
            <w:r w:rsidRPr="007E4DA1">
              <w:rPr>
                <w:bCs/>
                <w:szCs w:val="22"/>
              </w:rPr>
              <w:t>doraźnego leczenia ratunkowego</w:t>
            </w:r>
            <w:r w:rsidRPr="007E4DA1">
              <w:t>, n (%)</w:t>
            </w:r>
          </w:p>
          <w:p w14:paraId="658E7E18" w14:textId="77777777" w:rsidR="00A350DA" w:rsidRPr="007E4DA1" w:rsidRDefault="00A350DA" w:rsidP="001A6584">
            <w:pPr>
              <w:keepNext/>
              <w:tabs>
                <w:tab w:val="left" w:pos="142"/>
              </w:tabs>
              <w:ind w:left="0" w:firstLine="0"/>
            </w:pPr>
            <w:r w:rsidRPr="007E4DA1">
              <w:tab/>
              <w:t xml:space="preserve">Wartość </w:t>
            </w:r>
            <w:r w:rsidR="00BE1E41" w:rsidRPr="007E4DA1">
              <w:rPr>
                <w:i/>
              </w:rPr>
              <w:t>p</w:t>
            </w:r>
            <w:r w:rsidRPr="007E4DA1">
              <w:rPr>
                <w:bCs/>
                <w:vertAlign w:val="superscript"/>
              </w:rPr>
              <w:t xml:space="preserve"> a</w:t>
            </w:r>
          </w:p>
        </w:tc>
        <w:tc>
          <w:tcPr>
            <w:tcW w:w="788" w:type="pct"/>
            <w:vAlign w:val="center"/>
          </w:tcPr>
          <w:p w14:paraId="2688515C" w14:textId="77777777" w:rsidR="00A350DA" w:rsidRPr="007E4DA1" w:rsidRDefault="00A350DA" w:rsidP="001A6584">
            <w:pPr>
              <w:keepNext/>
              <w:tabs>
                <w:tab w:val="left" w:pos="142"/>
              </w:tabs>
              <w:ind w:left="0" w:firstLine="0"/>
              <w:jc w:val="center"/>
            </w:pPr>
            <w:r w:rsidRPr="007E4DA1">
              <w:t>24 (18)</w:t>
            </w:r>
          </w:p>
        </w:tc>
        <w:tc>
          <w:tcPr>
            <w:tcW w:w="581" w:type="pct"/>
            <w:vAlign w:val="center"/>
          </w:tcPr>
          <w:p w14:paraId="56A60CD0" w14:textId="77777777" w:rsidR="00A350DA" w:rsidRPr="007E4DA1" w:rsidRDefault="00A350DA" w:rsidP="001A6584">
            <w:pPr>
              <w:keepNext/>
              <w:tabs>
                <w:tab w:val="left" w:pos="142"/>
              </w:tabs>
              <w:ind w:left="0" w:firstLine="0"/>
              <w:jc w:val="center"/>
            </w:pPr>
            <w:r w:rsidRPr="007E4DA1">
              <w:t>25 (40)</w:t>
            </w:r>
          </w:p>
        </w:tc>
      </w:tr>
      <w:tr w:rsidR="00A350DA" w:rsidRPr="007E4DA1" w14:paraId="6F6BD76C" w14:textId="77777777" w:rsidTr="00553AB7">
        <w:trPr>
          <w:cantSplit/>
        </w:trPr>
        <w:tc>
          <w:tcPr>
            <w:tcW w:w="3631" w:type="pct"/>
            <w:vMerge/>
          </w:tcPr>
          <w:p w14:paraId="188EC183" w14:textId="77777777" w:rsidR="00A350DA" w:rsidRPr="007E4DA1" w:rsidRDefault="00A350DA" w:rsidP="001A6584">
            <w:pPr>
              <w:keepNext/>
              <w:tabs>
                <w:tab w:val="left" w:pos="142"/>
              </w:tabs>
              <w:ind w:left="0" w:firstLine="0"/>
            </w:pPr>
          </w:p>
        </w:tc>
        <w:tc>
          <w:tcPr>
            <w:tcW w:w="1369" w:type="pct"/>
            <w:gridSpan w:val="2"/>
            <w:vAlign w:val="center"/>
          </w:tcPr>
          <w:p w14:paraId="37A27B95" w14:textId="77777777" w:rsidR="00A350DA" w:rsidRPr="007E4DA1" w:rsidRDefault="00A350DA" w:rsidP="001A6584">
            <w:pPr>
              <w:keepNext/>
              <w:tabs>
                <w:tab w:val="left" w:pos="142"/>
              </w:tabs>
              <w:ind w:left="0" w:firstLine="0"/>
              <w:jc w:val="center"/>
            </w:pPr>
            <w:r w:rsidRPr="007E4DA1">
              <w:t>0,001</w:t>
            </w:r>
          </w:p>
        </w:tc>
      </w:tr>
      <w:tr w:rsidR="00A350DA" w:rsidRPr="007E4DA1" w14:paraId="6DCD3BDC" w14:textId="77777777" w:rsidTr="00553AB7">
        <w:trPr>
          <w:cantSplit/>
        </w:trPr>
        <w:tc>
          <w:tcPr>
            <w:tcW w:w="3631" w:type="pct"/>
          </w:tcPr>
          <w:p w14:paraId="17343157" w14:textId="77777777" w:rsidR="00A350DA" w:rsidRPr="007E4DA1" w:rsidRDefault="00A350DA" w:rsidP="001A6584">
            <w:pPr>
              <w:keepNext/>
              <w:tabs>
                <w:tab w:val="left" w:pos="142"/>
              </w:tabs>
              <w:ind w:left="0" w:firstLine="0"/>
            </w:pPr>
            <w:r w:rsidRPr="007E4DA1">
              <w:t>Liczba pacjentów przyjmujących leczenie pierwotnej małopłytkowości immunologicznej w momencie rozpoczęcia badania (n)</w:t>
            </w:r>
          </w:p>
        </w:tc>
        <w:tc>
          <w:tcPr>
            <w:tcW w:w="788" w:type="pct"/>
            <w:vAlign w:val="center"/>
          </w:tcPr>
          <w:p w14:paraId="485587AF" w14:textId="77777777" w:rsidR="00A350DA" w:rsidRPr="007E4DA1" w:rsidRDefault="00A350DA" w:rsidP="001A6584">
            <w:pPr>
              <w:keepNext/>
              <w:tabs>
                <w:tab w:val="left" w:pos="142"/>
              </w:tabs>
              <w:ind w:left="0" w:firstLine="0"/>
              <w:jc w:val="center"/>
            </w:pPr>
            <w:r w:rsidRPr="007E4DA1">
              <w:t>63</w:t>
            </w:r>
          </w:p>
        </w:tc>
        <w:tc>
          <w:tcPr>
            <w:tcW w:w="581" w:type="pct"/>
            <w:vAlign w:val="center"/>
          </w:tcPr>
          <w:p w14:paraId="14431D71" w14:textId="77777777" w:rsidR="00A350DA" w:rsidRPr="007E4DA1" w:rsidRDefault="00A350DA" w:rsidP="001A6584">
            <w:pPr>
              <w:keepNext/>
              <w:tabs>
                <w:tab w:val="left" w:pos="142"/>
              </w:tabs>
              <w:ind w:left="0" w:firstLine="0"/>
              <w:jc w:val="center"/>
            </w:pPr>
            <w:r w:rsidRPr="007E4DA1">
              <w:t>31</w:t>
            </w:r>
          </w:p>
        </w:tc>
      </w:tr>
      <w:tr w:rsidR="00A350DA" w:rsidRPr="007E4DA1" w14:paraId="2261C87B" w14:textId="77777777" w:rsidTr="00553AB7">
        <w:trPr>
          <w:cantSplit/>
        </w:trPr>
        <w:tc>
          <w:tcPr>
            <w:tcW w:w="3631" w:type="pct"/>
            <w:vMerge w:val="restart"/>
          </w:tcPr>
          <w:p w14:paraId="757E4F85" w14:textId="77777777" w:rsidR="00A350DA" w:rsidRPr="007E4DA1" w:rsidRDefault="00A350DA" w:rsidP="001A6584">
            <w:pPr>
              <w:keepNext/>
              <w:tabs>
                <w:tab w:val="left" w:pos="142"/>
              </w:tabs>
              <w:ind w:left="0" w:firstLine="0"/>
              <w:rPr>
                <w:lang w:eastAsia="en-GB"/>
              </w:rPr>
            </w:pPr>
            <w:r w:rsidRPr="007E4DA1">
              <w:rPr>
                <w:lang w:eastAsia="en-GB"/>
              </w:rPr>
              <w:t>Liczba pacjentów, u których próbowano zmniejszyć/przerwać terapię otrzymywaną w momencie rozpoczęcia badania, n (%)</w:t>
            </w:r>
            <w:r w:rsidRPr="007E4DA1">
              <w:rPr>
                <w:vertAlign w:val="superscript"/>
                <w:lang w:eastAsia="en-GB"/>
              </w:rPr>
              <w:t>b</w:t>
            </w:r>
          </w:p>
          <w:p w14:paraId="09BD910A" w14:textId="77777777" w:rsidR="00A350DA" w:rsidRPr="007E4DA1" w:rsidRDefault="00A350DA" w:rsidP="001A6584">
            <w:pPr>
              <w:keepNext/>
              <w:tabs>
                <w:tab w:val="left" w:pos="142"/>
              </w:tabs>
              <w:ind w:left="0" w:firstLine="0"/>
              <w:rPr>
                <w:lang w:eastAsia="en-GB"/>
              </w:rPr>
            </w:pPr>
            <w:r w:rsidRPr="007E4DA1">
              <w:rPr>
                <w:lang w:eastAsia="en-GB"/>
              </w:rPr>
              <w:tab/>
              <w:t xml:space="preserve">Wartość </w:t>
            </w:r>
            <w:r w:rsidR="00BE1E41" w:rsidRPr="007E4DA1">
              <w:rPr>
                <w:i/>
                <w:lang w:eastAsia="en-GB"/>
              </w:rPr>
              <w:t>p</w:t>
            </w:r>
            <w:r w:rsidRPr="007E4DA1">
              <w:rPr>
                <w:rFonts w:ascii="Arial Narrow" w:hAnsi="Arial Narrow"/>
                <w:bCs/>
                <w:sz w:val="24"/>
                <w:vertAlign w:val="superscript"/>
                <w:lang w:eastAsia="en-GB"/>
              </w:rPr>
              <w:t>a</w:t>
            </w:r>
          </w:p>
        </w:tc>
        <w:tc>
          <w:tcPr>
            <w:tcW w:w="788" w:type="pct"/>
            <w:vAlign w:val="center"/>
          </w:tcPr>
          <w:p w14:paraId="4871D984" w14:textId="77777777" w:rsidR="00A350DA" w:rsidRPr="007E4DA1" w:rsidRDefault="00A350DA" w:rsidP="001A6584">
            <w:pPr>
              <w:keepNext/>
              <w:tabs>
                <w:tab w:val="left" w:pos="142"/>
              </w:tabs>
              <w:ind w:left="0" w:firstLine="0"/>
              <w:jc w:val="center"/>
              <w:rPr>
                <w:lang w:eastAsia="en-GB"/>
              </w:rPr>
            </w:pPr>
            <w:r w:rsidRPr="007E4DA1">
              <w:rPr>
                <w:lang w:eastAsia="en-GB"/>
              </w:rPr>
              <w:t>37 (59)</w:t>
            </w:r>
          </w:p>
        </w:tc>
        <w:tc>
          <w:tcPr>
            <w:tcW w:w="581" w:type="pct"/>
            <w:vAlign w:val="center"/>
          </w:tcPr>
          <w:p w14:paraId="52B26F39" w14:textId="77777777" w:rsidR="00A350DA" w:rsidRPr="007E4DA1" w:rsidRDefault="00A350DA" w:rsidP="001A6584">
            <w:pPr>
              <w:keepNext/>
              <w:tabs>
                <w:tab w:val="left" w:pos="142"/>
              </w:tabs>
              <w:ind w:left="0" w:firstLine="0"/>
              <w:jc w:val="center"/>
              <w:rPr>
                <w:lang w:eastAsia="en-GB"/>
              </w:rPr>
            </w:pPr>
            <w:r w:rsidRPr="007E4DA1">
              <w:rPr>
                <w:lang w:eastAsia="en-GB"/>
              </w:rPr>
              <w:t>10 (32)</w:t>
            </w:r>
          </w:p>
        </w:tc>
      </w:tr>
      <w:tr w:rsidR="00A350DA" w:rsidRPr="007E4DA1" w14:paraId="1B3DFF2A" w14:textId="77777777" w:rsidTr="00553AB7">
        <w:trPr>
          <w:cantSplit/>
        </w:trPr>
        <w:tc>
          <w:tcPr>
            <w:tcW w:w="3631" w:type="pct"/>
            <w:vMerge/>
          </w:tcPr>
          <w:p w14:paraId="1C54EA4E" w14:textId="77777777" w:rsidR="00A350DA" w:rsidRPr="007E4DA1" w:rsidRDefault="00A350DA" w:rsidP="001A6584">
            <w:pPr>
              <w:keepNext/>
              <w:tabs>
                <w:tab w:val="left" w:pos="142"/>
              </w:tabs>
              <w:ind w:left="0" w:firstLine="0"/>
            </w:pPr>
          </w:p>
        </w:tc>
        <w:tc>
          <w:tcPr>
            <w:tcW w:w="1369" w:type="pct"/>
            <w:gridSpan w:val="2"/>
            <w:vAlign w:val="center"/>
          </w:tcPr>
          <w:p w14:paraId="00AD8117" w14:textId="77777777" w:rsidR="00A350DA" w:rsidRPr="007E4DA1" w:rsidRDefault="00A350DA" w:rsidP="001A6584">
            <w:pPr>
              <w:keepNext/>
              <w:tabs>
                <w:tab w:val="left" w:pos="142"/>
              </w:tabs>
              <w:ind w:left="0" w:firstLine="0"/>
              <w:jc w:val="center"/>
            </w:pPr>
            <w:r w:rsidRPr="007E4DA1">
              <w:t>0,016</w:t>
            </w:r>
          </w:p>
        </w:tc>
      </w:tr>
      <w:tr w:rsidR="00E21164" w:rsidRPr="007E4DA1" w14:paraId="6A7C425A" w14:textId="77777777" w:rsidTr="00553AB7">
        <w:trPr>
          <w:cantSplit/>
        </w:trPr>
        <w:tc>
          <w:tcPr>
            <w:tcW w:w="5000" w:type="pct"/>
            <w:gridSpan w:val="3"/>
          </w:tcPr>
          <w:p w14:paraId="627FD3CD" w14:textId="4636B76D" w:rsidR="00E21164" w:rsidRPr="00553AB7" w:rsidRDefault="00E21164" w:rsidP="001A6584">
            <w:pPr>
              <w:keepNext/>
              <w:rPr>
                <w:sz w:val="20"/>
                <w:szCs w:val="20"/>
              </w:rPr>
            </w:pPr>
            <w:r w:rsidRPr="00553AB7">
              <w:rPr>
                <w:sz w:val="20"/>
                <w:szCs w:val="20"/>
                <w:vertAlign w:val="superscript"/>
              </w:rPr>
              <w:t>a</w:t>
            </w:r>
            <w:r w:rsidRPr="00553AB7">
              <w:rPr>
                <w:sz w:val="20"/>
                <w:szCs w:val="20"/>
              </w:rPr>
              <w:tab/>
              <w:t>Model regresji logistycznej skorygowany dla zmiennych stratyfikacji randomizacji</w:t>
            </w:r>
            <w:r w:rsidR="001260F0">
              <w:rPr>
                <w:sz w:val="20"/>
                <w:szCs w:val="20"/>
              </w:rPr>
              <w:t>.</w:t>
            </w:r>
          </w:p>
          <w:p w14:paraId="2F4AFA97" w14:textId="2BB094B1" w:rsidR="00E21164" w:rsidRPr="00553AB7" w:rsidRDefault="00E21164" w:rsidP="00553AB7">
            <w:pPr>
              <w:tabs>
                <w:tab w:val="left" w:pos="-3828"/>
              </w:tabs>
              <w:rPr>
                <w:sz w:val="20"/>
                <w:szCs w:val="20"/>
              </w:rPr>
            </w:pPr>
            <w:r w:rsidRPr="00553AB7">
              <w:rPr>
                <w:sz w:val="20"/>
                <w:szCs w:val="20"/>
                <w:vertAlign w:val="superscript"/>
              </w:rPr>
              <w:t>b</w:t>
            </w:r>
            <w:r w:rsidRPr="00553AB7">
              <w:rPr>
                <w:sz w:val="20"/>
                <w:szCs w:val="20"/>
              </w:rPr>
              <w:tab/>
              <w:t>U 21 z 63 (33%) pacjentów leczonych eltrombopagiem, otrzymujących w momencie rozpoczęcia badania inne leczenie pierwotnej małopłytkowości immunologicznej, udało się całkowicie odstawić wszystkie inne produkty lecznicze stosowane w pierwotnej małopłytkowości immunologicznej.</w:t>
            </w:r>
          </w:p>
        </w:tc>
      </w:tr>
    </w:tbl>
    <w:p w14:paraId="024693FA" w14:textId="77777777" w:rsidR="00A350DA" w:rsidRPr="007E4DA1" w:rsidRDefault="00A350DA" w:rsidP="001A6584">
      <w:pPr>
        <w:tabs>
          <w:tab w:val="left" w:pos="142"/>
        </w:tabs>
        <w:ind w:left="0" w:firstLine="0"/>
        <w:rPr>
          <w:szCs w:val="22"/>
        </w:rPr>
      </w:pPr>
    </w:p>
    <w:p w14:paraId="68A796BA" w14:textId="77777777" w:rsidR="00A350DA" w:rsidRPr="007E4DA1" w:rsidRDefault="00A350DA" w:rsidP="001A6584">
      <w:pPr>
        <w:tabs>
          <w:tab w:val="left" w:pos="142"/>
        </w:tabs>
        <w:ind w:left="0" w:firstLine="0"/>
        <w:rPr>
          <w:bCs/>
          <w:color w:val="000000"/>
        </w:rPr>
      </w:pPr>
      <w:r w:rsidRPr="007E4DA1">
        <w:t>W momencie rozpoczęcia badania ponad 70% pacjentów z pierwotną małopłytkowością immunologiczną w każdej grupie leczniczej zgłaszało jakiekolwiek krwawienie (stopnie WHO 1</w:t>
      </w:r>
      <w:r w:rsidR="00535EDC" w:rsidRPr="007E4DA1">
        <w:noBreakHyphen/>
      </w:r>
      <w:r w:rsidRPr="007E4DA1">
        <w:t>4), a ponad 20% pacjentów zgłaszało znamienne klinicznie krwawienie (stopnie WHO 2</w:t>
      </w:r>
      <w:r w:rsidR="00535EDC" w:rsidRPr="007E4DA1">
        <w:noBreakHyphen/>
      </w:r>
      <w:r w:rsidRPr="007E4DA1">
        <w:t>4). Odsetek pacjentów leczonych eltrombopagiem, u których wystąpiło jakiekolwiek krwawienie (stopnie</w:t>
      </w:r>
      <w:r w:rsidR="00CF1D0C" w:rsidRPr="007E4DA1">
        <w:t> </w:t>
      </w:r>
      <w:r w:rsidRPr="007E4DA1">
        <w:t>1</w:t>
      </w:r>
      <w:r w:rsidR="00535EDC" w:rsidRPr="007E4DA1">
        <w:noBreakHyphen/>
      </w:r>
      <w:r w:rsidRPr="007E4DA1">
        <w:t>4) oraz krwawienie znamienne klinicznie (stopnie</w:t>
      </w:r>
      <w:r w:rsidR="00CF1D0C" w:rsidRPr="007E4DA1">
        <w:t> </w:t>
      </w:r>
      <w:r w:rsidRPr="007E4DA1">
        <w:t>2</w:t>
      </w:r>
      <w:r w:rsidR="00535EDC" w:rsidRPr="007E4DA1">
        <w:noBreakHyphen/>
      </w:r>
      <w:r w:rsidRPr="007E4DA1">
        <w:t>4) zmniejszył się o około 50% od dnia 15. do końca 6-miesięcznego okresu leczenia.</w:t>
      </w:r>
    </w:p>
    <w:p w14:paraId="004E48E9" w14:textId="77777777" w:rsidR="00A350DA" w:rsidRPr="007E4DA1" w:rsidRDefault="00A350DA" w:rsidP="001A6584">
      <w:pPr>
        <w:tabs>
          <w:tab w:val="left" w:pos="142"/>
        </w:tabs>
        <w:ind w:left="0" w:firstLine="0"/>
        <w:rPr>
          <w:szCs w:val="22"/>
        </w:rPr>
      </w:pPr>
    </w:p>
    <w:p w14:paraId="3D01E0FA" w14:textId="6AA93221" w:rsidR="00D26BF8" w:rsidRPr="007E4DA1" w:rsidRDefault="00A350DA" w:rsidP="001A6584">
      <w:pPr>
        <w:keepNext/>
        <w:keepLines/>
        <w:tabs>
          <w:tab w:val="left" w:pos="142"/>
        </w:tabs>
        <w:ind w:left="0" w:firstLine="0"/>
        <w:rPr>
          <w:szCs w:val="22"/>
        </w:rPr>
      </w:pPr>
      <w:r w:rsidRPr="007E4DA1">
        <w:rPr>
          <w:szCs w:val="22"/>
        </w:rPr>
        <w:t xml:space="preserve">Badanie </w:t>
      </w:r>
      <w:smartTag w:uri="urn:schemas-microsoft-com:office:smarttags" w:element="stockticker">
        <w:r w:rsidRPr="007E4DA1">
          <w:rPr>
            <w:szCs w:val="22"/>
          </w:rPr>
          <w:t>TRA</w:t>
        </w:r>
      </w:smartTag>
      <w:r w:rsidRPr="007E4DA1">
        <w:rPr>
          <w:szCs w:val="22"/>
        </w:rPr>
        <w:t>100773B</w:t>
      </w:r>
      <w:r w:rsidR="00D26BF8" w:rsidRPr="007E4DA1">
        <w:rPr>
          <w:szCs w:val="22"/>
        </w:rPr>
        <w:t>:</w:t>
      </w:r>
    </w:p>
    <w:p w14:paraId="564FD195" w14:textId="18348794" w:rsidR="00A350DA" w:rsidRPr="007E4DA1" w:rsidRDefault="00A350DA" w:rsidP="001A6584">
      <w:pPr>
        <w:tabs>
          <w:tab w:val="left" w:pos="142"/>
        </w:tabs>
        <w:ind w:left="0" w:firstLine="0"/>
      </w:pPr>
      <w:r w:rsidRPr="007E4DA1">
        <w:t>Pierwszorzędowym punktem końcowym był odsetek pacjentów z pierwotną małopłytkowością immunologiczną, u których uzyskano odpowiedź na leczenie zdefiniowaną jako zwiększenie liczby płytek krwi od wartości początkowej &lt;30 000/</w:t>
      </w:r>
      <w:r w:rsidRPr="007E4DA1">
        <w:sym w:font="Symbol" w:char="F06D"/>
      </w:r>
      <w:r w:rsidRPr="007E4DA1">
        <w:t xml:space="preserve">l do wartości </w:t>
      </w:r>
      <w:r w:rsidRPr="007E4DA1">
        <w:sym w:font="Symbol" w:char="F0B3"/>
      </w:r>
      <w:r w:rsidRPr="007E4DA1">
        <w:t>50 000/</w:t>
      </w:r>
      <w:r w:rsidRPr="007E4DA1">
        <w:sym w:font="Symbol" w:char="F06D"/>
      </w:r>
      <w:r w:rsidRPr="007E4DA1">
        <w:t>l w dniu</w:t>
      </w:r>
      <w:r w:rsidR="00535EDC" w:rsidRPr="007E4DA1">
        <w:t> </w:t>
      </w:r>
      <w:r w:rsidRPr="007E4DA1">
        <w:t xml:space="preserve">43.; pacjentów, których wycofano z badania z powodu osiągnięcia liczby płytek krwi </w:t>
      </w:r>
      <w:r w:rsidRPr="007E4DA1">
        <w:sym w:font="Symbol" w:char="F03E"/>
      </w:r>
      <w:r w:rsidRPr="007E4DA1">
        <w:t>200 000/</w:t>
      </w:r>
      <w:r w:rsidRPr="007E4DA1">
        <w:sym w:font="Symbol" w:char="F06D"/>
      </w:r>
      <w:r w:rsidRPr="007E4DA1">
        <w:t xml:space="preserve">l uznano za odpowiadających na leczenie; pacjentów, których wycofano z badania z jakiegokolwiek innego powodu uznano za nieodpowiadających na leczenie, niezależnie od liczby płytek krwi. </w:t>
      </w:r>
      <w:r w:rsidRPr="007E4DA1">
        <w:rPr>
          <w:bCs/>
        </w:rPr>
        <w:t xml:space="preserve">W sumie </w:t>
      </w:r>
      <w:r w:rsidRPr="007E4DA1">
        <w:t>114</w:t>
      </w:r>
      <w:r w:rsidR="00535EDC" w:rsidRPr="007E4DA1">
        <w:t> </w:t>
      </w:r>
      <w:r w:rsidRPr="007E4DA1">
        <w:t xml:space="preserve">pacjentów z wcześniej leczoną </w:t>
      </w:r>
      <w:r w:rsidRPr="007E4DA1">
        <w:rPr>
          <w:szCs w:val="22"/>
        </w:rPr>
        <w:t>pierwotną małopłytkowością immunologiczną</w:t>
      </w:r>
      <w:r w:rsidRPr="007E4DA1" w:rsidDel="007C2944">
        <w:t xml:space="preserve"> </w:t>
      </w:r>
      <w:r w:rsidRPr="007E4DA1">
        <w:t>randomizowano w stosunku 2:1 do grup eltrombopagu (n=76) i placebo (n=38)</w:t>
      </w:r>
      <w:r w:rsidR="00E21164">
        <w:t xml:space="preserve"> (</w:t>
      </w:r>
      <w:r w:rsidR="00E52F84">
        <w:t>t</w:t>
      </w:r>
      <w:r w:rsidR="00E21164">
        <w:t>abela 8)</w:t>
      </w:r>
      <w:r w:rsidRPr="007E4DA1">
        <w:t>.</w:t>
      </w:r>
    </w:p>
    <w:p w14:paraId="4F283126" w14:textId="77777777" w:rsidR="00A350DA" w:rsidRPr="007E4DA1" w:rsidRDefault="00A350DA" w:rsidP="001A6584">
      <w:pPr>
        <w:tabs>
          <w:tab w:val="left" w:pos="142"/>
        </w:tabs>
        <w:ind w:left="0" w:firstLine="0"/>
        <w:rPr>
          <w:szCs w:val="22"/>
        </w:rPr>
      </w:pPr>
    </w:p>
    <w:p w14:paraId="7799D30A" w14:textId="507A9603" w:rsidR="00041A08" w:rsidRPr="00041A08" w:rsidRDefault="00A350DA" w:rsidP="001A6584">
      <w:pPr>
        <w:keepNext/>
        <w:tabs>
          <w:tab w:val="left" w:pos="142"/>
        </w:tabs>
        <w:ind w:left="0" w:firstLine="0"/>
      </w:pPr>
      <w:r w:rsidRPr="007E4DA1">
        <w:rPr>
          <w:b/>
        </w:rPr>
        <w:t>Tabela </w:t>
      </w:r>
      <w:r w:rsidR="00E21164">
        <w:rPr>
          <w:b/>
        </w:rPr>
        <w:t>8</w:t>
      </w:r>
      <w:r w:rsidR="00E8216D" w:rsidRPr="007E4DA1">
        <w:rPr>
          <w:b/>
        </w:rPr>
        <w:tab/>
      </w:r>
      <w:r w:rsidRPr="007E4DA1">
        <w:rPr>
          <w:b/>
        </w:rPr>
        <w:t xml:space="preserve">Wyniki skuteczności z badania </w:t>
      </w:r>
      <w:smartTag w:uri="urn:schemas-microsoft-com:office:smarttags" w:element="stockticker">
        <w:r w:rsidRPr="007E4DA1">
          <w:rPr>
            <w:b/>
          </w:rPr>
          <w:t>TRA</w:t>
        </w:r>
      </w:smartTag>
      <w:r w:rsidRPr="007E4DA1">
        <w:rPr>
          <w:b/>
        </w:rPr>
        <w:t>100773B</w:t>
      </w:r>
    </w:p>
    <w:p w14:paraId="12D52867" w14:textId="423EA056" w:rsidR="00A350DA" w:rsidRPr="007E4DA1" w:rsidRDefault="00A350DA" w:rsidP="001A6584">
      <w:pPr>
        <w:keepNext/>
        <w:tabs>
          <w:tab w:val="left" w:pos="142"/>
        </w:tabs>
        <w:ind w:left="0" w:firstLine="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76"/>
        <w:gridCol w:w="1582"/>
        <w:gridCol w:w="1402"/>
      </w:tblGrid>
      <w:tr w:rsidR="00A350DA" w:rsidRPr="007E4DA1" w14:paraId="6C685FC9" w14:textId="77777777" w:rsidTr="00E21164">
        <w:tc>
          <w:tcPr>
            <w:tcW w:w="3353" w:type="pct"/>
            <w:vAlign w:val="bottom"/>
          </w:tcPr>
          <w:p w14:paraId="167BA979" w14:textId="77777777" w:rsidR="00A350DA" w:rsidRPr="007E4DA1" w:rsidRDefault="00A350DA" w:rsidP="001A6584">
            <w:pPr>
              <w:keepNext/>
              <w:tabs>
                <w:tab w:val="left" w:pos="142"/>
              </w:tabs>
              <w:ind w:left="0" w:firstLine="0"/>
            </w:pPr>
          </w:p>
        </w:tc>
        <w:tc>
          <w:tcPr>
            <w:tcW w:w="873" w:type="pct"/>
          </w:tcPr>
          <w:p w14:paraId="21214753" w14:textId="77777777" w:rsidR="00A350DA" w:rsidRPr="007E4DA1" w:rsidRDefault="00A350DA" w:rsidP="001A6584">
            <w:pPr>
              <w:keepNext/>
              <w:tabs>
                <w:tab w:val="left" w:pos="142"/>
              </w:tabs>
              <w:ind w:left="0" w:firstLine="0"/>
              <w:jc w:val="center"/>
            </w:pPr>
            <w:r w:rsidRPr="007E4DA1">
              <w:t>Eltrombopag</w:t>
            </w:r>
          </w:p>
          <w:p w14:paraId="14B9EFC1" w14:textId="09D9BE6B" w:rsidR="00A350DA" w:rsidRPr="007E4DA1" w:rsidRDefault="00A350DA" w:rsidP="001A6584">
            <w:pPr>
              <w:keepNext/>
              <w:tabs>
                <w:tab w:val="left" w:pos="142"/>
              </w:tabs>
              <w:ind w:left="0" w:firstLine="0"/>
              <w:jc w:val="center"/>
            </w:pPr>
            <w:r w:rsidRPr="007E4DA1">
              <w:t>N=7</w:t>
            </w:r>
            <w:r w:rsidR="00E21164">
              <w:t>6</w:t>
            </w:r>
          </w:p>
        </w:tc>
        <w:tc>
          <w:tcPr>
            <w:tcW w:w="774" w:type="pct"/>
            <w:vAlign w:val="bottom"/>
          </w:tcPr>
          <w:p w14:paraId="3C2F8639" w14:textId="77777777" w:rsidR="00A350DA" w:rsidRPr="007E4DA1" w:rsidRDefault="00A350DA" w:rsidP="001A6584">
            <w:pPr>
              <w:keepNext/>
              <w:tabs>
                <w:tab w:val="left" w:pos="142"/>
              </w:tabs>
              <w:ind w:left="0" w:firstLine="0"/>
              <w:jc w:val="center"/>
            </w:pPr>
            <w:r w:rsidRPr="007E4DA1">
              <w:t>Placebo</w:t>
            </w:r>
          </w:p>
          <w:p w14:paraId="063CFAA6" w14:textId="77777777" w:rsidR="00A350DA" w:rsidRPr="007E4DA1" w:rsidRDefault="00A350DA" w:rsidP="001A6584">
            <w:pPr>
              <w:keepNext/>
              <w:tabs>
                <w:tab w:val="left" w:pos="142"/>
              </w:tabs>
              <w:ind w:left="0" w:firstLine="0"/>
              <w:jc w:val="center"/>
            </w:pPr>
            <w:r w:rsidRPr="007E4DA1">
              <w:t>N=38</w:t>
            </w:r>
          </w:p>
        </w:tc>
      </w:tr>
      <w:tr w:rsidR="00A350DA" w:rsidRPr="007E4DA1" w14:paraId="692807CD" w14:textId="77777777" w:rsidTr="00CB1E5B">
        <w:tc>
          <w:tcPr>
            <w:tcW w:w="5000" w:type="pct"/>
            <w:gridSpan w:val="3"/>
          </w:tcPr>
          <w:p w14:paraId="7B2F85AC" w14:textId="77777777" w:rsidR="00A350DA" w:rsidRPr="007E4DA1" w:rsidRDefault="00A350DA" w:rsidP="001A6584">
            <w:pPr>
              <w:keepNext/>
              <w:tabs>
                <w:tab w:val="left" w:pos="142"/>
              </w:tabs>
              <w:ind w:left="0" w:firstLine="0"/>
            </w:pPr>
            <w:r w:rsidRPr="007E4DA1">
              <w:t>Najważniejsze pierwszorzędowe punkty końcowe</w:t>
            </w:r>
          </w:p>
        </w:tc>
      </w:tr>
      <w:tr w:rsidR="00A350DA" w:rsidRPr="007E4DA1" w14:paraId="6FB16B5C" w14:textId="77777777" w:rsidTr="00E21164">
        <w:tc>
          <w:tcPr>
            <w:tcW w:w="3353" w:type="pct"/>
          </w:tcPr>
          <w:p w14:paraId="3FC0281A" w14:textId="77777777" w:rsidR="00A350DA" w:rsidRPr="007E4DA1" w:rsidRDefault="00A350DA" w:rsidP="001A6584">
            <w:pPr>
              <w:keepNext/>
              <w:tabs>
                <w:tab w:val="left" w:pos="142"/>
              </w:tabs>
              <w:ind w:left="0" w:firstLine="0"/>
            </w:pPr>
            <w:r w:rsidRPr="007E4DA1">
              <w:t>Poddani analizie skuteczności, n</w:t>
            </w:r>
          </w:p>
        </w:tc>
        <w:tc>
          <w:tcPr>
            <w:tcW w:w="873" w:type="pct"/>
            <w:vAlign w:val="center"/>
          </w:tcPr>
          <w:p w14:paraId="49CF451C" w14:textId="77777777" w:rsidR="00A350DA" w:rsidRPr="007E4DA1" w:rsidRDefault="00A350DA" w:rsidP="001A6584">
            <w:pPr>
              <w:keepNext/>
              <w:tabs>
                <w:tab w:val="left" w:pos="142"/>
              </w:tabs>
              <w:ind w:left="0" w:firstLine="0"/>
              <w:jc w:val="center"/>
            </w:pPr>
            <w:r w:rsidRPr="007E4DA1">
              <w:t>73</w:t>
            </w:r>
          </w:p>
        </w:tc>
        <w:tc>
          <w:tcPr>
            <w:tcW w:w="774" w:type="pct"/>
            <w:vAlign w:val="center"/>
          </w:tcPr>
          <w:p w14:paraId="2F9B30F1" w14:textId="77777777" w:rsidR="00A350DA" w:rsidRPr="007E4DA1" w:rsidRDefault="00A350DA" w:rsidP="001A6584">
            <w:pPr>
              <w:keepNext/>
              <w:tabs>
                <w:tab w:val="left" w:pos="142"/>
              </w:tabs>
              <w:ind w:left="0" w:firstLine="0"/>
              <w:jc w:val="center"/>
            </w:pPr>
            <w:r w:rsidRPr="007E4DA1">
              <w:t>37</w:t>
            </w:r>
          </w:p>
        </w:tc>
      </w:tr>
      <w:tr w:rsidR="00A350DA" w:rsidRPr="007E4DA1" w14:paraId="36FC0692" w14:textId="77777777" w:rsidTr="00E21164">
        <w:trPr>
          <w:trHeight w:val="739"/>
        </w:trPr>
        <w:tc>
          <w:tcPr>
            <w:tcW w:w="3353" w:type="pct"/>
            <w:vMerge w:val="restart"/>
          </w:tcPr>
          <w:p w14:paraId="04709226" w14:textId="77777777" w:rsidR="00A350DA" w:rsidRDefault="00A350DA" w:rsidP="001A6584">
            <w:pPr>
              <w:keepNext/>
              <w:tabs>
                <w:tab w:val="left" w:pos="142"/>
              </w:tabs>
              <w:ind w:left="0" w:firstLine="0"/>
            </w:pPr>
            <w:r w:rsidRPr="007E4DA1">
              <w:t xml:space="preserve">Pacjenci z liczbą płytek krwi </w:t>
            </w:r>
            <w:r w:rsidRPr="007E4DA1">
              <w:sym w:font="Symbol" w:char="F0B3"/>
            </w:r>
            <w:r w:rsidRPr="007E4DA1">
              <w:t>50 000/</w:t>
            </w:r>
            <w:r w:rsidRPr="007E4DA1">
              <w:sym w:font="Symbol" w:char="F06D"/>
            </w:r>
            <w:r w:rsidRPr="007E4DA1">
              <w:t>l po maksymalnie 42 dniach dawkowania (w porównaniu z wartością początkową &lt;30 000/</w:t>
            </w:r>
            <w:r w:rsidRPr="007E4DA1">
              <w:sym w:font="Symbol" w:char="F06D"/>
            </w:r>
            <w:r w:rsidRPr="007E4DA1">
              <w:t>l), n (%)</w:t>
            </w:r>
          </w:p>
          <w:p w14:paraId="2D88657F" w14:textId="77777777" w:rsidR="00553AB7" w:rsidRPr="007E4DA1" w:rsidRDefault="00553AB7" w:rsidP="001A6584">
            <w:pPr>
              <w:keepNext/>
              <w:tabs>
                <w:tab w:val="left" w:pos="142"/>
              </w:tabs>
              <w:ind w:left="0" w:firstLine="0"/>
            </w:pPr>
          </w:p>
          <w:p w14:paraId="6DA37AAB" w14:textId="77777777" w:rsidR="00A350DA" w:rsidRPr="007E4DA1" w:rsidRDefault="00A350DA" w:rsidP="001A6584">
            <w:pPr>
              <w:keepNext/>
              <w:tabs>
                <w:tab w:val="left" w:pos="142"/>
              </w:tabs>
              <w:ind w:left="0" w:firstLine="0"/>
              <w:jc w:val="center"/>
            </w:pPr>
            <w:r w:rsidRPr="007E4DA1">
              <w:t>Wartość</w:t>
            </w:r>
            <w:r w:rsidRPr="007E4DA1">
              <w:rPr>
                <w:i/>
              </w:rPr>
              <w:t xml:space="preserve"> </w:t>
            </w:r>
            <w:r w:rsidR="00BE1E41" w:rsidRPr="007E4DA1">
              <w:rPr>
                <w:i/>
              </w:rPr>
              <w:t>p</w:t>
            </w:r>
            <w:r w:rsidRPr="007E4DA1">
              <w:rPr>
                <w:vertAlign w:val="superscript"/>
              </w:rPr>
              <w:t>a</w:t>
            </w:r>
          </w:p>
        </w:tc>
        <w:tc>
          <w:tcPr>
            <w:tcW w:w="873" w:type="pct"/>
            <w:vAlign w:val="center"/>
          </w:tcPr>
          <w:p w14:paraId="33A5DB2C" w14:textId="77777777" w:rsidR="00A350DA" w:rsidRPr="007E4DA1" w:rsidRDefault="00A350DA" w:rsidP="001A6584">
            <w:pPr>
              <w:keepNext/>
              <w:tabs>
                <w:tab w:val="left" w:pos="142"/>
              </w:tabs>
              <w:ind w:left="0" w:firstLine="0"/>
              <w:jc w:val="center"/>
            </w:pPr>
            <w:r w:rsidRPr="007E4DA1">
              <w:t>43 (59)</w:t>
            </w:r>
          </w:p>
        </w:tc>
        <w:tc>
          <w:tcPr>
            <w:tcW w:w="774" w:type="pct"/>
            <w:shd w:val="clear" w:color="auto" w:fill="auto"/>
            <w:vAlign w:val="center"/>
          </w:tcPr>
          <w:p w14:paraId="7CD5F3EF" w14:textId="77777777" w:rsidR="00A350DA" w:rsidRPr="007E4DA1" w:rsidRDefault="00A350DA" w:rsidP="001A6584">
            <w:pPr>
              <w:keepNext/>
              <w:tabs>
                <w:tab w:val="left" w:pos="142"/>
              </w:tabs>
              <w:ind w:left="0" w:firstLine="0"/>
              <w:jc w:val="center"/>
            </w:pPr>
            <w:r w:rsidRPr="007E4DA1">
              <w:t>6 (16)</w:t>
            </w:r>
          </w:p>
        </w:tc>
      </w:tr>
      <w:tr w:rsidR="00A350DA" w:rsidRPr="007E4DA1" w14:paraId="59BC006C" w14:textId="77777777" w:rsidTr="00CB1E5B">
        <w:trPr>
          <w:trHeight w:val="397"/>
        </w:trPr>
        <w:tc>
          <w:tcPr>
            <w:tcW w:w="3353" w:type="pct"/>
            <w:vMerge/>
          </w:tcPr>
          <w:p w14:paraId="7D94D47F" w14:textId="77777777" w:rsidR="00A350DA" w:rsidRPr="007E4DA1" w:rsidRDefault="00A350DA" w:rsidP="001A6584">
            <w:pPr>
              <w:keepNext/>
              <w:tabs>
                <w:tab w:val="left" w:pos="142"/>
              </w:tabs>
              <w:ind w:left="0" w:firstLine="0"/>
            </w:pPr>
          </w:p>
        </w:tc>
        <w:tc>
          <w:tcPr>
            <w:tcW w:w="1647" w:type="pct"/>
            <w:gridSpan w:val="2"/>
            <w:vAlign w:val="center"/>
          </w:tcPr>
          <w:p w14:paraId="51A8F496" w14:textId="77777777" w:rsidR="00A350DA" w:rsidRPr="007E4DA1" w:rsidRDefault="00A350DA" w:rsidP="001A6584">
            <w:pPr>
              <w:keepNext/>
              <w:tabs>
                <w:tab w:val="left" w:pos="142"/>
              </w:tabs>
              <w:ind w:left="0" w:firstLine="0"/>
              <w:jc w:val="center"/>
            </w:pPr>
            <w:r w:rsidRPr="007E4DA1">
              <w:t>&lt;0,001</w:t>
            </w:r>
          </w:p>
        </w:tc>
      </w:tr>
      <w:tr w:rsidR="00A350DA" w:rsidRPr="007E4DA1" w14:paraId="06E0F4CF" w14:textId="77777777" w:rsidTr="00CB1E5B">
        <w:trPr>
          <w:trHeight w:val="230"/>
        </w:trPr>
        <w:tc>
          <w:tcPr>
            <w:tcW w:w="5000" w:type="pct"/>
            <w:gridSpan w:val="3"/>
            <w:vAlign w:val="center"/>
          </w:tcPr>
          <w:p w14:paraId="1C691896" w14:textId="77777777" w:rsidR="00A350DA" w:rsidRPr="007E4DA1" w:rsidRDefault="00A350DA" w:rsidP="001A6584">
            <w:pPr>
              <w:keepNext/>
              <w:tabs>
                <w:tab w:val="left" w:pos="142"/>
              </w:tabs>
              <w:ind w:left="0" w:firstLine="0"/>
            </w:pPr>
            <w:r w:rsidRPr="007E4DA1">
              <w:t>Najważniejsze drugorzędowe punkty końcowe</w:t>
            </w:r>
          </w:p>
        </w:tc>
      </w:tr>
      <w:tr w:rsidR="00A350DA" w:rsidRPr="007E4DA1" w14:paraId="55E0492C" w14:textId="77777777" w:rsidTr="00E21164">
        <w:tc>
          <w:tcPr>
            <w:tcW w:w="3353" w:type="pct"/>
          </w:tcPr>
          <w:p w14:paraId="7F1C5328" w14:textId="77777777" w:rsidR="00A350DA" w:rsidRPr="007E4DA1" w:rsidRDefault="00A350DA" w:rsidP="001A6584">
            <w:pPr>
              <w:keepNext/>
              <w:tabs>
                <w:tab w:val="left" w:pos="142"/>
              </w:tabs>
              <w:ind w:left="0" w:firstLine="0"/>
            </w:pPr>
            <w:r w:rsidRPr="007E4DA1">
              <w:t>Pacjenci z oceną krwawienia w dniu 43., n</w:t>
            </w:r>
          </w:p>
        </w:tc>
        <w:tc>
          <w:tcPr>
            <w:tcW w:w="873" w:type="pct"/>
            <w:vAlign w:val="center"/>
          </w:tcPr>
          <w:p w14:paraId="7CAF1AF1" w14:textId="77777777" w:rsidR="00A350DA" w:rsidRPr="007E4DA1" w:rsidRDefault="00A350DA" w:rsidP="001A6584">
            <w:pPr>
              <w:keepNext/>
              <w:tabs>
                <w:tab w:val="left" w:pos="142"/>
              </w:tabs>
              <w:ind w:left="0" w:firstLine="0"/>
              <w:jc w:val="center"/>
            </w:pPr>
            <w:r w:rsidRPr="007E4DA1">
              <w:t>51</w:t>
            </w:r>
          </w:p>
        </w:tc>
        <w:tc>
          <w:tcPr>
            <w:tcW w:w="774" w:type="pct"/>
            <w:vAlign w:val="center"/>
          </w:tcPr>
          <w:p w14:paraId="64A981AA" w14:textId="77777777" w:rsidR="00A350DA" w:rsidRPr="007E4DA1" w:rsidRDefault="00A350DA" w:rsidP="001A6584">
            <w:pPr>
              <w:keepNext/>
              <w:tabs>
                <w:tab w:val="left" w:pos="142"/>
              </w:tabs>
              <w:ind w:left="0" w:firstLine="0"/>
              <w:jc w:val="center"/>
            </w:pPr>
            <w:r w:rsidRPr="007E4DA1">
              <w:t>30</w:t>
            </w:r>
          </w:p>
        </w:tc>
      </w:tr>
      <w:tr w:rsidR="00A350DA" w:rsidRPr="007E4DA1" w14:paraId="259D07F7" w14:textId="77777777" w:rsidTr="00E21164">
        <w:trPr>
          <w:trHeight w:val="389"/>
        </w:trPr>
        <w:tc>
          <w:tcPr>
            <w:tcW w:w="3353" w:type="pct"/>
            <w:vMerge w:val="restart"/>
          </w:tcPr>
          <w:p w14:paraId="186404D6" w14:textId="77777777" w:rsidR="00A350DA" w:rsidRDefault="00A350DA" w:rsidP="001A6584">
            <w:pPr>
              <w:keepNext/>
              <w:tabs>
                <w:tab w:val="left" w:pos="142"/>
              </w:tabs>
              <w:ind w:left="0" w:firstLine="0"/>
            </w:pPr>
            <w:r w:rsidRPr="007E4DA1">
              <w:t>Krwawienie (stopień WHO 1</w:t>
            </w:r>
            <w:r w:rsidR="00F865DC" w:rsidRPr="007E4DA1">
              <w:noBreakHyphen/>
            </w:r>
            <w:r w:rsidRPr="007E4DA1">
              <w:t>4) n (%)</w:t>
            </w:r>
          </w:p>
          <w:p w14:paraId="4AC6801F" w14:textId="77777777" w:rsidR="00553AB7" w:rsidRPr="00553AB7" w:rsidRDefault="00553AB7" w:rsidP="001A6584">
            <w:pPr>
              <w:keepNext/>
              <w:tabs>
                <w:tab w:val="left" w:pos="142"/>
              </w:tabs>
              <w:ind w:left="0" w:firstLine="0"/>
            </w:pPr>
          </w:p>
          <w:p w14:paraId="501A5624" w14:textId="77777777" w:rsidR="00A350DA" w:rsidRPr="007E4DA1" w:rsidRDefault="00A350DA" w:rsidP="001A6584">
            <w:pPr>
              <w:keepNext/>
              <w:tabs>
                <w:tab w:val="left" w:pos="142"/>
              </w:tabs>
              <w:ind w:left="0" w:firstLine="0"/>
              <w:jc w:val="center"/>
            </w:pPr>
            <w:r w:rsidRPr="007E4DA1">
              <w:t xml:space="preserve">Wartość </w:t>
            </w:r>
            <w:r w:rsidR="00BE1E41" w:rsidRPr="007E4DA1">
              <w:rPr>
                <w:i/>
              </w:rPr>
              <w:t>p</w:t>
            </w:r>
            <w:r w:rsidRPr="007E4DA1">
              <w:rPr>
                <w:vertAlign w:val="superscript"/>
              </w:rPr>
              <w:t>a</w:t>
            </w:r>
          </w:p>
        </w:tc>
        <w:tc>
          <w:tcPr>
            <w:tcW w:w="873" w:type="pct"/>
            <w:vAlign w:val="center"/>
          </w:tcPr>
          <w:p w14:paraId="1D677919" w14:textId="77777777" w:rsidR="00A350DA" w:rsidRPr="007E4DA1" w:rsidRDefault="00A350DA" w:rsidP="001A6584">
            <w:pPr>
              <w:keepNext/>
              <w:tabs>
                <w:tab w:val="left" w:pos="142"/>
              </w:tabs>
              <w:ind w:left="0" w:firstLine="0"/>
              <w:jc w:val="center"/>
            </w:pPr>
            <w:r w:rsidRPr="007E4DA1">
              <w:t>20 (39)</w:t>
            </w:r>
          </w:p>
        </w:tc>
        <w:tc>
          <w:tcPr>
            <w:tcW w:w="774" w:type="pct"/>
            <w:vAlign w:val="center"/>
          </w:tcPr>
          <w:p w14:paraId="259D7BA4" w14:textId="77777777" w:rsidR="00A350DA" w:rsidRPr="007E4DA1" w:rsidRDefault="00A350DA" w:rsidP="001A6584">
            <w:pPr>
              <w:keepNext/>
              <w:tabs>
                <w:tab w:val="left" w:pos="142"/>
              </w:tabs>
              <w:ind w:left="0" w:firstLine="0"/>
              <w:jc w:val="center"/>
            </w:pPr>
            <w:r w:rsidRPr="007E4DA1">
              <w:t>18 (60)</w:t>
            </w:r>
          </w:p>
        </w:tc>
      </w:tr>
      <w:tr w:rsidR="00A350DA" w:rsidRPr="007E4DA1" w14:paraId="3C41DA56" w14:textId="77777777" w:rsidTr="00CB1E5B">
        <w:trPr>
          <w:trHeight w:val="268"/>
        </w:trPr>
        <w:tc>
          <w:tcPr>
            <w:tcW w:w="3353" w:type="pct"/>
            <w:vMerge/>
          </w:tcPr>
          <w:p w14:paraId="144749DA" w14:textId="77777777" w:rsidR="00A350DA" w:rsidRPr="007E4DA1" w:rsidRDefault="00A350DA" w:rsidP="001A6584">
            <w:pPr>
              <w:keepNext/>
              <w:tabs>
                <w:tab w:val="left" w:pos="142"/>
              </w:tabs>
              <w:ind w:left="0" w:firstLine="0"/>
            </w:pPr>
          </w:p>
        </w:tc>
        <w:tc>
          <w:tcPr>
            <w:tcW w:w="1647" w:type="pct"/>
            <w:gridSpan w:val="2"/>
            <w:vAlign w:val="center"/>
          </w:tcPr>
          <w:p w14:paraId="0DE8EFBD" w14:textId="77777777" w:rsidR="00A350DA" w:rsidRPr="007E4DA1" w:rsidRDefault="00A350DA" w:rsidP="001A6584">
            <w:pPr>
              <w:keepNext/>
              <w:tabs>
                <w:tab w:val="left" w:pos="142"/>
              </w:tabs>
              <w:ind w:left="0" w:firstLine="0"/>
              <w:jc w:val="center"/>
            </w:pPr>
            <w:r w:rsidRPr="007E4DA1">
              <w:t>0,029</w:t>
            </w:r>
          </w:p>
        </w:tc>
      </w:tr>
      <w:tr w:rsidR="00E21164" w:rsidRPr="007E4DA1" w14:paraId="18BC5576" w14:textId="77777777" w:rsidTr="00E21164">
        <w:trPr>
          <w:trHeight w:val="268"/>
        </w:trPr>
        <w:tc>
          <w:tcPr>
            <w:tcW w:w="5000" w:type="pct"/>
            <w:gridSpan w:val="3"/>
          </w:tcPr>
          <w:p w14:paraId="38B1D16F" w14:textId="06C87E67" w:rsidR="00E21164" w:rsidRPr="00553AB7" w:rsidRDefault="00E21164" w:rsidP="00553AB7">
            <w:pPr>
              <w:tabs>
                <w:tab w:val="left" w:pos="-6946"/>
              </w:tabs>
              <w:rPr>
                <w:sz w:val="20"/>
                <w:szCs w:val="20"/>
              </w:rPr>
            </w:pPr>
            <w:r w:rsidRPr="00553AB7">
              <w:rPr>
                <w:sz w:val="20"/>
                <w:szCs w:val="20"/>
                <w:vertAlign w:val="superscript"/>
              </w:rPr>
              <w:t>a</w:t>
            </w:r>
            <w:r w:rsidRPr="00553AB7">
              <w:rPr>
                <w:sz w:val="20"/>
                <w:szCs w:val="20"/>
              </w:rPr>
              <w:tab/>
              <w:t>Model regresji logistycznej skorygowany dla zmiennych stratyfikacji randomizacji</w:t>
            </w:r>
            <w:r w:rsidR="00536350">
              <w:rPr>
                <w:sz w:val="20"/>
                <w:szCs w:val="20"/>
              </w:rPr>
              <w:t>.</w:t>
            </w:r>
          </w:p>
        </w:tc>
      </w:tr>
    </w:tbl>
    <w:p w14:paraId="575A7E9B" w14:textId="77777777" w:rsidR="00A350DA" w:rsidRPr="007E4DA1" w:rsidRDefault="00A350DA" w:rsidP="001A6584">
      <w:pPr>
        <w:numPr>
          <w:ilvl w:val="12"/>
          <w:numId w:val="0"/>
        </w:numPr>
        <w:tabs>
          <w:tab w:val="left" w:pos="142"/>
        </w:tabs>
        <w:ind w:right="-2"/>
        <w:rPr>
          <w:color w:val="000000"/>
          <w:szCs w:val="22"/>
        </w:rPr>
      </w:pPr>
    </w:p>
    <w:p w14:paraId="45B7D487" w14:textId="77777777" w:rsidR="00A350DA" w:rsidRPr="007E4DA1" w:rsidRDefault="00A350DA" w:rsidP="001A6584">
      <w:pPr>
        <w:numPr>
          <w:ilvl w:val="12"/>
          <w:numId w:val="0"/>
        </w:numPr>
        <w:tabs>
          <w:tab w:val="left" w:pos="142"/>
        </w:tabs>
        <w:ind w:right="-2"/>
        <w:rPr>
          <w:color w:val="000000"/>
        </w:rPr>
      </w:pPr>
      <w:r w:rsidRPr="007E4DA1">
        <w:rPr>
          <w:color w:val="000000"/>
        </w:rPr>
        <w:t xml:space="preserve">W badaniach RAISE i </w:t>
      </w:r>
      <w:smartTag w:uri="urn:schemas-microsoft-com:office:smarttags" w:element="stockticker">
        <w:r w:rsidRPr="007E4DA1">
          <w:rPr>
            <w:color w:val="000000"/>
          </w:rPr>
          <w:t>TRA</w:t>
        </w:r>
      </w:smartTag>
      <w:r w:rsidRPr="007E4DA1">
        <w:rPr>
          <w:color w:val="000000"/>
        </w:rPr>
        <w:t>100773B odpowiedź na eltrombopag w porównaniu z placebo była podobna, niezależnie od stosowania innego leczenia pierwotnej małopłytkowości immunologicznej, statusu splenektomii i początkowej liczby płytek krwi (≤15 000/µl, &gt;15 000/µl) w momencie randomizacji.</w:t>
      </w:r>
    </w:p>
    <w:p w14:paraId="38611F2D" w14:textId="77777777" w:rsidR="00A350DA" w:rsidRPr="007E4DA1" w:rsidRDefault="00A350DA" w:rsidP="001A6584">
      <w:pPr>
        <w:numPr>
          <w:ilvl w:val="12"/>
          <w:numId w:val="0"/>
        </w:numPr>
        <w:tabs>
          <w:tab w:val="left" w:pos="142"/>
        </w:tabs>
        <w:ind w:right="-2"/>
        <w:rPr>
          <w:color w:val="000000"/>
          <w:szCs w:val="22"/>
        </w:rPr>
      </w:pPr>
    </w:p>
    <w:p w14:paraId="00F5DCEA" w14:textId="77777777" w:rsidR="00A350DA" w:rsidRPr="007E4DA1" w:rsidRDefault="00A350DA" w:rsidP="001A6584">
      <w:pPr>
        <w:numPr>
          <w:ilvl w:val="12"/>
          <w:numId w:val="0"/>
        </w:numPr>
        <w:tabs>
          <w:tab w:val="left" w:pos="142"/>
        </w:tabs>
        <w:ind w:right="-2"/>
        <w:rPr>
          <w:szCs w:val="22"/>
        </w:rPr>
      </w:pPr>
      <w:r w:rsidRPr="007E4DA1">
        <w:rPr>
          <w:color w:val="000000"/>
          <w:szCs w:val="22"/>
        </w:rPr>
        <w:t xml:space="preserve">W badaniach RAISE i </w:t>
      </w:r>
      <w:smartTag w:uri="urn:schemas-microsoft-com:office:smarttags" w:element="stockticker">
        <w:r w:rsidRPr="007E4DA1">
          <w:rPr>
            <w:color w:val="000000"/>
            <w:szCs w:val="22"/>
          </w:rPr>
          <w:t>TRA</w:t>
        </w:r>
      </w:smartTag>
      <w:r w:rsidRPr="007E4DA1">
        <w:rPr>
          <w:color w:val="000000"/>
          <w:szCs w:val="22"/>
        </w:rPr>
        <w:t xml:space="preserve">100773B w podgrupie pacjentów z </w:t>
      </w:r>
      <w:r w:rsidRPr="007E4DA1">
        <w:rPr>
          <w:szCs w:val="22"/>
        </w:rPr>
        <w:t xml:space="preserve">pierwotną małopłytkowością immunologiczną </w:t>
      </w:r>
      <w:r w:rsidRPr="007E4DA1">
        <w:rPr>
          <w:color w:val="000000"/>
          <w:szCs w:val="22"/>
        </w:rPr>
        <w:t xml:space="preserve">z początkową liczbą płytek krwi ≤15 000/μl mediana liczby płytek krwi nie osiągnęła poziomu docelowego </w:t>
      </w:r>
      <w:r w:rsidRPr="007E4DA1">
        <w:rPr>
          <w:spacing w:val="2"/>
          <w:szCs w:val="22"/>
        </w:rPr>
        <w:t>(&gt;50 000/</w:t>
      </w:r>
      <w:r w:rsidRPr="007E4DA1">
        <w:rPr>
          <w:spacing w:val="2"/>
          <w:szCs w:val="22"/>
        </w:rPr>
        <w:sym w:font="Symbol" w:char="F06D"/>
      </w:r>
      <w:r w:rsidRPr="007E4DA1">
        <w:rPr>
          <w:spacing w:val="2"/>
          <w:szCs w:val="22"/>
        </w:rPr>
        <w:t>l)</w:t>
      </w:r>
      <w:r w:rsidRPr="007E4DA1">
        <w:rPr>
          <w:color w:val="000000"/>
          <w:szCs w:val="22"/>
        </w:rPr>
        <w:t xml:space="preserve">, mimo że w obydwu badaniach u </w:t>
      </w:r>
      <w:r w:rsidRPr="007E4DA1">
        <w:rPr>
          <w:color w:val="000000"/>
          <w:szCs w:val="22"/>
          <w:lang w:eastAsia="en-GB"/>
        </w:rPr>
        <w:t>43%</w:t>
      </w:r>
      <w:r w:rsidRPr="007E4DA1">
        <w:rPr>
          <w:spacing w:val="2"/>
          <w:szCs w:val="22"/>
        </w:rPr>
        <w:t xml:space="preserve"> spośród tych pacjentów, u których stosowano eltrombopag, uzyskano odpowiedź po 6</w:t>
      </w:r>
      <w:r w:rsidR="00CF1D0C" w:rsidRPr="007E4DA1">
        <w:rPr>
          <w:spacing w:val="2"/>
          <w:szCs w:val="22"/>
        </w:rPr>
        <w:t> </w:t>
      </w:r>
      <w:r w:rsidRPr="007E4DA1">
        <w:rPr>
          <w:spacing w:val="2"/>
          <w:szCs w:val="22"/>
        </w:rPr>
        <w:t xml:space="preserve">tygodniach leczenia. Ponadto w badaniu RAISE u </w:t>
      </w:r>
      <w:r w:rsidRPr="007E4DA1">
        <w:rPr>
          <w:szCs w:val="22"/>
        </w:rPr>
        <w:t xml:space="preserve">42% </w:t>
      </w:r>
      <w:r w:rsidRPr="007E4DA1">
        <w:rPr>
          <w:color w:val="000000"/>
          <w:szCs w:val="22"/>
        </w:rPr>
        <w:t>pacjentów z początkową liczbą płytek krwi ≤15 000/μl</w:t>
      </w:r>
      <w:r w:rsidRPr="007E4DA1">
        <w:rPr>
          <w:szCs w:val="22"/>
        </w:rPr>
        <w:t xml:space="preserve"> leczonych eltrombopagiem uzyskano odpowiedź na końcu 6-miesięcznego okresu leczenia. 42% do 60% pacjentów leczonych eltrombopagiem otrzymywało dawkę 75</w:t>
      </w:r>
      <w:r w:rsidR="00535EDC" w:rsidRPr="007E4DA1">
        <w:rPr>
          <w:szCs w:val="22"/>
        </w:rPr>
        <w:t> </w:t>
      </w:r>
      <w:r w:rsidRPr="007E4DA1">
        <w:rPr>
          <w:szCs w:val="22"/>
        </w:rPr>
        <w:t xml:space="preserve">mg </w:t>
      </w:r>
      <w:r w:rsidRPr="007E4DA1">
        <w:rPr>
          <w:spacing w:val="2"/>
          <w:szCs w:val="22"/>
        </w:rPr>
        <w:t xml:space="preserve">od dnia </w:t>
      </w:r>
      <w:r w:rsidRPr="007E4DA1">
        <w:rPr>
          <w:szCs w:val="22"/>
        </w:rPr>
        <w:t>29. do końca leczenia.</w:t>
      </w:r>
    </w:p>
    <w:p w14:paraId="7328AF22" w14:textId="77777777" w:rsidR="00A350DA" w:rsidRPr="007E4DA1" w:rsidRDefault="00A350DA" w:rsidP="001A6584">
      <w:pPr>
        <w:tabs>
          <w:tab w:val="left" w:pos="142"/>
        </w:tabs>
        <w:ind w:left="0" w:firstLine="0"/>
        <w:rPr>
          <w:szCs w:val="22"/>
        </w:rPr>
      </w:pPr>
    </w:p>
    <w:p w14:paraId="70BEB3C9" w14:textId="77777777" w:rsidR="00D64D4E" w:rsidRPr="007E4DA1" w:rsidRDefault="00D64D4E" w:rsidP="001A6584">
      <w:pPr>
        <w:keepNext/>
        <w:tabs>
          <w:tab w:val="left" w:pos="142"/>
        </w:tabs>
        <w:ind w:left="0" w:firstLine="0"/>
        <w:rPr>
          <w:szCs w:val="22"/>
        </w:rPr>
      </w:pPr>
      <w:r w:rsidRPr="007E4DA1">
        <w:rPr>
          <w:i/>
          <w:iCs/>
          <w:szCs w:val="22"/>
        </w:rPr>
        <w:t>Otwarte badania bez grupy kontrolnej</w:t>
      </w:r>
    </w:p>
    <w:p w14:paraId="66CEB5B4" w14:textId="77F50F3A" w:rsidR="00D26BF8" w:rsidRPr="007E4DA1" w:rsidRDefault="00D64D4E" w:rsidP="001A6584">
      <w:pPr>
        <w:keepNext/>
        <w:keepLines/>
        <w:tabs>
          <w:tab w:val="left" w:pos="142"/>
        </w:tabs>
        <w:autoSpaceDE w:val="0"/>
        <w:autoSpaceDN w:val="0"/>
        <w:adjustRightInd w:val="0"/>
        <w:ind w:left="0" w:firstLine="0"/>
        <w:rPr>
          <w:iCs/>
          <w:lang w:eastAsia="en-GB"/>
        </w:rPr>
      </w:pPr>
      <w:r w:rsidRPr="007E4DA1">
        <w:rPr>
          <w:iCs/>
          <w:lang w:eastAsia="en-GB"/>
        </w:rPr>
        <w:t>REPEAT (TRA108057</w:t>
      </w:r>
      <w:r w:rsidR="00D26BF8" w:rsidRPr="007E4DA1">
        <w:rPr>
          <w:iCs/>
          <w:lang w:eastAsia="en-GB"/>
        </w:rPr>
        <w:t>):</w:t>
      </w:r>
    </w:p>
    <w:p w14:paraId="2349E260" w14:textId="77777777" w:rsidR="00041A08" w:rsidRPr="00041A08" w:rsidRDefault="00A350DA" w:rsidP="001A6584">
      <w:pPr>
        <w:tabs>
          <w:tab w:val="left" w:pos="142"/>
        </w:tabs>
        <w:autoSpaceDE w:val="0"/>
        <w:autoSpaceDN w:val="0"/>
        <w:adjustRightInd w:val="0"/>
        <w:ind w:left="0" w:firstLine="0"/>
      </w:pPr>
      <w:r w:rsidRPr="007E4DA1">
        <w:rPr>
          <w:iCs/>
          <w:lang w:eastAsia="en-GB"/>
        </w:rPr>
        <w:t xml:space="preserve">W </w:t>
      </w:r>
      <w:r w:rsidR="00D64D4E" w:rsidRPr="007E4DA1">
        <w:rPr>
          <w:iCs/>
          <w:lang w:eastAsia="en-GB"/>
        </w:rPr>
        <w:t xml:space="preserve">tym </w:t>
      </w:r>
      <w:r w:rsidRPr="007E4DA1">
        <w:rPr>
          <w:iCs/>
          <w:lang w:eastAsia="en-GB"/>
        </w:rPr>
        <w:t>otwartym badaniu z zastosowaniem powtarzanych cykli leczenia (3</w:t>
      </w:r>
      <w:r w:rsidR="00535EDC" w:rsidRPr="007E4DA1">
        <w:rPr>
          <w:iCs/>
          <w:lang w:eastAsia="en-GB"/>
        </w:rPr>
        <w:t> </w:t>
      </w:r>
      <w:r w:rsidRPr="007E4DA1">
        <w:rPr>
          <w:iCs/>
          <w:lang w:eastAsia="en-GB"/>
        </w:rPr>
        <w:t>cykle 6-tygodniowe leczenia, po których następowały 4</w:t>
      </w:r>
      <w:r w:rsidR="00535EDC" w:rsidRPr="007E4DA1">
        <w:rPr>
          <w:iCs/>
          <w:lang w:eastAsia="en-GB"/>
        </w:rPr>
        <w:t> </w:t>
      </w:r>
      <w:r w:rsidRPr="007E4DA1">
        <w:rPr>
          <w:iCs/>
          <w:lang w:eastAsia="en-GB"/>
        </w:rPr>
        <w:t>tygodnie bez leczenia) wykazano, że epizodyczne zastosowanie wielu cykli leczenia eltrombopagiem nie powoduje utraty odpowiedzi.</w:t>
      </w:r>
    </w:p>
    <w:p w14:paraId="22A343BE" w14:textId="0C333376" w:rsidR="00A350DA" w:rsidRPr="007E4DA1" w:rsidRDefault="00A350DA" w:rsidP="001A6584">
      <w:pPr>
        <w:tabs>
          <w:tab w:val="left" w:pos="142"/>
        </w:tabs>
        <w:ind w:left="0" w:firstLine="0"/>
        <w:rPr>
          <w:szCs w:val="22"/>
        </w:rPr>
      </w:pPr>
    </w:p>
    <w:p w14:paraId="44D8B00F" w14:textId="0F560BD9" w:rsidR="00D26BF8" w:rsidRPr="007E4DA1" w:rsidRDefault="00D64D4E" w:rsidP="001A6584">
      <w:pPr>
        <w:keepNext/>
        <w:keepLines/>
        <w:tabs>
          <w:tab w:val="left" w:pos="142"/>
        </w:tabs>
        <w:ind w:left="0" w:firstLine="0"/>
      </w:pPr>
      <w:r w:rsidRPr="007E4DA1">
        <w:t>EXTEND (TRA105325</w:t>
      </w:r>
      <w:r w:rsidR="00D26BF8" w:rsidRPr="007E4DA1">
        <w:t>):</w:t>
      </w:r>
    </w:p>
    <w:p w14:paraId="0BA4868A" w14:textId="1F4568F8" w:rsidR="00D64D4E" w:rsidRPr="007E4DA1" w:rsidRDefault="00A350DA" w:rsidP="001A6584">
      <w:pPr>
        <w:tabs>
          <w:tab w:val="left" w:pos="142"/>
        </w:tabs>
        <w:ind w:left="0" w:firstLine="0"/>
      </w:pPr>
      <w:r w:rsidRPr="007E4DA1">
        <w:t xml:space="preserve">Eltrombopag podawano </w:t>
      </w:r>
      <w:r w:rsidR="002E52D0" w:rsidRPr="007E4DA1">
        <w:rPr>
          <w:bCs/>
        </w:rPr>
        <w:t>302</w:t>
      </w:r>
      <w:r w:rsidR="002E52D0" w:rsidRPr="007E4DA1">
        <w:t> </w:t>
      </w:r>
      <w:r w:rsidRPr="007E4DA1">
        <w:t xml:space="preserve">pacjentom z pierwotną małopłytkowością immunologiczną w ramach </w:t>
      </w:r>
      <w:r w:rsidR="00A43C5D" w:rsidRPr="007E4DA1">
        <w:t xml:space="preserve">tego </w:t>
      </w:r>
      <w:r w:rsidRPr="007E4DA1">
        <w:t>otwartego badania</w:t>
      </w:r>
      <w:r w:rsidR="002E52D0" w:rsidRPr="007E4DA1">
        <w:t xml:space="preserve"> przedłużonego</w:t>
      </w:r>
      <w:r w:rsidRPr="007E4DA1">
        <w:t xml:space="preserve">. W badaniu tym </w:t>
      </w:r>
      <w:r w:rsidR="002E52D0" w:rsidRPr="007E4DA1">
        <w:rPr>
          <w:bCs/>
        </w:rPr>
        <w:t>218 </w:t>
      </w:r>
      <w:r w:rsidRPr="007E4DA1">
        <w:t>pacjentów zakończyło roczne leczenie, 1</w:t>
      </w:r>
      <w:r w:rsidR="002E52D0" w:rsidRPr="007E4DA1">
        <w:t>80</w:t>
      </w:r>
      <w:r w:rsidR="00535EDC" w:rsidRPr="007E4DA1">
        <w:t> </w:t>
      </w:r>
      <w:r w:rsidRPr="007E4DA1">
        <w:t>pacjentów zakończyło 2-letnie leczenie</w:t>
      </w:r>
      <w:r w:rsidR="002E52D0" w:rsidRPr="007E4DA1">
        <w:t>, 107 pacjentów zakończyło 3-letnie leczenie, 75 pacjentów zakończyło 4-letnie leczenie, 34 pacjentów 5-letnie leczenie i 18 pacjentów zakończyło 6-letnie leczenie</w:t>
      </w:r>
      <w:r w:rsidRPr="007E4DA1">
        <w:t>. Mediana liczby płytek krwi przed podaniem eltrombopagu wynosiła 19 </w:t>
      </w:r>
      <w:r w:rsidR="002E52D0" w:rsidRPr="007E4DA1">
        <w:t>0</w:t>
      </w:r>
      <w:r w:rsidRPr="007E4DA1">
        <w:t>00/</w:t>
      </w:r>
      <w:r w:rsidRPr="007E4DA1">
        <w:sym w:font="Symbol" w:char="F06D"/>
      </w:r>
      <w:r w:rsidRPr="007E4DA1">
        <w:t xml:space="preserve">l. Mediana liczby płytek krwi po </w:t>
      </w:r>
      <w:r w:rsidR="002E52D0" w:rsidRPr="007E4DA1">
        <w:t>1, 2, 3, 4, 5, 6 i 7 latach</w:t>
      </w:r>
      <w:r w:rsidRPr="007E4DA1">
        <w:t xml:space="preserve"> badania wyniosła odpowiednio </w:t>
      </w:r>
      <w:r w:rsidR="002E52D0" w:rsidRPr="007E4DA1">
        <w:rPr>
          <w:bCs/>
        </w:rPr>
        <w:t>85</w:t>
      </w:r>
      <w:r w:rsidR="00F651B4" w:rsidRPr="007E4DA1">
        <w:rPr>
          <w:bCs/>
        </w:rPr>
        <w:t> </w:t>
      </w:r>
      <w:r w:rsidR="002E52D0" w:rsidRPr="007E4DA1">
        <w:rPr>
          <w:bCs/>
        </w:rPr>
        <w:t>000</w:t>
      </w:r>
      <w:r w:rsidRPr="007E4DA1">
        <w:t>/</w:t>
      </w:r>
      <w:r w:rsidRPr="007E4DA1">
        <w:sym w:font="Symbol" w:char="F06D"/>
      </w:r>
      <w:r w:rsidRPr="007E4DA1">
        <w:t xml:space="preserve">l, </w:t>
      </w:r>
      <w:r w:rsidR="002E52D0" w:rsidRPr="007E4DA1">
        <w:t>85 000/</w:t>
      </w:r>
      <w:r w:rsidR="002E52D0" w:rsidRPr="007E4DA1">
        <w:sym w:font="Symbol" w:char="F06D"/>
      </w:r>
      <w:r w:rsidR="002E52D0" w:rsidRPr="007E4DA1">
        <w:t>l, 105 000/</w:t>
      </w:r>
      <w:r w:rsidR="002E52D0" w:rsidRPr="007E4DA1">
        <w:sym w:font="Symbol" w:char="F06D"/>
      </w:r>
      <w:r w:rsidR="002E52D0" w:rsidRPr="007E4DA1">
        <w:t>l, 64</w:t>
      </w:r>
      <w:r w:rsidR="00F651B4" w:rsidRPr="007E4DA1">
        <w:t> </w:t>
      </w:r>
      <w:r w:rsidR="002E52D0" w:rsidRPr="007E4DA1">
        <w:t>000/</w:t>
      </w:r>
      <w:r w:rsidR="002E52D0" w:rsidRPr="007E4DA1">
        <w:sym w:font="Symbol" w:char="F06D"/>
      </w:r>
      <w:r w:rsidR="002E52D0" w:rsidRPr="007E4DA1">
        <w:t>l,</w:t>
      </w:r>
      <w:r w:rsidR="002E52D0" w:rsidRPr="007E4DA1">
        <w:rPr>
          <w:bCs/>
        </w:rPr>
        <w:t xml:space="preserve"> </w:t>
      </w:r>
      <w:r w:rsidRPr="007E4DA1">
        <w:rPr>
          <w:bCs/>
        </w:rPr>
        <w:t>75 </w:t>
      </w:r>
      <w:r w:rsidRPr="007E4DA1">
        <w:t>000/</w:t>
      </w:r>
      <w:r w:rsidRPr="007E4DA1">
        <w:sym w:font="Symbol" w:char="F06D"/>
      </w:r>
      <w:r w:rsidRPr="007E4DA1">
        <w:t>l</w:t>
      </w:r>
      <w:r w:rsidR="002E52D0" w:rsidRPr="007E4DA1">
        <w:t>,</w:t>
      </w:r>
      <w:r w:rsidRPr="007E4DA1">
        <w:t xml:space="preserve"> 119</w:t>
      </w:r>
      <w:r w:rsidRPr="007E4DA1">
        <w:rPr>
          <w:bCs/>
        </w:rPr>
        <w:t> 0</w:t>
      </w:r>
      <w:r w:rsidRPr="007E4DA1">
        <w:t>00/</w:t>
      </w:r>
      <w:r w:rsidRPr="007E4DA1">
        <w:sym w:font="Symbol" w:char="F06D"/>
      </w:r>
      <w:r w:rsidRPr="007E4DA1">
        <w:t>l</w:t>
      </w:r>
      <w:r w:rsidR="002E52D0" w:rsidRPr="007E4DA1">
        <w:t xml:space="preserve"> i 76</w:t>
      </w:r>
      <w:r w:rsidR="00F651B4" w:rsidRPr="007E4DA1">
        <w:t> </w:t>
      </w:r>
      <w:r w:rsidR="002E52D0" w:rsidRPr="007E4DA1">
        <w:t>000/</w:t>
      </w:r>
      <w:r w:rsidR="002E52D0" w:rsidRPr="007E4DA1">
        <w:sym w:font="Symbol" w:char="F06D"/>
      </w:r>
      <w:r w:rsidR="002E52D0" w:rsidRPr="007E4DA1">
        <w:t>l</w:t>
      </w:r>
      <w:r w:rsidRPr="007E4DA1">
        <w:t>.</w:t>
      </w:r>
    </w:p>
    <w:p w14:paraId="1397BDDC" w14:textId="77777777" w:rsidR="00D64D4E" w:rsidRPr="007E4DA1" w:rsidRDefault="00D64D4E" w:rsidP="001A6584">
      <w:pPr>
        <w:pStyle w:val="CommentText"/>
        <w:tabs>
          <w:tab w:val="clear" w:pos="567"/>
          <w:tab w:val="left" w:pos="142"/>
        </w:tabs>
        <w:spacing w:line="240" w:lineRule="auto"/>
        <w:rPr>
          <w:sz w:val="22"/>
          <w:szCs w:val="22"/>
          <w:lang w:val="pl-PL"/>
        </w:rPr>
      </w:pPr>
    </w:p>
    <w:p w14:paraId="484CDF2D" w14:textId="73114D55" w:rsidR="00D26BF8" w:rsidRPr="007E4DA1" w:rsidRDefault="00D64D4E" w:rsidP="001A6584">
      <w:pPr>
        <w:pStyle w:val="CommentText"/>
        <w:keepNext/>
        <w:keepLines/>
        <w:tabs>
          <w:tab w:val="clear" w:pos="567"/>
          <w:tab w:val="left" w:pos="142"/>
        </w:tabs>
        <w:spacing w:line="240" w:lineRule="auto"/>
        <w:rPr>
          <w:sz w:val="22"/>
          <w:szCs w:val="22"/>
          <w:lang w:val="pl-PL"/>
        </w:rPr>
      </w:pPr>
      <w:r w:rsidRPr="007E4DA1">
        <w:rPr>
          <w:sz w:val="22"/>
          <w:szCs w:val="22"/>
          <w:lang w:val="pl-PL"/>
        </w:rPr>
        <w:t>TAPER (CETB115J2411</w:t>
      </w:r>
      <w:r w:rsidR="00D26BF8" w:rsidRPr="007E4DA1">
        <w:rPr>
          <w:sz w:val="22"/>
          <w:szCs w:val="22"/>
          <w:lang w:val="pl-PL"/>
        </w:rPr>
        <w:t>):</w:t>
      </w:r>
    </w:p>
    <w:p w14:paraId="5E2669B0" w14:textId="1E694A1C" w:rsidR="00D64D4E" w:rsidRPr="007E4DA1" w:rsidRDefault="00D64D4E" w:rsidP="001A6584">
      <w:pPr>
        <w:pStyle w:val="CommentText"/>
        <w:tabs>
          <w:tab w:val="clear" w:pos="567"/>
          <w:tab w:val="left" w:pos="142"/>
        </w:tabs>
        <w:spacing w:line="240" w:lineRule="auto"/>
        <w:rPr>
          <w:sz w:val="22"/>
          <w:szCs w:val="22"/>
          <w:lang w:val="pl-PL"/>
        </w:rPr>
      </w:pPr>
      <w:r w:rsidRPr="007E4DA1">
        <w:rPr>
          <w:sz w:val="22"/>
          <w:szCs w:val="22"/>
          <w:lang w:val="pl-PL"/>
        </w:rPr>
        <w:t>Było to badanie II fazy z jedną grupą badaną, do którego włączono pacjentów z ITP leczonych eltrombopagiem po niepowodzeniu leczenia pierwszego rzutu kortykosteroidami, niezależnie od czasu, jaki upłynął od rozpoznania choroby. Do badania włączono łącznie 105 pacjentów, którzy rozpoczęli leczenie eltrombopagiem w dawce 50 mg podawanej raz na dobę (25 mg raz na dobę u pacjentów pochodzenia wschodnio-/południowo-wschodnioazjatyckiego). Dawkę eltrombopagu dostosowywano w okresie leczenia w oparciu o liczbę płytek krwi u danego pacjenta, mając na celu osiągnięcie liczby płytek krwi ≥100 000/µl.</w:t>
      </w:r>
    </w:p>
    <w:p w14:paraId="772BDF88" w14:textId="2882118E" w:rsidR="00A43C5D" w:rsidRPr="007E4DA1" w:rsidRDefault="00A43C5D" w:rsidP="001A6584">
      <w:pPr>
        <w:pStyle w:val="CommentText"/>
        <w:tabs>
          <w:tab w:val="clear" w:pos="567"/>
          <w:tab w:val="left" w:pos="142"/>
        </w:tabs>
        <w:spacing w:line="240" w:lineRule="auto"/>
        <w:rPr>
          <w:sz w:val="22"/>
          <w:szCs w:val="22"/>
          <w:lang w:val="pl-PL"/>
        </w:rPr>
      </w:pPr>
    </w:p>
    <w:p w14:paraId="57BAB531" w14:textId="77777777" w:rsidR="00A43C5D" w:rsidRPr="007E4DA1" w:rsidRDefault="00A43C5D" w:rsidP="001A6584">
      <w:pPr>
        <w:pStyle w:val="CommentText"/>
        <w:tabs>
          <w:tab w:val="clear" w:pos="567"/>
          <w:tab w:val="left" w:pos="142"/>
        </w:tabs>
        <w:spacing w:line="240" w:lineRule="auto"/>
        <w:rPr>
          <w:sz w:val="22"/>
          <w:szCs w:val="22"/>
          <w:lang w:val="pl-PL"/>
        </w:rPr>
      </w:pPr>
      <w:r w:rsidRPr="007E4DA1">
        <w:rPr>
          <w:sz w:val="22"/>
          <w:szCs w:val="22"/>
          <w:lang w:val="pl-PL"/>
        </w:rPr>
        <w:t>Spośród 105 pacjentów włączonych do badania, którzy otrzymali co najmniej jedną dawkę eltrombopagu 69 pacjentów (65,7%) ukończyło leczenie, a 36 pacjentów (34,3%) zakończyło leczenie przedwcześnie.</w:t>
      </w:r>
    </w:p>
    <w:p w14:paraId="30C5FC88" w14:textId="77777777" w:rsidR="00A43C5D" w:rsidRPr="007E4DA1" w:rsidRDefault="00A43C5D" w:rsidP="001A6584">
      <w:pPr>
        <w:pStyle w:val="CommentText"/>
        <w:tabs>
          <w:tab w:val="clear" w:pos="567"/>
          <w:tab w:val="left" w:pos="142"/>
        </w:tabs>
        <w:spacing w:line="240" w:lineRule="auto"/>
        <w:rPr>
          <w:sz w:val="22"/>
          <w:szCs w:val="22"/>
          <w:lang w:val="pl-PL"/>
        </w:rPr>
      </w:pPr>
    </w:p>
    <w:p w14:paraId="3675BE2E" w14:textId="77777777" w:rsidR="00A43C5D" w:rsidRPr="007E4DA1" w:rsidRDefault="00A43C5D" w:rsidP="001A6584">
      <w:pPr>
        <w:pStyle w:val="CommentText"/>
        <w:keepNext/>
        <w:tabs>
          <w:tab w:val="clear" w:pos="567"/>
          <w:tab w:val="left" w:pos="142"/>
        </w:tabs>
        <w:spacing w:line="240" w:lineRule="auto"/>
        <w:rPr>
          <w:sz w:val="22"/>
          <w:szCs w:val="22"/>
          <w:lang w:val="pl-PL"/>
        </w:rPr>
      </w:pPr>
      <w:r w:rsidRPr="007E4DA1">
        <w:rPr>
          <w:sz w:val="22"/>
          <w:szCs w:val="22"/>
          <w:lang w:val="pl-PL"/>
        </w:rPr>
        <w:t>Analiza utrzymywania się odpowiedzi w okresie bez leczenia</w:t>
      </w:r>
    </w:p>
    <w:p w14:paraId="5E0DBD35" w14:textId="77777777" w:rsidR="00A43C5D" w:rsidRPr="007E4DA1" w:rsidRDefault="00A43C5D" w:rsidP="001A6584">
      <w:pPr>
        <w:pStyle w:val="CommentText"/>
        <w:tabs>
          <w:tab w:val="clear" w:pos="567"/>
          <w:tab w:val="left" w:pos="142"/>
        </w:tabs>
        <w:spacing w:line="240" w:lineRule="auto"/>
        <w:rPr>
          <w:sz w:val="22"/>
          <w:szCs w:val="22"/>
          <w:lang w:val="pl-PL"/>
        </w:rPr>
      </w:pPr>
      <w:r w:rsidRPr="007E4DA1">
        <w:rPr>
          <w:sz w:val="22"/>
          <w:szCs w:val="22"/>
          <w:lang w:val="pl-PL"/>
        </w:rPr>
        <w:t>Pierwszorzędowym punktem końcowym był odsetek pacjentów z utrzymywaniem się odpowiedzi w okresie bez leczenia do miesiąca 12. Pacjenci, którzy uzyskali liczbę płytek krwi ≥100 000/</w:t>
      </w:r>
      <w:r w:rsidRPr="007E4DA1">
        <w:rPr>
          <w:sz w:val="22"/>
          <w:szCs w:val="22"/>
          <w:lang w:val="pl-PL"/>
        </w:rPr>
        <w:sym w:font="Symbol" w:char="F06D"/>
      </w:r>
      <w:r w:rsidRPr="007E4DA1">
        <w:rPr>
          <w:sz w:val="22"/>
          <w:szCs w:val="22"/>
          <w:lang w:val="pl-PL"/>
        </w:rPr>
        <w:t>l i przez 2 miesiące utrzymali liczbę płytek krwi oscylującą wokół wartości 100 000/</w:t>
      </w:r>
      <w:r w:rsidRPr="007E4DA1">
        <w:rPr>
          <w:sz w:val="22"/>
          <w:szCs w:val="22"/>
          <w:lang w:val="pl-PL"/>
        </w:rPr>
        <w:sym w:font="Symbol" w:char="F06D"/>
      </w:r>
      <w:r w:rsidRPr="007E4DA1">
        <w:rPr>
          <w:sz w:val="22"/>
          <w:szCs w:val="22"/>
          <w:lang w:val="pl-PL"/>
        </w:rPr>
        <w:t>l (brak wyników poniżej 70 000/</w:t>
      </w:r>
      <w:r w:rsidRPr="007E4DA1">
        <w:rPr>
          <w:sz w:val="22"/>
          <w:szCs w:val="22"/>
          <w:lang w:val="pl-PL"/>
        </w:rPr>
        <w:sym w:font="Symbol" w:char="F06D"/>
      </w:r>
      <w:r w:rsidRPr="007E4DA1">
        <w:rPr>
          <w:sz w:val="22"/>
          <w:szCs w:val="22"/>
          <w:lang w:val="pl-PL"/>
        </w:rPr>
        <w:t>l) kwalifikowali się do stopniowego zmniejszania dawki eltrombopagu i zakończenia leczenia. Aby uznać, że pacjent osiągnął odpowiedź utrzymującą się w okresie bez leczenia, pacjent musiał utrzymać liczbę płytek krwi na poziomie ≥30 000/</w:t>
      </w:r>
      <w:r w:rsidRPr="007E4DA1">
        <w:rPr>
          <w:sz w:val="22"/>
          <w:szCs w:val="22"/>
          <w:lang w:val="pl-PL"/>
        </w:rPr>
        <w:sym w:font="Symbol" w:char="F06D"/>
      </w:r>
      <w:r w:rsidRPr="007E4DA1">
        <w:rPr>
          <w:sz w:val="22"/>
          <w:szCs w:val="22"/>
          <w:lang w:val="pl-PL"/>
        </w:rPr>
        <w:t>l przy braku zdarzeń krwawienia lub stosowania terapii ratunkowej, zarówno w okresie stopniowego zmniejszania dawki, jak i po zakończeniu leczenia aż do miesiąca 12.</w:t>
      </w:r>
    </w:p>
    <w:p w14:paraId="50207391" w14:textId="77777777" w:rsidR="00A43C5D" w:rsidRPr="007E4DA1" w:rsidRDefault="00A43C5D" w:rsidP="001A6584">
      <w:pPr>
        <w:pStyle w:val="CommentText"/>
        <w:tabs>
          <w:tab w:val="clear" w:pos="567"/>
          <w:tab w:val="left" w:pos="142"/>
        </w:tabs>
        <w:spacing w:line="240" w:lineRule="auto"/>
        <w:rPr>
          <w:sz w:val="22"/>
          <w:szCs w:val="22"/>
          <w:lang w:val="pl-PL"/>
        </w:rPr>
      </w:pPr>
    </w:p>
    <w:p w14:paraId="07FE6F4D" w14:textId="77777777" w:rsidR="00A43C5D" w:rsidRPr="007E4DA1" w:rsidRDefault="00A43C5D" w:rsidP="001A6584">
      <w:pPr>
        <w:pStyle w:val="CommentText"/>
        <w:tabs>
          <w:tab w:val="clear" w:pos="567"/>
          <w:tab w:val="left" w:pos="142"/>
        </w:tabs>
        <w:spacing w:line="240" w:lineRule="auto"/>
        <w:rPr>
          <w:sz w:val="22"/>
          <w:szCs w:val="22"/>
          <w:lang w:val="pl-PL"/>
        </w:rPr>
      </w:pPr>
      <w:r w:rsidRPr="007E4DA1">
        <w:rPr>
          <w:sz w:val="22"/>
          <w:szCs w:val="22"/>
          <w:lang w:val="pl-PL"/>
        </w:rPr>
        <w:t>Czas trwania okresu zmniejszania dawki był dobierany indywidualnie w zależności od dawki początkowej i odpowiedzi pacjenta na leczenie. Zgodnie ze schematem zmniejszania dawki zalecano redukcję dawki o 25 mg co 2 tygodnie, jeśli liczba płytek krwi była stabilna. Po zmniejszeniu dawki dobowej do 25 mg przez 2 tygodnie, dawkę 25 mg podawano następnie tylko co drugi dzień przez 2 tygodnie aż do zakończenia leczenia. U pacjentów pochodzenia wschodnio-/południowo-wschodnioazjatyckiego dawkę zmniejszano wolniej, o 12,5 mg co drugi tydzień. Jeśli wystąpił nawrót choroby (definiowany jako liczba płytek krwi &lt;30 000/</w:t>
      </w:r>
      <w:r w:rsidRPr="007E4DA1">
        <w:rPr>
          <w:sz w:val="22"/>
          <w:szCs w:val="22"/>
          <w:lang w:val="pl-PL"/>
        </w:rPr>
        <w:sym w:font="Symbol" w:char="F06D"/>
      </w:r>
      <w:r w:rsidRPr="007E4DA1">
        <w:rPr>
          <w:sz w:val="22"/>
          <w:szCs w:val="22"/>
          <w:lang w:val="pl-PL"/>
        </w:rPr>
        <w:t>l), pacjentom proponowano nową kurację eltrombopagiem z zastosowaniem odpowiedniej dawki początkowej.</w:t>
      </w:r>
    </w:p>
    <w:p w14:paraId="4700867C" w14:textId="77777777" w:rsidR="00A43C5D" w:rsidRPr="007E4DA1" w:rsidRDefault="00A43C5D" w:rsidP="001A6584">
      <w:pPr>
        <w:pStyle w:val="CommentText"/>
        <w:tabs>
          <w:tab w:val="clear" w:pos="567"/>
          <w:tab w:val="left" w:pos="142"/>
        </w:tabs>
        <w:spacing w:line="240" w:lineRule="auto"/>
        <w:rPr>
          <w:sz w:val="22"/>
          <w:szCs w:val="22"/>
          <w:lang w:val="pl-PL"/>
        </w:rPr>
      </w:pPr>
    </w:p>
    <w:p w14:paraId="7A340EA5" w14:textId="7D5EFB46" w:rsidR="00A43C5D" w:rsidRPr="007E4DA1" w:rsidRDefault="00A43C5D" w:rsidP="001A6584">
      <w:pPr>
        <w:pStyle w:val="CommentText"/>
        <w:tabs>
          <w:tab w:val="clear" w:pos="567"/>
          <w:tab w:val="left" w:pos="142"/>
        </w:tabs>
        <w:spacing w:line="240" w:lineRule="auto"/>
        <w:rPr>
          <w:sz w:val="22"/>
          <w:szCs w:val="22"/>
          <w:lang w:val="pl-PL"/>
        </w:rPr>
      </w:pPr>
      <w:r w:rsidRPr="007E4DA1">
        <w:rPr>
          <w:sz w:val="22"/>
          <w:szCs w:val="22"/>
          <w:lang w:val="pl-PL"/>
        </w:rPr>
        <w:t>Osiemdziesięciu dziewięciu pacjentów (84,8%) uzyskało odpowiedź całkowitą (liczba płytek krwi ≥100 000/</w:t>
      </w:r>
      <w:r w:rsidRPr="007E4DA1">
        <w:rPr>
          <w:sz w:val="22"/>
          <w:szCs w:val="22"/>
          <w:lang w:val="pl-PL"/>
        </w:rPr>
        <w:sym w:font="Symbol" w:char="F06D"/>
      </w:r>
      <w:r w:rsidRPr="007E4DA1">
        <w:rPr>
          <w:sz w:val="22"/>
          <w:szCs w:val="22"/>
          <w:lang w:val="pl-PL"/>
        </w:rPr>
        <w:t>l) (</w:t>
      </w:r>
      <w:r w:rsidR="00E52F84">
        <w:rPr>
          <w:sz w:val="22"/>
          <w:szCs w:val="22"/>
          <w:lang w:val="pl-PL"/>
        </w:rPr>
        <w:t>e</w:t>
      </w:r>
      <w:r w:rsidRPr="007E4DA1">
        <w:rPr>
          <w:sz w:val="22"/>
          <w:szCs w:val="22"/>
          <w:lang w:val="pl-PL"/>
        </w:rPr>
        <w:t xml:space="preserve">tap 1, </w:t>
      </w:r>
      <w:r w:rsidR="00E52F84">
        <w:rPr>
          <w:sz w:val="22"/>
          <w:szCs w:val="22"/>
          <w:lang w:val="pl-PL"/>
        </w:rPr>
        <w:t>t</w:t>
      </w:r>
      <w:r w:rsidRPr="007E4DA1">
        <w:rPr>
          <w:sz w:val="22"/>
          <w:szCs w:val="22"/>
          <w:lang w:val="pl-PL"/>
        </w:rPr>
        <w:t>abela </w:t>
      </w:r>
      <w:r w:rsidR="001C1AF1">
        <w:rPr>
          <w:sz w:val="22"/>
          <w:szCs w:val="22"/>
          <w:lang w:val="pl-PL"/>
        </w:rPr>
        <w:t>9</w:t>
      </w:r>
      <w:r w:rsidRPr="007E4DA1">
        <w:rPr>
          <w:sz w:val="22"/>
          <w:szCs w:val="22"/>
          <w:lang w:val="pl-PL"/>
        </w:rPr>
        <w:t>), a 65 pacjentów (61,9%) utrzymało odpowiedź całkowitą przez co najmniej 2 miesiące przy braku wyniku liczby płytek krwi poniżej 70 000/</w:t>
      </w:r>
      <w:r w:rsidRPr="007E4DA1">
        <w:rPr>
          <w:sz w:val="22"/>
          <w:szCs w:val="22"/>
          <w:lang w:val="pl-PL"/>
        </w:rPr>
        <w:sym w:font="Symbol" w:char="F06D"/>
      </w:r>
      <w:r w:rsidRPr="007E4DA1">
        <w:rPr>
          <w:sz w:val="22"/>
          <w:szCs w:val="22"/>
          <w:lang w:val="pl-PL"/>
        </w:rPr>
        <w:t>l (</w:t>
      </w:r>
      <w:r w:rsidR="00E52F84">
        <w:rPr>
          <w:sz w:val="22"/>
          <w:szCs w:val="22"/>
          <w:lang w:val="pl-PL"/>
        </w:rPr>
        <w:t>e</w:t>
      </w:r>
      <w:r w:rsidRPr="007E4DA1">
        <w:rPr>
          <w:sz w:val="22"/>
          <w:szCs w:val="22"/>
          <w:lang w:val="pl-PL"/>
        </w:rPr>
        <w:t xml:space="preserve">tap 2, </w:t>
      </w:r>
      <w:r w:rsidR="00E52F84">
        <w:rPr>
          <w:sz w:val="22"/>
          <w:szCs w:val="22"/>
          <w:lang w:val="pl-PL"/>
        </w:rPr>
        <w:t>t</w:t>
      </w:r>
      <w:r w:rsidRPr="007E4DA1">
        <w:rPr>
          <w:sz w:val="22"/>
          <w:szCs w:val="22"/>
          <w:lang w:val="pl-PL"/>
        </w:rPr>
        <w:t>abela </w:t>
      </w:r>
      <w:r w:rsidR="001C1AF1">
        <w:rPr>
          <w:sz w:val="22"/>
          <w:szCs w:val="22"/>
          <w:lang w:val="pl-PL"/>
        </w:rPr>
        <w:t>9</w:t>
      </w:r>
      <w:r w:rsidRPr="007E4DA1">
        <w:rPr>
          <w:sz w:val="22"/>
          <w:szCs w:val="22"/>
          <w:lang w:val="pl-PL"/>
        </w:rPr>
        <w:t>). Czterdziestu czterech pacjentów (41,9%) było w stanie stopniowo zmniejszać dawkę eltrombopagu aż do całkowitego zakończenia leczenia utrzymując liczbę płytek krwi na poziomie ≥30 000/</w:t>
      </w:r>
      <w:r w:rsidRPr="007E4DA1">
        <w:rPr>
          <w:sz w:val="22"/>
          <w:szCs w:val="22"/>
          <w:lang w:val="pl-PL"/>
        </w:rPr>
        <w:sym w:font="Symbol" w:char="F06D"/>
      </w:r>
      <w:r w:rsidRPr="007E4DA1">
        <w:rPr>
          <w:sz w:val="22"/>
          <w:szCs w:val="22"/>
          <w:lang w:val="pl-PL"/>
        </w:rPr>
        <w:t>l przy braku zdarzeń krwawienia lub stosowania terapii ratunkowej (</w:t>
      </w:r>
      <w:r w:rsidR="00E52F84">
        <w:rPr>
          <w:sz w:val="22"/>
          <w:szCs w:val="22"/>
          <w:lang w:val="pl-PL"/>
        </w:rPr>
        <w:t>e</w:t>
      </w:r>
      <w:r w:rsidRPr="007E4DA1">
        <w:rPr>
          <w:sz w:val="22"/>
          <w:szCs w:val="22"/>
          <w:lang w:val="pl-PL"/>
        </w:rPr>
        <w:t xml:space="preserve">tap 3, </w:t>
      </w:r>
      <w:r w:rsidR="00E52F84">
        <w:rPr>
          <w:sz w:val="22"/>
          <w:szCs w:val="22"/>
          <w:lang w:val="pl-PL"/>
        </w:rPr>
        <w:t>t</w:t>
      </w:r>
      <w:r w:rsidRPr="007E4DA1">
        <w:rPr>
          <w:sz w:val="22"/>
          <w:szCs w:val="22"/>
          <w:lang w:val="pl-PL"/>
        </w:rPr>
        <w:t>abela </w:t>
      </w:r>
      <w:r w:rsidR="001C1AF1">
        <w:rPr>
          <w:sz w:val="22"/>
          <w:szCs w:val="22"/>
          <w:lang w:val="pl-PL"/>
        </w:rPr>
        <w:t>9</w:t>
      </w:r>
      <w:r w:rsidRPr="007E4DA1">
        <w:rPr>
          <w:sz w:val="22"/>
          <w:szCs w:val="22"/>
          <w:lang w:val="pl-PL"/>
        </w:rPr>
        <w:t>).</w:t>
      </w:r>
    </w:p>
    <w:p w14:paraId="3A22DAB6" w14:textId="77777777" w:rsidR="00A43C5D" w:rsidRPr="007E4DA1" w:rsidRDefault="00A43C5D" w:rsidP="001A6584">
      <w:pPr>
        <w:pStyle w:val="CommentText"/>
        <w:tabs>
          <w:tab w:val="clear" w:pos="567"/>
          <w:tab w:val="left" w:pos="142"/>
        </w:tabs>
        <w:spacing w:line="240" w:lineRule="auto"/>
        <w:rPr>
          <w:sz w:val="22"/>
          <w:szCs w:val="22"/>
          <w:lang w:val="pl-PL"/>
        </w:rPr>
      </w:pPr>
    </w:p>
    <w:p w14:paraId="662D3AE0" w14:textId="77A91CDC" w:rsidR="00A43C5D" w:rsidRPr="007E4DA1" w:rsidRDefault="00A43C5D" w:rsidP="001A6584">
      <w:pPr>
        <w:pStyle w:val="CommentText"/>
        <w:tabs>
          <w:tab w:val="clear" w:pos="567"/>
          <w:tab w:val="left" w:pos="142"/>
        </w:tabs>
        <w:spacing w:line="240" w:lineRule="auto"/>
        <w:rPr>
          <w:sz w:val="22"/>
          <w:szCs w:val="22"/>
          <w:lang w:val="pl-PL"/>
        </w:rPr>
      </w:pPr>
      <w:r w:rsidRPr="007E4DA1">
        <w:rPr>
          <w:sz w:val="22"/>
          <w:szCs w:val="22"/>
          <w:lang w:val="pl-PL"/>
        </w:rPr>
        <w:t>Badanie osiągnęło cel główny wykazując, że eltrombopag był w stanie wywołać odpowiedź utrzymującą się w okresie bez leczenia, przy braku zdarzeń krwawienia lub stosowania terapii ratunkowej do 12 miesięcy u 32 ze 105 pacjentów włączonych do badania (30,5%; p&lt;0,0001; 95% CI: 21,9; 40,2) (</w:t>
      </w:r>
      <w:r w:rsidR="00E52F84">
        <w:rPr>
          <w:sz w:val="22"/>
          <w:szCs w:val="22"/>
          <w:lang w:val="pl-PL"/>
        </w:rPr>
        <w:t>e</w:t>
      </w:r>
      <w:r w:rsidRPr="007E4DA1">
        <w:rPr>
          <w:sz w:val="22"/>
          <w:szCs w:val="22"/>
          <w:lang w:val="pl-PL"/>
        </w:rPr>
        <w:t xml:space="preserve">tap 4, </w:t>
      </w:r>
      <w:r w:rsidR="00E52F84">
        <w:rPr>
          <w:sz w:val="22"/>
          <w:szCs w:val="22"/>
          <w:lang w:val="pl-PL"/>
        </w:rPr>
        <w:t>t</w:t>
      </w:r>
      <w:r w:rsidRPr="007E4DA1">
        <w:rPr>
          <w:sz w:val="22"/>
          <w:szCs w:val="22"/>
          <w:lang w:val="pl-PL"/>
        </w:rPr>
        <w:t>abela </w:t>
      </w:r>
      <w:r w:rsidR="001C1AF1">
        <w:rPr>
          <w:sz w:val="22"/>
          <w:szCs w:val="22"/>
          <w:lang w:val="pl-PL"/>
        </w:rPr>
        <w:t>9</w:t>
      </w:r>
      <w:r w:rsidRPr="007E4DA1">
        <w:rPr>
          <w:sz w:val="22"/>
          <w:szCs w:val="22"/>
          <w:lang w:val="pl-PL"/>
        </w:rPr>
        <w:t>). Po 24 miesiącach u 20 ze 105 pacjentów włączonych do badania (19,0%; 95% CI: 12,0; 27,9) odpowiedź na leczenie utrzymywała się w okresie bez leczenia przy braku zdarzeń krwawienia lub stosowania terapii ratunkowej (</w:t>
      </w:r>
      <w:r w:rsidR="00E52F84">
        <w:rPr>
          <w:sz w:val="22"/>
          <w:szCs w:val="22"/>
          <w:lang w:val="pl-PL"/>
        </w:rPr>
        <w:t>e</w:t>
      </w:r>
      <w:r w:rsidRPr="007E4DA1">
        <w:rPr>
          <w:sz w:val="22"/>
          <w:szCs w:val="22"/>
          <w:lang w:val="pl-PL"/>
        </w:rPr>
        <w:t xml:space="preserve">tap 5, </w:t>
      </w:r>
      <w:r w:rsidR="00E52F84">
        <w:rPr>
          <w:sz w:val="22"/>
          <w:szCs w:val="22"/>
          <w:lang w:val="pl-PL"/>
        </w:rPr>
        <w:t>t</w:t>
      </w:r>
      <w:r w:rsidRPr="007E4DA1">
        <w:rPr>
          <w:sz w:val="22"/>
          <w:szCs w:val="22"/>
          <w:lang w:val="pl-PL"/>
        </w:rPr>
        <w:t>abela </w:t>
      </w:r>
      <w:r w:rsidR="001C1AF1">
        <w:rPr>
          <w:sz w:val="22"/>
          <w:szCs w:val="22"/>
          <w:lang w:val="pl-PL"/>
        </w:rPr>
        <w:t>9</w:t>
      </w:r>
      <w:r w:rsidRPr="007E4DA1">
        <w:rPr>
          <w:sz w:val="22"/>
          <w:szCs w:val="22"/>
          <w:lang w:val="pl-PL"/>
        </w:rPr>
        <w:t>).</w:t>
      </w:r>
    </w:p>
    <w:p w14:paraId="70389D81" w14:textId="77777777" w:rsidR="00A43C5D" w:rsidRPr="007E4DA1" w:rsidRDefault="00A43C5D" w:rsidP="001A6584">
      <w:pPr>
        <w:pStyle w:val="CommentText"/>
        <w:tabs>
          <w:tab w:val="clear" w:pos="567"/>
          <w:tab w:val="left" w:pos="142"/>
        </w:tabs>
        <w:spacing w:line="240" w:lineRule="auto"/>
        <w:rPr>
          <w:sz w:val="22"/>
          <w:szCs w:val="22"/>
          <w:lang w:val="pl-PL"/>
        </w:rPr>
      </w:pPr>
    </w:p>
    <w:p w14:paraId="46FF60EA" w14:textId="77777777" w:rsidR="00A43C5D" w:rsidRPr="007E4DA1" w:rsidRDefault="00A43C5D" w:rsidP="001A6584">
      <w:pPr>
        <w:pStyle w:val="CommentText"/>
        <w:tabs>
          <w:tab w:val="clear" w:pos="567"/>
          <w:tab w:val="left" w:pos="142"/>
        </w:tabs>
        <w:spacing w:line="240" w:lineRule="auto"/>
        <w:rPr>
          <w:sz w:val="22"/>
          <w:szCs w:val="22"/>
          <w:lang w:val="pl-PL"/>
        </w:rPr>
      </w:pPr>
      <w:r w:rsidRPr="007E4DA1">
        <w:rPr>
          <w:sz w:val="22"/>
          <w:szCs w:val="22"/>
          <w:lang w:val="pl-PL"/>
        </w:rPr>
        <w:t>Mediana czasu trwania odpowiedzi utrzymującej się po zakończeniu leczenia do miesiąca 12. wyniosła 33,3 tygodnia (min.-maks: 4-51), a mediana czasu trwania odpowiedzi utrzymującej się po zakończeniu leczenia do miesiąca 24. wyniosła 88,6 tygodnia (min.-maks.: 57-107).</w:t>
      </w:r>
    </w:p>
    <w:p w14:paraId="4E35BF02" w14:textId="77777777" w:rsidR="00A43C5D" w:rsidRPr="007E4DA1" w:rsidRDefault="00A43C5D" w:rsidP="001A6584">
      <w:pPr>
        <w:pStyle w:val="CommentText"/>
        <w:tabs>
          <w:tab w:val="clear" w:pos="567"/>
          <w:tab w:val="left" w:pos="142"/>
        </w:tabs>
        <w:spacing w:line="240" w:lineRule="auto"/>
        <w:rPr>
          <w:sz w:val="22"/>
          <w:szCs w:val="22"/>
          <w:lang w:val="pl-PL"/>
        </w:rPr>
      </w:pPr>
    </w:p>
    <w:p w14:paraId="7EED8CEF" w14:textId="77777777" w:rsidR="00A43C5D" w:rsidRPr="007E4DA1" w:rsidRDefault="00A43C5D" w:rsidP="001A6584">
      <w:pPr>
        <w:pStyle w:val="CommentText"/>
        <w:tabs>
          <w:tab w:val="clear" w:pos="567"/>
          <w:tab w:val="left" w:pos="142"/>
        </w:tabs>
        <w:spacing w:line="240" w:lineRule="auto"/>
        <w:rPr>
          <w:sz w:val="22"/>
          <w:szCs w:val="22"/>
          <w:lang w:val="pl-PL"/>
        </w:rPr>
      </w:pPr>
      <w:r w:rsidRPr="007E4DA1">
        <w:rPr>
          <w:sz w:val="22"/>
          <w:szCs w:val="22"/>
          <w:lang w:val="pl-PL"/>
        </w:rPr>
        <w:t>Po stopniowym zmniejszeniu dawki i zakończeniu leczenia eltrombopagiem u 12 pacjentów doszło do utraty odpowiedzi na leczenie, 8 z nich wznowiło leczenie eltrombopagiem, a u 7 wystąpiła odpowiedź w postaci regeneracji.</w:t>
      </w:r>
    </w:p>
    <w:p w14:paraId="7A44AB86" w14:textId="77777777" w:rsidR="00A43C5D" w:rsidRPr="007E4DA1" w:rsidRDefault="00A43C5D" w:rsidP="001A6584">
      <w:pPr>
        <w:pStyle w:val="CommentText"/>
        <w:tabs>
          <w:tab w:val="clear" w:pos="567"/>
          <w:tab w:val="left" w:pos="142"/>
        </w:tabs>
        <w:spacing w:line="240" w:lineRule="auto"/>
        <w:rPr>
          <w:sz w:val="22"/>
          <w:szCs w:val="22"/>
          <w:lang w:val="pl-PL"/>
        </w:rPr>
      </w:pPr>
    </w:p>
    <w:p w14:paraId="377539E1" w14:textId="77777777" w:rsidR="00A43C5D" w:rsidRPr="007E4DA1" w:rsidRDefault="00A43C5D" w:rsidP="001A6584">
      <w:pPr>
        <w:pStyle w:val="CommentText"/>
        <w:tabs>
          <w:tab w:val="clear" w:pos="567"/>
          <w:tab w:val="left" w:pos="142"/>
        </w:tabs>
        <w:spacing w:line="240" w:lineRule="auto"/>
        <w:rPr>
          <w:sz w:val="22"/>
          <w:szCs w:val="22"/>
          <w:lang w:val="pl-PL"/>
        </w:rPr>
      </w:pPr>
      <w:r w:rsidRPr="007E4DA1">
        <w:rPr>
          <w:sz w:val="22"/>
          <w:szCs w:val="22"/>
          <w:lang w:val="pl-PL"/>
        </w:rPr>
        <w:t xml:space="preserve">Podczas 2-letniego okresu obserwacji, u 6 ze 105 pacjentów (5,7%) wystąpiły zdarzenia zakrzepowo-zatorowe, przy czym u 3 pacjentów (2,9%) wystąpiła zakrzepica żył głębokich, u 1 pacjenta (1,0%) – </w:t>
      </w:r>
      <w:r w:rsidRPr="007E4DA1">
        <w:rPr>
          <w:sz w:val="22"/>
          <w:szCs w:val="22"/>
          <w:lang w:val="pl-PL"/>
        </w:rPr>
        <w:lastRenderedPageBreak/>
        <w:t>zakrzepica żył powierzchownych, u 1 pacjenta (1,0%) wystąpiła zakrzepica zatoki jamistej, u 1 pacjenta (1,0%) – incydent naczyniowo-mózgowy i u 1 pacjenta (1,0%) – zatorowość płucna. U 4 spośród 6 pacjentów wystąpiły zdarzenia zakrzepowo-zatorowe, które zgłaszano w stopniu nasilenia 3. lub wyższym, a u 4 pacjentów wystąpiło zdarzenie zakrzepowo-zatorowe, które zgłoszono jako ciężkie. Nie zgłoszono żadnych przypadków śmiertelnych.</w:t>
      </w:r>
    </w:p>
    <w:p w14:paraId="273A2C81" w14:textId="77777777" w:rsidR="00A43C5D" w:rsidRPr="007E4DA1" w:rsidRDefault="00A43C5D" w:rsidP="001A6584">
      <w:pPr>
        <w:pStyle w:val="CommentText"/>
        <w:tabs>
          <w:tab w:val="clear" w:pos="567"/>
          <w:tab w:val="left" w:pos="142"/>
        </w:tabs>
        <w:spacing w:line="240" w:lineRule="auto"/>
        <w:rPr>
          <w:sz w:val="22"/>
          <w:szCs w:val="22"/>
          <w:lang w:val="pl-PL"/>
        </w:rPr>
      </w:pPr>
    </w:p>
    <w:p w14:paraId="7DCA1A70" w14:textId="77777777" w:rsidR="00A43C5D" w:rsidRPr="007E4DA1" w:rsidRDefault="00A43C5D" w:rsidP="001A6584">
      <w:pPr>
        <w:pStyle w:val="CommentText"/>
        <w:tabs>
          <w:tab w:val="clear" w:pos="567"/>
          <w:tab w:val="left" w:pos="142"/>
        </w:tabs>
        <w:spacing w:line="240" w:lineRule="auto"/>
        <w:rPr>
          <w:sz w:val="22"/>
          <w:szCs w:val="22"/>
          <w:lang w:val="pl-PL"/>
        </w:rPr>
      </w:pPr>
      <w:r w:rsidRPr="007E4DA1">
        <w:rPr>
          <w:sz w:val="22"/>
          <w:szCs w:val="22"/>
          <w:lang w:val="pl-PL"/>
        </w:rPr>
        <w:t>U 20 ze 105 pacjentów (19,0%) wystąpiły zdarzenia krwotoku o nasileniu łagodnym do ciężkiego, które miały miejsce podczas leczenia przed rozpoczęciem stopniowego zmniejszania dawki. Podczas zmniejszania dawki u 5 z 65 pacjentów (7,7%), którzy rozpoczęli zmniejszanie dawki wystąpiły zdarzenia krwotoku o nasileniu łagodnym do umiarkowanego. Nie odnotowano żadnego ciężkiego zdarzenia krwotoku w okresie stopniowego zmniejszania dawki. U 2 z 44 pacjentów (4,5%), którzy stopniowo zmniejszyli dawkę, a następnie zakończyli leczenie eltrombopagiem wystąpiły zdarzenia krwotoku o nasileniu łagodnym do umiarkowanego w okresie od zakończenia leczenia do miesiąca 12. W tym czasie nie doszło do ciężkich zdarzeń krwotoku. U żadnego z pacjentów, którzy zakończyli leczenie eltrombopagiem i rozpoczęli drugi rok obserwacji nie wystąpiło zdarzenie krwotoku w drugim roku. W 2-letnim okresie obserwacji zgłoszono dwa zdarzenia śmiertelnego krwotoku wewnątrzczaszkowego. Oba zdarzenia wystąpiły podczas stosowania leczenia, nie w kontekście zmniejszania dawki. Zdarzenia te nie zostały uznane za mające związek z badanym leczeniem.</w:t>
      </w:r>
    </w:p>
    <w:p w14:paraId="4D654920" w14:textId="77777777" w:rsidR="00A43C5D" w:rsidRPr="007E4DA1" w:rsidRDefault="00A43C5D" w:rsidP="001A6584">
      <w:pPr>
        <w:pStyle w:val="CommentText"/>
        <w:tabs>
          <w:tab w:val="clear" w:pos="567"/>
          <w:tab w:val="left" w:pos="142"/>
        </w:tabs>
        <w:spacing w:line="240" w:lineRule="auto"/>
        <w:rPr>
          <w:sz w:val="22"/>
          <w:szCs w:val="22"/>
          <w:lang w:val="pl-PL"/>
        </w:rPr>
      </w:pPr>
    </w:p>
    <w:p w14:paraId="41B33601" w14:textId="77777777" w:rsidR="00A43C5D" w:rsidRPr="007E4DA1" w:rsidRDefault="00A43C5D" w:rsidP="001A6584">
      <w:pPr>
        <w:pStyle w:val="CommentText"/>
        <w:tabs>
          <w:tab w:val="clear" w:pos="567"/>
          <w:tab w:val="left" w:pos="142"/>
        </w:tabs>
        <w:spacing w:line="240" w:lineRule="auto"/>
        <w:rPr>
          <w:sz w:val="22"/>
          <w:szCs w:val="22"/>
          <w:lang w:val="pl-PL"/>
        </w:rPr>
      </w:pPr>
      <w:r w:rsidRPr="007E4DA1">
        <w:rPr>
          <w:sz w:val="22"/>
          <w:szCs w:val="22"/>
          <w:lang w:val="pl-PL"/>
        </w:rPr>
        <w:t>Ogólna analiza bezpieczeństwa stosowania jest spójna z wcześniej zgłaszanymi danymi, a ocena stosunku korzyści do ryzyka nie zmieniała się w odniesieniu do stosowania eltrombopagu u pacjentów z ITP.</w:t>
      </w:r>
    </w:p>
    <w:p w14:paraId="132B94FD" w14:textId="77777777" w:rsidR="00A43C5D" w:rsidRPr="007E4DA1" w:rsidRDefault="00A43C5D" w:rsidP="001A6584">
      <w:pPr>
        <w:pStyle w:val="CommentText"/>
        <w:tabs>
          <w:tab w:val="clear" w:pos="567"/>
          <w:tab w:val="left" w:pos="142"/>
        </w:tabs>
        <w:spacing w:line="240" w:lineRule="auto"/>
        <w:rPr>
          <w:sz w:val="22"/>
          <w:szCs w:val="22"/>
          <w:lang w:val="pl-PL"/>
        </w:rPr>
      </w:pPr>
    </w:p>
    <w:p w14:paraId="09FF7279" w14:textId="2DC51E82" w:rsidR="00A43C5D" w:rsidRPr="007E4DA1" w:rsidRDefault="00A43C5D" w:rsidP="001A6584">
      <w:pPr>
        <w:pStyle w:val="CommentText"/>
        <w:keepNext/>
        <w:tabs>
          <w:tab w:val="clear" w:pos="567"/>
          <w:tab w:val="left" w:pos="142"/>
        </w:tabs>
        <w:spacing w:line="240" w:lineRule="auto"/>
        <w:ind w:left="1134" w:hanging="1134"/>
        <w:rPr>
          <w:sz w:val="22"/>
          <w:szCs w:val="22"/>
          <w:lang w:val="pl-PL"/>
        </w:rPr>
      </w:pPr>
      <w:r w:rsidRPr="007E4DA1">
        <w:rPr>
          <w:b/>
          <w:bCs/>
          <w:sz w:val="22"/>
          <w:szCs w:val="22"/>
          <w:lang w:val="pl-PL"/>
        </w:rPr>
        <w:t xml:space="preserve">Tabela </w:t>
      </w:r>
      <w:r w:rsidR="001C1AF1">
        <w:rPr>
          <w:b/>
          <w:bCs/>
          <w:sz w:val="22"/>
          <w:szCs w:val="22"/>
          <w:lang w:val="pl-PL"/>
        </w:rPr>
        <w:t>9</w:t>
      </w:r>
      <w:r w:rsidRPr="007E4DA1">
        <w:rPr>
          <w:b/>
          <w:bCs/>
          <w:sz w:val="22"/>
          <w:szCs w:val="22"/>
          <w:lang w:val="pl-PL"/>
        </w:rPr>
        <w:tab/>
        <w:t>Odsetek pacjentów z odpowiedzią na leczenie utrzymująca się w okresie bez leczenia w miesiącu 12. i w miesiącu 24. (pełna analizowana grupa) w badaniu TAPER</w:t>
      </w:r>
    </w:p>
    <w:p w14:paraId="27D74727" w14:textId="77777777" w:rsidR="00A43C5D" w:rsidRPr="007E4DA1" w:rsidRDefault="00A43C5D" w:rsidP="001A6584">
      <w:pPr>
        <w:pStyle w:val="CommentText"/>
        <w:keepNext/>
        <w:tabs>
          <w:tab w:val="clear" w:pos="567"/>
          <w:tab w:val="left" w:pos="142"/>
        </w:tabs>
        <w:spacing w:line="240" w:lineRule="auto"/>
        <w:rPr>
          <w:sz w:val="22"/>
          <w:szCs w:val="22"/>
          <w:lang w:val="pl-PL"/>
        </w:rPr>
      </w:pPr>
    </w:p>
    <w:tbl>
      <w:tblPr>
        <w:tblW w:w="9349" w:type="dxa"/>
        <w:jc w:val="center"/>
        <w:tblLayout w:type="fixed"/>
        <w:tblCellMar>
          <w:left w:w="0" w:type="dxa"/>
          <w:right w:w="0" w:type="dxa"/>
        </w:tblCellMar>
        <w:tblLook w:val="0000" w:firstRow="0" w:lastRow="0" w:firstColumn="0" w:lastColumn="0" w:noHBand="0" w:noVBand="0"/>
      </w:tblPr>
      <w:tblGrid>
        <w:gridCol w:w="5397"/>
        <w:gridCol w:w="979"/>
        <w:gridCol w:w="1083"/>
        <w:gridCol w:w="900"/>
        <w:gridCol w:w="981"/>
        <w:gridCol w:w="9"/>
      </w:tblGrid>
      <w:tr w:rsidR="00A43C5D" w:rsidRPr="007E4DA1" w14:paraId="79AB6853" w14:textId="77777777" w:rsidTr="00553AB7">
        <w:trPr>
          <w:gridAfter w:val="1"/>
          <w:wAfter w:w="6" w:type="dxa"/>
          <w:cantSplit/>
          <w:jc w:val="center"/>
        </w:trPr>
        <w:tc>
          <w:tcPr>
            <w:tcW w:w="5400" w:type="dxa"/>
            <w:tcBorders>
              <w:top w:val="single" w:sz="4" w:space="0" w:color="000000"/>
              <w:left w:val="nil"/>
              <w:bottom w:val="nil"/>
              <w:right w:val="single" w:sz="4" w:space="0" w:color="auto"/>
            </w:tcBorders>
            <w:shd w:val="clear" w:color="auto" w:fill="FFFFFF"/>
            <w:tcMar>
              <w:left w:w="60" w:type="dxa"/>
              <w:right w:w="60" w:type="dxa"/>
            </w:tcMar>
          </w:tcPr>
          <w:p w14:paraId="08D169AE" w14:textId="77777777" w:rsidR="00A43C5D" w:rsidRPr="007E4DA1" w:rsidRDefault="00A43C5D" w:rsidP="001A6584">
            <w:pPr>
              <w:adjustRightInd w:val="0"/>
              <w:rPr>
                <w:b/>
                <w:bCs/>
                <w:color w:val="000000"/>
                <w:sz w:val="20"/>
              </w:rPr>
            </w:pPr>
          </w:p>
        </w:tc>
        <w:tc>
          <w:tcPr>
            <w:tcW w:w="2062"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64CFE8C3" w14:textId="77777777" w:rsidR="00A43C5D" w:rsidRPr="007E4DA1" w:rsidRDefault="00A43C5D" w:rsidP="001A6584">
            <w:pPr>
              <w:adjustRightInd w:val="0"/>
              <w:jc w:val="center"/>
              <w:rPr>
                <w:b/>
                <w:bCs/>
                <w:color w:val="000000"/>
                <w:sz w:val="20"/>
              </w:rPr>
            </w:pPr>
            <w:r w:rsidRPr="007E4DA1">
              <w:rPr>
                <w:b/>
                <w:bCs/>
                <w:color w:val="000000"/>
                <w:sz w:val="20"/>
              </w:rPr>
              <w:t>Wszyscy pacjenci</w:t>
            </w:r>
            <w:r w:rsidRPr="007E4DA1">
              <w:rPr>
                <w:b/>
                <w:bCs/>
                <w:color w:val="000000"/>
                <w:sz w:val="20"/>
              </w:rPr>
              <w:br/>
              <w:t>N=105</w:t>
            </w:r>
          </w:p>
        </w:tc>
        <w:tc>
          <w:tcPr>
            <w:tcW w:w="1881" w:type="dxa"/>
            <w:gridSpan w:val="2"/>
            <w:tcBorders>
              <w:top w:val="single" w:sz="4" w:space="0" w:color="000000"/>
              <w:left w:val="single" w:sz="4" w:space="0" w:color="auto"/>
              <w:bottom w:val="nil"/>
              <w:right w:val="nil"/>
            </w:tcBorders>
            <w:shd w:val="clear" w:color="auto" w:fill="FFFFFF"/>
            <w:tcMar>
              <w:left w:w="60" w:type="dxa"/>
              <w:right w:w="60" w:type="dxa"/>
            </w:tcMar>
          </w:tcPr>
          <w:p w14:paraId="172175A8" w14:textId="77777777" w:rsidR="00A43C5D" w:rsidRPr="007E4DA1" w:rsidRDefault="00A43C5D" w:rsidP="001A6584">
            <w:pPr>
              <w:adjustRightInd w:val="0"/>
              <w:jc w:val="center"/>
              <w:rPr>
                <w:b/>
                <w:bCs/>
                <w:color w:val="000000"/>
                <w:sz w:val="20"/>
              </w:rPr>
            </w:pPr>
            <w:r w:rsidRPr="007E4DA1">
              <w:rPr>
                <w:b/>
                <w:bCs/>
                <w:color w:val="000000"/>
                <w:sz w:val="20"/>
              </w:rPr>
              <w:t>Testowanie hipotez</w:t>
            </w:r>
          </w:p>
        </w:tc>
      </w:tr>
      <w:tr w:rsidR="00A43C5D" w:rsidRPr="007E4DA1" w14:paraId="5454535D" w14:textId="77777777" w:rsidTr="00553AB7">
        <w:trPr>
          <w:cantSplit/>
          <w:jc w:val="center"/>
        </w:trPr>
        <w:tc>
          <w:tcPr>
            <w:tcW w:w="5400" w:type="dxa"/>
            <w:tcBorders>
              <w:top w:val="nil"/>
              <w:left w:val="nil"/>
              <w:bottom w:val="single" w:sz="4" w:space="0" w:color="000000"/>
              <w:right w:val="single" w:sz="4" w:space="0" w:color="auto"/>
            </w:tcBorders>
            <w:shd w:val="clear" w:color="auto" w:fill="FFFFFF"/>
            <w:tcMar>
              <w:left w:w="60" w:type="dxa"/>
              <w:right w:w="60" w:type="dxa"/>
            </w:tcMar>
          </w:tcPr>
          <w:p w14:paraId="3FCE1E21" w14:textId="77777777" w:rsidR="00A43C5D" w:rsidRPr="007E4DA1" w:rsidRDefault="00A43C5D" w:rsidP="001A6584">
            <w:pPr>
              <w:adjustRightInd w:val="0"/>
              <w:rPr>
                <w:b/>
                <w:bCs/>
                <w:color w:val="000000"/>
                <w:sz w:val="20"/>
              </w:rPr>
            </w:pPr>
          </w:p>
        </w:tc>
        <w:tc>
          <w:tcPr>
            <w:tcW w:w="979"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6166BA11" w14:textId="77777777" w:rsidR="00A43C5D" w:rsidRPr="007E4DA1" w:rsidRDefault="00A43C5D" w:rsidP="001A6584">
            <w:pPr>
              <w:adjustRightInd w:val="0"/>
              <w:jc w:val="center"/>
              <w:rPr>
                <w:b/>
                <w:bCs/>
                <w:color w:val="000000"/>
                <w:sz w:val="20"/>
              </w:rPr>
            </w:pPr>
            <w:r w:rsidRPr="007E4DA1">
              <w:rPr>
                <w:b/>
                <w:bCs/>
                <w:color w:val="000000"/>
                <w:sz w:val="20"/>
              </w:rPr>
              <w:t>n (%)</w:t>
            </w:r>
          </w:p>
        </w:tc>
        <w:tc>
          <w:tcPr>
            <w:tcW w:w="108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3CFD1576" w14:textId="77777777" w:rsidR="00A43C5D" w:rsidRPr="007E4DA1" w:rsidRDefault="00A43C5D" w:rsidP="001A6584">
            <w:pPr>
              <w:adjustRightInd w:val="0"/>
              <w:jc w:val="center"/>
              <w:rPr>
                <w:b/>
                <w:bCs/>
                <w:color w:val="000000"/>
                <w:sz w:val="20"/>
              </w:rPr>
            </w:pPr>
            <w:r w:rsidRPr="007E4DA1">
              <w:rPr>
                <w:b/>
                <w:bCs/>
                <w:color w:val="000000"/>
                <w:sz w:val="20"/>
              </w:rPr>
              <w:t>95% CI</w:t>
            </w:r>
          </w:p>
        </w:tc>
        <w:tc>
          <w:tcPr>
            <w:tcW w:w="90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542D304D" w14:textId="77777777" w:rsidR="00A43C5D" w:rsidRPr="007E4DA1" w:rsidRDefault="00A43C5D" w:rsidP="001A6584">
            <w:pPr>
              <w:adjustRightInd w:val="0"/>
              <w:ind w:left="0" w:firstLine="0"/>
              <w:jc w:val="center"/>
              <w:rPr>
                <w:b/>
                <w:bCs/>
                <w:color w:val="000000"/>
                <w:sz w:val="20"/>
              </w:rPr>
            </w:pPr>
            <w:r w:rsidRPr="007E4DA1">
              <w:rPr>
                <w:b/>
                <w:bCs/>
                <w:color w:val="000000"/>
                <w:sz w:val="20"/>
              </w:rPr>
              <w:t>Wartość p</w:t>
            </w:r>
          </w:p>
        </w:tc>
        <w:tc>
          <w:tcPr>
            <w:tcW w:w="990" w:type="dxa"/>
            <w:gridSpan w:val="2"/>
            <w:tcBorders>
              <w:top w:val="nil"/>
              <w:left w:val="single" w:sz="4" w:space="0" w:color="auto"/>
              <w:bottom w:val="single" w:sz="4" w:space="0" w:color="000000"/>
              <w:right w:val="nil"/>
            </w:tcBorders>
            <w:shd w:val="clear" w:color="auto" w:fill="FFFFFF"/>
            <w:tcMar>
              <w:left w:w="60" w:type="dxa"/>
              <w:right w:w="60" w:type="dxa"/>
            </w:tcMar>
          </w:tcPr>
          <w:p w14:paraId="64A2CB0B" w14:textId="77777777" w:rsidR="00A43C5D" w:rsidRPr="007E4DA1" w:rsidRDefault="00A43C5D" w:rsidP="001A6584">
            <w:pPr>
              <w:adjustRightInd w:val="0"/>
              <w:ind w:left="0" w:firstLine="0"/>
              <w:jc w:val="center"/>
              <w:rPr>
                <w:b/>
                <w:bCs/>
                <w:color w:val="000000"/>
                <w:sz w:val="20"/>
              </w:rPr>
            </w:pPr>
            <w:r w:rsidRPr="007E4DA1">
              <w:rPr>
                <w:b/>
                <w:bCs/>
                <w:color w:val="000000"/>
                <w:sz w:val="20"/>
              </w:rPr>
              <w:t>Odrzucenie H0</w:t>
            </w:r>
          </w:p>
        </w:tc>
      </w:tr>
      <w:tr w:rsidR="00A43C5D" w:rsidRPr="007E4DA1" w14:paraId="447EB577" w14:textId="77777777" w:rsidTr="00553AB7">
        <w:trPr>
          <w:cantSplit/>
          <w:jc w:val="center"/>
        </w:trPr>
        <w:tc>
          <w:tcPr>
            <w:tcW w:w="5400"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420F05FB" w14:textId="77777777" w:rsidR="00A43C5D" w:rsidRPr="007E4DA1" w:rsidRDefault="00A43C5D" w:rsidP="001A6584">
            <w:pPr>
              <w:adjustRightInd w:val="0"/>
              <w:ind w:left="624" w:hanging="624"/>
              <w:rPr>
                <w:color w:val="000000"/>
                <w:sz w:val="20"/>
              </w:rPr>
            </w:pPr>
            <w:r w:rsidRPr="007E4DA1">
              <w:rPr>
                <w:color w:val="000000"/>
                <w:sz w:val="20"/>
              </w:rPr>
              <w:t>Etap 1:</w:t>
            </w:r>
            <w:r w:rsidRPr="007E4DA1">
              <w:rPr>
                <w:color w:val="000000"/>
                <w:sz w:val="20"/>
              </w:rPr>
              <w:tab/>
              <w:t>Pacjenci, którzy osiągnęli liczbę płytek krwi ≥100 000/µl przynajmniej jeden raz</w:t>
            </w:r>
          </w:p>
        </w:tc>
        <w:tc>
          <w:tcPr>
            <w:tcW w:w="979"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556536F0" w14:textId="77777777" w:rsidR="00A43C5D" w:rsidRPr="007E4DA1" w:rsidRDefault="00A43C5D" w:rsidP="001A6584">
            <w:pPr>
              <w:adjustRightInd w:val="0"/>
              <w:jc w:val="center"/>
              <w:rPr>
                <w:color w:val="000000"/>
                <w:sz w:val="20"/>
              </w:rPr>
            </w:pPr>
            <w:r w:rsidRPr="007E4DA1">
              <w:rPr>
                <w:color w:val="000000"/>
                <w:sz w:val="20"/>
              </w:rPr>
              <w:t>89 (84,8)</w:t>
            </w:r>
          </w:p>
        </w:tc>
        <w:tc>
          <w:tcPr>
            <w:tcW w:w="108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26F97D57" w14:textId="77777777" w:rsidR="00A43C5D" w:rsidRPr="007E4DA1" w:rsidRDefault="00A43C5D" w:rsidP="001A6584">
            <w:pPr>
              <w:adjustRightInd w:val="0"/>
              <w:jc w:val="center"/>
              <w:rPr>
                <w:color w:val="000000"/>
                <w:sz w:val="20"/>
              </w:rPr>
            </w:pPr>
            <w:r w:rsidRPr="007E4DA1">
              <w:rPr>
                <w:color w:val="000000"/>
                <w:sz w:val="20"/>
              </w:rPr>
              <w:t>(76,4; 91,0)</w:t>
            </w:r>
          </w:p>
        </w:tc>
        <w:tc>
          <w:tcPr>
            <w:tcW w:w="90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4C4A3883" w14:textId="77777777" w:rsidR="00A43C5D" w:rsidRPr="007E4DA1" w:rsidRDefault="00A43C5D" w:rsidP="001A6584">
            <w:pPr>
              <w:adjustRightInd w:val="0"/>
              <w:jc w:val="center"/>
              <w:rPr>
                <w:color w:val="000000"/>
                <w:sz w:val="20"/>
              </w:rPr>
            </w:pPr>
          </w:p>
        </w:tc>
        <w:tc>
          <w:tcPr>
            <w:tcW w:w="990" w:type="dxa"/>
            <w:gridSpan w:val="2"/>
            <w:tcBorders>
              <w:top w:val="single" w:sz="4" w:space="0" w:color="000000"/>
              <w:left w:val="single" w:sz="4" w:space="0" w:color="auto"/>
              <w:bottom w:val="single" w:sz="4" w:space="0" w:color="auto"/>
              <w:right w:val="nil"/>
            </w:tcBorders>
            <w:shd w:val="clear" w:color="auto" w:fill="FFFFFF"/>
            <w:tcMar>
              <w:left w:w="60" w:type="dxa"/>
              <w:right w:w="60" w:type="dxa"/>
            </w:tcMar>
          </w:tcPr>
          <w:p w14:paraId="5666E57C" w14:textId="77777777" w:rsidR="00A43C5D" w:rsidRPr="007E4DA1" w:rsidRDefault="00A43C5D" w:rsidP="001A6584">
            <w:pPr>
              <w:adjustRightInd w:val="0"/>
              <w:jc w:val="center"/>
              <w:rPr>
                <w:color w:val="000000"/>
                <w:sz w:val="20"/>
              </w:rPr>
            </w:pPr>
          </w:p>
        </w:tc>
      </w:tr>
      <w:tr w:rsidR="00A43C5D" w:rsidRPr="007E4DA1" w14:paraId="2A6041E6" w14:textId="77777777" w:rsidTr="00553AB7">
        <w:trPr>
          <w:cantSplit/>
          <w:jc w:val="center"/>
        </w:trPr>
        <w:tc>
          <w:tcPr>
            <w:tcW w:w="540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4C0473E4" w14:textId="77777777" w:rsidR="00A43C5D" w:rsidRPr="007E4DA1" w:rsidRDefault="00A43C5D" w:rsidP="001A6584">
            <w:pPr>
              <w:adjustRightInd w:val="0"/>
              <w:ind w:left="624" w:hanging="624"/>
              <w:rPr>
                <w:color w:val="000000"/>
                <w:sz w:val="20"/>
              </w:rPr>
            </w:pPr>
            <w:r w:rsidRPr="007E4DA1">
              <w:rPr>
                <w:color w:val="000000"/>
                <w:sz w:val="20"/>
              </w:rPr>
              <w:t>Etap 2:</w:t>
            </w:r>
            <w:r w:rsidRPr="007E4DA1">
              <w:rPr>
                <w:color w:val="000000"/>
                <w:sz w:val="20"/>
              </w:rPr>
              <w:tab/>
              <w:t>Pacjenci, którzy utrzymali stabilną liczbę płytek krwi przez 2 miesiące po osiągnięciu wartości 100 000/µl (brak wyników &lt;70 000/µl)</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1DECD9D" w14:textId="77777777" w:rsidR="00A43C5D" w:rsidRPr="007E4DA1" w:rsidRDefault="00A43C5D" w:rsidP="001A6584">
            <w:pPr>
              <w:adjustRightInd w:val="0"/>
              <w:jc w:val="center"/>
              <w:rPr>
                <w:color w:val="000000"/>
                <w:sz w:val="20"/>
              </w:rPr>
            </w:pPr>
            <w:r w:rsidRPr="007E4DA1">
              <w:rPr>
                <w:color w:val="000000"/>
                <w:sz w:val="20"/>
              </w:rPr>
              <w:t>65 (61,9)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B82ED6E" w14:textId="77777777" w:rsidR="00A43C5D" w:rsidRPr="007E4DA1" w:rsidRDefault="00A43C5D" w:rsidP="001A6584">
            <w:pPr>
              <w:adjustRightInd w:val="0"/>
              <w:jc w:val="center"/>
              <w:rPr>
                <w:color w:val="000000"/>
                <w:sz w:val="20"/>
              </w:rPr>
            </w:pPr>
            <w:r w:rsidRPr="007E4DA1">
              <w:rPr>
                <w:color w:val="000000"/>
                <w:sz w:val="20"/>
              </w:rPr>
              <w:t>(51,9; 71,2)</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28DB764B" w14:textId="77777777" w:rsidR="00A43C5D" w:rsidRPr="007E4DA1" w:rsidRDefault="00A43C5D" w:rsidP="001A6584">
            <w:pPr>
              <w:adjustRightInd w:val="0"/>
              <w:jc w:val="center"/>
              <w:rPr>
                <w:color w:val="000000"/>
                <w:sz w:val="20"/>
              </w:rPr>
            </w:pPr>
          </w:p>
        </w:tc>
        <w:tc>
          <w:tcPr>
            <w:tcW w:w="990"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0655F337" w14:textId="77777777" w:rsidR="00A43C5D" w:rsidRPr="007E4DA1" w:rsidRDefault="00A43C5D" w:rsidP="001A6584">
            <w:pPr>
              <w:adjustRightInd w:val="0"/>
              <w:jc w:val="center"/>
              <w:rPr>
                <w:color w:val="000000"/>
                <w:sz w:val="20"/>
              </w:rPr>
            </w:pPr>
          </w:p>
        </w:tc>
      </w:tr>
      <w:tr w:rsidR="00A43C5D" w:rsidRPr="007E4DA1" w14:paraId="221A0F15" w14:textId="77777777" w:rsidTr="00553AB7">
        <w:trPr>
          <w:cantSplit/>
          <w:jc w:val="center"/>
        </w:trPr>
        <w:tc>
          <w:tcPr>
            <w:tcW w:w="540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49CCE1E1" w14:textId="77777777" w:rsidR="00A43C5D" w:rsidRPr="007E4DA1" w:rsidRDefault="00A43C5D" w:rsidP="001A6584">
            <w:pPr>
              <w:adjustRightInd w:val="0"/>
              <w:ind w:left="624" w:hanging="624"/>
              <w:rPr>
                <w:color w:val="000000"/>
                <w:sz w:val="20"/>
                <w:lang w:val="x-none"/>
              </w:rPr>
            </w:pPr>
            <w:r w:rsidRPr="007E4DA1">
              <w:rPr>
                <w:color w:val="000000"/>
                <w:sz w:val="20"/>
              </w:rPr>
              <w:t>Etap 3:</w:t>
            </w:r>
            <w:r w:rsidRPr="007E4DA1">
              <w:rPr>
                <w:color w:val="000000"/>
                <w:sz w:val="20"/>
              </w:rPr>
              <w:tab/>
              <w:t>Pacjenci, u których można było stopniowo zmniejszyć dawkę eltrombopagu aż do zakończenia leczenia, utrzymując liczbę płytek krwi ≥30 000/µl przy braku krwawienia lub zastosowania jakiejkolwiek terapii ratunkowej</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54025FF6" w14:textId="77777777" w:rsidR="00A43C5D" w:rsidRPr="007E4DA1" w:rsidRDefault="00A43C5D" w:rsidP="001A6584">
            <w:pPr>
              <w:adjustRightInd w:val="0"/>
              <w:jc w:val="center"/>
              <w:rPr>
                <w:color w:val="000000"/>
                <w:sz w:val="20"/>
              </w:rPr>
            </w:pPr>
            <w:r w:rsidRPr="007E4DA1">
              <w:rPr>
                <w:color w:val="000000"/>
                <w:sz w:val="20"/>
              </w:rPr>
              <w:t>44 (41,9)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7A28376E" w14:textId="77777777" w:rsidR="00A43C5D" w:rsidRPr="007E4DA1" w:rsidRDefault="00A43C5D" w:rsidP="001A6584">
            <w:pPr>
              <w:adjustRightInd w:val="0"/>
              <w:jc w:val="center"/>
              <w:rPr>
                <w:color w:val="000000"/>
                <w:sz w:val="20"/>
              </w:rPr>
            </w:pPr>
            <w:r w:rsidRPr="007E4DA1">
              <w:rPr>
                <w:color w:val="000000"/>
                <w:sz w:val="20"/>
              </w:rPr>
              <w:t>(32,3; 51,9)</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73E379B5" w14:textId="77777777" w:rsidR="00A43C5D" w:rsidRPr="007E4DA1" w:rsidRDefault="00A43C5D" w:rsidP="001A6584">
            <w:pPr>
              <w:adjustRightInd w:val="0"/>
              <w:jc w:val="center"/>
              <w:rPr>
                <w:color w:val="000000"/>
                <w:sz w:val="20"/>
              </w:rPr>
            </w:pPr>
          </w:p>
        </w:tc>
        <w:tc>
          <w:tcPr>
            <w:tcW w:w="990"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78C1139B" w14:textId="77777777" w:rsidR="00A43C5D" w:rsidRPr="007E4DA1" w:rsidRDefault="00A43C5D" w:rsidP="001A6584">
            <w:pPr>
              <w:adjustRightInd w:val="0"/>
              <w:jc w:val="center"/>
              <w:rPr>
                <w:color w:val="000000"/>
                <w:sz w:val="20"/>
              </w:rPr>
            </w:pPr>
          </w:p>
        </w:tc>
      </w:tr>
      <w:tr w:rsidR="00A43C5D" w:rsidRPr="007E4DA1" w14:paraId="7968A4B5" w14:textId="77777777" w:rsidTr="00553AB7">
        <w:trPr>
          <w:cantSplit/>
          <w:jc w:val="center"/>
        </w:trPr>
        <w:tc>
          <w:tcPr>
            <w:tcW w:w="5400" w:type="dxa"/>
            <w:tcBorders>
              <w:top w:val="single" w:sz="4" w:space="0" w:color="auto"/>
              <w:left w:val="nil"/>
              <w:bottom w:val="nil"/>
              <w:right w:val="single" w:sz="4" w:space="0" w:color="auto"/>
            </w:tcBorders>
            <w:shd w:val="clear" w:color="auto" w:fill="FFFFFF"/>
            <w:tcMar>
              <w:left w:w="60" w:type="dxa"/>
              <w:right w:w="60" w:type="dxa"/>
            </w:tcMar>
          </w:tcPr>
          <w:p w14:paraId="5CC15026" w14:textId="77777777" w:rsidR="00A43C5D" w:rsidRPr="007E4DA1" w:rsidRDefault="00A43C5D" w:rsidP="001A6584">
            <w:pPr>
              <w:adjustRightInd w:val="0"/>
              <w:ind w:left="624" w:hanging="624"/>
              <w:rPr>
                <w:color w:val="000000"/>
                <w:sz w:val="20"/>
              </w:rPr>
            </w:pPr>
            <w:r w:rsidRPr="007E4DA1">
              <w:rPr>
                <w:color w:val="000000"/>
                <w:sz w:val="20"/>
              </w:rPr>
              <w:t>Etap 4:</w:t>
            </w:r>
            <w:r w:rsidRPr="007E4DA1">
              <w:rPr>
                <w:color w:val="000000"/>
                <w:sz w:val="20"/>
              </w:rPr>
              <w:tab/>
              <w:t>Pacjenci, którzy utrzymali odpowiedź na leczenie w okresie bez leczenia aż do miesiąca 12., z utrzymaniem liczby płytek krwi ≥30 000/µl i brakiem krwawienia lub brakiem stosowania jakiejkolwiek terapii ratunkowej</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7F2CB27E" w14:textId="77777777" w:rsidR="00A43C5D" w:rsidRPr="007E4DA1" w:rsidRDefault="00A43C5D" w:rsidP="001A6584">
            <w:pPr>
              <w:adjustRightInd w:val="0"/>
              <w:jc w:val="center"/>
              <w:rPr>
                <w:color w:val="000000"/>
                <w:sz w:val="20"/>
              </w:rPr>
            </w:pPr>
            <w:r w:rsidRPr="007E4DA1">
              <w:rPr>
                <w:color w:val="000000"/>
                <w:sz w:val="20"/>
              </w:rPr>
              <w:t>32 (30,5)</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70C8932B" w14:textId="77777777" w:rsidR="00A43C5D" w:rsidRPr="007E4DA1" w:rsidRDefault="00A43C5D" w:rsidP="001A6584">
            <w:pPr>
              <w:adjustRightInd w:val="0"/>
              <w:jc w:val="center"/>
              <w:rPr>
                <w:color w:val="000000"/>
                <w:sz w:val="20"/>
              </w:rPr>
            </w:pPr>
            <w:r w:rsidRPr="007E4DA1">
              <w:rPr>
                <w:color w:val="000000"/>
                <w:sz w:val="20"/>
              </w:rPr>
              <w:t>(21,9; 40,2)</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59C2BB27" w14:textId="77777777" w:rsidR="00A43C5D" w:rsidRPr="007E4DA1" w:rsidRDefault="00A43C5D" w:rsidP="001A6584">
            <w:pPr>
              <w:adjustRightInd w:val="0"/>
              <w:jc w:val="center"/>
              <w:rPr>
                <w:color w:val="000000"/>
                <w:sz w:val="20"/>
              </w:rPr>
            </w:pPr>
            <w:r w:rsidRPr="007E4DA1">
              <w:rPr>
                <w:color w:val="000000"/>
                <w:sz w:val="20"/>
              </w:rPr>
              <w:t>&lt;0,0001*</w:t>
            </w:r>
          </w:p>
        </w:tc>
        <w:tc>
          <w:tcPr>
            <w:tcW w:w="990" w:type="dxa"/>
            <w:gridSpan w:val="2"/>
            <w:tcBorders>
              <w:top w:val="single" w:sz="4" w:space="0" w:color="auto"/>
              <w:left w:val="single" w:sz="4" w:space="0" w:color="auto"/>
              <w:bottom w:val="nil"/>
              <w:right w:val="nil"/>
            </w:tcBorders>
            <w:shd w:val="clear" w:color="auto" w:fill="FFFFFF"/>
            <w:tcMar>
              <w:left w:w="60" w:type="dxa"/>
              <w:right w:w="60" w:type="dxa"/>
            </w:tcMar>
          </w:tcPr>
          <w:p w14:paraId="1E929B9D" w14:textId="77777777" w:rsidR="00A43C5D" w:rsidRPr="007E4DA1" w:rsidRDefault="00A43C5D" w:rsidP="001A6584">
            <w:pPr>
              <w:adjustRightInd w:val="0"/>
              <w:jc w:val="center"/>
              <w:rPr>
                <w:color w:val="000000"/>
                <w:sz w:val="20"/>
              </w:rPr>
            </w:pPr>
            <w:r w:rsidRPr="007E4DA1">
              <w:rPr>
                <w:color w:val="000000"/>
                <w:sz w:val="20"/>
              </w:rPr>
              <w:t>Tak</w:t>
            </w:r>
          </w:p>
        </w:tc>
      </w:tr>
      <w:tr w:rsidR="00A43C5D" w:rsidRPr="007E4DA1" w14:paraId="58DF3579" w14:textId="77777777" w:rsidTr="00553AB7">
        <w:trPr>
          <w:cantSplit/>
          <w:jc w:val="center"/>
        </w:trPr>
        <w:tc>
          <w:tcPr>
            <w:tcW w:w="5400" w:type="dxa"/>
            <w:tcBorders>
              <w:top w:val="single" w:sz="4" w:space="0" w:color="auto"/>
              <w:left w:val="nil"/>
              <w:bottom w:val="nil"/>
              <w:right w:val="single" w:sz="4" w:space="0" w:color="auto"/>
            </w:tcBorders>
            <w:shd w:val="clear" w:color="auto" w:fill="FFFFFF"/>
            <w:tcMar>
              <w:left w:w="60" w:type="dxa"/>
              <w:right w:w="60" w:type="dxa"/>
            </w:tcMar>
          </w:tcPr>
          <w:p w14:paraId="3E83A951" w14:textId="77777777" w:rsidR="00A43C5D" w:rsidRPr="007E4DA1" w:rsidRDefault="00A43C5D" w:rsidP="001A6584">
            <w:pPr>
              <w:adjustRightInd w:val="0"/>
              <w:ind w:left="624" w:hanging="624"/>
              <w:rPr>
                <w:color w:val="000000"/>
                <w:sz w:val="20"/>
              </w:rPr>
            </w:pPr>
            <w:r w:rsidRPr="007E4DA1">
              <w:rPr>
                <w:color w:val="000000"/>
                <w:sz w:val="20"/>
              </w:rPr>
              <w:t>Etap 5:</w:t>
            </w:r>
            <w:r w:rsidRPr="007E4DA1">
              <w:rPr>
                <w:color w:val="000000"/>
                <w:sz w:val="20"/>
              </w:rPr>
              <w:tab/>
              <w:t>Pacjenci którzy utrzymali odpowiedź na leczenie w okresie bez leczenia, od miesiąca 12. do miesiąca 24., z utrzymaniem liczby płytek krwi na poziomie ≥30 000/µl i brakiem krwawienia lub brakiem stosowania jakiejkolwiek terapii ratunkowej</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5C03621D" w14:textId="77777777" w:rsidR="00A43C5D" w:rsidRPr="007E4DA1" w:rsidRDefault="00A43C5D" w:rsidP="001A6584">
            <w:pPr>
              <w:adjustRightInd w:val="0"/>
              <w:jc w:val="center"/>
              <w:rPr>
                <w:color w:val="000000"/>
                <w:sz w:val="20"/>
              </w:rPr>
            </w:pPr>
            <w:r w:rsidRPr="007E4DA1">
              <w:rPr>
                <w:color w:val="000000"/>
                <w:sz w:val="20"/>
              </w:rPr>
              <w:t>20 (19,0)</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8D7DCA3" w14:textId="77777777" w:rsidR="00A43C5D" w:rsidRPr="007E4DA1" w:rsidRDefault="00A43C5D" w:rsidP="001A6584">
            <w:pPr>
              <w:adjustRightInd w:val="0"/>
              <w:jc w:val="center"/>
              <w:rPr>
                <w:color w:val="000000"/>
                <w:sz w:val="20"/>
              </w:rPr>
            </w:pPr>
            <w:r w:rsidRPr="007E4DA1">
              <w:rPr>
                <w:color w:val="000000"/>
                <w:sz w:val="20"/>
              </w:rPr>
              <w:t>(12,0; 27,9)</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5C38147B" w14:textId="77777777" w:rsidR="00A43C5D" w:rsidRPr="007E4DA1" w:rsidRDefault="00A43C5D" w:rsidP="001A6584">
            <w:pPr>
              <w:adjustRightInd w:val="0"/>
              <w:jc w:val="center"/>
              <w:rPr>
                <w:color w:val="000000"/>
                <w:sz w:val="20"/>
              </w:rPr>
            </w:pPr>
          </w:p>
        </w:tc>
        <w:tc>
          <w:tcPr>
            <w:tcW w:w="990" w:type="dxa"/>
            <w:gridSpan w:val="2"/>
            <w:tcBorders>
              <w:top w:val="single" w:sz="4" w:space="0" w:color="auto"/>
              <w:left w:val="single" w:sz="4" w:space="0" w:color="auto"/>
              <w:bottom w:val="nil"/>
              <w:right w:val="nil"/>
            </w:tcBorders>
            <w:shd w:val="clear" w:color="auto" w:fill="FFFFFF"/>
            <w:tcMar>
              <w:left w:w="60" w:type="dxa"/>
              <w:right w:w="60" w:type="dxa"/>
            </w:tcMar>
          </w:tcPr>
          <w:p w14:paraId="6E76A685" w14:textId="77777777" w:rsidR="00A43C5D" w:rsidRPr="007E4DA1" w:rsidRDefault="00A43C5D" w:rsidP="001A6584">
            <w:pPr>
              <w:adjustRightInd w:val="0"/>
              <w:jc w:val="center"/>
              <w:rPr>
                <w:color w:val="000000"/>
                <w:sz w:val="20"/>
              </w:rPr>
            </w:pPr>
          </w:p>
        </w:tc>
      </w:tr>
      <w:tr w:rsidR="00A43C5D" w:rsidRPr="007E4DA1" w14:paraId="6CF2EE4B" w14:textId="77777777" w:rsidTr="00553AB7">
        <w:trPr>
          <w:cantSplit/>
          <w:jc w:val="center"/>
        </w:trPr>
        <w:tc>
          <w:tcPr>
            <w:tcW w:w="9335" w:type="dxa"/>
            <w:gridSpan w:val="6"/>
            <w:tcBorders>
              <w:top w:val="single" w:sz="2" w:space="0" w:color="000000"/>
              <w:left w:val="nil"/>
              <w:bottom w:val="single" w:sz="4" w:space="0" w:color="000000"/>
              <w:right w:val="nil"/>
            </w:tcBorders>
            <w:shd w:val="clear" w:color="auto" w:fill="FFFFFF"/>
            <w:tcMar>
              <w:left w:w="60" w:type="dxa"/>
              <w:right w:w="60" w:type="dxa"/>
            </w:tcMar>
          </w:tcPr>
          <w:p w14:paraId="06135839" w14:textId="77777777" w:rsidR="00A43C5D" w:rsidRPr="007E4DA1" w:rsidRDefault="00A43C5D" w:rsidP="001A6584">
            <w:pPr>
              <w:adjustRightInd w:val="0"/>
              <w:rPr>
                <w:color w:val="000000"/>
                <w:sz w:val="18"/>
                <w:szCs w:val="18"/>
              </w:rPr>
            </w:pPr>
            <w:r w:rsidRPr="007E4DA1">
              <w:rPr>
                <w:color w:val="000000"/>
                <w:sz w:val="18"/>
                <w:szCs w:val="18"/>
              </w:rPr>
              <w:t>N: Całkowita liczba pacjentów w grupie terapeutycznej. Jest to mianownik przy obliczaniu odsetka (%).</w:t>
            </w:r>
          </w:p>
          <w:p w14:paraId="2F2C4073" w14:textId="77777777" w:rsidR="00A43C5D" w:rsidRPr="007E4DA1" w:rsidRDefault="00A43C5D" w:rsidP="001A6584">
            <w:pPr>
              <w:adjustRightInd w:val="0"/>
              <w:rPr>
                <w:color w:val="000000"/>
                <w:sz w:val="18"/>
                <w:szCs w:val="18"/>
              </w:rPr>
            </w:pPr>
            <w:r w:rsidRPr="007E4DA1">
              <w:rPr>
                <w:color w:val="000000"/>
                <w:sz w:val="18"/>
                <w:szCs w:val="18"/>
              </w:rPr>
              <w:t>n: Liczba pacjentów w odpowiedniej kategorii.</w:t>
            </w:r>
          </w:p>
          <w:p w14:paraId="4FB14907" w14:textId="77777777" w:rsidR="00A43C5D" w:rsidRPr="007E4DA1" w:rsidRDefault="00A43C5D" w:rsidP="001A6584">
            <w:pPr>
              <w:adjustRightInd w:val="0"/>
              <w:ind w:left="0" w:firstLine="0"/>
              <w:rPr>
                <w:color w:val="000000"/>
                <w:sz w:val="18"/>
                <w:szCs w:val="18"/>
              </w:rPr>
            </w:pPr>
            <w:r w:rsidRPr="007E4DA1">
              <w:rPr>
                <w:color w:val="000000"/>
                <w:sz w:val="18"/>
                <w:szCs w:val="18"/>
              </w:rPr>
              <w:t>95% CI dla rozkładu częstości obliczono dokładną metodą Cloppera-Pearsona. Test Cloppera</w:t>
            </w:r>
            <w:r w:rsidRPr="007E4DA1">
              <w:rPr>
                <w:color w:val="000000"/>
                <w:sz w:val="18"/>
                <w:szCs w:val="18"/>
              </w:rPr>
              <w:noBreakHyphen/>
              <w:t>Pearsona zastosowano do zbadania, czy odsetek pacjentów z odpowiedzią wyniósł &gt;15%. Podano przedziały CI i wartości p.</w:t>
            </w:r>
          </w:p>
          <w:p w14:paraId="5F4B75CC" w14:textId="77777777" w:rsidR="00A43C5D" w:rsidRPr="007E4DA1" w:rsidRDefault="00A43C5D" w:rsidP="001A6584">
            <w:pPr>
              <w:adjustRightInd w:val="0"/>
              <w:rPr>
                <w:color w:val="000000"/>
                <w:sz w:val="18"/>
                <w:szCs w:val="18"/>
              </w:rPr>
            </w:pPr>
            <w:r w:rsidRPr="007E4DA1">
              <w:rPr>
                <w:color w:val="000000"/>
                <w:sz w:val="18"/>
                <w:szCs w:val="18"/>
              </w:rPr>
              <w:t>* Wskazuje istotność statystyczną (test jednostronny) przy poziomie 0,05.</w:t>
            </w:r>
          </w:p>
        </w:tc>
      </w:tr>
    </w:tbl>
    <w:p w14:paraId="20E83DA5" w14:textId="77777777" w:rsidR="00A43C5D" w:rsidRPr="007E4DA1" w:rsidRDefault="00A43C5D" w:rsidP="001A6584">
      <w:pPr>
        <w:pStyle w:val="CommentText"/>
        <w:tabs>
          <w:tab w:val="clear" w:pos="567"/>
          <w:tab w:val="left" w:pos="142"/>
        </w:tabs>
        <w:spacing w:line="240" w:lineRule="auto"/>
        <w:rPr>
          <w:sz w:val="22"/>
          <w:szCs w:val="22"/>
          <w:lang w:val="pl-PL"/>
        </w:rPr>
      </w:pPr>
    </w:p>
    <w:p w14:paraId="38D6FD7F" w14:textId="0EEF0C71" w:rsidR="007E4DA1" w:rsidRPr="007E4DA1" w:rsidRDefault="00A43C5D" w:rsidP="001A6584">
      <w:pPr>
        <w:pStyle w:val="CommentText"/>
        <w:keepNext/>
        <w:keepLines/>
        <w:tabs>
          <w:tab w:val="clear" w:pos="567"/>
          <w:tab w:val="left" w:pos="142"/>
        </w:tabs>
        <w:spacing w:line="240" w:lineRule="auto"/>
        <w:rPr>
          <w:sz w:val="22"/>
          <w:szCs w:val="22"/>
          <w:lang w:val="pl-PL"/>
        </w:rPr>
      </w:pPr>
      <w:r w:rsidRPr="007E4DA1">
        <w:rPr>
          <w:sz w:val="22"/>
          <w:szCs w:val="22"/>
          <w:lang w:val="pl-PL"/>
        </w:rPr>
        <w:t>Wyniki analizy odpowiedzi na leczenie z uwzględnieniem czasu od rozpoznania ITP</w:t>
      </w:r>
    </w:p>
    <w:p w14:paraId="6A4001F2" w14:textId="57FCE8C1" w:rsidR="00D64D4E" w:rsidRPr="007E4DA1" w:rsidRDefault="00D64D4E" w:rsidP="001A6584">
      <w:pPr>
        <w:pStyle w:val="CommentText"/>
        <w:tabs>
          <w:tab w:val="clear" w:pos="567"/>
          <w:tab w:val="left" w:pos="142"/>
        </w:tabs>
        <w:spacing w:line="240" w:lineRule="auto"/>
        <w:rPr>
          <w:sz w:val="22"/>
          <w:szCs w:val="22"/>
          <w:lang w:val="pl-PL"/>
        </w:rPr>
      </w:pPr>
      <w:r w:rsidRPr="007E4DA1">
        <w:rPr>
          <w:sz w:val="22"/>
          <w:szCs w:val="22"/>
          <w:lang w:val="pl-PL"/>
        </w:rPr>
        <w:t xml:space="preserve">Przeprowadzono analizę </w:t>
      </w:r>
      <w:r w:rsidRPr="007E4DA1">
        <w:rPr>
          <w:i/>
          <w:iCs/>
          <w:sz w:val="22"/>
          <w:szCs w:val="22"/>
          <w:lang w:val="pl-PL"/>
        </w:rPr>
        <w:t>ad hoc</w:t>
      </w:r>
      <w:r w:rsidRPr="007E4DA1">
        <w:rPr>
          <w:sz w:val="22"/>
          <w:szCs w:val="22"/>
          <w:lang w:val="pl-PL"/>
        </w:rPr>
        <w:t xml:space="preserve">, którą objęto n=105 pacjentów z uwzględnieniem czasu od rozpoznania ITP, w celu oceny odpowiedzi na eltrombopag w czterech różnych kategoriach wyodrębnionych ze względu na czas </w:t>
      </w:r>
      <w:r w:rsidR="00A43C5D" w:rsidRPr="007E4DA1">
        <w:rPr>
          <w:sz w:val="22"/>
          <w:szCs w:val="22"/>
          <w:lang w:val="pl-PL"/>
        </w:rPr>
        <w:t xml:space="preserve">od rozpoznania </w:t>
      </w:r>
      <w:r w:rsidRPr="007E4DA1">
        <w:rPr>
          <w:sz w:val="22"/>
          <w:szCs w:val="22"/>
          <w:lang w:val="pl-PL"/>
        </w:rPr>
        <w:t xml:space="preserve">ITP (nowo rozpoznana ITP trwająca &lt;3 miesiące, przetrwała ITP trwająca od 3 do &lt;6 miesięcy, przetrwała ITP trwająca od 6 do </w:t>
      </w:r>
      <w:r w:rsidRPr="007E4DA1">
        <w:rPr>
          <w:rStyle w:val="normaltextrun"/>
          <w:sz w:val="22"/>
          <w:szCs w:val="22"/>
          <w:lang w:val="pl-PL"/>
        </w:rPr>
        <w:t>≤</w:t>
      </w:r>
      <w:r w:rsidRPr="007E4DA1">
        <w:rPr>
          <w:sz w:val="22"/>
          <w:szCs w:val="22"/>
          <w:lang w:val="pl-PL"/>
        </w:rPr>
        <w:t xml:space="preserve">12 miesięcy i </w:t>
      </w:r>
      <w:r w:rsidRPr="007E4DA1">
        <w:rPr>
          <w:sz w:val="22"/>
          <w:szCs w:val="22"/>
          <w:lang w:val="pl-PL"/>
        </w:rPr>
        <w:lastRenderedPageBreak/>
        <w:t>przewlekła ITP trwająca &gt;12 miesięcy). U 49% pacjentów (n=51) rozpoznanie ITP postawiono &lt;3 miesiące wcześniej, u 20% (n=21) ITP rozpoznano 3 do &lt;6 miesięcy wcześniej, u 17% (n=18) czas od rozpoznania ITP wyniósł od 6 do ≤12 miesięcy, a u 14% (n=15) czas ten wyniósł &gt;12 miesięcy.</w:t>
      </w:r>
    </w:p>
    <w:p w14:paraId="34978758" w14:textId="77777777" w:rsidR="00D64D4E" w:rsidRPr="007E4DA1" w:rsidRDefault="00D64D4E" w:rsidP="001A6584">
      <w:pPr>
        <w:pStyle w:val="CommentText"/>
        <w:tabs>
          <w:tab w:val="clear" w:pos="567"/>
          <w:tab w:val="left" w:pos="142"/>
        </w:tabs>
        <w:spacing w:line="240" w:lineRule="auto"/>
        <w:rPr>
          <w:sz w:val="22"/>
          <w:szCs w:val="22"/>
          <w:lang w:val="pl-PL"/>
        </w:rPr>
      </w:pPr>
    </w:p>
    <w:p w14:paraId="34301110" w14:textId="77777777" w:rsidR="00D64D4E" w:rsidRPr="007E4DA1" w:rsidRDefault="00D64D4E" w:rsidP="001A6584">
      <w:pPr>
        <w:pStyle w:val="CommentText"/>
        <w:tabs>
          <w:tab w:val="clear" w:pos="567"/>
          <w:tab w:val="left" w:pos="142"/>
        </w:tabs>
        <w:spacing w:line="240" w:lineRule="auto"/>
        <w:rPr>
          <w:sz w:val="22"/>
          <w:szCs w:val="22"/>
          <w:lang w:val="pl-PL"/>
        </w:rPr>
      </w:pPr>
      <w:r w:rsidRPr="007E4DA1">
        <w:rPr>
          <w:sz w:val="22"/>
          <w:szCs w:val="22"/>
          <w:lang w:val="pl-PL"/>
        </w:rPr>
        <w:t>Do czasu zakończenia zbierania danych do analizy (22 października 2021 r.) mediana (Q1-Q3) czasu trwania ekspozycji pacjentów na eltrombopag wyniosła 6,2 miesiąca (2,3-12,0 miesiąca). Mediana (Q1-Q3) liczby płytek krwi w punkcie początkowym wyniosła 16 000/µl (7 800-28 000/µl).</w:t>
      </w:r>
    </w:p>
    <w:p w14:paraId="330B6157" w14:textId="77777777" w:rsidR="00D64D4E" w:rsidRPr="007E4DA1" w:rsidRDefault="00D64D4E" w:rsidP="001A6584">
      <w:pPr>
        <w:pStyle w:val="CommentText"/>
        <w:tabs>
          <w:tab w:val="clear" w:pos="567"/>
          <w:tab w:val="left" w:pos="142"/>
        </w:tabs>
        <w:spacing w:line="240" w:lineRule="auto"/>
        <w:rPr>
          <w:sz w:val="22"/>
          <w:szCs w:val="22"/>
          <w:lang w:val="pl-PL"/>
        </w:rPr>
      </w:pPr>
    </w:p>
    <w:p w14:paraId="56A207DE" w14:textId="14BD758D" w:rsidR="00D64D4E" w:rsidRPr="007E4DA1" w:rsidRDefault="00D64D4E" w:rsidP="001A6584">
      <w:pPr>
        <w:pStyle w:val="CommentText"/>
        <w:tabs>
          <w:tab w:val="clear" w:pos="567"/>
          <w:tab w:val="left" w:pos="142"/>
        </w:tabs>
        <w:spacing w:line="240" w:lineRule="auto"/>
        <w:rPr>
          <w:sz w:val="22"/>
          <w:szCs w:val="22"/>
          <w:lang w:val="pl-PL"/>
        </w:rPr>
      </w:pPr>
      <w:r w:rsidRPr="007E4DA1">
        <w:rPr>
          <w:sz w:val="22"/>
          <w:szCs w:val="22"/>
          <w:lang w:val="pl-PL"/>
        </w:rPr>
        <w:t>Odpowiedź ze strony płytek krwi definiowaną jako liczbę płytek krwi ≥50 000/µl występującą co najmniej jeden raz do tygodnia 9. bez zastosowania terapii ratunkowej osiągnięto u 84% (95% CI: 71% do 93%) pacjentów z nowo rozpoznaną ITP, u 91% (95% CI: 70% do 99%) i 94% (95% CI: 73% do 100%) pacjentów z przetrwałą ITP (tj. czas od rozpoznania ITP odpowiednio od 3 do &lt;6 miesięcy i od 6 do ≤ 12 miesięcy) oraz u 87% (95% CI: 60% do 98%) u pacjentów z przewlekłą ITP.</w:t>
      </w:r>
    </w:p>
    <w:p w14:paraId="2114B182" w14:textId="77777777" w:rsidR="00D64D4E" w:rsidRPr="007E4DA1" w:rsidRDefault="00D64D4E" w:rsidP="001A6584">
      <w:pPr>
        <w:pStyle w:val="CommentText"/>
        <w:tabs>
          <w:tab w:val="clear" w:pos="567"/>
          <w:tab w:val="left" w:pos="142"/>
        </w:tabs>
        <w:spacing w:line="240" w:lineRule="auto"/>
        <w:rPr>
          <w:sz w:val="22"/>
          <w:szCs w:val="22"/>
          <w:lang w:val="pl-PL"/>
        </w:rPr>
      </w:pPr>
    </w:p>
    <w:p w14:paraId="31EA843F" w14:textId="43536D87" w:rsidR="00D64D4E" w:rsidRPr="007E4DA1" w:rsidRDefault="00D64D4E" w:rsidP="001A6584">
      <w:pPr>
        <w:pStyle w:val="CommentText"/>
        <w:tabs>
          <w:tab w:val="clear" w:pos="567"/>
          <w:tab w:val="left" w:pos="142"/>
        </w:tabs>
        <w:spacing w:line="240" w:lineRule="auto"/>
        <w:rPr>
          <w:sz w:val="22"/>
          <w:szCs w:val="22"/>
          <w:lang w:val="pl-PL"/>
        </w:rPr>
      </w:pPr>
      <w:r w:rsidRPr="007E4DA1">
        <w:rPr>
          <w:sz w:val="22"/>
          <w:szCs w:val="22"/>
          <w:lang w:val="pl-PL"/>
        </w:rPr>
        <w:t>Odsetek odpowiedzi całkowitej, definiowanej jako liczba płytek krwi ≥100 000/µl występująca przynajmniej jeden raz do tygodnia 9. bez stosowania terapii ratunkowej wyniósł 75% (95% CI: 60% do 86%) u pacjentów z nowo rozpoznaną ITP, 76% (95% CI: 53% do 92%) i 72% (95% CI: 47% do 90%) u pacjentów z przetrwałą ITP (</w:t>
      </w:r>
      <w:r w:rsidR="007D03C8" w:rsidRPr="007E4DA1">
        <w:rPr>
          <w:sz w:val="22"/>
          <w:szCs w:val="22"/>
          <w:lang w:val="pl-PL"/>
        </w:rPr>
        <w:t>rozpoznanie</w:t>
      </w:r>
      <w:r w:rsidRPr="007E4DA1">
        <w:rPr>
          <w:sz w:val="22"/>
          <w:szCs w:val="22"/>
          <w:lang w:val="pl-PL"/>
        </w:rPr>
        <w:t xml:space="preserve"> ITP odpowiednio od 3 do &lt;6 miesięcy i od 6 do ≤12 miesięcy) oraz u 87% (95% CI: 60% do 98%) u pacjentów z przewlekłą ITP.</w:t>
      </w:r>
    </w:p>
    <w:p w14:paraId="0CE02B53" w14:textId="77777777" w:rsidR="00D64D4E" w:rsidRPr="007E4DA1" w:rsidRDefault="00D64D4E" w:rsidP="001A6584">
      <w:pPr>
        <w:pStyle w:val="CommentText"/>
        <w:tabs>
          <w:tab w:val="clear" w:pos="567"/>
          <w:tab w:val="left" w:pos="142"/>
        </w:tabs>
        <w:spacing w:line="240" w:lineRule="auto"/>
        <w:rPr>
          <w:sz w:val="22"/>
          <w:szCs w:val="22"/>
          <w:lang w:val="pl-PL"/>
        </w:rPr>
      </w:pPr>
    </w:p>
    <w:p w14:paraId="0EEAB8BE" w14:textId="238C86A6" w:rsidR="00D64D4E" w:rsidRPr="007E4DA1" w:rsidRDefault="00D64D4E" w:rsidP="001A6584">
      <w:pPr>
        <w:pStyle w:val="CommentText"/>
        <w:tabs>
          <w:tab w:val="clear" w:pos="567"/>
          <w:tab w:val="left" w:pos="142"/>
        </w:tabs>
        <w:spacing w:line="240" w:lineRule="auto"/>
        <w:rPr>
          <w:sz w:val="22"/>
          <w:szCs w:val="22"/>
          <w:lang w:val="pl-PL"/>
        </w:rPr>
      </w:pPr>
      <w:r w:rsidRPr="007E4DA1">
        <w:rPr>
          <w:sz w:val="22"/>
          <w:szCs w:val="22"/>
          <w:lang w:val="pl-PL"/>
        </w:rPr>
        <w:t>Odsetek trwałej odpowiedzi, definiowanej</w:t>
      </w:r>
      <w:r w:rsidR="007D03C8" w:rsidRPr="007E4DA1">
        <w:rPr>
          <w:sz w:val="22"/>
          <w:szCs w:val="22"/>
          <w:lang w:val="pl-PL"/>
        </w:rPr>
        <w:t xml:space="preserve"> </w:t>
      </w:r>
      <w:r w:rsidRPr="007E4DA1">
        <w:rPr>
          <w:sz w:val="22"/>
          <w:szCs w:val="22"/>
          <w:lang w:val="pl-PL"/>
        </w:rPr>
        <w:t>jako liczba płytek krwi ≥50 000/µl występująca w przynajmniej 6 z 8 kolejnych oznaczeń bez stosowania terapii ratunkowej w ciągu pierwszych 6 miesięcy udziału w badaniu wyniósł 71% (95% CI: 56% do 83%) u pacjentów z nowo rozpoznaną ITP, 81% (95% CI: 58% do 95%) i 72% (95% CI: 47% do 90,3%) u pacjentów z przetrwałą ITP (</w:t>
      </w:r>
      <w:r w:rsidR="007D03C8" w:rsidRPr="007E4DA1">
        <w:rPr>
          <w:sz w:val="22"/>
          <w:szCs w:val="22"/>
          <w:lang w:val="pl-PL"/>
        </w:rPr>
        <w:t>rozpoznanie</w:t>
      </w:r>
      <w:r w:rsidRPr="007E4DA1">
        <w:rPr>
          <w:sz w:val="22"/>
          <w:szCs w:val="22"/>
          <w:lang w:val="pl-PL"/>
        </w:rPr>
        <w:t xml:space="preserve"> ITP odpowiednio od 3 do &lt;6 miesięcy i od 6 do ≤12 miesięcy) oraz u 80% (95% CI: 52% do 96%) u pacjentów z przewlekłą ITP.</w:t>
      </w:r>
    </w:p>
    <w:p w14:paraId="5DBDFD3B" w14:textId="77777777" w:rsidR="00D64D4E" w:rsidRPr="007E4DA1" w:rsidRDefault="00D64D4E" w:rsidP="001A6584">
      <w:pPr>
        <w:pStyle w:val="CommentText"/>
        <w:tabs>
          <w:tab w:val="clear" w:pos="567"/>
          <w:tab w:val="left" w:pos="142"/>
        </w:tabs>
        <w:spacing w:line="240" w:lineRule="auto"/>
        <w:rPr>
          <w:sz w:val="22"/>
          <w:szCs w:val="22"/>
          <w:lang w:val="pl-PL"/>
        </w:rPr>
      </w:pPr>
    </w:p>
    <w:p w14:paraId="5CA8A0B7" w14:textId="77777777" w:rsidR="00D64D4E" w:rsidRPr="007E4DA1" w:rsidRDefault="00D64D4E" w:rsidP="001A6584">
      <w:pPr>
        <w:pStyle w:val="CommentText"/>
        <w:tabs>
          <w:tab w:val="clear" w:pos="567"/>
          <w:tab w:val="left" w:pos="142"/>
        </w:tabs>
        <w:spacing w:line="240" w:lineRule="auto"/>
        <w:rPr>
          <w:sz w:val="22"/>
          <w:szCs w:val="22"/>
          <w:lang w:val="pl-PL"/>
        </w:rPr>
      </w:pPr>
      <w:r w:rsidRPr="007E4DA1">
        <w:rPr>
          <w:sz w:val="22"/>
          <w:szCs w:val="22"/>
          <w:lang w:val="pl-PL"/>
        </w:rPr>
        <w:t>Gdy oceny dokonywano w oparciu o skalę krwawienia WHO, odsetek pacjentów z nowo rozpoznaną ITP i przetrwałą ITP bez krwawienia w tygodniu 4. wahał się od 88% do 95% w porównaniu z 37% do 57% w punkcie początkowym. W przypadku pacjentów z przewlekłą ITP odsetek ten wyniósł 93% w porównaniu z 73% w punkcie początkowym.</w:t>
      </w:r>
    </w:p>
    <w:p w14:paraId="4C2A75FB" w14:textId="77777777" w:rsidR="00D64D4E" w:rsidRPr="007E4DA1" w:rsidRDefault="00D64D4E" w:rsidP="001A6584">
      <w:pPr>
        <w:pStyle w:val="CommentText"/>
        <w:tabs>
          <w:tab w:val="clear" w:pos="567"/>
          <w:tab w:val="left" w:pos="142"/>
        </w:tabs>
        <w:spacing w:line="240" w:lineRule="auto"/>
        <w:rPr>
          <w:sz w:val="22"/>
          <w:szCs w:val="22"/>
          <w:lang w:val="pl-PL"/>
        </w:rPr>
      </w:pPr>
    </w:p>
    <w:p w14:paraId="13FCEE6F" w14:textId="77777777" w:rsidR="00D64D4E" w:rsidRPr="007E4DA1" w:rsidRDefault="00D64D4E" w:rsidP="001A6584">
      <w:pPr>
        <w:pStyle w:val="CommentText"/>
        <w:tabs>
          <w:tab w:val="clear" w:pos="567"/>
          <w:tab w:val="left" w:pos="142"/>
        </w:tabs>
        <w:spacing w:line="240" w:lineRule="auto"/>
        <w:rPr>
          <w:sz w:val="22"/>
          <w:szCs w:val="22"/>
          <w:lang w:val="pl-PL"/>
        </w:rPr>
      </w:pPr>
      <w:r w:rsidRPr="007E4DA1">
        <w:rPr>
          <w:sz w:val="22"/>
          <w:szCs w:val="22"/>
          <w:lang w:val="pl-PL"/>
        </w:rPr>
        <w:t>Bezpieczeństwo stosowania eltrombopagu było spójne we wszystkich kategoriach ITP i zgodne ze znanym profilem bezpieczeństwa eltrombopagu.</w:t>
      </w:r>
    </w:p>
    <w:p w14:paraId="501DB653" w14:textId="77777777" w:rsidR="003423EA" w:rsidRPr="007E4DA1" w:rsidRDefault="003423EA" w:rsidP="001A6584">
      <w:pPr>
        <w:tabs>
          <w:tab w:val="left" w:pos="142"/>
        </w:tabs>
        <w:ind w:left="0" w:firstLine="0"/>
      </w:pPr>
    </w:p>
    <w:p w14:paraId="1EE85C9B" w14:textId="77777777" w:rsidR="003423EA" w:rsidRPr="007E4DA1" w:rsidRDefault="003423EA" w:rsidP="001A6584">
      <w:pPr>
        <w:pStyle w:val="CommentText"/>
        <w:tabs>
          <w:tab w:val="clear" w:pos="567"/>
          <w:tab w:val="left" w:pos="142"/>
        </w:tabs>
        <w:spacing w:line="240" w:lineRule="auto"/>
        <w:rPr>
          <w:sz w:val="22"/>
          <w:szCs w:val="22"/>
          <w:lang w:val="pl-PL"/>
        </w:rPr>
      </w:pPr>
      <w:r w:rsidRPr="007E4DA1">
        <w:rPr>
          <w:sz w:val="22"/>
          <w:szCs w:val="22"/>
          <w:lang w:val="pl-PL"/>
        </w:rPr>
        <w:t>Nie przeprowadzono badań klinicznych porównujących eltrombopag do innych opcji leczenia (np. splenektomii). Należy wziąć pod uwagę wyniki długoterminowych badań dotyczących bezpieczeństwa stosowania eltrombopagu przed rozpoczęciem terapii.</w:t>
      </w:r>
    </w:p>
    <w:p w14:paraId="5335609A" w14:textId="77777777" w:rsidR="00A350DA" w:rsidRPr="007E4DA1" w:rsidRDefault="00A350DA" w:rsidP="001A6584">
      <w:pPr>
        <w:tabs>
          <w:tab w:val="left" w:pos="142"/>
        </w:tabs>
        <w:ind w:left="0" w:firstLine="0"/>
      </w:pPr>
    </w:p>
    <w:p w14:paraId="5D364322" w14:textId="77777777" w:rsidR="00041A08" w:rsidRPr="00041A08" w:rsidRDefault="000675DA" w:rsidP="001A6584">
      <w:pPr>
        <w:keepNext/>
        <w:tabs>
          <w:tab w:val="left" w:pos="142"/>
        </w:tabs>
        <w:ind w:left="0" w:firstLine="0"/>
      </w:pPr>
      <w:r w:rsidRPr="007E4DA1">
        <w:rPr>
          <w:i/>
        </w:rPr>
        <w:t>Dzieci i młodzież (w wieku od 1 roku do 17</w:t>
      </w:r>
      <w:r w:rsidR="00535EDC" w:rsidRPr="007E4DA1">
        <w:rPr>
          <w:i/>
        </w:rPr>
        <w:t> </w:t>
      </w:r>
      <w:r w:rsidRPr="007E4DA1">
        <w:rPr>
          <w:i/>
        </w:rPr>
        <w:t>lat)</w:t>
      </w:r>
    </w:p>
    <w:p w14:paraId="3D2886FA" w14:textId="647E52AA" w:rsidR="000675DA" w:rsidRPr="007E4DA1" w:rsidRDefault="000675DA" w:rsidP="001A6584">
      <w:pPr>
        <w:tabs>
          <w:tab w:val="left" w:pos="142"/>
        </w:tabs>
        <w:ind w:left="0" w:firstLine="0"/>
      </w:pPr>
      <w:r w:rsidRPr="007E4DA1">
        <w:t>Bezpieczeństwo stosowania i skuteczność eltrombopagu u dzieci i młodzieży analizowano w dwóch badaniach.</w:t>
      </w:r>
    </w:p>
    <w:p w14:paraId="56CF095F" w14:textId="77777777" w:rsidR="000675DA" w:rsidRPr="007E4DA1" w:rsidRDefault="000675DA" w:rsidP="001A6584">
      <w:pPr>
        <w:tabs>
          <w:tab w:val="left" w:pos="142"/>
        </w:tabs>
        <w:ind w:left="0" w:firstLine="0"/>
      </w:pPr>
    </w:p>
    <w:p w14:paraId="49D127F7" w14:textId="77777777" w:rsidR="00236554" w:rsidRPr="007E4DA1" w:rsidRDefault="000675DA" w:rsidP="001A6584">
      <w:pPr>
        <w:keepNext/>
        <w:keepLines/>
        <w:tabs>
          <w:tab w:val="left" w:pos="142"/>
        </w:tabs>
        <w:ind w:left="0" w:firstLine="0"/>
        <w:rPr>
          <w:iCs/>
        </w:rPr>
      </w:pPr>
      <w:r w:rsidRPr="001742B3">
        <w:rPr>
          <w:iCs/>
        </w:rPr>
        <w:t>TRA115450 (PETIT2)</w:t>
      </w:r>
      <w:r w:rsidRPr="007E4DA1">
        <w:rPr>
          <w:iCs/>
        </w:rPr>
        <w:t>:</w:t>
      </w:r>
    </w:p>
    <w:p w14:paraId="5FA77892" w14:textId="23213EA9" w:rsidR="000675DA" w:rsidRPr="007E4DA1" w:rsidRDefault="000675DA" w:rsidP="001A6584">
      <w:pPr>
        <w:tabs>
          <w:tab w:val="left" w:pos="142"/>
        </w:tabs>
        <w:ind w:left="0" w:firstLine="0"/>
      </w:pPr>
      <w:r w:rsidRPr="007E4DA1">
        <w:t>Pierwszorzędowym punktem końcowym była trwała odpowiedź na leczenie definiowana jako odsetek pacjentów otrzymujących eltrombopag, w porównaniu z placebo, u których liczba płytek krwi ≥50</w:t>
      </w:r>
      <w:r w:rsidR="00535EDC" w:rsidRPr="007E4DA1">
        <w:t> </w:t>
      </w:r>
      <w:r w:rsidRPr="007E4DA1">
        <w:t>000/µl utrzymywała się przez co najmniej 6 z 8</w:t>
      </w:r>
      <w:r w:rsidR="00535EDC" w:rsidRPr="007E4DA1">
        <w:t> </w:t>
      </w:r>
      <w:r w:rsidRPr="007E4DA1">
        <w:t xml:space="preserve">tygodni (przy braku leczenia doraźnego), pomiędzy </w:t>
      </w:r>
      <w:smartTag w:uri="urn:schemas-microsoft-com:office:smarttags" w:element="metricconverter">
        <w:smartTagPr>
          <w:attr w:name="ProductID" w:val="5. a"/>
        </w:smartTagPr>
        <w:r w:rsidRPr="007E4DA1">
          <w:t>5. a</w:t>
        </w:r>
      </w:smartTag>
      <w:r w:rsidRPr="007E4DA1">
        <w:t xml:space="preserve"> 12.</w:t>
      </w:r>
      <w:r w:rsidR="00535EDC" w:rsidRPr="007E4DA1">
        <w:t> </w:t>
      </w:r>
      <w:r w:rsidRPr="007E4DA1">
        <w:t xml:space="preserve">tygodniem w podwójnie zaślepionym, randomizowanym okresie badania. </w:t>
      </w:r>
      <w:r w:rsidR="00410505" w:rsidRPr="007E4DA1">
        <w:t xml:space="preserve">Pacjentów z przewlekłą </w:t>
      </w:r>
      <w:r w:rsidR="004146FA" w:rsidRPr="007E4DA1">
        <w:t xml:space="preserve">pierwotną </w:t>
      </w:r>
      <w:r w:rsidR="00410505" w:rsidRPr="007E4DA1">
        <w:t xml:space="preserve">małopłytkowoścą immunologiczną </w:t>
      </w:r>
      <w:r w:rsidR="004146FA" w:rsidRPr="007E4DA1">
        <w:t>z</w:t>
      </w:r>
      <w:r w:rsidR="00410505" w:rsidRPr="007E4DA1">
        <w:t>diagnozowan</w:t>
      </w:r>
      <w:r w:rsidR="004146FA" w:rsidRPr="007E4DA1">
        <w:t>ą</w:t>
      </w:r>
      <w:r w:rsidR="00410505" w:rsidRPr="007E4DA1">
        <w:t xml:space="preserve"> prze</w:t>
      </w:r>
      <w:r w:rsidR="004146FA" w:rsidRPr="007E4DA1">
        <w:t>d</w:t>
      </w:r>
      <w:r w:rsidR="00410505" w:rsidRPr="007E4DA1">
        <w:t xml:space="preserve"> co najmniej 1 rok</w:t>
      </w:r>
      <w:r w:rsidR="004146FA" w:rsidRPr="007E4DA1">
        <w:t>iem</w:t>
      </w:r>
      <w:r w:rsidR="00410505" w:rsidRPr="007E4DA1">
        <w:t xml:space="preserve"> </w:t>
      </w:r>
      <w:r w:rsidRPr="007E4DA1">
        <w:t xml:space="preserve">stwierdzono oporność lub nawrót choroby po wcześniejszym zastosowaniu przynajmniej jednej terapii przeciwko </w:t>
      </w:r>
      <w:r w:rsidR="004146FA" w:rsidRPr="007E4DA1">
        <w:t xml:space="preserve">pierwotnej </w:t>
      </w:r>
      <w:r w:rsidRPr="007E4DA1">
        <w:t xml:space="preserve">małopłytkowości immunologicznej lub brak możliwości kontynuowania innych sposobów leczenia </w:t>
      </w:r>
      <w:r w:rsidR="004146FA" w:rsidRPr="007E4DA1">
        <w:t xml:space="preserve">pierwotnej </w:t>
      </w:r>
      <w:r w:rsidRPr="007E4DA1">
        <w:t>małopłytkowości immunologicznej z przyczyn medycznych, a liczba płytek krwi wynosiła &lt;30</w:t>
      </w:r>
      <w:r w:rsidR="00535EDC" w:rsidRPr="007E4DA1">
        <w:t> </w:t>
      </w:r>
      <w:r w:rsidRPr="007E4DA1">
        <w:t>000/µl. Dziewięćdziesięciu dwóch pacjentów zostało losowo przydzielonych (w stosunku 2:1) do grup leczenia otrzymujących eltrombopag (n=63) lub placebo (n=29), ze stratyfikacją według trzech przedziałów wiekowych. Możliwe było dostosowanie dawki eltrombopagu w zależności od liczby płytek krwi u danego pacjenta.</w:t>
      </w:r>
    </w:p>
    <w:p w14:paraId="36C96AEE" w14:textId="77777777" w:rsidR="000675DA" w:rsidRPr="007E4DA1" w:rsidRDefault="000675DA" w:rsidP="001A6584">
      <w:pPr>
        <w:tabs>
          <w:tab w:val="left" w:pos="142"/>
        </w:tabs>
        <w:ind w:left="0" w:firstLine="0"/>
      </w:pPr>
    </w:p>
    <w:p w14:paraId="681809E5" w14:textId="16888434" w:rsidR="000675DA" w:rsidRPr="007E4DA1" w:rsidRDefault="000675DA" w:rsidP="001A6584">
      <w:pPr>
        <w:tabs>
          <w:tab w:val="left" w:pos="142"/>
        </w:tabs>
        <w:ind w:left="0" w:firstLine="0"/>
      </w:pPr>
      <w:r w:rsidRPr="007E4DA1">
        <w:t>Podsumowując, pierwszorzędowy punkt końcowy został osiągnięty przez istotnie większy odsetek pacjentów otrzymujących eltrombopag (40%) niż pacjentów otrzymujących placebo (3%) (iloraz szans: 18,0 [95% CI: 2,3; 140,9] p</w:t>
      </w:r>
      <w:r w:rsidR="00E23DED" w:rsidRPr="007E4DA1">
        <w:t> </w:t>
      </w:r>
      <w:r w:rsidRPr="007E4DA1">
        <w:t>&lt;0,001) i odsetek ten był podobny we wszystkich trzech grupach wiekowych (</w:t>
      </w:r>
      <w:r w:rsidR="00E52F84">
        <w:t>t</w:t>
      </w:r>
      <w:r w:rsidRPr="007E4DA1">
        <w:t>abela</w:t>
      </w:r>
      <w:r w:rsidR="00E23DED" w:rsidRPr="007E4DA1">
        <w:t> </w:t>
      </w:r>
      <w:r w:rsidR="001C1AF1">
        <w:t>10</w:t>
      </w:r>
      <w:r w:rsidRPr="007E4DA1">
        <w:t>).</w:t>
      </w:r>
    </w:p>
    <w:p w14:paraId="7D40836F" w14:textId="77777777" w:rsidR="000675DA" w:rsidRPr="007E4DA1" w:rsidRDefault="000675DA" w:rsidP="001A6584">
      <w:pPr>
        <w:tabs>
          <w:tab w:val="left" w:pos="142"/>
        </w:tabs>
        <w:ind w:left="0" w:firstLine="0"/>
      </w:pPr>
    </w:p>
    <w:p w14:paraId="78AB3603" w14:textId="0E44712C" w:rsidR="00041A08" w:rsidRPr="00041A08" w:rsidRDefault="000675DA" w:rsidP="001A6584">
      <w:pPr>
        <w:keepNext/>
        <w:ind w:left="1134" w:hanging="1134"/>
      </w:pPr>
      <w:r w:rsidRPr="007E4DA1">
        <w:rPr>
          <w:b/>
        </w:rPr>
        <w:t>Tabela</w:t>
      </w:r>
      <w:r w:rsidR="00E23DED" w:rsidRPr="007E4DA1">
        <w:rPr>
          <w:b/>
        </w:rPr>
        <w:t> </w:t>
      </w:r>
      <w:r w:rsidR="001C1AF1">
        <w:rPr>
          <w:b/>
        </w:rPr>
        <w:t>10</w:t>
      </w:r>
      <w:r w:rsidR="00E23DED" w:rsidRPr="007E4DA1">
        <w:rPr>
          <w:b/>
        </w:rPr>
        <w:tab/>
      </w:r>
      <w:r w:rsidRPr="007E4DA1">
        <w:rPr>
          <w:b/>
        </w:rPr>
        <w:t xml:space="preserve">Wskaźniki trwałej odpowiedzi ze strony płytek krwi w poszczególnych przedziałach wiekowych u dzieci i młodzieży z przewlekłą </w:t>
      </w:r>
      <w:r w:rsidR="004146FA" w:rsidRPr="007E4DA1">
        <w:rPr>
          <w:b/>
        </w:rPr>
        <w:t xml:space="preserve">pierwotną </w:t>
      </w:r>
      <w:r w:rsidRPr="007E4DA1">
        <w:rPr>
          <w:b/>
        </w:rPr>
        <w:t>małopłytkowością immunologiczną</w:t>
      </w:r>
    </w:p>
    <w:p w14:paraId="0F578CEA" w14:textId="634211A1" w:rsidR="000675DA" w:rsidRPr="007E4DA1" w:rsidRDefault="000675DA" w:rsidP="001A6584">
      <w:pPr>
        <w:keepNext/>
        <w:tabs>
          <w:tab w:val="left" w:pos="142"/>
        </w:tabs>
        <w:ind w:left="0" w:firstLine="0"/>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2"/>
        <w:gridCol w:w="2384"/>
        <w:gridCol w:w="2129"/>
      </w:tblGrid>
      <w:tr w:rsidR="000675DA" w:rsidRPr="007E4DA1" w14:paraId="6478C881" w14:textId="77777777" w:rsidTr="00553AB7">
        <w:trPr>
          <w:cantSplit/>
        </w:trPr>
        <w:tc>
          <w:tcPr>
            <w:tcW w:w="1890" w:type="pct"/>
          </w:tcPr>
          <w:p w14:paraId="2CC5B025" w14:textId="77777777" w:rsidR="000675DA" w:rsidRPr="007E4DA1" w:rsidRDefault="000675DA" w:rsidP="001A6584">
            <w:pPr>
              <w:keepNext/>
              <w:ind w:left="1440" w:hanging="1440"/>
              <w:rPr>
                <w:szCs w:val="22"/>
                <w:lang w:eastAsia="en-US"/>
              </w:rPr>
            </w:pPr>
          </w:p>
        </w:tc>
        <w:tc>
          <w:tcPr>
            <w:tcW w:w="1643" w:type="pct"/>
          </w:tcPr>
          <w:p w14:paraId="37034BB1" w14:textId="77777777" w:rsidR="000675DA" w:rsidRPr="007E4DA1" w:rsidRDefault="000675DA" w:rsidP="001A6584">
            <w:pPr>
              <w:keepNext/>
              <w:ind w:left="0" w:firstLine="0"/>
              <w:jc w:val="center"/>
              <w:rPr>
                <w:szCs w:val="22"/>
                <w:lang w:eastAsia="en-US"/>
              </w:rPr>
            </w:pPr>
            <w:r w:rsidRPr="007E4DA1">
              <w:rPr>
                <w:szCs w:val="22"/>
                <w:lang w:eastAsia="en-US"/>
              </w:rPr>
              <w:t>Eltrombopag</w:t>
            </w:r>
          </w:p>
          <w:p w14:paraId="147B8D63" w14:textId="77777777" w:rsidR="000675DA" w:rsidRPr="007E4DA1" w:rsidRDefault="000675DA" w:rsidP="001A6584">
            <w:pPr>
              <w:keepNext/>
              <w:ind w:left="0" w:firstLine="0"/>
              <w:jc w:val="center"/>
              <w:rPr>
                <w:szCs w:val="22"/>
                <w:lang w:eastAsia="en-US"/>
              </w:rPr>
            </w:pPr>
            <w:r w:rsidRPr="007E4DA1">
              <w:rPr>
                <w:szCs w:val="22"/>
                <w:lang w:eastAsia="en-US"/>
              </w:rPr>
              <w:t>n/N (%)</w:t>
            </w:r>
          </w:p>
          <w:p w14:paraId="62EBB866" w14:textId="77777777" w:rsidR="000675DA" w:rsidRPr="007E4DA1" w:rsidRDefault="000675DA" w:rsidP="001A6584">
            <w:pPr>
              <w:keepNext/>
              <w:ind w:left="0" w:firstLine="0"/>
              <w:jc w:val="center"/>
              <w:rPr>
                <w:szCs w:val="22"/>
                <w:lang w:eastAsia="en-US"/>
              </w:rPr>
            </w:pPr>
            <w:r w:rsidRPr="007E4DA1">
              <w:rPr>
                <w:szCs w:val="22"/>
                <w:lang w:eastAsia="en-US"/>
              </w:rPr>
              <w:t>[95% CI]</w:t>
            </w:r>
          </w:p>
        </w:tc>
        <w:tc>
          <w:tcPr>
            <w:tcW w:w="1467" w:type="pct"/>
            <w:vAlign w:val="bottom"/>
          </w:tcPr>
          <w:p w14:paraId="080E0C0E" w14:textId="77777777" w:rsidR="000675DA" w:rsidRPr="007E4DA1" w:rsidRDefault="000675DA" w:rsidP="001A6584">
            <w:pPr>
              <w:keepNext/>
              <w:ind w:left="0" w:firstLine="0"/>
              <w:jc w:val="center"/>
              <w:rPr>
                <w:szCs w:val="22"/>
                <w:lang w:eastAsia="en-US"/>
              </w:rPr>
            </w:pPr>
            <w:r w:rsidRPr="007E4DA1">
              <w:rPr>
                <w:szCs w:val="22"/>
                <w:lang w:eastAsia="en-US"/>
              </w:rPr>
              <w:t>Placebo</w:t>
            </w:r>
          </w:p>
          <w:p w14:paraId="1DF13740" w14:textId="77777777" w:rsidR="000675DA" w:rsidRPr="007E4DA1" w:rsidRDefault="000675DA" w:rsidP="001A6584">
            <w:pPr>
              <w:keepNext/>
              <w:ind w:left="0" w:firstLine="0"/>
              <w:jc w:val="center"/>
              <w:rPr>
                <w:szCs w:val="22"/>
                <w:lang w:eastAsia="en-US"/>
              </w:rPr>
            </w:pPr>
            <w:r w:rsidRPr="007E4DA1">
              <w:rPr>
                <w:szCs w:val="22"/>
                <w:lang w:eastAsia="en-US"/>
              </w:rPr>
              <w:t>n/N (%)</w:t>
            </w:r>
          </w:p>
          <w:p w14:paraId="49E154A3" w14:textId="77777777" w:rsidR="000675DA" w:rsidRPr="007E4DA1" w:rsidRDefault="000675DA" w:rsidP="001A6584">
            <w:pPr>
              <w:keepNext/>
              <w:ind w:left="0" w:firstLine="0"/>
              <w:jc w:val="center"/>
              <w:rPr>
                <w:szCs w:val="22"/>
                <w:lang w:eastAsia="en-US"/>
              </w:rPr>
            </w:pPr>
            <w:r w:rsidRPr="007E4DA1">
              <w:rPr>
                <w:szCs w:val="22"/>
                <w:lang w:eastAsia="en-US"/>
              </w:rPr>
              <w:t>[95% CI]</w:t>
            </w:r>
          </w:p>
        </w:tc>
      </w:tr>
      <w:tr w:rsidR="000675DA" w:rsidRPr="007E4DA1" w14:paraId="3540DB65" w14:textId="77777777" w:rsidTr="00553AB7">
        <w:trPr>
          <w:cantSplit/>
        </w:trPr>
        <w:tc>
          <w:tcPr>
            <w:tcW w:w="1890" w:type="pct"/>
          </w:tcPr>
          <w:p w14:paraId="08B0EE29" w14:textId="77777777" w:rsidR="000675DA" w:rsidRPr="007E4DA1" w:rsidRDefault="000675DA" w:rsidP="001A6584">
            <w:pPr>
              <w:keepNext/>
              <w:ind w:left="0" w:firstLine="0"/>
              <w:rPr>
                <w:szCs w:val="22"/>
                <w:lang w:eastAsia="en-US"/>
              </w:rPr>
            </w:pPr>
            <w:r w:rsidRPr="007E4DA1">
              <w:rPr>
                <w:szCs w:val="22"/>
                <w:lang w:eastAsia="en-US"/>
              </w:rPr>
              <w:t>Grupa 1 (12 do 17 lat)</w:t>
            </w:r>
          </w:p>
          <w:p w14:paraId="06AD4096" w14:textId="77777777" w:rsidR="000675DA" w:rsidRPr="007E4DA1" w:rsidRDefault="000675DA" w:rsidP="001A6584">
            <w:pPr>
              <w:keepNext/>
              <w:ind w:left="0" w:firstLine="0"/>
              <w:rPr>
                <w:szCs w:val="22"/>
                <w:lang w:eastAsia="en-US"/>
              </w:rPr>
            </w:pPr>
          </w:p>
          <w:p w14:paraId="3F937BFB" w14:textId="77777777" w:rsidR="000675DA" w:rsidRPr="007E4DA1" w:rsidRDefault="000675DA" w:rsidP="001A6584">
            <w:pPr>
              <w:keepNext/>
              <w:ind w:left="0" w:firstLine="0"/>
              <w:rPr>
                <w:szCs w:val="22"/>
                <w:lang w:eastAsia="en-US"/>
              </w:rPr>
            </w:pPr>
            <w:r w:rsidRPr="007E4DA1">
              <w:rPr>
                <w:szCs w:val="22"/>
                <w:lang w:eastAsia="en-US"/>
              </w:rPr>
              <w:t>Grupa 2 (6 do 11 lat)</w:t>
            </w:r>
          </w:p>
          <w:p w14:paraId="18081C96" w14:textId="77777777" w:rsidR="000675DA" w:rsidRPr="007E4DA1" w:rsidRDefault="000675DA" w:rsidP="001A6584">
            <w:pPr>
              <w:keepNext/>
              <w:ind w:left="0" w:firstLine="0"/>
              <w:rPr>
                <w:szCs w:val="22"/>
                <w:lang w:eastAsia="en-US"/>
              </w:rPr>
            </w:pPr>
          </w:p>
          <w:p w14:paraId="0A3D5626" w14:textId="77777777" w:rsidR="000675DA" w:rsidRPr="007E4DA1" w:rsidRDefault="000675DA" w:rsidP="001A6584">
            <w:pPr>
              <w:keepNext/>
              <w:ind w:left="0" w:firstLine="0"/>
              <w:rPr>
                <w:szCs w:val="22"/>
                <w:lang w:eastAsia="en-US"/>
              </w:rPr>
            </w:pPr>
            <w:r w:rsidRPr="007E4DA1">
              <w:rPr>
                <w:szCs w:val="22"/>
                <w:lang w:eastAsia="en-US"/>
              </w:rPr>
              <w:t>Grupa 3 (1 do 5 lat)</w:t>
            </w:r>
          </w:p>
        </w:tc>
        <w:tc>
          <w:tcPr>
            <w:tcW w:w="1643" w:type="pct"/>
          </w:tcPr>
          <w:p w14:paraId="6E1EB75C" w14:textId="77777777" w:rsidR="000675DA" w:rsidRPr="007E4DA1" w:rsidRDefault="000675DA" w:rsidP="001A6584">
            <w:pPr>
              <w:keepNext/>
              <w:ind w:left="0" w:firstLine="0"/>
              <w:jc w:val="center"/>
              <w:rPr>
                <w:szCs w:val="22"/>
                <w:lang w:eastAsia="en-US"/>
              </w:rPr>
            </w:pPr>
            <w:r w:rsidRPr="007E4DA1">
              <w:rPr>
                <w:szCs w:val="22"/>
                <w:lang w:eastAsia="en-US"/>
              </w:rPr>
              <w:t>9/23 (39%)</w:t>
            </w:r>
          </w:p>
          <w:p w14:paraId="2B6D302C" w14:textId="77777777" w:rsidR="000675DA" w:rsidRPr="007E4DA1" w:rsidRDefault="000675DA" w:rsidP="001A6584">
            <w:pPr>
              <w:keepNext/>
              <w:ind w:left="0" w:firstLine="0"/>
              <w:jc w:val="center"/>
              <w:rPr>
                <w:szCs w:val="22"/>
                <w:lang w:eastAsia="en-US"/>
              </w:rPr>
            </w:pPr>
            <w:r w:rsidRPr="007E4DA1">
              <w:rPr>
                <w:szCs w:val="22"/>
                <w:lang w:eastAsia="en-US"/>
              </w:rPr>
              <w:t>[20%, 61%]</w:t>
            </w:r>
          </w:p>
          <w:p w14:paraId="16DDC341" w14:textId="77777777" w:rsidR="000675DA" w:rsidRPr="007E4DA1" w:rsidRDefault="000675DA" w:rsidP="001A6584">
            <w:pPr>
              <w:keepNext/>
              <w:ind w:left="0" w:firstLine="0"/>
              <w:jc w:val="center"/>
              <w:rPr>
                <w:szCs w:val="22"/>
                <w:lang w:eastAsia="en-US"/>
              </w:rPr>
            </w:pPr>
            <w:r w:rsidRPr="007E4DA1">
              <w:rPr>
                <w:szCs w:val="22"/>
                <w:lang w:eastAsia="en-US"/>
              </w:rPr>
              <w:t>11/26 (42%)</w:t>
            </w:r>
          </w:p>
          <w:p w14:paraId="54986217" w14:textId="77777777" w:rsidR="000675DA" w:rsidRPr="007E4DA1" w:rsidRDefault="000675DA" w:rsidP="001A6584">
            <w:pPr>
              <w:keepNext/>
              <w:ind w:left="0" w:firstLine="0"/>
              <w:jc w:val="center"/>
              <w:rPr>
                <w:szCs w:val="22"/>
                <w:lang w:eastAsia="en-US"/>
              </w:rPr>
            </w:pPr>
            <w:r w:rsidRPr="007E4DA1">
              <w:rPr>
                <w:szCs w:val="22"/>
                <w:lang w:eastAsia="en-US"/>
              </w:rPr>
              <w:t>[23%, 63%]</w:t>
            </w:r>
          </w:p>
          <w:p w14:paraId="74F7DF26" w14:textId="77777777" w:rsidR="000675DA" w:rsidRPr="007E4DA1" w:rsidRDefault="000675DA" w:rsidP="001A6584">
            <w:pPr>
              <w:keepNext/>
              <w:ind w:left="0" w:firstLine="0"/>
              <w:jc w:val="center"/>
              <w:rPr>
                <w:szCs w:val="22"/>
                <w:lang w:eastAsia="en-US"/>
              </w:rPr>
            </w:pPr>
            <w:r w:rsidRPr="007E4DA1">
              <w:rPr>
                <w:szCs w:val="22"/>
                <w:lang w:eastAsia="en-US"/>
              </w:rPr>
              <w:t>5/14 (36%)</w:t>
            </w:r>
          </w:p>
          <w:p w14:paraId="6438A9FE" w14:textId="77777777" w:rsidR="000675DA" w:rsidRPr="007E4DA1" w:rsidRDefault="000675DA" w:rsidP="001A6584">
            <w:pPr>
              <w:keepNext/>
              <w:ind w:left="0" w:firstLine="0"/>
              <w:jc w:val="center"/>
              <w:rPr>
                <w:szCs w:val="22"/>
                <w:lang w:eastAsia="en-US"/>
              </w:rPr>
            </w:pPr>
            <w:r w:rsidRPr="007E4DA1">
              <w:rPr>
                <w:szCs w:val="22"/>
                <w:lang w:eastAsia="en-US"/>
              </w:rPr>
              <w:t>[13%, 65%]</w:t>
            </w:r>
          </w:p>
        </w:tc>
        <w:tc>
          <w:tcPr>
            <w:tcW w:w="1467" w:type="pct"/>
          </w:tcPr>
          <w:p w14:paraId="6CDE5268" w14:textId="77777777" w:rsidR="000675DA" w:rsidRPr="007E4DA1" w:rsidRDefault="000675DA" w:rsidP="001A6584">
            <w:pPr>
              <w:keepNext/>
              <w:ind w:left="0" w:firstLine="0"/>
              <w:jc w:val="center"/>
              <w:rPr>
                <w:szCs w:val="22"/>
                <w:lang w:eastAsia="en-US"/>
              </w:rPr>
            </w:pPr>
            <w:r w:rsidRPr="007E4DA1">
              <w:rPr>
                <w:szCs w:val="22"/>
                <w:lang w:eastAsia="en-US"/>
              </w:rPr>
              <w:t>1/10 (10%)</w:t>
            </w:r>
          </w:p>
          <w:p w14:paraId="280C5785" w14:textId="77777777" w:rsidR="000675DA" w:rsidRPr="007E4DA1" w:rsidRDefault="000675DA" w:rsidP="001A6584">
            <w:pPr>
              <w:keepNext/>
              <w:ind w:left="0" w:firstLine="0"/>
              <w:jc w:val="center"/>
              <w:rPr>
                <w:szCs w:val="22"/>
                <w:lang w:eastAsia="en-US"/>
              </w:rPr>
            </w:pPr>
            <w:r w:rsidRPr="007E4DA1">
              <w:rPr>
                <w:szCs w:val="22"/>
                <w:lang w:eastAsia="en-US"/>
              </w:rPr>
              <w:t>[0%, 45%]</w:t>
            </w:r>
          </w:p>
          <w:p w14:paraId="7C8646FB" w14:textId="77777777" w:rsidR="000675DA" w:rsidRPr="007E4DA1" w:rsidRDefault="000675DA" w:rsidP="001A6584">
            <w:pPr>
              <w:keepNext/>
              <w:ind w:left="0" w:firstLine="0"/>
              <w:jc w:val="center"/>
              <w:rPr>
                <w:szCs w:val="22"/>
                <w:lang w:eastAsia="en-US"/>
              </w:rPr>
            </w:pPr>
            <w:r w:rsidRPr="007E4DA1">
              <w:rPr>
                <w:szCs w:val="22"/>
                <w:lang w:eastAsia="en-US"/>
              </w:rPr>
              <w:t>0/13 (0%)</w:t>
            </w:r>
          </w:p>
          <w:p w14:paraId="465DF7D4" w14:textId="77777777" w:rsidR="000675DA" w:rsidRPr="007E4DA1" w:rsidRDefault="000675DA" w:rsidP="001A6584">
            <w:pPr>
              <w:keepNext/>
              <w:ind w:left="0" w:firstLine="0"/>
              <w:jc w:val="center"/>
              <w:rPr>
                <w:szCs w:val="22"/>
                <w:lang w:eastAsia="en-US"/>
              </w:rPr>
            </w:pPr>
            <w:r w:rsidRPr="007E4DA1">
              <w:rPr>
                <w:szCs w:val="22"/>
                <w:lang w:eastAsia="en-US"/>
              </w:rPr>
              <w:t>[N/A]</w:t>
            </w:r>
          </w:p>
          <w:p w14:paraId="1DF9688B" w14:textId="77777777" w:rsidR="000675DA" w:rsidRPr="007E4DA1" w:rsidRDefault="000675DA" w:rsidP="001A6584">
            <w:pPr>
              <w:keepNext/>
              <w:ind w:left="0" w:firstLine="0"/>
              <w:jc w:val="center"/>
              <w:rPr>
                <w:szCs w:val="22"/>
                <w:lang w:eastAsia="en-US"/>
              </w:rPr>
            </w:pPr>
            <w:r w:rsidRPr="007E4DA1">
              <w:rPr>
                <w:szCs w:val="22"/>
                <w:lang w:eastAsia="en-US"/>
              </w:rPr>
              <w:t>0/6 (0%)</w:t>
            </w:r>
          </w:p>
          <w:p w14:paraId="042C5EE3" w14:textId="77777777" w:rsidR="000675DA" w:rsidRPr="007E4DA1" w:rsidRDefault="000675DA" w:rsidP="001A6584">
            <w:pPr>
              <w:keepNext/>
              <w:ind w:left="0" w:firstLine="0"/>
              <w:jc w:val="center"/>
              <w:rPr>
                <w:szCs w:val="22"/>
                <w:lang w:eastAsia="en-US"/>
              </w:rPr>
            </w:pPr>
            <w:r w:rsidRPr="007E4DA1">
              <w:rPr>
                <w:szCs w:val="22"/>
                <w:lang w:eastAsia="en-US"/>
              </w:rPr>
              <w:t>[N/A]</w:t>
            </w:r>
          </w:p>
        </w:tc>
      </w:tr>
    </w:tbl>
    <w:p w14:paraId="142D7C9F" w14:textId="77777777" w:rsidR="000675DA" w:rsidRPr="007E4DA1" w:rsidRDefault="000675DA" w:rsidP="001A6584">
      <w:pPr>
        <w:tabs>
          <w:tab w:val="left" w:pos="567"/>
        </w:tabs>
        <w:ind w:left="0" w:firstLine="0"/>
        <w:rPr>
          <w:szCs w:val="22"/>
          <w:lang w:eastAsia="en-US"/>
        </w:rPr>
      </w:pPr>
    </w:p>
    <w:p w14:paraId="3012ABD1" w14:textId="77777777" w:rsidR="000675DA" w:rsidRPr="007E4DA1" w:rsidRDefault="000675DA" w:rsidP="001A6584">
      <w:pPr>
        <w:tabs>
          <w:tab w:val="left" w:pos="142"/>
        </w:tabs>
        <w:ind w:left="0" w:firstLine="0"/>
      </w:pPr>
      <w:r w:rsidRPr="007E4DA1">
        <w:t>Statystycznie mniej pacjentów przyjmujących eltrombopag wymagało leczenia doraźnego w randomizowanym okresie badania w porównaniu z pacjentami otrzymującymi placebo (19% [12/63] w porównaniu z 24% [7/29], p=0,032).</w:t>
      </w:r>
    </w:p>
    <w:p w14:paraId="57563269" w14:textId="77777777" w:rsidR="000675DA" w:rsidRPr="007E4DA1" w:rsidRDefault="000675DA" w:rsidP="001A6584">
      <w:pPr>
        <w:tabs>
          <w:tab w:val="left" w:pos="142"/>
        </w:tabs>
        <w:ind w:left="0" w:firstLine="0"/>
      </w:pPr>
    </w:p>
    <w:p w14:paraId="20D8DCE8" w14:textId="77777777" w:rsidR="000675DA" w:rsidRPr="007E4DA1" w:rsidRDefault="000675DA" w:rsidP="001A6584">
      <w:pPr>
        <w:tabs>
          <w:tab w:val="left" w:pos="142"/>
        </w:tabs>
        <w:ind w:left="0" w:firstLine="0"/>
      </w:pPr>
      <w:r w:rsidRPr="007E4DA1">
        <w:t>Przed rozpoczęciem leczenia 71% pacjentów z grupy eltrombopagu i 69% pacjentów z grupy placebo zgłaszało wszelkie krwawienia (stopnia 1</w:t>
      </w:r>
      <w:r w:rsidR="00E23DED" w:rsidRPr="007E4DA1">
        <w:noBreakHyphen/>
      </w:r>
      <w:r w:rsidRPr="007E4DA1">
        <w:t>4 wg WHO). W tygodniu 12. odsetek pacjentów z grupy eltrombopagu zgłaszających dowolne krwawienia zmniejszył się o połowę względem wartości wyjściowych (36%). Dla porównania, w tygodniu 12. w grupie placebo krwawienia były zgłaszane przez 55% pacjentów.</w:t>
      </w:r>
    </w:p>
    <w:p w14:paraId="3A9F864D" w14:textId="77777777" w:rsidR="000675DA" w:rsidRPr="007E4DA1" w:rsidRDefault="000675DA" w:rsidP="001A6584">
      <w:pPr>
        <w:tabs>
          <w:tab w:val="left" w:pos="142"/>
        </w:tabs>
        <w:ind w:left="0" w:firstLine="0"/>
      </w:pPr>
    </w:p>
    <w:p w14:paraId="14EFFF88" w14:textId="77777777" w:rsidR="000675DA" w:rsidRPr="007E4DA1" w:rsidRDefault="000675DA" w:rsidP="001A6584">
      <w:pPr>
        <w:tabs>
          <w:tab w:val="left" w:pos="142"/>
        </w:tabs>
        <w:ind w:left="0" w:firstLine="0"/>
      </w:pPr>
      <w:r w:rsidRPr="007E4DA1">
        <w:t xml:space="preserve">Protokół badania dozwalał, by pacjenci mogli zmniejszyć dawkę lub odstawić wcześniej stosowane leki przeciw </w:t>
      </w:r>
      <w:r w:rsidR="00D248C2" w:rsidRPr="007E4DA1">
        <w:t xml:space="preserve">pierwotnej </w:t>
      </w:r>
      <w:r w:rsidRPr="007E4DA1">
        <w:t>małopłytkowości immunologicznej wyłącznie podczas otwartej fazy badania i 53% (8/15) pacjentów było w stanie zmniejszyć dawkę (n=1) lub zakończyć (n=7) leczenie wcześniej stosowanymi lekami przeciw</w:t>
      </w:r>
      <w:r w:rsidR="00D248C2" w:rsidRPr="007E4DA1">
        <w:t xml:space="preserve"> pierwotnej</w:t>
      </w:r>
      <w:r w:rsidRPr="007E4DA1">
        <w:t xml:space="preserve"> małopłytkowości immunologicznej, głównie kortykosteroidami, bez konieczności stosowania leków doraźnych.</w:t>
      </w:r>
    </w:p>
    <w:p w14:paraId="562AC9CA" w14:textId="77777777" w:rsidR="000675DA" w:rsidRPr="007E4DA1" w:rsidRDefault="000675DA" w:rsidP="001A6584">
      <w:pPr>
        <w:tabs>
          <w:tab w:val="left" w:pos="142"/>
        </w:tabs>
        <w:ind w:left="0" w:firstLine="0"/>
      </w:pPr>
    </w:p>
    <w:p w14:paraId="35D45413" w14:textId="464F6FF0" w:rsidR="00D26BF8" w:rsidRPr="007E4DA1" w:rsidRDefault="000675DA" w:rsidP="001A6584">
      <w:pPr>
        <w:keepNext/>
        <w:keepLines/>
        <w:tabs>
          <w:tab w:val="left" w:pos="142"/>
        </w:tabs>
        <w:ind w:left="0" w:firstLine="0"/>
        <w:rPr>
          <w:iCs/>
        </w:rPr>
      </w:pPr>
      <w:r w:rsidRPr="001742B3">
        <w:rPr>
          <w:iCs/>
        </w:rPr>
        <w:t>TRA108062 (PETIT</w:t>
      </w:r>
      <w:r w:rsidR="00D26BF8" w:rsidRPr="001742B3">
        <w:rPr>
          <w:iCs/>
        </w:rPr>
        <w:t>)</w:t>
      </w:r>
      <w:r w:rsidR="00D26BF8" w:rsidRPr="007E4DA1">
        <w:rPr>
          <w:iCs/>
        </w:rPr>
        <w:t>:</w:t>
      </w:r>
    </w:p>
    <w:p w14:paraId="428C2BDD" w14:textId="5E6723C6" w:rsidR="000675DA" w:rsidRPr="007E4DA1" w:rsidRDefault="000675DA" w:rsidP="001A6584">
      <w:pPr>
        <w:tabs>
          <w:tab w:val="left" w:pos="142"/>
        </w:tabs>
        <w:ind w:left="0" w:firstLine="0"/>
      </w:pPr>
      <w:r w:rsidRPr="007E4DA1">
        <w:t>Pierwszorzędowym punktem końcowym był odsetek pacjentów, którzy uzyskali liczbę płytek krwi ≥50</w:t>
      </w:r>
      <w:r w:rsidR="00E23DED" w:rsidRPr="007E4DA1">
        <w:t> </w:t>
      </w:r>
      <w:r w:rsidRPr="007E4DA1">
        <w:t>000/µl przynajmniej raz pomiędzy tygodniem</w:t>
      </w:r>
      <w:r w:rsidR="00E23DED" w:rsidRPr="007E4DA1">
        <w:t> </w:t>
      </w:r>
      <w:r w:rsidRPr="007E4DA1">
        <w:t xml:space="preserve">1. a 6. </w:t>
      </w:r>
      <w:r w:rsidR="00C1429B" w:rsidRPr="007E4DA1">
        <w:t>o</w:t>
      </w:r>
      <w:r w:rsidR="00332F7E" w:rsidRPr="007E4DA1">
        <w:t>kresu ra</w:t>
      </w:r>
      <w:r w:rsidRPr="007E4DA1">
        <w:t>ndomizowan</w:t>
      </w:r>
      <w:r w:rsidR="00332F7E" w:rsidRPr="007E4DA1">
        <w:t>ego</w:t>
      </w:r>
      <w:r w:rsidRPr="007E4DA1">
        <w:t xml:space="preserve">. U pacjentów </w:t>
      </w:r>
      <w:r w:rsidR="00DF3447" w:rsidRPr="007E4DA1">
        <w:t>rozpoznanie pierwotnej małopłytkowości immunologicznej postawiono co najmniej 6</w:t>
      </w:r>
      <w:r w:rsidR="00F96CA2" w:rsidRPr="007E4DA1">
        <w:t> </w:t>
      </w:r>
      <w:r w:rsidR="00DF3447" w:rsidRPr="007E4DA1">
        <w:t xml:space="preserve">miesięcy wcześniej i </w:t>
      </w:r>
      <w:r w:rsidRPr="007E4DA1">
        <w:t xml:space="preserve">stwierdzono oporność lub nawrót choroby po wcześniejszym zastosowaniu przynajmniej jednej terapii przeciwko </w:t>
      </w:r>
      <w:r w:rsidR="008E5F7C" w:rsidRPr="007E4DA1">
        <w:t xml:space="preserve">pierwotnej </w:t>
      </w:r>
      <w:r w:rsidRPr="007E4DA1">
        <w:t>małopłytkowości immunologicznej, a liczba płytek krwi wynosiła &lt;30</w:t>
      </w:r>
      <w:r w:rsidR="00E23DED" w:rsidRPr="007E4DA1">
        <w:t> </w:t>
      </w:r>
      <w:r w:rsidRPr="007E4DA1">
        <w:t xml:space="preserve">000/µl (n=67). W randomizowanym okresie badania pacjentów przydzielono do </w:t>
      </w:r>
      <w:r w:rsidR="00E8216D" w:rsidRPr="007E4DA1">
        <w:t xml:space="preserve">trzech </w:t>
      </w:r>
      <w:r w:rsidRPr="007E4DA1">
        <w:t>grup wiekowych (w stosunku 2:1) otrzymujących eltrombopag (n=45) lub placebo (n=22). Możliwe było dostosowanie dawki eltrombopagu w zależności od liczby płytek krwi u danego pacjenta.</w:t>
      </w:r>
    </w:p>
    <w:p w14:paraId="167BA331" w14:textId="77777777" w:rsidR="000675DA" w:rsidRPr="007E4DA1" w:rsidRDefault="000675DA" w:rsidP="001A6584">
      <w:pPr>
        <w:tabs>
          <w:tab w:val="left" w:pos="142"/>
        </w:tabs>
        <w:ind w:left="0" w:firstLine="0"/>
      </w:pPr>
    </w:p>
    <w:p w14:paraId="2030437A" w14:textId="77777777" w:rsidR="000675DA" w:rsidRPr="007E4DA1" w:rsidRDefault="000675DA" w:rsidP="001A6584">
      <w:pPr>
        <w:tabs>
          <w:tab w:val="left" w:pos="142"/>
        </w:tabs>
        <w:ind w:left="0" w:firstLine="0"/>
      </w:pPr>
      <w:r w:rsidRPr="007E4DA1">
        <w:t>Podsumowując, pierwszorzędowy punkt końcowy został osiągnięty przez istotnie większy odsetek pacjentów otrzymujących eltrombopag (62%) niż pacjentów otrzymujących placebo (32%) (iloraz szans: 4,3 [95% CI: 1,4; 13,3] p</w:t>
      </w:r>
      <w:r w:rsidR="00E23DED" w:rsidRPr="007E4DA1">
        <w:t>=</w:t>
      </w:r>
      <w:r w:rsidRPr="007E4DA1">
        <w:t>0,011).</w:t>
      </w:r>
    </w:p>
    <w:p w14:paraId="76996D65" w14:textId="77777777" w:rsidR="000675DA" w:rsidRPr="007E4DA1" w:rsidRDefault="000675DA" w:rsidP="001A6584">
      <w:pPr>
        <w:tabs>
          <w:tab w:val="left" w:pos="142"/>
        </w:tabs>
        <w:ind w:left="0" w:firstLine="0"/>
      </w:pPr>
    </w:p>
    <w:p w14:paraId="77069FDE" w14:textId="77777777" w:rsidR="00410505" w:rsidRPr="007E4DA1" w:rsidRDefault="00410505" w:rsidP="001A6584">
      <w:pPr>
        <w:tabs>
          <w:tab w:val="left" w:pos="142"/>
        </w:tabs>
        <w:ind w:left="0" w:firstLine="0"/>
      </w:pPr>
      <w:r w:rsidRPr="007E4DA1">
        <w:t>Trwałą odpowiedź zaobserwowano u 50% ze wstępnej odpowiedzi podczas 20 z 24 tygodni w badaniu PETIT 2 i 15 z 24 tygodni w badaniu PETIT.</w:t>
      </w:r>
    </w:p>
    <w:p w14:paraId="5430024E" w14:textId="77777777" w:rsidR="00410505" w:rsidRPr="007E4DA1" w:rsidRDefault="00410505" w:rsidP="001A6584">
      <w:pPr>
        <w:tabs>
          <w:tab w:val="left" w:pos="142"/>
        </w:tabs>
        <w:ind w:left="0" w:firstLine="0"/>
      </w:pPr>
    </w:p>
    <w:p w14:paraId="46ABFFFF" w14:textId="77777777" w:rsidR="00041A08" w:rsidRPr="00041A08" w:rsidRDefault="00A350DA" w:rsidP="001A6584">
      <w:pPr>
        <w:keepNext/>
        <w:tabs>
          <w:tab w:val="left" w:pos="142"/>
        </w:tabs>
        <w:ind w:left="0" w:firstLine="0"/>
      </w:pPr>
      <w:r w:rsidRPr="007E4DA1">
        <w:rPr>
          <w:i/>
          <w:u w:val="single"/>
        </w:rPr>
        <w:t>Badania małopłytkowości związanej z przewlekłym wirusowym zapaleniem wątroby typu C</w:t>
      </w:r>
    </w:p>
    <w:p w14:paraId="22A4ED00" w14:textId="22DE5693" w:rsidR="00A350DA" w:rsidRPr="007E4DA1" w:rsidRDefault="00A350DA" w:rsidP="001A6584">
      <w:pPr>
        <w:keepNext/>
        <w:tabs>
          <w:tab w:val="left" w:pos="142"/>
        </w:tabs>
        <w:ind w:left="0" w:firstLine="0"/>
      </w:pPr>
    </w:p>
    <w:p w14:paraId="2C24EDBF" w14:textId="3F5B633C" w:rsidR="00A350DA" w:rsidRPr="007E4DA1" w:rsidRDefault="00A350DA" w:rsidP="001A6584">
      <w:pPr>
        <w:tabs>
          <w:tab w:val="left" w:pos="142"/>
        </w:tabs>
        <w:ind w:left="0" w:firstLine="0"/>
        <w:rPr>
          <w:color w:val="000000"/>
        </w:rPr>
      </w:pPr>
      <w:r w:rsidRPr="007E4DA1">
        <w:t>Skuteczność i bezpieczeństwo eltrombopagu w leczeniu małopłytkowości u pacjentów zakażonych wirusem WZW C oceniano w dwóch randomizowanych, prowadzonych metodą podwójnie ślepej próby badaniach kontrolowanych za pomocą placebo. W badaniu ENABLE 1 w leczeniu przeciwwirusowym stosowano peginterferon alfa-2a w skojarzeniu z rybawiryną, a w badaniu ENABLE 2 stosowano peginterferon alfa-2b w skojarzeniu z rybawiryną. Pacjenci nie otrzymywali leków przeciwwirusowych o działaniu bezpośrednim.</w:t>
      </w:r>
      <w:r w:rsidRPr="007E4DA1">
        <w:rPr>
          <w:color w:val="FF0000"/>
        </w:rPr>
        <w:t xml:space="preserve"> </w:t>
      </w:r>
      <w:r w:rsidRPr="007E4DA1">
        <w:t>Do obu badań kwalifikowano pacjentów z liczbą płytek krwi &lt;75 000/μl, ze stratyfikacją według liczby płytek krwi (&lt;50 000/μl albo od ≥50 000/μl do &lt;75 000/μl), stężenia RNA wirusa WZW C podczas oceny przesiewowej (&lt;800 000 IU/ml albo ≥800 000 IU</w:t>
      </w:r>
      <w:r w:rsidR="00D64D4E" w:rsidRPr="007E4DA1">
        <w:t>/</w:t>
      </w:r>
      <w:r w:rsidRPr="007E4DA1">
        <w:t>ml) oraz genotypu wirusa WZW C (genotyp 2/3 albo genotyp 1/4/6</w:t>
      </w:r>
      <w:r w:rsidRPr="007E4DA1">
        <w:rPr>
          <w:color w:val="000000"/>
        </w:rPr>
        <w:t>).</w:t>
      </w:r>
    </w:p>
    <w:p w14:paraId="1FC17C93" w14:textId="77777777" w:rsidR="00A350DA" w:rsidRPr="007E4DA1" w:rsidRDefault="00A350DA" w:rsidP="001A6584">
      <w:pPr>
        <w:tabs>
          <w:tab w:val="left" w:pos="142"/>
        </w:tabs>
        <w:ind w:left="0" w:firstLine="0"/>
      </w:pPr>
    </w:p>
    <w:p w14:paraId="5CD4D21E" w14:textId="77777777" w:rsidR="00A350DA" w:rsidRPr="007E4DA1" w:rsidRDefault="00A350DA" w:rsidP="001A6584">
      <w:pPr>
        <w:tabs>
          <w:tab w:val="left" w:pos="142"/>
        </w:tabs>
        <w:ind w:left="0" w:firstLine="0"/>
      </w:pPr>
      <w:r w:rsidRPr="007E4DA1">
        <w:t>Wyjściowa charakterystyka choroby były podobna w obu badaniach i odpowiadała populacji pacjentów zakażonych wirusem WZW C z wyrównaną marskością wątroby. U większości pacjentów występował genotyp 1 wirusa WZW C (64%) oraz włóknienie mostkowe lub marskość. Trzydzieści jeden procent pacjentów otrzymywało wcześniej leczenie zakażenia wirusem WZW C – głównie z zastosowaniem pegylowanego interferonu w skojarzeniu z rybawiryną. Mediana wyjściowej liczby płytek krwi wynosiła 59 500/μl w obu grupach leczenia: liczba płytek krwi pozostawała w zakresie &lt;20 000/μl, &lt;50 000/μl oraz ≥50 000/μl u odpowiednio 0,8%, 28% i 72% rekrutowanych pacjentów.</w:t>
      </w:r>
    </w:p>
    <w:p w14:paraId="6B8DA402" w14:textId="77777777" w:rsidR="00A350DA" w:rsidRPr="007E4DA1" w:rsidRDefault="00A350DA" w:rsidP="001A6584">
      <w:pPr>
        <w:tabs>
          <w:tab w:val="left" w:pos="142"/>
        </w:tabs>
        <w:ind w:left="0" w:firstLine="0"/>
      </w:pPr>
    </w:p>
    <w:p w14:paraId="33D9DC22" w14:textId="77777777" w:rsidR="00A350DA" w:rsidRPr="007E4DA1" w:rsidRDefault="00A350DA" w:rsidP="001A6584">
      <w:pPr>
        <w:tabs>
          <w:tab w:val="left" w:pos="142"/>
        </w:tabs>
        <w:ind w:left="0" w:firstLine="0"/>
      </w:pPr>
      <w:r w:rsidRPr="007E4DA1">
        <w:t>Badania składały się z dwóch faz – fazy przed rozpoczęciem leczenia przeciwwirusowego oraz fazy leczenia przeciwwirusowego. W fazie przed rozpoczęciem leczenia przeciwwirusowego pacjenci otrzymywali eltrombopag w ramach leczenia prowadzonego metodą otwartej próby w celu zwiększenia liczby płytek krwi do poziomu ≥90 000/μl w badaniu ENABLE 1 oraz ≥100 000/μl w badaniu ENABLE 2. Mediana czasu do osiągnięcia docelowej liczby płytek krwi ≥90 000/μl (w badaniu ENABLE 1) lub ≥100 000/μl (w badaniu ENABLE 2) wynosiła 2 tygodnie.</w:t>
      </w:r>
    </w:p>
    <w:p w14:paraId="47DEE47C" w14:textId="77777777" w:rsidR="00A350DA" w:rsidRPr="007E4DA1" w:rsidRDefault="00A350DA" w:rsidP="001A6584">
      <w:pPr>
        <w:tabs>
          <w:tab w:val="left" w:pos="142"/>
        </w:tabs>
        <w:ind w:left="0" w:firstLine="0"/>
      </w:pPr>
    </w:p>
    <w:p w14:paraId="4CF0449C" w14:textId="77777777" w:rsidR="00A350DA" w:rsidRPr="007E4DA1" w:rsidRDefault="00A350DA" w:rsidP="001A6584">
      <w:pPr>
        <w:tabs>
          <w:tab w:val="left" w:pos="142"/>
        </w:tabs>
        <w:ind w:left="0" w:firstLine="0"/>
      </w:pPr>
      <w:r w:rsidRPr="007E4DA1">
        <w:t>Pierwszorzędowym punktem końcowym dotyczącym skuteczności w obu badaniach była trwała odpowiedź wirusologiczna (SVR), zdefiniowana jako odsetek pacjentów z niewykrywalnym stężeniem RNA wirusa WZW C 24 tygodnie po zakończeniu zaplanowanego okresu leczenia.</w:t>
      </w:r>
    </w:p>
    <w:p w14:paraId="3884ED2A" w14:textId="77777777" w:rsidR="00A350DA" w:rsidRPr="007E4DA1" w:rsidRDefault="00A350DA" w:rsidP="001A6584">
      <w:pPr>
        <w:tabs>
          <w:tab w:val="left" w:pos="142"/>
        </w:tabs>
        <w:ind w:left="0" w:firstLine="0"/>
      </w:pPr>
    </w:p>
    <w:p w14:paraId="5E8B2B97" w14:textId="72B653E3" w:rsidR="00A350DA" w:rsidRPr="007E4DA1" w:rsidRDefault="00A350DA" w:rsidP="001A6584">
      <w:pPr>
        <w:tabs>
          <w:tab w:val="left" w:pos="142"/>
          <w:tab w:val="left" w:pos="5812"/>
        </w:tabs>
        <w:ind w:left="0" w:firstLine="0"/>
      </w:pPr>
      <w:r w:rsidRPr="007E4DA1">
        <w:t>W obu badaniach dotyczących zakażenia wirusem WZW C, SVR osiągnięto u istotnie większego odsetka pacjentów leczonych eltrombopagiem (n=201, 21%) w porównaniu z pacjentami otrzymującymi placebo (n=65, 13%) (patrz tabela </w:t>
      </w:r>
      <w:r w:rsidR="001C1AF1">
        <w:t>11</w:t>
      </w:r>
      <w:r w:rsidRPr="007E4DA1">
        <w:t>). Poprawa dotycząca odsetka pacjentów, u których osiągnięto SVR, była spójna we wszystkich podgrupach w warstwach randomizacyjnych (wyjściowej liczby płytek krwi (&lt;50 000 albo &gt;50 000), poziomu wiremii (&lt;800 000 IU/ml albo ≥800 000 IU/ml) oraz genotypu (2/3 albo 1/4/6)).</w:t>
      </w:r>
    </w:p>
    <w:p w14:paraId="1C1416B3" w14:textId="77777777" w:rsidR="00A350DA" w:rsidRPr="007E4DA1" w:rsidRDefault="00A350DA" w:rsidP="001A6584">
      <w:pPr>
        <w:tabs>
          <w:tab w:val="left" w:pos="142"/>
        </w:tabs>
        <w:ind w:left="0" w:firstLine="0"/>
      </w:pPr>
    </w:p>
    <w:p w14:paraId="49B79882" w14:textId="57BD206D" w:rsidR="00A350DA" w:rsidRPr="007E4DA1" w:rsidRDefault="00A350DA" w:rsidP="001A6584">
      <w:pPr>
        <w:keepNext/>
        <w:ind w:left="1134" w:hanging="1134"/>
      </w:pPr>
      <w:r w:rsidRPr="007E4DA1">
        <w:rPr>
          <w:b/>
        </w:rPr>
        <w:t>Tabela </w:t>
      </w:r>
      <w:r w:rsidR="001C1AF1">
        <w:rPr>
          <w:b/>
        </w:rPr>
        <w:t>11</w:t>
      </w:r>
      <w:r w:rsidR="0097556A" w:rsidRPr="007E4DA1">
        <w:rPr>
          <w:b/>
        </w:rPr>
        <w:tab/>
      </w:r>
      <w:r w:rsidRPr="007E4DA1">
        <w:rPr>
          <w:b/>
        </w:rPr>
        <w:t>Odpowiedź wirusologiczna u pacjentów zakażonych wirusem WZW C w badaniach ENABLE 1 i ENABLE 2</w:t>
      </w:r>
    </w:p>
    <w:p w14:paraId="23629802" w14:textId="77777777" w:rsidR="00A350DA" w:rsidRPr="007E4DA1" w:rsidRDefault="00A350DA" w:rsidP="001A6584">
      <w:pPr>
        <w:keepNext/>
        <w:tabs>
          <w:tab w:val="left" w:pos="142"/>
        </w:tabs>
        <w:ind w:left="0" w:firstLine="0"/>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A350DA" w:rsidRPr="007E4DA1" w14:paraId="7C113228" w14:textId="77777777" w:rsidTr="00553AB7">
        <w:trPr>
          <w:cantSplit/>
        </w:trPr>
        <w:tc>
          <w:tcPr>
            <w:tcW w:w="2376" w:type="dxa"/>
          </w:tcPr>
          <w:p w14:paraId="186E43F8" w14:textId="77777777" w:rsidR="00A350DA" w:rsidRPr="007E4DA1" w:rsidRDefault="00A350DA" w:rsidP="001A6584">
            <w:pPr>
              <w:keepNext/>
              <w:tabs>
                <w:tab w:val="left" w:pos="142"/>
              </w:tabs>
              <w:ind w:left="0" w:firstLine="0"/>
            </w:pPr>
          </w:p>
        </w:tc>
        <w:tc>
          <w:tcPr>
            <w:tcW w:w="2268" w:type="dxa"/>
            <w:gridSpan w:val="2"/>
          </w:tcPr>
          <w:p w14:paraId="59324042" w14:textId="77777777" w:rsidR="00A350DA" w:rsidRPr="007E4DA1" w:rsidRDefault="00A350DA" w:rsidP="001A6584">
            <w:pPr>
              <w:keepNext/>
              <w:tabs>
                <w:tab w:val="left" w:pos="142"/>
              </w:tabs>
              <w:ind w:left="0" w:firstLine="0"/>
              <w:jc w:val="center"/>
              <w:rPr>
                <w:b/>
                <w:vanish/>
              </w:rPr>
            </w:pPr>
            <w:r w:rsidRPr="007E4DA1">
              <w:rPr>
                <w:b/>
              </w:rPr>
              <w:t>Połączone dane</w:t>
            </w:r>
          </w:p>
        </w:tc>
        <w:tc>
          <w:tcPr>
            <w:tcW w:w="2268" w:type="dxa"/>
            <w:gridSpan w:val="2"/>
          </w:tcPr>
          <w:p w14:paraId="77D80288" w14:textId="77777777" w:rsidR="00A350DA" w:rsidRPr="007E4DA1" w:rsidRDefault="00A350DA" w:rsidP="001A6584">
            <w:pPr>
              <w:keepNext/>
              <w:tabs>
                <w:tab w:val="left" w:pos="142"/>
              </w:tabs>
              <w:ind w:left="0" w:firstLine="0"/>
              <w:jc w:val="center"/>
              <w:rPr>
                <w:b/>
              </w:rPr>
            </w:pPr>
            <w:r w:rsidRPr="007E4DA1">
              <w:rPr>
                <w:b/>
              </w:rPr>
              <w:t>ENABLE 1</w:t>
            </w:r>
            <w:r w:rsidRPr="007E4DA1">
              <w:rPr>
                <w:b/>
                <w:vertAlign w:val="superscript"/>
              </w:rPr>
              <w:t>a</w:t>
            </w:r>
          </w:p>
        </w:tc>
        <w:tc>
          <w:tcPr>
            <w:tcW w:w="2268" w:type="dxa"/>
            <w:gridSpan w:val="2"/>
          </w:tcPr>
          <w:p w14:paraId="34E62473" w14:textId="77777777" w:rsidR="00A350DA" w:rsidRPr="007E4DA1" w:rsidRDefault="00A350DA" w:rsidP="001A6584">
            <w:pPr>
              <w:keepNext/>
              <w:tabs>
                <w:tab w:val="left" w:pos="142"/>
              </w:tabs>
              <w:ind w:left="0" w:firstLine="0"/>
              <w:jc w:val="center"/>
              <w:rPr>
                <w:b/>
              </w:rPr>
            </w:pPr>
            <w:r w:rsidRPr="007E4DA1">
              <w:rPr>
                <w:b/>
              </w:rPr>
              <w:t>ENABLE 2</w:t>
            </w:r>
            <w:r w:rsidRPr="007E4DA1">
              <w:rPr>
                <w:b/>
                <w:vertAlign w:val="superscript"/>
              </w:rPr>
              <w:t>b</w:t>
            </w:r>
          </w:p>
        </w:tc>
      </w:tr>
      <w:tr w:rsidR="00A350DA" w:rsidRPr="007E4DA1" w14:paraId="6342759D" w14:textId="77777777" w:rsidTr="00553AB7">
        <w:trPr>
          <w:cantSplit/>
        </w:trPr>
        <w:tc>
          <w:tcPr>
            <w:tcW w:w="2376" w:type="dxa"/>
          </w:tcPr>
          <w:p w14:paraId="3ABE1554" w14:textId="77777777" w:rsidR="00A350DA" w:rsidRPr="007E4DA1" w:rsidRDefault="00A350DA" w:rsidP="001A6584">
            <w:pPr>
              <w:keepNext/>
              <w:tabs>
                <w:tab w:val="left" w:pos="142"/>
                <w:tab w:val="left" w:pos="270"/>
              </w:tabs>
              <w:ind w:left="0" w:firstLine="0"/>
            </w:pPr>
            <w:r w:rsidRPr="007E4DA1">
              <w:t xml:space="preserve">Pacjenci osiągający docelową liczbę płytek krwi i rozpoczynający leczenie przeciwwirusowe </w:t>
            </w:r>
            <w:r w:rsidRPr="007E4DA1">
              <w:rPr>
                <w:b/>
                <w:vertAlign w:val="superscript"/>
              </w:rPr>
              <w:t>c</w:t>
            </w:r>
          </w:p>
        </w:tc>
        <w:tc>
          <w:tcPr>
            <w:tcW w:w="2268" w:type="dxa"/>
            <w:gridSpan w:val="2"/>
          </w:tcPr>
          <w:p w14:paraId="29450777" w14:textId="77777777" w:rsidR="00A350DA" w:rsidRPr="007E4DA1" w:rsidRDefault="00A350DA" w:rsidP="001A6584">
            <w:pPr>
              <w:keepNext/>
              <w:tabs>
                <w:tab w:val="left" w:pos="142"/>
              </w:tabs>
              <w:ind w:left="0" w:firstLine="0"/>
              <w:jc w:val="center"/>
            </w:pPr>
          </w:p>
          <w:p w14:paraId="583C32CD" w14:textId="34750536" w:rsidR="00A350DA" w:rsidRPr="007E4DA1" w:rsidRDefault="00A350DA" w:rsidP="001A6584">
            <w:pPr>
              <w:keepNext/>
              <w:tabs>
                <w:tab w:val="left" w:pos="142"/>
              </w:tabs>
              <w:ind w:left="0" w:firstLine="0"/>
              <w:jc w:val="center"/>
            </w:pPr>
            <w:r w:rsidRPr="007E4DA1">
              <w:t>1</w:t>
            </w:r>
            <w:r w:rsidR="005F162F" w:rsidRPr="007E4DA1">
              <w:t> </w:t>
            </w:r>
            <w:r w:rsidRPr="007E4DA1">
              <w:t>439/1</w:t>
            </w:r>
            <w:r w:rsidR="005F162F" w:rsidRPr="007E4DA1">
              <w:t> </w:t>
            </w:r>
            <w:r w:rsidRPr="007E4DA1">
              <w:t>520 (95%)</w:t>
            </w:r>
          </w:p>
        </w:tc>
        <w:tc>
          <w:tcPr>
            <w:tcW w:w="2268" w:type="dxa"/>
            <w:gridSpan w:val="2"/>
          </w:tcPr>
          <w:p w14:paraId="1875C2C2" w14:textId="77777777" w:rsidR="00A350DA" w:rsidRPr="007E4DA1" w:rsidRDefault="00A350DA" w:rsidP="001A6584">
            <w:pPr>
              <w:keepNext/>
              <w:tabs>
                <w:tab w:val="left" w:pos="142"/>
              </w:tabs>
              <w:ind w:left="0" w:firstLine="0"/>
              <w:jc w:val="center"/>
            </w:pPr>
          </w:p>
          <w:p w14:paraId="78BD4F9C" w14:textId="77777777" w:rsidR="00A350DA" w:rsidRPr="007E4DA1" w:rsidRDefault="00A350DA" w:rsidP="001A6584">
            <w:pPr>
              <w:keepNext/>
              <w:tabs>
                <w:tab w:val="left" w:pos="142"/>
              </w:tabs>
              <w:ind w:left="0" w:firstLine="0"/>
              <w:jc w:val="center"/>
            </w:pPr>
            <w:r w:rsidRPr="007E4DA1">
              <w:t>680/715 (95%)</w:t>
            </w:r>
          </w:p>
        </w:tc>
        <w:tc>
          <w:tcPr>
            <w:tcW w:w="2268" w:type="dxa"/>
            <w:gridSpan w:val="2"/>
          </w:tcPr>
          <w:p w14:paraId="11A40A49" w14:textId="77777777" w:rsidR="00A350DA" w:rsidRPr="007E4DA1" w:rsidRDefault="00A350DA" w:rsidP="001A6584">
            <w:pPr>
              <w:keepNext/>
              <w:tabs>
                <w:tab w:val="left" w:pos="142"/>
              </w:tabs>
              <w:ind w:left="0" w:firstLine="0"/>
              <w:jc w:val="center"/>
            </w:pPr>
          </w:p>
          <w:p w14:paraId="5D2B5AAD" w14:textId="77777777" w:rsidR="00A350DA" w:rsidRPr="007E4DA1" w:rsidRDefault="00A350DA" w:rsidP="001A6584">
            <w:pPr>
              <w:keepNext/>
              <w:tabs>
                <w:tab w:val="left" w:pos="142"/>
              </w:tabs>
              <w:ind w:left="0" w:firstLine="0"/>
              <w:jc w:val="center"/>
            </w:pPr>
            <w:r w:rsidRPr="007E4DA1">
              <w:t>759/805 (94%)</w:t>
            </w:r>
          </w:p>
        </w:tc>
      </w:tr>
      <w:tr w:rsidR="00A350DA" w:rsidRPr="007E4DA1" w14:paraId="4EFC5D66" w14:textId="77777777" w:rsidTr="00553AB7">
        <w:trPr>
          <w:cantSplit/>
        </w:trPr>
        <w:tc>
          <w:tcPr>
            <w:tcW w:w="2376" w:type="dxa"/>
          </w:tcPr>
          <w:p w14:paraId="07A6EEEA" w14:textId="77777777" w:rsidR="00A350DA" w:rsidRPr="007E4DA1" w:rsidRDefault="00A350DA" w:rsidP="001A6584">
            <w:pPr>
              <w:keepNext/>
              <w:tabs>
                <w:tab w:val="left" w:pos="142"/>
              </w:tabs>
              <w:ind w:left="0" w:firstLine="0"/>
              <w:rPr>
                <w:sz w:val="18"/>
                <w:szCs w:val="18"/>
              </w:rPr>
            </w:pPr>
          </w:p>
        </w:tc>
        <w:tc>
          <w:tcPr>
            <w:tcW w:w="1276" w:type="dxa"/>
          </w:tcPr>
          <w:p w14:paraId="2A28498C" w14:textId="77777777" w:rsidR="00A350DA" w:rsidRPr="007E4DA1" w:rsidRDefault="00A350DA" w:rsidP="001A6584">
            <w:pPr>
              <w:keepNext/>
              <w:tabs>
                <w:tab w:val="left" w:pos="142"/>
              </w:tabs>
              <w:ind w:left="0" w:firstLine="0"/>
              <w:jc w:val="center"/>
              <w:rPr>
                <w:b/>
                <w:sz w:val="18"/>
                <w:szCs w:val="18"/>
              </w:rPr>
            </w:pPr>
            <w:r w:rsidRPr="007E4DA1">
              <w:rPr>
                <w:b/>
                <w:sz w:val="18"/>
              </w:rPr>
              <w:t>Eltrombopag</w:t>
            </w:r>
          </w:p>
        </w:tc>
        <w:tc>
          <w:tcPr>
            <w:tcW w:w="992" w:type="dxa"/>
          </w:tcPr>
          <w:p w14:paraId="669A3EB9" w14:textId="77777777" w:rsidR="00A350DA" w:rsidRPr="007E4DA1" w:rsidRDefault="00A350DA" w:rsidP="001A6584">
            <w:pPr>
              <w:keepNext/>
              <w:tabs>
                <w:tab w:val="left" w:pos="142"/>
              </w:tabs>
              <w:ind w:left="0" w:firstLine="0"/>
              <w:jc w:val="center"/>
              <w:rPr>
                <w:b/>
                <w:sz w:val="18"/>
                <w:szCs w:val="18"/>
              </w:rPr>
            </w:pPr>
            <w:r w:rsidRPr="007E4DA1">
              <w:rPr>
                <w:b/>
                <w:sz w:val="18"/>
              </w:rPr>
              <w:t>Placebo</w:t>
            </w:r>
          </w:p>
        </w:tc>
        <w:tc>
          <w:tcPr>
            <w:tcW w:w="1276" w:type="dxa"/>
          </w:tcPr>
          <w:p w14:paraId="46652842" w14:textId="77777777" w:rsidR="00A350DA" w:rsidRPr="007E4DA1" w:rsidRDefault="00A350DA" w:rsidP="001A6584">
            <w:pPr>
              <w:keepNext/>
              <w:tabs>
                <w:tab w:val="left" w:pos="142"/>
              </w:tabs>
              <w:ind w:left="0" w:firstLine="0"/>
              <w:jc w:val="center"/>
              <w:rPr>
                <w:b/>
                <w:sz w:val="18"/>
                <w:szCs w:val="18"/>
              </w:rPr>
            </w:pPr>
            <w:r w:rsidRPr="007E4DA1">
              <w:rPr>
                <w:b/>
                <w:sz w:val="18"/>
              </w:rPr>
              <w:t>Eltrombopag</w:t>
            </w:r>
          </w:p>
        </w:tc>
        <w:tc>
          <w:tcPr>
            <w:tcW w:w="992" w:type="dxa"/>
          </w:tcPr>
          <w:p w14:paraId="31C638C7" w14:textId="77777777" w:rsidR="00A350DA" w:rsidRPr="007E4DA1" w:rsidRDefault="00A350DA" w:rsidP="001A6584">
            <w:pPr>
              <w:keepNext/>
              <w:tabs>
                <w:tab w:val="left" w:pos="142"/>
              </w:tabs>
              <w:ind w:left="0" w:firstLine="0"/>
              <w:jc w:val="center"/>
              <w:rPr>
                <w:b/>
                <w:sz w:val="18"/>
                <w:szCs w:val="18"/>
              </w:rPr>
            </w:pPr>
            <w:r w:rsidRPr="007E4DA1">
              <w:rPr>
                <w:b/>
                <w:sz w:val="18"/>
              </w:rPr>
              <w:t>Placebo</w:t>
            </w:r>
          </w:p>
        </w:tc>
        <w:tc>
          <w:tcPr>
            <w:tcW w:w="1276" w:type="dxa"/>
          </w:tcPr>
          <w:p w14:paraId="1C7D0B1A" w14:textId="77777777" w:rsidR="00A350DA" w:rsidRPr="007E4DA1" w:rsidRDefault="00A350DA" w:rsidP="001A6584">
            <w:pPr>
              <w:keepNext/>
              <w:tabs>
                <w:tab w:val="left" w:pos="142"/>
              </w:tabs>
              <w:ind w:left="0" w:firstLine="0"/>
              <w:jc w:val="center"/>
              <w:rPr>
                <w:b/>
                <w:sz w:val="18"/>
                <w:szCs w:val="18"/>
              </w:rPr>
            </w:pPr>
            <w:r w:rsidRPr="007E4DA1">
              <w:rPr>
                <w:b/>
                <w:sz w:val="18"/>
              </w:rPr>
              <w:t>Eltrombopag</w:t>
            </w:r>
          </w:p>
        </w:tc>
        <w:tc>
          <w:tcPr>
            <w:tcW w:w="992" w:type="dxa"/>
          </w:tcPr>
          <w:p w14:paraId="041FB200" w14:textId="77777777" w:rsidR="00A350DA" w:rsidRPr="007E4DA1" w:rsidRDefault="00A350DA" w:rsidP="001A6584">
            <w:pPr>
              <w:keepNext/>
              <w:tabs>
                <w:tab w:val="left" w:pos="142"/>
              </w:tabs>
              <w:ind w:left="0" w:firstLine="0"/>
              <w:jc w:val="center"/>
              <w:rPr>
                <w:b/>
                <w:sz w:val="18"/>
                <w:szCs w:val="18"/>
              </w:rPr>
            </w:pPr>
            <w:r w:rsidRPr="007E4DA1">
              <w:rPr>
                <w:b/>
                <w:sz w:val="18"/>
              </w:rPr>
              <w:t>Placebo</w:t>
            </w:r>
          </w:p>
        </w:tc>
      </w:tr>
      <w:tr w:rsidR="00A350DA" w:rsidRPr="007E4DA1" w14:paraId="151F13DC" w14:textId="77777777" w:rsidTr="00553AB7">
        <w:trPr>
          <w:cantSplit/>
        </w:trPr>
        <w:tc>
          <w:tcPr>
            <w:tcW w:w="2376" w:type="dxa"/>
            <w:vAlign w:val="bottom"/>
          </w:tcPr>
          <w:p w14:paraId="4298031F" w14:textId="77777777" w:rsidR="00A350DA" w:rsidRPr="007E4DA1" w:rsidRDefault="00A350DA" w:rsidP="001A6584">
            <w:pPr>
              <w:keepNext/>
              <w:tabs>
                <w:tab w:val="left" w:pos="142"/>
              </w:tabs>
              <w:ind w:left="0" w:firstLine="0"/>
              <w:rPr>
                <w:b/>
              </w:rPr>
            </w:pPr>
            <w:r w:rsidRPr="007E4DA1">
              <w:rPr>
                <w:b/>
              </w:rPr>
              <w:t>Łączna liczba pacjentów rozpoczynających fazę leczenia przeciwwirusowego</w:t>
            </w:r>
          </w:p>
        </w:tc>
        <w:tc>
          <w:tcPr>
            <w:tcW w:w="1276" w:type="dxa"/>
          </w:tcPr>
          <w:p w14:paraId="59D4848C" w14:textId="77777777" w:rsidR="00041A08" w:rsidRPr="00041A08" w:rsidRDefault="00A350DA" w:rsidP="001A6584">
            <w:pPr>
              <w:keepNext/>
              <w:tabs>
                <w:tab w:val="left" w:pos="142"/>
              </w:tabs>
              <w:ind w:left="0" w:firstLine="0"/>
              <w:jc w:val="center"/>
            </w:pPr>
            <w:r w:rsidRPr="007E4DA1">
              <w:rPr>
                <w:b/>
              </w:rPr>
              <w:t>n=956</w:t>
            </w:r>
          </w:p>
          <w:p w14:paraId="4A640EC8" w14:textId="5B43F9D7" w:rsidR="00A350DA" w:rsidRPr="007E4DA1" w:rsidRDefault="00A350DA" w:rsidP="001A6584">
            <w:pPr>
              <w:keepNext/>
              <w:tabs>
                <w:tab w:val="left" w:pos="142"/>
              </w:tabs>
              <w:ind w:left="0" w:firstLine="0"/>
              <w:jc w:val="center"/>
              <w:rPr>
                <w:b/>
              </w:rPr>
            </w:pPr>
          </w:p>
        </w:tc>
        <w:tc>
          <w:tcPr>
            <w:tcW w:w="992" w:type="dxa"/>
          </w:tcPr>
          <w:p w14:paraId="6513EE61" w14:textId="77777777" w:rsidR="00041A08" w:rsidRPr="00041A08" w:rsidRDefault="00A350DA" w:rsidP="001A6584">
            <w:pPr>
              <w:keepNext/>
              <w:tabs>
                <w:tab w:val="left" w:pos="142"/>
              </w:tabs>
              <w:ind w:left="0" w:firstLine="0"/>
              <w:jc w:val="center"/>
            </w:pPr>
            <w:r w:rsidRPr="007E4DA1">
              <w:rPr>
                <w:b/>
              </w:rPr>
              <w:t>n=485</w:t>
            </w:r>
          </w:p>
          <w:p w14:paraId="0C29D40C" w14:textId="48EDC7B9" w:rsidR="00A350DA" w:rsidRPr="007E4DA1" w:rsidRDefault="00A350DA" w:rsidP="001A6584">
            <w:pPr>
              <w:keepNext/>
              <w:tabs>
                <w:tab w:val="left" w:pos="142"/>
              </w:tabs>
              <w:ind w:left="0" w:firstLine="0"/>
              <w:jc w:val="center"/>
              <w:rPr>
                <w:b/>
              </w:rPr>
            </w:pPr>
          </w:p>
        </w:tc>
        <w:tc>
          <w:tcPr>
            <w:tcW w:w="1276" w:type="dxa"/>
          </w:tcPr>
          <w:p w14:paraId="2C46EC76" w14:textId="77777777" w:rsidR="00041A08" w:rsidRPr="00041A08" w:rsidRDefault="00A350DA" w:rsidP="001A6584">
            <w:pPr>
              <w:keepNext/>
              <w:tabs>
                <w:tab w:val="left" w:pos="142"/>
              </w:tabs>
              <w:ind w:left="0" w:firstLine="0"/>
              <w:jc w:val="center"/>
            </w:pPr>
            <w:r w:rsidRPr="007E4DA1">
              <w:rPr>
                <w:b/>
              </w:rPr>
              <w:t>n=450</w:t>
            </w:r>
          </w:p>
          <w:p w14:paraId="316FB15D" w14:textId="48ACE7D7" w:rsidR="00A350DA" w:rsidRPr="007E4DA1" w:rsidRDefault="00A350DA" w:rsidP="001A6584">
            <w:pPr>
              <w:keepNext/>
              <w:tabs>
                <w:tab w:val="left" w:pos="142"/>
              </w:tabs>
              <w:ind w:left="0" w:firstLine="0"/>
              <w:jc w:val="center"/>
            </w:pPr>
          </w:p>
        </w:tc>
        <w:tc>
          <w:tcPr>
            <w:tcW w:w="992" w:type="dxa"/>
          </w:tcPr>
          <w:p w14:paraId="305AD0F0" w14:textId="77777777" w:rsidR="00041A08" w:rsidRPr="00041A08" w:rsidRDefault="00A350DA" w:rsidP="001A6584">
            <w:pPr>
              <w:keepNext/>
              <w:tabs>
                <w:tab w:val="left" w:pos="142"/>
              </w:tabs>
              <w:ind w:left="0" w:firstLine="0"/>
              <w:jc w:val="center"/>
            </w:pPr>
            <w:r w:rsidRPr="007E4DA1">
              <w:rPr>
                <w:b/>
              </w:rPr>
              <w:t>n=232</w:t>
            </w:r>
          </w:p>
          <w:p w14:paraId="4006ECF9" w14:textId="37EA3E0A" w:rsidR="00A350DA" w:rsidRPr="007E4DA1" w:rsidRDefault="00A350DA" w:rsidP="001A6584">
            <w:pPr>
              <w:keepNext/>
              <w:tabs>
                <w:tab w:val="left" w:pos="142"/>
              </w:tabs>
              <w:ind w:left="0" w:firstLine="0"/>
              <w:jc w:val="center"/>
            </w:pPr>
          </w:p>
        </w:tc>
        <w:tc>
          <w:tcPr>
            <w:tcW w:w="1276" w:type="dxa"/>
          </w:tcPr>
          <w:p w14:paraId="6B151916" w14:textId="77777777" w:rsidR="00041A08" w:rsidRPr="00041A08" w:rsidRDefault="00A350DA" w:rsidP="001A6584">
            <w:pPr>
              <w:keepNext/>
              <w:tabs>
                <w:tab w:val="left" w:pos="142"/>
              </w:tabs>
              <w:ind w:left="0" w:firstLine="0"/>
              <w:jc w:val="center"/>
            </w:pPr>
            <w:r w:rsidRPr="007E4DA1">
              <w:rPr>
                <w:b/>
              </w:rPr>
              <w:t>n=506</w:t>
            </w:r>
          </w:p>
          <w:p w14:paraId="65697592" w14:textId="270E4FB8" w:rsidR="00A350DA" w:rsidRPr="007E4DA1" w:rsidRDefault="00A350DA" w:rsidP="001A6584">
            <w:pPr>
              <w:keepNext/>
              <w:tabs>
                <w:tab w:val="left" w:pos="142"/>
              </w:tabs>
              <w:ind w:left="0" w:firstLine="0"/>
              <w:jc w:val="center"/>
            </w:pPr>
          </w:p>
        </w:tc>
        <w:tc>
          <w:tcPr>
            <w:tcW w:w="992" w:type="dxa"/>
          </w:tcPr>
          <w:p w14:paraId="282B3A0D" w14:textId="77777777" w:rsidR="00041A08" w:rsidRPr="00041A08" w:rsidRDefault="00A350DA" w:rsidP="001A6584">
            <w:pPr>
              <w:keepNext/>
              <w:tabs>
                <w:tab w:val="left" w:pos="142"/>
              </w:tabs>
              <w:ind w:left="0" w:firstLine="0"/>
              <w:jc w:val="center"/>
            </w:pPr>
            <w:r w:rsidRPr="007E4DA1">
              <w:rPr>
                <w:b/>
              </w:rPr>
              <w:t>n=253</w:t>
            </w:r>
          </w:p>
          <w:p w14:paraId="680B5093" w14:textId="237059A1" w:rsidR="00A350DA" w:rsidRPr="007E4DA1" w:rsidRDefault="00A350DA" w:rsidP="001A6584">
            <w:pPr>
              <w:keepNext/>
              <w:tabs>
                <w:tab w:val="left" w:pos="142"/>
              </w:tabs>
              <w:ind w:left="0" w:firstLine="0"/>
              <w:jc w:val="center"/>
            </w:pPr>
          </w:p>
        </w:tc>
      </w:tr>
      <w:tr w:rsidR="00A350DA" w:rsidRPr="007E4DA1" w14:paraId="1E131F7E" w14:textId="77777777" w:rsidTr="00553AB7">
        <w:trPr>
          <w:cantSplit/>
        </w:trPr>
        <w:tc>
          <w:tcPr>
            <w:tcW w:w="2376" w:type="dxa"/>
            <w:vAlign w:val="bottom"/>
          </w:tcPr>
          <w:p w14:paraId="6449AD72" w14:textId="77777777" w:rsidR="00A350DA" w:rsidRPr="007E4DA1" w:rsidRDefault="00A350DA" w:rsidP="001A6584">
            <w:pPr>
              <w:keepNext/>
              <w:tabs>
                <w:tab w:val="left" w:pos="142"/>
              </w:tabs>
              <w:ind w:left="0" w:firstLine="0"/>
              <w:rPr>
                <w:b/>
              </w:rPr>
            </w:pPr>
          </w:p>
        </w:tc>
        <w:tc>
          <w:tcPr>
            <w:tcW w:w="6804" w:type="dxa"/>
            <w:gridSpan w:val="6"/>
          </w:tcPr>
          <w:p w14:paraId="798FD609" w14:textId="77777777" w:rsidR="00A350DA" w:rsidRPr="007E4DA1" w:rsidRDefault="00A350DA" w:rsidP="001A6584">
            <w:pPr>
              <w:keepNext/>
              <w:tabs>
                <w:tab w:val="left" w:pos="142"/>
              </w:tabs>
              <w:ind w:left="0" w:firstLine="0"/>
              <w:jc w:val="center"/>
              <w:rPr>
                <w:b/>
              </w:rPr>
            </w:pPr>
            <w:r w:rsidRPr="007E4DA1">
              <w:rPr>
                <w:b/>
              </w:rPr>
              <w:t>% pacjentów osiągających odpowiedź wirusologiczną</w:t>
            </w:r>
          </w:p>
        </w:tc>
      </w:tr>
      <w:tr w:rsidR="00A350DA" w:rsidRPr="007E4DA1" w14:paraId="7D6333FB" w14:textId="77777777" w:rsidTr="00553AB7">
        <w:trPr>
          <w:cantSplit/>
        </w:trPr>
        <w:tc>
          <w:tcPr>
            <w:tcW w:w="2376" w:type="dxa"/>
          </w:tcPr>
          <w:p w14:paraId="5EABE0F0" w14:textId="77777777" w:rsidR="00A350DA" w:rsidRPr="007E4DA1" w:rsidRDefault="00A350DA" w:rsidP="001A6584">
            <w:pPr>
              <w:keepNext/>
              <w:tabs>
                <w:tab w:val="left" w:pos="142"/>
                <w:tab w:val="left" w:pos="540"/>
              </w:tabs>
              <w:ind w:left="0" w:firstLine="0"/>
            </w:pPr>
            <w:r w:rsidRPr="007E4DA1">
              <w:rPr>
                <w:b/>
              </w:rPr>
              <w:t xml:space="preserve">SVR ogółem </w:t>
            </w:r>
            <w:r w:rsidRPr="007E4DA1">
              <w:rPr>
                <w:vertAlign w:val="superscript"/>
              </w:rPr>
              <w:t>d</w:t>
            </w:r>
            <w:r w:rsidRPr="007E4DA1">
              <w:rPr>
                <w:b/>
              </w:rPr>
              <w:t xml:space="preserve"> </w:t>
            </w:r>
          </w:p>
        </w:tc>
        <w:tc>
          <w:tcPr>
            <w:tcW w:w="1276" w:type="dxa"/>
          </w:tcPr>
          <w:p w14:paraId="02E151ED" w14:textId="77777777" w:rsidR="00A350DA" w:rsidRPr="007E4DA1" w:rsidRDefault="00A350DA" w:rsidP="001A6584">
            <w:pPr>
              <w:keepNext/>
              <w:tabs>
                <w:tab w:val="left" w:pos="142"/>
              </w:tabs>
              <w:ind w:left="0" w:firstLine="0"/>
              <w:jc w:val="center"/>
            </w:pPr>
            <w:r w:rsidRPr="007E4DA1">
              <w:t>21</w:t>
            </w:r>
          </w:p>
        </w:tc>
        <w:tc>
          <w:tcPr>
            <w:tcW w:w="992" w:type="dxa"/>
          </w:tcPr>
          <w:p w14:paraId="19109272" w14:textId="77777777" w:rsidR="00A350DA" w:rsidRPr="007E4DA1" w:rsidRDefault="00A350DA" w:rsidP="001A6584">
            <w:pPr>
              <w:keepNext/>
              <w:tabs>
                <w:tab w:val="left" w:pos="142"/>
              </w:tabs>
              <w:ind w:left="0" w:firstLine="0"/>
              <w:jc w:val="center"/>
            </w:pPr>
            <w:r w:rsidRPr="007E4DA1">
              <w:t>13</w:t>
            </w:r>
          </w:p>
        </w:tc>
        <w:tc>
          <w:tcPr>
            <w:tcW w:w="1276" w:type="dxa"/>
          </w:tcPr>
          <w:p w14:paraId="2BCECC60" w14:textId="77777777" w:rsidR="00A350DA" w:rsidRPr="007E4DA1" w:rsidRDefault="00A350DA" w:rsidP="001A6584">
            <w:pPr>
              <w:keepNext/>
              <w:tabs>
                <w:tab w:val="left" w:pos="142"/>
              </w:tabs>
              <w:ind w:left="0" w:firstLine="0"/>
              <w:jc w:val="center"/>
            </w:pPr>
            <w:r w:rsidRPr="007E4DA1">
              <w:t>23</w:t>
            </w:r>
          </w:p>
        </w:tc>
        <w:tc>
          <w:tcPr>
            <w:tcW w:w="992" w:type="dxa"/>
          </w:tcPr>
          <w:p w14:paraId="378348C1" w14:textId="77777777" w:rsidR="00A350DA" w:rsidRPr="007E4DA1" w:rsidRDefault="00A350DA" w:rsidP="001A6584">
            <w:pPr>
              <w:keepNext/>
              <w:tabs>
                <w:tab w:val="left" w:pos="142"/>
              </w:tabs>
              <w:ind w:left="0" w:firstLine="0"/>
              <w:jc w:val="center"/>
            </w:pPr>
            <w:r w:rsidRPr="007E4DA1">
              <w:t>14</w:t>
            </w:r>
          </w:p>
        </w:tc>
        <w:tc>
          <w:tcPr>
            <w:tcW w:w="1276" w:type="dxa"/>
          </w:tcPr>
          <w:p w14:paraId="428AF1B3" w14:textId="77777777" w:rsidR="00A350DA" w:rsidRPr="007E4DA1" w:rsidRDefault="00A350DA" w:rsidP="001A6584">
            <w:pPr>
              <w:keepNext/>
              <w:tabs>
                <w:tab w:val="left" w:pos="142"/>
              </w:tabs>
              <w:ind w:left="0" w:firstLine="0"/>
              <w:jc w:val="center"/>
            </w:pPr>
            <w:r w:rsidRPr="007E4DA1">
              <w:t>19</w:t>
            </w:r>
          </w:p>
        </w:tc>
        <w:tc>
          <w:tcPr>
            <w:tcW w:w="992" w:type="dxa"/>
          </w:tcPr>
          <w:p w14:paraId="676734D8" w14:textId="77777777" w:rsidR="00A350DA" w:rsidRPr="007E4DA1" w:rsidRDefault="00A350DA" w:rsidP="001A6584">
            <w:pPr>
              <w:keepNext/>
              <w:tabs>
                <w:tab w:val="left" w:pos="142"/>
              </w:tabs>
              <w:ind w:left="0" w:firstLine="0"/>
              <w:jc w:val="center"/>
            </w:pPr>
            <w:r w:rsidRPr="007E4DA1">
              <w:t>13</w:t>
            </w:r>
          </w:p>
        </w:tc>
      </w:tr>
      <w:tr w:rsidR="00A350DA" w:rsidRPr="007E4DA1" w14:paraId="5E00DAD3" w14:textId="77777777" w:rsidTr="00553AB7">
        <w:trPr>
          <w:cantSplit/>
        </w:trPr>
        <w:tc>
          <w:tcPr>
            <w:tcW w:w="2376" w:type="dxa"/>
          </w:tcPr>
          <w:p w14:paraId="61CE2B81" w14:textId="77777777" w:rsidR="00A350DA" w:rsidRPr="007E4DA1" w:rsidRDefault="00A350DA" w:rsidP="001A6584">
            <w:pPr>
              <w:keepNext/>
              <w:tabs>
                <w:tab w:val="left" w:pos="142"/>
                <w:tab w:val="left" w:pos="540"/>
              </w:tabs>
              <w:ind w:left="0" w:firstLine="0"/>
              <w:rPr>
                <w:i/>
              </w:rPr>
            </w:pPr>
            <w:r w:rsidRPr="007E4DA1">
              <w:rPr>
                <w:i/>
              </w:rPr>
              <w:t>Genotyp WZW C RNA</w:t>
            </w:r>
          </w:p>
        </w:tc>
        <w:tc>
          <w:tcPr>
            <w:tcW w:w="1276" w:type="dxa"/>
          </w:tcPr>
          <w:p w14:paraId="3D67CF80" w14:textId="77777777" w:rsidR="00A350DA" w:rsidRPr="007E4DA1" w:rsidRDefault="00A350DA" w:rsidP="001A6584">
            <w:pPr>
              <w:keepNext/>
              <w:tabs>
                <w:tab w:val="left" w:pos="142"/>
              </w:tabs>
              <w:ind w:left="0" w:firstLine="0"/>
              <w:jc w:val="center"/>
            </w:pPr>
          </w:p>
        </w:tc>
        <w:tc>
          <w:tcPr>
            <w:tcW w:w="992" w:type="dxa"/>
          </w:tcPr>
          <w:p w14:paraId="529040F5" w14:textId="77777777" w:rsidR="00A350DA" w:rsidRPr="007E4DA1" w:rsidRDefault="00A350DA" w:rsidP="001A6584">
            <w:pPr>
              <w:keepNext/>
              <w:tabs>
                <w:tab w:val="left" w:pos="142"/>
              </w:tabs>
              <w:ind w:left="0" w:firstLine="0"/>
              <w:jc w:val="center"/>
            </w:pPr>
          </w:p>
        </w:tc>
        <w:tc>
          <w:tcPr>
            <w:tcW w:w="1276" w:type="dxa"/>
          </w:tcPr>
          <w:p w14:paraId="0318E095" w14:textId="77777777" w:rsidR="00A350DA" w:rsidRPr="007E4DA1" w:rsidRDefault="00A350DA" w:rsidP="001A6584">
            <w:pPr>
              <w:keepNext/>
              <w:tabs>
                <w:tab w:val="left" w:pos="142"/>
              </w:tabs>
              <w:ind w:left="0" w:firstLine="0"/>
              <w:jc w:val="center"/>
            </w:pPr>
          </w:p>
        </w:tc>
        <w:tc>
          <w:tcPr>
            <w:tcW w:w="992" w:type="dxa"/>
          </w:tcPr>
          <w:p w14:paraId="6C6C64FB" w14:textId="77777777" w:rsidR="00A350DA" w:rsidRPr="007E4DA1" w:rsidRDefault="00A350DA" w:rsidP="001A6584">
            <w:pPr>
              <w:keepNext/>
              <w:tabs>
                <w:tab w:val="left" w:pos="142"/>
              </w:tabs>
              <w:ind w:left="0" w:firstLine="0"/>
              <w:jc w:val="center"/>
            </w:pPr>
          </w:p>
        </w:tc>
        <w:tc>
          <w:tcPr>
            <w:tcW w:w="1276" w:type="dxa"/>
          </w:tcPr>
          <w:p w14:paraId="156ADB83" w14:textId="77777777" w:rsidR="00A350DA" w:rsidRPr="007E4DA1" w:rsidRDefault="00A350DA" w:rsidP="001A6584">
            <w:pPr>
              <w:keepNext/>
              <w:tabs>
                <w:tab w:val="left" w:pos="142"/>
              </w:tabs>
              <w:ind w:left="0" w:firstLine="0"/>
              <w:jc w:val="center"/>
            </w:pPr>
          </w:p>
        </w:tc>
        <w:tc>
          <w:tcPr>
            <w:tcW w:w="992" w:type="dxa"/>
          </w:tcPr>
          <w:p w14:paraId="3F73F167" w14:textId="77777777" w:rsidR="00A350DA" w:rsidRPr="007E4DA1" w:rsidRDefault="00A350DA" w:rsidP="001A6584">
            <w:pPr>
              <w:keepNext/>
              <w:tabs>
                <w:tab w:val="left" w:pos="142"/>
              </w:tabs>
              <w:ind w:left="0" w:firstLine="0"/>
              <w:jc w:val="center"/>
            </w:pPr>
          </w:p>
        </w:tc>
      </w:tr>
      <w:tr w:rsidR="00A350DA" w:rsidRPr="007E4DA1" w14:paraId="0A6DF59A" w14:textId="77777777" w:rsidTr="00553AB7">
        <w:trPr>
          <w:cantSplit/>
        </w:trPr>
        <w:tc>
          <w:tcPr>
            <w:tcW w:w="2376" w:type="dxa"/>
          </w:tcPr>
          <w:p w14:paraId="61D7CBC2" w14:textId="77777777" w:rsidR="00A350DA" w:rsidRPr="007E4DA1" w:rsidRDefault="00A350DA" w:rsidP="001A6584">
            <w:pPr>
              <w:keepNext/>
              <w:tabs>
                <w:tab w:val="left" w:pos="142"/>
                <w:tab w:val="left" w:pos="540"/>
              </w:tabs>
              <w:ind w:left="0" w:firstLine="0"/>
            </w:pPr>
            <w:r w:rsidRPr="007E4DA1">
              <w:t>Genotyp 2/3</w:t>
            </w:r>
          </w:p>
        </w:tc>
        <w:tc>
          <w:tcPr>
            <w:tcW w:w="1276" w:type="dxa"/>
          </w:tcPr>
          <w:p w14:paraId="2EB0BC07" w14:textId="77777777" w:rsidR="00A350DA" w:rsidRPr="007E4DA1" w:rsidRDefault="00A350DA" w:rsidP="001A6584">
            <w:pPr>
              <w:keepNext/>
              <w:tabs>
                <w:tab w:val="left" w:pos="142"/>
              </w:tabs>
              <w:ind w:left="0" w:firstLine="0"/>
              <w:jc w:val="center"/>
            </w:pPr>
            <w:r w:rsidRPr="007E4DA1">
              <w:t>35</w:t>
            </w:r>
          </w:p>
        </w:tc>
        <w:tc>
          <w:tcPr>
            <w:tcW w:w="992" w:type="dxa"/>
          </w:tcPr>
          <w:p w14:paraId="4D2A1742" w14:textId="77777777" w:rsidR="00A350DA" w:rsidRPr="007E4DA1" w:rsidRDefault="00A350DA" w:rsidP="001A6584">
            <w:pPr>
              <w:keepNext/>
              <w:tabs>
                <w:tab w:val="left" w:pos="142"/>
              </w:tabs>
              <w:ind w:left="0" w:firstLine="0"/>
              <w:jc w:val="center"/>
            </w:pPr>
            <w:r w:rsidRPr="007E4DA1">
              <w:t>25</w:t>
            </w:r>
          </w:p>
        </w:tc>
        <w:tc>
          <w:tcPr>
            <w:tcW w:w="1276" w:type="dxa"/>
          </w:tcPr>
          <w:p w14:paraId="62CB1A16" w14:textId="77777777" w:rsidR="00A350DA" w:rsidRPr="007E4DA1" w:rsidRDefault="00A350DA" w:rsidP="001A6584">
            <w:pPr>
              <w:keepNext/>
              <w:tabs>
                <w:tab w:val="left" w:pos="142"/>
              </w:tabs>
              <w:ind w:left="0" w:firstLine="0"/>
              <w:jc w:val="center"/>
            </w:pPr>
            <w:r w:rsidRPr="007E4DA1">
              <w:t>35</w:t>
            </w:r>
          </w:p>
        </w:tc>
        <w:tc>
          <w:tcPr>
            <w:tcW w:w="992" w:type="dxa"/>
          </w:tcPr>
          <w:p w14:paraId="24B4B967" w14:textId="77777777" w:rsidR="00A350DA" w:rsidRPr="007E4DA1" w:rsidRDefault="00A350DA" w:rsidP="001A6584">
            <w:pPr>
              <w:keepNext/>
              <w:tabs>
                <w:tab w:val="left" w:pos="142"/>
              </w:tabs>
              <w:ind w:left="0" w:firstLine="0"/>
              <w:jc w:val="center"/>
            </w:pPr>
            <w:r w:rsidRPr="007E4DA1">
              <w:t>24</w:t>
            </w:r>
          </w:p>
        </w:tc>
        <w:tc>
          <w:tcPr>
            <w:tcW w:w="1276" w:type="dxa"/>
          </w:tcPr>
          <w:p w14:paraId="44395E1D" w14:textId="77777777" w:rsidR="00A350DA" w:rsidRPr="007E4DA1" w:rsidRDefault="00A350DA" w:rsidP="001A6584">
            <w:pPr>
              <w:keepNext/>
              <w:tabs>
                <w:tab w:val="left" w:pos="142"/>
              </w:tabs>
              <w:ind w:left="0" w:firstLine="0"/>
              <w:jc w:val="center"/>
            </w:pPr>
            <w:r w:rsidRPr="007E4DA1">
              <w:t>34</w:t>
            </w:r>
          </w:p>
        </w:tc>
        <w:tc>
          <w:tcPr>
            <w:tcW w:w="992" w:type="dxa"/>
          </w:tcPr>
          <w:p w14:paraId="67DC5321" w14:textId="77777777" w:rsidR="00A350DA" w:rsidRPr="007E4DA1" w:rsidRDefault="00A350DA" w:rsidP="001A6584">
            <w:pPr>
              <w:keepNext/>
              <w:tabs>
                <w:tab w:val="left" w:pos="142"/>
              </w:tabs>
              <w:ind w:left="0" w:firstLine="0"/>
              <w:jc w:val="center"/>
            </w:pPr>
            <w:r w:rsidRPr="007E4DA1">
              <w:t>25</w:t>
            </w:r>
          </w:p>
        </w:tc>
      </w:tr>
      <w:tr w:rsidR="00A350DA" w:rsidRPr="007E4DA1" w14:paraId="576823BC" w14:textId="77777777" w:rsidTr="00553AB7">
        <w:trPr>
          <w:cantSplit/>
        </w:trPr>
        <w:tc>
          <w:tcPr>
            <w:tcW w:w="2376" w:type="dxa"/>
          </w:tcPr>
          <w:p w14:paraId="3773DBE7" w14:textId="77777777" w:rsidR="00A350DA" w:rsidRPr="007E4DA1" w:rsidRDefault="00A350DA" w:rsidP="001A6584">
            <w:pPr>
              <w:keepNext/>
              <w:tabs>
                <w:tab w:val="left" w:pos="142"/>
                <w:tab w:val="left" w:pos="540"/>
              </w:tabs>
              <w:ind w:left="0" w:firstLine="0"/>
            </w:pPr>
            <w:r w:rsidRPr="007E4DA1">
              <w:t>Genotyp 1/4/6</w:t>
            </w:r>
            <w:r w:rsidRPr="007E4DA1">
              <w:rPr>
                <w:vertAlign w:val="superscript"/>
              </w:rPr>
              <w:t>e</w:t>
            </w:r>
          </w:p>
        </w:tc>
        <w:tc>
          <w:tcPr>
            <w:tcW w:w="1276" w:type="dxa"/>
          </w:tcPr>
          <w:p w14:paraId="72C80747" w14:textId="77777777" w:rsidR="00A350DA" w:rsidRPr="007E4DA1" w:rsidRDefault="00A350DA" w:rsidP="001A6584">
            <w:pPr>
              <w:keepNext/>
              <w:tabs>
                <w:tab w:val="left" w:pos="142"/>
              </w:tabs>
              <w:ind w:left="0" w:firstLine="0"/>
              <w:jc w:val="center"/>
            </w:pPr>
            <w:r w:rsidRPr="007E4DA1">
              <w:t>15</w:t>
            </w:r>
          </w:p>
        </w:tc>
        <w:tc>
          <w:tcPr>
            <w:tcW w:w="992" w:type="dxa"/>
          </w:tcPr>
          <w:p w14:paraId="7ECC313D" w14:textId="77777777" w:rsidR="00A350DA" w:rsidRPr="007E4DA1" w:rsidRDefault="00A350DA" w:rsidP="001A6584">
            <w:pPr>
              <w:keepNext/>
              <w:tabs>
                <w:tab w:val="left" w:pos="142"/>
              </w:tabs>
              <w:ind w:left="0" w:firstLine="0"/>
              <w:jc w:val="center"/>
            </w:pPr>
            <w:r w:rsidRPr="007E4DA1">
              <w:t>8</w:t>
            </w:r>
          </w:p>
        </w:tc>
        <w:tc>
          <w:tcPr>
            <w:tcW w:w="1276" w:type="dxa"/>
          </w:tcPr>
          <w:p w14:paraId="7A89FA80" w14:textId="77777777" w:rsidR="00A350DA" w:rsidRPr="007E4DA1" w:rsidRDefault="00A350DA" w:rsidP="001A6584">
            <w:pPr>
              <w:keepNext/>
              <w:tabs>
                <w:tab w:val="left" w:pos="142"/>
              </w:tabs>
              <w:ind w:left="0" w:firstLine="0"/>
              <w:jc w:val="center"/>
            </w:pPr>
            <w:r w:rsidRPr="007E4DA1">
              <w:t>18</w:t>
            </w:r>
          </w:p>
        </w:tc>
        <w:tc>
          <w:tcPr>
            <w:tcW w:w="992" w:type="dxa"/>
          </w:tcPr>
          <w:p w14:paraId="1A5BFEC2" w14:textId="77777777" w:rsidR="00A350DA" w:rsidRPr="007E4DA1" w:rsidRDefault="00A350DA" w:rsidP="001A6584">
            <w:pPr>
              <w:keepNext/>
              <w:tabs>
                <w:tab w:val="left" w:pos="142"/>
              </w:tabs>
              <w:ind w:left="0" w:firstLine="0"/>
              <w:jc w:val="center"/>
            </w:pPr>
            <w:r w:rsidRPr="007E4DA1">
              <w:t>10</w:t>
            </w:r>
          </w:p>
        </w:tc>
        <w:tc>
          <w:tcPr>
            <w:tcW w:w="1276" w:type="dxa"/>
          </w:tcPr>
          <w:p w14:paraId="56490E80" w14:textId="77777777" w:rsidR="00A350DA" w:rsidRPr="007E4DA1" w:rsidRDefault="00A350DA" w:rsidP="001A6584">
            <w:pPr>
              <w:keepNext/>
              <w:tabs>
                <w:tab w:val="left" w:pos="142"/>
              </w:tabs>
              <w:ind w:left="0" w:firstLine="0"/>
              <w:jc w:val="center"/>
            </w:pPr>
            <w:r w:rsidRPr="007E4DA1">
              <w:t>13</w:t>
            </w:r>
          </w:p>
        </w:tc>
        <w:tc>
          <w:tcPr>
            <w:tcW w:w="992" w:type="dxa"/>
          </w:tcPr>
          <w:p w14:paraId="4BBE1CEA" w14:textId="77777777" w:rsidR="00A350DA" w:rsidRPr="007E4DA1" w:rsidRDefault="00A350DA" w:rsidP="001A6584">
            <w:pPr>
              <w:keepNext/>
              <w:tabs>
                <w:tab w:val="left" w:pos="142"/>
              </w:tabs>
              <w:ind w:left="0" w:firstLine="0"/>
              <w:jc w:val="center"/>
            </w:pPr>
            <w:r w:rsidRPr="007E4DA1">
              <w:t>7</w:t>
            </w:r>
          </w:p>
        </w:tc>
      </w:tr>
      <w:tr w:rsidR="00A350DA" w:rsidRPr="007E4DA1" w14:paraId="7EB36BCE" w14:textId="77777777" w:rsidTr="00553AB7">
        <w:trPr>
          <w:cantSplit/>
        </w:trPr>
        <w:tc>
          <w:tcPr>
            <w:tcW w:w="2376" w:type="dxa"/>
          </w:tcPr>
          <w:p w14:paraId="512FBE42" w14:textId="77777777" w:rsidR="00A350DA" w:rsidRPr="007E4DA1" w:rsidRDefault="00A350DA" w:rsidP="001A6584">
            <w:pPr>
              <w:keepNext/>
              <w:tabs>
                <w:tab w:val="left" w:pos="142"/>
                <w:tab w:val="left" w:pos="540"/>
              </w:tabs>
              <w:ind w:left="0" w:firstLine="0"/>
              <w:rPr>
                <w:i/>
                <w:vertAlign w:val="superscript"/>
              </w:rPr>
            </w:pPr>
            <w:r w:rsidRPr="007E4DA1">
              <w:rPr>
                <w:i/>
              </w:rPr>
              <w:t>Poziom albumin</w:t>
            </w:r>
            <w:r w:rsidRPr="007E4DA1">
              <w:rPr>
                <w:i/>
                <w:vertAlign w:val="superscript"/>
              </w:rPr>
              <w:t>f</w:t>
            </w:r>
          </w:p>
        </w:tc>
        <w:tc>
          <w:tcPr>
            <w:tcW w:w="1276" w:type="dxa"/>
          </w:tcPr>
          <w:p w14:paraId="2FA2D773" w14:textId="77777777" w:rsidR="00A350DA" w:rsidRPr="007E4DA1" w:rsidRDefault="00A350DA" w:rsidP="001A6584">
            <w:pPr>
              <w:keepNext/>
              <w:tabs>
                <w:tab w:val="left" w:pos="142"/>
              </w:tabs>
              <w:ind w:left="0" w:firstLine="0"/>
              <w:jc w:val="center"/>
            </w:pPr>
          </w:p>
        </w:tc>
        <w:tc>
          <w:tcPr>
            <w:tcW w:w="992" w:type="dxa"/>
          </w:tcPr>
          <w:p w14:paraId="153018B8" w14:textId="77777777" w:rsidR="00A350DA" w:rsidRPr="007E4DA1" w:rsidRDefault="00A350DA" w:rsidP="001A6584">
            <w:pPr>
              <w:keepNext/>
              <w:tabs>
                <w:tab w:val="left" w:pos="142"/>
              </w:tabs>
              <w:ind w:left="0" w:firstLine="0"/>
              <w:jc w:val="center"/>
            </w:pPr>
          </w:p>
        </w:tc>
        <w:tc>
          <w:tcPr>
            <w:tcW w:w="4536" w:type="dxa"/>
            <w:gridSpan w:val="4"/>
            <w:vMerge w:val="restart"/>
          </w:tcPr>
          <w:p w14:paraId="7130F853" w14:textId="77777777" w:rsidR="00A350DA" w:rsidRPr="007E4DA1" w:rsidRDefault="00A350DA" w:rsidP="001A6584">
            <w:pPr>
              <w:keepNext/>
              <w:tabs>
                <w:tab w:val="left" w:pos="142"/>
              </w:tabs>
              <w:ind w:left="0" w:firstLine="0"/>
              <w:jc w:val="center"/>
            </w:pPr>
          </w:p>
        </w:tc>
      </w:tr>
      <w:tr w:rsidR="00A350DA" w:rsidRPr="007E4DA1" w14:paraId="1AEA70D7" w14:textId="77777777" w:rsidTr="00553AB7">
        <w:trPr>
          <w:cantSplit/>
        </w:trPr>
        <w:tc>
          <w:tcPr>
            <w:tcW w:w="2376" w:type="dxa"/>
          </w:tcPr>
          <w:p w14:paraId="443BAE27" w14:textId="77777777" w:rsidR="00A350DA" w:rsidRPr="007E4DA1" w:rsidRDefault="00A350DA" w:rsidP="001A6584">
            <w:pPr>
              <w:keepNext/>
              <w:tabs>
                <w:tab w:val="left" w:pos="142"/>
                <w:tab w:val="left" w:pos="540"/>
              </w:tabs>
              <w:ind w:left="0" w:firstLine="0"/>
            </w:pPr>
            <w:r w:rsidRPr="007E4DA1">
              <w:t>≤35 g/l</w:t>
            </w:r>
          </w:p>
        </w:tc>
        <w:tc>
          <w:tcPr>
            <w:tcW w:w="1276" w:type="dxa"/>
          </w:tcPr>
          <w:p w14:paraId="4094F2CC" w14:textId="77777777" w:rsidR="00A350DA" w:rsidRPr="007E4DA1" w:rsidRDefault="00A350DA" w:rsidP="001A6584">
            <w:pPr>
              <w:keepNext/>
              <w:tabs>
                <w:tab w:val="left" w:pos="142"/>
              </w:tabs>
              <w:ind w:left="0" w:firstLine="0"/>
              <w:jc w:val="center"/>
            </w:pPr>
            <w:r w:rsidRPr="007E4DA1">
              <w:t>11</w:t>
            </w:r>
          </w:p>
        </w:tc>
        <w:tc>
          <w:tcPr>
            <w:tcW w:w="992" w:type="dxa"/>
          </w:tcPr>
          <w:p w14:paraId="2D3353C7" w14:textId="77777777" w:rsidR="00A350DA" w:rsidRPr="007E4DA1" w:rsidRDefault="00A350DA" w:rsidP="001A6584">
            <w:pPr>
              <w:keepNext/>
              <w:tabs>
                <w:tab w:val="left" w:pos="142"/>
              </w:tabs>
              <w:ind w:left="0" w:firstLine="0"/>
              <w:jc w:val="center"/>
            </w:pPr>
            <w:r w:rsidRPr="007E4DA1">
              <w:t>8</w:t>
            </w:r>
          </w:p>
        </w:tc>
        <w:tc>
          <w:tcPr>
            <w:tcW w:w="4536" w:type="dxa"/>
            <w:gridSpan w:val="4"/>
            <w:vMerge/>
          </w:tcPr>
          <w:p w14:paraId="2521C0B4" w14:textId="77777777" w:rsidR="00A350DA" w:rsidRPr="007E4DA1" w:rsidRDefault="00A350DA" w:rsidP="001A6584">
            <w:pPr>
              <w:keepNext/>
              <w:tabs>
                <w:tab w:val="left" w:pos="142"/>
              </w:tabs>
              <w:ind w:left="0" w:firstLine="0"/>
              <w:jc w:val="center"/>
            </w:pPr>
          </w:p>
        </w:tc>
      </w:tr>
      <w:tr w:rsidR="00A350DA" w:rsidRPr="007E4DA1" w14:paraId="4A688071" w14:textId="77777777" w:rsidTr="00553AB7">
        <w:trPr>
          <w:cantSplit/>
        </w:trPr>
        <w:tc>
          <w:tcPr>
            <w:tcW w:w="2376" w:type="dxa"/>
          </w:tcPr>
          <w:p w14:paraId="2EF7AB78" w14:textId="77777777" w:rsidR="00A350DA" w:rsidRPr="007E4DA1" w:rsidRDefault="00A350DA" w:rsidP="001A6584">
            <w:pPr>
              <w:keepNext/>
              <w:tabs>
                <w:tab w:val="left" w:pos="142"/>
                <w:tab w:val="left" w:pos="540"/>
              </w:tabs>
              <w:ind w:left="0" w:firstLine="0"/>
            </w:pPr>
            <w:r w:rsidRPr="007E4DA1">
              <w:t>&gt;35 g/l</w:t>
            </w:r>
          </w:p>
        </w:tc>
        <w:tc>
          <w:tcPr>
            <w:tcW w:w="1276" w:type="dxa"/>
          </w:tcPr>
          <w:p w14:paraId="6E79D962" w14:textId="77777777" w:rsidR="00A350DA" w:rsidRPr="007E4DA1" w:rsidRDefault="00A350DA" w:rsidP="001A6584">
            <w:pPr>
              <w:keepNext/>
              <w:tabs>
                <w:tab w:val="left" w:pos="142"/>
              </w:tabs>
              <w:ind w:left="0" w:firstLine="0"/>
              <w:jc w:val="center"/>
            </w:pPr>
            <w:r w:rsidRPr="007E4DA1">
              <w:t>25</w:t>
            </w:r>
          </w:p>
        </w:tc>
        <w:tc>
          <w:tcPr>
            <w:tcW w:w="992" w:type="dxa"/>
          </w:tcPr>
          <w:p w14:paraId="539566AF" w14:textId="77777777" w:rsidR="00A350DA" w:rsidRPr="007E4DA1" w:rsidRDefault="00A350DA" w:rsidP="001A6584">
            <w:pPr>
              <w:keepNext/>
              <w:tabs>
                <w:tab w:val="left" w:pos="142"/>
              </w:tabs>
              <w:ind w:left="0" w:firstLine="0"/>
              <w:jc w:val="center"/>
            </w:pPr>
            <w:r w:rsidRPr="007E4DA1">
              <w:t>16</w:t>
            </w:r>
          </w:p>
        </w:tc>
        <w:tc>
          <w:tcPr>
            <w:tcW w:w="4536" w:type="dxa"/>
            <w:gridSpan w:val="4"/>
            <w:vMerge/>
          </w:tcPr>
          <w:p w14:paraId="25911893" w14:textId="77777777" w:rsidR="00A350DA" w:rsidRPr="007E4DA1" w:rsidRDefault="00A350DA" w:rsidP="001A6584">
            <w:pPr>
              <w:keepNext/>
              <w:tabs>
                <w:tab w:val="left" w:pos="142"/>
              </w:tabs>
              <w:ind w:left="0" w:firstLine="0"/>
              <w:jc w:val="center"/>
            </w:pPr>
          </w:p>
        </w:tc>
      </w:tr>
      <w:tr w:rsidR="00A350DA" w:rsidRPr="007E4DA1" w14:paraId="5AA9B951" w14:textId="77777777" w:rsidTr="00553AB7">
        <w:trPr>
          <w:cantSplit/>
        </w:trPr>
        <w:tc>
          <w:tcPr>
            <w:tcW w:w="2376" w:type="dxa"/>
          </w:tcPr>
          <w:p w14:paraId="26143C01" w14:textId="77777777" w:rsidR="00A350DA" w:rsidRPr="007E4DA1" w:rsidRDefault="00A350DA" w:rsidP="001A6584">
            <w:pPr>
              <w:keepNext/>
              <w:tabs>
                <w:tab w:val="left" w:pos="142"/>
                <w:tab w:val="left" w:pos="540"/>
              </w:tabs>
              <w:ind w:left="0" w:firstLine="0"/>
              <w:rPr>
                <w:i/>
                <w:vertAlign w:val="superscript"/>
              </w:rPr>
            </w:pPr>
            <w:r w:rsidRPr="007E4DA1">
              <w:rPr>
                <w:i/>
              </w:rPr>
              <w:t>Wynik w skali MELD</w:t>
            </w:r>
            <w:r w:rsidRPr="007E4DA1">
              <w:rPr>
                <w:i/>
                <w:vertAlign w:val="superscript"/>
              </w:rPr>
              <w:t>f</w:t>
            </w:r>
          </w:p>
        </w:tc>
        <w:tc>
          <w:tcPr>
            <w:tcW w:w="1276" w:type="dxa"/>
          </w:tcPr>
          <w:p w14:paraId="714EBABE" w14:textId="77777777" w:rsidR="00A350DA" w:rsidRPr="007E4DA1" w:rsidRDefault="00A350DA" w:rsidP="001A6584">
            <w:pPr>
              <w:keepNext/>
              <w:tabs>
                <w:tab w:val="left" w:pos="142"/>
              </w:tabs>
              <w:ind w:left="0" w:firstLine="0"/>
              <w:jc w:val="center"/>
            </w:pPr>
          </w:p>
        </w:tc>
        <w:tc>
          <w:tcPr>
            <w:tcW w:w="992" w:type="dxa"/>
          </w:tcPr>
          <w:p w14:paraId="745EF6B1" w14:textId="77777777" w:rsidR="00A350DA" w:rsidRPr="007E4DA1" w:rsidRDefault="00A350DA" w:rsidP="001A6584">
            <w:pPr>
              <w:keepNext/>
              <w:tabs>
                <w:tab w:val="left" w:pos="142"/>
              </w:tabs>
              <w:ind w:left="0" w:firstLine="0"/>
              <w:jc w:val="center"/>
            </w:pPr>
          </w:p>
        </w:tc>
        <w:tc>
          <w:tcPr>
            <w:tcW w:w="4536" w:type="dxa"/>
            <w:gridSpan w:val="4"/>
            <w:vMerge/>
          </w:tcPr>
          <w:p w14:paraId="7A2AE540" w14:textId="77777777" w:rsidR="00A350DA" w:rsidRPr="007E4DA1" w:rsidRDefault="00A350DA" w:rsidP="001A6584">
            <w:pPr>
              <w:keepNext/>
              <w:tabs>
                <w:tab w:val="left" w:pos="142"/>
              </w:tabs>
              <w:ind w:left="0" w:firstLine="0"/>
              <w:jc w:val="center"/>
            </w:pPr>
          </w:p>
        </w:tc>
      </w:tr>
      <w:tr w:rsidR="00A350DA" w:rsidRPr="007E4DA1" w14:paraId="1487C4AB" w14:textId="77777777" w:rsidTr="00553AB7">
        <w:trPr>
          <w:cantSplit/>
        </w:trPr>
        <w:tc>
          <w:tcPr>
            <w:tcW w:w="2376" w:type="dxa"/>
          </w:tcPr>
          <w:p w14:paraId="3C373603" w14:textId="77777777" w:rsidR="00A350DA" w:rsidRPr="007E4DA1" w:rsidRDefault="00A350DA" w:rsidP="001A6584">
            <w:pPr>
              <w:keepNext/>
              <w:tabs>
                <w:tab w:val="left" w:pos="142"/>
                <w:tab w:val="left" w:pos="540"/>
              </w:tabs>
              <w:ind w:left="0" w:firstLine="0"/>
            </w:pPr>
            <w:r w:rsidRPr="007E4DA1">
              <w:t xml:space="preserve">≥10 </w:t>
            </w:r>
          </w:p>
        </w:tc>
        <w:tc>
          <w:tcPr>
            <w:tcW w:w="1276" w:type="dxa"/>
          </w:tcPr>
          <w:p w14:paraId="2D1FE5E9" w14:textId="77777777" w:rsidR="00A350DA" w:rsidRPr="007E4DA1" w:rsidRDefault="00A350DA" w:rsidP="001A6584">
            <w:pPr>
              <w:keepNext/>
              <w:tabs>
                <w:tab w:val="left" w:pos="142"/>
              </w:tabs>
              <w:ind w:left="0" w:firstLine="0"/>
              <w:jc w:val="center"/>
            </w:pPr>
            <w:r w:rsidRPr="007E4DA1">
              <w:t>18</w:t>
            </w:r>
          </w:p>
        </w:tc>
        <w:tc>
          <w:tcPr>
            <w:tcW w:w="992" w:type="dxa"/>
          </w:tcPr>
          <w:p w14:paraId="3BC3E6CC" w14:textId="77777777" w:rsidR="00A350DA" w:rsidRPr="007E4DA1" w:rsidRDefault="00A350DA" w:rsidP="001A6584">
            <w:pPr>
              <w:keepNext/>
              <w:tabs>
                <w:tab w:val="left" w:pos="142"/>
              </w:tabs>
              <w:ind w:left="0" w:firstLine="0"/>
              <w:jc w:val="center"/>
            </w:pPr>
            <w:r w:rsidRPr="007E4DA1">
              <w:t>10</w:t>
            </w:r>
          </w:p>
        </w:tc>
        <w:tc>
          <w:tcPr>
            <w:tcW w:w="4536" w:type="dxa"/>
            <w:gridSpan w:val="4"/>
            <w:vMerge/>
          </w:tcPr>
          <w:p w14:paraId="657A0111" w14:textId="77777777" w:rsidR="00A350DA" w:rsidRPr="007E4DA1" w:rsidRDefault="00A350DA" w:rsidP="001A6584">
            <w:pPr>
              <w:keepNext/>
              <w:tabs>
                <w:tab w:val="left" w:pos="142"/>
              </w:tabs>
              <w:ind w:left="0" w:firstLine="0"/>
              <w:jc w:val="center"/>
            </w:pPr>
          </w:p>
        </w:tc>
      </w:tr>
      <w:tr w:rsidR="00A350DA" w:rsidRPr="007E4DA1" w14:paraId="5BC42FA7" w14:textId="77777777" w:rsidTr="00553AB7">
        <w:trPr>
          <w:cantSplit/>
        </w:trPr>
        <w:tc>
          <w:tcPr>
            <w:tcW w:w="2376" w:type="dxa"/>
          </w:tcPr>
          <w:p w14:paraId="37907F48" w14:textId="77777777" w:rsidR="00A350DA" w:rsidRPr="007E4DA1" w:rsidRDefault="00A350DA" w:rsidP="001A6584">
            <w:pPr>
              <w:keepNext/>
              <w:tabs>
                <w:tab w:val="left" w:pos="142"/>
                <w:tab w:val="left" w:pos="540"/>
              </w:tabs>
              <w:ind w:left="0" w:firstLine="0"/>
            </w:pPr>
            <w:r w:rsidRPr="007E4DA1">
              <w:t>&lt;10</w:t>
            </w:r>
          </w:p>
        </w:tc>
        <w:tc>
          <w:tcPr>
            <w:tcW w:w="1276" w:type="dxa"/>
          </w:tcPr>
          <w:p w14:paraId="3D6FB89C" w14:textId="77777777" w:rsidR="00A350DA" w:rsidRPr="007E4DA1" w:rsidRDefault="00A350DA" w:rsidP="001A6584">
            <w:pPr>
              <w:keepNext/>
              <w:tabs>
                <w:tab w:val="left" w:pos="142"/>
              </w:tabs>
              <w:ind w:left="0" w:firstLine="0"/>
              <w:jc w:val="center"/>
            </w:pPr>
            <w:r w:rsidRPr="007E4DA1">
              <w:t>23</w:t>
            </w:r>
          </w:p>
        </w:tc>
        <w:tc>
          <w:tcPr>
            <w:tcW w:w="992" w:type="dxa"/>
          </w:tcPr>
          <w:p w14:paraId="020A0F25" w14:textId="77777777" w:rsidR="00A350DA" w:rsidRPr="007E4DA1" w:rsidRDefault="00A350DA" w:rsidP="001A6584">
            <w:pPr>
              <w:keepNext/>
              <w:tabs>
                <w:tab w:val="left" w:pos="142"/>
              </w:tabs>
              <w:ind w:left="0" w:firstLine="0"/>
              <w:jc w:val="center"/>
            </w:pPr>
            <w:r w:rsidRPr="007E4DA1">
              <w:t>17</w:t>
            </w:r>
          </w:p>
        </w:tc>
        <w:tc>
          <w:tcPr>
            <w:tcW w:w="4536" w:type="dxa"/>
            <w:gridSpan w:val="4"/>
            <w:vMerge/>
          </w:tcPr>
          <w:p w14:paraId="56F3A315" w14:textId="77777777" w:rsidR="00A350DA" w:rsidRPr="007E4DA1" w:rsidRDefault="00A350DA" w:rsidP="001A6584">
            <w:pPr>
              <w:keepNext/>
              <w:tabs>
                <w:tab w:val="left" w:pos="142"/>
              </w:tabs>
              <w:ind w:left="0" w:firstLine="0"/>
              <w:jc w:val="center"/>
            </w:pPr>
          </w:p>
        </w:tc>
      </w:tr>
      <w:tr w:rsidR="001C1AF1" w:rsidRPr="007E4DA1" w14:paraId="7BC4E6F0" w14:textId="77777777" w:rsidTr="00553AB7">
        <w:trPr>
          <w:cantSplit/>
        </w:trPr>
        <w:tc>
          <w:tcPr>
            <w:tcW w:w="9180" w:type="dxa"/>
            <w:gridSpan w:val="7"/>
          </w:tcPr>
          <w:p w14:paraId="6721FDBA" w14:textId="77777777" w:rsidR="001C1AF1" w:rsidRPr="003D2760" w:rsidRDefault="001C1AF1" w:rsidP="001A6584">
            <w:pPr>
              <w:pStyle w:val="LBLTableFootnotes"/>
              <w:keepNext/>
              <w:tabs>
                <w:tab w:val="clear" w:pos="720"/>
                <w:tab w:val="clear" w:pos="994"/>
              </w:tabs>
              <w:spacing w:line="240" w:lineRule="auto"/>
              <w:ind w:left="567" w:hanging="567"/>
              <w:rPr>
                <w:sz w:val="20"/>
                <w:szCs w:val="20"/>
                <w:lang w:val="pl-PL"/>
              </w:rPr>
            </w:pPr>
            <w:r w:rsidRPr="003D2760">
              <w:rPr>
                <w:sz w:val="20"/>
                <w:szCs w:val="20"/>
                <w:vertAlign w:val="superscript"/>
                <w:lang w:val="pl-PL"/>
              </w:rPr>
              <w:t>a</w:t>
            </w:r>
            <w:r w:rsidRPr="003D2760">
              <w:rPr>
                <w:sz w:val="20"/>
                <w:szCs w:val="20"/>
                <w:lang w:val="pl-PL"/>
              </w:rPr>
              <w:tab/>
              <w:t>Eltrombopag podawany w skojarzeniu z peginterferonem alfa-2a (180 </w:t>
            </w:r>
            <w:r w:rsidRPr="003D2760">
              <w:rPr>
                <w:sz w:val="20"/>
                <w:szCs w:val="20"/>
              </w:rPr>
              <w:t>μ</w:t>
            </w:r>
            <w:r w:rsidRPr="003D2760">
              <w:rPr>
                <w:sz w:val="20"/>
                <w:szCs w:val="20"/>
                <w:lang w:val="pl-PL"/>
              </w:rPr>
              <w:t>g raz w tygodniu przez 48 tygodni u pacjentów z genotypem 1/4/6 lub przez 24 tygodnie u pacjentów z genotypem 2/3) i z rybawiryną (800 do 1200 mg na dobę w 2 dawkach podzielonych, doustnie).</w:t>
            </w:r>
          </w:p>
          <w:p w14:paraId="1E0FB6F1" w14:textId="77777777" w:rsidR="001C1AF1" w:rsidRPr="003D2760" w:rsidRDefault="001C1AF1" w:rsidP="001A6584">
            <w:pPr>
              <w:pStyle w:val="LBLTableFootnotes"/>
              <w:keepNext/>
              <w:tabs>
                <w:tab w:val="clear" w:pos="720"/>
                <w:tab w:val="clear" w:pos="994"/>
              </w:tabs>
              <w:spacing w:line="240" w:lineRule="auto"/>
              <w:ind w:left="567" w:hanging="567"/>
              <w:rPr>
                <w:sz w:val="20"/>
                <w:szCs w:val="20"/>
                <w:lang w:val="pl-PL"/>
              </w:rPr>
            </w:pPr>
            <w:r w:rsidRPr="003D2760">
              <w:rPr>
                <w:sz w:val="20"/>
                <w:szCs w:val="20"/>
                <w:vertAlign w:val="superscript"/>
                <w:lang w:val="pl-PL"/>
              </w:rPr>
              <w:t>b</w:t>
            </w:r>
            <w:r w:rsidRPr="003D2760">
              <w:rPr>
                <w:sz w:val="20"/>
                <w:szCs w:val="20"/>
                <w:lang w:val="pl-PL"/>
              </w:rPr>
              <w:tab/>
              <w:t>Eltrombopag podawany w skojarzeniu z peginterferonem alfa-2b (1,5 </w:t>
            </w:r>
            <w:r w:rsidRPr="003D2760">
              <w:rPr>
                <w:sz w:val="20"/>
                <w:szCs w:val="20"/>
              </w:rPr>
              <w:t>μ</w:t>
            </w:r>
            <w:r w:rsidRPr="003D2760">
              <w:rPr>
                <w:sz w:val="20"/>
                <w:szCs w:val="20"/>
                <w:lang w:val="pl-PL"/>
              </w:rPr>
              <w:t>g/kg raz w tygodniu przez 48 tygodni u pacjentów z genotypem 1/4/6 lub przez 24 tygodnie u pacjentów z genotypem 2/3) i z rybawiryną (800 do 1400 mg, doustnie, w 2 dawkach podzielonych).</w:t>
            </w:r>
          </w:p>
          <w:p w14:paraId="5BEA0461" w14:textId="77777777" w:rsidR="001C1AF1" w:rsidRPr="003D2760" w:rsidRDefault="001C1AF1" w:rsidP="001A6584">
            <w:pPr>
              <w:pStyle w:val="LBLTableFootnotes"/>
              <w:keepNext/>
              <w:tabs>
                <w:tab w:val="clear" w:pos="720"/>
                <w:tab w:val="clear" w:pos="994"/>
              </w:tabs>
              <w:spacing w:line="240" w:lineRule="auto"/>
              <w:ind w:left="567" w:hanging="567"/>
              <w:rPr>
                <w:sz w:val="20"/>
                <w:szCs w:val="20"/>
                <w:lang w:val="pl-PL"/>
              </w:rPr>
            </w:pPr>
            <w:r w:rsidRPr="003D2760">
              <w:rPr>
                <w:sz w:val="20"/>
                <w:szCs w:val="20"/>
                <w:vertAlign w:val="superscript"/>
                <w:lang w:val="pl-PL"/>
              </w:rPr>
              <w:t>c</w:t>
            </w:r>
            <w:r w:rsidRPr="003D2760">
              <w:rPr>
                <w:sz w:val="20"/>
                <w:szCs w:val="20"/>
                <w:lang w:val="pl-PL"/>
              </w:rPr>
              <w:tab/>
              <w:t xml:space="preserve">Docelowa liczba płytek wynosiła </w:t>
            </w:r>
            <w:r w:rsidRPr="003D2760">
              <w:rPr>
                <w:sz w:val="20"/>
                <w:szCs w:val="20"/>
              </w:rPr>
              <w:sym w:font="Symbol" w:char="F0B3"/>
            </w:r>
            <w:r w:rsidRPr="003D2760">
              <w:rPr>
                <w:sz w:val="20"/>
                <w:szCs w:val="20"/>
                <w:lang w:val="pl-PL"/>
              </w:rPr>
              <w:t>90 000/</w:t>
            </w:r>
            <w:r w:rsidRPr="003D2760">
              <w:rPr>
                <w:sz w:val="20"/>
                <w:szCs w:val="20"/>
              </w:rPr>
              <w:t>μ</w:t>
            </w:r>
            <w:r w:rsidRPr="003D2760">
              <w:rPr>
                <w:sz w:val="20"/>
                <w:szCs w:val="20"/>
                <w:lang w:val="pl-PL"/>
              </w:rPr>
              <w:t xml:space="preserve">l w badaniu ENABLE 1 oraz </w:t>
            </w:r>
            <w:r w:rsidRPr="003D2760">
              <w:rPr>
                <w:sz w:val="20"/>
                <w:szCs w:val="20"/>
              </w:rPr>
              <w:sym w:font="Symbol" w:char="F0B3"/>
            </w:r>
            <w:r w:rsidRPr="003D2760">
              <w:rPr>
                <w:sz w:val="20"/>
                <w:szCs w:val="20"/>
                <w:lang w:val="pl-PL"/>
              </w:rPr>
              <w:t>100 000/</w:t>
            </w:r>
            <w:r w:rsidRPr="003D2760">
              <w:rPr>
                <w:sz w:val="20"/>
                <w:szCs w:val="20"/>
              </w:rPr>
              <w:t>μ</w:t>
            </w:r>
            <w:r w:rsidRPr="003D2760">
              <w:rPr>
                <w:sz w:val="20"/>
                <w:szCs w:val="20"/>
                <w:lang w:val="pl-PL"/>
              </w:rPr>
              <w:t>l w badaniu ENABLE 2. W badaniu ENABLE 1 do fazy leczenia przeciwwirusowego zrandomizowano 682 pacjentów, jednak 2 pacjentów wycofało zgodę przed rozpoczęciem leczenia przeciwwirusowego.</w:t>
            </w:r>
          </w:p>
          <w:p w14:paraId="3BB6EC5C" w14:textId="77777777" w:rsidR="001C1AF1" w:rsidRPr="003D2760" w:rsidRDefault="001C1AF1" w:rsidP="001A6584">
            <w:pPr>
              <w:pStyle w:val="LBLTableFootnotes"/>
              <w:keepNext/>
              <w:tabs>
                <w:tab w:val="clear" w:pos="720"/>
                <w:tab w:val="clear" w:pos="994"/>
              </w:tabs>
              <w:spacing w:line="240" w:lineRule="auto"/>
              <w:ind w:left="567" w:hanging="567"/>
              <w:rPr>
                <w:sz w:val="20"/>
                <w:szCs w:val="20"/>
                <w:lang w:val="pl-PL"/>
              </w:rPr>
            </w:pPr>
            <w:r w:rsidRPr="003D2760">
              <w:rPr>
                <w:sz w:val="20"/>
                <w:szCs w:val="20"/>
                <w:vertAlign w:val="superscript"/>
                <w:lang w:val="pl-PL"/>
              </w:rPr>
              <w:t>d</w:t>
            </w:r>
            <w:r w:rsidRPr="003D2760">
              <w:rPr>
                <w:sz w:val="20"/>
                <w:szCs w:val="20"/>
                <w:lang w:val="pl-PL"/>
              </w:rPr>
              <w:tab/>
              <w:t xml:space="preserve">Wartość </w:t>
            </w:r>
            <w:r w:rsidRPr="003D2760">
              <w:rPr>
                <w:i/>
                <w:sz w:val="20"/>
                <w:szCs w:val="20"/>
                <w:lang w:val="pl-PL"/>
              </w:rPr>
              <w:t>p</w:t>
            </w:r>
            <w:r w:rsidRPr="003D2760">
              <w:rPr>
                <w:sz w:val="20"/>
                <w:szCs w:val="20"/>
                <w:lang w:val="pl-PL"/>
              </w:rPr>
              <w:t> &lt;0,05 dla eltrombopagu w porównaniu z placebo.</w:t>
            </w:r>
          </w:p>
          <w:p w14:paraId="73964735" w14:textId="77777777" w:rsidR="001C1AF1" w:rsidRPr="003D2760" w:rsidRDefault="001C1AF1" w:rsidP="001A6584">
            <w:pPr>
              <w:pStyle w:val="LBLTableFootnotes"/>
              <w:keepNext/>
              <w:tabs>
                <w:tab w:val="clear" w:pos="720"/>
                <w:tab w:val="clear" w:pos="994"/>
              </w:tabs>
              <w:spacing w:line="240" w:lineRule="auto"/>
              <w:ind w:left="567" w:hanging="567"/>
              <w:rPr>
                <w:sz w:val="20"/>
                <w:szCs w:val="20"/>
                <w:lang w:val="pl-PL"/>
              </w:rPr>
            </w:pPr>
            <w:r w:rsidRPr="003D2760">
              <w:rPr>
                <w:sz w:val="20"/>
                <w:szCs w:val="20"/>
                <w:vertAlign w:val="superscript"/>
                <w:lang w:val="pl-PL"/>
              </w:rPr>
              <w:t>e</w:t>
            </w:r>
            <w:r w:rsidRPr="003D2760">
              <w:rPr>
                <w:sz w:val="20"/>
                <w:szCs w:val="20"/>
                <w:lang w:val="pl-PL"/>
              </w:rPr>
              <w:tab/>
              <w:t>Genotyp 1 występował u 64% pacjentów uczestniczących w badaniach ENABLE 1 i ENABLE 2.</w:t>
            </w:r>
          </w:p>
          <w:p w14:paraId="120C4522" w14:textId="1D558A5D" w:rsidR="001C1AF1" w:rsidRPr="003D2760" w:rsidRDefault="001C1AF1" w:rsidP="003D2760">
            <w:pPr>
              <w:pStyle w:val="LBLTableFootnotes"/>
              <w:tabs>
                <w:tab w:val="clear" w:pos="720"/>
                <w:tab w:val="clear" w:pos="994"/>
              </w:tabs>
              <w:spacing w:line="240" w:lineRule="auto"/>
              <w:ind w:left="567" w:hanging="567"/>
              <w:rPr>
                <w:sz w:val="20"/>
                <w:szCs w:val="20"/>
              </w:rPr>
            </w:pPr>
            <w:r w:rsidRPr="003D2760">
              <w:rPr>
                <w:sz w:val="20"/>
                <w:szCs w:val="20"/>
                <w:vertAlign w:val="superscript"/>
                <w:lang w:val="pl-PL"/>
              </w:rPr>
              <w:t>f</w:t>
            </w:r>
            <w:r w:rsidRPr="003D2760">
              <w:rPr>
                <w:sz w:val="20"/>
                <w:szCs w:val="20"/>
                <w:lang w:val="pl-PL"/>
              </w:rPr>
              <w:tab/>
              <w:t xml:space="preserve">Analizy </w:t>
            </w:r>
            <w:r w:rsidRPr="003D2760">
              <w:rPr>
                <w:i/>
                <w:sz w:val="20"/>
                <w:szCs w:val="20"/>
                <w:lang w:val="pl-PL"/>
              </w:rPr>
              <w:t>post-hoc</w:t>
            </w:r>
          </w:p>
        </w:tc>
      </w:tr>
    </w:tbl>
    <w:p w14:paraId="509A1CF6" w14:textId="77777777" w:rsidR="00A350DA" w:rsidRPr="007E4DA1" w:rsidRDefault="00A350DA" w:rsidP="001A6584">
      <w:pPr>
        <w:tabs>
          <w:tab w:val="left" w:pos="142"/>
        </w:tabs>
        <w:ind w:left="0" w:firstLine="0"/>
      </w:pPr>
    </w:p>
    <w:p w14:paraId="4355F21E" w14:textId="75A802C7" w:rsidR="00A350DA" w:rsidRDefault="00A350DA" w:rsidP="001A6584">
      <w:pPr>
        <w:tabs>
          <w:tab w:val="left" w:pos="142"/>
        </w:tabs>
        <w:ind w:left="0" w:firstLine="0"/>
      </w:pPr>
      <w:r w:rsidRPr="007E4DA1">
        <w:t>Inne dodatkowe wyniki badań obejmowały: odsetek pacjentów przerywających przedterminowo leczenie przeciwwirusowe był istotnie mniejszy w grupie eltrombopagu w porównaniu z grupą placebo (odpowiednio 45% i 60%, p</w:t>
      </w:r>
      <w:r w:rsidR="00536350">
        <w:t>&lt;</w:t>
      </w:r>
      <w:r w:rsidRPr="007E4DA1">
        <w:t>0,0001). Odsetek pacjentów, którzy nie wymagali żadnej redukcji dawek leków przeciwwirusowych był większy w grupie eltrombopagu w porównaniu z grupą placebo (odpowiednio 45% i 27%). Leczenie eltrombopagiem opóźniało i zmniejszało liczbę redukcji dawek peginterferonu.</w:t>
      </w:r>
    </w:p>
    <w:p w14:paraId="7EE17FC9" w14:textId="77777777" w:rsidR="00536350" w:rsidRDefault="00536350" w:rsidP="001A6584">
      <w:pPr>
        <w:tabs>
          <w:tab w:val="left" w:pos="142"/>
        </w:tabs>
        <w:ind w:left="0" w:firstLine="0"/>
      </w:pPr>
    </w:p>
    <w:p w14:paraId="6B144174" w14:textId="77777777" w:rsidR="00536350" w:rsidRDefault="00536350" w:rsidP="00353671">
      <w:pPr>
        <w:keepNext/>
        <w:tabs>
          <w:tab w:val="left" w:pos="142"/>
        </w:tabs>
        <w:ind w:left="0" w:firstLine="0"/>
      </w:pPr>
      <w:r>
        <w:rPr>
          <w:i/>
          <w:iCs/>
          <w:u w:val="single"/>
        </w:rPr>
        <w:t>Dzieci i młodzież</w:t>
      </w:r>
    </w:p>
    <w:p w14:paraId="39BD4A69" w14:textId="2998EDF3" w:rsidR="00536350" w:rsidRPr="007E4DA1" w:rsidRDefault="00536350" w:rsidP="00536350">
      <w:pPr>
        <w:tabs>
          <w:tab w:val="left" w:pos="142"/>
        </w:tabs>
        <w:ind w:left="0" w:firstLine="0"/>
      </w:pPr>
      <w:r>
        <w:t>Europejska Agencja Leków uchyliła obowiązek dołączania wyników badań eltrombopagu we wszystkich podgrupach populacji dzieci i młodzieży we wtórnej małopłytkowości (stosowanie u dzieci i młodzieży, patrz punkt</w:t>
      </w:r>
      <w:r w:rsidR="00353671">
        <w:t> </w:t>
      </w:r>
      <w:r>
        <w:t>4.2).</w:t>
      </w:r>
    </w:p>
    <w:p w14:paraId="53364030" w14:textId="77777777" w:rsidR="00A350DA" w:rsidRPr="007E4DA1" w:rsidRDefault="00A350DA" w:rsidP="001A6584">
      <w:pPr>
        <w:tabs>
          <w:tab w:val="left" w:pos="142"/>
        </w:tabs>
        <w:ind w:left="0" w:firstLine="0"/>
        <w:rPr>
          <w:szCs w:val="22"/>
        </w:rPr>
      </w:pPr>
    </w:p>
    <w:p w14:paraId="4A995E26" w14:textId="77777777" w:rsidR="00041A08" w:rsidRPr="00041A08" w:rsidRDefault="00A350DA" w:rsidP="001A6584">
      <w:pPr>
        <w:keepNext/>
        <w:tabs>
          <w:tab w:val="left" w:pos="142"/>
        </w:tabs>
        <w:ind w:left="0" w:firstLine="0"/>
        <w:rPr>
          <w:szCs w:val="22"/>
        </w:rPr>
      </w:pPr>
      <w:r w:rsidRPr="007E4DA1">
        <w:rPr>
          <w:i/>
          <w:szCs w:val="22"/>
          <w:u w:val="single"/>
        </w:rPr>
        <w:t>Ciężka niedokrwistość aplastyczna</w:t>
      </w:r>
    </w:p>
    <w:p w14:paraId="115D6BFD" w14:textId="4F88B520" w:rsidR="00A350DA" w:rsidRDefault="00A350DA" w:rsidP="001A6584">
      <w:pPr>
        <w:keepNext/>
        <w:tabs>
          <w:tab w:val="left" w:pos="142"/>
        </w:tabs>
        <w:ind w:left="0" w:firstLine="0"/>
        <w:rPr>
          <w:szCs w:val="22"/>
        </w:rPr>
      </w:pPr>
    </w:p>
    <w:p w14:paraId="48048A66" w14:textId="497F7318" w:rsidR="00A350DA" w:rsidRPr="007E4DA1" w:rsidRDefault="00A350DA" w:rsidP="001A6584">
      <w:pPr>
        <w:tabs>
          <w:tab w:val="left" w:pos="142"/>
        </w:tabs>
        <w:ind w:left="0" w:firstLine="0"/>
        <w:rPr>
          <w:szCs w:val="22"/>
        </w:rPr>
      </w:pPr>
      <w:r w:rsidRPr="007E4DA1">
        <w:rPr>
          <w:szCs w:val="22"/>
        </w:rPr>
        <w:t xml:space="preserve">Eltrombopag był badany w jednoośrodkowym, jednoramiennym, otwartym badaniu z udziałem 43 pacjentów z </w:t>
      </w:r>
      <w:r w:rsidR="001C1AF1">
        <w:rPr>
          <w:szCs w:val="22"/>
        </w:rPr>
        <w:t xml:space="preserve">SAA </w:t>
      </w:r>
      <w:r w:rsidRPr="007E4DA1">
        <w:rPr>
          <w:szCs w:val="22"/>
        </w:rPr>
        <w:t>i oporną małopłytkowością, po co najmniej jednej wcześniejszej terapii immunosupresyjnej (IST), u których liczba płytek krwi wynosiła ≤30</w:t>
      </w:r>
      <w:r w:rsidR="00E23DED" w:rsidRPr="007E4DA1">
        <w:rPr>
          <w:szCs w:val="22"/>
        </w:rPr>
        <w:t> </w:t>
      </w:r>
      <w:r w:rsidRPr="007E4DA1">
        <w:rPr>
          <w:szCs w:val="22"/>
        </w:rPr>
        <w:t>000/μl.</w:t>
      </w:r>
    </w:p>
    <w:p w14:paraId="713E3B73" w14:textId="77777777" w:rsidR="00A350DA" w:rsidRPr="007E4DA1" w:rsidRDefault="00A350DA" w:rsidP="001A6584">
      <w:pPr>
        <w:tabs>
          <w:tab w:val="left" w:pos="142"/>
        </w:tabs>
        <w:ind w:left="0" w:firstLine="0"/>
        <w:rPr>
          <w:szCs w:val="22"/>
        </w:rPr>
      </w:pPr>
    </w:p>
    <w:p w14:paraId="7B7BA728" w14:textId="77777777" w:rsidR="00A350DA" w:rsidRPr="007E4DA1" w:rsidRDefault="00A350DA" w:rsidP="001A6584">
      <w:pPr>
        <w:tabs>
          <w:tab w:val="left" w:pos="142"/>
        </w:tabs>
        <w:ind w:left="0" w:firstLine="0"/>
        <w:rPr>
          <w:szCs w:val="22"/>
        </w:rPr>
      </w:pPr>
      <w:r w:rsidRPr="007E4DA1">
        <w:rPr>
          <w:szCs w:val="22"/>
        </w:rPr>
        <w:t xml:space="preserve">U większości pacjentów, 33 (77%), stwierdzono „oporność pierwotną”, definiowaną jako brak uzyskania wcześniejszej odpowiedniej odpowiedzi na IST w żadnej z linii komórek. Pozostałych 10 pacjentów miało niewystarczającą odpowiedź płytek krwi na wcześniejsze terapie. Wszystkie wspomniane 10 osób otrzymało wcześniej przynajmniej 2 schematy leczenia IST, a 50% z nich otrzymało wcześniej przynajmniej 3 schematy leczenia IST. Pacjenci z rozpoznaniem niedokrwistości Fanconiego, zakażeniem nieodpowiadającym na właściwe leczenie, wielkością klonów typową dla napadowej nocnej hemoglobinurii (PNH clones – </w:t>
      </w:r>
      <w:r w:rsidRPr="007E4DA1">
        <w:rPr>
          <w:i/>
          <w:szCs w:val="22"/>
        </w:rPr>
        <w:t>Paroxysmal nocturnal hemoglobinuria clones</w:t>
      </w:r>
      <w:r w:rsidRPr="007E4DA1">
        <w:rPr>
          <w:szCs w:val="22"/>
        </w:rPr>
        <w:t>) ocenianą na neutrofilach ≥50% byli wykluczeni z udziału w badaniu.</w:t>
      </w:r>
    </w:p>
    <w:p w14:paraId="51C89773" w14:textId="77777777" w:rsidR="00A350DA" w:rsidRPr="007E4DA1" w:rsidRDefault="00A350DA" w:rsidP="001A6584">
      <w:pPr>
        <w:tabs>
          <w:tab w:val="left" w:pos="142"/>
        </w:tabs>
        <w:ind w:left="0" w:firstLine="0"/>
        <w:rPr>
          <w:szCs w:val="22"/>
        </w:rPr>
      </w:pPr>
    </w:p>
    <w:p w14:paraId="1767029A" w14:textId="77777777" w:rsidR="00A350DA" w:rsidRPr="007E4DA1" w:rsidRDefault="00A350DA" w:rsidP="001A6584">
      <w:pPr>
        <w:tabs>
          <w:tab w:val="left" w:pos="142"/>
        </w:tabs>
        <w:ind w:left="0" w:firstLine="0"/>
        <w:rPr>
          <w:szCs w:val="22"/>
        </w:rPr>
      </w:pPr>
      <w:r w:rsidRPr="007E4DA1">
        <w:rPr>
          <w:szCs w:val="22"/>
        </w:rPr>
        <w:t>Wyjściowo mediana liczby płytek krwi wynosiła</w:t>
      </w:r>
      <w:r w:rsidR="00E23DED" w:rsidRPr="007E4DA1">
        <w:rPr>
          <w:szCs w:val="22"/>
        </w:rPr>
        <w:t> </w:t>
      </w:r>
      <w:r w:rsidRPr="007E4DA1">
        <w:rPr>
          <w:szCs w:val="22"/>
        </w:rPr>
        <w:t>20</w:t>
      </w:r>
      <w:r w:rsidR="00E23DED" w:rsidRPr="007E4DA1">
        <w:rPr>
          <w:szCs w:val="22"/>
        </w:rPr>
        <w:t> </w:t>
      </w:r>
      <w:r w:rsidRPr="007E4DA1">
        <w:rPr>
          <w:szCs w:val="22"/>
        </w:rPr>
        <w:t>000/μl, stężenie hemoglobiny 8,4</w:t>
      </w:r>
      <w:r w:rsidR="00E23DED" w:rsidRPr="007E4DA1">
        <w:rPr>
          <w:szCs w:val="22"/>
        </w:rPr>
        <w:t> </w:t>
      </w:r>
      <w:r w:rsidRPr="007E4DA1">
        <w:rPr>
          <w:szCs w:val="22"/>
        </w:rPr>
        <w:t>g/dl, liczba ANC</w:t>
      </w:r>
      <w:r w:rsidR="00E23DED" w:rsidRPr="007E4DA1">
        <w:rPr>
          <w:szCs w:val="22"/>
        </w:rPr>
        <w:t> </w:t>
      </w:r>
      <w:r w:rsidRPr="007E4DA1">
        <w:rPr>
          <w:szCs w:val="22"/>
        </w:rPr>
        <w:t>0,58</w:t>
      </w:r>
      <w:r w:rsidR="00E23DED" w:rsidRPr="007E4DA1">
        <w:rPr>
          <w:szCs w:val="22"/>
        </w:rPr>
        <w:t> </w:t>
      </w:r>
      <w:r w:rsidRPr="007E4DA1">
        <w:rPr>
          <w:szCs w:val="22"/>
        </w:rPr>
        <w:t>x</w:t>
      </w:r>
      <w:r w:rsidR="00E23DED" w:rsidRPr="007E4DA1">
        <w:rPr>
          <w:szCs w:val="22"/>
        </w:rPr>
        <w:t> </w:t>
      </w:r>
      <w:r w:rsidRPr="007E4DA1">
        <w:rPr>
          <w:szCs w:val="22"/>
        </w:rPr>
        <w:t>10</w:t>
      </w:r>
      <w:r w:rsidRPr="007E4DA1">
        <w:rPr>
          <w:szCs w:val="22"/>
          <w:vertAlign w:val="superscript"/>
        </w:rPr>
        <w:t>9</w:t>
      </w:r>
      <w:r w:rsidRPr="007E4DA1">
        <w:rPr>
          <w:szCs w:val="22"/>
        </w:rPr>
        <w:t>/l, a bezwzględna liczba retykulocytów 24,3</w:t>
      </w:r>
      <w:r w:rsidR="00E23DED" w:rsidRPr="007E4DA1">
        <w:rPr>
          <w:szCs w:val="22"/>
        </w:rPr>
        <w:t> </w:t>
      </w:r>
      <w:r w:rsidRPr="007E4DA1">
        <w:rPr>
          <w:szCs w:val="22"/>
        </w:rPr>
        <w:t>x 10</w:t>
      </w:r>
      <w:r w:rsidRPr="007E4DA1">
        <w:rPr>
          <w:szCs w:val="22"/>
          <w:vertAlign w:val="superscript"/>
        </w:rPr>
        <w:t>9</w:t>
      </w:r>
      <w:r w:rsidRPr="007E4DA1">
        <w:rPr>
          <w:szCs w:val="22"/>
        </w:rPr>
        <w:t>/l. Osiemdziesiąt sześć procent pacjentów było zależnych od transfuzji krwinek czerwonych, a 91% pacjentów wymagało transfuzji płytek krwi. Większość pacjentów (84%) otrzymała wcześniej przynajmniej 2</w:t>
      </w:r>
      <w:r w:rsidR="00BE611D" w:rsidRPr="007E4DA1">
        <w:rPr>
          <w:szCs w:val="22"/>
        </w:rPr>
        <w:t> </w:t>
      </w:r>
      <w:r w:rsidRPr="007E4DA1">
        <w:rPr>
          <w:szCs w:val="22"/>
        </w:rPr>
        <w:t>terapie immunosupresyjne. U trzech pacjentów stwierdzono nieprawidłowości cytogenetyczne przed rozpoczęciem badania.</w:t>
      </w:r>
    </w:p>
    <w:p w14:paraId="65DB9008" w14:textId="77777777" w:rsidR="00A350DA" w:rsidRPr="007E4DA1" w:rsidRDefault="00A350DA" w:rsidP="001A6584">
      <w:pPr>
        <w:tabs>
          <w:tab w:val="left" w:pos="142"/>
        </w:tabs>
        <w:ind w:left="0" w:firstLine="0"/>
        <w:rPr>
          <w:szCs w:val="22"/>
        </w:rPr>
      </w:pPr>
    </w:p>
    <w:p w14:paraId="333164B0" w14:textId="77777777" w:rsidR="00A350DA" w:rsidRPr="007E4DA1" w:rsidRDefault="00A350DA" w:rsidP="001A6584">
      <w:pPr>
        <w:tabs>
          <w:tab w:val="left" w:pos="142"/>
        </w:tabs>
        <w:ind w:left="0" w:firstLine="0"/>
        <w:rPr>
          <w:szCs w:val="22"/>
        </w:rPr>
      </w:pPr>
      <w:r w:rsidRPr="007E4DA1">
        <w:rPr>
          <w:szCs w:val="22"/>
        </w:rPr>
        <w:t>Pierwszorzędowym punktem końcowym była odpowiedź hematologiczna oceniana po 12</w:t>
      </w:r>
      <w:r w:rsidR="00BE611D" w:rsidRPr="007E4DA1">
        <w:rPr>
          <w:szCs w:val="22"/>
        </w:rPr>
        <w:t> </w:t>
      </w:r>
      <w:r w:rsidRPr="007E4DA1">
        <w:rPr>
          <w:szCs w:val="22"/>
        </w:rPr>
        <w:t>tygodniach leczenia eltrombopagiem. Odpowiedź hematologiczną definiowano jako spełnianie co najmniej jednego z następujących kryteriów: 1)</w:t>
      </w:r>
      <w:r w:rsidR="00BE611D" w:rsidRPr="007E4DA1">
        <w:rPr>
          <w:szCs w:val="22"/>
        </w:rPr>
        <w:t> </w:t>
      </w:r>
      <w:r w:rsidRPr="007E4DA1">
        <w:rPr>
          <w:szCs w:val="22"/>
        </w:rPr>
        <w:t>wzrost liczby płytek krwi do</w:t>
      </w:r>
      <w:r w:rsidR="00BE611D" w:rsidRPr="007E4DA1">
        <w:rPr>
          <w:szCs w:val="22"/>
        </w:rPr>
        <w:t> </w:t>
      </w:r>
      <w:r w:rsidRPr="007E4DA1">
        <w:rPr>
          <w:szCs w:val="22"/>
        </w:rPr>
        <w:t>20</w:t>
      </w:r>
      <w:r w:rsidR="00BE611D" w:rsidRPr="007E4DA1">
        <w:rPr>
          <w:szCs w:val="22"/>
        </w:rPr>
        <w:t> </w:t>
      </w:r>
      <w:r w:rsidRPr="007E4DA1">
        <w:rPr>
          <w:szCs w:val="22"/>
        </w:rPr>
        <w:t>000/μl powyżej wartości początkowych lub stabilne wartości liczby płytek krwi przy braku konieczności transfuzji przez minimum 8</w:t>
      </w:r>
      <w:r w:rsidR="00BE611D" w:rsidRPr="007E4DA1">
        <w:rPr>
          <w:szCs w:val="22"/>
        </w:rPr>
        <w:t> </w:t>
      </w:r>
      <w:r w:rsidRPr="007E4DA1">
        <w:rPr>
          <w:szCs w:val="22"/>
        </w:rPr>
        <w:t>tygodni; 2)</w:t>
      </w:r>
      <w:r w:rsidR="00BE611D" w:rsidRPr="007E4DA1">
        <w:rPr>
          <w:szCs w:val="22"/>
        </w:rPr>
        <w:t> </w:t>
      </w:r>
      <w:r w:rsidRPr="007E4DA1">
        <w:rPr>
          <w:szCs w:val="22"/>
        </w:rPr>
        <w:t>wzrost stężenia hemoglobiny o</w:t>
      </w:r>
      <w:r w:rsidR="00BE611D" w:rsidRPr="007E4DA1">
        <w:rPr>
          <w:szCs w:val="22"/>
        </w:rPr>
        <w:t> </w:t>
      </w:r>
      <w:r w:rsidRPr="007E4DA1">
        <w:rPr>
          <w:szCs w:val="22"/>
        </w:rPr>
        <w:t>&gt;1,5</w:t>
      </w:r>
      <w:r w:rsidR="00BE611D" w:rsidRPr="007E4DA1">
        <w:rPr>
          <w:szCs w:val="22"/>
        </w:rPr>
        <w:t> </w:t>
      </w:r>
      <w:r w:rsidRPr="007E4DA1">
        <w:rPr>
          <w:szCs w:val="22"/>
        </w:rPr>
        <w:t>g/dl lub zmniejszenie o</w:t>
      </w:r>
      <w:r w:rsidR="00BE611D" w:rsidRPr="007E4DA1">
        <w:rPr>
          <w:szCs w:val="22"/>
        </w:rPr>
        <w:t> </w:t>
      </w:r>
      <w:r w:rsidRPr="007E4DA1">
        <w:rPr>
          <w:szCs w:val="22"/>
        </w:rPr>
        <w:t>≥4 jednostki w ilości przetaczanych preparatów czerwonokrwinkowych przez 8</w:t>
      </w:r>
      <w:r w:rsidR="00BE611D" w:rsidRPr="007E4DA1">
        <w:rPr>
          <w:szCs w:val="22"/>
        </w:rPr>
        <w:t> </w:t>
      </w:r>
      <w:r w:rsidRPr="007E4DA1">
        <w:rPr>
          <w:szCs w:val="22"/>
        </w:rPr>
        <w:t>kolejnych tygodni; 3)</w:t>
      </w:r>
      <w:r w:rsidR="00BE611D" w:rsidRPr="007E4DA1">
        <w:rPr>
          <w:szCs w:val="22"/>
        </w:rPr>
        <w:t> </w:t>
      </w:r>
      <w:r w:rsidRPr="007E4DA1">
        <w:rPr>
          <w:szCs w:val="22"/>
        </w:rPr>
        <w:t>wzrost bezwzględnej liczby neutrofilów (ANC) o 100% lub wzrost ANC</w:t>
      </w:r>
      <w:r w:rsidR="00BE611D" w:rsidRPr="007E4DA1">
        <w:rPr>
          <w:szCs w:val="22"/>
        </w:rPr>
        <w:t> </w:t>
      </w:r>
      <w:r w:rsidRPr="007E4DA1">
        <w:rPr>
          <w:szCs w:val="22"/>
        </w:rPr>
        <w:t>&gt;0,5</w:t>
      </w:r>
      <w:r w:rsidR="00BE611D" w:rsidRPr="007E4DA1">
        <w:rPr>
          <w:szCs w:val="22"/>
        </w:rPr>
        <w:t> </w:t>
      </w:r>
      <w:r w:rsidRPr="007E4DA1">
        <w:rPr>
          <w:szCs w:val="22"/>
        </w:rPr>
        <w:t>x</w:t>
      </w:r>
      <w:r w:rsidR="00BE611D" w:rsidRPr="007E4DA1">
        <w:rPr>
          <w:szCs w:val="22"/>
        </w:rPr>
        <w:t> </w:t>
      </w:r>
      <w:r w:rsidRPr="007E4DA1">
        <w:rPr>
          <w:szCs w:val="22"/>
        </w:rPr>
        <w:t>10</w:t>
      </w:r>
      <w:r w:rsidRPr="007E4DA1">
        <w:rPr>
          <w:szCs w:val="22"/>
          <w:vertAlign w:val="superscript"/>
        </w:rPr>
        <w:t>9</w:t>
      </w:r>
      <w:r w:rsidRPr="007E4DA1">
        <w:rPr>
          <w:szCs w:val="22"/>
        </w:rPr>
        <w:t>/l.</w:t>
      </w:r>
    </w:p>
    <w:p w14:paraId="08F08F5B" w14:textId="77777777" w:rsidR="00A350DA" w:rsidRPr="007E4DA1" w:rsidRDefault="00A350DA" w:rsidP="001A6584">
      <w:pPr>
        <w:tabs>
          <w:tab w:val="left" w:pos="142"/>
        </w:tabs>
        <w:ind w:left="0" w:firstLine="0"/>
        <w:rPr>
          <w:szCs w:val="22"/>
        </w:rPr>
      </w:pPr>
    </w:p>
    <w:p w14:paraId="0FB83A41" w14:textId="77777777" w:rsidR="00A350DA" w:rsidRPr="007E4DA1" w:rsidRDefault="00A350DA" w:rsidP="001A6584">
      <w:pPr>
        <w:tabs>
          <w:tab w:val="left" w:pos="142"/>
        </w:tabs>
        <w:ind w:left="0" w:firstLine="0"/>
        <w:rPr>
          <w:szCs w:val="22"/>
        </w:rPr>
      </w:pPr>
      <w:r w:rsidRPr="007E4DA1">
        <w:rPr>
          <w:lang w:val="pl"/>
        </w:rPr>
        <w:t>Wskaźnik odpowiedzi hematologicznej wyniósł 40% (17/43 pacjentów; przedział ufności 95%</w:t>
      </w:r>
      <w:r w:rsidR="00BE611D" w:rsidRPr="007E4DA1">
        <w:rPr>
          <w:lang w:val="pl"/>
        </w:rPr>
        <w:t> </w:t>
      </w:r>
      <w:r w:rsidRPr="007E4DA1">
        <w:rPr>
          <w:lang w:val="pl"/>
        </w:rPr>
        <w:t>25,</w:t>
      </w:r>
      <w:r w:rsidR="00BE611D" w:rsidRPr="007E4DA1">
        <w:rPr>
          <w:lang w:val="pl"/>
        </w:rPr>
        <w:t> </w:t>
      </w:r>
      <w:r w:rsidRPr="007E4DA1">
        <w:rPr>
          <w:lang w:val="pl"/>
        </w:rPr>
        <w:t>56), z czego w większości przypadków była to odpowiedź jednoliniowa (13/17, 76%), podczas gdy w tygodniu 12. obserwowano 3 przypadki dwuliniowej oraz 1 przypadek trójliniowej odpowiedzi. Eltrombopag odstawiano po 16 tygodniach, jeśli nie obserwowano odpowiedzi hematologicznej na leczenie lub uniezależnienia się od tranfuzji. Pacjenci, u których obserwowano odpowiedź na leczenie, kontynuowali terapię w fazie roszerzonej badania. Do fazy rozszerzonej przeszło w sumie 14 pacjentów. Dziewięcioro z nich osiągnęło odpowiedź wieloliniową na leczenie, 4 z tych 9 jeszcze kontynuuje leczenie, a u 5 stopniowo zakończono terapię eltrombopagiem przy utrzymaniu u nich odpowiedzi na leczenie (mediana czasu obserwcji: 20,6 miesiąca, zakres: 5,7 do 22,5 miesiąca). Pozostałych 5 pacjentów zakończyło leczenie, w tym trzech z powodu nawrotu choroby stwierdzonego podczas wizyty w 3. miesiącu fazy rozszerzonej.</w:t>
      </w:r>
    </w:p>
    <w:p w14:paraId="299F78D3" w14:textId="77777777" w:rsidR="00A350DA" w:rsidRPr="007E4DA1" w:rsidRDefault="00A350DA" w:rsidP="001A6584">
      <w:pPr>
        <w:tabs>
          <w:tab w:val="left" w:pos="142"/>
        </w:tabs>
        <w:ind w:left="0" w:firstLine="0"/>
        <w:rPr>
          <w:szCs w:val="22"/>
        </w:rPr>
      </w:pPr>
    </w:p>
    <w:p w14:paraId="65EB0CBE" w14:textId="77777777" w:rsidR="00A350DA" w:rsidRPr="007E4DA1" w:rsidRDefault="00A350DA" w:rsidP="001A6584">
      <w:pPr>
        <w:tabs>
          <w:tab w:val="left" w:pos="142"/>
        </w:tabs>
        <w:ind w:left="0" w:firstLine="0"/>
        <w:rPr>
          <w:lang w:val="pl"/>
        </w:rPr>
      </w:pPr>
      <w:r w:rsidRPr="007E4DA1">
        <w:rPr>
          <w:lang w:val="pl"/>
        </w:rPr>
        <w:t>Podczas terapii eltrombopagiem u 59% (23/39) pacjentów stwierdzono brak konieczności przetaczania płytek krwi (28</w:t>
      </w:r>
      <w:r w:rsidR="00BE611D" w:rsidRPr="007E4DA1">
        <w:rPr>
          <w:lang w:val="pl"/>
        </w:rPr>
        <w:t> </w:t>
      </w:r>
      <w:r w:rsidRPr="007E4DA1">
        <w:rPr>
          <w:lang w:val="pl"/>
        </w:rPr>
        <w:t>dni bez transfuzji), zaś u 27% (10/37) zaobserwowano brak konieczności przetaczania czerwonych krwinek (56</w:t>
      </w:r>
      <w:r w:rsidR="00BE611D" w:rsidRPr="007E4DA1">
        <w:rPr>
          <w:lang w:val="pl"/>
        </w:rPr>
        <w:t> </w:t>
      </w:r>
      <w:r w:rsidRPr="007E4DA1">
        <w:rPr>
          <w:lang w:val="pl"/>
        </w:rPr>
        <w:t>dni bez transfuzji). Najdłuższy okres bez transfuzji płytek krwi u pacjentów, u których nie uzyskano odpowiedzi na leczenie wynosił 27 dni (mediana). Najdłuższy okres bez transfuzji płytek krwi u pacjentów, którzy odpowiedzieli na leczenie wynosił 287 dni (mediana). Najdłuższy okres bez transfuzji czerwonych krwinek u pacjentów, u których nie uzyskano odpowiedzi na leczenie wynosił 29 dni (mediana). Najdłuższy okres bez transfuzji czerwonych krwinek u pacjentów, którzy odpowiedzieli na leczenie wynosił 266 dni (mediana).</w:t>
      </w:r>
    </w:p>
    <w:p w14:paraId="0554C9EA" w14:textId="77777777" w:rsidR="00A350DA" w:rsidRPr="007E4DA1" w:rsidRDefault="00A350DA" w:rsidP="001A6584">
      <w:pPr>
        <w:tabs>
          <w:tab w:val="left" w:pos="142"/>
        </w:tabs>
        <w:ind w:left="0" w:firstLine="0"/>
        <w:rPr>
          <w:szCs w:val="22"/>
        </w:rPr>
      </w:pPr>
    </w:p>
    <w:p w14:paraId="20D2D746" w14:textId="77777777" w:rsidR="00A350DA" w:rsidRPr="007E4DA1" w:rsidRDefault="00A350DA" w:rsidP="001A6584">
      <w:pPr>
        <w:tabs>
          <w:tab w:val="left" w:pos="142"/>
        </w:tabs>
        <w:ind w:left="0" w:firstLine="0"/>
        <w:rPr>
          <w:szCs w:val="22"/>
        </w:rPr>
      </w:pPr>
      <w:r w:rsidRPr="007E4DA1">
        <w:rPr>
          <w:szCs w:val="22"/>
        </w:rPr>
        <w:t>Ponad 50% pacjentów z odpowiedzią, którzy przed rozpoczęciem badania byli zależni od transfuzji, osiągnęło &gt;80% redukcję zapotrzebowania na transfuzje zarówno płytek krwi, jak i krwinek czerwonych, w porównaniu ze stanem początkowym.</w:t>
      </w:r>
    </w:p>
    <w:p w14:paraId="539953EC" w14:textId="77777777" w:rsidR="00A350DA" w:rsidRPr="007E4DA1" w:rsidRDefault="00A350DA" w:rsidP="001A6584">
      <w:pPr>
        <w:tabs>
          <w:tab w:val="left" w:pos="142"/>
        </w:tabs>
        <w:ind w:left="0" w:firstLine="0"/>
        <w:rPr>
          <w:szCs w:val="22"/>
        </w:rPr>
      </w:pPr>
    </w:p>
    <w:p w14:paraId="3C35671E" w14:textId="77777777" w:rsidR="00A350DA" w:rsidRDefault="00A350DA" w:rsidP="001A6584">
      <w:pPr>
        <w:tabs>
          <w:tab w:val="left" w:pos="142"/>
        </w:tabs>
        <w:ind w:left="0" w:firstLine="0"/>
        <w:rPr>
          <w:szCs w:val="22"/>
          <w:lang w:val="pl"/>
        </w:rPr>
      </w:pPr>
      <w:r w:rsidRPr="007E4DA1">
        <w:rPr>
          <w:szCs w:val="22"/>
          <w:lang w:val="pl"/>
        </w:rPr>
        <w:t>Wstępne wyniki toczącego się jeszcze pomocniczego, otwartego, jednoramiennego badania II fazy, bez randomizacji (Badanie ELT116826), przeprowadzonego w grupie pacjentów z oporną ciężką niedokrwistością aplastyczną, były zbieżne z wynikami wcześniejszych badań. Dane ograniczają się do 21 spośród planowanych 60 pacjentów, przy czym w 6. miesiącu odpowiedż hematologiczną na leczenie obserwowano u 52% pacjentów. Odpowiedź wieloliniową obserwowano u 45% pacjentów.</w:t>
      </w:r>
    </w:p>
    <w:p w14:paraId="5E1CA814" w14:textId="77777777" w:rsidR="001C1AF1" w:rsidRDefault="001C1AF1" w:rsidP="001A6584">
      <w:pPr>
        <w:tabs>
          <w:tab w:val="left" w:pos="142"/>
        </w:tabs>
        <w:ind w:left="0" w:firstLine="0"/>
        <w:rPr>
          <w:szCs w:val="22"/>
          <w:lang w:val="pl"/>
        </w:rPr>
      </w:pPr>
    </w:p>
    <w:p w14:paraId="1D4527F5" w14:textId="77777777" w:rsidR="00536350" w:rsidRPr="00353671" w:rsidRDefault="00536350" w:rsidP="00353671">
      <w:pPr>
        <w:keepNext/>
        <w:tabs>
          <w:tab w:val="left" w:pos="142"/>
        </w:tabs>
        <w:ind w:left="0" w:firstLine="0"/>
        <w:rPr>
          <w:szCs w:val="22"/>
          <w:lang w:val="pl"/>
        </w:rPr>
      </w:pPr>
      <w:r>
        <w:rPr>
          <w:i/>
          <w:iCs/>
          <w:szCs w:val="22"/>
          <w:lang w:val="pl"/>
        </w:rPr>
        <w:t>Dzieci i młodzież</w:t>
      </w:r>
    </w:p>
    <w:p w14:paraId="011A988E" w14:textId="234C6ACD" w:rsidR="00536350" w:rsidRPr="00C00DF2" w:rsidRDefault="00536350" w:rsidP="00536350">
      <w:pPr>
        <w:tabs>
          <w:tab w:val="left" w:pos="142"/>
        </w:tabs>
        <w:ind w:left="0" w:firstLine="0"/>
        <w:rPr>
          <w:szCs w:val="22"/>
          <w:lang w:val="pl"/>
        </w:rPr>
      </w:pPr>
      <w:r>
        <w:rPr>
          <w:szCs w:val="22"/>
          <w:lang w:val="pl"/>
        </w:rPr>
        <w:t>Skuteczność eltrombopagu podawanego doustnie dzieciom i młodzieży w wieku od 2 do 17</w:t>
      </w:r>
      <w:r w:rsidR="00353671">
        <w:rPr>
          <w:szCs w:val="22"/>
          <w:lang w:val="pl"/>
        </w:rPr>
        <w:t> </w:t>
      </w:r>
      <w:r>
        <w:rPr>
          <w:szCs w:val="22"/>
          <w:lang w:val="pl"/>
        </w:rPr>
        <w:t>lat z nawracającą/oporną na leczenie (kohorta</w:t>
      </w:r>
      <w:r w:rsidR="00353671">
        <w:rPr>
          <w:szCs w:val="22"/>
          <w:lang w:val="pl"/>
        </w:rPr>
        <w:t> </w:t>
      </w:r>
      <w:r>
        <w:rPr>
          <w:szCs w:val="22"/>
          <w:lang w:val="pl"/>
        </w:rPr>
        <w:t>A; n=14) lub wcześniej nieleczoną (kohorta</w:t>
      </w:r>
      <w:r w:rsidR="00353671">
        <w:rPr>
          <w:szCs w:val="22"/>
          <w:lang w:val="pl"/>
        </w:rPr>
        <w:t> </w:t>
      </w:r>
      <w:r>
        <w:rPr>
          <w:szCs w:val="22"/>
          <w:lang w:val="pl"/>
        </w:rPr>
        <w:t xml:space="preserve">B; n=37) SAA są oceniane w trwającym, otwartym, </w:t>
      </w:r>
      <w:r>
        <w:t>niekontrolowanym, wewnątrzosobniczym badaniu z eskalacją dawki (N=51 łącznie) (badanie CETB115E2201) (patrz także punkt 4.2). Kohorta A składała się z 14 pacjentów z oporną na leczenie (6 pacjentów) lub nawracającą (8 pacjentów) SAA. Tych 14 pacjentów otrzymywało jeden z dwóch schematów leczenia: 1)</w:t>
      </w:r>
      <w:r w:rsidR="00353671">
        <w:t> </w:t>
      </w:r>
      <w:r>
        <w:t xml:space="preserve">eltrombopag w skojarzeniu z </w:t>
      </w:r>
      <w:r>
        <w:rPr>
          <w:szCs w:val="22"/>
          <w:lang w:val="pl"/>
        </w:rPr>
        <w:t>końską globuliną antytymocytową (hATG)/cyklosporyną A (CsA) lub 2) eltrombopag w skojarzeniu z CsA. W kohorcie B 37 pacjentów z SAA bez wcześniejszej IST leczono stosując hATG i CsA dodatkowo do eltrombopagu. Czas trwania leczenia wyniósł 26 tygodni, a obserwację prowadzono przez kolejne 52 tygodnie.</w:t>
      </w:r>
    </w:p>
    <w:p w14:paraId="745B3C0D" w14:textId="77777777" w:rsidR="00536350" w:rsidRDefault="00536350" w:rsidP="00536350">
      <w:pPr>
        <w:tabs>
          <w:tab w:val="left" w:pos="142"/>
        </w:tabs>
        <w:ind w:left="0" w:firstLine="0"/>
        <w:rPr>
          <w:szCs w:val="22"/>
          <w:lang w:val="pl"/>
        </w:rPr>
      </w:pPr>
    </w:p>
    <w:p w14:paraId="6B1BAEF7" w14:textId="77777777" w:rsidR="00536350" w:rsidRDefault="00536350" w:rsidP="00536350">
      <w:pPr>
        <w:tabs>
          <w:tab w:val="left" w:pos="142"/>
        </w:tabs>
        <w:ind w:left="0" w:firstLine="0"/>
        <w:rPr>
          <w:szCs w:val="22"/>
          <w:lang w:val="pl"/>
        </w:rPr>
      </w:pPr>
      <w:r>
        <w:rPr>
          <w:szCs w:val="22"/>
          <w:lang w:val="pl"/>
        </w:rPr>
        <w:t>Dawki początkowe eltrombopagu wynosiły 25 mg na dobę u pacjentów w wieku od 1 do &lt;6 lat oraz 50 mg na dobę u pacjentów w wieku od 6 do &lt;18 lat, niezależnie od przynależności do grupy etnicznej. Zwiększanie dawki u poszczególnych pacjentów było dozwolone co 2 tygodnie aż do czasu, gdy pacjent osiągnął docelową liczbę płytek krwi lub dawkę maksymalną (150 mg), w zależności od tego, które z tych zdarzeń nastąpiło jako pierwsze.</w:t>
      </w:r>
    </w:p>
    <w:p w14:paraId="201422DB" w14:textId="77777777" w:rsidR="00536350" w:rsidRDefault="00536350" w:rsidP="00536350">
      <w:pPr>
        <w:tabs>
          <w:tab w:val="left" w:pos="142"/>
        </w:tabs>
        <w:ind w:left="0" w:firstLine="0"/>
        <w:rPr>
          <w:szCs w:val="22"/>
          <w:lang w:val="pl"/>
        </w:rPr>
      </w:pPr>
    </w:p>
    <w:p w14:paraId="3F89FF67" w14:textId="77777777" w:rsidR="00536350" w:rsidRDefault="00536350" w:rsidP="00536350">
      <w:pPr>
        <w:tabs>
          <w:tab w:val="left" w:pos="142"/>
        </w:tabs>
        <w:ind w:left="0" w:firstLine="0"/>
        <w:rPr>
          <w:szCs w:val="22"/>
          <w:lang w:val="pl"/>
        </w:rPr>
      </w:pPr>
      <w:r>
        <w:rPr>
          <w:szCs w:val="22"/>
          <w:lang w:val="pl"/>
        </w:rPr>
        <w:t>Głównym celem badania było scharakteryzowanie farmakokinetyki eltrombopagu w stanie stacjonarnym po podaniu największej dawki u poszczególnych uczestników (patrz punkt 5.2). Drugorzędowymi celami dotyczącymi skuteczności była ocena całkowitego odsetka odpowiedzi (ORR), odsetka odpowiedzi ze strony płytek krwi (PRR) oraz ocena niezależności od transfuzji płytek krwi i krwinek czerwonych.</w:t>
      </w:r>
    </w:p>
    <w:p w14:paraId="2C17F613" w14:textId="77777777" w:rsidR="00536350" w:rsidRDefault="00536350" w:rsidP="00536350">
      <w:pPr>
        <w:tabs>
          <w:tab w:val="left" w:pos="142"/>
        </w:tabs>
        <w:ind w:left="0" w:firstLine="0"/>
        <w:rPr>
          <w:szCs w:val="22"/>
          <w:lang w:val="pl"/>
        </w:rPr>
      </w:pPr>
    </w:p>
    <w:p w14:paraId="2E4800B5" w14:textId="1994EF29" w:rsidR="00536350" w:rsidRPr="00837E7F" w:rsidRDefault="00536350" w:rsidP="00536350">
      <w:pPr>
        <w:tabs>
          <w:tab w:val="left" w:pos="142"/>
        </w:tabs>
        <w:ind w:left="0" w:firstLine="0"/>
        <w:rPr>
          <w:szCs w:val="22"/>
          <w:lang w:val="pl"/>
        </w:rPr>
      </w:pPr>
      <w:r>
        <w:rPr>
          <w:szCs w:val="22"/>
          <w:lang w:val="pl"/>
        </w:rPr>
        <w:t>ORR definiowano jako odsetek pacjentów, u których wystąpiła odpowiedź całkowita (CR) lub odpowiedź częściowa (PR). CR definiowano jako spełnienie kryteriów niezależności od transfuzji płytek krwi i krwinek czerwonych, prawidłową wartość hemoglobiny dostosowaną do wieku, liczbę płytek krwi &gt;100 x 10</w:t>
      </w:r>
      <w:r>
        <w:rPr>
          <w:szCs w:val="22"/>
          <w:vertAlign w:val="superscript"/>
          <w:lang w:val="pl"/>
        </w:rPr>
        <w:t>9</w:t>
      </w:r>
      <w:r>
        <w:rPr>
          <w:szCs w:val="22"/>
          <w:lang w:val="pl"/>
        </w:rPr>
        <w:t>/l i bezwzględną liczbę granulocytów obojętnochłonnych &gt;1,5 x 10</w:t>
      </w:r>
      <w:r>
        <w:rPr>
          <w:szCs w:val="22"/>
          <w:vertAlign w:val="superscript"/>
          <w:lang w:val="pl"/>
        </w:rPr>
        <w:t>9</w:t>
      </w:r>
      <w:r>
        <w:rPr>
          <w:szCs w:val="22"/>
          <w:lang w:val="pl"/>
        </w:rPr>
        <w:t>/l. PR definiowano jako spełnienie przynajmniej dwóch lub więcej z następujących kryteriów: bezwzględna liczba retykulocytów &gt;30 x 10</w:t>
      </w:r>
      <w:r>
        <w:rPr>
          <w:szCs w:val="22"/>
          <w:vertAlign w:val="superscript"/>
          <w:lang w:val="pl"/>
        </w:rPr>
        <w:t>9</w:t>
      </w:r>
      <w:r>
        <w:rPr>
          <w:szCs w:val="22"/>
          <w:lang w:val="pl"/>
        </w:rPr>
        <w:t>/l, liczba płytek krwi &gt;30 x 10</w:t>
      </w:r>
      <w:r>
        <w:rPr>
          <w:szCs w:val="22"/>
          <w:vertAlign w:val="superscript"/>
          <w:lang w:val="pl"/>
        </w:rPr>
        <w:t>9</w:t>
      </w:r>
      <w:r>
        <w:rPr>
          <w:szCs w:val="22"/>
          <w:lang w:val="pl"/>
        </w:rPr>
        <w:t>/l, bezwzględna liczba granulocytów obojętnochłonnych</w:t>
      </w:r>
      <w:r w:rsidR="00353671">
        <w:rPr>
          <w:szCs w:val="22"/>
          <w:lang w:val="pl"/>
        </w:rPr>
        <w:t xml:space="preserve"> </w:t>
      </w:r>
      <w:r>
        <w:rPr>
          <w:szCs w:val="22"/>
          <w:lang w:val="pl"/>
        </w:rPr>
        <w:t>&gt;0,5 x 10</w:t>
      </w:r>
      <w:r>
        <w:rPr>
          <w:szCs w:val="22"/>
          <w:vertAlign w:val="superscript"/>
          <w:lang w:val="pl"/>
        </w:rPr>
        <w:t>9</w:t>
      </w:r>
      <w:r>
        <w:rPr>
          <w:szCs w:val="22"/>
          <w:lang w:val="pl"/>
        </w:rPr>
        <w:t>/l powyżej wartości wyjściowej z niezależnością od transfuzji przez co najmniej 28 dni w przypadku transfuzji płytek krwi i 56 dni w przypadku transfuzji krwinek czerwonych. PRR definiowano także jako odsetek pacjentów, u których wystąpiła odpowiedź całkowita (CR) lub odpowiedź częściowa (PR). CR definiowano jako spełnienie kryterium liczby płytek krwi &gt;100 x 10</w:t>
      </w:r>
      <w:r>
        <w:rPr>
          <w:szCs w:val="22"/>
          <w:vertAlign w:val="superscript"/>
          <w:lang w:val="pl"/>
        </w:rPr>
        <w:t>9</w:t>
      </w:r>
      <w:r>
        <w:rPr>
          <w:szCs w:val="22"/>
          <w:lang w:val="pl"/>
        </w:rPr>
        <w:t>/l. PR definiowano jako spełnienie kryterium liczby płytek krwi &gt;30 x 10</w:t>
      </w:r>
      <w:r>
        <w:rPr>
          <w:szCs w:val="22"/>
          <w:vertAlign w:val="superscript"/>
          <w:lang w:val="pl"/>
        </w:rPr>
        <w:t>9</w:t>
      </w:r>
      <w:r>
        <w:rPr>
          <w:szCs w:val="22"/>
          <w:lang w:val="pl"/>
        </w:rPr>
        <w:t>/l.</w:t>
      </w:r>
    </w:p>
    <w:p w14:paraId="1B4FF660" w14:textId="77777777" w:rsidR="00536350" w:rsidRDefault="00536350" w:rsidP="00536350">
      <w:pPr>
        <w:tabs>
          <w:tab w:val="left" w:pos="142"/>
        </w:tabs>
        <w:ind w:left="0" w:firstLine="0"/>
        <w:rPr>
          <w:szCs w:val="22"/>
          <w:lang w:val="pl"/>
        </w:rPr>
      </w:pPr>
    </w:p>
    <w:p w14:paraId="65AB7373" w14:textId="2D57DC17" w:rsidR="00536350" w:rsidRDefault="00536350" w:rsidP="00536350">
      <w:pPr>
        <w:tabs>
          <w:tab w:val="left" w:pos="142"/>
        </w:tabs>
        <w:ind w:left="0" w:firstLine="0"/>
        <w:rPr>
          <w:szCs w:val="22"/>
          <w:lang w:val="pl"/>
        </w:rPr>
      </w:pPr>
      <w:r>
        <w:rPr>
          <w:szCs w:val="22"/>
          <w:lang w:val="pl"/>
        </w:rPr>
        <w:t>Mediana wieku całej populacji wyniosła 10 lat (zakres: 2 do 17</w:t>
      </w:r>
      <w:r w:rsidR="00353671">
        <w:rPr>
          <w:szCs w:val="22"/>
          <w:lang w:val="pl"/>
        </w:rPr>
        <w:t> </w:t>
      </w:r>
      <w:r>
        <w:rPr>
          <w:szCs w:val="22"/>
          <w:lang w:val="pl"/>
        </w:rPr>
        <w:t>lat), 54,9% pacjentów stanowili mężczyźni, a 58,8% pacjentów to osoby rasy białej. Mediana wskaźnika masy ciała (BMI) wyniosła 17,9 kg/m</w:t>
      </w:r>
      <w:r>
        <w:rPr>
          <w:szCs w:val="22"/>
          <w:vertAlign w:val="superscript"/>
          <w:lang w:val="pl"/>
        </w:rPr>
        <w:t>2</w:t>
      </w:r>
      <w:r>
        <w:rPr>
          <w:szCs w:val="22"/>
          <w:lang w:val="pl"/>
        </w:rPr>
        <w:t>. 12</w:t>
      </w:r>
      <w:r w:rsidR="004B332C">
        <w:rPr>
          <w:szCs w:val="22"/>
          <w:lang w:val="pl"/>
        </w:rPr>
        <w:t> </w:t>
      </w:r>
      <w:r>
        <w:rPr>
          <w:szCs w:val="22"/>
          <w:lang w:val="pl"/>
        </w:rPr>
        <w:t>pacjentów było w wieku &lt;6 lat, a 39 pacjentów – w wieku od 6 do &lt;18 lat.</w:t>
      </w:r>
    </w:p>
    <w:p w14:paraId="7D78F3EA" w14:textId="77777777" w:rsidR="00536350" w:rsidRDefault="00536350" w:rsidP="00536350">
      <w:pPr>
        <w:tabs>
          <w:tab w:val="left" w:pos="142"/>
        </w:tabs>
        <w:ind w:left="0" w:firstLine="0"/>
        <w:rPr>
          <w:szCs w:val="22"/>
          <w:lang w:val="pl"/>
        </w:rPr>
      </w:pPr>
    </w:p>
    <w:p w14:paraId="243262DA" w14:textId="6A62144B" w:rsidR="00536350" w:rsidRDefault="00536350" w:rsidP="00536350">
      <w:pPr>
        <w:tabs>
          <w:tab w:val="left" w:pos="142"/>
        </w:tabs>
        <w:ind w:left="0" w:firstLine="0"/>
        <w:rPr>
          <w:szCs w:val="22"/>
          <w:lang w:val="pl"/>
        </w:rPr>
      </w:pPr>
      <w:r>
        <w:rPr>
          <w:szCs w:val="22"/>
          <w:lang w:val="pl"/>
        </w:rPr>
        <w:t>ORR wyniósł 19,6% w tygodniu</w:t>
      </w:r>
      <w:r w:rsidR="00353671">
        <w:rPr>
          <w:szCs w:val="22"/>
          <w:lang w:val="pl"/>
        </w:rPr>
        <w:t> </w:t>
      </w:r>
      <w:r>
        <w:rPr>
          <w:szCs w:val="22"/>
          <w:lang w:val="pl"/>
        </w:rPr>
        <w:t>12., 52,9% w tygodniu</w:t>
      </w:r>
      <w:r w:rsidR="00353671">
        <w:rPr>
          <w:szCs w:val="22"/>
          <w:lang w:val="pl"/>
        </w:rPr>
        <w:t> </w:t>
      </w:r>
      <w:r>
        <w:rPr>
          <w:szCs w:val="22"/>
          <w:lang w:val="pl"/>
        </w:rPr>
        <w:t>26., 45,1% w tygodniu</w:t>
      </w:r>
      <w:r w:rsidR="00353671">
        <w:rPr>
          <w:szCs w:val="22"/>
          <w:lang w:val="pl"/>
        </w:rPr>
        <w:t> </w:t>
      </w:r>
      <w:r>
        <w:rPr>
          <w:szCs w:val="22"/>
          <w:lang w:val="pl"/>
        </w:rPr>
        <w:t>52. i 45,1% w tygodniu</w:t>
      </w:r>
      <w:r w:rsidR="00353671">
        <w:rPr>
          <w:szCs w:val="22"/>
          <w:lang w:val="pl"/>
        </w:rPr>
        <w:t> </w:t>
      </w:r>
      <w:r>
        <w:rPr>
          <w:szCs w:val="22"/>
          <w:lang w:val="pl"/>
        </w:rPr>
        <w:t>78. u wszystkich pacjentów. ORR był na ogół większy w kohorcie</w:t>
      </w:r>
      <w:r w:rsidR="00353671">
        <w:rPr>
          <w:szCs w:val="22"/>
          <w:lang w:val="pl"/>
        </w:rPr>
        <w:t> </w:t>
      </w:r>
      <w:r>
        <w:rPr>
          <w:szCs w:val="22"/>
          <w:lang w:val="pl"/>
        </w:rPr>
        <w:t>A niż w kohorcie</w:t>
      </w:r>
      <w:r w:rsidR="00353671">
        <w:rPr>
          <w:szCs w:val="22"/>
          <w:lang w:val="pl"/>
        </w:rPr>
        <w:t> </w:t>
      </w:r>
      <w:r>
        <w:rPr>
          <w:szCs w:val="22"/>
          <w:lang w:val="pl"/>
        </w:rPr>
        <w:t>B (np. 71,4% w por. z 45,9% w tygodniu</w:t>
      </w:r>
      <w:r w:rsidR="00353671">
        <w:rPr>
          <w:szCs w:val="22"/>
          <w:lang w:val="pl"/>
        </w:rPr>
        <w:t> </w:t>
      </w:r>
      <w:r>
        <w:rPr>
          <w:szCs w:val="22"/>
          <w:lang w:val="pl"/>
        </w:rPr>
        <w:t>26.). PRR wyniósł 47,1% w tygodniu</w:t>
      </w:r>
      <w:r w:rsidR="00353671">
        <w:rPr>
          <w:szCs w:val="22"/>
          <w:lang w:val="pl"/>
        </w:rPr>
        <w:t> </w:t>
      </w:r>
      <w:r>
        <w:rPr>
          <w:szCs w:val="22"/>
          <w:lang w:val="pl"/>
        </w:rPr>
        <w:t>12., 56,9% w tygodniu</w:t>
      </w:r>
      <w:r w:rsidR="00353671">
        <w:rPr>
          <w:szCs w:val="22"/>
          <w:lang w:val="pl"/>
        </w:rPr>
        <w:t> </w:t>
      </w:r>
      <w:r>
        <w:rPr>
          <w:szCs w:val="22"/>
          <w:lang w:val="pl"/>
        </w:rPr>
        <w:t>26., 51,0% w tygodniu</w:t>
      </w:r>
      <w:r w:rsidR="00353671">
        <w:rPr>
          <w:szCs w:val="22"/>
          <w:lang w:val="pl"/>
        </w:rPr>
        <w:t> </w:t>
      </w:r>
      <w:r>
        <w:rPr>
          <w:szCs w:val="22"/>
          <w:lang w:val="pl"/>
        </w:rPr>
        <w:t>52. i 49,0% w tygodniu</w:t>
      </w:r>
      <w:r w:rsidR="00353671">
        <w:rPr>
          <w:szCs w:val="22"/>
          <w:lang w:val="pl"/>
        </w:rPr>
        <w:t> </w:t>
      </w:r>
      <w:r>
        <w:rPr>
          <w:szCs w:val="22"/>
          <w:lang w:val="pl"/>
        </w:rPr>
        <w:t>78.</w:t>
      </w:r>
    </w:p>
    <w:p w14:paraId="3C070F00" w14:textId="77777777" w:rsidR="00536350" w:rsidRDefault="00536350" w:rsidP="00536350">
      <w:pPr>
        <w:tabs>
          <w:tab w:val="left" w:pos="142"/>
        </w:tabs>
        <w:ind w:left="0" w:firstLine="0"/>
        <w:rPr>
          <w:szCs w:val="22"/>
          <w:lang w:val="pl"/>
        </w:rPr>
      </w:pPr>
    </w:p>
    <w:p w14:paraId="75D7499D" w14:textId="7734E293" w:rsidR="00536350" w:rsidRDefault="00F10329" w:rsidP="00536350">
      <w:pPr>
        <w:tabs>
          <w:tab w:val="left" w:pos="142"/>
        </w:tabs>
        <w:ind w:left="0" w:firstLine="0"/>
        <w:rPr>
          <w:szCs w:val="22"/>
          <w:lang w:val="pl"/>
        </w:rPr>
      </w:pPr>
      <w:r>
        <w:rPr>
          <w:szCs w:val="22"/>
          <w:lang w:val="pl"/>
        </w:rPr>
        <w:t>28</w:t>
      </w:r>
      <w:r w:rsidR="004B332C">
        <w:rPr>
          <w:szCs w:val="22"/>
          <w:lang w:val="pl"/>
        </w:rPr>
        <w:t> </w:t>
      </w:r>
      <w:r w:rsidR="00536350">
        <w:rPr>
          <w:szCs w:val="22"/>
          <w:lang w:val="pl"/>
        </w:rPr>
        <w:t>(7</w:t>
      </w:r>
      <w:r w:rsidR="00353671">
        <w:rPr>
          <w:szCs w:val="22"/>
          <w:lang w:val="pl"/>
        </w:rPr>
        <w:t> </w:t>
      </w:r>
      <w:r w:rsidR="00536350">
        <w:rPr>
          <w:szCs w:val="22"/>
          <w:lang w:val="pl"/>
        </w:rPr>
        <w:t>pacjentów z kohorty</w:t>
      </w:r>
      <w:r w:rsidR="00353671">
        <w:rPr>
          <w:szCs w:val="22"/>
          <w:lang w:val="pl"/>
        </w:rPr>
        <w:t> </w:t>
      </w:r>
      <w:r w:rsidR="00536350">
        <w:rPr>
          <w:szCs w:val="22"/>
          <w:lang w:val="pl"/>
        </w:rPr>
        <w:t>A i 21</w:t>
      </w:r>
      <w:r w:rsidR="00353671">
        <w:rPr>
          <w:szCs w:val="22"/>
          <w:lang w:val="pl"/>
        </w:rPr>
        <w:t> </w:t>
      </w:r>
      <w:r w:rsidR="00536350">
        <w:rPr>
          <w:szCs w:val="22"/>
          <w:lang w:val="pl"/>
        </w:rPr>
        <w:t>pacjentów z kohorty</w:t>
      </w:r>
      <w:r w:rsidR="00353671">
        <w:rPr>
          <w:szCs w:val="22"/>
          <w:lang w:val="pl"/>
        </w:rPr>
        <w:t> </w:t>
      </w:r>
      <w:r w:rsidR="00536350">
        <w:rPr>
          <w:szCs w:val="22"/>
          <w:lang w:val="pl"/>
        </w:rPr>
        <w:t>B) z 42 pacjentów, którzy byli zależni od transfuzji krwinek czerwonych w punkcie początkowym badania osiągnęło niezależność od transfuzji przez co najmniej 56 dni podczas badania. W dniu zakończenia zbierania danych (22 kwietnia 2022</w:t>
      </w:r>
      <w:r w:rsidR="00353671">
        <w:rPr>
          <w:szCs w:val="22"/>
          <w:lang w:val="pl"/>
        </w:rPr>
        <w:t> </w:t>
      </w:r>
      <w:r w:rsidR="00536350">
        <w:rPr>
          <w:szCs w:val="22"/>
          <w:lang w:val="pl"/>
        </w:rPr>
        <w:t>r.) mediana najdłuższego okresu niezależności od transfuzji krwinek czerwonych wyniosła 264 dni u 34 pacjentów (zakres: 58 do 1 074 dni), 321 dni (zakres: 185 do 860 dni) w kohorcie</w:t>
      </w:r>
      <w:r w:rsidR="00353671">
        <w:rPr>
          <w:szCs w:val="22"/>
          <w:lang w:val="pl"/>
        </w:rPr>
        <w:t> </w:t>
      </w:r>
      <w:r w:rsidR="00536350">
        <w:rPr>
          <w:szCs w:val="22"/>
          <w:lang w:val="pl"/>
        </w:rPr>
        <w:t>A i 259 dni (zakres: 58 do 1 074 dni) w kohorcie</w:t>
      </w:r>
      <w:r w:rsidR="00353671">
        <w:rPr>
          <w:szCs w:val="22"/>
          <w:lang w:val="pl"/>
        </w:rPr>
        <w:t> </w:t>
      </w:r>
      <w:r w:rsidR="00536350">
        <w:rPr>
          <w:szCs w:val="22"/>
          <w:lang w:val="pl"/>
        </w:rPr>
        <w:t>B.</w:t>
      </w:r>
      <w:r w:rsidR="00536350" w:rsidRPr="00D41D3F">
        <w:rPr>
          <w:szCs w:val="22"/>
          <w:lang w:val="pl"/>
        </w:rPr>
        <w:t xml:space="preserve"> </w:t>
      </w:r>
      <w:r>
        <w:rPr>
          <w:szCs w:val="22"/>
          <w:lang w:val="pl"/>
        </w:rPr>
        <w:t>33</w:t>
      </w:r>
      <w:r w:rsidR="004B332C">
        <w:rPr>
          <w:szCs w:val="22"/>
          <w:lang w:val="pl"/>
        </w:rPr>
        <w:t> </w:t>
      </w:r>
      <w:r w:rsidR="00536350">
        <w:rPr>
          <w:szCs w:val="22"/>
          <w:lang w:val="pl"/>
        </w:rPr>
        <w:t>(8</w:t>
      </w:r>
      <w:r w:rsidR="00353671">
        <w:rPr>
          <w:szCs w:val="22"/>
          <w:lang w:val="pl"/>
        </w:rPr>
        <w:t> </w:t>
      </w:r>
      <w:r w:rsidR="00536350">
        <w:rPr>
          <w:szCs w:val="22"/>
          <w:lang w:val="pl"/>
        </w:rPr>
        <w:t>pacjentów z kohorty</w:t>
      </w:r>
      <w:r w:rsidR="00353671">
        <w:rPr>
          <w:szCs w:val="22"/>
          <w:lang w:val="pl"/>
        </w:rPr>
        <w:t> </w:t>
      </w:r>
      <w:r w:rsidR="00536350">
        <w:rPr>
          <w:szCs w:val="22"/>
          <w:lang w:val="pl"/>
        </w:rPr>
        <w:t>A i 25</w:t>
      </w:r>
      <w:r w:rsidR="00353671">
        <w:rPr>
          <w:szCs w:val="22"/>
          <w:lang w:val="pl"/>
        </w:rPr>
        <w:t> </w:t>
      </w:r>
      <w:r w:rsidR="00536350">
        <w:rPr>
          <w:szCs w:val="22"/>
          <w:lang w:val="pl"/>
        </w:rPr>
        <w:t>pacjentów z kohorty</w:t>
      </w:r>
      <w:r w:rsidR="00353671">
        <w:rPr>
          <w:szCs w:val="22"/>
          <w:lang w:val="pl"/>
        </w:rPr>
        <w:t> </w:t>
      </w:r>
      <w:r w:rsidR="00536350">
        <w:rPr>
          <w:szCs w:val="22"/>
          <w:lang w:val="pl"/>
        </w:rPr>
        <w:t>B) z 43 pacjentów, którzy byli zależni od transfuzji płytek krwi w punkcie początkowym badania osiągnęło niezależność od transfuzji przez co najmniej 28 dni podczas badania. W dniu zakończenia zbierania danych mediana najdłuższego okresu niezależności od transfuzji płytek krwi wyniosła 263 dni (zakres: 34 do 1 067 dni) u 40 pacjentów, 268 dni (zakres: 36 do 860 dni) w kohorcie</w:t>
      </w:r>
      <w:r w:rsidR="00353671">
        <w:rPr>
          <w:szCs w:val="22"/>
          <w:lang w:val="pl"/>
        </w:rPr>
        <w:t> </w:t>
      </w:r>
      <w:r w:rsidR="00536350">
        <w:rPr>
          <w:szCs w:val="22"/>
          <w:lang w:val="pl"/>
        </w:rPr>
        <w:t>A i 250 dni (zakres: 34 do 1 067 dni) w kohorcie</w:t>
      </w:r>
      <w:r w:rsidR="00353671">
        <w:rPr>
          <w:szCs w:val="22"/>
          <w:lang w:val="pl"/>
        </w:rPr>
        <w:t> </w:t>
      </w:r>
      <w:r w:rsidR="00536350">
        <w:rPr>
          <w:szCs w:val="22"/>
          <w:lang w:val="pl"/>
        </w:rPr>
        <w:t>B.</w:t>
      </w:r>
    </w:p>
    <w:p w14:paraId="5F300B56" w14:textId="77777777" w:rsidR="00536350" w:rsidRDefault="00536350" w:rsidP="00536350">
      <w:pPr>
        <w:tabs>
          <w:tab w:val="left" w:pos="142"/>
        </w:tabs>
        <w:ind w:left="0" w:firstLine="0"/>
        <w:rPr>
          <w:szCs w:val="22"/>
          <w:lang w:val="pl"/>
        </w:rPr>
      </w:pPr>
    </w:p>
    <w:p w14:paraId="512FD375" w14:textId="77777777" w:rsidR="00536350" w:rsidRDefault="00536350" w:rsidP="00536350">
      <w:pPr>
        <w:tabs>
          <w:tab w:val="left" w:pos="142"/>
        </w:tabs>
        <w:ind w:left="0" w:firstLine="0"/>
        <w:rPr>
          <w:szCs w:val="22"/>
        </w:rPr>
      </w:pPr>
      <w:r>
        <w:rPr>
          <w:szCs w:val="22"/>
        </w:rPr>
        <w:t>Wyniki dotyczące bezpieczeństwa były spójne ze znanym profilem eltrombopagu (patrz punkt 4.8).</w:t>
      </w:r>
    </w:p>
    <w:p w14:paraId="32D01AF4" w14:textId="77777777" w:rsidR="00536350" w:rsidRDefault="00536350" w:rsidP="00536350">
      <w:pPr>
        <w:tabs>
          <w:tab w:val="left" w:pos="142"/>
        </w:tabs>
        <w:ind w:left="0" w:firstLine="0"/>
        <w:rPr>
          <w:szCs w:val="22"/>
        </w:rPr>
      </w:pPr>
    </w:p>
    <w:p w14:paraId="542A2DFD" w14:textId="2919AC25" w:rsidR="001C1AF1" w:rsidRPr="00353671" w:rsidRDefault="00536350" w:rsidP="00353671">
      <w:pPr>
        <w:tabs>
          <w:tab w:val="left" w:pos="142"/>
        </w:tabs>
        <w:ind w:left="0" w:firstLine="0"/>
        <w:rPr>
          <w:szCs w:val="22"/>
        </w:rPr>
      </w:pPr>
      <w:r>
        <w:rPr>
          <w:szCs w:val="22"/>
        </w:rPr>
        <w:t>Wyniki dotyczące skuteczności nie były wystarczające, by sformułować wnioski o skuteczności eltrombopagu u dzieci i młodzieży z SAA.</w:t>
      </w:r>
    </w:p>
    <w:p w14:paraId="67C1B054" w14:textId="77777777" w:rsidR="00A350DA" w:rsidRPr="007E4DA1" w:rsidRDefault="00A350DA" w:rsidP="001A6584">
      <w:pPr>
        <w:tabs>
          <w:tab w:val="left" w:pos="142"/>
        </w:tabs>
        <w:ind w:left="0" w:firstLine="0"/>
        <w:rPr>
          <w:szCs w:val="22"/>
        </w:rPr>
      </w:pPr>
    </w:p>
    <w:p w14:paraId="0C967CD5" w14:textId="77777777" w:rsidR="00A350DA" w:rsidRPr="007E4DA1" w:rsidRDefault="00A350DA" w:rsidP="001A6584">
      <w:pPr>
        <w:keepNext/>
        <w:tabs>
          <w:tab w:val="left" w:pos="142"/>
        </w:tabs>
        <w:ind w:left="0" w:firstLine="0"/>
        <w:rPr>
          <w:szCs w:val="22"/>
        </w:rPr>
      </w:pPr>
      <w:r w:rsidRPr="007E4DA1">
        <w:rPr>
          <w:b/>
          <w:bCs/>
          <w:szCs w:val="22"/>
        </w:rPr>
        <w:t>5.2</w:t>
      </w:r>
      <w:r w:rsidRPr="007E4DA1">
        <w:rPr>
          <w:b/>
          <w:bCs/>
          <w:szCs w:val="22"/>
        </w:rPr>
        <w:tab/>
      </w:r>
      <w:r w:rsidRPr="007E4DA1">
        <w:rPr>
          <w:b/>
        </w:rPr>
        <w:t>Właściwości farmakokinetyczne</w:t>
      </w:r>
    </w:p>
    <w:p w14:paraId="043FA397" w14:textId="77777777" w:rsidR="00A350DA" w:rsidRPr="007E4DA1" w:rsidRDefault="00A350DA" w:rsidP="001A6584">
      <w:pPr>
        <w:keepNext/>
        <w:tabs>
          <w:tab w:val="left" w:pos="142"/>
        </w:tabs>
        <w:ind w:left="0" w:firstLine="0"/>
        <w:rPr>
          <w:szCs w:val="22"/>
        </w:rPr>
      </w:pPr>
    </w:p>
    <w:p w14:paraId="1E2CF172" w14:textId="77777777" w:rsidR="00041A08" w:rsidRPr="00041A08" w:rsidRDefault="00A350DA" w:rsidP="001A6584">
      <w:pPr>
        <w:keepNext/>
        <w:tabs>
          <w:tab w:val="left" w:pos="142"/>
        </w:tabs>
        <w:ind w:left="0" w:firstLine="0"/>
        <w:rPr>
          <w:szCs w:val="22"/>
        </w:rPr>
      </w:pPr>
      <w:r w:rsidRPr="007E4DA1">
        <w:rPr>
          <w:i/>
          <w:szCs w:val="22"/>
          <w:u w:val="single"/>
        </w:rPr>
        <w:t>Farmakokinetyka</w:t>
      </w:r>
    </w:p>
    <w:p w14:paraId="24AC426E" w14:textId="78BDA341" w:rsidR="00A350DA" w:rsidRPr="007E4DA1" w:rsidRDefault="00A350DA" w:rsidP="001A6584">
      <w:pPr>
        <w:keepNext/>
        <w:tabs>
          <w:tab w:val="left" w:pos="142"/>
        </w:tabs>
        <w:ind w:left="0" w:firstLine="0"/>
        <w:rPr>
          <w:szCs w:val="22"/>
        </w:rPr>
      </w:pPr>
    </w:p>
    <w:p w14:paraId="7F7D4635" w14:textId="7C3666A7" w:rsidR="00A350DA" w:rsidRPr="007E4DA1" w:rsidRDefault="00A350DA" w:rsidP="001A6584">
      <w:pPr>
        <w:tabs>
          <w:tab w:val="left" w:pos="0"/>
          <w:tab w:val="left" w:pos="142"/>
          <w:tab w:val="right" w:pos="8784"/>
        </w:tabs>
        <w:ind w:left="0" w:firstLine="0"/>
      </w:pPr>
      <w:r w:rsidRPr="007E4DA1">
        <w:t>W populacyjnej analizie farmakokinetyki zebrano dane dotyczące rozkładu stężenia eltrombopagu w osoczu w czasie, uzyskane od 88</w:t>
      </w:r>
      <w:r w:rsidR="00BE611D" w:rsidRPr="007E4DA1">
        <w:t> </w:t>
      </w:r>
      <w:r w:rsidRPr="007E4DA1">
        <w:t xml:space="preserve">pacjentów z </w:t>
      </w:r>
      <w:r w:rsidRPr="007E4DA1">
        <w:rPr>
          <w:szCs w:val="22"/>
        </w:rPr>
        <w:t>pierwotną małopłytkowością immunologiczną</w:t>
      </w:r>
      <w:r w:rsidRPr="007E4DA1">
        <w:t xml:space="preserve"> w ramach badań </w:t>
      </w:r>
      <w:smartTag w:uri="urn:schemas-microsoft-com:office:smarttags" w:element="stockticker">
        <w:r w:rsidRPr="007E4DA1">
          <w:t>TRA</w:t>
        </w:r>
      </w:smartTag>
      <w:r w:rsidRPr="007E4DA1">
        <w:t xml:space="preserve">100773A i </w:t>
      </w:r>
      <w:smartTag w:uri="urn:schemas-microsoft-com:office:smarttags" w:element="stockticker">
        <w:r w:rsidRPr="007E4DA1">
          <w:t>TRA</w:t>
        </w:r>
      </w:smartTag>
      <w:r w:rsidRPr="007E4DA1">
        <w:t>100773B i uzyskane od 111 zdrowych osób dorosłych. Szacunkowe wartości AUC</w:t>
      </w:r>
      <w:r w:rsidRPr="007E4DA1">
        <w:rPr>
          <w:vertAlign w:val="subscript"/>
        </w:rPr>
        <w:t>(0-</w:t>
      </w:r>
      <w:r w:rsidRPr="007E4DA1">
        <w:rPr>
          <w:vertAlign w:val="subscript"/>
        </w:rPr>
        <w:sym w:font="Symbol" w:char="F074"/>
      </w:r>
      <w:r w:rsidRPr="007E4DA1">
        <w:rPr>
          <w:vertAlign w:val="subscript"/>
        </w:rPr>
        <w:t>)</w:t>
      </w:r>
      <w:r w:rsidRPr="007E4DA1">
        <w:t xml:space="preserve"> i C</w:t>
      </w:r>
      <w:r w:rsidRPr="007E4DA1">
        <w:rPr>
          <w:vertAlign w:val="subscript"/>
        </w:rPr>
        <w:t>max</w:t>
      </w:r>
      <w:r w:rsidRPr="007E4DA1">
        <w:t xml:space="preserve"> eltrombopagu w osoczu u pacjentów</w:t>
      </w:r>
      <w:r w:rsidRPr="007E4DA1">
        <w:rPr>
          <w:szCs w:val="22"/>
        </w:rPr>
        <w:t xml:space="preserve"> pierwotną małopłytkowością immunologiczną</w:t>
      </w:r>
      <w:r w:rsidRPr="007E4DA1">
        <w:t xml:space="preserve"> przedstawiono poniżej (</w:t>
      </w:r>
      <w:r w:rsidR="00E52F84">
        <w:t>t</w:t>
      </w:r>
      <w:r w:rsidRPr="007E4DA1">
        <w:t>abela </w:t>
      </w:r>
      <w:r w:rsidR="001C1AF1">
        <w:t>12</w:t>
      </w:r>
      <w:r w:rsidRPr="007E4DA1">
        <w:t>).</w:t>
      </w:r>
    </w:p>
    <w:p w14:paraId="03FB4DB4" w14:textId="77777777" w:rsidR="00A350DA" w:rsidRPr="007E4DA1" w:rsidRDefault="00A350DA" w:rsidP="001A6584">
      <w:pPr>
        <w:tabs>
          <w:tab w:val="left" w:pos="0"/>
          <w:tab w:val="left" w:pos="142"/>
        </w:tabs>
        <w:ind w:left="0" w:firstLine="0"/>
      </w:pPr>
    </w:p>
    <w:p w14:paraId="56F560E1" w14:textId="4E0CFD58" w:rsidR="00041A08" w:rsidRPr="00041A08" w:rsidRDefault="00A350DA" w:rsidP="001A6584">
      <w:pPr>
        <w:keepNext/>
        <w:tabs>
          <w:tab w:val="right" w:pos="8784"/>
        </w:tabs>
        <w:ind w:left="1134" w:hanging="1134"/>
      </w:pPr>
      <w:r w:rsidRPr="007E4DA1">
        <w:rPr>
          <w:b/>
        </w:rPr>
        <w:t>Tabela </w:t>
      </w:r>
      <w:r w:rsidR="001C1AF1">
        <w:rPr>
          <w:b/>
        </w:rPr>
        <w:t>12</w:t>
      </w:r>
      <w:r w:rsidR="003D6A2F" w:rsidRPr="007E4DA1">
        <w:rPr>
          <w:b/>
        </w:rPr>
        <w:tab/>
      </w:r>
      <w:r w:rsidRPr="007E4DA1">
        <w:rPr>
          <w:b/>
        </w:rPr>
        <w:t>Średnia geometryczna (przedział ufności 95%) parametrów farmakokinetycznych eltrombopagu w osoczu w stanie stacjonarnym u dorosłych z pierwotną małopłytkowością immunologiczną</w:t>
      </w:r>
    </w:p>
    <w:p w14:paraId="75CC9863" w14:textId="1D5EBFEB" w:rsidR="00A350DA" w:rsidRPr="007E4DA1" w:rsidRDefault="00A350DA" w:rsidP="001A6584">
      <w:pPr>
        <w:keepNext/>
        <w:tabs>
          <w:tab w:val="left" w:pos="142"/>
          <w:tab w:val="right" w:pos="8784"/>
        </w:tabs>
        <w:ind w:left="0"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A350DA" w:rsidRPr="007E4DA1" w14:paraId="3376D6BE" w14:textId="77777777" w:rsidTr="00CB1E5B">
        <w:tc>
          <w:tcPr>
            <w:tcW w:w="2430" w:type="dxa"/>
            <w:tcBorders>
              <w:top w:val="single" w:sz="4" w:space="0" w:color="auto"/>
              <w:left w:val="single" w:sz="4" w:space="0" w:color="auto"/>
              <w:bottom w:val="single" w:sz="4" w:space="0" w:color="auto"/>
              <w:right w:val="single" w:sz="4" w:space="0" w:color="auto"/>
            </w:tcBorders>
          </w:tcPr>
          <w:p w14:paraId="44FF149C" w14:textId="77777777" w:rsidR="00A350DA" w:rsidRPr="007E4DA1" w:rsidRDefault="00A350DA" w:rsidP="001A6584">
            <w:pPr>
              <w:pStyle w:val="BalloonText"/>
              <w:keepNext/>
              <w:tabs>
                <w:tab w:val="left" w:pos="142"/>
              </w:tabs>
              <w:ind w:left="0" w:firstLine="0"/>
              <w:jc w:val="center"/>
              <w:rPr>
                <w:rFonts w:ascii="Times New Roman" w:hAnsi="Times New Roman"/>
                <w:b/>
                <w:sz w:val="22"/>
                <w:szCs w:val="22"/>
                <w:lang w:eastAsia="en-GB"/>
              </w:rPr>
            </w:pPr>
            <w:r w:rsidRPr="007E4DA1">
              <w:rPr>
                <w:rFonts w:ascii="Times New Roman" w:hAnsi="Times New Roman"/>
                <w:b/>
                <w:sz w:val="22"/>
                <w:szCs w:val="22"/>
                <w:lang w:eastAsia="en-GB"/>
              </w:rPr>
              <w:t>Dawka eltrombopagu, raz na dobę</w:t>
            </w:r>
          </w:p>
        </w:tc>
        <w:tc>
          <w:tcPr>
            <w:tcW w:w="810" w:type="dxa"/>
            <w:tcBorders>
              <w:top w:val="single" w:sz="4" w:space="0" w:color="auto"/>
              <w:left w:val="single" w:sz="4" w:space="0" w:color="auto"/>
              <w:bottom w:val="single" w:sz="4" w:space="0" w:color="auto"/>
              <w:right w:val="single" w:sz="4" w:space="0" w:color="auto"/>
            </w:tcBorders>
          </w:tcPr>
          <w:p w14:paraId="08C68E40" w14:textId="77777777" w:rsidR="00A350DA" w:rsidRPr="007E4DA1" w:rsidRDefault="00A350DA" w:rsidP="001A6584">
            <w:pPr>
              <w:pStyle w:val="BalloonText"/>
              <w:keepNext/>
              <w:tabs>
                <w:tab w:val="left" w:pos="142"/>
              </w:tabs>
              <w:ind w:left="0" w:firstLine="0"/>
              <w:jc w:val="center"/>
              <w:rPr>
                <w:rFonts w:ascii="Times New Roman" w:hAnsi="Times New Roman"/>
                <w:b/>
                <w:sz w:val="22"/>
                <w:szCs w:val="22"/>
                <w:lang w:eastAsia="en-GB"/>
              </w:rPr>
            </w:pPr>
            <w:r w:rsidRPr="007E4DA1">
              <w:rPr>
                <w:rFonts w:ascii="Times New Roman" w:hAnsi="Times New Roman"/>
                <w:b/>
                <w:sz w:val="22"/>
                <w:szCs w:val="22"/>
                <w:lang w:eastAsia="en-GB"/>
              </w:rPr>
              <w:t>N</w:t>
            </w:r>
          </w:p>
        </w:tc>
        <w:tc>
          <w:tcPr>
            <w:tcW w:w="2566" w:type="dxa"/>
            <w:tcBorders>
              <w:top w:val="single" w:sz="4" w:space="0" w:color="auto"/>
              <w:left w:val="single" w:sz="4" w:space="0" w:color="auto"/>
              <w:bottom w:val="single" w:sz="4" w:space="0" w:color="auto"/>
              <w:right w:val="single" w:sz="4" w:space="0" w:color="auto"/>
            </w:tcBorders>
          </w:tcPr>
          <w:p w14:paraId="444BDE1A" w14:textId="77777777" w:rsidR="00A350DA" w:rsidRPr="007E4DA1" w:rsidRDefault="00A350DA" w:rsidP="001A6584">
            <w:pPr>
              <w:pStyle w:val="BalloonText"/>
              <w:keepNext/>
              <w:tabs>
                <w:tab w:val="left" w:pos="142"/>
              </w:tabs>
              <w:ind w:left="0" w:firstLine="0"/>
              <w:jc w:val="center"/>
              <w:rPr>
                <w:rFonts w:ascii="Times New Roman" w:hAnsi="Times New Roman"/>
                <w:b/>
                <w:sz w:val="22"/>
                <w:szCs w:val="22"/>
                <w:lang w:eastAsia="en-GB"/>
              </w:rPr>
            </w:pPr>
            <w:r w:rsidRPr="007E4DA1">
              <w:rPr>
                <w:rFonts w:ascii="Times New Roman" w:hAnsi="Times New Roman"/>
                <w:b/>
                <w:sz w:val="22"/>
                <w:szCs w:val="22"/>
                <w:lang w:eastAsia="en-GB"/>
              </w:rPr>
              <w:t>AUC</w:t>
            </w:r>
            <w:r w:rsidRPr="007E4DA1">
              <w:rPr>
                <w:rFonts w:ascii="Times New Roman" w:hAnsi="Times New Roman"/>
                <w:b/>
                <w:sz w:val="22"/>
                <w:szCs w:val="22"/>
                <w:vertAlign w:val="subscript"/>
                <w:lang w:eastAsia="en-GB"/>
              </w:rPr>
              <w:t>(0-</w:t>
            </w:r>
            <w:r w:rsidRPr="007E4DA1">
              <w:rPr>
                <w:rFonts w:ascii="Times New Roman" w:hAnsi="Times New Roman"/>
                <w:b/>
                <w:sz w:val="22"/>
                <w:szCs w:val="22"/>
                <w:vertAlign w:val="subscript"/>
                <w:lang w:eastAsia="en-GB"/>
              </w:rPr>
              <w:sym w:font="Symbol" w:char="F074"/>
            </w:r>
            <w:r w:rsidRPr="007E4DA1">
              <w:rPr>
                <w:rFonts w:ascii="Times New Roman" w:hAnsi="Times New Roman"/>
                <w:b/>
                <w:sz w:val="22"/>
                <w:szCs w:val="22"/>
                <w:vertAlign w:val="subscript"/>
                <w:lang w:eastAsia="en-GB"/>
              </w:rPr>
              <w:t>)</w:t>
            </w:r>
            <w:r w:rsidRPr="007E4DA1">
              <w:rPr>
                <w:rFonts w:ascii="Times New Roman" w:hAnsi="Times New Roman"/>
                <w:b/>
                <w:sz w:val="22"/>
                <w:szCs w:val="22"/>
                <w:vertAlign w:val="superscript"/>
                <w:lang w:eastAsia="en-GB"/>
              </w:rPr>
              <w:t>a</w:t>
            </w:r>
            <w:r w:rsidRPr="007E4DA1">
              <w:rPr>
                <w:rFonts w:ascii="Times New Roman" w:hAnsi="Times New Roman"/>
                <w:b/>
                <w:sz w:val="22"/>
                <w:szCs w:val="22"/>
                <w:lang w:eastAsia="en-GB"/>
              </w:rPr>
              <w:t xml:space="preserve">, </w:t>
            </w:r>
            <w:r w:rsidRPr="007E4DA1">
              <w:rPr>
                <w:rFonts w:ascii="Times New Roman" w:hAnsi="Times New Roman"/>
                <w:b/>
                <w:sz w:val="22"/>
                <w:szCs w:val="22"/>
                <w:lang w:eastAsia="en-GB"/>
              </w:rPr>
              <w:sym w:font="Symbol" w:char="F06D"/>
            </w:r>
            <w:r w:rsidRPr="007E4DA1">
              <w:rPr>
                <w:rFonts w:ascii="Times New Roman" w:hAnsi="Times New Roman"/>
                <w:b/>
                <w:sz w:val="22"/>
                <w:szCs w:val="22"/>
                <w:lang w:eastAsia="en-GB"/>
              </w:rPr>
              <w:t>g.h/ml</w:t>
            </w:r>
          </w:p>
        </w:tc>
        <w:tc>
          <w:tcPr>
            <w:tcW w:w="2834" w:type="dxa"/>
            <w:tcBorders>
              <w:top w:val="single" w:sz="4" w:space="0" w:color="auto"/>
              <w:left w:val="single" w:sz="4" w:space="0" w:color="auto"/>
              <w:bottom w:val="single" w:sz="4" w:space="0" w:color="auto"/>
              <w:right w:val="single" w:sz="4" w:space="0" w:color="auto"/>
            </w:tcBorders>
          </w:tcPr>
          <w:p w14:paraId="2D9475C5" w14:textId="77777777" w:rsidR="00A350DA" w:rsidRPr="007E4DA1" w:rsidRDefault="00A350DA" w:rsidP="001A6584">
            <w:pPr>
              <w:pStyle w:val="BalloonText"/>
              <w:keepNext/>
              <w:tabs>
                <w:tab w:val="left" w:pos="142"/>
              </w:tabs>
              <w:ind w:left="0" w:firstLine="0"/>
              <w:jc w:val="center"/>
              <w:rPr>
                <w:rFonts w:ascii="Times New Roman" w:hAnsi="Times New Roman"/>
                <w:b/>
                <w:sz w:val="22"/>
                <w:szCs w:val="22"/>
                <w:lang w:eastAsia="en-GB"/>
              </w:rPr>
            </w:pPr>
            <w:r w:rsidRPr="007E4DA1">
              <w:rPr>
                <w:rFonts w:ascii="Times New Roman" w:hAnsi="Times New Roman"/>
                <w:b/>
                <w:sz w:val="22"/>
                <w:szCs w:val="22"/>
                <w:lang w:eastAsia="en-GB"/>
              </w:rPr>
              <w:t>C</w:t>
            </w:r>
            <w:r w:rsidRPr="007E4DA1">
              <w:rPr>
                <w:rFonts w:ascii="Times New Roman" w:hAnsi="Times New Roman"/>
                <w:b/>
                <w:sz w:val="22"/>
                <w:szCs w:val="22"/>
                <w:vertAlign w:val="subscript"/>
                <w:lang w:eastAsia="en-GB"/>
              </w:rPr>
              <w:t>max</w:t>
            </w:r>
            <w:r w:rsidRPr="007E4DA1">
              <w:rPr>
                <w:rFonts w:ascii="Times New Roman" w:hAnsi="Times New Roman"/>
                <w:b/>
                <w:sz w:val="22"/>
                <w:szCs w:val="22"/>
                <w:vertAlign w:val="superscript"/>
                <w:lang w:eastAsia="en-GB"/>
              </w:rPr>
              <w:t>a</w:t>
            </w:r>
            <w:r w:rsidRPr="007E4DA1">
              <w:rPr>
                <w:rFonts w:ascii="Times New Roman" w:hAnsi="Times New Roman"/>
                <w:b/>
                <w:sz w:val="22"/>
                <w:szCs w:val="22"/>
                <w:lang w:eastAsia="en-GB"/>
              </w:rPr>
              <w:t xml:space="preserve"> , </w:t>
            </w:r>
            <w:r w:rsidRPr="007E4DA1">
              <w:rPr>
                <w:rFonts w:ascii="Times New Roman" w:hAnsi="Times New Roman"/>
                <w:b/>
                <w:sz w:val="22"/>
                <w:szCs w:val="22"/>
                <w:lang w:eastAsia="en-GB"/>
              </w:rPr>
              <w:sym w:font="Symbol" w:char="F06D"/>
            </w:r>
            <w:r w:rsidRPr="007E4DA1">
              <w:rPr>
                <w:rFonts w:ascii="Times New Roman" w:hAnsi="Times New Roman"/>
                <w:b/>
                <w:sz w:val="22"/>
                <w:szCs w:val="22"/>
                <w:lang w:eastAsia="en-GB"/>
              </w:rPr>
              <w:t>g/ml</w:t>
            </w:r>
          </w:p>
        </w:tc>
      </w:tr>
      <w:tr w:rsidR="00A350DA" w:rsidRPr="007E4DA1" w14:paraId="425E5E5B" w14:textId="77777777" w:rsidTr="00CB1E5B">
        <w:tc>
          <w:tcPr>
            <w:tcW w:w="2430" w:type="dxa"/>
            <w:tcBorders>
              <w:top w:val="single" w:sz="4" w:space="0" w:color="auto"/>
              <w:left w:val="single" w:sz="4" w:space="0" w:color="auto"/>
              <w:bottom w:val="single" w:sz="4" w:space="0" w:color="auto"/>
              <w:right w:val="single" w:sz="4" w:space="0" w:color="auto"/>
            </w:tcBorders>
          </w:tcPr>
          <w:p w14:paraId="7118F822" w14:textId="77777777" w:rsidR="00A350DA" w:rsidRPr="007E4DA1" w:rsidRDefault="00A350DA" w:rsidP="001A6584">
            <w:pPr>
              <w:pStyle w:val="BalloonText"/>
              <w:keepNext/>
              <w:tabs>
                <w:tab w:val="left" w:pos="142"/>
              </w:tabs>
              <w:ind w:left="0" w:firstLine="0"/>
              <w:jc w:val="center"/>
              <w:rPr>
                <w:rFonts w:ascii="Times New Roman" w:hAnsi="Times New Roman"/>
                <w:sz w:val="22"/>
                <w:szCs w:val="22"/>
                <w:lang w:eastAsia="en-GB"/>
              </w:rPr>
            </w:pPr>
            <w:r w:rsidRPr="007E4DA1">
              <w:rPr>
                <w:rFonts w:ascii="Times New Roman" w:hAnsi="Times New Roman"/>
                <w:sz w:val="22"/>
                <w:szCs w:val="22"/>
                <w:lang w:eastAsia="en-GB"/>
              </w:rPr>
              <w:t>30 mg</w:t>
            </w:r>
          </w:p>
        </w:tc>
        <w:tc>
          <w:tcPr>
            <w:tcW w:w="810" w:type="dxa"/>
            <w:tcBorders>
              <w:top w:val="single" w:sz="4" w:space="0" w:color="auto"/>
              <w:left w:val="single" w:sz="4" w:space="0" w:color="auto"/>
              <w:bottom w:val="single" w:sz="4" w:space="0" w:color="auto"/>
              <w:right w:val="single" w:sz="4" w:space="0" w:color="auto"/>
            </w:tcBorders>
          </w:tcPr>
          <w:p w14:paraId="65F42AA2" w14:textId="77777777" w:rsidR="00A350DA" w:rsidRPr="007E4DA1" w:rsidRDefault="00A350DA" w:rsidP="001A6584">
            <w:pPr>
              <w:pStyle w:val="BalloonText"/>
              <w:keepNext/>
              <w:tabs>
                <w:tab w:val="left" w:pos="142"/>
              </w:tabs>
              <w:ind w:left="0" w:firstLine="0"/>
              <w:rPr>
                <w:rFonts w:ascii="Times New Roman" w:hAnsi="Times New Roman"/>
                <w:sz w:val="22"/>
                <w:szCs w:val="22"/>
                <w:lang w:eastAsia="en-GB"/>
              </w:rPr>
            </w:pPr>
            <w:r w:rsidRPr="007E4DA1">
              <w:rPr>
                <w:rFonts w:ascii="Times New Roman" w:hAnsi="Times New Roman"/>
                <w:sz w:val="22"/>
                <w:szCs w:val="22"/>
                <w:lang w:eastAsia="en-GB"/>
              </w:rPr>
              <w:t>28</w:t>
            </w:r>
          </w:p>
        </w:tc>
        <w:tc>
          <w:tcPr>
            <w:tcW w:w="2566" w:type="dxa"/>
            <w:tcBorders>
              <w:top w:val="single" w:sz="4" w:space="0" w:color="auto"/>
              <w:left w:val="single" w:sz="4" w:space="0" w:color="auto"/>
              <w:bottom w:val="single" w:sz="4" w:space="0" w:color="auto"/>
              <w:right w:val="single" w:sz="4" w:space="0" w:color="auto"/>
            </w:tcBorders>
          </w:tcPr>
          <w:p w14:paraId="63147379" w14:textId="77777777" w:rsidR="00A350DA" w:rsidRPr="007E4DA1" w:rsidRDefault="00A350DA" w:rsidP="001A6584">
            <w:pPr>
              <w:pStyle w:val="BalloonText"/>
              <w:keepNext/>
              <w:tabs>
                <w:tab w:val="left" w:pos="142"/>
              </w:tabs>
              <w:ind w:left="0" w:firstLine="0"/>
              <w:rPr>
                <w:rFonts w:ascii="Times New Roman" w:hAnsi="Times New Roman"/>
                <w:sz w:val="22"/>
                <w:szCs w:val="22"/>
                <w:lang w:eastAsia="en-GB"/>
              </w:rPr>
            </w:pPr>
            <w:r w:rsidRPr="007E4DA1">
              <w:rPr>
                <w:rFonts w:ascii="Times New Roman" w:hAnsi="Times New Roman"/>
                <w:sz w:val="22"/>
                <w:szCs w:val="22"/>
                <w:lang w:eastAsia="en-GB"/>
              </w:rPr>
              <w:t>47 (39, 58)</w:t>
            </w:r>
          </w:p>
        </w:tc>
        <w:tc>
          <w:tcPr>
            <w:tcW w:w="2834" w:type="dxa"/>
            <w:tcBorders>
              <w:top w:val="single" w:sz="4" w:space="0" w:color="auto"/>
              <w:left w:val="single" w:sz="4" w:space="0" w:color="auto"/>
              <w:bottom w:val="single" w:sz="4" w:space="0" w:color="auto"/>
              <w:right w:val="single" w:sz="4" w:space="0" w:color="auto"/>
            </w:tcBorders>
          </w:tcPr>
          <w:p w14:paraId="229ED501" w14:textId="77777777" w:rsidR="00A350DA" w:rsidRPr="007E4DA1" w:rsidRDefault="00A350DA" w:rsidP="001A6584">
            <w:pPr>
              <w:pStyle w:val="BalloonText"/>
              <w:keepNext/>
              <w:tabs>
                <w:tab w:val="left" w:pos="142"/>
              </w:tabs>
              <w:ind w:left="0" w:firstLine="0"/>
              <w:rPr>
                <w:rFonts w:ascii="Times New Roman" w:hAnsi="Times New Roman"/>
                <w:sz w:val="22"/>
                <w:szCs w:val="22"/>
                <w:lang w:eastAsia="en-GB"/>
              </w:rPr>
            </w:pPr>
            <w:r w:rsidRPr="007E4DA1">
              <w:rPr>
                <w:rFonts w:ascii="Times New Roman" w:hAnsi="Times New Roman"/>
                <w:sz w:val="22"/>
                <w:szCs w:val="22"/>
                <w:lang w:eastAsia="en-GB"/>
              </w:rPr>
              <w:t>3,78 (3,18, 4,49)</w:t>
            </w:r>
          </w:p>
        </w:tc>
      </w:tr>
      <w:tr w:rsidR="00A350DA" w:rsidRPr="007E4DA1" w14:paraId="244833C7" w14:textId="77777777" w:rsidTr="00CB1E5B">
        <w:tc>
          <w:tcPr>
            <w:tcW w:w="2430" w:type="dxa"/>
            <w:tcBorders>
              <w:top w:val="single" w:sz="4" w:space="0" w:color="auto"/>
              <w:left w:val="single" w:sz="4" w:space="0" w:color="auto"/>
              <w:bottom w:val="single" w:sz="4" w:space="0" w:color="auto"/>
              <w:right w:val="single" w:sz="4" w:space="0" w:color="auto"/>
            </w:tcBorders>
          </w:tcPr>
          <w:p w14:paraId="39569E7A" w14:textId="77777777" w:rsidR="00A350DA" w:rsidRPr="007E4DA1" w:rsidRDefault="00A350DA" w:rsidP="001A6584">
            <w:pPr>
              <w:pStyle w:val="BalloonText"/>
              <w:keepNext/>
              <w:tabs>
                <w:tab w:val="left" w:pos="142"/>
              </w:tabs>
              <w:ind w:left="0" w:firstLine="0"/>
              <w:jc w:val="center"/>
              <w:rPr>
                <w:rFonts w:ascii="Times New Roman" w:hAnsi="Times New Roman"/>
                <w:sz w:val="22"/>
                <w:szCs w:val="22"/>
                <w:lang w:eastAsia="en-GB"/>
              </w:rPr>
            </w:pPr>
            <w:r w:rsidRPr="007E4DA1">
              <w:rPr>
                <w:rFonts w:ascii="Times New Roman" w:hAnsi="Times New Roman"/>
                <w:sz w:val="22"/>
                <w:szCs w:val="22"/>
                <w:lang w:eastAsia="en-GB"/>
              </w:rPr>
              <w:t>50 mg</w:t>
            </w:r>
          </w:p>
        </w:tc>
        <w:tc>
          <w:tcPr>
            <w:tcW w:w="810" w:type="dxa"/>
            <w:tcBorders>
              <w:top w:val="single" w:sz="4" w:space="0" w:color="auto"/>
              <w:left w:val="single" w:sz="4" w:space="0" w:color="auto"/>
              <w:bottom w:val="single" w:sz="4" w:space="0" w:color="auto"/>
              <w:right w:val="single" w:sz="4" w:space="0" w:color="auto"/>
            </w:tcBorders>
          </w:tcPr>
          <w:p w14:paraId="4B0A8ADB" w14:textId="77777777" w:rsidR="00A350DA" w:rsidRPr="007E4DA1" w:rsidRDefault="00A350DA" w:rsidP="001A6584">
            <w:pPr>
              <w:pStyle w:val="BalloonText"/>
              <w:keepNext/>
              <w:tabs>
                <w:tab w:val="left" w:pos="142"/>
              </w:tabs>
              <w:ind w:left="0" w:firstLine="0"/>
              <w:rPr>
                <w:rFonts w:ascii="Times New Roman" w:hAnsi="Times New Roman"/>
                <w:sz w:val="22"/>
                <w:szCs w:val="22"/>
                <w:lang w:eastAsia="en-GB"/>
              </w:rPr>
            </w:pPr>
            <w:r w:rsidRPr="007E4DA1">
              <w:rPr>
                <w:rFonts w:ascii="Times New Roman" w:hAnsi="Times New Roman"/>
                <w:sz w:val="22"/>
                <w:szCs w:val="22"/>
                <w:lang w:eastAsia="en-GB"/>
              </w:rPr>
              <w:t>34</w:t>
            </w:r>
          </w:p>
        </w:tc>
        <w:tc>
          <w:tcPr>
            <w:tcW w:w="2566" w:type="dxa"/>
            <w:tcBorders>
              <w:top w:val="single" w:sz="4" w:space="0" w:color="auto"/>
              <w:left w:val="single" w:sz="4" w:space="0" w:color="auto"/>
              <w:bottom w:val="single" w:sz="4" w:space="0" w:color="auto"/>
              <w:right w:val="single" w:sz="4" w:space="0" w:color="auto"/>
            </w:tcBorders>
          </w:tcPr>
          <w:p w14:paraId="6E7DD9E8" w14:textId="77777777" w:rsidR="00A350DA" w:rsidRPr="007E4DA1" w:rsidRDefault="00A350DA" w:rsidP="001A6584">
            <w:pPr>
              <w:pStyle w:val="BalloonText"/>
              <w:keepNext/>
              <w:tabs>
                <w:tab w:val="left" w:pos="142"/>
              </w:tabs>
              <w:ind w:left="0" w:firstLine="0"/>
              <w:rPr>
                <w:rFonts w:ascii="Times New Roman" w:hAnsi="Times New Roman"/>
                <w:sz w:val="22"/>
                <w:szCs w:val="22"/>
                <w:lang w:eastAsia="en-GB"/>
              </w:rPr>
            </w:pPr>
            <w:r w:rsidRPr="007E4DA1">
              <w:rPr>
                <w:rFonts w:ascii="Times New Roman" w:hAnsi="Times New Roman"/>
                <w:sz w:val="22"/>
                <w:szCs w:val="22"/>
                <w:lang w:eastAsia="en-GB"/>
              </w:rPr>
              <w:t>108 (88, 134)</w:t>
            </w:r>
          </w:p>
        </w:tc>
        <w:tc>
          <w:tcPr>
            <w:tcW w:w="2834" w:type="dxa"/>
            <w:tcBorders>
              <w:top w:val="single" w:sz="4" w:space="0" w:color="auto"/>
              <w:left w:val="single" w:sz="4" w:space="0" w:color="auto"/>
              <w:bottom w:val="single" w:sz="4" w:space="0" w:color="auto"/>
              <w:right w:val="single" w:sz="4" w:space="0" w:color="auto"/>
            </w:tcBorders>
          </w:tcPr>
          <w:p w14:paraId="6D1D9E20" w14:textId="77777777" w:rsidR="00A350DA" w:rsidRPr="007E4DA1" w:rsidRDefault="00A350DA" w:rsidP="001A6584">
            <w:pPr>
              <w:pStyle w:val="BalloonText"/>
              <w:keepNext/>
              <w:tabs>
                <w:tab w:val="left" w:pos="142"/>
              </w:tabs>
              <w:ind w:left="0" w:firstLine="0"/>
              <w:rPr>
                <w:rFonts w:ascii="Times New Roman" w:hAnsi="Times New Roman"/>
                <w:sz w:val="22"/>
                <w:szCs w:val="22"/>
                <w:lang w:eastAsia="en-GB"/>
              </w:rPr>
            </w:pPr>
            <w:r w:rsidRPr="007E4DA1">
              <w:rPr>
                <w:rFonts w:ascii="Times New Roman" w:hAnsi="Times New Roman"/>
                <w:sz w:val="22"/>
                <w:szCs w:val="22"/>
                <w:lang w:eastAsia="en-GB"/>
              </w:rPr>
              <w:t>8,01 (6,73, 9,53)</w:t>
            </w:r>
          </w:p>
        </w:tc>
      </w:tr>
      <w:tr w:rsidR="00A350DA" w:rsidRPr="007E4DA1" w14:paraId="0D9EA552" w14:textId="77777777" w:rsidTr="00CB1E5B">
        <w:tc>
          <w:tcPr>
            <w:tcW w:w="2430" w:type="dxa"/>
            <w:tcBorders>
              <w:top w:val="single" w:sz="4" w:space="0" w:color="auto"/>
              <w:left w:val="single" w:sz="4" w:space="0" w:color="auto"/>
              <w:bottom w:val="single" w:sz="4" w:space="0" w:color="auto"/>
              <w:right w:val="single" w:sz="4" w:space="0" w:color="auto"/>
            </w:tcBorders>
          </w:tcPr>
          <w:p w14:paraId="00F72067" w14:textId="77777777" w:rsidR="00A350DA" w:rsidRPr="007E4DA1" w:rsidRDefault="00A350DA" w:rsidP="001A6584">
            <w:pPr>
              <w:pStyle w:val="BalloonText"/>
              <w:keepNext/>
              <w:tabs>
                <w:tab w:val="left" w:pos="142"/>
              </w:tabs>
              <w:ind w:left="0" w:firstLine="0"/>
              <w:jc w:val="center"/>
              <w:rPr>
                <w:rFonts w:ascii="Times New Roman" w:hAnsi="Times New Roman"/>
                <w:sz w:val="22"/>
                <w:szCs w:val="22"/>
                <w:lang w:eastAsia="en-GB"/>
              </w:rPr>
            </w:pPr>
            <w:r w:rsidRPr="007E4DA1">
              <w:rPr>
                <w:rFonts w:ascii="Times New Roman" w:hAnsi="Times New Roman"/>
                <w:sz w:val="22"/>
                <w:szCs w:val="22"/>
                <w:lang w:eastAsia="en-GB"/>
              </w:rPr>
              <w:t>75 mg</w:t>
            </w:r>
          </w:p>
        </w:tc>
        <w:tc>
          <w:tcPr>
            <w:tcW w:w="810" w:type="dxa"/>
            <w:tcBorders>
              <w:top w:val="single" w:sz="4" w:space="0" w:color="auto"/>
              <w:left w:val="single" w:sz="4" w:space="0" w:color="auto"/>
              <w:bottom w:val="single" w:sz="4" w:space="0" w:color="auto"/>
              <w:right w:val="single" w:sz="4" w:space="0" w:color="auto"/>
            </w:tcBorders>
          </w:tcPr>
          <w:p w14:paraId="23A2D15B" w14:textId="77777777" w:rsidR="00A350DA" w:rsidRPr="007E4DA1" w:rsidRDefault="00A350DA" w:rsidP="001A6584">
            <w:pPr>
              <w:pStyle w:val="BalloonText"/>
              <w:keepNext/>
              <w:tabs>
                <w:tab w:val="left" w:pos="142"/>
              </w:tabs>
              <w:ind w:left="0" w:firstLine="0"/>
              <w:rPr>
                <w:rFonts w:ascii="Times New Roman" w:hAnsi="Times New Roman"/>
                <w:sz w:val="22"/>
                <w:szCs w:val="22"/>
                <w:lang w:eastAsia="en-GB"/>
              </w:rPr>
            </w:pPr>
            <w:r w:rsidRPr="007E4DA1">
              <w:rPr>
                <w:rFonts w:ascii="Times New Roman" w:hAnsi="Times New Roman"/>
                <w:sz w:val="22"/>
                <w:szCs w:val="22"/>
                <w:lang w:eastAsia="en-GB"/>
              </w:rPr>
              <w:t>26</w:t>
            </w:r>
          </w:p>
        </w:tc>
        <w:tc>
          <w:tcPr>
            <w:tcW w:w="2566" w:type="dxa"/>
            <w:tcBorders>
              <w:top w:val="single" w:sz="4" w:space="0" w:color="auto"/>
              <w:left w:val="single" w:sz="4" w:space="0" w:color="auto"/>
              <w:bottom w:val="single" w:sz="4" w:space="0" w:color="auto"/>
              <w:right w:val="single" w:sz="4" w:space="0" w:color="auto"/>
            </w:tcBorders>
          </w:tcPr>
          <w:p w14:paraId="384663E8" w14:textId="77777777" w:rsidR="00A350DA" w:rsidRPr="007E4DA1" w:rsidRDefault="00A350DA" w:rsidP="001A6584">
            <w:pPr>
              <w:pStyle w:val="BalloonText"/>
              <w:keepNext/>
              <w:tabs>
                <w:tab w:val="left" w:pos="142"/>
              </w:tabs>
              <w:ind w:left="0" w:firstLine="0"/>
              <w:rPr>
                <w:rFonts w:ascii="Times New Roman" w:hAnsi="Times New Roman"/>
                <w:sz w:val="22"/>
                <w:szCs w:val="22"/>
                <w:lang w:eastAsia="en-GB"/>
              </w:rPr>
            </w:pPr>
            <w:r w:rsidRPr="007E4DA1">
              <w:rPr>
                <w:rFonts w:ascii="Times New Roman" w:hAnsi="Times New Roman"/>
                <w:sz w:val="22"/>
                <w:szCs w:val="22"/>
                <w:lang w:eastAsia="en-GB"/>
              </w:rPr>
              <w:t>168 (143, 198)</w:t>
            </w:r>
          </w:p>
        </w:tc>
        <w:tc>
          <w:tcPr>
            <w:tcW w:w="2834" w:type="dxa"/>
            <w:tcBorders>
              <w:top w:val="single" w:sz="4" w:space="0" w:color="auto"/>
              <w:left w:val="single" w:sz="4" w:space="0" w:color="auto"/>
              <w:bottom w:val="single" w:sz="4" w:space="0" w:color="auto"/>
              <w:right w:val="single" w:sz="4" w:space="0" w:color="auto"/>
            </w:tcBorders>
          </w:tcPr>
          <w:p w14:paraId="7F738412" w14:textId="77777777" w:rsidR="00A350DA" w:rsidRPr="007E4DA1" w:rsidRDefault="00A350DA" w:rsidP="001A6584">
            <w:pPr>
              <w:pStyle w:val="BalloonText"/>
              <w:keepNext/>
              <w:tabs>
                <w:tab w:val="left" w:pos="142"/>
              </w:tabs>
              <w:ind w:left="0" w:firstLine="0"/>
              <w:rPr>
                <w:rFonts w:ascii="Times New Roman" w:hAnsi="Times New Roman"/>
                <w:sz w:val="22"/>
                <w:szCs w:val="22"/>
                <w:lang w:eastAsia="en-GB"/>
              </w:rPr>
            </w:pPr>
            <w:r w:rsidRPr="007E4DA1">
              <w:rPr>
                <w:rFonts w:ascii="Times New Roman" w:hAnsi="Times New Roman"/>
                <w:sz w:val="22"/>
                <w:szCs w:val="22"/>
                <w:lang w:eastAsia="en-GB"/>
              </w:rPr>
              <w:t>12,7 (11,0, 14,5)</w:t>
            </w:r>
          </w:p>
        </w:tc>
      </w:tr>
      <w:tr w:rsidR="001C1AF1" w:rsidRPr="007E4DA1" w14:paraId="7EC35F7E" w14:textId="77777777" w:rsidTr="003844DA">
        <w:tc>
          <w:tcPr>
            <w:tcW w:w="8640" w:type="dxa"/>
            <w:gridSpan w:val="4"/>
            <w:tcBorders>
              <w:top w:val="single" w:sz="4" w:space="0" w:color="auto"/>
              <w:left w:val="single" w:sz="4" w:space="0" w:color="auto"/>
              <w:bottom w:val="single" w:sz="4" w:space="0" w:color="auto"/>
              <w:right w:val="single" w:sz="4" w:space="0" w:color="auto"/>
            </w:tcBorders>
          </w:tcPr>
          <w:p w14:paraId="56510F43" w14:textId="32BE2C34" w:rsidR="001C1AF1" w:rsidRPr="00C00A76" w:rsidRDefault="001C1AF1" w:rsidP="00C00A76">
            <w:pPr>
              <w:tabs>
                <w:tab w:val="left" w:pos="626"/>
              </w:tabs>
              <w:ind w:left="0" w:firstLine="0"/>
              <w:rPr>
                <w:sz w:val="20"/>
                <w:szCs w:val="24"/>
                <w:lang w:eastAsia="en-GB"/>
              </w:rPr>
            </w:pPr>
            <w:r w:rsidRPr="00C00A76">
              <w:rPr>
                <w:sz w:val="20"/>
                <w:szCs w:val="24"/>
                <w:vertAlign w:val="superscript"/>
              </w:rPr>
              <w:t>a</w:t>
            </w:r>
            <w:r w:rsidRPr="00C00A76">
              <w:rPr>
                <w:sz w:val="20"/>
                <w:szCs w:val="24"/>
              </w:rPr>
              <w:tab/>
              <w:t>AUC</w:t>
            </w:r>
            <w:r w:rsidRPr="00C00A76">
              <w:rPr>
                <w:sz w:val="20"/>
                <w:szCs w:val="24"/>
                <w:vertAlign w:val="subscript"/>
              </w:rPr>
              <w:t>(0-</w:t>
            </w:r>
            <w:r w:rsidRPr="00C00A76">
              <w:rPr>
                <w:sz w:val="20"/>
                <w:szCs w:val="24"/>
                <w:vertAlign w:val="subscript"/>
              </w:rPr>
              <w:sym w:font="Symbol" w:char="F074"/>
            </w:r>
            <w:r w:rsidRPr="00C00A76">
              <w:rPr>
                <w:sz w:val="20"/>
                <w:szCs w:val="24"/>
                <w:vertAlign w:val="subscript"/>
              </w:rPr>
              <w:t>)</w:t>
            </w:r>
            <w:r w:rsidRPr="00C00A76">
              <w:rPr>
                <w:sz w:val="20"/>
                <w:szCs w:val="24"/>
              </w:rPr>
              <w:t xml:space="preserve"> i C</w:t>
            </w:r>
            <w:r w:rsidRPr="00C00A76">
              <w:rPr>
                <w:sz w:val="20"/>
                <w:szCs w:val="24"/>
                <w:vertAlign w:val="subscript"/>
              </w:rPr>
              <w:t>max</w:t>
            </w:r>
            <w:r w:rsidRPr="00C00A76">
              <w:rPr>
                <w:sz w:val="20"/>
                <w:szCs w:val="24"/>
              </w:rPr>
              <w:t xml:space="preserve"> w oparciu o populacyjną analizę farmakokinetyki </w:t>
            </w:r>
            <w:r w:rsidRPr="00C00A76">
              <w:rPr>
                <w:i/>
                <w:sz w:val="20"/>
                <w:szCs w:val="24"/>
              </w:rPr>
              <w:t>post-hoc</w:t>
            </w:r>
            <w:r w:rsidRPr="00C00A76">
              <w:rPr>
                <w:sz w:val="20"/>
                <w:szCs w:val="24"/>
              </w:rPr>
              <w:t>.</w:t>
            </w:r>
          </w:p>
        </w:tc>
      </w:tr>
    </w:tbl>
    <w:p w14:paraId="1707E222" w14:textId="77777777" w:rsidR="0097556A" w:rsidRPr="007E4DA1" w:rsidRDefault="0097556A" w:rsidP="001A6584">
      <w:pPr>
        <w:tabs>
          <w:tab w:val="left" w:pos="142"/>
        </w:tabs>
        <w:ind w:left="0" w:firstLine="0"/>
        <w:rPr>
          <w:szCs w:val="22"/>
        </w:rPr>
      </w:pPr>
    </w:p>
    <w:p w14:paraId="247AF976" w14:textId="66F6C2B3" w:rsidR="00A350DA" w:rsidRPr="001742B3" w:rsidRDefault="00A350DA" w:rsidP="001A6584">
      <w:pPr>
        <w:tabs>
          <w:tab w:val="left" w:pos="142"/>
          <w:tab w:val="right" w:pos="8784"/>
        </w:tabs>
        <w:ind w:left="0" w:firstLine="0"/>
        <w:rPr>
          <w:bCs/>
          <w:szCs w:val="22"/>
        </w:rPr>
      </w:pPr>
      <w:r w:rsidRPr="007E4DA1">
        <w:rPr>
          <w:szCs w:val="22"/>
        </w:rPr>
        <w:t>Dane na temat stężenia eltrombopagu w osoczu w czasie zgromadzone w grupie 590 pacjentów zakażonych wirusem WZW C zakwalifikowanych do badań fazy III TPL103922/ENABLE 1 oraz TPL108390/ENABLE 2 połączono z danymi dotyczącymi pacjentów zakażonych wirusem WZW C zakwalifikowanych do badania fazy II TPL102357 oraz u zdrowych osób dorosłych w populacyjnej analizie PK. Szacunkowe wartości C</w:t>
      </w:r>
      <w:r w:rsidRPr="007E4DA1">
        <w:rPr>
          <w:szCs w:val="22"/>
          <w:vertAlign w:val="subscript"/>
        </w:rPr>
        <w:t>max</w:t>
      </w:r>
      <w:r w:rsidRPr="007E4DA1">
        <w:rPr>
          <w:szCs w:val="22"/>
        </w:rPr>
        <w:t xml:space="preserve"> i AUC</w:t>
      </w:r>
      <w:r w:rsidRPr="007E4DA1">
        <w:rPr>
          <w:szCs w:val="22"/>
          <w:vertAlign w:val="subscript"/>
        </w:rPr>
        <w:t>(0-</w:t>
      </w:r>
      <w:r w:rsidRPr="007E4DA1">
        <w:rPr>
          <w:szCs w:val="22"/>
          <w:vertAlign w:val="subscript"/>
        </w:rPr>
        <w:sym w:font="Symbol" w:char="F074"/>
      </w:r>
      <w:r w:rsidRPr="007E4DA1">
        <w:rPr>
          <w:szCs w:val="22"/>
          <w:vertAlign w:val="subscript"/>
        </w:rPr>
        <w:t>)</w:t>
      </w:r>
      <w:r w:rsidRPr="007E4DA1">
        <w:rPr>
          <w:szCs w:val="22"/>
        </w:rPr>
        <w:t xml:space="preserve"> dla eltrombopagu w osoczu u </w:t>
      </w:r>
      <w:r w:rsidR="001C1AF1">
        <w:rPr>
          <w:szCs w:val="22"/>
        </w:rPr>
        <w:t xml:space="preserve">dorosłych </w:t>
      </w:r>
      <w:r w:rsidRPr="007E4DA1">
        <w:rPr>
          <w:szCs w:val="22"/>
        </w:rPr>
        <w:t>pacjentów zakażonych wirusem WZW C zakwalifikowanych do badań fazy </w:t>
      </w:r>
      <w:r w:rsidR="00DF3447" w:rsidRPr="007E4DA1">
        <w:rPr>
          <w:szCs w:val="22"/>
        </w:rPr>
        <w:t>III</w:t>
      </w:r>
      <w:r w:rsidRPr="007E4DA1">
        <w:rPr>
          <w:szCs w:val="22"/>
        </w:rPr>
        <w:t xml:space="preserve"> przedstawiono w tabeli </w:t>
      </w:r>
      <w:r w:rsidR="001C1AF1">
        <w:rPr>
          <w:szCs w:val="22"/>
        </w:rPr>
        <w:t>13</w:t>
      </w:r>
      <w:r w:rsidR="007D03C8" w:rsidRPr="007E4DA1">
        <w:rPr>
          <w:szCs w:val="22"/>
        </w:rPr>
        <w:t xml:space="preserve"> </w:t>
      </w:r>
      <w:r w:rsidRPr="007E4DA1">
        <w:rPr>
          <w:szCs w:val="22"/>
        </w:rPr>
        <w:t>dla każdej z ocenianych dawek.</w:t>
      </w:r>
    </w:p>
    <w:p w14:paraId="1CC0E5CE" w14:textId="77777777" w:rsidR="00A350DA" w:rsidRPr="007E4DA1" w:rsidRDefault="00A350DA" w:rsidP="001A6584">
      <w:pPr>
        <w:tabs>
          <w:tab w:val="left" w:pos="142"/>
        </w:tabs>
        <w:ind w:left="0" w:firstLine="0"/>
        <w:rPr>
          <w:szCs w:val="22"/>
        </w:rPr>
      </w:pPr>
    </w:p>
    <w:p w14:paraId="72ABF17A" w14:textId="23983867" w:rsidR="00041A08" w:rsidRPr="00041A08" w:rsidRDefault="00A350DA" w:rsidP="001A6584">
      <w:pPr>
        <w:keepNext/>
        <w:ind w:left="1134" w:hanging="1134"/>
      </w:pPr>
      <w:r w:rsidRPr="007E4DA1">
        <w:rPr>
          <w:b/>
        </w:rPr>
        <w:t>Tabela </w:t>
      </w:r>
      <w:r w:rsidR="001C1AF1">
        <w:rPr>
          <w:b/>
        </w:rPr>
        <w:t>13</w:t>
      </w:r>
      <w:r w:rsidR="0097556A" w:rsidRPr="007E4DA1">
        <w:rPr>
          <w:b/>
          <w:color w:val="000000"/>
        </w:rPr>
        <w:tab/>
      </w:r>
      <w:r w:rsidRPr="007E4DA1">
        <w:rPr>
          <w:b/>
        </w:rPr>
        <w:t>Średnia geometryczna (95% CI) parametrów farmakokinetycznych eltrombopagu w osoczu w stanie stacjonarnym u pacjentów z przewlekłym zakażeniem wirusem WZW C</w:t>
      </w:r>
    </w:p>
    <w:p w14:paraId="4DF76DDD" w14:textId="1E926EA8" w:rsidR="00A350DA" w:rsidRPr="007E4DA1" w:rsidRDefault="00A350DA" w:rsidP="001A6584">
      <w:pPr>
        <w:pStyle w:val="tabletext"/>
        <w:keepNext/>
        <w:tabs>
          <w:tab w:val="left" w:pos="142"/>
        </w:tabs>
        <w:spacing w:before="0" w:after="0"/>
        <w:rPr>
          <w:rFonts w:ascii="Times New Roman" w:hAnsi="Times New Roman" w:cs="Times New Roman"/>
          <w:sz w:val="22"/>
          <w:szCs w:val="22"/>
          <w:lang w:val="pl-PL"/>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340"/>
        <w:gridCol w:w="2340"/>
      </w:tblGrid>
      <w:tr w:rsidR="00A350DA" w:rsidRPr="007E4DA1" w14:paraId="7460AA01" w14:textId="77777777" w:rsidTr="00553AB7">
        <w:trPr>
          <w:cantSplit/>
        </w:trPr>
        <w:tc>
          <w:tcPr>
            <w:tcW w:w="2106" w:type="dxa"/>
          </w:tcPr>
          <w:p w14:paraId="6420DBBB" w14:textId="77777777" w:rsidR="00041A08" w:rsidRPr="00041A08" w:rsidRDefault="00A350DA" w:rsidP="001A6584">
            <w:pPr>
              <w:pStyle w:val="tabletextNS"/>
              <w:keepNext/>
              <w:tabs>
                <w:tab w:val="left" w:pos="142"/>
              </w:tabs>
              <w:jc w:val="center"/>
              <w:rPr>
                <w:rFonts w:ascii="Times New Roman" w:hAnsi="Times New Roman"/>
                <w:sz w:val="22"/>
                <w:szCs w:val="22"/>
                <w:lang w:val="pl-PL"/>
              </w:rPr>
            </w:pPr>
            <w:r w:rsidRPr="007E4DA1">
              <w:rPr>
                <w:rFonts w:ascii="Times New Roman" w:hAnsi="Times New Roman"/>
                <w:b/>
                <w:sz w:val="22"/>
                <w:szCs w:val="20"/>
                <w:lang w:val="pl-PL"/>
              </w:rPr>
              <w:t>Dawka eltrombopagu</w:t>
            </w:r>
          </w:p>
          <w:p w14:paraId="06AAE3C3" w14:textId="495BDC57" w:rsidR="00A350DA" w:rsidRPr="007E4DA1" w:rsidRDefault="00A350DA" w:rsidP="001A6584">
            <w:pPr>
              <w:pStyle w:val="tabletextNS"/>
              <w:keepNext/>
              <w:tabs>
                <w:tab w:val="left" w:pos="142"/>
              </w:tabs>
              <w:jc w:val="center"/>
              <w:rPr>
                <w:rFonts w:ascii="Times New Roman" w:hAnsi="Times New Roman"/>
                <w:b/>
                <w:sz w:val="22"/>
                <w:szCs w:val="22"/>
                <w:lang w:val="pl-PL"/>
              </w:rPr>
            </w:pPr>
            <w:r w:rsidRPr="007E4DA1">
              <w:rPr>
                <w:rFonts w:ascii="Times New Roman" w:hAnsi="Times New Roman"/>
                <w:b/>
                <w:sz w:val="22"/>
                <w:szCs w:val="20"/>
                <w:lang w:val="pl-PL"/>
              </w:rPr>
              <w:t>(raz na dobę)</w:t>
            </w:r>
          </w:p>
        </w:tc>
        <w:tc>
          <w:tcPr>
            <w:tcW w:w="1224" w:type="dxa"/>
          </w:tcPr>
          <w:p w14:paraId="64F0626A" w14:textId="77777777" w:rsidR="00A350DA" w:rsidRPr="007E4DA1" w:rsidRDefault="00A350DA" w:rsidP="001A6584">
            <w:pPr>
              <w:pStyle w:val="tabletextNS"/>
              <w:keepNext/>
              <w:tabs>
                <w:tab w:val="left" w:pos="142"/>
              </w:tabs>
              <w:jc w:val="center"/>
              <w:rPr>
                <w:rFonts w:ascii="Times New Roman" w:hAnsi="Times New Roman"/>
                <w:b/>
                <w:sz w:val="22"/>
                <w:szCs w:val="22"/>
                <w:lang w:val="pl-PL"/>
              </w:rPr>
            </w:pPr>
            <w:r w:rsidRPr="007E4DA1">
              <w:rPr>
                <w:rFonts w:ascii="Times New Roman" w:hAnsi="Times New Roman"/>
                <w:b/>
                <w:sz w:val="22"/>
                <w:szCs w:val="20"/>
                <w:lang w:val="pl-PL"/>
              </w:rPr>
              <w:t>N</w:t>
            </w:r>
          </w:p>
        </w:tc>
        <w:tc>
          <w:tcPr>
            <w:tcW w:w="2340" w:type="dxa"/>
          </w:tcPr>
          <w:p w14:paraId="51E86D73" w14:textId="77777777" w:rsidR="00041A08" w:rsidRPr="00041A08" w:rsidRDefault="00A350DA" w:rsidP="001A6584">
            <w:pPr>
              <w:pStyle w:val="tabletextNS"/>
              <w:keepNext/>
              <w:tabs>
                <w:tab w:val="left" w:pos="142"/>
              </w:tabs>
              <w:jc w:val="center"/>
              <w:rPr>
                <w:rFonts w:ascii="Times New Roman" w:hAnsi="Times New Roman"/>
                <w:sz w:val="22"/>
                <w:szCs w:val="22"/>
                <w:lang w:val="pl-PL"/>
              </w:rPr>
            </w:pPr>
            <w:r w:rsidRPr="007E4DA1">
              <w:rPr>
                <w:rFonts w:ascii="Times New Roman" w:hAnsi="Times New Roman"/>
                <w:b/>
                <w:sz w:val="22"/>
                <w:szCs w:val="20"/>
                <w:lang w:val="pl-PL"/>
              </w:rPr>
              <w:t>AUC</w:t>
            </w:r>
            <w:r w:rsidRPr="007E4DA1">
              <w:rPr>
                <w:rFonts w:ascii="Times New Roman" w:hAnsi="Times New Roman"/>
                <w:b/>
                <w:sz w:val="22"/>
                <w:szCs w:val="20"/>
                <w:vertAlign w:val="subscript"/>
                <w:lang w:val="pl-PL"/>
              </w:rPr>
              <w:t>(0-</w:t>
            </w:r>
            <w:r w:rsidRPr="007E4DA1">
              <w:rPr>
                <w:rFonts w:ascii="Times New Roman" w:hAnsi="Times New Roman"/>
                <w:b/>
                <w:sz w:val="22"/>
                <w:szCs w:val="22"/>
                <w:vertAlign w:val="subscript"/>
              </w:rPr>
              <w:sym w:font="Symbol" w:char="F074"/>
            </w:r>
            <w:r w:rsidRPr="007E4DA1">
              <w:rPr>
                <w:rFonts w:ascii="Times New Roman" w:hAnsi="Times New Roman"/>
                <w:b/>
                <w:sz w:val="22"/>
                <w:szCs w:val="20"/>
                <w:vertAlign w:val="subscript"/>
                <w:lang w:val="pl-PL"/>
              </w:rPr>
              <w:t>)</w:t>
            </w:r>
          </w:p>
          <w:p w14:paraId="13075DC9" w14:textId="5B9A84E0" w:rsidR="00A350DA" w:rsidRPr="007E4DA1" w:rsidRDefault="00A350DA" w:rsidP="001A6584">
            <w:pPr>
              <w:pStyle w:val="tabletextNS"/>
              <w:keepNext/>
              <w:tabs>
                <w:tab w:val="left" w:pos="142"/>
              </w:tabs>
              <w:jc w:val="center"/>
              <w:rPr>
                <w:rFonts w:ascii="Times New Roman" w:hAnsi="Times New Roman"/>
                <w:b/>
                <w:sz w:val="22"/>
                <w:szCs w:val="22"/>
                <w:lang w:val="pl-PL"/>
              </w:rPr>
            </w:pPr>
            <w:r w:rsidRPr="007E4DA1">
              <w:rPr>
                <w:rFonts w:ascii="Times New Roman" w:hAnsi="Times New Roman"/>
                <w:b/>
                <w:sz w:val="22"/>
                <w:szCs w:val="20"/>
                <w:lang w:val="pl-PL"/>
              </w:rPr>
              <w:t>(</w:t>
            </w:r>
            <w:r w:rsidRPr="007E4DA1">
              <w:rPr>
                <w:rFonts w:ascii="Times New Roman" w:hAnsi="Times New Roman"/>
                <w:b/>
                <w:sz w:val="22"/>
                <w:szCs w:val="22"/>
              </w:rPr>
              <w:sym w:font="Symbol" w:char="F06D"/>
            </w:r>
            <w:r w:rsidRPr="007E4DA1">
              <w:rPr>
                <w:rFonts w:ascii="Times New Roman" w:hAnsi="Times New Roman"/>
                <w:b/>
                <w:sz w:val="22"/>
                <w:szCs w:val="20"/>
                <w:lang w:val="pl-PL"/>
              </w:rPr>
              <w:t>g.h/ml)</w:t>
            </w:r>
          </w:p>
        </w:tc>
        <w:tc>
          <w:tcPr>
            <w:tcW w:w="2340" w:type="dxa"/>
          </w:tcPr>
          <w:p w14:paraId="28DE8149" w14:textId="77777777" w:rsidR="00041A08" w:rsidRPr="00041A08" w:rsidRDefault="00A350DA" w:rsidP="001A6584">
            <w:pPr>
              <w:pStyle w:val="tabletextNS"/>
              <w:keepNext/>
              <w:tabs>
                <w:tab w:val="left" w:pos="142"/>
              </w:tabs>
              <w:jc w:val="center"/>
              <w:rPr>
                <w:rFonts w:ascii="Times New Roman" w:hAnsi="Times New Roman"/>
                <w:sz w:val="22"/>
                <w:szCs w:val="22"/>
                <w:lang w:val="pl-PL"/>
              </w:rPr>
            </w:pPr>
            <w:r w:rsidRPr="007E4DA1">
              <w:rPr>
                <w:rFonts w:ascii="Times New Roman" w:hAnsi="Times New Roman"/>
                <w:b/>
                <w:sz w:val="22"/>
                <w:szCs w:val="20"/>
                <w:lang w:val="pl-PL"/>
              </w:rPr>
              <w:t>C</w:t>
            </w:r>
            <w:r w:rsidRPr="007E4DA1">
              <w:rPr>
                <w:rFonts w:ascii="Times New Roman" w:hAnsi="Times New Roman"/>
                <w:b/>
                <w:sz w:val="22"/>
                <w:szCs w:val="20"/>
                <w:vertAlign w:val="subscript"/>
                <w:lang w:val="pl-PL"/>
              </w:rPr>
              <w:t>max</w:t>
            </w:r>
          </w:p>
          <w:p w14:paraId="1BA3C246" w14:textId="5CBBBA14" w:rsidR="00A350DA" w:rsidRPr="007E4DA1" w:rsidRDefault="00A350DA" w:rsidP="001A6584">
            <w:pPr>
              <w:pStyle w:val="tabletextNS"/>
              <w:keepNext/>
              <w:tabs>
                <w:tab w:val="left" w:pos="142"/>
              </w:tabs>
              <w:jc w:val="center"/>
              <w:rPr>
                <w:rFonts w:ascii="Times New Roman" w:hAnsi="Times New Roman"/>
                <w:b/>
                <w:sz w:val="22"/>
                <w:szCs w:val="22"/>
                <w:lang w:val="pl-PL"/>
              </w:rPr>
            </w:pPr>
            <w:r w:rsidRPr="007E4DA1">
              <w:rPr>
                <w:rFonts w:ascii="Times New Roman" w:hAnsi="Times New Roman"/>
                <w:b/>
                <w:sz w:val="22"/>
                <w:szCs w:val="20"/>
                <w:lang w:val="pl-PL"/>
              </w:rPr>
              <w:t>(</w:t>
            </w:r>
            <w:r w:rsidRPr="007E4DA1">
              <w:rPr>
                <w:rFonts w:ascii="Times New Roman" w:hAnsi="Times New Roman"/>
                <w:b/>
                <w:sz w:val="22"/>
                <w:szCs w:val="22"/>
              </w:rPr>
              <w:sym w:font="Symbol" w:char="F06D"/>
            </w:r>
            <w:r w:rsidRPr="007E4DA1">
              <w:rPr>
                <w:rFonts w:ascii="Times New Roman" w:hAnsi="Times New Roman"/>
                <w:b/>
                <w:sz w:val="22"/>
                <w:szCs w:val="20"/>
                <w:lang w:val="pl-PL"/>
              </w:rPr>
              <w:t>g/ml)</w:t>
            </w:r>
          </w:p>
        </w:tc>
      </w:tr>
      <w:tr w:rsidR="00A350DA" w:rsidRPr="007E4DA1" w14:paraId="6944D593" w14:textId="77777777" w:rsidTr="00553AB7">
        <w:trPr>
          <w:cantSplit/>
        </w:trPr>
        <w:tc>
          <w:tcPr>
            <w:tcW w:w="2106" w:type="dxa"/>
          </w:tcPr>
          <w:p w14:paraId="3B66D981" w14:textId="77777777" w:rsidR="00A350DA" w:rsidRPr="007E4DA1" w:rsidRDefault="00A350DA" w:rsidP="001A6584">
            <w:pPr>
              <w:pStyle w:val="tabletextNS"/>
              <w:keepNext/>
              <w:tabs>
                <w:tab w:val="left" w:pos="142"/>
              </w:tabs>
              <w:jc w:val="center"/>
              <w:rPr>
                <w:rFonts w:ascii="Times New Roman" w:hAnsi="Times New Roman"/>
                <w:sz w:val="22"/>
                <w:szCs w:val="22"/>
                <w:lang w:val="pl-PL"/>
              </w:rPr>
            </w:pPr>
            <w:r w:rsidRPr="007E4DA1">
              <w:rPr>
                <w:rFonts w:ascii="Times New Roman" w:hAnsi="Times New Roman"/>
                <w:sz w:val="22"/>
                <w:szCs w:val="20"/>
                <w:lang w:val="pl-PL"/>
              </w:rPr>
              <w:t>25 mg</w:t>
            </w:r>
          </w:p>
        </w:tc>
        <w:tc>
          <w:tcPr>
            <w:tcW w:w="1224" w:type="dxa"/>
          </w:tcPr>
          <w:p w14:paraId="73B30E7D" w14:textId="77777777" w:rsidR="00A350DA" w:rsidRPr="007E4DA1" w:rsidRDefault="00A350DA" w:rsidP="001A6584">
            <w:pPr>
              <w:pStyle w:val="tabletextNS"/>
              <w:keepNext/>
              <w:tabs>
                <w:tab w:val="left" w:pos="142"/>
              </w:tabs>
              <w:jc w:val="center"/>
              <w:rPr>
                <w:rFonts w:ascii="Times New Roman" w:hAnsi="Times New Roman"/>
                <w:sz w:val="22"/>
                <w:szCs w:val="22"/>
                <w:lang w:val="pl-PL"/>
              </w:rPr>
            </w:pPr>
            <w:r w:rsidRPr="007E4DA1">
              <w:rPr>
                <w:rFonts w:ascii="Times New Roman" w:hAnsi="Times New Roman"/>
                <w:sz w:val="22"/>
                <w:szCs w:val="20"/>
                <w:lang w:val="pl-PL"/>
              </w:rPr>
              <w:t>330</w:t>
            </w:r>
          </w:p>
        </w:tc>
        <w:tc>
          <w:tcPr>
            <w:tcW w:w="2340" w:type="dxa"/>
          </w:tcPr>
          <w:p w14:paraId="373FCF71" w14:textId="77777777" w:rsidR="00A350DA" w:rsidRPr="007E4DA1" w:rsidRDefault="00A350DA" w:rsidP="001A6584">
            <w:pPr>
              <w:pStyle w:val="tabletextNS"/>
              <w:keepNext/>
              <w:tabs>
                <w:tab w:val="left" w:pos="142"/>
              </w:tabs>
              <w:jc w:val="center"/>
              <w:rPr>
                <w:rFonts w:ascii="Times New Roman" w:hAnsi="Times New Roman"/>
                <w:sz w:val="22"/>
                <w:szCs w:val="22"/>
                <w:lang w:val="pl-PL"/>
              </w:rPr>
            </w:pPr>
            <w:r w:rsidRPr="007E4DA1">
              <w:rPr>
                <w:rFonts w:ascii="Times New Roman" w:hAnsi="Times New Roman"/>
                <w:sz w:val="22"/>
                <w:szCs w:val="20"/>
                <w:lang w:val="pl-PL"/>
              </w:rPr>
              <w:t>118</w:t>
            </w:r>
          </w:p>
          <w:p w14:paraId="2605E99C" w14:textId="77777777" w:rsidR="00A350DA" w:rsidRPr="007E4DA1" w:rsidRDefault="00A350DA" w:rsidP="001A6584">
            <w:pPr>
              <w:pStyle w:val="tabletextNS"/>
              <w:keepNext/>
              <w:tabs>
                <w:tab w:val="left" w:pos="142"/>
              </w:tabs>
              <w:jc w:val="center"/>
              <w:rPr>
                <w:rFonts w:ascii="Times New Roman" w:hAnsi="Times New Roman"/>
                <w:sz w:val="22"/>
                <w:szCs w:val="22"/>
                <w:lang w:val="pl-PL"/>
              </w:rPr>
            </w:pPr>
            <w:r w:rsidRPr="007E4DA1">
              <w:rPr>
                <w:rFonts w:ascii="Times New Roman" w:hAnsi="Times New Roman"/>
                <w:sz w:val="22"/>
                <w:szCs w:val="20"/>
                <w:lang w:val="pl-PL"/>
              </w:rPr>
              <w:t>(109, 128)</w:t>
            </w:r>
          </w:p>
        </w:tc>
        <w:tc>
          <w:tcPr>
            <w:tcW w:w="2340" w:type="dxa"/>
          </w:tcPr>
          <w:p w14:paraId="4BDFCB0E" w14:textId="77777777" w:rsidR="00A350DA" w:rsidRPr="007E4DA1" w:rsidRDefault="00A350DA" w:rsidP="001A6584">
            <w:pPr>
              <w:pStyle w:val="tabletextNS"/>
              <w:keepNext/>
              <w:tabs>
                <w:tab w:val="left" w:pos="142"/>
              </w:tabs>
              <w:jc w:val="center"/>
              <w:rPr>
                <w:rFonts w:ascii="Times New Roman" w:hAnsi="Times New Roman"/>
                <w:sz w:val="22"/>
                <w:szCs w:val="22"/>
                <w:lang w:val="pl-PL"/>
              </w:rPr>
            </w:pPr>
            <w:r w:rsidRPr="007E4DA1">
              <w:rPr>
                <w:rFonts w:ascii="Times New Roman" w:hAnsi="Times New Roman"/>
                <w:sz w:val="22"/>
                <w:szCs w:val="20"/>
                <w:lang w:val="pl-PL"/>
              </w:rPr>
              <w:t>6,40</w:t>
            </w:r>
          </w:p>
          <w:p w14:paraId="637DB991" w14:textId="77777777" w:rsidR="00A350DA" w:rsidRPr="007E4DA1" w:rsidRDefault="00A350DA" w:rsidP="001A6584">
            <w:pPr>
              <w:pStyle w:val="tabletextNS"/>
              <w:keepNext/>
              <w:tabs>
                <w:tab w:val="left" w:pos="142"/>
              </w:tabs>
              <w:jc w:val="center"/>
              <w:rPr>
                <w:rFonts w:ascii="Times New Roman" w:hAnsi="Times New Roman"/>
                <w:sz w:val="22"/>
                <w:szCs w:val="22"/>
                <w:lang w:val="pl-PL"/>
              </w:rPr>
            </w:pPr>
            <w:r w:rsidRPr="007E4DA1">
              <w:rPr>
                <w:rFonts w:ascii="Times New Roman" w:hAnsi="Times New Roman"/>
                <w:sz w:val="22"/>
                <w:szCs w:val="20"/>
                <w:lang w:val="pl-PL"/>
              </w:rPr>
              <w:t>(5,97, 6,86)</w:t>
            </w:r>
          </w:p>
        </w:tc>
      </w:tr>
      <w:tr w:rsidR="00A350DA" w:rsidRPr="007E4DA1" w14:paraId="51A031DA" w14:textId="77777777" w:rsidTr="00553AB7">
        <w:trPr>
          <w:cantSplit/>
        </w:trPr>
        <w:tc>
          <w:tcPr>
            <w:tcW w:w="2106" w:type="dxa"/>
          </w:tcPr>
          <w:p w14:paraId="10C269CF" w14:textId="77777777" w:rsidR="00A350DA" w:rsidRPr="007E4DA1" w:rsidRDefault="00A350DA" w:rsidP="001A6584">
            <w:pPr>
              <w:pStyle w:val="tabletextNS"/>
              <w:keepNext/>
              <w:tabs>
                <w:tab w:val="left" w:pos="142"/>
              </w:tabs>
              <w:jc w:val="center"/>
              <w:rPr>
                <w:rFonts w:ascii="Times New Roman" w:hAnsi="Times New Roman"/>
                <w:sz w:val="22"/>
                <w:szCs w:val="22"/>
                <w:lang w:val="pl-PL"/>
              </w:rPr>
            </w:pPr>
            <w:r w:rsidRPr="007E4DA1">
              <w:rPr>
                <w:rFonts w:ascii="Times New Roman" w:hAnsi="Times New Roman"/>
                <w:sz w:val="22"/>
                <w:szCs w:val="20"/>
                <w:lang w:val="pl-PL"/>
              </w:rPr>
              <w:t>50 mg</w:t>
            </w:r>
          </w:p>
        </w:tc>
        <w:tc>
          <w:tcPr>
            <w:tcW w:w="1224" w:type="dxa"/>
          </w:tcPr>
          <w:p w14:paraId="0D61D1EA" w14:textId="77777777" w:rsidR="00A350DA" w:rsidRPr="007E4DA1" w:rsidRDefault="00A350DA" w:rsidP="001A6584">
            <w:pPr>
              <w:pStyle w:val="tabletextNS"/>
              <w:keepNext/>
              <w:tabs>
                <w:tab w:val="left" w:pos="142"/>
              </w:tabs>
              <w:jc w:val="center"/>
              <w:rPr>
                <w:rFonts w:ascii="Times New Roman" w:hAnsi="Times New Roman"/>
                <w:sz w:val="22"/>
                <w:szCs w:val="22"/>
                <w:lang w:val="pl-PL"/>
              </w:rPr>
            </w:pPr>
            <w:r w:rsidRPr="007E4DA1">
              <w:rPr>
                <w:rFonts w:ascii="Times New Roman" w:hAnsi="Times New Roman"/>
                <w:sz w:val="22"/>
                <w:szCs w:val="20"/>
                <w:lang w:val="pl-PL"/>
              </w:rPr>
              <w:t>119</w:t>
            </w:r>
          </w:p>
        </w:tc>
        <w:tc>
          <w:tcPr>
            <w:tcW w:w="2340" w:type="dxa"/>
          </w:tcPr>
          <w:p w14:paraId="7CBEBBD2" w14:textId="77777777" w:rsidR="00A350DA" w:rsidRPr="007E4DA1" w:rsidRDefault="00A350DA" w:rsidP="001A6584">
            <w:pPr>
              <w:pStyle w:val="tabletextNS"/>
              <w:keepNext/>
              <w:tabs>
                <w:tab w:val="left" w:pos="142"/>
              </w:tabs>
              <w:jc w:val="center"/>
              <w:rPr>
                <w:rFonts w:ascii="Times New Roman" w:hAnsi="Times New Roman"/>
                <w:sz w:val="22"/>
                <w:szCs w:val="22"/>
                <w:lang w:val="pl-PL"/>
              </w:rPr>
            </w:pPr>
            <w:r w:rsidRPr="007E4DA1">
              <w:rPr>
                <w:rFonts w:ascii="Times New Roman" w:hAnsi="Times New Roman"/>
                <w:sz w:val="22"/>
                <w:szCs w:val="20"/>
                <w:lang w:val="pl-PL"/>
              </w:rPr>
              <w:t>166</w:t>
            </w:r>
          </w:p>
          <w:p w14:paraId="3C3861DF" w14:textId="77777777" w:rsidR="00A350DA" w:rsidRPr="007E4DA1" w:rsidRDefault="00A350DA" w:rsidP="001A6584">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(143, 192)</w:t>
            </w:r>
          </w:p>
        </w:tc>
        <w:tc>
          <w:tcPr>
            <w:tcW w:w="2340" w:type="dxa"/>
          </w:tcPr>
          <w:p w14:paraId="5A0F8825" w14:textId="77777777" w:rsidR="00A350DA" w:rsidRPr="007E4DA1" w:rsidRDefault="00A350DA" w:rsidP="001A6584">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9,08</w:t>
            </w:r>
          </w:p>
          <w:p w14:paraId="20E6CF02" w14:textId="77777777" w:rsidR="00A350DA" w:rsidRPr="007E4DA1" w:rsidRDefault="00A350DA" w:rsidP="001A6584">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(7,96, 10,35)</w:t>
            </w:r>
          </w:p>
        </w:tc>
      </w:tr>
      <w:tr w:rsidR="00A350DA" w:rsidRPr="007E4DA1" w14:paraId="110DADF3" w14:textId="77777777" w:rsidTr="00553AB7">
        <w:trPr>
          <w:cantSplit/>
        </w:trPr>
        <w:tc>
          <w:tcPr>
            <w:tcW w:w="2106" w:type="dxa"/>
          </w:tcPr>
          <w:p w14:paraId="09A565E5" w14:textId="77777777" w:rsidR="00A350DA" w:rsidRPr="007E4DA1" w:rsidRDefault="00A350DA" w:rsidP="001A6584">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75 mg</w:t>
            </w:r>
          </w:p>
        </w:tc>
        <w:tc>
          <w:tcPr>
            <w:tcW w:w="1224" w:type="dxa"/>
          </w:tcPr>
          <w:p w14:paraId="2942B2AC" w14:textId="77777777" w:rsidR="00A350DA" w:rsidRPr="007E4DA1" w:rsidRDefault="00A350DA" w:rsidP="001A6584">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45</w:t>
            </w:r>
          </w:p>
        </w:tc>
        <w:tc>
          <w:tcPr>
            <w:tcW w:w="2340" w:type="dxa"/>
          </w:tcPr>
          <w:p w14:paraId="7ECD37F6" w14:textId="77777777" w:rsidR="00A350DA" w:rsidRPr="007E4DA1" w:rsidRDefault="00A350DA" w:rsidP="001A6584">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301</w:t>
            </w:r>
          </w:p>
          <w:p w14:paraId="21E8E383" w14:textId="77777777" w:rsidR="00A350DA" w:rsidRPr="007E4DA1" w:rsidRDefault="00A350DA" w:rsidP="001A6584">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(250, 363)</w:t>
            </w:r>
          </w:p>
        </w:tc>
        <w:tc>
          <w:tcPr>
            <w:tcW w:w="2340" w:type="dxa"/>
          </w:tcPr>
          <w:p w14:paraId="7E6CD7E7" w14:textId="77777777" w:rsidR="00A350DA" w:rsidRPr="007E4DA1" w:rsidRDefault="00A350DA" w:rsidP="001A6584">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16,71</w:t>
            </w:r>
          </w:p>
          <w:p w14:paraId="30A3A56A" w14:textId="77777777" w:rsidR="00A350DA" w:rsidRPr="007E4DA1" w:rsidRDefault="00A350DA" w:rsidP="001A6584">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(14,26, 19,58)</w:t>
            </w:r>
          </w:p>
        </w:tc>
      </w:tr>
      <w:tr w:rsidR="00A350DA" w:rsidRPr="007E4DA1" w14:paraId="4045F02D" w14:textId="77777777" w:rsidTr="00553AB7">
        <w:trPr>
          <w:cantSplit/>
        </w:trPr>
        <w:tc>
          <w:tcPr>
            <w:tcW w:w="2106" w:type="dxa"/>
          </w:tcPr>
          <w:p w14:paraId="54D6FFF8" w14:textId="77777777" w:rsidR="00A350DA" w:rsidRPr="007E4DA1" w:rsidRDefault="00A350DA" w:rsidP="001A6584">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100 mg</w:t>
            </w:r>
          </w:p>
        </w:tc>
        <w:tc>
          <w:tcPr>
            <w:tcW w:w="1224" w:type="dxa"/>
          </w:tcPr>
          <w:p w14:paraId="5726ABE0" w14:textId="77777777" w:rsidR="00A350DA" w:rsidRPr="007E4DA1" w:rsidRDefault="00A350DA" w:rsidP="001A6584">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96</w:t>
            </w:r>
          </w:p>
        </w:tc>
        <w:tc>
          <w:tcPr>
            <w:tcW w:w="2340" w:type="dxa"/>
          </w:tcPr>
          <w:p w14:paraId="019CA7F7" w14:textId="77777777" w:rsidR="00A350DA" w:rsidRPr="007E4DA1" w:rsidRDefault="00A350DA" w:rsidP="001A6584">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354</w:t>
            </w:r>
          </w:p>
          <w:p w14:paraId="71E45E4F" w14:textId="77777777" w:rsidR="00A350DA" w:rsidRPr="007E4DA1" w:rsidRDefault="00A350DA" w:rsidP="001A6584">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(304, 411)</w:t>
            </w:r>
          </w:p>
        </w:tc>
        <w:tc>
          <w:tcPr>
            <w:tcW w:w="2340" w:type="dxa"/>
          </w:tcPr>
          <w:p w14:paraId="6102E3A6" w14:textId="77777777" w:rsidR="00A350DA" w:rsidRPr="007E4DA1" w:rsidRDefault="00A350DA" w:rsidP="001A6584">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19,19</w:t>
            </w:r>
          </w:p>
          <w:p w14:paraId="46E452B6" w14:textId="77777777" w:rsidR="00A350DA" w:rsidRPr="007E4DA1" w:rsidRDefault="00A350DA" w:rsidP="001A6584">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(16,81, 21,91)</w:t>
            </w:r>
          </w:p>
        </w:tc>
      </w:tr>
      <w:tr w:rsidR="001C1AF1" w:rsidRPr="007E4DA1" w14:paraId="79D7B27D" w14:textId="77777777" w:rsidTr="00553AB7">
        <w:trPr>
          <w:cantSplit/>
        </w:trPr>
        <w:tc>
          <w:tcPr>
            <w:tcW w:w="8010" w:type="dxa"/>
            <w:gridSpan w:val="4"/>
            <w:tcBorders>
              <w:bottom w:val="single" w:sz="4" w:space="0" w:color="auto"/>
            </w:tcBorders>
          </w:tcPr>
          <w:p w14:paraId="325173E4" w14:textId="29D8D0B5" w:rsidR="001C1AF1" w:rsidRPr="00553AB7" w:rsidRDefault="001C1AF1" w:rsidP="00553AB7">
            <w:pPr>
              <w:tabs>
                <w:tab w:val="left" w:pos="142"/>
              </w:tabs>
              <w:ind w:left="0" w:firstLine="0"/>
              <w:rPr>
                <w:sz w:val="20"/>
                <w:szCs w:val="20"/>
              </w:rPr>
            </w:pPr>
            <w:r w:rsidRPr="00553AB7">
              <w:rPr>
                <w:sz w:val="20"/>
                <w:szCs w:val="20"/>
              </w:rPr>
              <w:t>Wartości AUC</w:t>
            </w:r>
            <w:r w:rsidRPr="00553AB7">
              <w:rPr>
                <w:sz w:val="20"/>
                <w:szCs w:val="20"/>
                <w:vertAlign w:val="subscript"/>
              </w:rPr>
              <w:t>(0-</w:t>
            </w:r>
            <w:r w:rsidRPr="00553AB7">
              <w:rPr>
                <w:sz w:val="20"/>
                <w:szCs w:val="20"/>
              </w:rPr>
              <w:sym w:font="Symbol" w:char="F074"/>
            </w:r>
            <w:r w:rsidRPr="00553AB7">
              <w:rPr>
                <w:sz w:val="20"/>
                <w:szCs w:val="20"/>
                <w:vertAlign w:val="subscript"/>
              </w:rPr>
              <w:t>)</w:t>
            </w:r>
            <w:r w:rsidRPr="00553AB7">
              <w:rPr>
                <w:sz w:val="20"/>
                <w:szCs w:val="20"/>
              </w:rPr>
              <w:t xml:space="preserve"> i C</w:t>
            </w:r>
            <w:r w:rsidRPr="00553AB7">
              <w:rPr>
                <w:sz w:val="20"/>
                <w:szCs w:val="20"/>
                <w:vertAlign w:val="subscript"/>
              </w:rPr>
              <w:t>max</w:t>
            </w:r>
            <w:r w:rsidRPr="00553AB7">
              <w:rPr>
                <w:sz w:val="20"/>
                <w:szCs w:val="20"/>
              </w:rPr>
              <w:t xml:space="preserve"> oparte na oszacowaniach </w:t>
            </w:r>
            <w:r w:rsidRPr="00553AB7">
              <w:rPr>
                <w:i/>
                <w:sz w:val="20"/>
                <w:szCs w:val="20"/>
              </w:rPr>
              <w:t>post-hoc</w:t>
            </w:r>
            <w:r w:rsidRPr="00553AB7">
              <w:rPr>
                <w:sz w:val="20"/>
                <w:szCs w:val="20"/>
              </w:rPr>
              <w:t xml:space="preserve"> farmakokinetyki populacyjnej przy najwyższej dawce danych dotyczących poszczególnych pacjentów.</w:t>
            </w:r>
          </w:p>
        </w:tc>
      </w:tr>
    </w:tbl>
    <w:p w14:paraId="18FF3638" w14:textId="77777777" w:rsidR="00314BCA" w:rsidRPr="007E4DA1" w:rsidRDefault="00314BCA" w:rsidP="001A6584">
      <w:pPr>
        <w:tabs>
          <w:tab w:val="left" w:pos="142"/>
        </w:tabs>
        <w:ind w:left="0" w:firstLine="0"/>
        <w:rPr>
          <w:szCs w:val="22"/>
        </w:rPr>
      </w:pPr>
    </w:p>
    <w:p w14:paraId="127334A3" w14:textId="77777777" w:rsidR="00041A08" w:rsidRPr="00041A08" w:rsidRDefault="00A350DA" w:rsidP="001A6584">
      <w:pPr>
        <w:keepNext/>
        <w:tabs>
          <w:tab w:val="left" w:pos="142"/>
        </w:tabs>
        <w:ind w:left="0" w:firstLine="0"/>
        <w:rPr>
          <w:szCs w:val="22"/>
        </w:rPr>
      </w:pPr>
      <w:r w:rsidRPr="007E4DA1">
        <w:rPr>
          <w:szCs w:val="22"/>
          <w:u w:val="single"/>
        </w:rPr>
        <w:t>Wchłanianie i dostępność biologiczna</w:t>
      </w:r>
    </w:p>
    <w:p w14:paraId="68B70656" w14:textId="77777777" w:rsidR="00041A08" w:rsidRPr="00041A08" w:rsidRDefault="00041A08" w:rsidP="001A6584">
      <w:pPr>
        <w:keepNext/>
        <w:tabs>
          <w:tab w:val="left" w:pos="142"/>
        </w:tabs>
        <w:ind w:left="0" w:firstLine="0"/>
        <w:rPr>
          <w:szCs w:val="22"/>
        </w:rPr>
      </w:pPr>
    </w:p>
    <w:p w14:paraId="7433B649" w14:textId="77777777" w:rsidR="00A350DA" w:rsidRPr="007E4DA1" w:rsidRDefault="00A350DA" w:rsidP="001A6584">
      <w:pPr>
        <w:tabs>
          <w:tab w:val="left" w:pos="142"/>
        </w:tabs>
        <w:ind w:left="0" w:firstLine="0"/>
        <w:rPr>
          <w:iCs/>
        </w:rPr>
      </w:pPr>
      <w:r w:rsidRPr="007E4DA1">
        <w:t>Maksymalne stężenie eltrombopagu wchłanianego po podaniu doustnym występuje po 2–6 godzinach. Podawanie eltrombopagu jednocześnie ze środkami zobojętniającymi kwas żołądkowy i innymi produktami zawierającymi wielowartościowe kationy, takimi jak nabiał i suplementy mineralne, znacznie zmniejsza ekspozycję na eltrombopag (patrz punkt</w:t>
      </w:r>
      <w:r w:rsidR="002E41F4" w:rsidRPr="007E4DA1">
        <w:t> </w:t>
      </w:r>
      <w:r w:rsidRPr="007E4DA1">
        <w:t>4.2)</w:t>
      </w:r>
      <w:r w:rsidRPr="007E4DA1">
        <w:rPr>
          <w:i/>
          <w:iCs/>
        </w:rPr>
        <w:t xml:space="preserve">. </w:t>
      </w:r>
      <w:r w:rsidR="009E5645" w:rsidRPr="007E4DA1">
        <w:rPr>
          <w:iCs/>
        </w:rPr>
        <w:t>W badaniu względnej dostępności biologicznej u dorosłych, podanie eltrombopagu w postaci proszku do sporządzania zawiesiny doustnej skutkowało zwiększeniem pola AUC</w:t>
      </w:r>
      <w:r w:rsidR="009E5645" w:rsidRPr="007E4DA1">
        <w:rPr>
          <w:iCs/>
          <w:vertAlign w:val="subscript"/>
        </w:rPr>
        <w:t>(0-</w:t>
      </w:r>
      <w:r w:rsidR="009E5645" w:rsidRPr="007E4DA1">
        <w:rPr>
          <w:iCs/>
          <w:vertAlign w:val="subscript"/>
        </w:rPr>
        <w:sym w:font="Symbol" w:char="F0A5"/>
      </w:r>
      <w:r w:rsidR="009E5645" w:rsidRPr="007E4DA1">
        <w:rPr>
          <w:iCs/>
          <w:vertAlign w:val="subscript"/>
        </w:rPr>
        <w:t>)</w:t>
      </w:r>
      <w:r w:rsidR="009E5645" w:rsidRPr="007E4DA1">
        <w:rPr>
          <w:iCs/>
        </w:rPr>
        <w:t xml:space="preserve"> w osoczu o 22% w porównaniu z lekiem w postaci tabletek</w:t>
      </w:r>
      <w:r w:rsidR="00706F4F" w:rsidRPr="007E4DA1">
        <w:rPr>
          <w:iCs/>
        </w:rPr>
        <w:t xml:space="preserve"> powlekanych</w:t>
      </w:r>
      <w:r w:rsidR="009E5645" w:rsidRPr="007E4DA1">
        <w:rPr>
          <w:iCs/>
        </w:rPr>
        <w:t xml:space="preserve">. </w:t>
      </w:r>
      <w:r w:rsidRPr="007E4DA1">
        <w:rPr>
          <w:iCs/>
        </w:rPr>
        <w:t>Biodostępność bezwzględna eltrombopagu po podaniu doustnym u ludzi nie została ustalona. W oparciu o wydalanie z moczem oraz metabolity eliminowane w kale ustalono, że wchłanianie substancji występującej w leku wynosi, po podaniu doustnym pojedynczej dawki 75 mg eltrombopagu w postaci roztworu, co najmniej 52%.</w:t>
      </w:r>
    </w:p>
    <w:p w14:paraId="507B0920" w14:textId="77777777" w:rsidR="00041A08" w:rsidRPr="00041A08" w:rsidRDefault="00041A08" w:rsidP="001A6584">
      <w:pPr>
        <w:tabs>
          <w:tab w:val="left" w:pos="142"/>
        </w:tabs>
        <w:ind w:left="0" w:firstLine="0"/>
        <w:rPr>
          <w:szCs w:val="22"/>
        </w:rPr>
      </w:pPr>
    </w:p>
    <w:p w14:paraId="4FDC7F84" w14:textId="77777777" w:rsidR="00041A08" w:rsidRPr="00041A08" w:rsidRDefault="00A350DA" w:rsidP="001A6584">
      <w:pPr>
        <w:keepNext/>
        <w:tabs>
          <w:tab w:val="left" w:pos="142"/>
        </w:tabs>
        <w:ind w:left="0" w:firstLine="0"/>
        <w:rPr>
          <w:szCs w:val="22"/>
        </w:rPr>
      </w:pPr>
      <w:r w:rsidRPr="007E4DA1">
        <w:rPr>
          <w:szCs w:val="22"/>
          <w:u w:val="single"/>
        </w:rPr>
        <w:t>Dystrybucja</w:t>
      </w:r>
    </w:p>
    <w:p w14:paraId="389D5ADD" w14:textId="1B1A0272" w:rsidR="00A350DA" w:rsidRPr="007E4DA1" w:rsidRDefault="00A350DA" w:rsidP="001A6584">
      <w:pPr>
        <w:keepNext/>
        <w:tabs>
          <w:tab w:val="left" w:pos="142"/>
        </w:tabs>
        <w:ind w:left="0" w:firstLine="0"/>
        <w:rPr>
          <w:szCs w:val="22"/>
        </w:rPr>
      </w:pPr>
    </w:p>
    <w:p w14:paraId="07B39AC5" w14:textId="77777777" w:rsidR="00A350DA" w:rsidRPr="007E4DA1" w:rsidRDefault="00A350DA" w:rsidP="001A6584">
      <w:pPr>
        <w:tabs>
          <w:tab w:val="left" w:pos="142"/>
        </w:tabs>
        <w:ind w:left="0" w:firstLine="0"/>
        <w:rPr>
          <w:rFonts w:eastAsia="MS Mincho"/>
          <w:color w:val="000000"/>
          <w:lang w:eastAsia="ja-JP"/>
        </w:rPr>
      </w:pPr>
      <w:r w:rsidRPr="007E4DA1">
        <w:t xml:space="preserve">Eltrombopag silnie wiąże się z ludzkimi białkami osocza (&gt;99,9%), przede wszystkim z albuminą. </w:t>
      </w:r>
      <w:r w:rsidRPr="007E4DA1">
        <w:rPr>
          <w:rFonts w:eastAsia="MS Mincho"/>
          <w:color w:val="000000"/>
          <w:lang w:eastAsia="ja-JP"/>
        </w:rPr>
        <w:t>Eltrombopag jest substratem dla BCRP, ale nie jest substratem dla glikoproteiny P ani OATP1B1.</w:t>
      </w:r>
    </w:p>
    <w:p w14:paraId="5914DC52" w14:textId="77777777" w:rsidR="00041A08" w:rsidRPr="00041A08" w:rsidRDefault="00041A08" w:rsidP="001A6584">
      <w:pPr>
        <w:tabs>
          <w:tab w:val="left" w:pos="142"/>
        </w:tabs>
        <w:ind w:left="0" w:firstLine="0"/>
        <w:rPr>
          <w:szCs w:val="22"/>
        </w:rPr>
      </w:pPr>
    </w:p>
    <w:p w14:paraId="293FD0EE" w14:textId="77777777" w:rsidR="00041A08" w:rsidRPr="00041A08" w:rsidRDefault="00A350DA" w:rsidP="001A6584">
      <w:pPr>
        <w:keepNext/>
        <w:tabs>
          <w:tab w:val="left" w:pos="142"/>
        </w:tabs>
        <w:ind w:left="0" w:firstLine="0"/>
        <w:rPr>
          <w:szCs w:val="22"/>
        </w:rPr>
      </w:pPr>
      <w:r w:rsidRPr="007E4DA1">
        <w:rPr>
          <w:szCs w:val="22"/>
          <w:u w:val="single"/>
        </w:rPr>
        <w:t>Metabolizm</w:t>
      </w:r>
    </w:p>
    <w:p w14:paraId="6DDC54A8" w14:textId="105508D0" w:rsidR="00A350DA" w:rsidRPr="007E4DA1" w:rsidRDefault="00A350DA" w:rsidP="001A6584">
      <w:pPr>
        <w:keepNext/>
        <w:tabs>
          <w:tab w:val="left" w:pos="142"/>
        </w:tabs>
        <w:ind w:left="0" w:firstLine="0"/>
        <w:rPr>
          <w:szCs w:val="22"/>
        </w:rPr>
      </w:pPr>
    </w:p>
    <w:p w14:paraId="38A89C2E" w14:textId="77777777" w:rsidR="00A350DA" w:rsidRPr="007E4DA1" w:rsidRDefault="00A350DA" w:rsidP="001A6584">
      <w:pPr>
        <w:tabs>
          <w:tab w:val="left" w:pos="142"/>
        </w:tabs>
        <w:ind w:left="0" w:firstLine="0"/>
        <w:rPr>
          <w:color w:val="000000"/>
          <w:szCs w:val="24"/>
        </w:rPr>
      </w:pPr>
      <w:r w:rsidRPr="007E4DA1">
        <w:rPr>
          <w:color w:val="000000"/>
          <w:szCs w:val="24"/>
        </w:rPr>
        <w:t>Eltrombopag jest głównie metabolizowany na drodze rozszczepienia, utlenienia i sprzężenia z kwasem glukuronowym, glutationem lub cysteiną. W badaniu radioizotopowym u ludzi eltrombopag stanowił około 64% AUC</w:t>
      </w:r>
      <w:r w:rsidRPr="007E4DA1">
        <w:rPr>
          <w:color w:val="000000"/>
          <w:szCs w:val="24"/>
          <w:vertAlign w:val="subscript"/>
        </w:rPr>
        <w:t>0-</w:t>
      </w:r>
      <w:r w:rsidRPr="007E4DA1">
        <w:rPr>
          <w:color w:val="000000"/>
          <w:szCs w:val="24"/>
          <w:vertAlign w:val="subscript"/>
        </w:rPr>
        <w:sym w:font="Symbol" w:char="F0A5"/>
      </w:r>
      <w:r w:rsidRPr="007E4DA1">
        <w:rPr>
          <w:color w:val="000000"/>
          <w:szCs w:val="24"/>
          <w:vertAlign w:val="subscript"/>
        </w:rPr>
        <w:t xml:space="preserve"> </w:t>
      </w:r>
      <w:r w:rsidRPr="007E4DA1">
        <w:rPr>
          <w:color w:val="000000"/>
          <w:szCs w:val="24"/>
        </w:rPr>
        <w:t xml:space="preserve">radioizotopu węgla w osoczu. Wykryto również mniej istotne metabolity wynikające z glukuronidacji i utleniania. Badania </w:t>
      </w:r>
      <w:r w:rsidRPr="007E4DA1">
        <w:rPr>
          <w:i/>
          <w:color w:val="000000"/>
          <w:szCs w:val="24"/>
        </w:rPr>
        <w:t xml:space="preserve">in vitro </w:t>
      </w:r>
      <w:r w:rsidRPr="007E4DA1">
        <w:rPr>
          <w:color w:val="000000"/>
          <w:szCs w:val="24"/>
        </w:rPr>
        <w:t>sugerują, że CYP1A2 i CYP2C8 odpowiedzialne są za metabolizm oksydacyjny eltrombopagu. Transferaza urydynowo-difosfoglukuronianowa UGT1A1 i UGT1A3 odpowiedzialna jest za glukuronidację, podczas gdy bakterie obecne w dolnym odcinku przewodu pokarmowego odpowiedzialne są prawdopodobnie za drogę metaboliczną prowadzącą przez rozszczepienie cząsteczki.</w:t>
      </w:r>
    </w:p>
    <w:p w14:paraId="377C60F6" w14:textId="77777777" w:rsidR="00A350DA" w:rsidRPr="007E4DA1" w:rsidRDefault="00A350DA" w:rsidP="001A6584">
      <w:pPr>
        <w:tabs>
          <w:tab w:val="left" w:pos="142"/>
        </w:tabs>
        <w:ind w:left="0" w:firstLine="0"/>
        <w:rPr>
          <w:szCs w:val="22"/>
        </w:rPr>
      </w:pPr>
    </w:p>
    <w:p w14:paraId="5D9ECF4B" w14:textId="77777777" w:rsidR="00041A08" w:rsidRPr="00041A08" w:rsidRDefault="009E5645" w:rsidP="001A6584">
      <w:pPr>
        <w:keepNext/>
        <w:tabs>
          <w:tab w:val="left" w:pos="142"/>
        </w:tabs>
        <w:ind w:left="0" w:firstLine="0"/>
        <w:rPr>
          <w:szCs w:val="22"/>
        </w:rPr>
      </w:pPr>
      <w:r w:rsidRPr="007E4DA1">
        <w:rPr>
          <w:szCs w:val="22"/>
          <w:u w:val="single"/>
        </w:rPr>
        <w:t>Eliminacja</w:t>
      </w:r>
    </w:p>
    <w:p w14:paraId="5E2C5C93" w14:textId="103F0B3D" w:rsidR="00A350DA" w:rsidRPr="007E4DA1" w:rsidRDefault="00A350DA" w:rsidP="001A6584">
      <w:pPr>
        <w:keepNext/>
        <w:tabs>
          <w:tab w:val="left" w:pos="142"/>
        </w:tabs>
        <w:ind w:left="0" w:firstLine="0"/>
        <w:rPr>
          <w:szCs w:val="22"/>
        </w:rPr>
      </w:pPr>
    </w:p>
    <w:p w14:paraId="66E85E66" w14:textId="77777777" w:rsidR="00A350DA" w:rsidRPr="007E4DA1" w:rsidRDefault="00A350DA" w:rsidP="001A6584">
      <w:pPr>
        <w:tabs>
          <w:tab w:val="left" w:pos="142"/>
        </w:tabs>
        <w:ind w:left="0" w:firstLine="0"/>
      </w:pPr>
      <w:r w:rsidRPr="007E4DA1">
        <w:t>Wchłonięty eltrombopag jest intensywnie metabolizowany. Główna droga wydalania eltrombopagu to kał (59%), zaś w moczu znajdowane jest 31% dawki w postaci metabolitów. Niezmienionej substancji (eltrombopag) nie wykrywa się w moczu. Niezmieniony eltrombopag wydalany z kałem stanowi około 20% dawki. Okres półtrwania eltrombopagu w osoczu wynosi około 21</w:t>
      </w:r>
      <w:r w:rsidR="002E41F4" w:rsidRPr="007E4DA1">
        <w:noBreakHyphen/>
      </w:r>
      <w:r w:rsidRPr="007E4DA1">
        <w:t>32</w:t>
      </w:r>
      <w:r w:rsidR="00BE611D" w:rsidRPr="007E4DA1">
        <w:t> </w:t>
      </w:r>
      <w:r w:rsidRPr="007E4DA1">
        <w:t>godzin.</w:t>
      </w:r>
    </w:p>
    <w:p w14:paraId="30834990" w14:textId="77777777" w:rsidR="00041A08" w:rsidRPr="00041A08" w:rsidRDefault="00041A08" w:rsidP="001A6584">
      <w:pPr>
        <w:tabs>
          <w:tab w:val="left" w:pos="142"/>
        </w:tabs>
        <w:ind w:left="0" w:firstLine="0"/>
        <w:rPr>
          <w:szCs w:val="22"/>
        </w:rPr>
      </w:pPr>
    </w:p>
    <w:p w14:paraId="0B1910EB" w14:textId="77777777" w:rsidR="00041A08" w:rsidRPr="00041A08" w:rsidRDefault="00A350DA" w:rsidP="001A6584">
      <w:pPr>
        <w:keepNext/>
        <w:tabs>
          <w:tab w:val="left" w:pos="142"/>
        </w:tabs>
        <w:ind w:left="0" w:firstLine="0"/>
      </w:pPr>
      <w:r w:rsidRPr="007E4DA1">
        <w:rPr>
          <w:u w:val="single"/>
        </w:rPr>
        <w:t>Interakcje farmakokinetyczne</w:t>
      </w:r>
    </w:p>
    <w:p w14:paraId="5A6CEC65" w14:textId="37A9E092" w:rsidR="00A350DA" w:rsidRPr="007E4DA1" w:rsidRDefault="00A350DA" w:rsidP="001A6584">
      <w:pPr>
        <w:keepNext/>
        <w:tabs>
          <w:tab w:val="left" w:pos="142"/>
        </w:tabs>
        <w:ind w:left="0" w:firstLine="0"/>
        <w:rPr>
          <w:szCs w:val="22"/>
        </w:rPr>
      </w:pPr>
    </w:p>
    <w:p w14:paraId="1FB5B78F" w14:textId="77777777" w:rsidR="00A350DA" w:rsidRPr="007E4DA1" w:rsidRDefault="00A350DA" w:rsidP="001A6584">
      <w:pPr>
        <w:tabs>
          <w:tab w:val="left" w:pos="142"/>
        </w:tabs>
        <w:ind w:left="0" w:firstLine="0"/>
      </w:pPr>
      <w:r w:rsidRPr="007E4DA1">
        <w:t xml:space="preserve">Jak wynika z badania radioizotopowego z eltrombopagiem przeprowadzonego u ludzi, glukuronidacja odgrywa niewielką rolę w metabolizmie eltrombopagu. W badaniach ludzkich mikrosomów wątrobowych wykazano, że enzymami odpowiedzialnymi za glukuronidację eltrombopagu są UGT1A1 i UGT1A3. Eltrombopag był inhibitorem wielu enzymów UGT </w:t>
      </w:r>
      <w:r w:rsidRPr="007E4DA1">
        <w:rPr>
          <w:i/>
        </w:rPr>
        <w:t>in vitro</w:t>
      </w:r>
      <w:r w:rsidRPr="007E4DA1">
        <w:t>. Wystąpienie klinicznie znamiennych lekowych interakcji z udziałem glukuronidacji jest mało prawdopodobne, ponieważ znaczenie poszczególnych enzymów UGT w glukuronidacji eltrombopagu jest niewielkie.</w:t>
      </w:r>
    </w:p>
    <w:p w14:paraId="194FACC3" w14:textId="77777777" w:rsidR="00A350DA" w:rsidRPr="007E4DA1" w:rsidRDefault="00A350DA" w:rsidP="001A6584">
      <w:pPr>
        <w:tabs>
          <w:tab w:val="left" w:pos="142"/>
        </w:tabs>
        <w:ind w:left="0" w:firstLine="0"/>
        <w:rPr>
          <w:szCs w:val="22"/>
        </w:rPr>
      </w:pPr>
    </w:p>
    <w:p w14:paraId="20A37714" w14:textId="77777777" w:rsidR="00A350DA" w:rsidRPr="007E4DA1" w:rsidRDefault="00A350DA" w:rsidP="001A6584">
      <w:pPr>
        <w:tabs>
          <w:tab w:val="left" w:pos="142"/>
        </w:tabs>
        <w:ind w:left="0" w:firstLine="0"/>
      </w:pPr>
      <w:r w:rsidRPr="007E4DA1">
        <w:t xml:space="preserve">Około 21% dawki eltrombopagu może ulegać metabolizmowi oksydacyjnemu. W badaniach ludzkich mikrosomów wątrobowych wykazano, że CYP1A2 i CYP2C8 są enzymami odpowiedzialnymi za utlenianie eltrombopagu. Na podstawie danych uzyskanych </w:t>
      </w:r>
      <w:r w:rsidRPr="007E4DA1">
        <w:rPr>
          <w:i/>
        </w:rPr>
        <w:t>in vitr</w:t>
      </w:r>
      <w:r w:rsidRPr="007E4DA1">
        <w:t xml:space="preserve">o i </w:t>
      </w:r>
      <w:r w:rsidRPr="007E4DA1">
        <w:rPr>
          <w:i/>
        </w:rPr>
        <w:t>in vivo</w:t>
      </w:r>
      <w:r w:rsidRPr="007E4DA1">
        <w:t xml:space="preserve"> nie stwierdzono indukcji ani hamowania enzymów CYP (patrz punkt</w:t>
      </w:r>
      <w:r w:rsidR="00BE611D" w:rsidRPr="007E4DA1">
        <w:t> </w:t>
      </w:r>
      <w:r w:rsidRPr="007E4DA1">
        <w:t>4.5).</w:t>
      </w:r>
    </w:p>
    <w:p w14:paraId="3A1C039F" w14:textId="77777777" w:rsidR="00A350DA" w:rsidRPr="007E4DA1" w:rsidRDefault="00A350DA" w:rsidP="001A6584">
      <w:pPr>
        <w:tabs>
          <w:tab w:val="left" w:pos="142"/>
        </w:tabs>
        <w:ind w:left="0" w:firstLine="0"/>
        <w:rPr>
          <w:szCs w:val="22"/>
        </w:rPr>
      </w:pPr>
    </w:p>
    <w:p w14:paraId="5FC3BDEE" w14:textId="77777777" w:rsidR="00A350DA" w:rsidRPr="007E4DA1" w:rsidRDefault="00A350DA" w:rsidP="001A6584">
      <w:pPr>
        <w:tabs>
          <w:tab w:val="left" w:pos="142"/>
        </w:tabs>
        <w:ind w:left="0" w:firstLine="0"/>
      </w:pPr>
      <w:r w:rsidRPr="007E4DA1">
        <w:rPr>
          <w:rFonts w:eastAsia="MS Mincho"/>
          <w:color w:val="000000"/>
          <w:lang w:eastAsia="ja-JP"/>
        </w:rPr>
        <w:t xml:space="preserve">Badania </w:t>
      </w:r>
      <w:r w:rsidRPr="007E4DA1">
        <w:rPr>
          <w:rFonts w:eastAsia="MS Mincho"/>
          <w:i/>
          <w:color w:val="000000"/>
          <w:lang w:eastAsia="ja-JP"/>
        </w:rPr>
        <w:t xml:space="preserve">in vitro </w:t>
      </w:r>
      <w:r w:rsidRPr="007E4DA1">
        <w:rPr>
          <w:rFonts w:eastAsia="MS Mincho"/>
          <w:color w:val="000000"/>
          <w:lang w:eastAsia="ja-JP"/>
        </w:rPr>
        <w:t xml:space="preserve">wykazują, że eltrombopag jest inhibitorem transportera OATP1B1 oraz inhibitorem transportera BCRP. W badaniu klinicznym interakcji eltrombopag zwiększał ekspozycję na rozuwastatynę, będącą substratem </w:t>
      </w:r>
      <w:r w:rsidRPr="007E4DA1">
        <w:rPr>
          <w:rFonts w:eastAsia="MS Mincho"/>
          <w:color w:val="000000"/>
          <w:szCs w:val="22"/>
          <w:lang w:eastAsia="ja-JP"/>
        </w:rPr>
        <w:t>OATP1B1 i BCRP</w:t>
      </w:r>
      <w:r w:rsidRPr="007E4DA1">
        <w:t xml:space="preserve"> (patrz punkt</w:t>
      </w:r>
      <w:r w:rsidR="00BE611D" w:rsidRPr="007E4DA1">
        <w:t> </w:t>
      </w:r>
      <w:r w:rsidRPr="007E4DA1">
        <w:t>4.5). W badaniach klinicznych eltrombopagu zalecano zmniejszenie dawki statyn o 50%.</w:t>
      </w:r>
      <w:r w:rsidR="00D70D82" w:rsidRPr="007E4DA1">
        <w:t xml:space="preserve"> </w:t>
      </w:r>
    </w:p>
    <w:p w14:paraId="735A4520" w14:textId="77777777" w:rsidR="00A350DA" w:rsidRPr="007E4DA1" w:rsidRDefault="00A350DA" w:rsidP="001A6584">
      <w:pPr>
        <w:tabs>
          <w:tab w:val="left" w:pos="142"/>
        </w:tabs>
        <w:ind w:left="0" w:firstLine="0"/>
        <w:rPr>
          <w:szCs w:val="22"/>
        </w:rPr>
      </w:pPr>
    </w:p>
    <w:p w14:paraId="691ACB84" w14:textId="77777777" w:rsidR="00A350DA" w:rsidRPr="007E4DA1" w:rsidRDefault="00A350DA" w:rsidP="001A6584">
      <w:pPr>
        <w:tabs>
          <w:tab w:val="left" w:pos="142"/>
        </w:tabs>
        <w:ind w:left="0" w:firstLine="0"/>
      </w:pPr>
      <w:r w:rsidRPr="007E4DA1">
        <w:t>Eltrombopag chelatuje wielowartościowe kationy, takie jak żelazo, wapń, magnez, glin, selen i cynk (patrz punkt</w:t>
      </w:r>
      <w:r w:rsidR="00BE611D" w:rsidRPr="007E4DA1">
        <w:t>y </w:t>
      </w:r>
      <w:r w:rsidRPr="007E4DA1">
        <w:t>4.2 i</w:t>
      </w:r>
      <w:r w:rsidR="00BE611D" w:rsidRPr="007E4DA1">
        <w:t> </w:t>
      </w:r>
      <w:r w:rsidRPr="007E4DA1">
        <w:t>4.5).</w:t>
      </w:r>
    </w:p>
    <w:p w14:paraId="43FE8090" w14:textId="77777777" w:rsidR="00A350DA" w:rsidRPr="007E4DA1" w:rsidRDefault="00A350DA" w:rsidP="001A6584">
      <w:pPr>
        <w:tabs>
          <w:tab w:val="left" w:pos="142"/>
        </w:tabs>
        <w:ind w:left="0" w:firstLine="0"/>
        <w:rPr>
          <w:szCs w:val="22"/>
        </w:rPr>
      </w:pPr>
    </w:p>
    <w:p w14:paraId="1596E696" w14:textId="4B94830D" w:rsidR="009E5645" w:rsidRPr="007E4DA1" w:rsidRDefault="00706F4F" w:rsidP="001A6584">
      <w:pPr>
        <w:tabs>
          <w:tab w:val="left" w:pos="142"/>
        </w:tabs>
        <w:ind w:left="0" w:firstLine="0"/>
      </w:pPr>
      <w:r w:rsidRPr="007E4DA1">
        <w:t>Badania</w:t>
      </w:r>
      <w:r w:rsidRPr="007E4DA1">
        <w:rPr>
          <w:i/>
        </w:rPr>
        <w:t xml:space="preserve"> in vitro</w:t>
      </w:r>
      <w:r w:rsidRPr="007E4DA1">
        <w:t xml:space="preserve"> wykazały, że </w:t>
      </w:r>
      <w:r w:rsidRPr="007E4DA1">
        <w:rPr>
          <w:rFonts w:eastAsia="MS Mincho"/>
          <w:lang w:eastAsia="ja-JP"/>
        </w:rPr>
        <w:t>eltrombopag nie jest substratem dla polipeptydu transportującego aniony organiczne, OATP1B1, ale jest inhibitorem tego transportera (wartość IC</w:t>
      </w:r>
      <w:r w:rsidRPr="007E4DA1">
        <w:rPr>
          <w:rFonts w:eastAsia="MS Mincho"/>
          <w:vertAlign w:val="subscript"/>
          <w:lang w:eastAsia="ja-JP"/>
        </w:rPr>
        <w:t>50</w:t>
      </w:r>
      <w:r w:rsidRPr="007E4DA1">
        <w:rPr>
          <w:rFonts w:eastAsia="MS Mincho"/>
          <w:lang w:eastAsia="ja-JP"/>
        </w:rPr>
        <w:t xml:space="preserve"> = 2,7 µM </w:t>
      </w:r>
      <w:r w:rsidR="00A11A08" w:rsidRPr="007E4DA1">
        <w:rPr>
          <w:rFonts w:eastAsia="MS Mincho"/>
          <w:lang w:eastAsia="ja-JP"/>
        </w:rPr>
        <w:t>[</w:t>
      </w:r>
      <w:r w:rsidRPr="007E4DA1">
        <w:rPr>
          <w:rFonts w:eastAsia="MS Mincho"/>
          <w:lang w:eastAsia="ja-JP"/>
        </w:rPr>
        <w:t>1,2 µg/ml</w:t>
      </w:r>
      <w:r w:rsidR="00A11A08" w:rsidRPr="007E4DA1">
        <w:rPr>
          <w:rFonts w:eastAsia="MS Mincho"/>
          <w:lang w:eastAsia="ja-JP"/>
        </w:rPr>
        <w:t>]</w:t>
      </w:r>
      <w:r w:rsidR="003D6A2F" w:rsidRPr="007E4DA1">
        <w:rPr>
          <w:rFonts w:eastAsia="MS Mincho"/>
          <w:lang w:eastAsia="ja-JP"/>
        </w:rPr>
        <w:t>)</w:t>
      </w:r>
      <w:r w:rsidRPr="007E4DA1">
        <w:rPr>
          <w:rFonts w:eastAsia="MS Mincho"/>
          <w:lang w:eastAsia="ja-JP"/>
        </w:rPr>
        <w:t xml:space="preserve">. </w:t>
      </w:r>
      <w:r w:rsidRPr="007E4DA1">
        <w:t>Badania</w:t>
      </w:r>
      <w:r w:rsidRPr="007E4DA1">
        <w:rPr>
          <w:i/>
        </w:rPr>
        <w:t xml:space="preserve"> in vitro</w:t>
      </w:r>
      <w:r w:rsidRPr="007E4DA1">
        <w:t xml:space="preserve"> wykazały również, że </w:t>
      </w:r>
      <w:r w:rsidRPr="007E4DA1">
        <w:rPr>
          <w:rFonts w:eastAsia="MS Mincho"/>
        </w:rPr>
        <w:t>eltrombopag jest substratem i inhibitorem białka oporności raka piersi (BCRP) (wartość IC</w:t>
      </w:r>
      <w:r w:rsidRPr="007E4DA1">
        <w:rPr>
          <w:rFonts w:eastAsia="MS Mincho"/>
          <w:vertAlign w:val="subscript"/>
        </w:rPr>
        <w:t>50</w:t>
      </w:r>
      <w:r w:rsidRPr="007E4DA1">
        <w:rPr>
          <w:rFonts w:eastAsia="MS Mincho"/>
        </w:rPr>
        <w:t xml:space="preserve"> = </w:t>
      </w:r>
      <w:r w:rsidRPr="007E4DA1">
        <w:rPr>
          <w:rFonts w:eastAsia="MS Mincho"/>
          <w:lang w:eastAsia="ja-JP"/>
        </w:rPr>
        <w:t xml:space="preserve">2,7 µM </w:t>
      </w:r>
      <w:r w:rsidR="00A11A08" w:rsidRPr="007E4DA1">
        <w:rPr>
          <w:rFonts w:eastAsia="MS Mincho"/>
          <w:lang w:eastAsia="ja-JP"/>
        </w:rPr>
        <w:t>[</w:t>
      </w:r>
      <w:r w:rsidRPr="007E4DA1">
        <w:rPr>
          <w:rFonts w:eastAsia="MS Mincho"/>
          <w:lang w:eastAsia="ja-JP"/>
        </w:rPr>
        <w:t>1,2 µg/ml</w:t>
      </w:r>
      <w:r w:rsidR="00A11A08" w:rsidRPr="007E4DA1">
        <w:rPr>
          <w:rFonts w:eastAsia="MS Mincho"/>
          <w:lang w:eastAsia="ja-JP"/>
        </w:rPr>
        <w:t>]</w:t>
      </w:r>
      <w:r w:rsidR="003D6A2F" w:rsidRPr="007E4DA1">
        <w:rPr>
          <w:rFonts w:eastAsia="MS Mincho"/>
          <w:lang w:eastAsia="ja-JP"/>
        </w:rPr>
        <w:t>)</w:t>
      </w:r>
      <w:r w:rsidRPr="007E4DA1">
        <w:rPr>
          <w:rFonts w:eastAsia="MS Mincho"/>
          <w:i/>
          <w:lang w:eastAsia="ja-JP"/>
        </w:rPr>
        <w:t>.</w:t>
      </w:r>
    </w:p>
    <w:p w14:paraId="5918CCE7" w14:textId="77777777" w:rsidR="00A350DA" w:rsidRPr="007E4DA1" w:rsidRDefault="00A350DA" w:rsidP="001A6584">
      <w:pPr>
        <w:tabs>
          <w:tab w:val="left" w:pos="142"/>
        </w:tabs>
        <w:ind w:left="0" w:firstLine="0"/>
        <w:rPr>
          <w:szCs w:val="22"/>
        </w:rPr>
      </w:pPr>
    </w:p>
    <w:p w14:paraId="3DACC114" w14:textId="77777777" w:rsidR="00041A08" w:rsidRPr="00041A08" w:rsidRDefault="00A350DA" w:rsidP="001A6584">
      <w:pPr>
        <w:keepNext/>
        <w:tabs>
          <w:tab w:val="left" w:pos="142"/>
        </w:tabs>
        <w:ind w:left="0" w:firstLine="0"/>
        <w:rPr>
          <w:szCs w:val="22"/>
        </w:rPr>
      </w:pPr>
      <w:r w:rsidRPr="007E4DA1">
        <w:rPr>
          <w:szCs w:val="22"/>
          <w:u w:val="single"/>
        </w:rPr>
        <w:t>Szczególne grupy pacjentów</w:t>
      </w:r>
    </w:p>
    <w:p w14:paraId="7D37B5E1" w14:textId="5BAAAC9C" w:rsidR="00A350DA" w:rsidRPr="007E4DA1" w:rsidRDefault="00A350DA" w:rsidP="001A6584">
      <w:pPr>
        <w:keepNext/>
        <w:tabs>
          <w:tab w:val="left" w:pos="142"/>
        </w:tabs>
        <w:ind w:left="0" w:firstLine="0"/>
        <w:rPr>
          <w:szCs w:val="22"/>
        </w:rPr>
      </w:pPr>
    </w:p>
    <w:p w14:paraId="3CB3E350" w14:textId="77777777" w:rsidR="00041A08" w:rsidRPr="00041A08" w:rsidRDefault="00A350DA" w:rsidP="001A6584">
      <w:pPr>
        <w:keepNext/>
        <w:tabs>
          <w:tab w:val="left" w:pos="142"/>
        </w:tabs>
        <w:ind w:left="0" w:firstLine="0"/>
        <w:rPr>
          <w:color w:val="000000"/>
          <w:szCs w:val="22"/>
        </w:rPr>
      </w:pPr>
      <w:r w:rsidRPr="007E4DA1">
        <w:rPr>
          <w:i/>
          <w:color w:val="000000"/>
          <w:szCs w:val="22"/>
          <w:u w:val="single"/>
        </w:rPr>
        <w:t>Zaburzenia czynności nerek</w:t>
      </w:r>
    </w:p>
    <w:p w14:paraId="6624ADB5" w14:textId="2777DF07" w:rsidR="00A350DA" w:rsidRPr="007E4DA1" w:rsidRDefault="00A350DA" w:rsidP="001A6584">
      <w:pPr>
        <w:keepNext/>
        <w:tabs>
          <w:tab w:val="left" w:pos="142"/>
        </w:tabs>
        <w:ind w:left="0" w:firstLine="0"/>
        <w:rPr>
          <w:szCs w:val="22"/>
        </w:rPr>
      </w:pPr>
    </w:p>
    <w:p w14:paraId="2828EA32" w14:textId="77777777" w:rsidR="00A350DA" w:rsidRPr="007E4DA1" w:rsidRDefault="00A350DA" w:rsidP="001A6584">
      <w:pPr>
        <w:tabs>
          <w:tab w:val="left" w:pos="142"/>
        </w:tabs>
        <w:ind w:left="0" w:firstLine="0"/>
        <w:rPr>
          <w:color w:val="000000"/>
          <w:szCs w:val="24"/>
        </w:rPr>
      </w:pPr>
      <w:r w:rsidRPr="007E4DA1">
        <w:rPr>
          <w:color w:val="000000"/>
        </w:rPr>
        <w:t xml:space="preserve">Przebadano farmakokinetykę eltrombopagu po podaniu dorosłym pacjentom z zaburzeniami czynności nerek. Po podaniu pojedynczej dawki 50 mg, wartość </w:t>
      </w:r>
      <w:r w:rsidRPr="007E4DA1">
        <w:t>AUC</w:t>
      </w:r>
      <w:r w:rsidRPr="007E4DA1">
        <w:rPr>
          <w:szCs w:val="24"/>
          <w:vertAlign w:val="subscript"/>
        </w:rPr>
        <w:t>0-</w:t>
      </w:r>
      <w:r w:rsidRPr="007E4DA1">
        <w:rPr>
          <w:szCs w:val="24"/>
          <w:vertAlign w:val="subscript"/>
        </w:rPr>
        <w:sym w:font="Symbol" w:char="F0A5"/>
      </w:r>
      <w:r w:rsidRPr="007E4DA1">
        <w:t xml:space="preserve"> dla eltrombopagu była o 32–36% mniejsza u pacjentów z łagodnymi i umiarkowanymi zaburzeniami czynności nerek, a o 60% mniejsza u pacjentów z ciężkimi zaburzeniami czynności nerek, w porównaniu ze zdrowymi ochotnikami.</w:t>
      </w:r>
      <w:r w:rsidRPr="007E4DA1">
        <w:rPr>
          <w:color w:val="000000"/>
        </w:rPr>
        <w:t xml:space="preserve"> Zaobserwowano dużą zmienność i znaczące nakładanie się wartości parametrów ekspozycji na eltrombopag pomiędzy pacjentami z niewydolnością nerek i zdrowymi ochotnikami. Stężenie niezwiązanego (aktywnego) eltrombopagu dla tego produktu leczniczego w dużym stopniu wiążącego się z białkami nie zostało zmierzone. U pacjentów z zaburzeniami czynności nerek należy zachować ostrożność i prowadzić ścisłą kontrolę podczas stosowania </w:t>
      </w:r>
      <w:r w:rsidRPr="007E4DA1">
        <w:rPr>
          <w:color w:val="000000"/>
          <w:szCs w:val="24"/>
        </w:rPr>
        <w:t>eltrombopagu (patrz punkt</w:t>
      </w:r>
      <w:r w:rsidR="00BE611D" w:rsidRPr="007E4DA1">
        <w:rPr>
          <w:color w:val="000000"/>
          <w:szCs w:val="24"/>
        </w:rPr>
        <w:t> </w:t>
      </w:r>
      <w:r w:rsidRPr="007E4DA1">
        <w:rPr>
          <w:color w:val="000000"/>
          <w:szCs w:val="24"/>
        </w:rPr>
        <w:t xml:space="preserve">4.2). </w:t>
      </w:r>
      <w:r w:rsidRPr="007E4DA1">
        <w:t>Nie ustalono skuteczności ani bezpieczeństwa eltrombopagu u pacjentów z umiarkowanymi lub ciężkimi zaburzeniami czynności nerek i zaburzeniami czynności wątroby.</w:t>
      </w:r>
    </w:p>
    <w:p w14:paraId="05BA6777" w14:textId="77777777" w:rsidR="00041A08" w:rsidRPr="00041A08" w:rsidRDefault="00041A08" w:rsidP="001A6584">
      <w:pPr>
        <w:tabs>
          <w:tab w:val="left" w:pos="142"/>
        </w:tabs>
        <w:ind w:left="0" w:firstLine="0"/>
        <w:rPr>
          <w:color w:val="000000"/>
          <w:szCs w:val="22"/>
        </w:rPr>
      </w:pPr>
    </w:p>
    <w:p w14:paraId="783AA3AC" w14:textId="77777777" w:rsidR="00041A08" w:rsidRPr="00041A08" w:rsidRDefault="00A350DA" w:rsidP="001A6584">
      <w:pPr>
        <w:keepNext/>
        <w:tabs>
          <w:tab w:val="left" w:pos="142"/>
        </w:tabs>
        <w:ind w:left="0" w:firstLine="0"/>
        <w:rPr>
          <w:color w:val="000000"/>
          <w:szCs w:val="22"/>
        </w:rPr>
      </w:pPr>
      <w:r w:rsidRPr="007E4DA1">
        <w:rPr>
          <w:i/>
          <w:color w:val="000000"/>
          <w:szCs w:val="22"/>
          <w:u w:val="single"/>
        </w:rPr>
        <w:t>Zaburzenia czynności wątroby</w:t>
      </w:r>
    </w:p>
    <w:p w14:paraId="5B1FFA39" w14:textId="77777777" w:rsidR="00041A08" w:rsidRPr="00041A08" w:rsidRDefault="00041A08" w:rsidP="001A6584">
      <w:pPr>
        <w:keepNext/>
        <w:tabs>
          <w:tab w:val="left" w:pos="142"/>
        </w:tabs>
        <w:ind w:left="0" w:firstLine="0"/>
        <w:rPr>
          <w:color w:val="000000"/>
          <w:szCs w:val="22"/>
        </w:rPr>
      </w:pPr>
    </w:p>
    <w:p w14:paraId="5D4C6606" w14:textId="77777777" w:rsidR="00A350DA" w:rsidRPr="007E4DA1" w:rsidRDefault="00A350DA" w:rsidP="001A6584">
      <w:pPr>
        <w:tabs>
          <w:tab w:val="left" w:pos="142"/>
        </w:tabs>
        <w:ind w:left="0" w:firstLine="0"/>
        <w:rPr>
          <w:color w:val="000000"/>
        </w:rPr>
      </w:pPr>
      <w:r w:rsidRPr="007E4DA1">
        <w:t>Farmakokinetykę eltrombopagu badano po podaniu eltrombopagu dorosłym pacjentom z zaburzeniami czynności wątroby. Po podaniu pojedynczej dawki 50</w:t>
      </w:r>
      <w:r w:rsidR="00BE611D" w:rsidRPr="007E4DA1">
        <w:t> </w:t>
      </w:r>
      <w:r w:rsidRPr="007E4DA1">
        <w:t>mg wartość AUC</w:t>
      </w:r>
      <w:r w:rsidRPr="007E4DA1">
        <w:rPr>
          <w:szCs w:val="24"/>
          <w:vertAlign w:val="subscript"/>
        </w:rPr>
        <w:t>0-</w:t>
      </w:r>
      <w:r w:rsidRPr="007E4DA1">
        <w:rPr>
          <w:szCs w:val="24"/>
          <w:vertAlign w:val="subscript"/>
        </w:rPr>
        <w:sym w:font="Symbol" w:char="F0A5"/>
      </w:r>
      <w:r w:rsidRPr="007E4DA1">
        <w:t xml:space="preserve"> eltrombopagu była o 41% większa u pacjentów z łagodnymi zaburzeniami czynności wątroby i o 80–93% większa u pacjentów z umiarkowanymi i ciężkimi zaburzeniami czynności wątroby, w porównaniu ze zdrowymi ochotnikami. </w:t>
      </w:r>
      <w:r w:rsidRPr="007E4DA1">
        <w:rPr>
          <w:color w:val="000000"/>
        </w:rPr>
        <w:t>Zaobserwowano dużą zmienność i znaczące nakładanie się wartości parametrów ekspozycji na eltrombopag pomiędzy pacjentami z</w:t>
      </w:r>
      <w:r w:rsidRPr="007E4DA1">
        <w:t xml:space="preserve"> zaburzeniami czynności wątroby i zdrowymi ochotnikami</w:t>
      </w:r>
      <w:r w:rsidRPr="007E4DA1">
        <w:rPr>
          <w:color w:val="000000"/>
        </w:rPr>
        <w:t>. Stężenie niezwiązanego (aktywnego) eltrombopagu dla tego produktu leczniczego w dużym stopniu wiążącego się z białkami nie zostało zmierzone.</w:t>
      </w:r>
    </w:p>
    <w:p w14:paraId="56F2DF40" w14:textId="77777777" w:rsidR="00A350DA" w:rsidRPr="007E4DA1" w:rsidRDefault="00A350DA" w:rsidP="001A6584">
      <w:pPr>
        <w:tabs>
          <w:tab w:val="left" w:pos="142"/>
        </w:tabs>
        <w:ind w:left="0" w:firstLine="0"/>
        <w:rPr>
          <w:color w:val="000000"/>
        </w:rPr>
      </w:pPr>
    </w:p>
    <w:p w14:paraId="3E6B89BE" w14:textId="77777777" w:rsidR="00A350DA" w:rsidRPr="007E4DA1" w:rsidRDefault="00A350DA" w:rsidP="001A6584">
      <w:pPr>
        <w:tabs>
          <w:tab w:val="left" w:pos="142"/>
        </w:tabs>
        <w:ind w:left="0" w:firstLine="0"/>
        <w:rPr>
          <w:szCs w:val="24"/>
        </w:rPr>
      </w:pPr>
      <w:r w:rsidRPr="007E4DA1">
        <w:rPr>
          <w:color w:val="000000"/>
        </w:rPr>
        <w:t xml:space="preserve">Wpływ zaburzeń czynności wątroby na farmakokinetykę eltrombopagu po podaniu wielokrotnym oceniono na podstawie populacyjnej analizy farmakokinetycznej przeprowadzonej u 28 zdrowych dorosłych i </w:t>
      </w:r>
      <w:r w:rsidRPr="007E4DA1">
        <w:t>714 pacjentów z zaburzeniami czynności wątroby (673 pacjentów zakażonych wirusem WZW C i 41 pacjentów z przewlekłą chorobą wątroby o innej etiologii). Wśród 714 pacjentów u 642 występowały łagodne zaburzenia czynności wątroby, u 67 – umiarkowane zaburzenia czynności wątroby, a u 2 – ciężkie zaburzenia czynności wątroby. W porównaniu ze zdrowymi ochotnikami, u pacjentów z łagodnymi zaburzeniami czynności wątroby wartości AUC</w:t>
      </w:r>
      <w:r w:rsidRPr="007E4DA1">
        <w:rPr>
          <w:vertAlign w:val="subscript"/>
        </w:rPr>
        <w:t>(0-</w:t>
      </w:r>
      <w:r w:rsidRPr="007E4DA1">
        <w:rPr>
          <w:vertAlign w:val="subscript"/>
        </w:rPr>
        <w:sym w:font="Symbol" w:char="F074"/>
      </w:r>
      <w:r w:rsidRPr="007E4DA1">
        <w:rPr>
          <w:vertAlign w:val="subscript"/>
        </w:rPr>
        <w:t>)</w:t>
      </w:r>
      <w:r w:rsidRPr="007E4DA1">
        <w:t xml:space="preserve"> dla eltrombopagu w osoczu były o około 111% większe (95% CI: 45% do 283%), a u pacjentów z umiarkowanymi zaburzeniami czynności wątroby wartości AUC</w:t>
      </w:r>
      <w:r w:rsidRPr="007E4DA1">
        <w:rPr>
          <w:vertAlign w:val="subscript"/>
        </w:rPr>
        <w:t>(0-</w:t>
      </w:r>
      <w:r w:rsidRPr="007E4DA1">
        <w:rPr>
          <w:vertAlign w:val="subscript"/>
        </w:rPr>
        <w:sym w:font="Symbol" w:char="F074"/>
      </w:r>
      <w:r w:rsidRPr="007E4DA1">
        <w:rPr>
          <w:vertAlign w:val="subscript"/>
        </w:rPr>
        <w:t>)</w:t>
      </w:r>
      <w:r w:rsidRPr="007E4DA1">
        <w:t xml:space="preserve"> dla eltrombopagu w osoczu były o około 183% większe (95% CI: 90% do 459%).</w:t>
      </w:r>
    </w:p>
    <w:p w14:paraId="3E9022A7" w14:textId="77777777" w:rsidR="00A350DA" w:rsidRPr="007E4DA1" w:rsidRDefault="00A350DA" w:rsidP="001A6584">
      <w:pPr>
        <w:tabs>
          <w:tab w:val="left" w:pos="142"/>
        </w:tabs>
        <w:ind w:left="0" w:firstLine="0"/>
        <w:rPr>
          <w:szCs w:val="24"/>
        </w:rPr>
      </w:pPr>
    </w:p>
    <w:p w14:paraId="3A8E3856" w14:textId="77777777" w:rsidR="00A350DA" w:rsidRPr="007E4DA1" w:rsidRDefault="00A350DA" w:rsidP="001A6584">
      <w:pPr>
        <w:tabs>
          <w:tab w:val="left" w:pos="142"/>
        </w:tabs>
        <w:ind w:left="0" w:firstLine="0"/>
      </w:pPr>
      <w:r w:rsidRPr="007E4DA1">
        <w:rPr>
          <w:color w:val="000000"/>
        </w:rPr>
        <w:t xml:space="preserve">Dlatego </w:t>
      </w:r>
      <w:r w:rsidRPr="007E4DA1">
        <w:rPr>
          <w:szCs w:val="22"/>
        </w:rPr>
        <w:t xml:space="preserve">nie należy stosować eltrombopagu </w:t>
      </w:r>
      <w:r w:rsidRPr="007E4DA1">
        <w:t xml:space="preserve">u pacjentów z pierwotną małopłytkowością immunologiczną z zaburzeniami czynności wątroby (w skali Child-Pugh </w:t>
      </w:r>
      <w:r w:rsidRPr="007E4DA1">
        <w:rPr>
          <w:szCs w:val="22"/>
        </w:rPr>
        <w:t>≥5), chyba że oczekiwane korzyści przeważają zidentyfikowane ryzyko zakrzepicy żyły wrotnej (patrz punkty</w:t>
      </w:r>
      <w:r w:rsidR="00BE611D" w:rsidRPr="007E4DA1">
        <w:rPr>
          <w:szCs w:val="22"/>
        </w:rPr>
        <w:t> </w:t>
      </w:r>
      <w:r w:rsidRPr="007E4DA1">
        <w:rPr>
          <w:szCs w:val="22"/>
        </w:rPr>
        <w:t xml:space="preserve">4.2 i 4.4). </w:t>
      </w:r>
      <w:r w:rsidRPr="007E4DA1">
        <w:t>U</w:t>
      </w:r>
      <w:r w:rsidR="00BE611D" w:rsidRPr="007E4DA1">
        <w:t> </w:t>
      </w:r>
      <w:r w:rsidRPr="007E4DA1">
        <w:t>pacjentów zakażonych wirusem WZW C leczenie eltrombopagiem należy rozpoczynać od dawki 25 mg raz na dobę (patrz punkt 4.2).</w:t>
      </w:r>
    </w:p>
    <w:p w14:paraId="74CF4D2C" w14:textId="77777777" w:rsidR="00041A08" w:rsidRPr="00041A08" w:rsidRDefault="00041A08" w:rsidP="001A6584">
      <w:pPr>
        <w:tabs>
          <w:tab w:val="left" w:pos="142"/>
        </w:tabs>
        <w:ind w:left="0" w:firstLine="0"/>
        <w:rPr>
          <w:szCs w:val="22"/>
        </w:rPr>
      </w:pPr>
    </w:p>
    <w:p w14:paraId="067820E5" w14:textId="77777777" w:rsidR="00041A08" w:rsidRPr="00041A08" w:rsidRDefault="00A350DA" w:rsidP="001A6584">
      <w:pPr>
        <w:keepNext/>
        <w:tabs>
          <w:tab w:val="left" w:pos="142"/>
        </w:tabs>
        <w:ind w:left="0" w:firstLine="0"/>
        <w:rPr>
          <w:szCs w:val="22"/>
        </w:rPr>
      </w:pPr>
      <w:r w:rsidRPr="007E4DA1">
        <w:rPr>
          <w:i/>
          <w:szCs w:val="22"/>
          <w:u w:val="single"/>
        </w:rPr>
        <w:t>Rasa</w:t>
      </w:r>
    </w:p>
    <w:p w14:paraId="0A2ADA43" w14:textId="7CA5FA16" w:rsidR="00A350DA" w:rsidRPr="007E4DA1" w:rsidRDefault="00A350DA" w:rsidP="001A6584">
      <w:pPr>
        <w:keepNext/>
        <w:tabs>
          <w:tab w:val="left" w:pos="142"/>
        </w:tabs>
        <w:ind w:left="0" w:firstLine="0"/>
        <w:rPr>
          <w:szCs w:val="22"/>
        </w:rPr>
      </w:pPr>
    </w:p>
    <w:p w14:paraId="2903FB22" w14:textId="5E60D759" w:rsidR="00A350DA" w:rsidRPr="007E4DA1" w:rsidRDefault="00A350DA" w:rsidP="001A6584">
      <w:pPr>
        <w:tabs>
          <w:tab w:val="left" w:pos="142"/>
        </w:tabs>
        <w:ind w:left="0" w:firstLine="0"/>
      </w:pPr>
      <w:r w:rsidRPr="007E4DA1">
        <w:t xml:space="preserve">Wpływ pochodzenia </w:t>
      </w:r>
      <w:r w:rsidR="00A11A08" w:rsidRPr="007E4DA1">
        <w:t>wschodnio</w:t>
      </w:r>
      <w:r w:rsidRPr="007E4DA1">
        <w:t>azjatyckiego</w:t>
      </w:r>
      <w:r w:rsidR="00706F4F" w:rsidRPr="007E4DA1">
        <w:t xml:space="preserve"> </w:t>
      </w:r>
      <w:r w:rsidRPr="007E4DA1">
        <w:t>na farmakokinetykę eltrombopagu oceniano przy użyciu populacyjnej analizy farmakokinetyki u 111</w:t>
      </w:r>
      <w:r w:rsidR="00BE611D" w:rsidRPr="007E4DA1">
        <w:t> </w:t>
      </w:r>
      <w:r w:rsidRPr="007E4DA1">
        <w:t>zdrowych osób dorosłych (31</w:t>
      </w:r>
      <w:r w:rsidR="00BE611D" w:rsidRPr="007E4DA1">
        <w:t> </w:t>
      </w:r>
      <w:r w:rsidRPr="007E4DA1">
        <w:t xml:space="preserve">osób pochodzenia </w:t>
      </w:r>
      <w:r w:rsidR="00A11A08" w:rsidRPr="007E4DA1">
        <w:t>wschodnio</w:t>
      </w:r>
      <w:r w:rsidRPr="007E4DA1">
        <w:t>azjatyckiego) i 88</w:t>
      </w:r>
      <w:r w:rsidR="00BE611D" w:rsidRPr="007E4DA1">
        <w:t> </w:t>
      </w:r>
      <w:r w:rsidRPr="007E4DA1">
        <w:t xml:space="preserve">pacjentów z </w:t>
      </w:r>
      <w:r w:rsidRPr="007E4DA1">
        <w:rPr>
          <w:szCs w:val="22"/>
        </w:rPr>
        <w:t>pierwotną małopłytkowością immunologiczną</w:t>
      </w:r>
      <w:r w:rsidRPr="007E4DA1">
        <w:t xml:space="preserve"> (18</w:t>
      </w:r>
      <w:r w:rsidR="00BE611D" w:rsidRPr="007E4DA1">
        <w:t> </w:t>
      </w:r>
      <w:r w:rsidRPr="007E4DA1">
        <w:t xml:space="preserve">osób pochodzenia </w:t>
      </w:r>
      <w:r w:rsidR="00A11A08" w:rsidRPr="007E4DA1">
        <w:t>wschodnio</w:t>
      </w:r>
      <w:r w:rsidRPr="007E4DA1">
        <w:t xml:space="preserve">azjatyckiego). Na podstawie obliczeń z populacyjnej analizy farmakokinetycznej stwierdzono, że pacjenci o pochodzeniu </w:t>
      </w:r>
      <w:r w:rsidR="00A11A08" w:rsidRPr="007E4DA1">
        <w:t>wschodnio</w:t>
      </w:r>
      <w:r w:rsidRPr="007E4DA1">
        <w:t xml:space="preserve">azjatyckim z </w:t>
      </w:r>
      <w:r w:rsidRPr="007E4DA1">
        <w:rPr>
          <w:szCs w:val="22"/>
        </w:rPr>
        <w:t>pierwotną małopłytkowością immunologiczną</w:t>
      </w:r>
      <w:r w:rsidRPr="007E4DA1">
        <w:t xml:space="preserve"> mają o około </w:t>
      </w:r>
      <w:r w:rsidR="009E5645" w:rsidRPr="007E4DA1">
        <w:t>49</w:t>
      </w:r>
      <w:r w:rsidRPr="007E4DA1">
        <w:t>% większe wartości AUC</w:t>
      </w:r>
      <w:r w:rsidRPr="007E4DA1">
        <w:rPr>
          <w:vertAlign w:val="subscript"/>
        </w:rPr>
        <w:t>(0-</w:t>
      </w:r>
      <w:r w:rsidRPr="007E4DA1">
        <w:rPr>
          <w:vertAlign w:val="subscript"/>
        </w:rPr>
        <w:sym w:font="Symbol" w:char="F074"/>
      </w:r>
      <w:r w:rsidRPr="007E4DA1">
        <w:rPr>
          <w:vertAlign w:val="subscript"/>
        </w:rPr>
        <w:t>)</w:t>
      </w:r>
      <w:r w:rsidRPr="007E4DA1">
        <w:t xml:space="preserve"> eltrombopagu w osoczu w porównaniu z pacjentami </w:t>
      </w:r>
      <w:r w:rsidR="00706F4F" w:rsidRPr="007E4DA1">
        <w:t>pochodzenia nie</w:t>
      </w:r>
      <w:r w:rsidR="00A11A08" w:rsidRPr="007E4DA1">
        <w:t>wschodnio</w:t>
      </w:r>
      <w:r w:rsidR="00706F4F" w:rsidRPr="007E4DA1">
        <w:t>azjatyckiego</w:t>
      </w:r>
      <w:r w:rsidRPr="007E4DA1">
        <w:t>, którzy byli głównie rasy kaukaskiej (patrz punkt</w:t>
      </w:r>
      <w:r w:rsidR="002E41F4" w:rsidRPr="007E4DA1">
        <w:t> </w:t>
      </w:r>
      <w:r w:rsidRPr="007E4DA1">
        <w:t>4.2).</w:t>
      </w:r>
    </w:p>
    <w:p w14:paraId="18C60312" w14:textId="77777777" w:rsidR="00A350DA" w:rsidRPr="007E4DA1" w:rsidRDefault="00A350DA" w:rsidP="001A6584">
      <w:pPr>
        <w:tabs>
          <w:tab w:val="left" w:pos="142"/>
        </w:tabs>
        <w:ind w:left="0" w:firstLine="0"/>
      </w:pPr>
    </w:p>
    <w:p w14:paraId="7F709A75" w14:textId="5CAAD86B" w:rsidR="00A350DA" w:rsidRPr="007E4DA1" w:rsidRDefault="00A350DA" w:rsidP="001A6584">
      <w:pPr>
        <w:tabs>
          <w:tab w:val="left" w:pos="142"/>
          <w:tab w:val="left" w:pos="2835"/>
        </w:tabs>
        <w:ind w:left="0" w:firstLine="0"/>
      </w:pPr>
      <w:r w:rsidRPr="007E4DA1">
        <w:t xml:space="preserve">Wpływ pochodzenia etnicznego </w:t>
      </w:r>
      <w:r w:rsidR="00A11A08" w:rsidRPr="007E4DA1">
        <w:t>wschodnio-/południowo-wschodnio</w:t>
      </w:r>
      <w:r w:rsidRPr="007E4DA1">
        <w:t xml:space="preserve">azjatyckiego na farmakokinetykę eltrombopagu oceniano metodą populacyjnej analizy farmakokinetycznej u 635 pacjentów zakażonych wirusem WZW C (145 pochodzenia </w:t>
      </w:r>
      <w:r w:rsidR="00A11A08" w:rsidRPr="007E4DA1">
        <w:t>wschodnio</w:t>
      </w:r>
      <w:r w:rsidRPr="007E4DA1">
        <w:t>azjatyckiego i 69 pochodzenia południowo</w:t>
      </w:r>
      <w:r w:rsidR="00A11A08" w:rsidRPr="007E4DA1">
        <w:t>-wschodnio</w:t>
      </w:r>
      <w:r w:rsidRPr="007E4DA1">
        <w:t xml:space="preserve">azjatyckiego). Na podstawie szacunkowych danych z populacyjnej analizy farmakokinetycznej stwierdzono, że u pacjentów pochodzenia </w:t>
      </w:r>
      <w:r w:rsidR="00A11A08" w:rsidRPr="007E4DA1">
        <w:t>wschodnio-/południowo-wschodnio</w:t>
      </w:r>
      <w:r w:rsidRPr="007E4DA1">
        <w:t>azjatyckiego wartości AUC</w:t>
      </w:r>
      <w:r w:rsidRPr="007E4DA1">
        <w:rPr>
          <w:vertAlign w:val="subscript"/>
        </w:rPr>
        <w:t>(0-</w:t>
      </w:r>
      <w:r w:rsidRPr="007E4DA1">
        <w:rPr>
          <w:vertAlign w:val="subscript"/>
        </w:rPr>
        <w:sym w:font="Symbol" w:char="F074"/>
      </w:r>
      <w:r w:rsidRPr="007E4DA1">
        <w:rPr>
          <w:vertAlign w:val="subscript"/>
        </w:rPr>
        <w:t>)</w:t>
      </w:r>
      <w:r w:rsidRPr="007E4DA1">
        <w:t xml:space="preserve"> dla eltrombopagu w osoczu były o około 55% większe w porównaniu z pacjentami innych ras (głównie rasy białej) (patrz punkt 4.2).</w:t>
      </w:r>
    </w:p>
    <w:p w14:paraId="4FD08379" w14:textId="77777777" w:rsidR="00041A08" w:rsidRPr="00041A08" w:rsidRDefault="00041A08" w:rsidP="001A6584">
      <w:pPr>
        <w:tabs>
          <w:tab w:val="left" w:pos="142"/>
        </w:tabs>
        <w:ind w:left="0" w:firstLine="0"/>
        <w:rPr>
          <w:szCs w:val="22"/>
        </w:rPr>
      </w:pPr>
    </w:p>
    <w:p w14:paraId="1BA6F012" w14:textId="77777777" w:rsidR="00041A08" w:rsidRPr="00041A08" w:rsidRDefault="00A350DA" w:rsidP="001A6584">
      <w:pPr>
        <w:keepNext/>
        <w:tabs>
          <w:tab w:val="left" w:pos="142"/>
        </w:tabs>
        <w:ind w:left="0" w:firstLine="0"/>
        <w:rPr>
          <w:szCs w:val="22"/>
        </w:rPr>
      </w:pPr>
      <w:r w:rsidRPr="007E4DA1">
        <w:rPr>
          <w:i/>
          <w:szCs w:val="22"/>
          <w:u w:val="single"/>
        </w:rPr>
        <w:t>Płeć</w:t>
      </w:r>
    </w:p>
    <w:p w14:paraId="0D50A7C8" w14:textId="77777777" w:rsidR="00041A08" w:rsidRPr="00041A08" w:rsidRDefault="00041A08" w:rsidP="001A6584">
      <w:pPr>
        <w:keepNext/>
        <w:tabs>
          <w:tab w:val="left" w:pos="142"/>
        </w:tabs>
        <w:ind w:left="0" w:firstLine="0"/>
        <w:rPr>
          <w:szCs w:val="22"/>
        </w:rPr>
      </w:pPr>
    </w:p>
    <w:p w14:paraId="0B2804DF" w14:textId="77777777" w:rsidR="00A350DA" w:rsidRPr="007E4DA1" w:rsidRDefault="00A350DA" w:rsidP="001A6584">
      <w:pPr>
        <w:tabs>
          <w:tab w:val="left" w:pos="142"/>
        </w:tabs>
        <w:ind w:left="0" w:firstLine="0"/>
        <w:rPr>
          <w:color w:val="000000"/>
        </w:rPr>
      </w:pPr>
      <w:r w:rsidRPr="007E4DA1">
        <w:t>Wpływ płci na farmakokinetykę eltrombopagu oceniano przy użyciu populacyjnej analizy farmakokinetyki u 111</w:t>
      </w:r>
      <w:r w:rsidR="00BE611D" w:rsidRPr="007E4DA1">
        <w:t> </w:t>
      </w:r>
      <w:r w:rsidRPr="007E4DA1">
        <w:t>zdrowych osób dorosłych (14</w:t>
      </w:r>
      <w:r w:rsidR="00BE611D" w:rsidRPr="007E4DA1">
        <w:t> </w:t>
      </w:r>
      <w:r w:rsidRPr="007E4DA1">
        <w:t>kobiet) i 88</w:t>
      </w:r>
      <w:r w:rsidR="00BE611D" w:rsidRPr="007E4DA1">
        <w:t> </w:t>
      </w:r>
      <w:r w:rsidRPr="007E4DA1">
        <w:t xml:space="preserve">pacjentów z </w:t>
      </w:r>
      <w:r w:rsidRPr="007E4DA1">
        <w:rPr>
          <w:szCs w:val="22"/>
        </w:rPr>
        <w:t>pierwotną małopłytkowością immunologiczną</w:t>
      </w:r>
      <w:r w:rsidRPr="007E4DA1">
        <w:t xml:space="preserve"> (57</w:t>
      </w:r>
      <w:r w:rsidR="00BE611D" w:rsidRPr="007E4DA1">
        <w:t> </w:t>
      </w:r>
      <w:r w:rsidRPr="007E4DA1">
        <w:t xml:space="preserve">kobiet). W oparciu o obliczenia z populacyjnej analizy farmakokinetycznej stwierdzono, że kobiety z </w:t>
      </w:r>
      <w:r w:rsidRPr="007E4DA1">
        <w:rPr>
          <w:szCs w:val="22"/>
        </w:rPr>
        <w:t>pierwotną małopłytkowością immunologiczną</w:t>
      </w:r>
      <w:r w:rsidRPr="007E4DA1">
        <w:t xml:space="preserve"> miały o około </w:t>
      </w:r>
      <w:r w:rsidR="009D50D5" w:rsidRPr="007E4DA1">
        <w:t>23</w:t>
      </w:r>
      <w:r w:rsidRPr="007E4DA1">
        <w:t>% większe wartości AUC</w:t>
      </w:r>
      <w:r w:rsidRPr="007E4DA1">
        <w:rPr>
          <w:vertAlign w:val="subscript"/>
        </w:rPr>
        <w:t>(0-</w:t>
      </w:r>
      <w:r w:rsidRPr="007E4DA1">
        <w:rPr>
          <w:vertAlign w:val="subscript"/>
        </w:rPr>
        <w:sym w:font="Symbol" w:char="F074"/>
      </w:r>
      <w:r w:rsidRPr="007E4DA1">
        <w:rPr>
          <w:vertAlign w:val="subscript"/>
        </w:rPr>
        <w:t>)</w:t>
      </w:r>
      <w:r w:rsidRPr="007E4DA1">
        <w:t xml:space="preserve"> eltrombopagu w osoczu niż mężczyźni, bez uwzględnienia korekty na różnicę masy ciała.</w:t>
      </w:r>
    </w:p>
    <w:p w14:paraId="194FA838" w14:textId="77777777" w:rsidR="00A350DA" w:rsidRPr="007E4DA1" w:rsidRDefault="00A350DA" w:rsidP="001A6584">
      <w:pPr>
        <w:tabs>
          <w:tab w:val="left" w:pos="142"/>
        </w:tabs>
        <w:ind w:left="0" w:firstLine="0"/>
        <w:rPr>
          <w:szCs w:val="22"/>
        </w:rPr>
      </w:pPr>
    </w:p>
    <w:p w14:paraId="1FF53194" w14:textId="77777777" w:rsidR="00A350DA" w:rsidRPr="007E4DA1" w:rsidRDefault="00A350DA" w:rsidP="001A6584">
      <w:pPr>
        <w:tabs>
          <w:tab w:val="left" w:pos="142"/>
        </w:tabs>
        <w:ind w:left="0" w:firstLine="0"/>
      </w:pPr>
      <w:r w:rsidRPr="007E4DA1">
        <w:t>Wpływ płci na farmakokinetykę eltrombopagu oceniano metodą populacyjnej analizy farmakokinetycznej w grupie 635 pacjentów zakażonych wirusem WZW C (w tym 260 kobiet). Na podstawie oszacowań z tego modelu, wartości AUC</w:t>
      </w:r>
      <w:r w:rsidRPr="007E4DA1">
        <w:rPr>
          <w:vertAlign w:val="subscript"/>
        </w:rPr>
        <w:t>(0-</w:t>
      </w:r>
      <w:r w:rsidRPr="007E4DA1">
        <w:rPr>
          <w:vertAlign w:val="subscript"/>
        </w:rPr>
        <w:sym w:font="Symbol" w:char="F074"/>
      </w:r>
      <w:r w:rsidRPr="007E4DA1">
        <w:rPr>
          <w:vertAlign w:val="subscript"/>
        </w:rPr>
        <w:t>)</w:t>
      </w:r>
      <w:r w:rsidRPr="007E4DA1">
        <w:t xml:space="preserve"> dla eltrombopagu w osoczu u kobiet zakażonych wirusem WZW C były o około 41% większe niż u mężczyzn.</w:t>
      </w:r>
    </w:p>
    <w:p w14:paraId="1C7BCE50" w14:textId="77777777" w:rsidR="00A350DA" w:rsidRPr="007E4DA1" w:rsidRDefault="00A350DA" w:rsidP="001A6584">
      <w:pPr>
        <w:tabs>
          <w:tab w:val="left" w:pos="142"/>
        </w:tabs>
        <w:ind w:left="0" w:firstLine="0"/>
      </w:pPr>
    </w:p>
    <w:p w14:paraId="3DB5AD01" w14:textId="77777777" w:rsidR="00041A08" w:rsidRPr="00041A08" w:rsidRDefault="00A350DA" w:rsidP="001A6584">
      <w:pPr>
        <w:keepNext/>
        <w:tabs>
          <w:tab w:val="left" w:pos="142"/>
        </w:tabs>
        <w:ind w:left="0" w:firstLine="0"/>
      </w:pPr>
      <w:r w:rsidRPr="007E4DA1">
        <w:rPr>
          <w:i/>
          <w:u w:val="single"/>
        </w:rPr>
        <w:t>Wiek</w:t>
      </w:r>
    </w:p>
    <w:p w14:paraId="7DBAE14B" w14:textId="77777777" w:rsidR="00041A08" w:rsidRPr="00041A08" w:rsidRDefault="00041A08" w:rsidP="001A6584">
      <w:pPr>
        <w:keepNext/>
        <w:tabs>
          <w:tab w:val="left" w:pos="142"/>
        </w:tabs>
        <w:ind w:left="0" w:firstLine="0"/>
      </w:pPr>
    </w:p>
    <w:p w14:paraId="0D682999" w14:textId="77777777" w:rsidR="00A350DA" w:rsidRPr="007E4DA1" w:rsidRDefault="00A350DA" w:rsidP="001A6584">
      <w:pPr>
        <w:tabs>
          <w:tab w:val="left" w:pos="142"/>
        </w:tabs>
        <w:ind w:left="0" w:firstLine="0"/>
      </w:pPr>
      <w:r w:rsidRPr="007E4DA1">
        <w:t>Wpływ wieku na farmakokinetykę eltrombopagu oceniano metodą populacyjnej analizy farmakokinetycznej w grupie 28 zdrowych ochotników, 673 pacjentów zakażonych wirusem WZW C oraz 41 pacjentów z przewlekłą chorobą wątroby o innej etiologii, w wieku od 19 do 74 roku życia. Nie ma dostępnych danych na temat PK eltrombopagu u pacjentów w wieku ≥75 lat. Na podstawie oszacowań z tego modelu, wartości AUC</w:t>
      </w:r>
      <w:r w:rsidRPr="007E4DA1">
        <w:rPr>
          <w:vertAlign w:val="subscript"/>
        </w:rPr>
        <w:t>(0-</w:t>
      </w:r>
      <w:r w:rsidRPr="007E4DA1">
        <w:rPr>
          <w:rFonts w:ascii="Symbol" w:hAnsi="Symbol"/>
          <w:vertAlign w:val="subscript"/>
        </w:rPr>
        <w:t></w:t>
      </w:r>
      <w:r w:rsidRPr="007E4DA1">
        <w:rPr>
          <w:vertAlign w:val="subscript"/>
        </w:rPr>
        <w:t>)</w:t>
      </w:r>
      <w:r w:rsidRPr="007E4DA1">
        <w:t xml:space="preserve"> dla eltrombopagu w osoczu u pacjentów w podeszłym wieku (≥65 lat) były o około 41% większe niż u pacjentów młodszych (patrz punkt 4.2).</w:t>
      </w:r>
    </w:p>
    <w:p w14:paraId="7010933E" w14:textId="77777777" w:rsidR="009D50D5" w:rsidRPr="007E4DA1" w:rsidRDefault="009D50D5" w:rsidP="001A6584">
      <w:pPr>
        <w:tabs>
          <w:tab w:val="left" w:pos="142"/>
        </w:tabs>
        <w:ind w:left="0" w:firstLine="0"/>
        <w:rPr>
          <w:szCs w:val="22"/>
        </w:rPr>
      </w:pPr>
    </w:p>
    <w:p w14:paraId="1765270C" w14:textId="77777777" w:rsidR="00041A08" w:rsidRPr="00041A08" w:rsidRDefault="009D50D5" w:rsidP="001A6584">
      <w:pPr>
        <w:keepNext/>
        <w:tabs>
          <w:tab w:val="left" w:pos="142"/>
        </w:tabs>
        <w:ind w:left="0" w:firstLine="0"/>
        <w:rPr>
          <w:szCs w:val="22"/>
        </w:rPr>
      </w:pPr>
      <w:r w:rsidRPr="007E4DA1">
        <w:rPr>
          <w:i/>
          <w:szCs w:val="22"/>
          <w:u w:val="single"/>
        </w:rPr>
        <w:t>Dzieci i młodzież (w wieku od 1 do 17</w:t>
      </w:r>
      <w:r w:rsidR="00BE611D" w:rsidRPr="007E4DA1">
        <w:rPr>
          <w:i/>
          <w:szCs w:val="22"/>
          <w:u w:val="single"/>
        </w:rPr>
        <w:t> </w:t>
      </w:r>
      <w:r w:rsidRPr="007E4DA1">
        <w:rPr>
          <w:i/>
          <w:szCs w:val="22"/>
          <w:u w:val="single"/>
        </w:rPr>
        <w:t>lat)</w:t>
      </w:r>
    </w:p>
    <w:p w14:paraId="2660AE8F" w14:textId="0561E399" w:rsidR="009D50D5" w:rsidRPr="007E4DA1" w:rsidRDefault="009D50D5" w:rsidP="001A6584">
      <w:pPr>
        <w:keepNext/>
        <w:tabs>
          <w:tab w:val="left" w:pos="142"/>
        </w:tabs>
        <w:ind w:left="0" w:firstLine="0"/>
        <w:rPr>
          <w:szCs w:val="22"/>
        </w:rPr>
      </w:pPr>
    </w:p>
    <w:p w14:paraId="66157552" w14:textId="77777777" w:rsidR="009D50D5" w:rsidRPr="007E4DA1" w:rsidRDefault="009D50D5" w:rsidP="001A6584">
      <w:pPr>
        <w:tabs>
          <w:tab w:val="left" w:pos="142"/>
        </w:tabs>
        <w:ind w:left="0" w:firstLine="0"/>
        <w:rPr>
          <w:szCs w:val="22"/>
        </w:rPr>
      </w:pPr>
      <w:r w:rsidRPr="007E4DA1">
        <w:rPr>
          <w:szCs w:val="22"/>
        </w:rPr>
        <w:t>Farmakokinetykę eltrombopagu oceniano u 168</w:t>
      </w:r>
      <w:r w:rsidR="00BE611D" w:rsidRPr="007E4DA1">
        <w:rPr>
          <w:szCs w:val="22"/>
        </w:rPr>
        <w:t> </w:t>
      </w:r>
      <w:r w:rsidRPr="007E4DA1">
        <w:rPr>
          <w:szCs w:val="22"/>
        </w:rPr>
        <w:t xml:space="preserve">dzieci i młodzieży z </w:t>
      </w:r>
      <w:r w:rsidR="009559AD" w:rsidRPr="007E4DA1">
        <w:rPr>
          <w:szCs w:val="22"/>
        </w:rPr>
        <w:t xml:space="preserve">pierwotną </w:t>
      </w:r>
      <w:r w:rsidRPr="007E4DA1">
        <w:rPr>
          <w:szCs w:val="22"/>
        </w:rPr>
        <w:t xml:space="preserve">małopłytkowością immunologiczną, którym lek podawano raz na dobę w trakcie dwóch badań, TRA108062/PETIT i TRA115450/PETIT-2. Pozorny klirens eltrombopagu z osocza po doustnym podaniu leku (CL/F) wzrastał wraz ze wzrostem masy ciała. Wpływ rasy i płci pacjenta na szacunkowe wartości CL/F eltrombopagu z osocza był zgodny pomiędzy populacją dzieci i młodzieży a populacją pacjentów dorosłych. U dzieci i młodzieży pochodzenia </w:t>
      </w:r>
      <w:r w:rsidR="00A11A08" w:rsidRPr="007E4DA1">
        <w:rPr>
          <w:szCs w:val="22"/>
        </w:rPr>
        <w:t>wschodnio-/południowo-wschodnio</w:t>
      </w:r>
      <w:r w:rsidRPr="007E4DA1">
        <w:rPr>
          <w:szCs w:val="22"/>
        </w:rPr>
        <w:t xml:space="preserve">azjatyckiego </w:t>
      </w:r>
      <w:r w:rsidR="00332F7E" w:rsidRPr="007E4DA1">
        <w:rPr>
          <w:szCs w:val="22"/>
        </w:rPr>
        <w:t>z</w:t>
      </w:r>
      <w:r w:rsidRPr="007E4DA1">
        <w:rPr>
          <w:szCs w:val="22"/>
        </w:rPr>
        <w:t xml:space="preserve"> </w:t>
      </w:r>
      <w:r w:rsidR="009559AD" w:rsidRPr="007E4DA1">
        <w:rPr>
          <w:szCs w:val="22"/>
        </w:rPr>
        <w:t xml:space="preserve">pierwotną </w:t>
      </w:r>
      <w:r w:rsidRPr="007E4DA1">
        <w:rPr>
          <w:szCs w:val="22"/>
        </w:rPr>
        <w:t>małopłytkowoś</w:t>
      </w:r>
      <w:r w:rsidR="00332F7E" w:rsidRPr="007E4DA1">
        <w:rPr>
          <w:szCs w:val="22"/>
        </w:rPr>
        <w:t>cią</w:t>
      </w:r>
      <w:r w:rsidRPr="007E4DA1">
        <w:rPr>
          <w:szCs w:val="22"/>
        </w:rPr>
        <w:t xml:space="preserve"> immunologiczną wartości </w:t>
      </w:r>
      <w:r w:rsidRPr="007E4DA1">
        <w:t>AUC</w:t>
      </w:r>
      <w:r w:rsidRPr="007E4DA1">
        <w:rPr>
          <w:vertAlign w:val="subscript"/>
        </w:rPr>
        <w:t>(0-</w:t>
      </w:r>
      <w:r w:rsidRPr="007E4DA1">
        <w:rPr>
          <w:vertAlign w:val="subscript"/>
        </w:rPr>
        <w:sym w:font="Symbol" w:char="F074"/>
      </w:r>
      <w:r w:rsidRPr="007E4DA1">
        <w:rPr>
          <w:vertAlign w:val="subscript"/>
        </w:rPr>
        <w:t>)</w:t>
      </w:r>
      <w:r w:rsidRPr="007E4DA1">
        <w:rPr>
          <w:szCs w:val="22"/>
        </w:rPr>
        <w:t xml:space="preserve"> eltrombopagu w osoczu były o około 43% większe niż u pacjentów pochodzenia nieazjatyckiego. U dziewcząt z </w:t>
      </w:r>
      <w:r w:rsidR="00C93C3C" w:rsidRPr="007E4DA1">
        <w:rPr>
          <w:szCs w:val="22"/>
        </w:rPr>
        <w:t xml:space="preserve">pierwotną </w:t>
      </w:r>
      <w:r w:rsidRPr="007E4DA1">
        <w:rPr>
          <w:szCs w:val="22"/>
        </w:rPr>
        <w:t xml:space="preserve">małopłytkowością immunologiczną wartości </w:t>
      </w:r>
      <w:r w:rsidRPr="007E4DA1">
        <w:t>AUC</w:t>
      </w:r>
      <w:r w:rsidRPr="007E4DA1">
        <w:rPr>
          <w:vertAlign w:val="subscript"/>
        </w:rPr>
        <w:t>(0-</w:t>
      </w:r>
      <w:r w:rsidRPr="007E4DA1">
        <w:rPr>
          <w:vertAlign w:val="subscript"/>
        </w:rPr>
        <w:sym w:font="Symbol" w:char="F074"/>
      </w:r>
      <w:r w:rsidRPr="007E4DA1">
        <w:rPr>
          <w:vertAlign w:val="subscript"/>
        </w:rPr>
        <w:t>)</w:t>
      </w:r>
      <w:r w:rsidRPr="007E4DA1">
        <w:rPr>
          <w:szCs w:val="22"/>
        </w:rPr>
        <w:t xml:space="preserve"> eltrombopagu w osoczu były o około 25% większe niż u chłopców.</w:t>
      </w:r>
    </w:p>
    <w:p w14:paraId="6042AEAB" w14:textId="77777777" w:rsidR="009D50D5" w:rsidRPr="007E4DA1" w:rsidRDefault="009D50D5" w:rsidP="001A6584">
      <w:pPr>
        <w:tabs>
          <w:tab w:val="left" w:pos="142"/>
        </w:tabs>
        <w:ind w:left="0" w:firstLine="0"/>
        <w:rPr>
          <w:szCs w:val="22"/>
        </w:rPr>
      </w:pPr>
    </w:p>
    <w:p w14:paraId="7933B4D4" w14:textId="3D5EDF14" w:rsidR="009D50D5" w:rsidRPr="007E4DA1" w:rsidRDefault="009D50D5" w:rsidP="001A6584">
      <w:pPr>
        <w:tabs>
          <w:tab w:val="left" w:pos="142"/>
        </w:tabs>
        <w:ind w:left="0" w:firstLine="0"/>
        <w:rPr>
          <w:szCs w:val="22"/>
        </w:rPr>
      </w:pPr>
      <w:r w:rsidRPr="007E4DA1">
        <w:rPr>
          <w:szCs w:val="22"/>
        </w:rPr>
        <w:t xml:space="preserve">Parametry farmakokinetyczne eltrombopagu u dzieci i młodzieży z </w:t>
      </w:r>
      <w:r w:rsidR="009559AD" w:rsidRPr="007E4DA1">
        <w:rPr>
          <w:szCs w:val="22"/>
        </w:rPr>
        <w:t xml:space="preserve">pierwotną </w:t>
      </w:r>
      <w:r w:rsidRPr="007E4DA1">
        <w:rPr>
          <w:szCs w:val="22"/>
        </w:rPr>
        <w:t xml:space="preserve">małopłytkowością immunologiczną przedstawiono w </w:t>
      </w:r>
      <w:r w:rsidR="00C00A76">
        <w:rPr>
          <w:szCs w:val="22"/>
        </w:rPr>
        <w:t>t</w:t>
      </w:r>
      <w:r w:rsidRPr="007E4DA1">
        <w:rPr>
          <w:szCs w:val="22"/>
        </w:rPr>
        <w:t>abeli </w:t>
      </w:r>
      <w:r w:rsidR="001C1AF1">
        <w:rPr>
          <w:szCs w:val="22"/>
        </w:rPr>
        <w:t>14</w:t>
      </w:r>
      <w:r w:rsidRPr="007E4DA1">
        <w:rPr>
          <w:szCs w:val="22"/>
        </w:rPr>
        <w:t>.</w:t>
      </w:r>
    </w:p>
    <w:p w14:paraId="4FAD19A2" w14:textId="77777777" w:rsidR="009D50D5" w:rsidRPr="007E4DA1" w:rsidRDefault="009D50D5" w:rsidP="001A6584">
      <w:pPr>
        <w:tabs>
          <w:tab w:val="left" w:pos="142"/>
        </w:tabs>
        <w:ind w:left="0" w:firstLine="0"/>
        <w:rPr>
          <w:szCs w:val="22"/>
        </w:rPr>
      </w:pPr>
    </w:p>
    <w:p w14:paraId="131903B6" w14:textId="7BA0CA7E" w:rsidR="00041A08" w:rsidRPr="00041A08" w:rsidRDefault="009D50D5" w:rsidP="001A6584">
      <w:pPr>
        <w:keepNext/>
        <w:ind w:left="1134" w:hanging="1134"/>
        <w:rPr>
          <w:szCs w:val="22"/>
        </w:rPr>
      </w:pPr>
      <w:r w:rsidRPr="007E4DA1">
        <w:rPr>
          <w:b/>
          <w:szCs w:val="22"/>
        </w:rPr>
        <w:t>Tabela </w:t>
      </w:r>
      <w:r w:rsidR="001C1AF1">
        <w:rPr>
          <w:b/>
          <w:szCs w:val="22"/>
        </w:rPr>
        <w:t>14</w:t>
      </w:r>
      <w:r w:rsidR="00706F4F" w:rsidRPr="007E4DA1">
        <w:rPr>
          <w:b/>
          <w:szCs w:val="22"/>
        </w:rPr>
        <w:tab/>
      </w:r>
      <w:r w:rsidRPr="007E4DA1">
        <w:rPr>
          <w:b/>
          <w:szCs w:val="22"/>
        </w:rPr>
        <w:t xml:space="preserve">Średnia geometryczna (95% CI) parametrów farmakokinetycznych eltrombopagu w osoczu w stanie stacjonarnym u dzieci i młodzieży z </w:t>
      </w:r>
      <w:r w:rsidR="00BE1E41" w:rsidRPr="007E4DA1">
        <w:rPr>
          <w:b/>
          <w:szCs w:val="22"/>
        </w:rPr>
        <w:t xml:space="preserve">pierwotną </w:t>
      </w:r>
      <w:r w:rsidRPr="007E4DA1">
        <w:rPr>
          <w:b/>
          <w:szCs w:val="22"/>
        </w:rPr>
        <w:t>małopłytkowością immunologiczną (schemat dawkowania 50</w:t>
      </w:r>
      <w:r w:rsidR="00BE611D" w:rsidRPr="007E4DA1">
        <w:rPr>
          <w:b/>
          <w:szCs w:val="22"/>
        </w:rPr>
        <w:t> </w:t>
      </w:r>
      <w:r w:rsidRPr="007E4DA1">
        <w:rPr>
          <w:b/>
          <w:szCs w:val="22"/>
        </w:rPr>
        <w:t>mg raz na dobę)</w:t>
      </w:r>
    </w:p>
    <w:p w14:paraId="7BCD1874" w14:textId="7B129632" w:rsidR="009D50D5" w:rsidRPr="007E4DA1" w:rsidRDefault="009D50D5" w:rsidP="001A6584">
      <w:pPr>
        <w:keepNext/>
        <w:tabs>
          <w:tab w:val="left" w:pos="567"/>
        </w:tabs>
        <w:ind w:left="0" w:firstLine="0"/>
        <w:rPr>
          <w:szCs w:val="20"/>
          <w:lang w:eastAsia="en-US"/>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2"/>
        <w:gridCol w:w="2759"/>
        <w:gridCol w:w="2759"/>
      </w:tblGrid>
      <w:tr w:rsidR="009D50D5" w:rsidRPr="007E4DA1" w14:paraId="4766BEFD" w14:textId="77777777" w:rsidTr="00553AB7">
        <w:trPr>
          <w:cantSplit/>
        </w:trPr>
        <w:tc>
          <w:tcPr>
            <w:tcW w:w="1810" w:type="pct"/>
          </w:tcPr>
          <w:p w14:paraId="0630096A" w14:textId="77777777" w:rsidR="009D50D5" w:rsidRPr="007E4DA1" w:rsidRDefault="009D50D5" w:rsidP="001A6584">
            <w:pPr>
              <w:keepNext/>
              <w:ind w:left="0" w:firstLine="0"/>
              <w:rPr>
                <w:b/>
                <w:szCs w:val="22"/>
                <w:lang w:eastAsia="en-GB"/>
              </w:rPr>
            </w:pPr>
            <w:r w:rsidRPr="007E4DA1">
              <w:rPr>
                <w:b/>
                <w:szCs w:val="22"/>
                <w:lang w:eastAsia="en-GB"/>
              </w:rPr>
              <w:t>Wiek</w:t>
            </w:r>
          </w:p>
        </w:tc>
        <w:tc>
          <w:tcPr>
            <w:tcW w:w="1595" w:type="pct"/>
          </w:tcPr>
          <w:p w14:paraId="1DDD81D6" w14:textId="77777777" w:rsidR="00041A08" w:rsidRPr="00041A08" w:rsidRDefault="009D50D5" w:rsidP="001A6584">
            <w:pPr>
              <w:keepNext/>
              <w:ind w:left="0" w:firstLine="0"/>
              <w:jc w:val="center"/>
              <w:rPr>
                <w:szCs w:val="22"/>
                <w:vertAlign w:val="subscript"/>
                <w:lang w:eastAsia="en-GB"/>
              </w:rPr>
            </w:pPr>
            <w:r w:rsidRPr="007E4DA1">
              <w:rPr>
                <w:b/>
                <w:szCs w:val="22"/>
                <w:lang w:eastAsia="en-GB"/>
              </w:rPr>
              <w:t>C</w:t>
            </w:r>
            <w:r w:rsidRPr="007E4DA1">
              <w:rPr>
                <w:b/>
                <w:szCs w:val="22"/>
                <w:vertAlign w:val="subscript"/>
                <w:lang w:eastAsia="en-GB"/>
              </w:rPr>
              <w:t>max</w:t>
            </w:r>
          </w:p>
          <w:p w14:paraId="3A8D988D" w14:textId="41B02739" w:rsidR="009D50D5" w:rsidRPr="007E4DA1" w:rsidRDefault="009D50D5" w:rsidP="001A6584">
            <w:pPr>
              <w:keepNext/>
              <w:ind w:left="0" w:firstLine="0"/>
              <w:jc w:val="center"/>
              <w:rPr>
                <w:b/>
                <w:szCs w:val="22"/>
                <w:lang w:eastAsia="en-GB"/>
              </w:rPr>
            </w:pPr>
            <w:r w:rsidRPr="007E4DA1">
              <w:rPr>
                <w:b/>
                <w:szCs w:val="22"/>
                <w:lang w:eastAsia="en-GB"/>
              </w:rPr>
              <w:t>(µg/ml)</w:t>
            </w:r>
          </w:p>
        </w:tc>
        <w:tc>
          <w:tcPr>
            <w:tcW w:w="1595" w:type="pct"/>
          </w:tcPr>
          <w:p w14:paraId="5CE2EBCE" w14:textId="77777777" w:rsidR="00041A08" w:rsidRPr="00041A08" w:rsidRDefault="009D50D5" w:rsidP="001A6584">
            <w:pPr>
              <w:keepNext/>
              <w:ind w:left="0" w:firstLine="0"/>
              <w:jc w:val="center"/>
              <w:rPr>
                <w:szCs w:val="22"/>
                <w:vertAlign w:val="subscript"/>
                <w:lang w:eastAsia="en-GB"/>
              </w:rPr>
            </w:pPr>
            <w:r w:rsidRPr="007E4DA1">
              <w:rPr>
                <w:b/>
                <w:szCs w:val="22"/>
                <w:lang w:eastAsia="en-GB"/>
              </w:rPr>
              <w:t>AUC</w:t>
            </w:r>
            <w:r w:rsidRPr="007E4DA1">
              <w:rPr>
                <w:b/>
                <w:szCs w:val="22"/>
                <w:vertAlign w:val="subscript"/>
                <w:lang w:eastAsia="en-GB"/>
              </w:rPr>
              <w:t>(0-</w:t>
            </w:r>
            <w:r w:rsidRPr="007E4DA1">
              <w:rPr>
                <w:b/>
                <w:szCs w:val="22"/>
                <w:vertAlign w:val="subscript"/>
                <w:lang w:eastAsia="en-GB"/>
              </w:rPr>
              <w:sym w:font="Symbol" w:char="F074"/>
            </w:r>
            <w:r w:rsidRPr="007E4DA1">
              <w:rPr>
                <w:b/>
                <w:szCs w:val="22"/>
                <w:vertAlign w:val="subscript"/>
                <w:lang w:eastAsia="en-GB"/>
              </w:rPr>
              <w:t>)</w:t>
            </w:r>
          </w:p>
          <w:p w14:paraId="68816759" w14:textId="55CAB732" w:rsidR="009D50D5" w:rsidRPr="007E4DA1" w:rsidRDefault="009D50D5" w:rsidP="001A6584">
            <w:pPr>
              <w:keepNext/>
              <w:ind w:left="0" w:firstLine="0"/>
              <w:jc w:val="center"/>
              <w:rPr>
                <w:b/>
                <w:szCs w:val="22"/>
                <w:lang w:eastAsia="en-GB"/>
              </w:rPr>
            </w:pPr>
            <w:r w:rsidRPr="007E4DA1">
              <w:rPr>
                <w:b/>
                <w:szCs w:val="22"/>
                <w:lang w:eastAsia="en-GB"/>
              </w:rPr>
              <w:t>(µg.hr/ml)</w:t>
            </w:r>
          </w:p>
        </w:tc>
      </w:tr>
      <w:tr w:rsidR="009D50D5" w:rsidRPr="007E4DA1" w14:paraId="0186D061" w14:textId="77777777" w:rsidTr="00553AB7">
        <w:trPr>
          <w:cantSplit/>
        </w:trPr>
        <w:tc>
          <w:tcPr>
            <w:tcW w:w="1810" w:type="pct"/>
          </w:tcPr>
          <w:p w14:paraId="4BB9BAD7" w14:textId="77777777" w:rsidR="009D50D5" w:rsidRPr="007E4DA1" w:rsidRDefault="009D50D5" w:rsidP="001A6584">
            <w:pPr>
              <w:keepNext/>
              <w:ind w:left="0" w:firstLine="0"/>
              <w:rPr>
                <w:szCs w:val="22"/>
                <w:lang w:eastAsia="en-GB"/>
              </w:rPr>
            </w:pPr>
            <w:r w:rsidRPr="007E4DA1">
              <w:rPr>
                <w:szCs w:val="22"/>
                <w:lang w:eastAsia="en-GB"/>
              </w:rPr>
              <w:t>12 do 17 lat (n=62)</w:t>
            </w:r>
          </w:p>
        </w:tc>
        <w:tc>
          <w:tcPr>
            <w:tcW w:w="1595" w:type="pct"/>
            <w:shd w:val="clear" w:color="auto" w:fill="auto"/>
          </w:tcPr>
          <w:p w14:paraId="2F419629" w14:textId="77777777" w:rsidR="009D50D5" w:rsidRPr="007E4DA1" w:rsidRDefault="009D50D5" w:rsidP="001A6584">
            <w:pPr>
              <w:keepNext/>
              <w:ind w:left="0" w:firstLine="0"/>
              <w:jc w:val="center"/>
              <w:rPr>
                <w:szCs w:val="22"/>
                <w:lang w:eastAsia="en-GB"/>
              </w:rPr>
            </w:pPr>
            <w:r w:rsidRPr="007E4DA1">
              <w:rPr>
                <w:szCs w:val="22"/>
                <w:lang w:eastAsia="en-GB"/>
              </w:rPr>
              <w:t>6,80</w:t>
            </w:r>
          </w:p>
          <w:p w14:paraId="022A6463" w14:textId="77777777" w:rsidR="009D50D5" w:rsidRPr="007E4DA1" w:rsidRDefault="009D50D5" w:rsidP="001A6584">
            <w:pPr>
              <w:keepNext/>
              <w:ind w:left="0" w:firstLine="0"/>
              <w:jc w:val="center"/>
              <w:rPr>
                <w:szCs w:val="22"/>
                <w:lang w:eastAsia="en-GB"/>
              </w:rPr>
            </w:pPr>
            <w:r w:rsidRPr="007E4DA1">
              <w:rPr>
                <w:szCs w:val="22"/>
                <w:lang w:eastAsia="en-GB"/>
              </w:rPr>
              <w:t>(6,17; 7,50)</w:t>
            </w:r>
          </w:p>
        </w:tc>
        <w:tc>
          <w:tcPr>
            <w:tcW w:w="1595" w:type="pct"/>
            <w:shd w:val="clear" w:color="auto" w:fill="auto"/>
          </w:tcPr>
          <w:p w14:paraId="2F59D400" w14:textId="77777777" w:rsidR="009D50D5" w:rsidRPr="007E4DA1" w:rsidRDefault="009D50D5" w:rsidP="001A6584">
            <w:pPr>
              <w:keepNext/>
              <w:ind w:left="0" w:firstLine="0"/>
              <w:jc w:val="center"/>
              <w:rPr>
                <w:szCs w:val="22"/>
                <w:lang w:eastAsia="en-GB"/>
              </w:rPr>
            </w:pPr>
            <w:r w:rsidRPr="007E4DA1">
              <w:rPr>
                <w:szCs w:val="22"/>
                <w:lang w:eastAsia="en-GB"/>
              </w:rPr>
              <w:t>103</w:t>
            </w:r>
          </w:p>
          <w:p w14:paraId="2426DA06" w14:textId="77777777" w:rsidR="009D50D5" w:rsidRPr="007E4DA1" w:rsidRDefault="009D50D5" w:rsidP="001A6584">
            <w:pPr>
              <w:keepNext/>
              <w:ind w:left="0" w:firstLine="0"/>
              <w:jc w:val="center"/>
              <w:rPr>
                <w:szCs w:val="22"/>
                <w:lang w:eastAsia="en-GB"/>
              </w:rPr>
            </w:pPr>
            <w:r w:rsidRPr="007E4DA1">
              <w:rPr>
                <w:szCs w:val="22"/>
                <w:lang w:eastAsia="en-GB"/>
              </w:rPr>
              <w:t>(91,1; 116)</w:t>
            </w:r>
          </w:p>
        </w:tc>
      </w:tr>
      <w:tr w:rsidR="009D50D5" w:rsidRPr="007E4DA1" w14:paraId="413E0174" w14:textId="77777777" w:rsidTr="00553AB7">
        <w:trPr>
          <w:cantSplit/>
        </w:trPr>
        <w:tc>
          <w:tcPr>
            <w:tcW w:w="1810" w:type="pct"/>
          </w:tcPr>
          <w:p w14:paraId="2BF4D58F" w14:textId="77777777" w:rsidR="009D50D5" w:rsidRPr="007E4DA1" w:rsidRDefault="009D50D5" w:rsidP="001A6584">
            <w:pPr>
              <w:keepNext/>
              <w:ind w:left="0" w:firstLine="0"/>
              <w:rPr>
                <w:szCs w:val="22"/>
                <w:lang w:eastAsia="en-GB"/>
              </w:rPr>
            </w:pPr>
            <w:r w:rsidRPr="007E4DA1">
              <w:rPr>
                <w:szCs w:val="22"/>
                <w:lang w:eastAsia="en-GB"/>
              </w:rPr>
              <w:t>6 do 11 lat (n=68)</w:t>
            </w:r>
          </w:p>
        </w:tc>
        <w:tc>
          <w:tcPr>
            <w:tcW w:w="1595" w:type="pct"/>
            <w:shd w:val="clear" w:color="auto" w:fill="auto"/>
          </w:tcPr>
          <w:p w14:paraId="6AB18AE4" w14:textId="77777777" w:rsidR="009D50D5" w:rsidRPr="007E4DA1" w:rsidRDefault="009D50D5" w:rsidP="001A6584">
            <w:pPr>
              <w:keepNext/>
              <w:ind w:left="0" w:firstLine="0"/>
              <w:jc w:val="center"/>
              <w:rPr>
                <w:szCs w:val="22"/>
                <w:lang w:eastAsia="en-GB"/>
              </w:rPr>
            </w:pPr>
            <w:r w:rsidRPr="007E4DA1">
              <w:rPr>
                <w:szCs w:val="22"/>
                <w:lang w:eastAsia="en-GB"/>
              </w:rPr>
              <w:t>10,3</w:t>
            </w:r>
          </w:p>
          <w:p w14:paraId="382A3E28" w14:textId="77777777" w:rsidR="009D50D5" w:rsidRPr="007E4DA1" w:rsidRDefault="009D50D5" w:rsidP="001A6584">
            <w:pPr>
              <w:keepNext/>
              <w:ind w:left="0" w:firstLine="0"/>
              <w:jc w:val="center"/>
              <w:rPr>
                <w:szCs w:val="22"/>
                <w:lang w:eastAsia="en-GB"/>
              </w:rPr>
            </w:pPr>
            <w:r w:rsidRPr="007E4DA1">
              <w:rPr>
                <w:szCs w:val="22"/>
                <w:lang w:eastAsia="en-GB"/>
              </w:rPr>
              <w:t>(9,42; 11,2)</w:t>
            </w:r>
          </w:p>
        </w:tc>
        <w:tc>
          <w:tcPr>
            <w:tcW w:w="1595" w:type="pct"/>
            <w:shd w:val="clear" w:color="auto" w:fill="auto"/>
          </w:tcPr>
          <w:p w14:paraId="479F6749" w14:textId="77777777" w:rsidR="009D50D5" w:rsidRPr="007E4DA1" w:rsidRDefault="009D50D5" w:rsidP="001A6584">
            <w:pPr>
              <w:keepNext/>
              <w:ind w:left="0" w:firstLine="0"/>
              <w:jc w:val="center"/>
              <w:rPr>
                <w:szCs w:val="22"/>
                <w:lang w:eastAsia="en-GB"/>
              </w:rPr>
            </w:pPr>
            <w:r w:rsidRPr="007E4DA1">
              <w:rPr>
                <w:szCs w:val="22"/>
                <w:lang w:eastAsia="en-GB"/>
              </w:rPr>
              <w:t>153</w:t>
            </w:r>
          </w:p>
          <w:p w14:paraId="494A44CB" w14:textId="77777777" w:rsidR="009D50D5" w:rsidRPr="007E4DA1" w:rsidRDefault="009D50D5" w:rsidP="001A6584">
            <w:pPr>
              <w:keepNext/>
              <w:ind w:left="0" w:firstLine="0"/>
              <w:jc w:val="center"/>
              <w:rPr>
                <w:szCs w:val="22"/>
                <w:lang w:eastAsia="en-GB"/>
              </w:rPr>
            </w:pPr>
            <w:r w:rsidRPr="007E4DA1">
              <w:rPr>
                <w:szCs w:val="22"/>
                <w:lang w:eastAsia="en-GB"/>
              </w:rPr>
              <w:t>(137, 170)</w:t>
            </w:r>
          </w:p>
        </w:tc>
      </w:tr>
      <w:tr w:rsidR="009D50D5" w:rsidRPr="007E4DA1" w14:paraId="528C148B" w14:textId="77777777" w:rsidTr="00553AB7">
        <w:trPr>
          <w:cantSplit/>
        </w:trPr>
        <w:tc>
          <w:tcPr>
            <w:tcW w:w="1810" w:type="pct"/>
          </w:tcPr>
          <w:p w14:paraId="02CA9397" w14:textId="77777777" w:rsidR="009D50D5" w:rsidRPr="007E4DA1" w:rsidRDefault="009D50D5" w:rsidP="001A6584">
            <w:pPr>
              <w:keepNext/>
              <w:ind w:left="0" w:firstLine="0"/>
              <w:rPr>
                <w:szCs w:val="22"/>
                <w:lang w:eastAsia="en-GB"/>
              </w:rPr>
            </w:pPr>
            <w:r w:rsidRPr="007E4DA1">
              <w:rPr>
                <w:szCs w:val="22"/>
                <w:lang w:eastAsia="en-GB"/>
              </w:rPr>
              <w:t>1 do 5 lat (n=38)</w:t>
            </w:r>
          </w:p>
        </w:tc>
        <w:tc>
          <w:tcPr>
            <w:tcW w:w="1595" w:type="pct"/>
          </w:tcPr>
          <w:p w14:paraId="308CB02B" w14:textId="77777777" w:rsidR="009D50D5" w:rsidRPr="007E4DA1" w:rsidRDefault="009D50D5" w:rsidP="001A6584">
            <w:pPr>
              <w:keepNext/>
              <w:ind w:left="0" w:firstLine="0"/>
              <w:jc w:val="center"/>
              <w:rPr>
                <w:szCs w:val="22"/>
                <w:lang w:eastAsia="en-GB"/>
              </w:rPr>
            </w:pPr>
            <w:r w:rsidRPr="007E4DA1">
              <w:rPr>
                <w:szCs w:val="22"/>
                <w:lang w:eastAsia="en-GB"/>
              </w:rPr>
              <w:t>11,6</w:t>
            </w:r>
          </w:p>
          <w:p w14:paraId="204F30D3" w14:textId="77777777" w:rsidR="009D50D5" w:rsidRPr="007E4DA1" w:rsidRDefault="009D50D5" w:rsidP="001A6584">
            <w:pPr>
              <w:keepNext/>
              <w:ind w:left="0" w:firstLine="0"/>
              <w:jc w:val="center"/>
              <w:rPr>
                <w:szCs w:val="22"/>
                <w:lang w:eastAsia="en-GB"/>
              </w:rPr>
            </w:pPr>
            <w:r w:rsidRPr="007E4DA1">
              <w:rPr>
                <w:szCs w:val="22"/>
                <w:lang w:eastAsia="en-GB"/>
              </w:rPr>
              <w:t>(10,4; 12,9)</w:t>
            </w:r>
          </w:p>
        </w:tc>
        <w:tc>
          <w:tcPr>
            <w:tcW w:w="1595" w:type="pct"/>
          </w:tcPr>
          <w:p w14:paraId="1910D8E9" w14:textId="77777777" w:rsidR="009D50D5" w:rsidRPr="007E4DA1" w:rsidRDefault="009D50D5" w:rsidP="001A6584">
            <w:pPr>
              <w:keepNext/>
              <w:ind w:left="0" w:firstLine="0"/>
              <w:jc w:val="center"/>
              <w:rPr>
                <w:szCs w:val="22"/>
                <w:lang w:eastAsia="en-GB"/>
              </w:rPr>
            </w:pPr>
            <w:r w:rsidRPr="007E4DA1">
              <w:rPr>
                <w:szCs w:val="22"/>
                <w:lang w:eastAsia="en-GB"/>
              </w:rPr>
              <w:t>162</w:t>
            </w:r>
          </w:p>
          <w:p w14:paraId="365E1659" w14:textId="77777777" w:rsidR="009D50D5" w:rsidRPr="007E4DA1" w:rsidRDefault="009D50D5" w:rsidP="001A6584">
            <w:pPr>
              <w:keepNext/>
              <w:ind w:left="0" w:firstLine="0"/>
              <w:jc w:val="center"/>
              <w:rPr>
                <w:szCs w:val="22"/>
                <w:lang w:eastAsia="en-GB"/>
              </w:rPr>
            </w:pPr>
            <w:r w:rsidRPr="007E4DA1">
              <w:rPr>
                <w:szCs w:val="22"/>
                <w:lang w:eastAsia="en-GB"/>
              </w:rPr>
              <w:t>(139, 187)</w:t>
            </w:r>
          </w:p>
        </w:tc>
      </w:tr>
      <w:tr w:rsidR="001C1AF1" w:rsidRPr="007E4DA1" w14:paraId="49EB5465" w14:textId="77777777" w:rsidTr="00553AB7">
        <w:trPr>
          <w:cantSplit/>
        </w:trPr>
        <w:tc>
          <w:tcPr>
            <w:tcW w:w="5000" w:type="pct"/>
            <w:gridSpan w:val="3"/>
          </w:tcPr>
          <w:p w14:paraId="22EF1AFE" w14:textId="202368E4" w:rsidR="001C1AF1" w:rsidRPr="00553AB7" w:rsidRDefault="001C1AF1" w:rsidP="00553AB7">
            <w:pPr>
              <w:tabs>
                <w:tab w:val="left" w:pos="360"/>
              </w:tabs>
              <w:ind w:left="0" w:firstLine="0"/>
              <w:rPr>
                <w:sz w:val="20"/>
                <w:szCs w:val="20"/>
                <w:lang w:eastAsia="en-GB"/>
              </w:rPr>
            </w:pPr>
            <w:r w:rsidRPr="00553AB7">
              <w:rPr>
                <w:sz w:val="20"/>
                <w:szCs w:val="20"/>
                <w:lang w:eastAsia="en-GB"/>
              </w:rPr>
              <w:t>Dane przedstawiono jako średnie geometryczne (95%CI). AUC</w:t>
            </w:r>
            <w:r w:rsidRPr="00553AB7">
              <w:rPr>
                <w:sz w:val="20"/>
                <w:szCs w:val="20"/>
                <w:vertAlign w:val="subscript"/>
                <w:lang w:eastAsia="en-GB"/>
              </w:rPr>
              <w:t>(0-</w:t>
            </w:r>
            <w:r w:rsidRPr="00553AB7">
              <w:rPr>
                <w:sz w:val="20"/>
                <w:szCs w:val="20"/>
                <w:vertAlign w:val="subscript"/>
                <w:lang w:eastAsia="en-GB"/>
              </w:rPr>
              <w:sym w:font="Symbol" w:char="F074"/>
            </w:r>
            <w:r w:rsidRPr="00553AB7">
              <w:rPr>
                <w:sz w:val="20"/>
                <w:szCs w:val="20"/>
                <w:vertAlign w:val="subscript"/>
                <w:lang w:eastAsia="en-GB"/>
              </w:rPr>
              <w:t>)</w:t>
            </w:r>
            <w:r w:rsidRPr="00553AB7">
              <w:rPr>
                <w:sz w:val="20"/>
                <w:szCs w:val="20"/>
                <w:lang w:eastAsia="en-GB"/>
              </w:rPr>
              <w:t xml:space="preserve"> i C</w:t>
            </w:r>
            <w:r w:rsidRPr="00553AB7">
              <w:rPr>
                <w:sz w:val="20"/>
                <w:szCs w:val="20"/>
                <w:vertAlign w:val="subscript"/>
                <w:lang w:eastAsia="en-GB"/>
              </w:rPr>
              <w:t>max</w:t>
            </w:r>
            <w:r w:rsidRPr="00553AB7">
              <w:rPr>
                <w:sz w:val="20"/>
                <w:szCs w:val="20"/>
                <w:lang w:eastAsia="en-GB"/>
              </w:rPr>
              <w:t xml:space="preserve"> podano na podstawie wartości szacunkowych post hoc PK populacyjnej.</w:t>
            </w:r>
          </w:p>
        </w:tc>
      </w:tr>
    </w:tbl>
    <w:p w14:paraId="561509B1" w14:textId="77777777" w:rsidR="00B34261" w:rsidRDefault="00B34261" w:rsidP="001A6584">
      <w:pPr>
        <w:keepNext/>
        <w:tabs>
          <w:tab w:val="left" w:pos="142"/>
        </w:tabs>
        <w:ind w:left="0" w:firstLine="0"/>
        <w:rPr>
          <w:szCs w:val="22"/>
        </w:rPr>
      </w:pPr>
    </w:p>
    <w:p w14:paraId="0021B63A" w14:textId="38D35114" w:rsidR="00B34261" w:rsidRDefault="00B34261" w:rsidP="00C00A76">
      <w:pPr>
        <w:tabs>
          <w:tab w:val="left" w:pos="142"/>
        </w:tabs>
        <w:ind w:left="0" w:firstLine="0"/>
        <w:rPr>
          <w:szCs w:val="22"/>
        </w:rPr>
      </w:pPr>
      <w:r>
        <w:rPr>
          <w:szCs w:val="22"/>
        </w:rPr>
        <w:t>Dane dotyczące farmakokinetyki eltrombopagu w osoczu zebrane w stanie stacjonarnym po podaniu największej dawki u poszczególnych pacjentów z grupy 38</w:t>
      </w:r>
      <w:r w:rsidR="00EC4057">
        <w:rPr>
          <w:szCs w:val="22"/>
        </w:rPr>
        <w:t> </w:t>
      </w:r>
      <w:r>
        <w:rPr>
          <w:szCs w:val="22"/>
        </w:rPr>
        <w:t>dzieci i młodzieży otrzymujących pierwszą linię (kohorta</w:t>
      </w:r>
      <w:r w:rsidR="00EC4057">
        <w:rPr>
          <w:szCs w:val="22"/>
        </w:rPr>
        <w:t> </w:t>
      </w:r>
      <w:r>
        <w:rPr>
          <w:szCs w:val="22"/>
        </w:rPr>
        <w:t>B) lub drugą linię (kohorta</w:t>
      </w:r>
      <w:r w:rsidR="00620070">
        <w:rPr>
          <w:szCs w:val="22"/>
        </w:rPr>
        <w:t> </w:t>
      </w:r>
      <w:r>
        <w:rPr>
          <w:szCs w:val="22"/>
        </w:rPr>
        <w:t xml:space="preserve">A) leczenia SAA włączonych do badania CETB115E2201 zostały przedstawione w </w:t>
      </w:r>
      <w:r w:rsidR="00C00A76">
        <w:rPr>
          <w:szCs w:val="22"/>
        </w:rPr>
        <w:t>t</w:t>
      </w:r>
      <w:r>
        <w:rPr>
          <w:szCs w:val="22"/>
        </w:rPr>
        <w:t xml:space="preserve">abeli 15 po skorygowaniu względem często stosowanej dawki 50 mg. Ogólnie klirens eltrombopagu był mniejszy, a ekspozycja na eltrombopag w osoczu była większa u pacjentów w wieku od </w:t>
      </w:r>
      <w:r w:rsidR="00641531">
        <w:rPr>
          <w:szCs w:val="22"/>
        </w:rPr>
        <w:t>2</w:t>
      </w:r>
      <w:r>
        <w:rPr>
          <w:szCs w:val="22"/>
        </w:rPr>
        <w:t xml:space="preserve"> do &lt;6 lat w porównaniu z pacjentami w wieku od 6 do &lt;18 lat.</w:t>
      </w:r>
    </w:p>
    <w:p w14:paraId="28588A44" w14:textId="77777777" w:rsidR="00B34261" w:rsidRDefault="00B34261" w:rsidP="00C00A76">
      <w:pPr>
        <w:tabs>
          <w:tab w:val="left" w:pos="142"/>
        </w:tabs>
        <w:ind w:left="0" w:firstLine="0"/>
        <w:rPr>
          <w:szCs w:val="22"/>
        </w:rPr>
      </w:pPr>
    </w:p>
    <w:p w14:paraId="67BD1936" w14:textId="429FBBC5" w:rsidR="00B34261" w:rsidRDefault="00B34261" w:rsidP="001A6584">
      <w:pPr>
        <w:keepNext/>
        <w:tabs>
          <w:tab w:val="left" w:pos="142"/>
        </w:tabs>
        <w:ind w:left="1416" w:hanging="1416"/>
        <w:rPr>
          <w:szCs w:val="22"/>
        </w:rPr>
      </w:pPr>
      <w:r>
        <w:rPr>
          <w:b/>
          <w:bCs/>
          <w:szCs w:val="22"/>
        </w:rPr>
        <w:t>Tabela</w:t>
      </w:r>
      <w:r w:rsidR="00620070">
        <w:rPr>
          <w:b/>
          <w:bCs/>
          <w:szCs w:val="22"/>
        </w:rPr>
        <w:t> </w:t>
      </w:r>
      <w:r>
        <w:rPr>
          <w:b/>
          <w:bCs/>
          <w:szCs w:val="22"/>
        </w:rPr>
        <w:t>15</w:t>
      </w:r>
      <w:r>
        <w:rPr>
          <w:b/>
          <w:bCs/>
          <w:szCs w:val="22"/>
        </w:rPr>
        <w:tab/>
        <w:t>Parametry farmakokinetyczne eltrombopagu w stanie stacjonarnym w badaniu CETB115E2201, skoryg</w:t>
      </w:r>
      <w:r w:rsidRPr="00A2172A">
        <w:rPr>
          <w:b/>
          <w:bCs/>
          <w:szCs w:val="22"/>
        </w:rPr>
        <w:t>owane do dawki 50 mg, po podaniu największej dawki</w:t>
      </w:r>
      <w:r w:rsidRPr="004E303B">
        <w:rPr>
          <w:b/>
          <w:bCs/>
          <w:szCs w:val="22"/>
        </w:rPr>
        <w:t xml:space="preserve"> u </w:t>
      </w:r>
      <w:r>
        <w:rPr>
          <w:b/>
          <w:bCs/>
          <w:szCs w:val="22"/>
        </w:rPr>
        <w:t>poszczególnych</w:t>
      </w:r>
      <w:r w:rsidRPr="004E303B">
        <w:rPr>
          <w:b/>
          <w:bCs/>
          <w:szCs w:val="22"/>
        </w:rPr>
        <w:t xml:space="preserve"> pacjent</w:t>
      </w:r>
      <w:r>
        <w:rPr>
          <w:b/>
          <w:bCs/>
          <w:szCs w:val="22"/>
        </w:rPr>
        <w:t>ów</w:t>
      </w:r>
      <w:r w:rsidRPr="004E303B">
        <w:rPr>
          <w:b/>
          <w:bCs/>
          <w:szCs w:val="22"/>
        </w:rPr>
        <w:t xml:space="preserve"> (tydzień 12.</w:t>
      </w:r>
      <w:r w:rsidR="00620070">
        <w:rPr>
          <w:b/>
          <w:bCs/>
          <w:szCs w:val="22"/>
        </w:rPr>
        <w:t> </w:t>
      </w:r>
      <w:r>
        <w:rPr>
          <w:b/>
          <w:bCs/>
          <w:szCs w:val="22"/>
        </w:rPr>
        <w:t>l</w:t>
      </w:r>
      <w:r w:rsidRPr="004E303B">
        <w:rPr>
          <w:b/>
          <w:bCs/>
          <w:szCs w:val="22"/>
        </w:rPr>
        <w:t>ub później)</w:t>
      </w:r>
      <w:r>
        <w:rPr>
          <w:b/>
          <w:bCs/>
          <w:szCs w:val="22"/>
        </w:rPr>
        <w:t xml:space="preserve"> z uwzględnieniem kohorty i grupy wiekowej</w:t>
      </w:r>
    </w:p>
    <w:p w14:paraId="5C7D11EB" w14:textId="77777777" w:rsidR="00B34261" w:rsidRDefault="00B34261" w:rsidP="001A6584">
      <w:pPr>
        <w:keepNext/>
        <w:tabs>
          <w:tab w:val="left" w:pos="142"/>
        </w:tabs>
        <w:ind w:left="0" w:firstLine="0"/>
        <w:rPr>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33"/>
        <w:gridCol w:w="1878"/>
        <w:gridCol w:w="2149"/>
        <w:gridCol w:w="1545"/>
        <w:gridCol w:w="1260"/>
      </w:tblGrid>
      <w:tr w:rsidR="00B34261" w:rsidRPr="00A465C0" w14:paraId="0F50E327" w14:textId="77777777" w:rsidTr="004E303B">
        <w:trPr>
          <w:cantSplit/>
        </w:trPr>
        <w:tc>
          <w:tcPr>
            <w:tcW w:w="2233" w:type="dxa"/>
            <w:shd w:val="clear" w:color="auto" w:fill="FFFFFF"/>
            <w:tcMar>
              <w:left w:w="60" w:type="dxa"/>
              <w:right w:w="60" w:type="dxa"/>
            </w:tcMar>
          </w:tcPr>
          <w:p w14:paraId="45255464" w14:textId="77777777" w:rsidR="00B34261" w:rsidRPr="00B05FE8" w:rsidRDefault="00B34261" w:rsidP="00553AB7">
            <w:pPr>
              <w:keepNext/>
              <w:adjustRightInd w:val="0"/>
              <w:rPr>
                <w:b/>
                <w:bCs/>
                <w:color w:val="000000"/>
                <w:szCs w:val="22"/>
              </w:rPr>
            </w:pPr>
            <w:r>
              <w:rPr>
                <w:b/>
                <w:bCs/>
                <w:color w:val="000000"/>
                <w:szCs w:val="22"/>
              </w:rPr>
              <w:t>Leczenie</w:t>
            </w:r>
          </w:p>
        </w:tc>
        <w:tc>
          <w:tcPr>
            <w:tcW w:w="1878" w:type="dxa"/>
            <w:shd w:val="clear" w:color="auto" w:fill="FFFFFF"/>
            <w:tcMar>
              <w:left w:w="60" w:type="dxa"/>
              <w:right w:w="60" w:type="dxa"/>
            </w:tcMar>
          </w:tcPr>
          <w:p w14:paraId="44234902" w14:textId="77777777" w:rsidR="00B34261" w:rsidRPr="00B05FE8" w:rsidRDefault="00B34261" w:rsidP="00553AB7">
            <w:pPr>
              <w:keepNext/>
              <w:adjustRightInd w:val="0"/>
              <w:jc w:val="center"/>
              <w:rPr>
                <w:b/>
                <w:bCs/>
                <w:color w:val="000000"/>
                <w:szCs w:val="22"/>
              </w:rPr>
            </w:pPr>
            <w:r>
              <w:rPr>
                <w:b/>
                <w:bCs/>
                <w:color w:val="000000"/>
                <w:szCs w:val="22"/>
              </w:rPr>
              <w:t>Grupa wiekowa</w:t>
            </w:r>
          </w:p>
        </w:tc>
        <w:tc>
          <w:tcPr>
            <w:tcW w:w="2149" w:type="dxa"/>
            <w:shd w:val="clear" w:color="auto" w:fill="FFFFFF"/>
            <w:tcMar>
              <w:left w:w="60" w:type="dxa"/>
              <w:right w:w="60" w:type="dxa"/>
            </w:tcMar>
          </w:tcPr>
          <w:p w14:paraId="18B4B2E9" w14:textId="77777777" w:rsidR="00B34261" w:rsidRPr="00B05FE8" w:rsidRDefault="00B34261" w:rsidP="00553AB7">
            <w:pPr>
              <w:keepNext/>
              <w:adjustRightInd w:val="0"/>
              <w:jc w:val="center"/>
              <w:rPr>
                <w:b/>
                <w:bCs/>
                <w:color w:val="000000"/>
                <w:szCs w:val="22"/>
              </w:rPr>
            </w:pPr>
            <w:r>
              <w:rPr>
                <w:b/>
                <w:bCs/>
                <w:color w:val="000000"/>
                <w:szCs w:val="22"/>
              </w:rPr>
              <w:t>Wartość statystyczna</w:t>
            </w:r>
          </w:p>
        </w:tc>
        <w:tc>
          <w:tcPr>
            <w:tcW w:w="1545" w:type="dxa"/>
            <w:shd w:val="clear" w:color="auto" w:fill="FFFFFF"/>
            <w:tcMar>
              <w:left w:w="60" w:type="dxa"/>
              <w:right w:w="60" w:type="dxa"/>
            </w:tcMar>
          </w:tcPr>
          <w:p w14:paraId="417DDF78" w14:textId="77777777" w:rsidR="00041A08" w:rsidRPr="00041A08" w:rsidRDefault="00B34261" w:rsidP="00553AB7">
            <w:pPr>
              <w:pStyle w:val="tabletextNS"/>
              <w:keepNext/>
              <w:jc w:val="center"/>
              <w:rPr>
                <w:rFonts w:ascii="Times New Roman" w:hAnsi="Times New Roman"/>
                <w:sz w:val="22"/>
                <w:szCs w:val="22"/>
              </w:rPr>
            </w:pPr>
            <w:r w:rsidRPr="00A465C0">
              <w:rPr>
                <w:rFonts w:ascii="Times New Roman" w:hAnsi="Times New Roman"/>
                <w:b/>
                <w:sz w:val="22"/>
                <w:szCs w:val="22"/>
              </w:rPr>
              <w:t>AUC</w:t>
            </w:r>
            <w:r w:rsidRPr="00A465C0">
              <w:rPr>
                <w:rFonts w:ascii="Times New Roman" w:hAnsi="Times New Roman"/>
                <w:b/>
                <w:sz w:val="22"/>
                <w:szCs w:val="22"/>
                <w:vertAlign w:val="subscript"/>
              </w:rPr>
              <w:t>(0-</w:t>
            </w:r>
            <w:r>
              <w:rPr>
                <w:rFonts w:ascii="Times New Roman" w:hAnsi="Times New Roman"/>
                <w:b/>
                <w:sz w:val="22"/>
                <w:szCs w:val="22"/>
                <w:vertAlign w:val="subscript"/>
              </w:rPr>
              <w:t>τ</w:t>
            </w:r>
            <w:r w:rsidRPr="00A465C0">
              <w:rPr>
                <w:rFonts w:ascii="Times New Roman" w:hAnsi="Times New Roman"/>
                <w:b/>
                <w:sz w:val="22"/>
                <w:szCs w:val="22"/>
                <w:vertAlign w:val="subscript"/>
              </w:rPr>
              <w:t>)</w:t>
            </w:r>
          </w:p>
          <w:p w14:paraId="2B7CD802" w14:textId="087D143B" w:rsidR="00B34261" w:rsidRPr="00B05FE8" w:rsidRDefault="00B34261" w:rsidP="00553AB7">
            <w:pPr>
              <w:keepNext/>
              <w:adjustRightInd w:val="0"/>
              <w:jc w:val="center"/>
              <w:rPr>
                <w:b/>
                <w:bCs/>
                <w:color w:val="000000"/>
                <w:szCs w:val="22"/>
              </w:rPr>
            </w:pPr>
            <w:r w:rsidRPr="00B05FE8">
              <w:rPr>
                <w:b/>
                <w:bCs/>
                <w:color w:val="000000"/>
                <w:szCs w:val="22"/>
              </w:rPr>
              <w:t>(</w:t>
            </w:r>
            <w:r w:rsidRPr="00DC0A57">
              <w:rPr>
                <w:b/>
                <w:szCs w:val="22"/>
              </w:rPr>
              <w:t>µ</w:t>
            </w:r>
            <w:r w:rsidRPr="00B05FE8">
              <w:rPr>
                <w:b/>
                <w:bCs/>
                <w:color w:val="000000"/>
                <w:szCs w:val="22"/>
              </w:rPr>
              <w:t>g</w:t>
            </w:r>
            <w:r>
              <w:rPr>
                <w:b/>
                <w:bCs/>
                <w:color w:val="000000"/>
                <w:szCs w:val="22"/>
              </w:rPr>
              <w:t>.</w:t>
            </w:r>
            <w:r w:rsidRPr="00B05FE8">
              <w:rPr>
                <w:b/>
                <w:bCs/>
                <w:color w:val="000000"/>
                <w:szCs w:val="22"/>
              </w:rPr>
              <w:t>h/m</w:t>
            </w:r>
            <w:r>
              <w:rPr>
                <w:b/>
                <w:bCs/>
                <w:color w:val="000000"/>
                <w:szCs w:val="22"/>
              </w:rPr>
              <w:t>l</w:t>
            </w:r>
            <w:r w:rsidRPr="00B05FE8">
              <w:rPr>
                <w:b/>
                <w:bCs/>
                <w:color w:val="000000"/>
                <w:szCs w:val="22"/>
              </w:rPr>
              <w:t>)</w:t>
            </w:r>
          </w:p>
        </w:tc>
        <w:tc>
          <w:tcPr>
            <w:tcW w:w="1260" w:type="dxa"/>
            <w:shd w:val="clear" w:color="auto" w:fill="FFFFFF"/>
            <w:tcMar>
              <w:left w:w="60" w:type="dxa"/>
              <w:right w:w="60" w:type="dxa"/>
            </w:tcMar>
          </w:tcPr>
          <w:p w14:paraId="42FE70A7" w14:textId="77777777" w:rsidR="00041A08" w:rsidRPr="00041A08" w:rsidRDefault="00B34261" w:rsidP="00553AB7">
            <w:pPr>
              <w:pStyle w:val="tabletextNS"/>
              <w:keepNext/>
              <w:jc w:val="center"/>
              <w:rPr>
                <w:rFonts w:ascii="Times New Roman" w:hAnsi="Times New Roman"/>
                <w:sz w:val="22"/>
                <w:szCs w:val="22"/>
              </w:rPr>
            </w:pPr>
            <w:proofErr w:type="spellStart"/>
            <w:r w:rsidRPr="00A465C0">
              <w:rPr>
                <w:rFonts w:ascii="Times New Roman" w:hAnsi="Times New Roman"/>
                <w:b/>
                <w:sz w:val="22"/>
                <w:szCs w:val="22"/>
              </w:rPr>
              <w:t>C</w:t>
            </w:r>
            <w:r w:rsidRPr="00A465C0">
              <w:rPr>
                <w:rFonts w:ascii="Times New Roman" w:hAnsi="Times New Roman"/>
                <w:b/>
                <w:sz w:val="22"/>
                <w:szCs w:val="22"/>
                <w:vertAlign w:val="subscript"/>
              </w:rPr>
              <w:t>max</w:t>
            </w:r>
            <w:proofErr w:type="spellEnd"/>
          </w:p>
          <w:p w14:paraId="590E293D" w14:textId="14F2D5BD" w:rsidR="00B34261" w:rsidRPr="00B05FE8" w:rsidRDefault="00B34261" w:rsidP="00553AB7">
            <w:pPr>
              <w:keepNext/>
              <w:adjustRightInd w:val="0"/>
              <w:jc w:val="center"/>
              <w:rPr>
                <w:b/>
                <w:bCs/>
                <w:color w:val="000000"/>
                <w:szCs w:val="22"/>
              </w:rPr>
            </w:pPr>
            <w:r w:rsidRPr="00B05FE8">
              <w:rPr>
                <w:b/>
                <w:bCs/>
                <w:color w:val="000000"/>
                <w:szCs w:val="22"/>
              </w:rPr>
              <w:t>(</w:t>
            </w:r>
            <w:r w:rsidRPr="00DC0A57">
              <w:rPr>
                <w:b/>
                <w:szCs w:val="22"/>
              </w:rPr>
              <w:t>µ</w:t>
            </w:r>
            <w:r w:rsidRPr="00B05FE8">
              <w:rPr>
                <w:b/>
                <w:bCs/>
                <w:color w:val="000000"/>
                <w:szCs w:val="22"/>
              </w:rPr>
              <w:t>g/m</w:t>
            </w:r>
            <w:r>
              <w:rPr>
                <w:b/>
                <w:bCs/>
                <w:color w:val="000000"/>
                <w:szCs w:val="22"/>
              </w:rPr>
              <w:t>l</w:t>
            </w:r>
            <w:r w:rsidRPr="00B05FE8">
              <w:rPr>
                <w:b/>
                <w:bCs/>
                <w:color w:val="000000"/>
                <w:szCs w:val="22"/>
              </w:rPr>
              <w:t>)</w:t>
            </w:r>
          </w:p>
        </w:tc>
      </w:tr>
      <w:tr w:rsidR="00B34261" w:rsidRPr="00A465C0" w14:paraId="4855936D" w14:textId="77777777" w:rsidTr="004E303B">
        <w:trPr>
          <w:cantSplit/>
        </w:trPr>
        <w:tc>
          <w:tcPr>
            <w:tcW w:w="2233" w:type="dxa"/>
            <w:shd w:val="clear" w:color="auto" w:fill="FFFFFF"/>
            <w:tcMar>
              <w:left w:w="60" w:type="dxa"/>
              <w:right w:w="60" w:type="dxa"/>
            </w:tcMar>
          </w:tcPr>
          <w:p w14:paraId="2D27086A" w14:textId="77777777" w:rsidR="00B34261" w:rsidRPr="00B05FE8" w:rsidRDefault="00B34261" w:rsidP="00553AB7">
            <w:pPr>
              <w:keepNext/>
              <w:adjustRightInd w:val="0"/>
              <w:rPr>
                <w:color w:val="000000"/>
                <w:szCs w:val="22"/>
              </w:rPr>
            </w:pPr>
            <w:r>
              <w:rPr>
                <w:color w:val="000000"/>
                <w:szCs w:val="22"/>
              </w:rPr>
              <w:t>Kohorta </w:t>
            </w:r>
            <w:r w:rsidRPr="00B05FE8">
              <w:rPr>
                <w:color w:val="000000"/>
                <w:szCs w:val="22"/>
              </w:rPr>
              <w:t>A (N=11)</w:t>
            </w:r>
          </w:p>
        </w:tc>
        <w:tc>
          <w:tcPr>
            <w:tcW w:w="1878" w:type="dxa"/>
            <w:shd w:val="clear" w:color="auto" w:fill="FFFFFF"/>
            <w:tcMar>
              <w:left w:w="60" w:type="dxa"/>
              <w:right w:w="60" w:type="dxa"/>
            </w:tcMar>
          </w:tcPr>
          <w:p w14:paraId="4D7A9BA8" w14:textId="77777777" w:rsidR="00B34261" w:rsidRPr="00B05FE8" w:rsidRDefault="00B34261" w:rsidP="00553AB7">
            <w:pPr>
              <w:keepNext/>
              <w:adjustRightInd w:val="0"/>
              <w:jc w:val="center"/>
              <w:rPr>
                <w:color w:val="000000"/>
                <w:szCs w:val="22"/>
              </w:rPr>
            </w:pPr>
            <w:r>
              <w:rPr>
                <w:color w:val="000000"/>
                <w:szCs w:val="22"/>
              </w:rPr>
              <w:t>2</w:t>
            </w:r>
            <w:r w:rsidRPr="00B05FE8">
              <w:rPr>
                <w:color w:val="000000"/>
                <w:szCs w:val="22"/>
              </w:rPr>
              <w:t xml:space="preserve"> </w:t>
            </w:r>
            <w:r>
              <w:rPr>
                <w:color w:val="000000"/>
                <w:szCs w:val="22"/>
              </w:rPr>
              <w:t>do</w:t>
            </w:r>
            <w:r w:rsidRPr="00B05FE8">
              <w:rPr>
                <w:color w:val="000000"/>
                <w:szCs w:val="22"/>
              </w:rPr>
              <w:t xml:space="preserve"> &lt;6</w:t>
            </w:r>
            <w:r>
              <w:rPr>
                <w:color w:val="000000"/>
                <w:szCs w:val="22"/>
              </w:rPr>
              <w:t> lat</w:t>
            </w:r>
          </w:p>
        </w:tc>
        <w:tc>
          <w:tcPr>
            <w:tcW w:w="2149" w:type="dxa"/>
            <w:shd w:val="clear" w:color="auto" w:fill="FFFFFF"/>
            <w:tcMar>
              <w:left w:w="60" w:type="dxa"/>
              <w:right w:w="60" w:type="dxa"/>
            </w:tcMar>
            <w:vAlign w:val="center"/>
          </w:tcPr>
          <w:p w14:paraId="73B24B01" w14:textId="77777777" w:rsidR="00B34261" w:rsidRPr="00B05FE8" w:rsidRDefault="00B34261" w:rsidP="00553AB7">
            <w:pPr>
              <w:keepNext/>
              <w:adjustRightInd w:val="0"/>
              <w:jc w:val="center"/>
              <w:rPr>
                <w:color w:val="000000"/>
                <w:szCs w:val="22"/>
              </w:rPr>
            </w:pPr>
            <w:r w:rsidRPr="00B05FE8">
              <w:rPr>
                <w:color w:val="000000"/>
                <w:szCs w:val="22"/>
              </w:rPr>
              <w:t>n</w:t>
            </w:r>
          </w:p>
        </w:tc>
        <w:tc>
          <w:tcPr>
            <w:tcW w:w="1545" w:type="dxa"/>
            <w:shd w:val="clear" w:color="auto" w:fill="FFFFFF"/>
            <w:tcMar>
              <w:left w:w="60" w:type="dxa"/>
              <w:right w:w="60" w:type="dxa"/>
            </w:tcMar>
            <w:vAlign w:val="center"/>
          </w:tcPr>
          <w:p w14:paraId="19F45070" w14:textId="77777777" w:rsidR="00B34261" w:rsidRPr="00B05FE8" w:rsidRDefault="00B34261" w:rsidP="00553AB7">
            <w:pPr>
              <w:keepNext/>
              <w:adjustRightInd w:val="0"/>
              <w:jc w:val="center"/>
              <w:rPr>
                <w:color w:val="000000"/>
                <w:szCs w:val="22"/>
              </w:rPr>
            </w:pPr>
            <w:r w:rsidRPr="00B05FE8">
              <w:rPr>
                <w:color w:val="000000"/>
                <w:szCs w:val="22"/>
              </w:rPr>
              <w:t>1</w:t>
            </w:r>
          </w:p>
        </w:tc>
        <w:tc>
          <w:tcPr>
            <w:tcW w:w="1260" w:type="dxa"/>
            <w:shd w:val="clear" w:color="auto" w:fill="FFFFFF"/>
            <w:tcMar>
              <w:left w:w="60" w:type="dxa"/>
              <w:right w:w="60" w:type="dxa"/>
            </w:tcMar>
            <w:vAlign w:val="center"/>
          </w:tcPr>
          <w:p w14:paraId="4CBEA1E4" w14:textId="77777777" w:rsidR="00B34261" w:rsidRPr="00B05FE8" w:rsidRDefault="00B34261" w:rsidP="00553AB7">
            <w:pPr>
              <w:keepNext/>
              <w:adjustRightInd w:val="0"/>
              <w:jc w:val="center"/>
              <w:rPr>
                <w:color w:val="000000"/>
                <w:szCs w:val="22"/>
              </w:rPr>
            </w:pPr>
            <w:r w:rsidRPr="00B05FE8">
              <w:rPr>
                <w:color w:val="000000"/>
                <w:szCs w:val="22"/>
              </w:rPr>
              <w:t>1</w:t>
            </w:r>
          </w:p>
        </w:tc>
      </w:tr>
      <w:tr w:rsidR="00B34261" w:rsidRPr="00A465C0" w14:paraId="37DDD050" w14:textId="77777777" w:rsidTr="004E303B">
        <w:trPr>
          <w:cantSplit/>
        </w:trPr>
        <w:tc>
          <w:tcPr>
            <w:tcW w:w="2233" w:type="dxa"/>
            <w:shd w:val="clear" w:color="auto" w:fill="FFFFFF"/>
            <w:tcMar>
              <w:left w:w="60" w:type="dxa"/>
              <w:right w:w="60" w:type="dxa"/>
            </w:tcMar>
          </w:tcPr>
          <w:p w14:paraId="16059025" w14:textId="77777777" w:rsidR="00B34261" w:rsidRPr="00B05FE8" w:rsidRDefault="00B34261" w:rsidP="00553AB7">
            <w:pPr>
              <w:keepNext/>
              <w:adjustRightInd w:val="0"/>
              <w:rPr>
                <w:color w:val="000000"/>
                <w:szCs w:val="22"/>
              </w:rPr>
            </w:pPr>
          </w:p>
        </w:tc>
        <w:tc>
          <w:tcPr>
            <w:tcW w:w="1878" w:type="dxa"/>
            <w:shd w:val="clear" w:color="auto" w:fill="FFFFFF"/>
            <w:tcMar>
              <w:left w:w="60" w:type="dxa"/>
              <w:right w:w="60" w:type="dxa"/>
            </w:tcMar>
          </w:tcPr>
          <w:p w14:paraId="6E77A338" w14:textId="77777777" w:rsidR="00B34261" w:rsidRPr="00B05FE8" w:rsidRDefault="00B34261" w:rsidP="00553AB7">
            <w:pPr>
              <w:keepNext/>
              <w:adjustRightInd w:val="0"/>
              <w:jc w:val="center"/>
              <w:rPr>
                <w:color w:val="000000"/>
                <w:szCs w:val="22"/>
              </w:rPr>
            </w:pPr>
          </w:p>
        </w:tc>
        <w:tc>
          <w:tcPr>
            <w:tcW w:w="2149" w:type="dxa"/>
            <w:shd w:val="clear" w:color="auto" w:fill="FFFFFF"/>
            <w:tcMar>
              <w:left w:w="60" w:type="dxa"/>
              <w:right w:w="60" w:type="dxa"/>
            </w:tcMar>
            <w:vAlign w:val="center"/>
          </w:tcPr>
          <w:p w14:paraId="7EBD9BFE" w14:textId="77777777" w:rsidR="00B34261" w:rsidRPr="00B05FE8" w:rsidRDefault="00B34261" w:rsidP="00553AB7">
            <w:pPr>
              <w:keepNext/>
              <w:adjustRightInd w:val="0"/>
              <w:jc w:val="center"/>
              <w:rPr>
                <w:color w:val="000000"/>
                <w:szCs w:val="22"/>
              </w:rPr>
            </w:pPr>
            <w:r>
              <w:rPr>
                <w:color w:val="000000"/>
                <w:szCs w:val="22"/>
              </w:rPr>
              <w:t>Średnia geometryczna</w:t>
            </w:r>
          </w:p>
        </w:tc>
        <w:tc>
          <w:tcPr>
            <w:tcW w:w="1545" w:type="dxa"/>
            <w:shd w:val="clear" w:color="auto" w:fill="FFFFFF"/>
            <w:tcMar>
              <w:left w:w="60" w:type="dxa"/>
              <w:right w:w="60" w:type="dxa"/>
            </w:tcMar>
            <w:vAlign w:val="center"/>
          </w:tcPr>
          <w:p w14:paraId="4B165AD4" w14:textId="77777777" w:rsidR="00B34261" w:rsidRPr="00B05FE8" w:rsidRDefault="00B34261" w:rsidP="00553AB7">
            <w:pPr>
              <w:keepNext/>
              <w:adjustRightInd w:val="0"/>
              <w:jc w:val="center"/>
              <w:rPr>
                <w:color w:val="000000"/>
                <w:szCs w:val="22"/>
              </w:rPr>
            </w:pPr>
            <w:r w:rsidRPr="00B05FE8">
              <w:rPr>
                <w:color w:val="000000"/>
                <w:szCs w:val="22"/>
              </w:rPr>
              <w:t>272</w:t>
            </w:r>
          </w:p>
        </w:tc>
        <w:tc>
          <w:tcPr>
            <w:tcW w:w="1260" w:type="dxa"/>
            <w:shd w:val="clear" w:color="auto" w:fill="FFFFFF"/>
            <w:tcMar>
              <w:left w:w="60" w:type="dxa"/>
              <w:right w:w="60" w:type="dxa"/>
            </w:tcMar>
            <w:vAlign w:val="center"/>
          </w:tcPr>
          <w:p w14:paraId="33A76516" w14:textId="77777777" w:rsidR="00B34261" w:rsidRPr="00B05FE8" w:rsidRDefault="00B34261" w:rsidP="00553AB7">
            <w:pPr>
              <w:keepNext/>
              <w:adjustRightInd w:val="0"/>
              <w:jc w:val="center"/>
              <w:rPr>
                <w:color w:val="000000"/>
                <w:szCs w:val="22"/>
              </w:rPr>
            </w:pPr>
            <w:r w:rsidRPr="00B05FE8">
              <w:rPr>
                <w:color w:val="000000"/>
                <w:szCs w:val="22"/>
              </w:rPr>
              <w:t>16</w:t>
            </w:r>
            <w:r>
              <w:rPr>
                <w:color w:val="000000"/>
                <w:szCs w:val="22"/>
              </w:rPr>
              <w:t>,</w:t>
            </w:r>
            <w:r w:rsidRPr="00B05FE8">
              <w:rPr>
                <w:color w:val="000000"/>
                <w:szCs w:val="22"/>
              </w:rPr>
              <w:t>1</w:t>
            </w:r>
          </w:p>
        </w:tc>
      </w:tr>
      <w:tr w:rsidR="00B34261" w:rsidRPr="00A465C0" w14:paraId="51EC2F80" w14:textId="77777777" w:rsidTr="004E303B">
        <w:trPr>
          <w:cantSplit/>
        </w:trPr>
        <w:tc>
          <w:tcPr>
            <w:tcW w:w="2233" w:type="dxa"/>
            <w:shd w:val="clear" w:color="auto" w:fill="FFFFFF"/>
            <w:tcMar>
              <w:left w:w="60" w:type="dxa"/>
              <w:right w:w="60" w:type="dxa"/>
            </w:tcMar>
          </w:tcPr>
          <w:p w14:paraId="538D664D" w14:textId="77777777" w:rsidR="00B34261" w:rsidRPr="00B05FE8" w:rsidRDefault="00B34261" w:rsidP="00553AB7">
            <w:pPr>
              <w:keepNext/>
              <w:adjustRightInd w:val="0"/>
              <w:rPr>
                <w:color w:val="000000"/>
                <w:szCs w:val="22"/>
              </w:rPr>
            </w:pPr>
          </w:p>
        </w:tc>
        <w:tc>
          <w:tcPr>
            <w:tcW w:w="1878" w:type="dxa"/>
            <w:shd w:val="clear" w:color="auto" w:fill="FFFFFF"/>
            <w:tcMar>
              <w:left w:w="60" w:type="dxa"/>
              <w:right w:w="60" w:type="dxa"/>
            </w:tcMar>
          </w:tcPr>
          <w:p w14:paraId="729A7E9F" w14:textId="77777777" w:rsidR="00B34261" w:rsidRPr="00B05FE8" w:rsidRDefault="00B34261" w:rsidP="00553AB7">
            <w:pPr>
              <w:keepNext/>
              <w:adjustRightInd w:val="0"/>
              <w:jc w:val="center"/>
              <w:rPr>
                <w:color w:val="000000"/>
                <w:szCs w:val="22"/>
              </w:rPr>
            </w:pPr>
          </w:p>
        </w:tc>
        <w:tc>
          <w:tcPr>
            <w:tcW w:w="2149" w:type="dxa"/>
            <w:shd w:val="clear" w:color="auto" w:fill="FFFFFF"/>
            <w:tcMar>
              <w:left w:w="60" w:type="dxa"/>
              <w:right w:w="60" w:type="dxa"/>
            </w:tcMar>
            <w:vAlign w:val="center"/>
          </w:tcPr>
          <w:p w14:paraId="2BF8941F" w14:textId="77777777" w:rsidR="00B34261" w:rsidRPr="00B05FE8" w:rsidRDefault="00B34261" w:rsidP="00553AB7">
            <w:pPr>
              <w:keepNext/>
              <w:adjustRightInd w:val="0"/>
              <w:jc w:val="center"/>
              <w:rPr>
                <w:color w:val="000000"/>
                <w:szCs w:val="22"/>
              </w:rPr>
            </w:pPr>
            <w:r w:rsidRPr="00B05FE8">
              <w:rPr>
                <w:color w:val="000000"/>
                <w:szCs w:val="22"/>
              </w:rPr>
              <w:t>Geo</w:t>
            </w:r>
            <w:r>
              <w:rPr>
                <w:color w:val="000000"/>
                <w:szCs w:val="22"/>
              </w:rPr>
              <w:t xml:space="preserve">metryczny </w:t>
            </w:r>
            <w:r w:rsidRPr="00B05FE8">
              <w:rPr>
                <w:color w:val="000000"/>
                <w:szCs w:val="22"/>
              </w:rPr>
              <w:t>CV%</w:t>
            </w:r>
          </w:p>
        </w:tc>
        <w:tc>
          <w:tcPr>
            <w:tcW w:w="1545" w:type="dxa"/>
            <w:shd w:val="clear" w:color="auto" w:fill="FFFFFF"/>
            <w:tcMar>
              <w:left w:w="60" w:type="dxa"/>
              <w:right w:w="60" w:type="dxa"/>
            </w:tcMar>
            <w:vAlign w:val="center"/>
          </w:tcPr>
          <w:p w14:paraId="7A573490" w14:textId="77777777" w:rsidR="00B34261" w:rsidRPr="00B05FE8" w:rsidRDefault="00B34261" w:rsidP="00553AB7">
            <w:pPr>
              <w:keepNext/>
              <w:adjustRightInd w:val="0"/>
              <w:jc w:val="center"/>
              <w:rPr>
                <w:color w:val="000000"/>
                <w:szCs w:val="22"/>
              </w:rPr>
            </w:pPr>
          </w:p>
        </w:tc>
        <w:tc>
          <w:tcPr>
            <w:tcW w:w="1260" w:type="dxa"/>
            <w:shd w:val="clear" w:color="auto" w:fill="FFFFFF"/>
            <w:tcMar>
              <w:left w:w="60" w:type="dxa"/>
              <w:right w:w="60" w:type="dxa"/>
            </w:tcMar>
            <w:vAlign w:val="center"/>
          </w:tcPr>
          <w:p w14:paraId="7E886734" w14:textId="77777777" w:rsidR="00B34261" w:rsidRPr="00B05FE8" w:rsidRDefault="00B34261" w:rsidP="00553AB7">
            <w:pPr>
              <w:keepNext/>
              <w:adjustRightInd w:val="0"/>
              <w:jc w:val="center"/>
              <w:rPr>
                <w:color w:val="000000"/>
                <w:szCs w:val="22"/>
              </w:rPr>
            </w:pPr>
          </w:p>
        </w:tc>
      </w:tr>
      <w:tr w:rsidR="00B34261" w:rsidRPr="00A465C0" w14:paraId="4075F012" w14:textId="77777777" w:rsidTr="004E303B">
        <w:trPr>
          <w:cantSplit/>
        </w:trPr>
        <w:tc>
          <w:tcPr>
            <w:tcW w:w="2233" w:type="dxa"/>
            <w:shd w:val="clear" w:color="auto" w:fill="FFFFFF"/>
            <w:tcMar>
              <w:left w:w="60" w:type="dxa"/>
              <w:right w:w="60" w:type="dxa"/>
            </w:tcMar>
          </w:tcPr>
          <w:p w14:paraId="6CE713D8" w14:textId="77777777" w:rsidR="00B34261" w:rsidRPr="00B05FE8" w:rsidRDefault="00B34261" w:rsidP="00553AB7">
            <w:pPr>
              <w:keepNext/>
              <w:adjustRightInd w:val="0"/>
              <w:rPr>
                <w:color w:val="000000"/>
                <w:szCs w:val="22"/>
              </w:rPr>
            </w:pPr>
          </w:p>
        </w:tc>
        <w:tc>
          <w:tcPr>
            <w:tcW w:w="1878" w:type="dxa"/>
            <w:shd w:val="clear" w:color="auto" w:fill="FFFFFF"/>
            <w:tcMar>
              <w:left w:w="60" w:type="dxa"/>
              <w:right w:w="60" w:type="dxa"/>
            </w:tcMar>
          </w:tcPr>
          <w:p w14:paraId="77F13735" w14:textId="77777777" w:rsidR="00B34261" w:rsidRPr="00B05FE8" w:rsidRDefault="00B34261" w:rsidP="00553AB7">
            <w:pPr>
              <w:keepNext/>
              <w:adjustRightInd w:val="0"/>
              <w:jc w:val="center"/>
              <w:rPr>
                <w:color w:val="000000"/>
                <w:szCs w:val="22"/>
              </w:rPr>
            </w:pPr>
            <w:r w:rsidRPr="00B05FE8">
              <w:rPr>
                <w:color w:val="000000"/>
                <w:szCs w:val="22"/>
              </w:rPr>
              <w:t xml:space="preserve">6 </w:t>
            </w:r>
            <w:r>
              <w:rPr>
                <w:color w:val="000000"/>
                <w:szCs w:val="22"/>
              </w:rPr>
              <w:t>do</w:t>
            </w:r>
            <w:r w:rsidRPr="00B05FE8">
              <w:rPr>
                <w:color w:val="000000"/>
                <w:szCs w:val="22"/>
              </w:rPr>
              <w:t xml:space="preserve"> &lt;18</w:t>
            </w:r>
            <w:r>
              <w:rPr>
                <w:color w:val="000000"/>
                <w:szCs w:val="22"/>
              </w:rPr>
              <w:t> lat</w:t>
            </w:r>
          </w:p>
        </w:tc>
        <w:tc>
          <w:tcPr>
            <w:tcW w:w="2149" w:type="dxa"/>
            <w:shd w:val="clear" w:color="auto" w:fill="FFFFFF"/>
            <w:tcMar>
              <w:left w:w="60" w:type="dxa"/>
              <w:right w:w="60" w:type="dxa"/>
            </w:tcMar>
            <w:vAlign w:val="center"/>
          </w:tcPr>
          <w:p w14:paraId="7BDFE243" w14:textId="77777777" w:rsidR="00B34261" w:rsidRPr="00B05FE8" w:rsidRDefault="00B34261" w:rsidP="00553AB7">
            <w:pPr>
              <w:keepNext/>
              <w:adjustRightInd w:val="0"/>
              <w:jc w:val="center"/>
              <w:rPr>
                <w:color w:val="000000"/>
                <w:szCs w:val="22"/>
              </w:rPr>
            </w:pPr>
            <w:r w:rsidRPr="00B05FE8">
              <w:rPr>
                <w:color w:val="000000"/>
                <w:szCs w:val="22"/>
              </w:rPr>
              <w:t>n</w:t>
            </w:r>
          </w:p>
        </w:tc>
        <w:tc>
          <w:tcPr>
            <w:tcW w:w="1545" w:type="dxa"/>
            <w:shd w:val="clear" w:color="auto" w:fill="FFFFFF"/>
            <w:tcMar>
              <w:left w:w="60" w:type="dxa"/>
              <w:right w:w="60" w:type="dxa"/>
            </w:tcMar>
            <w:vAlign w:val="center"/>
          </w:tcPr>
          <w:p w14:paraId="56F827D7" w14:textId="77777777" w:rsidR="00B34261" w:rsidRPr="00B05FE8" w:rsidRDefault="00B34261" w:rsidP="00553AB7">
            <w:pPr>
              <w:keepNext/>
              <w:adjustRightInd w:val="0"/>
              <w:jc w:val="center"/>
              <w:rPr>
                <w:color w:val="000000"/>
                <w:szCs w:val="22"/>
              </w:rPr>
            </w:pPr>
            <w:r w:rsidRPr="00B05FE8">
              <w:rPr>
                <w:color w:val="000000"/>
                <w:szCs w:val="22"/>
              </w:rPr>
              <w:t>5</w:t>
            </w:r>
          </w:p>
        </w:tc>
        <w:tc>
          <w:tcPr>
            <w:tcW w:w="1260" w:type="dxa"/>
            <w:shd w:val="clear" w:color="auto" w:fill="FFFFFF"/>
            <w:tcMar>
              <w:left w:w="60" w:type="dxa"/>
              <w:right w:w="60" w:type="dxa"/>
            </w:tcMar>
            <w:vAlign w:val="center"/>
          </w:tcPr>
          <w:p w14:paraId="091D348E" w14:textId="77777777" w:rsidR="00B34261" w:rsidRPr="00B05FE8" w:rsidRDefault="00B34261" w:rsidP="00553AB7">
            <w:pPr>
              <w:keepNext/>
              <w:adjustRightInd w:val="0"/>
              <w:jc w:val="center"/>
              <w:rPr>
                <w:color w:val="000000"/>
                <w:szCs w:val="22"/>
              </w:rPr>
            </w:pPr>
            <w:r w:rsidRPr="00B05FE8">
              <w:rPr>
                <w:color w:val="000000"/>
                <w:szCs w:val="22"/>
              </w:rPr>
              <w:t>7</w:t>
            </w:r>
          </w:p>
        </w:tc>
      </w:tr>
      <w:tr w:rsidR="00B34261" w:rsidRPr="00A465C0" w14:paraId="718F9DE8" w14:textId="77777777" w:rsidTr="004E303B">
        <w:trPr>
          <w:cantSplit/>
        </w:trPr>
        <w:tc>
          <w:tcPr>
            <w:tcW w:w="2233" w:type="dxa"/>
            <w:shd w:val="clear" w:color="auto" w:fill="FFFFFF"/>
            <w:tcMar>
              <w:left w:w="60" w:type="dxa"/>
              <w:right w:w="60" w:type="dxa"/>
            </w:tcMar>
          </w:tcPr>
          <w:p w14:paraId="0787BD22" w14:textId="77777777" w:rsidR="00B34261" w:rsidRPr="00B05FE8" w:rsidRDefault="00B34261" w:rsidP="00553AB7">
            <w:pPr>
              <w:keepNext/>
              <w:adjustRightInd w:val="0"/>
              <w:rPr>
                <w:color w:val="000000"/>
                <w:szCs w:val="22"/>
              </w:rPr>
            </w:pPr>
          </w:p>
        </w:tc>
        <w:tc>
          <w:tcPr>
            <w:tcW w:w="1878" w:type="dxa"/>
            <w:shd w:val="clear" w:color="auto" w:fill="FFFFFF"/>
            <w:tcMar>
              <w:left w:w="60" w:type="dxa"/>
              <w:right w:w="60" w:type="dxa"/>
            </w:tcMar>
          </w:tcPr>
          <w:p w14:paraId="7D6F659D" w14:textId="77777777" w:rsidR="00B34261" w:rsidRPr="00B05FE8" w:rsidRDefault="00B34261" w:rsidP="00553AB7">
            <w:pPr>
              <w:keepNext/>
              <w:adjustRightInd w:val="0"/>
              <w:jc w:val="center"/>
              <w:rPr>
                <w:color w:val="000000"/>
                <w:szCs w:val="22"/>
              </w:rPr>
            </w:pPr>
          </w:p>
        </w:tc>
        <w:tc>
          <w:tcPr>
            <w:tcW w:w="2149" w:type="dxa"/>
            <w:shd w:val="clear" w:color="auto" w:fill="FFFFFF"/>
            <w:tcMar>
              <w:left w:w="60" w:type="dxa"/>
              <w:right w:w="60" w:type="dxa"/>
            </w:tcMar>
            <w:vAlign w:val="center"/>
          </w:tcPr>
          <w:p w14:paraId="359A34F1" w14:textId="77777777" w:rsidR="00B34261" w:rsidRPr="00B05FE8" w:rsidRDefault="00B34261" w:rsidP="00553AB7">
            <w:pPr>
              <w:keepNext/>
              <w:adjustRightInd w:val="0"/>
              <w:jc w:val="center"/>
              <w:rPr>
                <w:color w:val="000000"/>
                <w:szCs w:val="22"/>
              </w:rPr>
            </w:pPr>
            <w:r>
              <w:rPr>
                <w:color w:val="000000"/>
                <w:szCs w:val="22"/>
              </w:rPr>
              <w:t>Średnia geometryczna</w:t>
            </w:r>
          </w:p>
        </w:tc>
        <w:tc>
          <w:tcPr>
            <w:tcW w:w="1545" w:type="dxa"/>
            <w:shd w:val="clear" w:color="auto" w:fill="FFFFFF"/>
            <w:tcMar>
              <w:left w:w="60" w:type="dxa"/>
              <w:right w:w="60" w:type="dxa"/>
            </w:tcMar>
            <w:vAlign w:val="center"/>
          </w:tcPr>
          <w:p w14:paraId="77EDD398" w14:textId="77777777" w:rsidR="00B34261" w:rsidRPr="00B05FE8" w:rsidRDefault="00B34261" w:rsidP="00553AB7">
            <w:pPr>
              <w:keepNext/>
              <w:adjustRightInd w:val="0"/>
              <w:jc w:val="center"/>
              <w:rPr>
                <w:color w:val="000000"/>
                <w:szCs w:val="22"/>
              </w:rPr>
            </w:pPr>
            <w:r w:rsidRPr="00B05FE8">
              <w:rPr>
                <w:color w:val="000000"/>
                <w:szCs w:val="22"/>
              </w:rPr>
              <w:t>306</w:t>
            </w:r>
          </w:p>
        </w:tc>
        <w:tc>
          <w:tcPr>
            <w:tcW w:w="1260" w:type="dxa"/>
            <w:shd w:val="clear" w:color="auto" w:fill="FFFFFF"/>
            <w:tcMar>
              <w:left w:w="60" w:type="dxa"/>
              <w:right w:w="60" w:type="dxa"/>
            </w:tcMar>
            <w:vAlign w:val="center"/>
          </w:tcPr>
          <w:p w14:paraId="79DB6A72" w14:textId="77777777" w:rsidR="00B34261" w:rsidRPr="00B05FE8" w:rsidRDefault="00B34261" w:rsidP="00553AB7">
            <w:pPr>
              <w:keepNext/>
              <w:adjustRightInd w:val="0"/>
              <w:jc w:val="center"/>
              <w:rPr>
                <w:color w:val="000000"/>
                <w:szCs w:val="22"/>
              </w:rPr>
            </w:pPr>
            <w:r w:rsidRPr="00B05FE8">
              <w:rPr>
                <w:color w:val="000000"/>
                <w:szCs w:val="22"/>
              </w:rPr>
              <w:t>14</w:t>
            </w:r>
            <w:r>
              <w:rPr>
                <w:color w:val="000000"/>
                <w:szCs w:val="22"/>
              </w:rPr>
              <w:t>,</w:t>
            </w:r>
            <w:r w:rsidRPr="00B05FE8">
              <w:rPr>
                <w:color w:val="000000"/>
                <w:szCs w:val="22"/>
              </w:rPr>
              <w:t>5</w:t>
            </w:r>
          </w:p>
        </w:tc>
      </w:tr>
      <w:tr w:rsidR="00B34261" w:rsidRPr="00A465C0" w14:paraId="4CF55DED" w14:textId="77777777" w:rsidTr="004E303B">
        <w:trPr>
          <w:cantSplit/>
        </w:trPr>
        <w:tc>
          <w:tcPr>
            <w:tcW w:w="2233" w:type="dxa"/>
            <w:shd w:val="clear" w:color="auto" w:fill="FFFFFF"/>
            <w:tcMar>
              <w:left w:w="60" w:type="dxa"/>
              <w:right w:w="60" w:type="dxa"/>
            </w:tcMar>
          </w:tcPr>
          <w:p w14:paraId="2DA9CF49" w14:textId="77777777" w:rsidR="00B34261" w:rsidRPr="00B05FE8" w:rsidRDefault="00B34261" w:rsidP="00553AB7">
            <w:pPr>
              <w:keepNext/>
              <w:adjustRightInd w:val="0"/>
              <w:rPr>
                <w:color w:val="000000"/>
                <w:szCs w:val="22"/>
              </w:rPr>
            </w:pPr>
          </w:p>
        </w:tc>
        <w:tc>
          <w:tcPr>
            <w:tcW w:w="1878" w:type="dxa"/>
            <w:shd w:val="clear" w:color="auto" w:fill="FFFFFF"/>
            <w:tcMar>
              <w:left w:w="60" w:type="dxa"/>
              <w:right w:w="60" w:type="dxa"/>
            </w:tcMar>
          </w:tcPr>
          <w:p w14:paraId="6681DCB0" w14:textId="77777777" w:rsidR="00B34261" w:rsidRPr="00B05FE8" w:rsidRDefault="00B34261" w:rsidP="00553AB7">
            <w:pPr>
              <w:keepNext/>
              <w:adjustRightInd w:val="0"/>
              <w:jc w:val="center"/>
              <w:rPr>
                <w:color w:val="000000"/>
                <w:szCs w:val="22"/>
              </w:rPr>
            </w:pPr>
          </w:p>
        </w:tc>
        <w:tc>
          <w:tcPr>
            <w:tcW w:w="2149" w:type="dxa"/>
            <w:shd w:val="clear" w:color="auto" w:fill="FFFFFF"/>
            <w:tcMar>
              <w:left w:w="60" w:type="dxa"/>
              <w:right w:w="60" w:type="dxa"/>
            </w:tcMar>
            <w:vAlign w:val="center"/>
          </w:tcPr>
          <w:p w14:paraId="1EFC3C7B" w14:textId="77777777" w:rsidR="00B34261" w:rsidRPr="00B05FE8" w:rsidRDefault="00B34261" w:rsidP="00553AB7">
            <w:pPr>
              <w:keepNext/>
              <w:adjustRightInd w:val="0"/>
              <w:jc w:val="center"/>
              <w:rPr>
                <w:color w:val="000000"/>
                <w:szCs w:val="22"/>
              </w:rPr>
            </w:pPr>
            <w:r w:rsidRPr="00B05FE8">
              <w:rPr>
                <w:color w:val="000000"/>
                <w:szCs w:val="22"/>
              </w:rPr>
              <w:t>Geo</w:t>
            </w:r>
            <w:r>
              <w:rPr>
                <w:color w:val="000000"/>
                <w:szCs w:val="22"/>
              </w:rPr>
              <w:t xml:space="preserve">metryczny </w:t>
            </w:r>
            <w:r w:rsidRPr="00B05FE8">
              <w:rPr>
                <w:color w:val="000000"/>
                <w:szCs w:val="22"/>
              </w:rPr>
              <w:t>CV%</w:t>
            </w:r>
          </w:p>
        </w:tc>
        <w:tc>
          <w:tcPr>
            <w:tcW w:w="1545" w:type="dxa"/>
            <w:shd w:val="clear" w:color="auto" w:fill="FFFFFF"/>
            <w:tcMar>
              <w:left w:w="60" w:type="dxa"/>
              <w:right w:w="60" w:type="dxa"/>
            </w:tcMar>
            <w:vAlign w:val="center"/>
          </w:tcPr>
          <w:p w14:paraId="4DA90DC7" w14:textId="77777777" w:rsidR="00B34261" w:rsidRPr="00B05FE8" w:rsidRDefault="00B34261" w:rsidP="00553AB7">
            <w:pPr>
              <w:keepNext/>
              <w:adjustRightInd w:val="0"/>
              <w:jc w:val="center"/>
              <w:rPr>
                <w:color w:val="000000"/>
                <w:szCs w:val="22"/>
              </w:rPr>
            </w:pPr>
            <w:r w:rsidRPr="00B05FE8">
              <w:rPr>
                <w:color w:val="000000"/>
                <w:szCs w:val="22"/>
              </w:rPr>
              <w:t>63</w:t>
            </w:r>
            <w:r>
              <w:rPr>
                <w:color w:val="000000"/>
                <w:szCs w:val="22"/>
              </w:rPr>
              <w:t>,</w:t>
            </w:r>
            <w:r w:rsidRPr="00B05FE8">
              <w:rPr>
                <w:color w:val="000000"/>
                <w:szCs w:val="22"/>
              </w:rPr>
              <w:t>8</w:t>
            </w:r>
          </w:p>
        </w:tc>
        <w:tc>
          <w:tcPr>
            <w:tcW w:w="1260" w:type="dxa"/>
            <w:shd w:val="clear" w:color="auto" w:fill="FFFFFF"/>
            <w:tcMar>
              <w:left w:w="60" w:type="dxa"/>
              <w:right w:w="60" w:type="dxa"/>
            </w:tcMar>
            <w:vAlign w:val="center"/>
          </w:tcPr>
          <w:p w14:paraId="698275FD" w14:textId="77777777" w:rsidR="00B34261" w:rsidRPr="00B05FE8" w:rsidRDefault="00B34261" w:rsidP="00553AB7">
            <w:pPr>
              <w:keepNext/>
              <w:adjustRightInd w:val="0"/>
              <w:jc w:val="center"/>
              <w:rPr>
                <w:color w:val="000000"/>
                <w:szCs w:val="22"/>
              </w:rPr>
            </w:pPr>
            <w:r w:rsidRPr="00B05FE8">
              <w:rPr>
                <w:color w:val="000000"/>
                <w:szCs w:val="22"/>
              </w:rPr>
              <w:t>58</w:t>
            </w:r>
            <w:r>
              <w:rPr>
                <w:color w:val="000000"/>
                <w:szCs w:val="22"/>
              </w:rPr>
              <w:t>,</w:t>
            </w:r>
            <w:r w:rsidRPr="00B05FE8">
              <w:rPr>
                <w:color w:val="000000"/>
                <w:szCs w:val="22"/>
              </w:rPr>
              <w:t>2</w:t>
            </w:r>
          </w:p>
        </w:tc>
      </w:tr>
      <w:tr w:rsidR="00B34261" w:rsidRPr="00A465C0" w14:paraId="3DEB4319" w14:textId="77777777" w:rsidTr="004E303B">
        <w:trPr>
          <w:cantSplit/>
        </w:trPr>
        <w:tc>
          <w:tcPr>
            <w:tcW w:w="2233" w:type="dxa"/>
            <w:shd w:val="clear" w:color="auto" w:fill="FFFFFF"/>
            <w:tcMar>
              <w:left w:w="60" w:type="dxa"/>
              <w:right w:w="60" w:type="dxa"/>
            </w:tcMar>
          </w:tcPr>
          <w:p w14:paraId="7C211FF7" w14:textId="77777777" w:rsidR="00B34261" w:rsidRPr="00B05FE8" w:rsidRDefault="00B34261" w:rsidP="00553AB7">
            <w:pPr>
              <w:keepNext/>
              <w:adjustRightInd w:val="0"/>
              <w:rPr>
                <w:color w:val="000000"/>
                <w:szCs w:val="22"/>
              </w:rPr>
            </w:pPr>
            <w:r>
              <w:rPr>
                <w:color w:val="000000"/>
                <w:szCs w:val="22"/>
              </w:rPr>
              <w:t>Kohorta </w:t>
            </w:r>
            <w:r w:rsidRPr="00B05FE8">
              <w:rPr>
                <w:color w:val="000000"/>
                <w:szCs w:val="22"/>
              </w:rPr>
              <w:t>B (N=27)</w:t>
            </w:r>
          </w:p>
        </w:tc>
        <w:tc>
          <w:tcPr>
            <w:tcW w:w="1878" w:type="dxa"/>
            <w:shd w:val="clear" w:color="auto" w:fill="FFFFFF"/>
            <w:tcMar>
              <w:left w:w="60" w:type="dxa"/>
              <w:right w:w="60" w:type="dxa"/>
            </w:tcMar>
          </w:tcPr>
          <w:p w14:paraId="1DD442E4" w14:textId="77777777" w:rsidR="00B34261" w:rsidRPr="00B05FE8" w:rsidRDefault="00B34261" w:rsidP="00553AB7">
            <w:pPr>
              <w:keepNext/>
              <w:adjustRightInd w:val="0"/>
              <w:jc w:val="center"/>
              <w:rPr>
                <w:color w:val="000000"/>
                <w:szCs w:val="22"/>
              </w:rPr>
            </w:pPr>
            <w:r>
              <w:rPr>
                <w:color w:val="000000"/>
                <w:szCs w:val="22"/>
              </w:rPr>
              <w:t>2</w:t>
            </w:r>
            <w:r w:rsidRPr="00B05FE8">
              <w:rPr>
                <w:color w:val="000000"/>
                <w:szCs w:val="22"/>
              </w:rPr>
              <w:t xml:space="preserve"> </w:t>
            </w:r>
            <w:r>
              <w:rPr>
                <w:color w:val="000000"/>
                <w:szCs w:val="22"/>
              </w:rPr>
              <w:t>do</w:t>
            </w:r>
            <w:r w:rsidRPr="00B05FE8">
              <w:rPr>
                <w:color w:val="000000"/>
                <w:szCs w:val="22"/>
              </w:rPr>
              <w:t xml:space="preserve"> &lt;6</w:t>
            </w:r>
            <w:r>
              <w:rPr>
                <w:color w:val="000000"/>
                <w:szCs w:val="22"/>
              </w:rPr>
              <w:t> lat</w:t>
            </w:r>
          </w:p>
        </w:tc>
        <w:tc>
          <w:tcPr>
            <w:tcW w:w="2149" w:type="dxa"/>
            <w:shd w:val="clear" w:color="auto" w:fill="FFFFFF"/>
            <w:tcMar>
              <w:left w:w="60" w:type="dxa"/>
              <w:right w:w="60" w:type="dxa"/>
            </w:tcMar>
            <w:vAlign w:val="center"/>
          </w:tcPr>
          <w:p w14:paraId="7316D78D" w14:textId="77777777" w:rsidR="00B34261" w:rsidRPr="00B05FE8" w:rsidRDefault="00B34261" w:rsidP="00553AB7">
            <w:pPr>
              <w:keepNext/>
              <w:adjustRightInd w:val="0"/>
              <w:jc w:val="center"/>
              <w:rPr>
                <w:color w:val="000000"/>
                <w:szCs w:val="22"/>
              </w:rPr>
            </w:pPr>
            <w:r w:rsidRPr="00B05FE8">
              <w:rPr>
                <w:color w:val="000000"/>
                <w:szCs w:val="22"/>
              </w:rPr>
              <w:t>n</w:t>
            </w:r>
          </w:p>
        </w:tc>
        <w:tc>
          <w:tcPr>
            <w:tcW w:w="1545" w:type="dxa"/>
            <w:shd w:val="clear" w:color="auto" w:fill="FFFFFF"/>
            <w:tcMar>
              <w:left w:w="60" w:type="dxa"/>
              <w:right w:w="60" w:type="dxa"/>
            </w:tcMar>
            <w:vAlign w:val="center"/>
          </w:tcPr>
          <w:p w14:paraId="4E583B4D" w14:textId="77777777" w:rsidR="00B34261" w:rsidRPr="00B05FE8" w:rsidRDefault="00B34261" w:rsidP="00553AB7">
            <w:pPr>
              <w:keepNext/>
              <w:adjustRightInd w:val="0"/>
              <w:jc w:val="center"/>
              <w:rPr>
                <w:color w:val="000000"/>
                <w:szCs w:val="22"/>
              </w:rPr>
            </w:pPr>
            <w:r w:rsidRPr="00B05FE8">
              <w:rPr>
                <w:color w:val="000000"/>
                <w:szCs w:val="22"/>
              </w:rPr>
              <w:t>6</w:t>
            </w:r>
          </w:p>
        </w:tc>
        <w:tc>
          <w:tcPr>
            <w:tcW w:w="1260" w:type="dxa"/>
            <w:shd w:val="clear" w:color="auto" w:fill="FFFFFF"/>
            <w:tcMar>
              <w:left w:w="60" w:type="dxa"/>
              <w:right w:w="60" w:type="dxa"/>
            </w:tcMar>
            <w:vAlign w:val="center"/>
          </w:tcPr>
          <w:p w14:paraId="29E7D536" w14:textId="77777777" w:rsidR="00B34261" w:rsidRPr="00B05FE8" w:rsidRDefault="00B34261" w:rsidP="00553AB7">
            <w:pPr>
              <w:keepNext/>
              <w:adjustRightInd w:val="0"/>
              <w:jc w:val="center"/>
              <w:rPr>
                <w:color w:val="000000"/>
                <w:szCs w:val="22"/>
              </w:rPr>
            </w:pPr>
            <w:r w:rsidRPr="00B05FE8">
              <w:rPr>
                <w:color w:val="000000"/>
                <w:szCs w:val="22"/>
              </w:rPr>
              <w:t>8</w:t>
            </w:r>
          </w:p>
        </w:tc>
      </w:tr>
      <w:tr w:rsidR="00B34261" w:rsidRPr="00A465C0" w14:paraId="6DF84601" w14:textId="77777777" w:rsidTr="004E303B">
        <w:trPr>
          <w:cantSplit/>
        </w:trPr>
        <w:tc>
          <w:tcPr>
            <w:tcW w:w="2233" w:type="dxa"/>
            <w:shd w:val="clear" w:color="auto" w:fill="FFFFFF"/>
            <w:tcMar>
              <w:left w:w="60" w:type="dxa"/>
              <w:right w:w="60" w:type="dxa"/>
            </w:tcMar>
          </w:tcPr>
          <w:p w14:paraId="0579DEB1" w14:textId="77777777" w:rsidR="00B34261" w:rsidRPr="00B05FE8" w:rsidRDefault="00B34261" w:rsidP="00553AB7">
            <w:pPr>
              <w:keepNext/>
              <w:adjustRightInd w:val="0"/>
              <w:rPr>
                <w:color w:val="000000"/>
                <w:szCs w:val="22"/>
              </w:rPr>
            </w:pPr>
          </w:p>
        </w:tc>
        <w:tc>
          <w:tcPr>
            <w:tcW w:w="1878" w:type="dxa"/>
            <w:shd w:val="clear" w:color="auto" w:fill="FFFFFF"/>
            <w:tcMar>
              <w:left w:w="60" w:type="dxa"/>
              <w:right w:w="60" w:type="dxa"/>
            </w:tcMar>
          </w:tcPr>
          <w:p w14:paraId="2F60E027" w14:textId="77777777" w:rsidR="00B34261" w:rsidRPr="00B05FE8" w:rsidRDefault="00B34261" w:rsidP="00553AB7">
            <w:pPr>
              <w:keepNext/>
              <w:adjustRightInd w:val="0"/>
              <w:jc w:val="center"/>
              <w:rPr>
                <w:color w:val="000000"/>
                <w:szCs w:val="22"/>
              </w:rPr>
            </w:pPr>
          </w:p>
        </w:tc>
        <w:tc>
          <w:tcPr>
            <w:tcW w:w="2149" w:type="dxa"/>
            <w:shd w:val="clear" w:color="auto" w:fill="FFFFFF"/>
            <w:tcMar>
              <w:left w:w="60" w:type="dxa"/>
              <w:right w:w="60" w:type="dxa"/>
            </w:tcMar>
            <w:vAlign w:val="center"/>
          </w:tcPr>
          <w:p w14:paraId="32840652" w14:textId="77777777" w:rsidR="00B34261" w:rsidRPr="00B05FE8" w:rsidRDefault="00B34261" w:rsidP="00553AB7">
            <w:pPr>
              <w:keepNext/>
              <w:adjustRightInd w:val="0"/>
              <w:jc w:val="center"/>
              <w:rPr>
                <w:color w:val="000000"/>
                <w:szCs w:val="22"/>
              </w:rPr>
            </w:pPr>
            <w:r>
              <w:rPr>
                <w:color w:val="000000"/>
                <w:szCs w:val="22"/>
              </w:rPr>
              <w:t>Średnia geometryczna</w:t>
            </w:r>
          </w:p>
        </w:tc>
        <w:tc>
          <w:tcPr>
            <w:tcW w:w="1545" w:type="dxa"/>
            <w:shd w:val="clear" w:color="auto" w:fill="FFFFFF"/>
            <w:tcMar>
              <w:left w:w="60" w:type="dxa"/>
              <w:right w:w="60" w:type="dxa"/>
            </w:tcMar>
            <w:vAlign w:val="center"/>
          </w:tcPr>
          <w:p w14:paraId="0DF33C94" w14:textId="77777777" w:rsidR="00B34261" w:rsidRPr="00B05FE8" w:rsidRDefault="00B34261" w:rsidP="00553AB7">
            <w:pPr>
              <w:keepNext/>
              <w:adjustRightInd w:val="0"/>
              <w:jc w:val="center"/>
              <w:rPr>
                <w:color w:val="000000"/>
                <w:szCs w:val="22"/>
              </w:rPr>
            </w:pPr>
            <w:r w:rsidRPr="00B05FE8">
              <w:rPr>
                <w:color w:val="000000"/>
                <w:szCs w:val="22"/>
              </w:rPr>
              <w:t>502</w:t>
            </w:r>
          </w:p>
        </w:tc>
        <w:tc>
          <w:tcPr>
            <w:tcW w:w="1260" w:type="dxa"/>
            <w:shd w:val="clear" w:color="auto" w:fill="FFFFFF"/>
            <w:tcMar>
              <w:left w:w="60" w:type="dxa"/>
              <w:right w:w="60" w:type="dxa"/>
            </w:tcMar>
            <w:vAlign w:val="center"/>
          </w:tcPr>
          <w:p w14:paraId="4767A380" w14:textId="77777777" w:rsidR="00B34261" w:rsidRPr="00B05FE8" w:rsidRDefault="00B34261" w:rsidP="00553AB7">
            <w:pPr>
              <w:keepNext/>
              <w:adjustRightInd w:val="0"/>
              <w:jc w:val="center"/>
              <w:rPr>
                <w:color w:val="000000"/>
                <w:szCs w:val="22"/>
              </w:rPr>
            </w:pPr>
            <w:r w:rsidRPr="00B05FE8">
              <w:rPr>
                <w:color w:val="000000"/>
                <w:szCs w:val="22"/>
              </w:rPr>
              <w:t>27</w:t>
            </w:r>
            <w:r>
              <w:rPr>
                <w:color w:val="000000"/>
                <w:szCs w:val="22"/>
              </w:rPr>
              <w:t>,</w:t>
            </w:r>
            <w:r w:rsidRPr="00B05FE8">
              <w:rPr>
                <w:color w:val="000000"/>
                <w:szCs w:val="22"/>
              </w:rPr>
              <w:t>1</w:t>
            </w:r>
          </w:p>
        </w:tc>
      </w:tr>
      <w:tr w:rsidR="00B34261" w:rsidRPr="00A465C0" w14:paraId="29928CDC" w14:textId="77777777" w:rsidTr="004E303B">
        <w:trPr>
          <w:cantSplit/>
        </w:trPr>
        <w:tc>
          <w:tcPr>
            <w:tcW w:w="2233" w:type="dxa"/>
            <w:shd w:val="clear" w:color="auto" w:fill="FFFFFF"/>
            <w:tcMar>
              <w:left w:w="60" w:type="dxa"/>
              <w:right w:w="60" w:type="dxa"/>
            </w:tcMar>
          </w:tcPr>
          <w:p w14:paraId="68A292C4" w14:textId="77777777" w:rsidR="00B34261" w:rsidRPr="00B05FE8" w:rsidRDefault="00B34261" w:rsidP="00553AB7">
            <w:pPr>
              <w:keepNext/>
              <w:adjustRightInd w:val="0"/>
              <w:rPr>
                <w:color w:val="000000"/>
                <w:szCs w:val="22"/>
              </w:rPr>
            </w:pPr>
          </w:p>
        </w:tc>
        <w:tc>
          <w:tcPr>
            <w:tcW w:w="1878" w:type="dxa"/>
            <w:shd w:val="clear" w:color="auto" w:fill="FFFFFF"/>
            <w:tcMar>
              <w:left w:w="60" w:type="dxa"/>
              <w:right w:w="60" w:type="dxa"/>
            </w:tcMar>
          </w:tcPr>
          <w:p w14:paraId="3FE55387" w14:textId="77777777" w:rsidR="00B34261" w:rsidRPr="00B05FE8" w:rsidRDefault="00B34261" w:rsidP="00553AB7">
            <w:pPr>
              <w:keepNext/>
              <w:adjustRightInd w:val="0"/>
              <w:jc w:val="center"/>
              <w:rPr>
                <w:color w:val="000000"/>
                <w:szCs w:val="22"/>
              </w:rPr>
            </w:pPr>
          </w:p>
        </w:tc>
        <w:tc>
          <w:tcPr>
            <w:tcW w:w="2149" w:type="dxa"/>
            <w:shd w:val="clear" w:color="auto" w:fill="FFFFFF"/>
            <w:tcMar>
              <w:left w:w="60" w:type="dxa"/>
              <w:right w:w="60" w:type="dxa"/>
            </w:tcMar>
            <w:vAlign w:val="center"/>
          </w:tcPr>
          <w:p w14:paraId="5BC23237" w14:textId="77777777" w:rsidR="00B34261" w:rsidRPr="00B05FE8" w:rsidRDefault="00B34261" w:rsidP="00553AB7">
            <w:pPr>
              <w:keepNext/>
              <w:adjustRightInd w:val="0"/>
              <w:jc w:val="center"/>
              <w:rPr>
                <w:color w:val="000000"/>
                <w:szCs w:val="22"/>
              </w:rPr>
            </w:pPr>
            <w:r w:rsidRPr="00B05FE8">
              <w:rPr>
                <w:color w:val="000000"/>
                <w:szCs w:val="22"/>
              </w:rPr>
              <w:t>Geo</w:t>
            </w:r>
            <w:r>
              <w:rPr>
                <w:color w:val="000000"/>
                <w:szCs w:val="22"/>
              </w:rPr>
              <w:t xml:space="preserve">metryczny </w:t>
            </w:r>
            <w:r w:rsidRPr="00B05FE8">
              <w:rPr>
                <w:color w:val="000000"/>
                <w:szCs w:val="22"/>
              </w:rPr>
              <w:t>CV%</w:t>
            </w:r>
          </w:p>
        </w:tc>
        <w:tc>
          <w:tcPr>
            <w:tcW w:w="1545" w:type="dxa"/>
            <w:shd w:val="clear" w:color="auto" w:fill="FFFFFF"/>
            <w:tcMar>
              <w:left w:w="60" w:type="dxa"/>
              <w:right w:w="60" w:type="dxa"/>
            </w:tcMar>
            <w:vAlign w:val="center"/>
          </w:tcPr>
          <w:p w14:paraId="440D4F75" w14:textId="77777777" w:rsidR="00B34261" w:rsidRPr="00B05FE8" w:rsidRDefault="00B34261" w:rsidP="00553AB7">
            <w:pPr>
              <w:keepNext/>
              <w:adjustRightInd w:val="0"/>
              <w:jc w:val="center"/>
              <w:rPr>
                <w:color w:val="000000"/>
                <w:szCs w:val="22"/>
              </w:rPr>
            </w:pPr>
            <w:r w:rsidRPr="00B05FE8">
              <w:rPr>
                <w:color w:val="000000"/>
                <w:szCs w:val="22"/>
              </w:rPr>
              <w:t>65</w:t>
            </w:r>
            <w:r>
              <w:rPr>
                <w:color w:val="000000"/>
                <w:szCs w:val="22"/>
              </w:rPr>
              <w:t>,</w:t>
            </w:r>
            <w:r w:rsidRPr="00B05FE8">
              <w:rPr>
                <w:color w:val="000000"/>
                <w:szCs w:val="22"/>
              </w:rPr>
              <w:t>6</w:t>
            </w:r>
          </w:p>
        </w:tc>
        <w:tc>
          <w:tcPr>
            <w:tcW w:w="1260" w:type="dxa"/>
            <w:shd w:val="clear" w:color="auto" w:fill="FFFFFF"/>
            <w:tcMar>
              <w:left w:w="60" w:type="dxa"/>
              <w:right w:w="60" w:type="dxa"/>
            </w:tcMar>
            <w:vAlign w:val="center"/>
          </w:tcPr>
          <w:p w14:paraId="4DAE0F6C" w14:textId="77777777" w:rsidR="00B34261" w:rsidRPr="00B05FE8" w:rsidRDefault="00B34261" w:rsidP="00553AB7">
            <w:pPr>
              <w:keepNext/>
              <w:adjustRightInd w:val="0"/>
              <w:jc w:val="center"/>
              <w:rPr>
                <w:color w:val="000000"/>
                <w:szCs w:val="22"/>
              </w:rPr>
            </w:pPr>
            <w:r w:rsidRPr="00B05FE8">
              <w:rPr>
                <w:color w:val="000000"/>
                <w:szCs w:val="22"/>
              </w:rPr>
              <w:t>40</w:t>
            </w:r>
            <w:r>
              <w:rPr>
                <w:color w:val="000000"/>
                <w:szCs w:val="22"/>
              </w:rPr>
              <w:t>,</w:t>
            </w:r>
            <w:r w:rsidRPr="00B05FE8">
              <w:rPr>
                <w:color w:val="000000"/>
                <w:szCs w:val="22"/>
              </w:rPr>
              <w:t>6</w:t>
            </w:r>
          </w:p>
        </w:tc>
      </w:tr>
      <w:tr w:rsidR="00B34261" w:rsidRPr="00A465C0" w14:paraId="0F4408E8" w14:textId="77777777" w:rsidTr="004E303B">
        <w:trPr>
          <w:cantSplit/>
        </w:trPr>
        <w:tc>
          <w:tcPr>
            <w:tcW w:w="2233" w:type="dxa"/>
            <w:shd w:val="clear" w:color="auto" w:fill="FFFFFF"/>
            <w:tcMar>
              <w:left w:w="60" w:type="dxa"/>
              <w:right w:w="60" w:type="dxa"/>
            </w:tcMar>
          </w:tcPr>
          <w:p w14:paraId="7632999A" w14:textId="77777777" w:rsidR="00B34261" w:rsidRPr="00B05FE8" w:rsidRDefault="00B34261" w:rsidP="00553AB7">
            <w:pPr>
              <w:keepNext/>
              <w:adjustRightInd w:val="0"/>
              <w:rPr>
                <w:color w:val="000000"/>
                <w:szCs w:val="22"/>
              </w:rPr>
            </w:pPr>
          </w:p>
        </w:tc>
        <w:tc>
          <w:tcPr>
            <w:tcW w:w="1878" w:type="dxa"/>
            <w:shd w:val="clear" w:color="auto" w:fill="FFFFFF"/>
            <w:tcMar>
              <w:left w:w="60" w:type="dxa"/>
              <w:right w:w="60" w:type="dxa"/>
            </w:tcMar>
          </w:tcPr>
          <w:p w14:paraId="0E3BA64E" w14:textId="77777777" w:rsidR="00B34261" w:rsidRPr="00B05FE8" w:rsidRDefault="00B34261" w:rsidP="00553AB7">
            <w:pPr>
              <w:keepNext/>
              <w:adjustRightInd w:val="0"/>
              <w:jc w:val="center"/>
              <w:rPr>
                <w:color w:val="000000"/>
                <w:szCs w:val="22"/>
              </w:rPr>
            </w:pPr>
            <w:r w:rsidRPr="00B05FE8">
              <w:rPr>
                <w:color w:val="000000"/>
                <w:szCs w:val="22"/>
              </w:rPr>
              <w:t xml:space="preserve">6 </w:t>
            </w:r>
            <w:r>
              <w:rPr>
                <w:color w:val="000000"/>
                <w:szCs w:val="22"/>
              </w:rPr>
              <w:t>do</w:t>
            </w:r>
            <w:r w:rsidRPr="00B05FE8">
              <w:rPr>
                <w:color w:val="000000"/>
                <w:szCs w:val="22"/>
              </w:rPr>
              <w:t xml:space="preserve"> &lt;18</w:t>
            </w:r>
            <w:r>
              <w:rPr>
                <w:color w:val="000000"/>
                <w:szCs w:val="22"/>
              </w:rPr>
              <w:t> lat</w:t>
            </w:r>
          </w:p>
        </w:tc>
        <w:tc>
          <w:tcPr>
            <w:tcW w:w="2149" w:type="dxa"/>
            <w:shd w:val="clear" w:color="auto" w:fill="FFFFFF"/>
            <w:tcMar>
              <w:left w:w="60" w:type="dxa"/>
              <w:right w:w="60" w:type="dxa"/>
            </w:tcMar>
            <w:vAlign w:val="center"/>
          </w:tcPr>
          <w:p w14:paraId="2167AD78" w14:textId="77777777" w:rsidR="00B34261" w:rsidRPr="00B05FE8" w:rsidRDefault="00B34261" w:rsidP="00553AB7">
            <w:pPr>
              <w:keepNext/>
              <w:adjustRightInd w:val="0"/>
              <w:jc w:val="center"/>
              <w:rPr>
                <w:color w:val="000000"/>
                <w:szCs w:val="22"/>
              </w:rPr>
            </w:pPr>
            <w:r w:rsidRPr="00B05FE8">
              <w:rPr>
                <w:color w:val="000000"/>
                <w:szCs w:val="22"/>
              </w:rPr>
              <w:t>n</w:t>
            </w:r>
          </w:p>
        </w:tc>
        <w:tc>
          <w:tcPr>
            <w:tcW w:w="1545" w:type="dxa"/>
            <w:shd w:val="clear" w:color="auto" w:fill="FFFFFF"/>
            <w:tcMar>
              <w:left w:w="60" w:type="dxa"/>
              <w:right w:w="60" w:type="dxa"/>
            </w:tcMar>
            <w:vAlign w:val="center"/>
          </w:tcPr>
          <w:p w14:paraId="217691BD" w14:textId="77777777" w:rsidR="00B34261" w:rsidRPr="00B05FE8" w:rsidRDefault="00B34261" w:rsidP="00553AB7">
            <w:pPr>
              <w:keepNext/>
              <w:adjustRightInd w:val="0"/>
              <w:jc w:val="center"/>
              <w:rPr>
                <w:color w:val="000000"/>
                <w:szCs w:val="22"/>
              </w:rPr>
            </w:pPr>
            <w:r w:rsidRPr="00B05FE8">
              <w:rPr>
                <w:color w:val="000000"/>
                <w:szCs w:val="22"/>
              </w:rPr>
              <w:t>10</w:t>
            </w:r>
          </w:p>
        </w:tc>
        <w:tc>
          <w:tcPr>
            <w:tcW w:w="1260" w:type="dxa"/>
            <w:shd w:val="clear" w:color="auto" w:fill="FFFFFF"/>
            <w:tcMar>
              <w:left w:w="60" w:type="dxa"/>
              <w:right w:w="60" w:type="dxa"/>
            </w:tcMar>
            <w:vAlign w:val="center"/>
          </w:tcPr>
          <w:p w14:paraId="5CC1BB87" w14:textId="77777777" w:rsidR="00B34261" w:rsidRPr="00B05FE8" w:rsidRDefault="00B34261" w:rsidP="00553AB7">
            <w:pPr>
              <w:keepNext/>
              <w:adjustRightInd w:val="0"/>
              <w:jc w:val="center"/>
              <w:rPr>
                <w:color w:val="000000"/>
                <w:szCs w:val="22"/>
              </w:rPr>
            </w:pPr>
            <w:r w:rsidRPr="00B05FE8">
              <w:rPr>
                <w:color w:val="000000"/>
                <w:szCs w:val="22"/>
              </w:rPr>
              <w:t>15</w:t>
            </w:r>
          </w:p>
        </w:tc>
      </w:tr>
      <w:tr w:rsidR="00B34261" w:rsidRPr="00A465C0" w14:paraId="3F7D1368" w14:textId="77777777" w:rsidTr="004E303B">
        <w:trPr>
          <w:cantSplit/>
        </w:trPr>
        <w:tc>
          <w:tcPr>
            <w:tcW w:w="2233" w:type="dxa"/>
            <w:shd w:val="clear" w:color="auto" w:fill="FFFFFF"/>
            <w:tcMar>
              <w:left w:w="60" w:type="dxa"/>
              <w:right w:w="60" w:type="dxa"/>
            </w:tcMar>
          </w:tcPr>
          <w:p w14:paraId="40165E1C" w14:textId="77777777" w:rsidR="00B34261" w:rsidRPr="00B05FE8" w:rsidRDefault="00B34261" w:rsidP="00553AB7">
            <w:pPr>
              <w:keepNext/>
              <w:adjustRightInd w:val="0"/>
              <w:rPr>
                <w:color w:val="000000"/>
                <w:szCs w:val="22"/>
              </w:rPr>
            </w:pPr>
          </w:p>
        </w:tc>
        <w:tc>
          <w:tcPr>
            <w:tcW w:w="1878" w:type="dxa"/>
            <w:shd w:val="clear" w:color="auto" w:fill="FFFFFF"/>
            <w:tcMar>
              <w:left w:w="60" w:type="dxa"/>
              <w:right w:w="60" w:type="dxa"/>
            </w:tcMar>
          </w:tcPr>
          <w:p w14:paraId="352529FF" w14:textId="77777777" w:rsidR="00B34261" w:rsidRPr="00B05FE8" w:rsidRDefault="00B34261" w:rsidP="00553AB7">
            <w:pPr>
              <w:keepNext/>
              <w:adjustRightInd w:val="0"/>
              <w:jc w:val="center"/>
              <w:rPr>
                <w:color w:val="000000"/>
                <w:szCs w:val="22"/>
              </w:rPr>
            </w:pPr>
          </w:p>
        </w:tc>
        <w:tc>
          <w:tcPr>
            <w:tcW w:w="2149" w:type="dxa"/>
            <w:shd w:val="clear" w:color="auto" w:fill="FFFFFF"/>
            <w:tcMar>
              <w:left w:w="60" w:type="dxa"/>
              <w:right w:w="60" w:type="dxa"/>
            </w:tcMar>
            <w:vAlign w:val="center"/>
          </w:tcPr>
          <w:p w14:paraId="6DC8DC99" w14:textId="77777777" w:rsidR="00B34261" w:rsidRPr="00B05FE8" w:rsidRDefault="00B34261" w:rsidP="00553AB7">
            <w:pPr>
              <w:keepNext/>
              <w:adjustRightInd w:val="0"/>
              <w:jc w:val="center"/>
              <w:rPr>
                <w:color w:val="000000"/>
                <w:szCs w:val="22"/>
              </w:rPr>
            </w:pPr>
            <w:r>
              <w:rPr>
                <w:color w:val="000000"/>
                <w:szCs w:val="22"/>
              </w:rPr>
              <w:t>Średnia geometryczna</w:t>
            </w:r>
          </w:p>
        </w:tc>
        <w:tc>
          <w:tcPr>
            <w:tcW w:w="1545" w:type="dxa"/>
            <w:shd w:val="clear" w:color="auto" w:fill="FFFFFF"/>
            <w:tcMar>
              <w:left w:w="60" w:type="dxa"/>
              <w:right w:w="60" w:type="dxa"/>
            </w:tcMar>
            <w:vAlign w:val="center"/>
          </w:tcPr>
          <w:p w14:paraId="4DC3C5EE" w14:textId="77777777" w:rsidR="00B34261" w:rsidRPr="00B05FE8" w:rsidRDefault="00B34261" w:rsidP="00553AB7">
            <w:pPr>
              <w:keepNext/>
              <w:adjustRightInd w:val="0"/>
              <w:jc w:val="center"/>
              <w:rPr>
                <w:color w:val="000000"/>
                <w:szCs w:val="22"/>
              </w:rPr>
            </w:pPr>
            <w:r w:rsidRPr="00B05FE8">
              <w:rPr>
                <w:color w:val="000000"/>
                <w:szCs w:val="22"/>
              </w:rPr>
              <w:t>275</w:t>
            </w:r>
          </w:p>
        </w:tc>
        <w:tc>
          <w:tcPr>
            <w:tcW w:w="1260" w:type="dxa"/>
            <w:shd w:val="clear" w:color="auto" w:fill="FFFFFF"/>
            <w:tcMar>
              <w:left w:w="60" w:type="dxa"/>
              <w:right w:w="60" w:type="dxa"/>
            </w:tcMar>
            <w:vAlign w:val="center"/>
          </w:tcPr>
          <w:p w14:paraId="6A8D081C" w14:textId="77777777" w:rsidR="00B34261" w:rsidRPr="00B05FE8" w:rsidRDefault="00B34261" w:rsidP="00553AB7">
            <w:pPr>
              <w:keepNext/>
              <w:adjustRightInd w:val="0"/>
              <w:jc w:val="center"/>
              <w:rPr>
                <w:color w:val="000000"/>
                <w:szCs w:val="22"/>
              </w:rPr>
            </w:pPr>
            <w:r w:rsidRPr="00B05FE8">
              <w:rPr>
                <w:color w:val="000000"/>
                <w:szCs w:val="22"/>
              </w:rPr>
              <w:t>15</w:t>
            </w:r>
            <w:r>
              <w:rPr>
                <w:color w:val="000000"/>
                <w:szCs w:val="22"/>
              </w:rPr>
              <w:t>,</w:t>
            </w:r>
            <w:r w:rsidRPr="00B05FE8">
              <w:rPr>
                <w:color w:val="000000"/>
                <w:szCs w:val="22"/>
              </w:rPr>
              <w:t>6</w:t>
            </w:r>
          </w:p>
        </w:tc>
      </w:tr>
      <w:tr w:rsidR="00B34261" w:rsidRPr="00A465C0" w14:paraId="01CECD43" w14:textId="77777777" w:rsidTr="004E303B">
        <w:trPr>
          <w:cantSplit/>
        </w:trPr>
        <w:tc>
          <w:tcPr>
            <w:tcW w:w="2233" w:type="dxa"/>
            <w:shd w:val="clear" w:color="auto" w:fill="FFFFFF"/>
            <w:tcMar>
              <w:left w:w="60" w:type="dxa"/>
              <w:right w:w="60" w:type="dxa"/>
            </w:tcMar>
          </w:tcPr>
          <w:p w14:paraId="3C5E5293" w14:textId="77777777" w:rsidR="00B34261" w:rsidRPr="00B05FE8" w:rsidRDefault="00B34261" w:rsidP="00553AB7">
            <w:pPr>
              <w:keepNext/>
              <w:adjustRightInd w:val="0"/>
              <w:rPr>
                <w:color w:val="000000"/>
                <w:szCs w:val="22"/>
              </w:rPr>
            </w:pPr>
          </w:p>
        </w:tc>
        <w:tc>
          <w:tcPr>
            <w:tcW w:w="1878" w:type="dxa"/>
            <w:shd w:val="clear" w:color="auto" w:fill="FFFFFF"/>
            <w:tcMar>
              <w:left w:w="60" w:type="dxa"/>
              <w:right w:w="60" w:type="dxa"/>
            </w:tcMar>
          </w:tcPr>
          <w:p w14:paraId="0992AA6C" w14:textId="77777777" w:rsidR="00B34261" w:rsidRPr="00B05FE8" w:rsidRDefault="00B34261" w:rsidP="00553AB7">
            <w:pPr>
              <w:keepNext/>
              <w:adjustRightInd w:val="0"/>
              <w:jc w:val="center"/>
              <w:rPr>
                <w:color w:val="000000"/>
                <w:szCs w:val="22"/>
              </w:rPr>
            </w:pPr>
          </w:p>
        </w:tc>
        <w:tc>
          <w:tcPr>
            <w:tcW w:w="2149" w:type="dxa"/>
            <w:shd w:val="clear" w:color="auto" w:fill="FFFFFF"/>
            <w:tcMar>
              <w:left w:w="60" w:type="dxa"/>
              <w:right w:w="60" w:type="dxa"/>
            </w:tcMar>
            <w:vAlign w:val="center"/>
          </w:tcPr>
          <w:p w14:paraId="5AA09C9E" w14:textId="77777777" w:rsidR="00B34261" w:rsidRPr="00B05FE8" w:rsidRDefault="00B34261" w:rsidP="00553AB7">
            <w:pPr>
              <w:keepNext/>
              <w:adjustRightInd w:val="0"/>
              <w:jc w:val="center"/>
              <w:rPr>
                <w:color w:val="000000"/>
                <w:szCs w:val="22"/>
              </w:rPr>
            </w:pPr>
            <w:r w:rsidRPr="00B05FE8">
              <w:rPr>
                <w:color w:val="000000"/>
                <w:szCs w:val="22"/>
              </w:rPr>
              <w:t>Geo</w:t>
            </w:r>
            <w:r>
              <w:rPr>
                <w:color w:val="000000"/>
                <w:szCs w:val="22"/>
              </w:rPr>
              <w:t xml:space="preserve">metryczny </w:t>
            </w:r>
            <w:r w:rsidRPr="00B05FE8">
              <w:rPr>
                <w:color w:val="000000"/>
                <w:szCs w:val="22"/>
              </w:rPr>
              <w:t>CV%</w:t>
            </w:r>
          </w:p>
        </w:tc>
        <w:tc>
          <w:tcPr>
            <w:tcW w:w="1545" w:type="dxa"/>
            <w:shd w:val="clear" w:color="auto" w:fill="FFFFFF"/>
            <w:tcMar>
              <w:left w:w="60" w:type="dxa"/>
              <w:right w:w="60" w:type="dxa"/>
            </w:tcMar>
            <w:vAlign w:val="center"/>
          </w:tcPr>
          <w:p w14:paraId="5EA539C1" w14:textId="77777777" w:rsidR="00B34261" w:rsidRPr="00B05FE8" w:rsidRDefault="00B34261" w:rsidP="00553AB7">
            <w:pPr>
              <w:keepNext/>
              <w:adjustRightInd w:val="0"/>
              <w:jc w:val="center"/>
              <w:rPr>
                <w:color w:val="000000"/>
                <w:szCs w:val="22"/>
              </w:rPr>
            </w:pPr>
            <w:r w:rsidRPr="00B05FE8">
              <w:rPr>
                <w:color w:val="000000"/>
                <w:szCs w:val="22"/>
              </w:rPr>
              <w:t>52</w:t>
            </w:r>
            <w:r>
              <w:rPr>
                <w:color w:val="000000"/>
                <w:szCs w:val="22"/>
              </w:rPr>
              <w:t>,</w:t>
            </w:r>
            <w:r w:rsidRPr="00B05FE8">
              <w:rPr>
                <w:color w:val="000000"/>
                <w:szCs w:val="22"/>
              </w:rPr>
              <w:t>6</w:t>
            </w:r>
          </w:p>
        </w:tc>
        <w:tc>
          <w:tcPr>
            <w:tcW w:w="1260" w:type="dxa"/>
            <w:shd w:val="clear" w:color="auto" w:fill="FFFFFF"/>
            <w:tcMar>
              <w:left w:w="60" w:type="dxa"/>
              <w:right w:w="60" w:type="dxa"/>
            </w:tcMar>
            <w:vAlign w:val="center"/>
          </w:tcPr>
          <w:p w14:paraId="03A59196" w14:textId="77777777" w:rsidR="00B34261" w:rsidRPr="00B05FE8" w:rsidRDefault="00B34261" w:rsidP="00553AB7">
            <w:pPr>
              <w:keepNext/>
              <w:adjustRightInd w:val="0"/>
              <w:jc w:val="center"/>
              <w:rPr>
                <w:color w:val="000000"/>
                <w:szCs w:val="22"/>
              </w:rPr>
            </w:pPr>
            <w:r w:rsidRPr="00B05FE8">
              <w:rPr>
                <w:color w:val="000000"/>
                <w:szCs w:val="22"/>
              </w:rPr>
              <w:t>47</w:t>
            </w:r>
            <w:r>
              <w:rPr>
                <w:color w:val="000000"/>
                <w:szCs w:val="22"/>
              </w:rPr>
              <w:t>,</w:t>
            </w:r>
            <w:r w:rsidRPr="00B05FE8">
              <w:rPr>
                <w:color w:val="000000"/>
                <w:szCs w:val="22"/>
              </w:rPr>
              <w:t>2</w:t>
            </w:r>
          </w:p>
        </w:tc>
      </w:tr>
      <w:tr w:rsidR="00B34261" w:rsidRPr="00A465C0" w14:paraId="49C30CA7" w14:textId="77777777" w:rsidTr="004E303B">
        <w:trPr>
          <w:cantSplit/>
        </w:trPr>
        <w:tc>
          <w:tcPr>
            <w:tcW w:w="2233" w:type="dxa"/>
            <w:shd w:val="clear" w:color="auto" w:fill="FFFFFF"/>
            <w:tcMar>
              <w:left w:w="60" w:type="dxa"/>
              <w:right w:w="60" w:type="dxa"/>
            </w:tcMar>
          </w:tcPr>
          <w:p w14:paraId="75A5256E" w14:textId="77777777" w:rsidR="00B34261" w:rsidRPr="00B05FE8" w:rsidRDefault="00B34261" w:rsidP="00553AB7">
            <w:pPr>
              <w:keepNext/>
              <w:adjustRightInd w:val="0"/>
              <w:ind w:left="0" w:firstLine="0"/>
              <w:rPr>
                <w:color w:val="000000"/>
                <w:szCs w:val="22"/>
              </w:rPr>
            </w:pPr>
            <w:r>
              <w:rPr>
                <w:color w:val="000000"/>
                <w:szCs w:val="22"/>
              </w:rPr>
              <w:t>Pacjenci razem</w:t>
            </w:r>
            <w:r w:rsidRPr="00B05FE8">
              <w:rPr>
                <w:color w:val="000000"/>
                <w:szCs w:val="22"/>
              </w:rPr>
              <w:t xml:space="preserve"> (N=38)</w:t>
            </w:r>
          </w:p>
        </w:tc>
        <w:tc>
          <w:tcPr>
            <w:tcW w:w="1878" w:type="dxa"/>
            <w:shd w:val="clear" w:color="auto" w:fill="FFFFFF"/>
            <w:tcMar>
              <w:left w:w="60" w:type="dxa"/>
              <w:right w:w="60" w:type="dxa"/>
            </w:tcMar>
          </w:tcPr>
          <w:p w14:paraId="5B99DF9A" w14:textId="77777777" w:rsidR="00B34261" w:rsidRPr="00B05FE8" w:rsidRDefault="00B34261" w:rsidP="00553AB7">
            <w:pPr>
              <w:keepNext/>
              <w:adjustRightInd w:val="0"/>
              <w:jc w:val="center"/>
              <w:rPr>
                <w:color w:val="000000"/>
                <w:szCs w:val="22"/>
              </w:rPr>
            </w:pPr>
            <w:r>
              <w:rPr>
                <w:color w:val="000000"/>
                <w:szCs w:val="22"/>
              </w:rPr>
              <w:t>2</w:t>
            </w:r>
            <w:r w:rsidRPr="00B05FE8">
              <w:rPr>
                <w:color w:val="000000"/>
                <w:szCs w:val="22"/>
              </w:rPr>
              <w:t xml:space="preserve"> </w:t>
            </w:r>
            <w:r>
              <w:rPr>
                <w:color w:val="000000"/>
                <w:szCs w:val="22"/>
              </w:rPr>
              <w:t>do</w:t>
            </w:r>
            <w:r w:rsidRPr="00B05FE8">
              <w:rPr>
                <w:color w:val="000000"/>
                <w:szCs w:val="22"/>
              </w:rPr>
              <w:t xml:space="preserve"> &lt;6</w:t>
            </w:r>
            <w:r>
              <w:rPr>
                <w:color w:val="000000"/>
                <w:szCs w:val="22"/>
              </w:rPr>
              <w:t> lat</w:t>
            </w:r>
          </w:p>
        </w:tc>
        <w:tc>
          <w:tcPr>
            <w:tcW w:w="2149" w:type="dxa"/>
            <w:shd w:val="clear" w:color="auto" w:fill="FFFFFF"/>
            <w:tcMar>
              <w:left w:w="60" w:type="dxa"/>
              <w:right w:w="60" w:type="dxa"/>
            </w:tcMar>
            <w:vAlign w:val="center"/>
          </w:tcPr>
          <w:p w14:paraId="3924046B" w14:textId="77777777" w:rsidR="00B34261" w:rsidRPr="00B05FE8" w:rsidRDefault="00B34261" w:rsidP="00553AB7">
            <w:pPr>
              <w:keepNext/>
              <w:adjustRightInd w:val="0"/>
              <w:jc w:val="center"/>
              <w:rPr>
                <w:color w:val="000000"/>
                <w:szCs w:val="22"/>
              </w:rPr>
            </w:pPr>
            <w:r w:rsidRPr="00B05FE8">
              <w:rPr>
                <w:color w:val="000000"/>
                <w:szCs w:val="22"/>
              </w:rPr>
              <w:t>n</w:t>
            </w:r>
          </w:p>
        </w:tc>
        <w:tc>
          <w:tcPr>
            <w:tcW w:w="1545" w:type="dxa"/>
            <w:shd w:val="clear" w:color="auto" w:fill="FFFFFF"/>
            <w:tcMar>
              <w:left w:w="60" w:type="dxa"/>
              <w:right w:w="60" w:type="dxa"/>
            </w:tcMar>
            <w:vAlign w:val="center"/>
          </w:tcPr>
          <w:p w14:paraId="35CA3ECF" w14:textId="77777777" w:rsidR="00B34261" w:rsidRPr="00B05FE8" w:rsidRDefault="00B34261" w:rsidP="00553AB7">
            <w:pPr>
              <w:keepNext/>
              <w:adjustRightInd w:val="0"/>
              <w:jc w:val="center"/>
              <w:rPr>
                <w:color w:val="000000"/>
                <w:szCs w:val="22"/>
              </w:rPr>
            </w:pPr>
            <w:r w:rsidRPr="00B05FE8">
              <w:rPr>
                <w:color w:val="000000"/>
                <w:szCs w:val="22"/>
              </w:rPr>
              <w:t>7</w:t>
            </w:r>
          </w:p>
        </w:tc>
        <w:tc>
          <w:tcPr>
            <w:tcW w:w="1260" w:type="dxa"/>
            <w:shd w:val="clear" w:color="auto" w:fill="FFFFFF"/>
            <w:tcMar>
              <w:left w:w="60" w:type="dxa"/>
              <w:right w:w="60" w:type="dxa"/>
            </w:tcMar>
            <w:vAlign w:val="center"/>
          </w:tcPr>
          <w:p w14:paraId="2AD85F0C" w14:textId="77777777" w:rsidR="00B34261" w:rsidRPr="00B05FE8" w:rsidRDefault="00B34261" w:rsidP="00553AB7">
            <w:pPr>
              <w:keepNext/>
              <w:adjustRightInd w:val="0"/>
              <w:jc w:val="center"/>
              <w:rPr>
                <w:color w:val="000000"/>
                <w:szCs w:val="22"/>
              </w:rPr>
            </w:pPr>
            <w:r w:rsidRPr="00B05FE8">
              <w:rPr>
                <w:color w:val="000000"/>
                <w:szCs w:val="22"/>
              </w:rPr>
              <w:t>9</w:t>
            </w:r>
          </w:p>
        </w:tc>
      </w:tr>
      <w:tr w:rsidR="00B34261" w:rsidRPr="00A465C0" w14:paraId="3D3EED45" w14:textId="77777777" w:rsidTr="004E303B">
        <w:trPr>
          <w:cantSplit/>
        </w:trPr>
        <w:tc>
          <w:tcPr>
            <w:tcW w:w="2233" w:type="dxa"/>
            <w:shd w:val="clear" w:color="auto" w:fill="FFFFFF"/>
            <w:tcMar>
              <w:left w:w="60" w:type="dxa"/>
              <w:right w:w="60" w:type="dxa"/>
            </w:tcMar>
          </w:tcPr>
          <w:p w14:paraId="5AC92C79" w14:textId="77777777" w:rsidR="00B34261" w:rsidRPr="00B05FE8" w:rsidRDefault="00B34261" w:rsidP="00553AB7">
            <w:pPr>
              <w:keepNext/>
              <w:adjustRightInd w:val="0"/>
              <w:rPr>
                <w:color w:val="000000"/>
                <w:szCs w:val="22"/>
              </w:rPr>
            </w:pPr>
          </w:p>
        </w:tc>
        <w:tc>
          <w:tcPr>
            <w:tcW w:w="1878" w:type="dxa"/>
            <w:shd w:val="clear" w:color="auto" w:fill="FFFFFF"/>
            <w:tcMar>
              <w:left w:w="60" w:type="dxa"/>
              <w:right w:w="60" w:type="dxa"/>
            </w:tcMar>
          </w:tcPr>
          <w:p w14:paraId="72BBF492" w14:textId="77777777" w:rsidR="00B34261" w:rsidRPr="00B05FE8" w:rsidRDefault="00B34261" w:rsidP="00553AB7">
            <w:pPr>
              <w:keepNext/>
              <w:adjustRightInd w:val="0"/>
              <w:jc w:val="center"/>
              <w:rPr>
                <w:color w:val="000000"/>
                <w:szCs w:val="22"/>
              </w:rPr>
            </w:pPr>
          </w:p>
        </w:tc>
        <w:tc>
          <w:tcPr>
            <w:tcW w:w="2149" w:type="dxa"/>
            <w:shd w:val="clear" w:color="auto" w:fill="FFFFFF"/>
            <w:tcMar>
              <w:left w:w="60" w:type="dxa"/>
              <w:right w:w="60" w:type="dxa"/>
            </w:tcMar>
            <w:vAlign w:val="center"/>
          </w:tcPr>
          <w:p w14:paraId="2FA28458" w14:textId="77777777" w:rsidR="00B34261" w:rsidRPr="00B05FE8" w:rsidRDefault="00B34261" w:rsidP="00553AB7">
            <w:pPr>
              <w:keepNext/>
              <w:adjustRightInd w:val="0"/>
              <w:jc w:val="center"/>
              <w:rPr>
                <w:color w:val="000000"/>
                <w:szCs w:val="22"/>
              </w:rPr>
            </w:pPr>
            <w:r>
              <w:rPr>
                <w:color w:val="000000"/>
                <w:szCs w:val="22"/>
              </w:rPr>
              <w:t>Średnia geometryczna</w:t>
            </w:r>
          </w:p>
        </w:tc>
        <w:tc>
          <w:tcPr>
            <w:tcW w:w="1545" w:type="dxa"/>
            <w:shd w:val="clear" w:color="auto" w:fill="FFFFFF"/>
            <w:tcMar>
              <w:left w:w="60" w:type="dxa"/>
              <w:right w:w="60" w:type="dxa"/>
            </w:tcMar>
            <w:vAlign w:val="center"/>
          </w:tcPr>
          <w:p w14:paraId="08BBEED3" w14:textId="77777777" w:rsidR="00B34261" w:rsidRPr="00B05FE8" w:rsidRDefault="00B34261" w:rsidP="00553AB7">
            <w:pPr>
              <w:keepNext/>
              <w:adjustRightInd w:val="0"/>
              <w:jc w:val="center"/>
              <w:rPr>
                <w:color w:val="000000"/>
                <w:szCs w:val="22"/>
              </w:rPr>
            </w:pPr>
            <w:r w:rsidRPr="00B05FE8">
              <w:rPr>
                <w:color w:val="000000"/>
                <w:szCs w:val="22"/>
              </w:rPr>
              <w:t>460</w:t>
            </w:r>
          </w:p>
        </w:tc>
        <w:tc>
          <w:tcPr>
            <w:tcW w:w="1260" w:type="dxa"/>
            <w:shd w:val="clear" w:color="auto" w:fill="FFFFFF"/>
            <w:tcMar>
              <w:left w:w="60" w:type="dxa"/>
              <w:right w:w="60" w:type="dxa"/>
            </w:tcMar>
            <w:vAlign w:val="center"/>
          </w:tcPr>
          <w:p w14:paraId="2CC5D9BD" w14:textId="77777777" w:rsidR="00B34261" w:rsidRPr="00B05FE8" w:rsidRDefault="00B34261" w:rsidP="00553AB7">
            <w:pPr>
              <w:keepNext/>
              <w:adjustRightInd w:val="0"/>
              <w:jc w:val="center"/>
              <w:rPr>
                <w:color w:val="000000"/>
                <w:szCs w:val="22"/>
              </w:rPr>
            </w:pPr>
            <w:r w:rsidRPr="00B05FE8">
              <w:rPr>
                <w:color w:val="000000"/>
                <w:szCs w:val="22"/>
              </w:rPr>
              <w:t>25</w:t>
            </w:r>
            <w:r>
              <w:rPr>
                <w:color w:val="000000"/>
                <w:szCs w:val="22"/>
              </w:rPr>
              <w:t>,</w:t>
            </w:r>
            <w:r w:rsidRPr="00B05FE8">
              <w:rPr>
                <w:color w:val="000000"/>
                <w:szCs w:val="22"/>
              </w:rPr>
              <w:t>6</w:t>
            </w:r>
          </w:p>
        </w:tc>
      </w:tr>
      <w:tr w:rsidR="00B34261" w:rsidRPr="00A465C0" w14:paraId="4FCF840B" w14:textId="77777777" w:rsidTr="004E303B">
        <w:trPr>
          <w:cantSplit/>
        </w:trPr>
        <w:tc>
          <w:tcPr>
            <w:tcW w:w="2233" w:type="dxa"/>
            <w:shd w:val="clear" w:color="auto" w:fill="FFFFFF"/>
            <w:tcMar>
              <w:left w:w="60" w:type="dxa"/>
              <w:right w:w="60" w:type="dxa"/>
            </w:tcMar>
          </w:tcPr>
          <w:p w14:paraId="32214017" w14:textId="77777777" w:rsidR="00B34261" w:rsidRPr="00B05FE8" w:rsidRDefault="00B34261" w:rsidP="00553AB7">
            <w:pPr>
              <w:keepNext/>
              <w:adjustRightInd w:val="0"/>
              <w:rPr>
                <w:color w:val="000000"/>
                <w:szCs w:val="22"/>
              </w:rPr>
            </w:pPr>
          </w:p>
        </w:tc>
        <w:tc>
          <w:tcPr>
            <w:tcW w:w="1878" w:type="dxa"/>
            <w:shd w:val="clear" w:color="auto" w:fill="FFFFFF"/>
            <w:tcMar>
              <w:left w:w="60" w:type="dxa"/>
              <w:right w:w="60" w:type="dxa"/>
            </w:tcMar>
          </w:tcPr>
          <w:p w14:paraId="40A48BE5" w14:textId="77777777" w:rsidR="00B34261" w:rsidRPr="00B05FE8" w:rsidRDefault="00B34261" w:rsidP="00553AB7">
            <w:pPr>
              <w:keepNext/>
              <w:adjustRightInd w:val="0"/>
              <w:jc w:val="center"/>
              <w:rPr>
                <w:color w:val="000000"/>
                <w:szCs w:val="22"/>
              </w:rPr>
            </w:pPr>
          </w:p>
        </w:tc>
        <w:tc>
          <w:tcPr>
            <w:tcW w:w="2149" w:type="dxa"/>
            <w:shd w:val="clear" w:color="auto" w:fill="FFFFFF"/>
            <w:tcMar>
              <w:left w:w="60" w:type="dxa"/>
              <w:right w:w="60" w:type="dxa"/>
            </w:tcMar>
            <w:vAlign w:val="center"/>
          </w:tcPr>
          <w:p w14:paraId="0397AC5B" w14:textId="77777777" w:rsidR="00B34261" w:rsidRPr="00B05FE8" w:rsidRDefault="00B34261" w:rsidP="00553AB7">
            <w:pPr>
              <w:keepNext/>
              <w:adjustRightInd w:val="0"/>
              <w:jc w:val="center"/>
              <w:rPr>
                <w:color w:val="000000"/>
                <w:szCs w:val="22"/>
              </w:rPr>
            </w:pPr>
            <w:r w:rsidRPr="00B05FE8">
              <w:rPr>
                <w:color w:val="000000"/>
                <w:szCs w:val="22"/>
              </w:rPr>
              <w:t>Geo</w:t>
            </w:r>
            <w:r>
              <w:rPr>
                <w:color w:val="000000"/>
                <w:szCs w:val="22"/>
              </w:rPr>
              <w:t xml:space="preserve">metryczny </w:t>
            </w:r>
            <w:r w:rsidRPr="00B05FE8">
              <w:rPr>
                <w:color w:val="000000"/>
                <w:szCs w:val="22"/>
              </w:rPr>
              <w:t>CV%</w:t>
            </w:r>
          </w:p>
        </w:tc>
        <w:tc>
          <w:tcPr>
            <w:tcW w:w="1545" w:type="dxa"/>
            <w:shd w:val="clear" w:color="auto" w:fill="FFFFFF"/>
            <w:tcMar>
              <w:left w:w="60" w:type="dxa"/>
              <w:right w:w="60" w:type="dxa"/>
            </w:tcMar>
            <w:vAlign w:val="center"/>
          </w:tcPr>
          <w:p w14:paraId="6CBBE291" w14:textId="77777777" w:rsidR="00B34261" w:rsidRPr="00B05FE8" w:rsidRDefault="00B34261" w:rsidP="00553AB7">
            <w:pPr>
              <w:keepNext/>
              <w:adjustRightInd w:val="0"/>
              <w:jc w:val="center"/>
              <w:rPr>
                <w:color w:val="000000"/>
                <w:szCs w:val="22"/>
              </w:rPr>
            </w:pPr>
            <w:r w:rsidRPr="00B05FE8">
              <w:rPr>
                <w:color w:val="000000"/>
                <w:szCs w:val="22"/>
              </w:rPr>
              <w:t>64</w:t>
            </w:r>
            <w:r>
              <w:rPr>
                <w:color w:val="000000"/>
                <w:szCs w:val="22"/>
              </w:rPr>
              <w:t>,</w:t>
            </w:r>
            <w:r w:rsidRPr="00B05FE8">
              <w:rPr>
                <w:color w:val="000000"/>
                <w:szCs w:val="22"/>
              </w:rPr>
              <w:t>9</w:t>
            </w:r>
          </w:p>
        </w:tc>
        <w:tc>
          <w:tcPr>
            <w:tcW w:w="1260" w:type="dxa"/>
            <w:shd w:val="clear" w:color="auto" w:fill="FFFFFF"/>
            <w:tcMar>
              <w:left w:w="60" w:type="dxa"/>
              <w:right w:w="60" w:type="dxa"/>
            </w:tcMar>
            <w:vAlign w:val="center"/>
          </w:tcPr>
          <w:p w14:paraId="7EEFC7C3" w14:textId="77777777" w:rsidR="00B34261" w:rsidRPr="00B05FE8" w:rsidRDefault="00B34261" w:rsidP="00553AB7">
            <w:pPr>
              <w:keepNext/>
              <w:adjustRightInd w:val="0"/>
              <w:jc w:val="center"/>
              <w:rPr>
                <w:color w:val="000000"/>
                <w:szCs w:val="22"/>
              </w:rPr>
            </w:pPr>
            <w:r w:rsidRPr="00B05FE8">
              <w:rPr>
                <w:color w:val="000000"/>
                <w:szCs w:val="22"/>
              </w:rPr>
              <w:t>42</w:t>
            </w:r>
            <w:r>
              <w:rPr>
                <w:color w:val="000000"/>
                <w:szCs w:val="22"/>
              </w:rPr>
              <w:t>,</w:t>
            </w:r>
            <w:r w:rsidRPr="00B05FE8">
              <w:rPr>
                <w:color w:val="000000"/>
                <w:szCs w:val="22"/>
              </w:rPr>
              <w:t>2</w:t>
            </w:r>
          </w:p>
        </w:tc>
      </w:tr>
      <w:tr w:rsidR="00B34261" w:rsidRPr="00A465C0" w14:paraId="26C38A1E" w14:textId="77777777" w:rsidTr="004E303B">
        <w:trPr>
          <w:cantSplit/>
        </w:trPr>
        <w:tc>
          <w:tcPr>
            <w:tcW w:w="2233" w:type="dxa"/>
            <w:shd w:val="clear" w:color="auto" w:fill="FFFFFF"/>
            <w:tcMar>
              <w:left w:w="60" w:type="dxa"/>
              <w:right w:w="60" w:type="dxa"/>
            </w:tcMar>
          </w:tcPr>
          <w:p w14:paraId="67096BBE" w14:textId="77777777" w:rsidR="00B34261" w:rsidRPr="00B05FE8" w:rsidRDefault="00B34261" w:rsidP="00553AB7">
            <w:pPr>
              <w:keepNext/>
              <w:adjustRightInd w:val="0"/>
              <w:rPr>
                <w:color w:val="000000"/>
                <w:szCs w:val="22"/>
              </w:rPr>
            </w:pPr>
          </w:p>
        </w:tc>
        <w:tc>
          <w:tcPr>
            <w:tcW w:w="1878" w:type="dxa"/>
            <w:shd w:val="clear" w:color="auto" w:fill="FFFFFF"/>
            <w:tcMar>
              <w:left w:w="60" w:type="dxa"/>
              <w:right w:w="60" w:type="dxa"/>
            </w:tcMar>
          </w:tcPr>
          <w:p w14:paraId="6F773861" w14:textId="77777777" w:rsidR="00B34261" w:rsidRPr="00B05FE8" w:rsidRDefault="00B34261" w:rsidP="00553AB7">
            <w:pPr>
              <w:keepNext/>
              <w:adjustRightInd w:val="0"/>
              <w:jc w:val="center"/>
              <w:rPr>
                <w:color w:val="000000"/>
                <w:szCs w:val="22"/>
              </w:rPr>
            </w:pPr>
            <w:r w:rsidRPr="00B05FE8">
              <w:rPr>
                <w:color w:val="000000"/>
                <w:szCs w:val="22"/>
              </w:rPr>
              <w:t xml:space="preserve">6 </w:t>
            </w:r>
            <w:r>
              <w:rPr>
                <w:color w:val="000000"/>
                <w:szCs w:val="22"/>
              </w:rPr>
              <w:t>do</w:t>
            </w:r>
            <w:r w:rsidRPr="00B05FE8">
              <w:rPr>
                <w:color w:val="000000"/>
                <w:szCs w:val="22"/>
              </w:rPr>
              <w:t xml:space="preserve"> &lt;</w:t>
            </w:r>
            <w:r>
              <w:rPr>
                <w:color w:val="000000"/>
                <w:szCs w:val="22"/>
              </w:rPr>
              <w:t> </w:t>
            </w:r>
            <w:r w:rsidRPr="00B05FE8">
              <w:rPr>
                <w:color w:val="000000"/>
                <w:szCs w:val="22"/>
              </w:rPr>
              <w:t>18</w:t>
            </w:r>
            <w:r>
              <w:rPr>
                <w:color w:val="000000"/>
                <w:szCs w:val="22"/>
              </w:rPr>
              <w:t> lat</w:t>
            </w:r>
          </w:p>
        </w:tc>
        <w:tc>
          <w:tcPr>
            <w:tcW w:w="2149" w:type="dxa"/>
            <w:shd w:val="clear" w:color="auto" w:fill="FFFFFF"/>
            <w:tcMar>
              <w:left w:w="60" w:type="dxa"/>
              <w:right w:w="60" w:type="dxa"/>
            </w:tcMar>
            <w:vAlign w:val="center"/>
          </w:tcPr>
          <w:p w14:paraId="4BBAD1B5" w14:textId="77777777" w:rsidR="00B34261" w:rsidRPr="00B05FE8" w:rsidRDefault="00B34261" w:rsidP="00553AB7">
            <w:pPr>
              <w:keepNext/>
              <w:adjustRightInd w:val="0"/>
              <w:jc w:val="center"/>
              <w:rPr>
                <w:color w:val="000000"/>
                <w:szCs w:val="22"/>
              </w:rPr>
            </w:pPr>
            <w:r w:rsidRPr="00B05FE8">
              <w:rPr>
                <w:color w:val="000000"/>
                <w:szCs w:val="22"/>
              </w:rPr>
              <w:t>n</w:t>
            </w:r>
          </w:p>
        </w:tc>
        <w:tc>
          <w:tcPr>
            <w:tcW w:w="1545" w:type="dxa"/>
            <w:shd w:val="clear" w:color="auto" w:fill="FFFFFF"/>
            <w:tcMar>
              <w:left w:w="60" w:type="dxa"/>
              <w:right w:w="60" w:type="dxa"/>
            </w:tcMar>
            <w:vAlign w:val="center"/>
          </w:tcPr>
          <w:p w14:paraId="590BD8F4" w14:textId="77777777" w:rsidR="00B34261" w:rsidRPr="00B05FE8" w:rsidRDefault="00B34261" w:rsidP="00553AB7">
            <w:pPr>
              <w:keepNext/>
              <w:adjustRightInd w:val="0"/>
              <w:jc w:val="center"/>
              <w:rPr>
                <w:color w:val="000000"/>
                <w:szCs w:val="22"/>
              </w:rPr>
            </w:pPr>
            <w:r w:rsidRPr="00B05FE8">
              <w:rPr>
                <w:color w:val="000000"/>
                <w:szCs w:val="22"/>
              </w:rPr>
              <w:t>15</w:t>
            </w:r>
          </w:p>
        </w:tc>
        <w:tc>
          <w:tcPr>
            <w:tcW w:w="1260" w:type="dxa"/>
            <w:shd w:val="clear" w:color="auto" w:fill="FFFFFF"/>
            <w:tcMar>
              <w:left w:w="60" w:type="dxa"/>
              <w:right w:w="60" w:type="dxa"/>
            </w:tcMar>
            <w:vAlign w:val="center"/>
          </w:tcPr>
          <w:p w14:paraId="368EFE6E" w14:textId="77777777" w:rsidR="00B34261" w:rsidRPr="00B05FE8" w:rsidRDefault="00B34261" w:rsidP="00553AB7">
            <w:pPr>
              <w:keepNext/>
              <w:adjustRightInd w:val="0"/>
              <w:jc w:val="center"/>
              <w:rPr>
                <w:color w:val="000000"/>
                <w:szCs w:val="22"/>
              </w:rPr>
            </w:pPr>
            <w:r w:rsidRPr="00B05FE8">
              <w:rPr>
                <w:color w:val="000000"/>
                <w:szCs w:val="22"/>
              </w:rPr>
              <w:t>22</w:t>
            </w:r>
          </w:p>
        </w:tc>
      </w:tr>
      <w:tr w:rsidR="00B34261" w:rsidRPr="00A465C0" w14:paraId="39E3AAF7" w14:textId="77777777" w:rsidTr="004E303B">
        <w:trPr>
          <w:cantSplit/>
        </w:trPr>
        <w:tc>
          <w:tcPr>
            <w:tcW w:w="2233" w:type="dxa"/>
            <w:shd w:val="clear" w:color="auto" w:fill="FFFFFF"/>
            <w:tcMar>
              <w:left w:w="60" w:type="dxa"/>
              <w:right w:w="60" w:type="dxa"/>
            </w:tcMar>
          </w:tcPr>
          <w:p w14:paraId="369677AB" w14:textId="77777777" w:rsidR="00B34261" w:rsidRPr="00B05FE8" w:rsidRDefault="00B34261" w:rsidP="00553AB7">
            <w:pPr>
              <w:keepNext/>
              <w:adjustRightInd w:val="0"/>
              <w:rPr>
                <w:color w:val="000000"/>
                <w:szCs w:val="22"/>
              </w:rPr>
            </w:pPr>
          </w:p>
        </w:tc>
        <w:tc>
          <w:tcPr>
            <w:tcW w:w="1878" w:type="dxa"/>
            <w:shd w:val="clear" w:color="auto" w:fill="FFFFFF"/>
            <w:tcMar>
              <w:left w:w="60" w:type="dxa"/>
              <w:right w:w="60" w:type="dxa"/>
            </w:tcMar>
          </w:tcPr>
          <w:p w14:paraId="45799BA2" w14:textId="77777777" w:rsidR="00B34261" w:rsidRPr="00B05FE8" w:rsidRDefault="00B34261" w:rsidP="00553AB7">
            <w:pPr>
              <w:keepNext/>
              <w:adjustRightInd w:val="0"/>
              <w:jc w:val="center"/>
              <w:rPr>
                <w:color w:val="000000"/>
                <w:szCs w:val="22"/>
              </w:rPr>
            </w:pPr>
          </w:p>
        </w:tc>
        <w:tc>
          <w:tcPr>
            <w:tcW w:w="2149" w:type="dxa"/>
            <w:shd w:val="clear" w:color="auto" w:fill="FFFFFF"/>
            <w:tcMar>
              <w:left w:w="60" w:type="dxa"/>
              <w:right w:w="60" w:type="dxa"/>
            </w:tcMar>
            <w:vAlign w:val="center"/>
          </w:tcPr>
          <w:p w14:paraId="65547EC0" w14:textId="77777777" w:rsidR="00B34261" w:rsidRPr="00B05FE8" w:rsidRDefault="00B34261" w:rsidP="00553AB7">
            <w:pPr>
              <w:keepNext/>
              <w:adjustRightInd w:val="0"/>
              <w:jc w:val="center"/>
              <w:rPr>
                <w:color w:val="000000"/>
                <w:szCs w:val="22"/>
              </w:rPr>
            </w:pPr>
            <w:r>
              <w:rPr>
                <w:color w:val="000000"/>
                <w:szCs w:val="22"/>
              </w:rPr>
              <w:t>Średnia geometryczna</w:t>
            </w:r>
          </w:p>
        </w:tc>
        <w:tc>
          <w:tcPr>
            <w:tcW w:w="1545" w:type="dxa"/>
            <w:shd w:val="clear" w:color="auto" w:fill="FFFFFF"/>
            <w:tcMar>
              <w:left w:w="60" w:type="dxa"/>
              <w:right w:w="60" w:type="dxa"/>
            </w:tcMar>
            <w:vAlign w:val="center"/>
          </w:tcPr>
          <w:p w14:paraId="758F70FA" w14:textId="77777777" w:rsidR="00B34261" w:rsidRPr="00B05FE8" w:rsidRDefault="00B34261" w:rsidP="00553AB7">
            <w:pPr>
              <w:keepNext/>
              <w:adjustRightInd w:val="0"/>
              <w:jc w:val="center"/>
              <w:rPr>
                <w:color w:val="000000"/>
                <w:szCs w:val="22"/>
              </w:rPr>
            </w:pPr>
            <w:r w:rsidRPr="00B05FE8">
              <w:rPr>
                <w:color w:val="000000"/>
                <w:szCs w:val="22"/>
              </w:rPr>
              <w:t>285</w:t>
            </w:r>
          </w:p>
        </w:tc>
        <w:tc>
          <w:tcPr>
            <w:tcW w:w="1260" w:type="dxa"/>
            <w:shd w:val="clear" w:color="auto" w:fill="FFFFFF"/>
            <w:tcMar>
              <w:left w:w="60" w:type="dxa"/>
              <w:right w:w="60" w:type="dxa"/>
            </w:tcMar>
            <w:vAlign w:val="center"/>
          </w:tcPr>
          <w:p w14:paraId="1AEE0FDF" w14:textId="77777777" w:rsidR="00B34261" w:rsidRPr="00B05FE8" w:rsidRDefault="00B34261" w:rsidP="00553AB7">
            <w:pPr>
              <w:keepNext/>
              <w:adjustRightInd w:val="0"/>
              <w:jc w:val="center"/>
              <w:rPr>
                <w:color w:val="000000"/>
                <w:szCs w:val="22"/>
              </w:rPr>
            </w:pPr>
            <w:r w:rsidRPr="00B05FE8">
              <w:rPr>
                <w:color w:val="000000"/>
                <w:szCs w:val="22"/>
              </w:rPr>
              <w:t>15</w:t>
            </w:r>
            <w:r>
              <w:rPr>
                <w:color w:val="000000"/>
                <w:szCs w:val="22"/>
              </w:rPr>
              <w:t>,</w:t>
            </w:r>
            <w:r w:rsidRPr="00B05FE8">
              <w:rPr>
                <w:color w:val="000000"/>
                <w:szCs w:val="22"/>
              </w:rPr>
              <w:t>2</w:t>
            </w:r>
          </w:p>
        </w:tc>
      </w:tr>
      <w:tr w:rsidR="00B34261" w:rsidRPr="00A465C0" w14:paraId="660E522B" w14:textId="77777777" w:rsidTr="004E303B">
        <w:trPr>
          <w:cantSplit/>
        </w:trPr>
        <w:tc>
          <w:tcPr>
            <w:tcW w:w="2233" w:type="dxa"/>
            <w:shd w:val="clear" w:color="auto" w:fill="FFFFFF"/>
            <w:tcMar>
              <w:left w:w="60" w:type="dxa"/>
              <w:right w:w="60" w:type="dxa"/>
            </w:tcMar>
          </w:tcPr>
          <w:p w14:paraId="6E228E1C" w14:textId="77777777" w:rsidR="00B34261" w:rsidRPr="00B05FE8" w:rsidRDefault="00B34261" w:rsidP="00553AB7">
            <w:pPr>
              <w:keepNext/>
              <w:adjustRightInd w:val="0"/>
              <w:rPr>
                <w:color w:val="000000"/>
                <w:szCs w:val="22"/>
              </w:rPr>
            </w:pPr>
          </w:p>
        </w:tc>
        <w:tc>
          <w:tcPr>
            <w:tcW w:w="1878" w:type="dxa"/>
            <w:shd w:val="clear" w:color="auto" w:fill="FFFFFF"/>
            <w:tcMar>
              <w:left w:w="60" w:type="dxa"/>
              <w:right w:w="60" w:type="dxa"/>
            </w:tcMar>
          </w:tcPr>
          <w:p w14:paraId="3EB2B3D8" w14:textId="77777777" w:rsidR="00B34261" w:rsidRPr="00B05FE8" w:rsidRDefault="00B34261" w:rsidP="00553AB7">
            <w:pPr>
              <w:keepNext/>
              <w:adjustRightInd w:val="0"/>
              <w:jc w:val="center"/>
              <w:rPr>
                <w:color w:val="000000"/>
                <w:szCs w:val="22"/>
              </w:rPr>
            </w:pPr>
          </w:p>
        </w:tc>
        <w:tc>
          <w:tcPr>
            <w:tcW w:w="2149" w:type="dxa"/>
            <w:shd w:val="clear" w:color="auto" w:fill="FFFFFF"/>
            <w:tcMar>
              <w:left w:w="60" w:type="dxa"/>
              <w:right w:w="60" w:type="dxa"/>
            </w:tcMar>
            <w:vAlign w:val="center"/>
          </w:tcPr>
          <w:p w14:paraId="68AA400E" w14:textId="77777777" w:rsidR="00B34261" w:rsidRPr="00B05FE8" w:rsidRDefault="00B34261" w:rsidP="00553AB7">
            <w:pPr>
              <w:keepNext/>
              <w:adjustRightInd w:val="0"/>
              <w:jc w:val="center"/>
              <w:rPr>
                <w:color w:val="000000"/>
                <w:szCs w:val="22"/>
              </w:rPr>
            </w:pPr>
            <w:r w:rsidRPr="00B05FE8">
              <w:rPr>
                <w:color w:val="000000"/>
                <w:szCs w:val="22"/>
              </w:rPr>
              <w:t>Geo</w:t>
            </w:r>
            <w:r>
              <w:rPr>
                <w:color w:val="000000"/>
                <w:szCs w:val="22"/>
              </w:rPr>
              <w:t xml:space="preserve">metryczny </w:t>
            </w:r>
            <w:r w:rsidRPr="00B05FE8">
              <w:rPr>
                <w:color w:val="000000"/>
                <w:szCs w:val="22"/>
              </w:rPr>
              <w:t>CV%</w:t>
            </w:r>
          </w:p>
        </w:tc>
        <w:tc>
          <w:tcPr>
            <w:tcW w:w="1545" w:type="dxa"/>
            <w:shd w:val="clear" w:color="auto" w:fill="FFFFFF"/>
            <w:tcMar>
              <w:left w:w="60" w:type="dxa"/>
              <w:right w:w="60" w:type="dxa"/>
            </w:tcMar>
            <w:vAlign w:val="center"/>
          </w:tcPr>
          <w:p w14:paraId="66684A13" w14:textId="77777777" w:rsidR="00B34261" w:rsidRPr="00B05FE8" w:rsidRDefault="00B34261" w:rsidP="00553AB7">
            <w:pPr>
              <w:keepNext/>
              <w:adjustRightInd w:val="0"/>
              <w:jc w:val="center"/>
              <w:rPr>
                <w:color w:val="000000"/>
                <w:szCs w:val="22"/>
              </w:rPr>
            </w:pPr>
            <w:r w:rsidRPr="00B05FE8">
              <w:rPr>
                <w:color w:val="000000"/>
                <w:szCs w:val="22"/>
              </w:rPr>
              <w:t>54</w:t>
            </w:r>
            <w:r>
              <w:rPr>
                <w:color w:val="000000"/>
                <w:szCs w:val="22"/>
              </w:rPr>
              <w:t>,</w:t>
            </w:r>
            <w:r w:rsidRPr="00B05FE8">
              <w:rPr>
                <w:color w:val="000000"/>
                <w:szCs w:val="22"/>
              </w:rPr>
              <w:t>2</w:t>
            </w:r>
          </w:p>
        </w:tc>
        <w:tc>
          <w:tcPr>
            <w:tcW w:w="1260" w:type="dxa"/>
            <w:shd w:val="clear" w:color="auto" w:fill="FFFFFF"/>
            <w:tcMar>
              <w:left w:w="60" w:type="dxa"/>
              <w:right w:w="60" w:type="dxa"/>
            </w:tcMar>
            <w:vAlign w:val="center"/>
          </w:tcPr>
          <w:p w14:paraId="49EEB7CF" w14:textId="77777777" w:rsidR="00B34261" w:rsidRPr="00B05FE8" w:rsidRDefault="00B34261" w:rsidP="00553AB7">
            <w:pPr>
              <w:keepNext/>
              <w:adjustRightInd w:val="0"/>
              <w:jc w:val="center"/>
              <w:rPr>
                <w:color w:val="000000"/>
                <w:szCs w:val="22"/>
              </w:rPr>
            </w:pPr>
            <w:r w:rsidRPr="00B05FE8">
              <w:rPr>
                <w:color w:val="000000"/>
                <w:szCs w:val="22"/>
              </w:rPr>
              <w:t>49</w:t>
            </w:r>
            <w:r>
              <w:rPr>
                <w:color w:val="000000"/>
                <w:szCs w:val="22"/>
              </w:rPr>
              <w:t>,</w:t>
            </w:r>
            <w:r w:rsidRPr="00B05FE8">
              <w:rPr>
                <w:color w:val="000000"/>
                <w:szCs w:val="22"/>
              </w:rPr>
              <w:t>5</w:t>
            </w:r>
          </w:p>
        </w:tc>
      </w:tr>
      <w:tr w:rsidR="00B34261" w:rsidRPr="00A465C0" w14:paraId="34273235" w14:textId="77777777" w:rsidTr="004E303B">
        <w:trPr>
          <w:cantSplit/>
        </w:trPr>
        <w:tc>
          <w:tcPr>
            <w:tcW w:w="9065" w:type="dxa"/>
            <w:gridSpan w:val="5"/>
            <w:shd w:val="clear" w:color="auto" w:fill="FFFFFF"/>
            <w:tcMar>
              <w:left w:w="60" w:type="dxa"/>
              <w:right w:w="60" w:type="dxa"/>
            </w:tcMar>
          </w:tcPr>
          <w:p w14:paraId="4E7330E2" w14:textId="77777777" w:rsidR="00B34261" w:rsidRPr="00B05FE8" w:rsidRDefault="00B34261" w:rsidP="00553AB7">
            <w:pPr>
              <w:adjustRightInd w:val="0"/>
              <w:ind w:left="0" w:firstLine="0"/>
              <w:rPr>
                <w:color w:val="000000"/>
                <w:szCs w:val="22"/>
              </w:rPr>
            </w:pPr>
            <w:r>
              <w:rPr>
                <w:iCs/>
                <w:noProof/>
                <w:sz w:val="20"/>
              </w:rPr>
              <w:t>Kohorta</w:t>
            </w:r>
            <w:r w:rsidRPr="00A80D21">
              <w:rPr>
                <w:iCs/>
                <w:noProof/>
                <w:sz w:val="20"/>
              </w:rPr>
              <w:t xml:space="preserve"> A: eltrombopag </w:t>
            </w:r>
            <w:r>
              <w:rPr>
                <w:iCs/>
                <w:noProof/>
                <w:sz w:val="20"/>
              </w:rPr>
              <w:t>podawany jako leczenie drugiej linii</w:t>
            </w:r>
            <w:r w:rsidRPr="00A80D21">
              <w:rPr>
                <w:iCs/>
                <w:noProof/>
                <w:sz w:val="20"/>
              </w:rPr>
              <w:t xml:space="preserve">, </w:t>
            </w:r>
            <w:r>
              <w:rPr>
                <w:iCs/>
                <w:noProof/>
                <w:sz w:val="20"/>
              </w:rPr>
              <w:t>Kohorta</w:t>
            </w:r>
            <w:r w:rsidRPr="00A80D21">
              <w:rPr>
                <w:iCs/>
                <w:noProof/>
                <w:sz w:val="20"/>
              </w:rPr>
              <w:t xml:space="preserve"> B: eltrombopag </w:t>
            </w:r>
            <w:r>
              <w:rPr>
                <w:iCs/>
                <w:noProof/>
                <w:sz w:val="20"/>
              </w:rPr>
              <w:t>podawany jako leczenie pierwszej linii</w:t>
            </w:r>
          </w:p>
        </w:tc>
      </w:tr>
    </w:tbl>
    <w:p w14:paraId="2E61C90B" w14:textId="77777777" w:rsidR="001C1AF1" w:rsidRPr="007E4DA1" w:rsidRDefault="001C1AF1" w:rsidP="001A6584">
      <w:pPr>
        <w:tabs>
          <w:tab w:val="left" w:pos="142"/>
        </w:tabs>
        <w:ind w:left="0" w:firstLine="0"/>
        <w:rPr>
          <w:szCs w:val="22"/>
        </w:rPr>
      </w:pPr>
    </w:p>
    <w:p w14:paraId="2D4D5D1D" w14:textId="77777777" w:rsidR="001922DF" w:rsidRPr="007E4DA1" w:rsidRDefault="00A350DA" w:rsidP="001A6584">
      <w:pPr>
        <w:keepNext/>
        <w:rPr>
          <w:szCs w:val="22"/>
        </w:rPr>
      </w:pPr>
      <w:r w:rsidRPr="007E4DA1">
        <w:rPr>
          <w:b/>
          <w:szCs w:val="22"/>
        </w:rPr>
        <w:t>5.3</w:t>
      </w:r>
      <w:r w:rsidRPr="007E4DA1">
        <w:rPr>
          <w:b/>
          <w:szCs w:val="22"/>
        </w:rPr>
        <w:tab/>
      </w:r>
      <w:r w:rsidRPr="007E4DA1">
        <w:rPr>
          <w:b/>
        </w:rPr>
        <w:t>Przedkliniczne dane o bezpieczeństwie</w:t>
      </w:r>
    </w:p>
    <w:p w14:paraId="0BF9FC6D" w14:textId="77777777" w:rsidR="00A350DA" w:rsidRPr="007E4DA1" w:rsidRDefault="00A350DA" w:rsidP="001A6584">
      <w:pPr>
        <w:keepNext/>
        <w:tabs>
          <w:tab w:val="left" w:pos="142"/>
        </w:tabs>
        <w:ind w:left="0" w:firstLine="0"/>
        <w:rPr>
          <w:szCs w:val="22"/>
        </w:rPr>
      </w:pPr>
    </w:p>
    <w:p w14:paraId="3C2B3DC9" w14:textId="77777777" w:rsidR="00041A08" w:rsidRPr="00041A08" w:rsidRDefault="00706F4F" w:rsidP="001A6584">
      <w:pPr>
        <w:keepNext/>
        <w:tabs>
          <w:tab w:val="left" w:pos="142"/>
        </w:tabs>
        <w:ind w:left="0" w:firstLine="0"/>
        <w:rPr>
          <w:szCs w:val="22"/>
        </w:rPr>
      </w:pPr>
      <w:r w:rsidRPr="007E4DA1">
        <w:rPr>
          <w:szCs w:val="22"/>
          <w:u w:val="single"/>
        </w:rPr>
        <w:t>Badania farmakologiczne dotyczące bezpieczeństwa i toksyczność po podaniu dawek wielokrotnych</w:t>
      </w:r>
    </w:p>
    <w:p w14:paraId="402A95B8" w14:textId="1E97AF42" w:rsidR="00706F4F" w:rsidRPr="007E4DA1" w:rsidRDefault="00706F4F" w:rsidP="001A6584">
      <w:pPr>
        <w:keepNext/>
        <w:tabs>
          <w:tab w:val="left" w:pos="142"/>
        </w:tabs>
        <w:ind w:left="0" w:firstLine="0"/>
        <w:rPr>
          <w:szCs w:val="22"/>
        </w:rPr>
      </w:pPr>
    </w:p>
    <w:p w14:paraId="65B03C6E" w14:textId="77777777" w:rsidR="00041A08" w:rsidRPr="00041A08" w:rsidRDefault="00A350DA" w:rsidP="001A6584">
      <w:pPr>
        <w:tabs>
          <w:tab w:val="left" w:pos="142"/>
        </w:tabs>
        <w:ind w:left="0" w:firstLine="0"/>
      </w:pPr>
      <w:r w:rsidRPr="007E4DA1">
        <w:t>Eltrombopag nie pobudza wytwarzania płytek krwi u myszy, szczurów i psów, z powodu unikalnej specyficzności receptora trombopoetyny. Dlatego też dane z badań na tych zwierzętach nie oddają w pełni potencjalnych działań niepożądanych związanych z farmakologią eltrombopagu u ludzi, w tym w zakresie badań nad reprodukcją i rakotwórczością.</w:t>
      </w:r>
    </w:p>
    <w:p w14:paraId="7459EF3C" w14:textId="6A414991" w:rsidR="00A350DA" w:rsidRPr="007E4DA1" w:rsidRDefault="00A350DA" w:rsidP="001A6584">
      <w:pPr>
        <w:tabs>
          <w:tab w:val="left" w:pos="142"/>
        </w:tabs>
        <w:ind w:left="0" w:firstLine="0"/>
        <w:rPr>
          <w:szCs w:val="22"/>
        </w:rPr>
      </w:pPr>
    </w:p>
    <w:p w14:paraId="393BD592" w14:textId="77777777" w:rsidR="00A350DA" w:rsidRPr="007E4DA1" w:rsidRDefault="00A350DA" w:rsidP="001A6584">
      <w:pPr>
        <w:tabs>
          <w:tab w:val="left" w:pos="142"/>
        </w:tabs>
        <w:ind w:left="0" w:firstLine="0"/>
      </w:pPr>
      <w:r w:rsidRPr="007E4DA1">
        <w:t>Zaćmę związaną z leczeniem wykryto u gryzoni. Jej wystąpienie było zależne od dawki i czasu. W przypadku ekspozycji ≥6</w:t>
      </w:r>
      <w:r w:rsidR="00CA300F" w:rsidRPr="007E4DA1">
        <w:t> </w:t>
      </w:r>
      <w:r w:rsidRPr="007E4DA1">
        <w:t>x</w:t>
      </w:r>
      <w:r w:rsidR="00CA300F" w:rsidRPr="007E4DA1">
        <w:t> </w:t>
      </w:r>
      <w:r w:rsidRPr="007E4DA1">
        <w:t xml:space="preserve">większej niż ekspozycja u ludzi w warunkach klinicznych w przypadku </w:t>
      </w:r>
      <w:r w:rsidR="009D50D5" w:rsidRPr="007E4DA1">
        <w:t xml:space="preserve">dorosłych </w:t>
      </w:r>
      <w:r w:rsidRPr="007E4DA1">
        <w:t>pacjentów z pierwotną małopłytkowością immunologiczną otrzymujących dawkę 75 mg/dobę, a także 3 x</w:t>
      </w:r>
      <w:r w:rsidR="00CA300F" w:rsidRPr="007E4DA1">
        <w:t> </w:t>
      </w:r>
      <w:r w:rsidRPr="007E4DA1">
        <w:t xml:space="preserve">większej niż ekspozycja u ludzi w warunkach klinicznych w przypadku </w:t>
      </w:r>
      <w:r w:rsidR="009D50D5" w:rsidRPr="007E4DA1">
        <w:t xml:space="preserve">dorosłych </w:t>
      </w:r>
      <w:r w:rsidRPr="007E4DA1">
        <w:t>pacjentów zakażonych wirusem WZW C otrzymujących dawkę 100 mg/dobę (na podstawie AUC) zaćmę obserwowano u myszy po 6</w:t>
      </w:r>
      <w:r w:rsidR="00BE611D" w:rsidRPr="007E4DA1">
        <w:t> </w:t>
      </w:r>
      <w:r w:rsidRPr="007E4DA1">
        <w:t xml:space="preserve">tygodniach, a u szczurów po 28 tygodniach dawkowania. W przypadku ekspozycji </w:t>
      </w:r>
      <w:r w:rsidRPr="007E4DA1">
        <w:sym w:font="Symbol" w:char="F0B3"/>
      </w:r>
      <w:r w:rsidR="00CA300F" w:rsidRPr="007E4DA1">
        <w:t> </w:t>
      </w:r>
      <w:r w:rsidRPr="007E4DA1">
        <w:t>4</w:t>
      </w:r>
      <w:r w:rsidR="00CA300F" w:rsidRPr="007E4DA1">
        <w:t> </w:t>
      </w:r>
      <w:r w:rsidRPr="007E4DA1">
        <w:t xml:space="preserve">x większej niż ekspozycja u ludzi w warunkach klinicznych w przypadku pacjentów z pierwotną małopłytkowością immunologiczną otrzymujących dawkę 75 mg/dobę, a także 2 x większej niż ekspozycja u ludzi w warunkach klinicznych w przypadku pacjentów zakażonych wirusem WZW C otrzymujących dawkę 100 mg/dobę (na podstawie AUC) zaćmę obserwowano u myszy po 13 tygodniach, a u szczurów po 39 tygodniach dawkowania. </w:t>
      </w:r>
      <w:r w:rsidR="009D50D5" w:rsidRPr="007E4DA1">
        <w:t>Po podaniu nietolerowanych dawek młodym osobnikom szczura przed odstawieniem ich od piersi, którym lek podawano w dniach 4</w:t>
      </w:r>
      <w:r w:rsidR="00F865DC" w:rsidRPr="007E4DA1">
        <w:noBreakHyphen/>
      </w:r>
      <w:r w:rsidR="009D50D5" w:rsidRPr="007E4DA1">
        <w:t xml:space="preserve">32. (co pod koniec okresu dawkowania odpowiada wiekiem w przybliżeniu 2-letniemu dziecku), zmętnienia w gałce ocznej obserwowano (nie przeprowadzono badania histologicznego) po podaniu dawek stanowiących 9-krotność maksymalnej ekspozycji klinicznej u dzieci i młodzieży z </w:t>
      </w:r>
      <w:r w:rsidR="009559AD" w:rsidRPr="007E4DA1">
        <w:t xml:space="preserve">pierwotną </w:t>
      </w:r>
      <w:r w:rsidR="009D50D5" w:rsidRPr="007E4DA1">
        <w:t xml:space="preserve">małopłytkowością immunologiczną otrzymujących dawkę 75 mg/dobę, w oparciu o AUC. Jednak zaćmy nie obserwowano u młodych osobników szczura, którym podawano tolerowane dawki stanowiące 5-krotność ekspozycji klinicznej u dzieci i młodzieży z </w:t>
      </w:r>
      <w:r w:rsidR="009559AD" w:rsidRPr="007E4DA1">
        <w:t xml:space="preserve">pierwotną </w:t>
      </w:r>
      <w:r w:rsidR="009D50D5" w:rsidRPr="007E4DA1">
        <w:t xml:space="preserve">małopłytkowością immunologiczną, na podstawie AUC. </w:t>
      </w:r>
      <w:r w:rsidRPr="007E4DA1">
        <w:t xml:space="preserve">Zaćmy nie obserwowano u </w:t>
      </w:r>
      <w:r w:rsidR="009D50D5" w:rsidRPr="007E4DA1">
        <w:t xml:space="preserve">dorosłych </w:t>
      </w:r>
      <w:r w:rsidRPr="007E4DA1">
        <w:t>psów po 52 tygodniach dawkowania (2</w:t>
      </w:r>
      <w:r w:rsidR="00CA300F" w:rsidRPr="007E4DA1">
        <w:t> </w:t>
      </w:r>
      <w:r w:rsidRPr="007E4DA1">
        <w:t>x</w:t>
      </w:r>
      <w:r w:rsidR="00CA300F" w:rsidRPr="007E4DA1">
        <w:t> </w:t>
      </w:r>
      <w:r w:rsidRPr="007E4DA1">
        <w:t xml:space="preserve">większa ekspozycja niż ekspozycja u ludzi w warunkach klinicznych w przypadku </w:t>
      </w:r>
      <w:r w:rsidR="009D50D5" w:rsidRPr="007E4DA1">
        <w:t xml:space="preserve">dorosłych </w:t>
      </w:r>
      <w:r w:rsidRPr="007E4DA1">
        <w:t xml:space="preserve">pacjentów </w:t>
      </w:r>
      <w:r w:rsidR="009D50D5" w:rsidRPr="007E4DA1">
        <w:t xml:space="preserve">lub dzieci i młodzieży </w:t>
      </w:r>
      <w:r w:rsidRPr="007E4DA1">
        <w:t>z pierwotną małopłytkowością immunologiczną otrzymujących dawkę 75 mg/dobę, a także równoważna ekspozycji u ludzi w warunkach klinicznych w przypadku pacjentów zakażonych wirusem WZW C otrzymujących dawkę 100 mg/dobę, na podstawie AUC).</w:t>
      </w:r>
    </w:p>
    <w:p w14:paraId="477D16C8" w14:textId="77777777" w:rsidR="00A350DA" w:rsidRPr="007E4DA1" w:rsidRDefault="00A350DA" w:rsidP="001A6584">
      <w:pPr>
        <w:tabs>
          <w:tab w:val="left" w:pos="142"/>
        </w:tabs>
        <w:ind w:left="0" w:firstLine="0"/>
        <w:rPr>
          <w:szCs w:val="22"/>
        </w:rPr>
      </w:pPr>
    </w:p>
    <w:p w14:paraId="24DFE135" w14:textId="77777777" w:rsidR="00A350DA" w:rsidRPr="007E4DA1" w:rsidRDefault="00A350DA" w:rsidP="001A6584">
      <w:pPr>
        <w:tabs>
          <w:tab w:val="left" w:pos="142"/>
        </w:tabs>
        <w:ind w:left="0" w:firstLine="0"/>
        <w:rPr>
          <w:rFonts w:eastAsia="MS Mincho"/>
          <w:color w:val="000000"/>
          <w:shd w:val="clear" w:color="auto" w:fill="CCCCCC"/>
          <w:lang w:eastAsia="ja-JP"/>
        </w:rPr>
      </w:pPr>
      <w:r w:rsidRPr="007E4DA1">
        <w:rPr>
          <w:rFonts w:eastAsia="MS Mincho"/>
          <w:color w:val="000000"/>
          <w:lang w:eastAsia="ja-JP"/>
        </w:rPr>
        <w:t>W badaniach trwających do 14</w:t>
      </w:r>
      <w:r w:rsidR="00BE611D" w:rsidRPr="007E4DA1">
        <w:rPr>
          <w:rFonts w:eastAsia="MS Mincho"/>
          <w:color w:val="000000"/>
          <w:lang w:eastAsia="ja-JP"/>
        </w:rPr>
        <w:t> </w:t>
      </w:r>
      <w:r w:rsidRPr="007E4DA1">
        <w:rPr>
          <w:rFonts w:eastAsia="MS Mincho"/>
          <w:color w:val="000000"/>
          <w:lang w:eastAsia="ja-JP"/>
        </w:rPr>
        <w:t>dni, przeprowadzonych na myszach i szczurach, w którym ekspozycja była zazwyczaj związana z zachorowalnością i śmiertelnością, obserwowano toksyczne uszkodzenie cewek nerkowych. Toksyczne uszkodzenie cewek nerkowych obserwowano również w 2-letnim badaniu rakotwórczości, w którym podawano myszom doustnie dawki 25, 75 i 150 mg/kg mc./dobę. Działanie to było mniej nasilone podczas stosowania mniejszych dawek i charakteryzowało się występowaniem różnorodnych zmian regeneracyjnych. Ekspozycja podczas stosowania najmniejszej dawki była 1,2</w:t>
      </w:r>
      <w:r w:rsidR="001B1D8E" w:rsidRPr="007E4DA1">
        <w:rPr>
          <w:rFonts w:eastAsia="MS Mincho"/>
          <w:color w:val="000000"/>
          <w:lang w:eastAsia="ja-JP"/>
        </w:rPr>
        <w:t> </w:t>
      </w:r>
      <w:r w:rsidRPr="007E4DA1">
        <w:rPr>
          <w:rFonts w:eastAsia="MS Mincho"/>
          <w:color w:val="000000"/>
          <w:lang w:eastAsia="ja-JP"/>
        </w:rPr>
        <w:t xml:space="preserve">x </w:t>
      </w:r>
      <w:r w:rsidR="009D50D5" w:rsidRPr="007E4DA1">
        <w:rPr>
          <w:rFonts w:eastAsia="MS Mincho"/>
          <w:color w:val="000000"/>
          <w:lang w:eastAsia="ja-JP"/>
        </w:rPr>
        <w:t xml:space="preserve">lub </w:t>
      </w:r>
      <w:r w:rsidR="00A6158A" w:rsidRPr="007E4DA1">
        <w:rPr>
          <w:rFonts w:eastAsia="MS Mincho"/>
          <w:color w:val="000000"/>
          <w:lang w:eastAsia="ja-JP"/>
        </w:rPr>
        <w:t>0</w:t>
      </w:r>
      <w:r w:rsidR="009D50D5" w:rsidRPr="007E4DA1">
        <w:rPr>
          <w:rFonts w:eastAsia="MS Mincho"/>
          <w:color w:val="000000"/>
          <w:lang w:eastAsia="ja-JP"/>
        </w:rPr>
        <w:t>,8</w:t>
      </w:r>
      <w:r w:rsidR="00A6158A" w:rsidRPr="007E4DA1">
        <w:rPr>
          <w:rFonts w:eastAsia="MS Mincho"/>
          <w:color w:val="000000"/>
          <w:lang w:eastAsia="ja-JP"/>
        </w:rPr>
        <w:t> </w:t>
      </w:r>
      <w:r w:rsidR="009D50D5" w:rsidRPr="007E4DA1">
        <w:rPr>
          <w:rFonts w:eastAsia="MS Mincho"/>
          <w:color w:val="000000"/>
          <w:lang w:eastAsia="ja-JP"/>
        </w:rPr>
        <w:t xml:space="preserve">x </w:t>
      </w:r>
      <w:r w:rsidRPr="007E4DA1">
        <w:rPr>
          <w:rFonts w:eastAsia="MS Mincho"/>
          <w:color w:val="000000"/>
          <w:lang w:eastAsia="ja-JP"/>
        </w:rPr>
        <w:t xml:space="preserve">większa niż ekspozycja u ludzi w warunkach klinicznych </w:t>
      </w:r>
      <w:r w:rsidRPr="007E4DA1">
        <w:t xml:space="preserve">w przypadku </w:t>
      </w:r>
      <w:r w:rsidR="009D50D5" w:rsidRPr="007E4DA1">
        <w:t xml:space="preserve">dorosłych </w:t>
      </w:r>
      <w:r w:rsidRPr="007E4DA1">
        <w:t xml:space="preserve">pacjentów </w:t>
      </w:r>
      <w:r w:rsidR="009D50D5" w:rsidRPr="007E4DA1">
        <w:t xml:space="preserve">lub dzieci i młodzieży </w:t>
      </w:r>
      <w:r w:rsidRPr="007E4DA1">
        <w:t xml:space="preserve">z pierwotną małopłytkowością immunologiczną otrzymujących dawkę 75 mg/dobę, a także 0,6 x większej niż ekspozycja u ludzi w warunkach klinicznych w przypadku pacjentów zakażonych wirusem WZW C otrzymujących dawkę 100 mg/dobę </w:t>
      </w:r>
      <w:r w:rsidRPr="007E4DA1">
        <w:rPr>
          <w:rFonts w:eastAsia="MS Mincho"/>
          <w:color w:val="000000"/>
          <w:lang w:eastAsia="ja-JP"/>
        </w:rPr>
        <w:t>(na podstawie AUC). Działania na nerki nie obserwowano u szczurów po 28</w:t>
      </w:r>
      <w:r w:rsidR="00BE611D" w:rsidRPr="007E4DA1">
        <w:rPr>
          <w:rFonts w:eastAsia="MS Mincho"/>
          <w:color w:val="000000"/>
          <w:lang w:eastAsia="ja-JP"/>
        </w:rPr>
        <w:t> </w:t>
      </w:r>
      <w:r w:rsidRPr="007E4DA1">
        <w:rPr>
          <w:rFonts w:eastAsia="MS Mincho"/>
          <w:color w:val="000000"/>
          <w:lang w:eastAsia="ja-JP"/>
        </w:rPr>
        <w:t>tygodniach ani u psów po 52</w:t>
      </w:r>
      <w:r w:rsidR="00BE611D" w:rsidRPr="007E4DA1">
        <w:rPr>
          <w:rFonts w:eastAsia="MS Mincho"/>
          <w:color w:val="000000"/>
          <w:lang w:eastAsia="ja-JP"/>
        </w:rPr>
        <w:t> </w:t>
      </w:r>
      <w:r w:rsidRPr="007E4DA1">
        <w:rPr>
          <w:rFonts w:eastAsia="MS Mincho"/>
          <w:color w:val="000000"/>
          <w:lang w:eastAsia="ja-JP"/>
        </w:rPr>
        <w:t>tygodniach w przypadku ekspozycji 4</w:t>
      </w:r>
      <w:r w:rsidR="00BE611D" w:rsidRPr="007E4DA1">
        <w:rPr>
          <w:rFonts w:eastAsia="MS Mincho"/>
          <w:color w:val="000000"/>
          <w:lang w:eastAsia="ja-JP"/>
        </w:rPr>
        <w:t> </w:t>
      </w:r>
      <w:r w:rsidRPr="007E4DA1">
        <w:rPr>
          <w:rFonts w:eastAsia="MS Mincho"/>
          <w:color w:val="000000"/>
          <w:lang w:eastAsia="ja-JP"/>
        </w:rPr>
        <w:t>x i 2</w:t>
      </w:r>
      <w:r w:rsidR="00BE611D" w:rsidRPr="007E4DA1">
        <w:rPr>
          <w:rFonts w:eastAsia="MS Mincho"/>
          <w:color w:val="000000"/>
          <w:lang w:eastAsia="ja-JP"/>
        </w:rPr>
        <w:t> </w:t>
      </w:r>
      <w:r w:rsidRPr="007E4DA1">
        <w:rPr>
          <w:rFonts w:eastAsia="MS Mincho"/>
          <w:color w:val="000000"/>
          <w:lang w:eastAsia="ja-JP"/>
        </w:rPr>
        <w:t xml:space="preserve">x większej niż ekspozycja u ludzi w warunkach klinicznych </w:t>
      </w:r>
      <w:r w:rsidRPr="007E4DA1">
        <w:t xml:space="preserve">w przypadku </w:t>
      </w:r>
      <w:r w:rsidR="009D50D5" w:rsidRPr="007E4DA1">
        <w:t xml:space="preserve">dorosłych </w:t>
      </w:r>
      <w:r w:rsidRPr="007E4DA1">
        <w:t xml:space="preserve">pacjentów z pierwotną małopłytkowością immunologiczną </w:t>
      </w:r>
      <w:r w:rsidR="009D50D5" w:rsidRPr="007E4DA1">
        <w:t xml:space="preserve">oraz </w:t>
      </w:r>
      <w:r w:rsidR="009D50D5" w:rsidRPr="007E4DA1">
        <w:rPr>
          <w:rFonts w:eastAsia="MS Mincho"/>
          <w:color w:val="000000"/>
          <w:lang w:eastAsia="ja-JP"/>
        </w:rPr>
        <w:t>3</w:t>
      </w:r>
      <w:r w:rsidR="00BE611D" w:rsidRPr="007E4DA1">
        <w:rPr>
          <w:rFonts w:eastAsia="MS Mincho"/>
          <w:color w:val="000000"/>
          <w:lang w:eastAsia="ja-JP"/>
        </w:rPr>
        <w:t> </w:t>
      </w:r>
      <w:r w:rsidR="009D50D5" w:rsidRPr="007E4DA1">
        <w:rPr>
          <w:rFonts w:eastAsia="MS Mincho"/>
          <w:color w:val="000000"/>
          <w:lang w:eastAsia="ja-JP"/>
        </w:rPr>
        <w:t>x i 2</w:t>
      </w:r>
      <w:r w:rsidR="00BE611D" w:rsidRPr="007E4DA1">
        <w:rPr>
          <w:rFonts w:eastAsia="MS Mincho"/>
          <w:color w:val="000000"/>
          <w:lang w:eastAsia="ja-JP"/>
        </w:rPr>
        <w:t> </w:t>
      </w:r>
      <w:r w:rsidR="009D50D5" w:rsidRPr="007E4DA1">
        <w:rPr>
          <w:rFonts w:eastAsia="MS Mincho"/>
          <w:color w:val="000000"/>
          <w:lang w:eastAsia="ja-JP"/>
        </w:rPr>
        <w:t xml:space="preserve">x większej niż ekspozycja u ludzi w warunkach klinicznych </w:t>
      </w:r>
      <w:r w:rsidR="009D50D5" w:rsidRPr="007E4DA1">
        <w:t xml:space="preserve">w przypadku dzieci i młodzieży z pierwotną małopłytkowością immunologiczną, </w:t>
      </w:r>
      <w:r w:rsidRPr="007E4DA1">
        <w:t xml:space="preserve">otrzymujących dawkę 75 mg/dobę, a także 2 x większej lub równoważnej ekspozycji u ludzi w warunkach klinicznych w przypadku pacjentów zakażonych wirusem WZW C otrzymujących dawkę 100 mg/dobę </w:t>
      </w:r>
      <w:r w:rsidRPr="007E4DA1">
        <w:rPr>
          <w:rFonts w:eastAsia="MS Mincho"/>
          <w:color w:val="000000"/>
          <w:lang w:eastAsia="ja-JP"/>
        </w:rPr>
        <w:t>(na podstawie AUC).</w:t>
      </w:r>
    </w:p>
    <w:p w14:paraId="3BCF6CF8" w14:textId="77777777" w:rsidR="00A350DA" w:rsidRPr="007E4DA1" w:rsidRDefault="00A350DA" w:rsidP="001A6584">
      <w:pPr>
        <w:tabs>
          <w:tab w:val="left" w:pos="142"/>
        </w:tabs>
        <w:ind w:left="0" w:firstLine="0"/>
        <w:rPr>
          <w:rFonts w:eastAsia="MS Mincho"/>
          <w:color w:val="000000"/>
          <w:szCs w:val="22"/>
          <w:lang w:eastAsia="ja-JP"/>
        </w:rPr>
      </w:pPr>
    </w:p>
    <w:p w14:paraId="1F944135" w14:textId="77777777" w:rsidR="00A350DA" w:rsidRPr="007E4DA1" w:rsidRDefault="00A350DA" w:rsidP="001A6584">
      <w:pPr>
        <w:tabs>
          <w:tab w:val="left" w:pos="142"/>
        </w:tabs>
        <w:ind w:left="0" w:firstLine="0"/>
        <w:rPr>
          <w:rFonts w:eastAsia="MS Mincho"/>
          <w:color w:val="000000"/>
          <w:szCs w:val="24"/>
          <w:lang w:eastAsia="ja-JP"/>
        </w:rPr>
      </w:pPr>
      <w:r w:rsidRPr="007E4DA1">
        <w:rPr>
          <w:rFonts w:eastAsia="MS Mincho"/>
          <w:color w:val="000000"/>
          <w:szCs w:val="24"/>
          <w:lang w:eastAsia="ja-JP"/>
        </w:rPr>
        <w:t xml:space="preserve">Podczas stosowania u myszy, szczurów i psów dawek związanych </w:t>
      </w:r>
      <w:r w:rsidRPr="007E4DA1">
        <w:rPr>
          <w:rFonts w:eastAsia="MS Mincho"/>
          <w:color w:val="000000"/>
          <w:lang w:eastAsia="ja-JP"/>
        </w:rPr>
        <w:t>z zachorowalnością i śmiertelnością</w:t>
      </w:r>
      <w:r w:rsidRPr="007E4DA1">
        <w:rPr>
          <w:rFonts w:eastAsia="MS Mincho"/>
          <w:color w:val="000000"/>
          <w:szCs w:val="24"/>
          <w:lang w:eastAsia="ja-JP"/>
        </w:rPr>
        <w:t xml:space="preserve"> lub dawek, które były źle tolerowane obserwowano degenerację i (lub) martwicę hepatocytów, której często towarzyszyło zwiększenie aktywności enzymów wątrobowych w surowicy. </w:t>
      </w:r>
      <w:r w:rsidRPr="007E4DA1">
        <w:rPr>
          <w:rFonts w:eastAsia="MS Mincho"/>
          <w:color w:val="000000"/>
          <w:lang w:eastAsia="ja-JP"/>
        </w:rPr>
        <w:t xml:space="preserve">Działania na wątrobę nie obserwowano </w:t>
      </w:r>
      <w:r w:rsidRPr="007E4DA1">
        <w:rPr>
          <w:rFonts w:eastAsia="MS Mincho"/>
          <w:color w:val="000000"/>
          <w:szCs w:val="24"/>
          <w:lang w:eastAsia="ja-JP"/>
        </w:rPr>
        <w:t>podczas przewlekłego stosowania u szczurów (28</w:t>
      </w:r>
      <w:r w:rsidR="00BE611D" w:rsidRPr="007E4DA1">
        <w:rPr>
          <w:rFonts w:eastAsia="MS Mincho"/>
          <w:color w:val="000000"/>
          <w:szCs w:val="24"/>
          <w:lang w:eastAsia="ja-JP"/>
        </w:rPr>
        <w:t> </w:t>
      </w:r>
      <w:r w:rsidRPr="007E4DA1">
        <w:rPr>
          <w:rFonts w:eastAsia="MS Mincho"/>
          <w:color w:val="000000"/>
          <w:szCs w:val="24"/>
          <w:lang w:eastAsia="ja-JP"/>
        </w:rPr>
        <w:t>tygodni) ani u psów (52 tygodnie)</w:t>
      </w:r>
      <w:r w:rsidRPr="007E4DA1">
        <w:rPr>
          <w:rFonts w:eastAsia="MS Mincho"/>
          <w:color w:val="000000"/>
          <w:lang w:eastAsia="ja-JP"/>
        </w:rPr>
        <w:t xml:space="preserve"> w przypadku ekspozycji 4</w:t>
      </w:r>
      <w:r w:rsidR="00BE611D" w:rsidRPr="007E4DA1">
        <w:rPr>
          <w:rFonts w:eastAsia="MS Mincho"/>
          <w:color w:val="000000"/>
          <w:lang w:eastAsia="ja-JP"/>
        </w:rPr>
        <w:t> </w:t>
      </w:r>
      <w:r w:rsidRPr="007E4DA1">
        <w:rPr>
          <w:rFonts w:eastAsia="MS Mincho"/>
          <w:color w:val="000000"/>
          <w:lang w:eastAsia="ja-JP"/>
        </w:rPr>
        <w:t xml:space="preserve">x </w:t>
      </w:r>
      <w:r w:rsidR="00BE611D" w:rsidRPr="007E4DA1">
        <w:rPr>
          <w:rFonts w:eastAsia="MS Mincho"/>
          <w:color w:val="000000"/>
          <w:lang w:eastAsia="ja-JP"/>
        </w:rPr>
        <w:t>lub</w:t>
      </w:r>
      <w:r w:rsidRPr="007E4DA1">
        <w:rPr>
          <w:rFonts w:eastAsia="MS Mincho"/>
          <w:color w:val="000000"/>
          <w:lang w:eastAsia="ja-JP"/>
        </w:rPr>
        <w:t xml:space="preserve"> 2</w:t>
      </w:r>
      <w:r w:rsidR="00BE611D" w:rsidRPr="007E4DA1">
        <w:rPr>
          <w:rFonts w:eastAsia="MS Mincho"/>
          <w:color w:val="000000"/>
          <w:lang w:eastAsia="ja-JP"/>
        </w:rPr>
        <w:t> </w:t>
      </w:r>
      <w:r w:rsidRPr="007E4DA1">
        <w:rPr>
          <w:rFonts w:eastAsia="MS Mincho"/>
          <w:color w:val="000000"/>
          <w:lang w:eastAsia="ja-JP"/>
        </w:rPr>
        <w:t xml:space="preserve">x większej niż ekspozycja u ludzi w warunkach klinicznych </w:t>
      </w:r>
      <w:r w:rsidRPr="007E4DA1">
        <w:t xml:space="preserve">w przypadku </w:t>
      </w:r>
      <w:r w:rsidR="009D50D5" w:rsidRPr="007E4DA1">
        <w:t xml:space="preserve">dorosłych </w:t>
      </w:r>
      <w:r w:rsidRPr="007E4DA1">
        <w:t xml:space="preserve">pacjentów z pierwotną małopłytkowością immunologiczną </w:t>
      </w:r>
      <w:r w:rsidR="009D50D5" w:rsidRPr="007E4DA1">
        <w:t xml:space="preserve">oraz </w:t>
      </w:r>
      <w:r w:rsidR="009D50D5" w:rsidRPr="007E4DA1">
        <w:rPr>
          <w:rFonts w:eastAsia="MS Mincho"/>
          <w:color w:val="000000"/>
          <w:lang w:eastAsia="ja-JP"/>
        </w:rPr>
        <w:t xml:space="preserve">3 x i 2 x większej niż ekspozycja u ludzi w warunkach klinicznych </w:t>
      </w:r>
      <w:r w:rsidR="009D50D5" w:rsidRPr="007E4DA1">
        <w:t xml:space="preserve">w przypadku dzieci i młodzieży z pierwotną małopłytkowością immunologiczną, </w:t>
      </w:r>
      <w:r w:rsidRPr="007E4DA1">
        <w:t xml:space="preserve">otrzymujących dawkę 75 mg/dobę, a także 2 x większej lub równoważnej ekspozycji u ludzi w warunkach klinicznych w przypadku pacjentów zakażonych wirusem WZW C otrzymujących dawkę 100 mg/dobę </w:t>
      </w:r>
      <w:r w:rsidRPr="007E4DA1">
        <w:rPr>
          <w:rFonts w:eastAsia="MS Mincho"/>
          <w:color w:val="000000"/>
          <w:lang w:eastAsia="ja-JP"/>
        </w:rPr>
        <w:t>(na podstawie AUC).</w:t>
      </w:r>
    </w:p>
    <w:p w14:paraId="1596634D" w14:textId="77777777" w:rsidR="00A350DA" w:rsidRPr="007E4DA1" w:rsidRDefault="00A350DA" w:rsidP="001A6584">
      <w:pPr>
        <w:tabs>
          <w:tab w:val="left" w:pos="142"/>
        </w:tabs>
        <w:ind w:left="0" w:firstLine="0"/>
        <w:rPr>
          <w:rFonts w:eastAsia="MS Mincho"/>
          <w:szCs w:val="22"/>
        </w:rPr>
      </w:pPr>
    </w:p>
    <w:p w14:paraId="456C3AAB" w14:textId="77777777" w:rsidR="00A350DA" w:rsidRPr="007E4DA1" w:rsidRDefault="00A350DA" w:rsidP="001A6584">
      <w:pPr>
        <w:tabs>
          <w:tab w:val="left" w:pos="142"/>
        </w:tabs>
        <w:ind w:left="0" w:firstLine="0"/>
        <w:rPr>
          <w:rFonts w:eastAsia="MS Mincho"/>
        </w:rPr>
      </w:pPr>
      <w:r w:rsidRPr="007E4DA1">
        <w:rPr>
          <w:rFonts w:eastAsia="MS Mincho"/>
        </w:rPr>
        <w:t xml:space="preserve">W krótkotrwałych badaniach na szczurach i psach podczas stosowania źle tolerowanych dawek (&gt;10 x </w:t>
      </w:r>
      <w:r w:rsidR="009D50D5" w:rsidRPr="007E4DA1">
        <w:rPr>
          <w:rFonts w:eastAsia="MS Mincho"/>
        </w:rPr>
        <w:t xml:space="preserve">lub 7 x </w:t>
      </w:r>
      <w:r w:rsidRPr="007E4DA1">
        <w:rPr>
          <w:rFonts w:eastAsia="MS Mincho"/>
        </w:rPr>
        <w:t xml:space="preserve">ekspozycja u ludzi w warunkach klinicznych </w:t>
      </w:r>
      <w:r w:rsidRPr="007E4DA1">
        <w:t xml:space="preserve">w przypadku </w:t>
      </w:r>
      <w:r w:rsidR="009D50D5" w:rsidRPr="007E4DA1">
        <w:t xml:space="preserve">dorosłych </w:t>
      </w:r>
      <w:r w:rsidRPr="007E4DA1">
        <w:t xml:space="preserve">pacjentów </w:t>
      </w:r>
      <w:r w:rsidR="009D50D5" w:rsidRPr="007E4DA1">
        <w:t xml:space="preserve">lub dzieci i młodzieży </w:t>
      </w:r>
      <w:r w:rsidRPr="007E4DA1">
        <w:t>z pierwotną małopłytkowością immunologiczną otrzymujących dawkę 75 mg/dobę, a także &gt;4 x ekspozycja u ludzi w warunkach klinicznych w przypadku pacjentów zakażonych wirusem WZW C otrzymujących dawkę 100 mg/dobę</w:t>
      </w:r>
      <w:r w:rsidRPr="007E4DA1">
        <w:rPr>
          <w:rFonts w:eastAsia="MS Mincho"/>
        </w:rPr>
        <w:t xml:space="preserve"> (na podstawie AUC) obserwowano zmniejszenie liczby retykulocytów oraz regeneracyjną hiperplazję erytroidalną szpiku kostnego (tylko u szczurów). Nie zanotowano wpływu na masę erytrocytów ani liczbę retykulocytów podczas podawania przez 28</w:t>
      </w:r>
      <w:r w:rsidR="00BE611D" w:rsidRPr="007E4DA1">
        <w:rPr>
          <w:rFonts w:eastAsia="MS Mincho"/>
        </w:rPr>
        <w:t> </w:t>
      </w:r>
      <w:r w:rsidRPr="007E4DA1">
        <w:rPr>
          <w:rFonts w:eastAsia="MS Mincho"/>
        </w:rPr>
        <w:t>tygodni szczurom, 52</w:t>
      </w:r>
      <w:r w:rsidR="00BE611D" w:rsidRPr="007E4DA1">
        <w:rPr>
          <w:rFonts w:eastAsia="MS Mincho"/>
        </w:rPr>
        <w:t> </w:t>
      </w:r>
      <w:r w:rsidRPr="007E4DA1">
        <w:rPr>
          <w:rFonts w:eastAsia="MS Mincho"/>
        </w:rPr>
        <w:t>tygodnie psom i 2</w:t>
      </w:r>
      <w:r w:rsidR="00BE611D" w:rsidRPr="007E4DA1">
        <w:rPr>
          <w:rFonts w:eastAsia="MS Mincho"/>
        </w:rPr>
        <w:t> </w:t>
      </w:r>
      <w:r w:rsidRPr="007E4DA1">
        <w:rPr>
          <w:rFonts w:eastAsia="MS Mincho"/>
        </w:rPr>
        <w:t>lata myszom lub szczurom maksymalnych tolerowanych dawek, które były 2 do 4</w:t>
      </w:r>
      <w:r w:rsidR="00BE611D" w:rsidRPr="007E4DA1">
        <w:rPr>
          <w:rFonts w:eastAsia="MS Mincho"/>
        </w:rPr>
        <w:t> </w:t>
      </w:r>
      <w:r w:rsidRPr="007E4DA1">
        <w:rPr>
          <w:rFonts w:eastAsia="MS Mincho"/>
        </w:rPr>
        <w:t xml:space="preserve">razy większe od ekspozycji u ludzi w warunkach klinicznych </w:t>
      </w:r>
      <w:r w:rsidRPr="007E4DA1">
        <w:t xml:space="preserve">w przypadku </w:t>
      </w:r>
      <w:r w:rsidR="009D50D5" w:rsidRPr="007E4DA1">
        <w:t xml:space="preserve">dorosłych </w:t>
      </w:r>
      <w:r w:rsidRPr="007E4DA1">
        <w:t xml:space="preserve">pacjentów </w:t>
      </w:r>
      <w:r w:rsidR="009D50D5" w:rsidRPr="007E4DA1">
        <w:t xml:space="preserve">lub dzieci i młodzieży </w:t>
      </w:r>
      <w:r w:rsidRPr="007E4DA1">
        <w:t xml:space="preserve">z pierwotną małopłytkowością immunologiczną otrzymujących dawkę 75 mg/dobę, a także ≤2 x większej niż ekspozycja u ludzi w warunkach klinicznych w przypadku pacjentów zakażonych wirusem WZW C otrzymujących dawkę 100 mg/dobę </w:t>
      </w:r>
      <w:r w:rsidRPr="007E4DA1">
        <w:rPr>
          <w:rFonts w:eastAsia="MS Mincho"/>
        </w:rPr>
        <w:t>(na podstawie AUC).</w:t>
      </w:r>
    </w:p>
    <w:p w14:paraId="641386B7" w14:textId="77777777" w:rsidR="00A350DA" w:rsidRPr="007E4DA1" w:rsidRDefault="00A350DA" w:rsidP="001A6584">
      <w:pPr>
        <w:tabs>
          <w:tab w:val="left" w:pos="142"/>
        </w:tabs>
        <w:ind w:left="0" w:firstLine="0"/>
        <w:rPr>
          <w:szCs w:val="22"/>
        </w:rPr>
      </w:pPr>
    </w:p>
    <w:p w14:paraId="5C23F717" w14:textId="77777777" w:rsidR="00A350DA" w:rsidRPr="007E4DA1" w:rsidRDefault="00A350DA" w:rsidP="001A6584">
      <w:pPr>
        <w:tabs>
          <w:tab w:val="left" w:pos="142"/>
        </w:tabs>
        <w:ind w:left="0" w:firstLine="0"/>
        <w:rPr>
          <w:rFonts w:eastAsia="MS Mincho"/>
        </w:rPr>
      </w:pPr>
      <w:r w:rsidRPr="007E4DA1">
        <w:rPr>
          <w:rFonts w:eastAsia="MS Mincho"/>
        </w:rPr>
        <w:t>W trwającym 28</w:t>
      </w:r>
      <w:r w:rsidR="00BE611D" w:rsidRPr="007E4DA1">
        <w:rPr>
          <w:rFonts w:eastAsia="MS Mincho"/>
        </w:rPr>
        <w:t> </w:t>
      </w:r>
      <w:r w:rsidRPr="007E4DA1">
        <w:rPr>
          <w:rFonts w:eastAsia="MS Mincho"/>
        </w:rPr>
        <w:t>tygodni badaniu toksyczności u szczurów, którym podawano nietolerowaną dawkę 60 mg/kg mc./dobę (6</w:t>
      </w:r>
      <w:r w:rsidR="00BE611D" w:rsidRPr="007E4DA1">
        <w:rPr>
          <w:rFonts w:eastAsia="MS Mincho"/>
        </w:rPr>
        <w:t> </w:t>
      </w:r>
      <w:r w:rsidRPr="007E4DA1">
        <w:rPr>
          <w:rFonts w:eastAsia="MS Mincho"/>
        </w:rPr>
        <w:t xml:space="preserve">x </w:t>
      </w:r>
      <w:r w:rsidR="009D50D5" w:rsidRPr="007E4DA1">
        <w:rPr>
          <w:rFonts w:eastAsia="MS Mincho"/>
        </w:rPr>
        <w:t xml:space="preserve">lub 4 x </w:t>
      </w:r>
      <w:r w:rsidRPr="007E4DA1">
        <w:rPr>
          <w:rFonts w:eastAsia="MS Mincho"/>
        </w:rPr>
        <w:t xml:space="preserve">ekspozycja u ludzi w warunkach klinicznych </w:t>
      </w:r>
      <w:r w:rsidRPr="007E4DA1">
        <w:t xml:space="preserve">w przypadku </w:t>
      </w:r>
      <w:r w:rsidR="009D50D5" w:rsidRPr="007E4DA1">
        <w:t xml:space="preserve">dorosłych </w:t>
      </w:r>
      <w:r w:rsidRPr="007E4DA1">
        <w:t xml:space="preserve">pacjentów </w:t>
      </w:r>
      <w:r w:rsidR="009D50D5" w:rsidRPr="007E4DA1">
        <w:t xml:space="preserve">lub dzieci i młodzieży </w:t>
      </w:r>
      <w:r w:rsidRPr="007E4DA1">
        <w:t>z pierwotną małopłytkowością immunologiczną otrzymujących dawkę 75 mg/dobę, a także 3 x większej niż ekspozycja u ludzi w warunkach klinicznych w przypadku pacjentów zakażonych wirusem WZW C otrzymujących dawkę 100 mg/dobę</w:t>
      </w:r>
      <w:r w:rsidRPr="007E4DA1">
        <w:rPr>
          <w:rFonts w:eastAsia="MS Mincho"/>
        </w:rPr>
        <w:t xml:space="preserve"> (na podstawie AUC) obserwowano hiperostozę śródkostną. W przypadku ekspozycji 4-krotnie </w:t>
      </w:r>
      <w:r w:rsidR="009D50D5" w:rsidRPr="007E4DA1">
        <w:rPr>
          <w:rFonts w:eastAsia="MS Mincho"/>
        </w:rPr>
        <w:t xml:space="preserve">lub 2-krotnie </w:t>
      </w:r>
      <w:r w:rsidRPr="007E4DA1">
        <w:rPr>
          <w:rFonts w:eastAsia="MS Mincho"/>
        </w:rPr>
        <w:t xml:space="preserve">większej od ekspozycji u ludzi w warunkach klinicznych </w:t>
      </w:r>
      <w:r w:rsidRPr="007E4DA1">
        <w:t xml:space="preserve">w przypadku </w:t>
      </w:r>
      <w:r w:rsidR="009D50D5" w:rsidRPr="007E4DA1">
        <w:t xml:space="preserve">dorosłych </w:t>
      </w:r>
      <w:r w:rsidRPr="007E4DA1">
        <w:t xml:space="preserve">pacjentów </w:t>
      </w:r>
      <w:r w:rsidR="009D50D5" w:rsidRPr="007E4DA1">
        <w:t xml:space="preserve">lub dzieci i młodzieży </w:t>
      </w:r>
      <w:r w:rsidRPr="007E4DA1">
        <w:t xml:space="preserve">z pierwotną małopłytkowością immunologiczną otrzymujących dawkę 75 mg/dobę, a także 2-krotnie większej niż ekspozycja u ludzi w warunkach klinicznych w przypadku pacjentów zakażonych wirusem WZW C otrzymujących dawkę 100 mg/dobę </w:t>
      </w:r>
      <w:r w:rsidRPr="007E4DA1">
        <w:rPr>
          <w:rFonts w:eastAsia="MS Mincho"/>
        </w:rPr>
        <w:t>(na podstawie AUC), trwającej przez cały okres życia zwierzęcia (2</w:t>
      </w:r>
      <w:r w:rsidR="00BE611D" w:rsidRPr="007E4DA1">
        <w:rPr>
          <w:rFonts w:eastAsia="MS Mincho"/>
        </w:rPr>
        <w:t> </w:t>
      </w:r>
      <w:r w:rsidRPr="007E4DA1">
        <w:rPr>
          <w:rFonts w:eastAsia="MS Mincho"/>
        </w:rPr>
        <w:t>lata) u myszy i szczurów nie obserwowano zmian w kościach.</w:t>
      </w:r>
    </w:p>
    <w:p w14:paraId="6ACB1AAC" w14:textId="77777777" w:rsidR="001922DF" w:rsidRPr="007E4DA1" w:rsidRDefault="001922DF" w:rsidP="001A6584">
      <w:pPr>
        <w:tabs>
          <w:tab w:val="left" w:pos="142"/>
        </w:tabs>
        <w:ind w:left="0" w:firstLine="0"/>
        <w:rPr>
          <w:szCs w:val="22"/>
        </w:rPr>
      </w:pPr>
    </w:p>
    <w:p w14:paraId="0CCB3937" w14:textId="77777777" w:rsidR="00706F4F" w:rsidRPr="007E4DA1" w:rsidRDefault="00706F4F" w:rsidP="001A6584">
      <w:pPr>
        <w:keepNext/>
        <w:tabs>
          <w:tab w:val="left" w:pos="142"/>
        </w:tabs>
        <w:ind w:left="0" w:firstLine="0"/>
        <w:rPr>
          <w:szCs w:val="22"/>
        </w:rPr>
      </w:pPr>
      <w:r w:rsidRPr="007E4DA1">
        <w:rPr>
          <w:szCs w:val="22"/>
          <w:u w:val="single"/>
        </w:rPr>
        <w:t>Działanie rakotwórcze i mutagenne</w:t>
      </w:r>
    </w:p>
    <w:p w14:paraId="6B5EA8DA" w14:textId="77777777" w:rsidR="00706F4F" w:rsidRPr="007E4DA1" w:rsidRDefault="00706F4F" w:rsidP="001A6584">
      <w:pPr>
        <w:keepNext/>
        <w:tabs>
          <w:tab w:val="left" w:pos="142"/>
        </w:tabs>
        <w:ind w:left="0" w:firstLine="0"/>
        <w:rPr>
          <w:szCs w:val="22"/>
        </w:rPr>
      </w:pPr>
    </w:p>
    <w:p w14:paraId="2980A40A" w14:textId="77777777" w:rsidR="00A350DA" w:rsidRPr="007E4DA1" w:rsidRDefault="00A350DA" w:rsidP="001A6584">
      <w:pPr>
        <w:tabs>
          <w:tab w:val="left" w:pos="142"/>
        </w:tabs>
        <w:ind w:left="0" w:firstLine="0"/>
      </w:pPr>
      <w:r w:rsidRPr="007E4DA1">
        <w:t>Nie stwierdzono działania rakotwórczego eltrombopagu u myszy, przy dawkach dochodzących do 75 mg/kg mc./dobę ani u szczurów przy dawkach do 40 mg/kg mc./dobę (ekspozycja do 4</w:t>
      </w:r>
      <w:r w:rsidR="00BE611D" w:rsidRPr="007E4DA1">
        <w:t> </w:t>
      </w:r>
      <w:r w:rsidRPr="007E4DA1">
        <w:t xml:space="preserve">razy </w:t>
      </w:r>
      <w:r w:rsidR="009D50D5" w:rsidRPr="007E4DA1">
        <w:t>lub 2</w:t>
      </w:r>
      <w:r w:rsidR="00BE611D" w:rsidRPr="007E4DA1">
        <w:t> </w:t>
      </w:r>
      <w:r w:rsidR="009D50D5" w:rsidRPr="007E4DA1">
        <w:t xml:space="preserve">razy </w:t>
      </w:r>
      <w:r w:rsidRPr="007E4DA1">
        <w:t xml:space="preserve">większa od ekspozycji u ludzi w warunkach klinicznych w przypadku </w:t>
      </w:r>
      <w:r w:rsidR="009D50D5" w:rsidRPr="007E4DA1">
        <w:t xml:space="preserve">dorosłych </w:t>
      </w:r>
      <w:r w:rsidRPr="007E4DA1">
        <w:t xml:space="preserve">pacjentów </w:t>
      </w:r>
      <w:r w:rsidR="009D50D5" w:rsidRPr="007E4DA1">
        <w:t xml:space="preserve">lub dzieci i młodzieży </w:t>
      </w:r>
      <w:r w:rsidRPr="007E4DA1">
        <w:t xml:space="preserve">z pierwotną małopłytkowością immunologiczną otrzymujących dawkę 75 mg/dobę, a także 2 razy większa niż ekspozycja u ludzi w warunkach klinicznych w przypadku pacjentów zakażonych wirusem WZW C otrzymujących dawkę 100 mg/dobę na podstawie AUC). Nie stwierdzono działania mutagennego ani klastogennego eltrombopagu w bakteryjnym teście mutacji ani w dwóch testach </w:t>
      </w:r>
      <w:r w:rsidRPr="007E4DA1">
        <w:rPr>
          <w:i/>
        </w:rPr>
        <w:t>in vivo</w:t>
      </w:r>
      <w:r w:rsidRPr="007E4DA1">
        <w:t xml:space="preserve"> u szczurów (test mikrojądrowy i test niezaplanowanej syntezy </w:t>
      </w:r>
      <w:smartTag w:uri="urn:schemas-microsoft-com:office:smarttags" w:element="stockticker">
        <w:r w:rsidRPr="007E4DA1">
          <w:t>DNA</w:t>
        </w:r>
      </w:smartTag>
      <w:r w:rsidRPr="007E4DA1">
        <w:t xml:space="preserve">, 10-krotna </w:t>
      </w:r>
      <w:r w:rsidR="0044065A" w:rsidRPr="007E4DA1">
        <w:t xml:space="preserve">lub 8-krotna </w:t>
      </w:r>
      <w:r w:rsidRPr="007E4DA1">
        <w:t xml:space="preserve">ekspozycja u ludzi w warunkach klinicznych w przypadku </w:t>
      </w:r>
      <w:r w:rsidR="0044065A" w:rsidRPr="007E4DA1">
        <w:t xml:space="preserve">dorosłych </w:t>
      </w:r>
      <w:r w:rsidRPr="007E4DA1">
        <w:t xml:space="preserve">pacjentów </w:t>
      </w:r>
      <w:r w:rsidR="0044065A" w:rsidRPr="007E4DA1">
        <w:t xml:space="preserve">lub dzieci i młodzieży </w:t>
      </w:r>
      <w:r w:rsidRPr="007E4DA1">
        <w:t>z pierwotną małopłytkowością immunologiczną otrzymujących dawkę 75 mg/dobę, a także 7-krotna ekspozycja u ludzi w warunkach klinicznych w przypadku pacjentów zakażonych wirusem WZW C otrzymujących dawkę 100 mg/dobę na podstawie C</w:t>
      </w:r>
      <w:r w:rsidRPr="007E4DA1">
        <w:rPr>
          <w:szCs w:val="24"/>
          <w:vertAlign w:val="subscript"/>
        </w:rPr>
        <w:t>max</w:t>
      </w:r>
      <w:r w:rsidRPr="007E4DA1">
        <w:t xml:space="preserve">). Wynik testu </w:t>
      </w:r>
      <w:r w:rsidRPr="007E4DA1">
        <w:rPr>
          <w:i/>
        </w:rPr>
        <w:t>in vitro</w:t>
      </w:r>
      <w:r w:rsidRPr="007E4DA1">
        <w:t xml:space="preserve"> na komórkach chłoniaka myszy dla eltrombopagu był śladowo dodatni (</w:t>
      </w:r>
      <w:r w:rsidRPr="007E4DA1">
        <w:rPr>
          <w:rFonts w:cs="Arial"/>
          <w:color w:val="000000"/>
        </w:rPr>
        <w:t>&lt;3-krotne zwiększenie częstości mutacji)</w:t>
      </w:r>
      <w:r w:rsidRPr="007E4DA1">
        <w:t xml:space="preserve">. Powyższe wyniki badań </w:t>
      </w:r>
      <w:r w:rsidRPr="007E4DA1">
        <w:rPr>
          <w:i/>
        </w:rPr>
        <w:t>in vitro</w:t>
      </w:r>
      <w:r w:rsidRPr="007E4DA1">
        <w:t xml:space="preserve"> i </w:t>
      </w:r>
      <w:r w:rsidRPr="007E4DA1">
        <w:rPr>
          <w:i/>
        </w:rPr>
        <w:t>in vivo</w:t>
      </w:r>
      <w:r w:rsidRPr="007E4DA1">
        <w:t xml:space="preserve"> wskazują, że eltrombopag nie stanowi zagrożenia genotoksycznego dla człowieka.</w:t>
      </w:r>
    </w:p>
    <w:p w14:paraId="4721DC63" w14:textId="77777777" w:rsidR="001922DF" w:rsidRPr="007E4DA1" w:rsidRDefault="001922DF" w:rsidP="001A6584">
      <w:pPr>
        <w:tabs>
          <w:tab w:val="left" w:pos="142"/>
        </w:tabs>
        <w:ind w:left="0" w:firstLine="0"/>
        <w:rPr>
          <w:szCs w:val="22"/>
        </w:rPr>
      </w:pPr>
    </w:p>
    <w:p w14:paraId="05933DBF" w14:textId="77777777" w:rsidR="00041A08" w:rsidRPr="00041A08" w:rsidRDefault="00706F4F" w:rsidP="001A6584">
      <w:pPr>
        <w:keepNext/>
        <w:tabs>
          <w:tab w:val="left" w:pos="142"/>
        </w:tabs>
        <w:ind w:left="0" w:firstLine="0"/>
        <w:rPr>
          <w:szCs w:val="22"/>
        </w:rPr>
      </w:pPr>
      <w:r w:rsidRPr="007E4DA1">
        <w:rPr>
          <w:szCs w:val="22"/>
          <w:u w:val="single"/>
        </w:rPr>
        <w:t>Toksyczny wpływ na reprodukcję</w:t>
      </w:r>
    </w:p>
    <w:p w14:paraId="0F5B06CF" w14:textId="61EE1472" w:rsidR="00706F4F" w:rsidRPr="007E4DA1" w:rsidRDefault="00706F4F" w:rsidP="001A6584">
      <w:pPr>
        <w:keepNext/>
        <w:tabs>
          <w:tab w:val="left" w:pos="142"/>
        </w:tabs>
        <w:ind w:left="0" w:firstLine="0"/>
        <w:rPr>
          <w:szCs w:val="22"/>
        </w:rPr>
      </w:pPr>
    </w:p>
    <w:p w14:paraId="3220F8CF" w14:textId="77777777" w:rsidR="00A350DA" w:rsidRPr="007E4DA1" w:rsidRDefault="00A350DA" w:rsidP="001A6584">
      <w:pPr>
        <w:tabs>
          <w:tab w:val="left" w:pos="142"/>
        </w:tabs>
        <w:ind w:left="0" w:firstLine="0"/>
      </w:pPr>
      <w:r w:rsidRPr="007E4DA1">
        <w:t>Eltrombopag nie wpływał na płodność samic, wczesny rozwój embrionalny ani rozwój embrionalno-płodowy u szczurów w dawkach do 20 mg/kg mc./dobę (2</w:t>
      </w:r>
      <w:r w:rsidR="00BE611D" w:rsidRPr="007E4DA1">
        <w:t> </w:t>
      </w:r>
      <w:r w:rsidRPr="007E4DA1">
        <w:t>razy ekspozycja u ludzi w warunkach klinicznych w przypadku</w:t>
      </w:r>
      <w:r w:rsidR="0044065A" w:rsidRPr="007E4DA1">
        <w:t xml:space="preserve"> dorosłych </w:t>
      </w:r>
      <w:r w:rsidRPr="007E4DA1">
        <w:t xml:space="preserve">pacjentów </w:t>
      </w:r>
      <w:r w:rsidR="0044065A" w:rsidRPr="007E4DA1">
        <w:t>lub młodzieży (w wieku 12</w:t>
      </w:r>
      <w:r w:rsidR="00F865DC" w:rsidRPr="007E4DA1">
        <w:noBreakHyphen/>
      </w:r>
      <w:r w:rsidR="0044065A" w:rsidRPr="007E4DA1">
        <w:t xml:space="preserve">17 lat) </w:t>
      </w:r>
      <w:r w:rsidRPr="007E4DA1">
        <w:t>z pierwotną małopłytkowością immunologiczną otrzymujących dawkę 75 mg/dobę, a także równoważna ekspozycja u ludzi w warunkach klinicznych w przypadku pacjentów zakażonych wirusem WZW C otrzymujących dawkę 100 mg/dobę na podstawie AUC). Nie wykazano również wpływu na rozwój embrionalno-płodowy u królików w dawkach do 150 mg/kg mc./dobę, w największej testowanej dawce (</w:t>
      </w:r>
      <w:r w:rsidR="00BE611D" w:rsidRPr="007E4DA1">
        <w:t xml:space="preserve">0,3 do </w:t>
      </w:r>
      <w:r w:rsidRPr="007E4DA1">
        <w:t>0,5</w:t>
      </w:r>
      <w:r w:rsidR="00BE611D" w:rsidRPr="007E4DA1">
        <w:t> </w:t>
      </w:r>
      <w:r w:rsidRPr="007E4DA1">
        <w:t>x ekspozycja u ludzi w warunkach klinicznych w przypadku pacjentów z pierwotną małopłytkowością immunologiczną otrzymujących dawkę 75 mg/dobę, a także w przypadku pacjentów zakażonych wirusem WZW C otrzymujących dawkę 100 mg/dobę, na podstawie AUC). Jednakże podczas stosowania eltrombopagu u szczurów w dawce toksycznej dla matki 60 mg/kg mc./dobę (6</w:t>
      </w:r>
      <w:r w:rsidR="008E31D4" w:rsidRPr="007E4DA1">
        <w:t> </w:t>
      </w:r>
      <w:r w:rsidRPr="007E4DA1">
        <w:t>x ekspozycja u ludzi w warunkach klinicznych w przypadku pacjentów z pierwotną małopłytkowością immunologiczną otrzymujących dawkę 75 mg/dobę, a także 3 x ekspozycja u ludzi w warunkach klinicznych w przypadku pacjentów zakażonych wirusem WZW C otrzymujących dawkę 100 mg/dobę na podstawie AUC), stwierdzono działanie letalne na embriony (zwiększona liczba poronień przed- i poimplantacyjnych), zmniejszoną masą ciała płodów i zmniejszoną masą macicy w ciąży w badaniu płodności samic oraz niewielką częstość występowania żeber szyjnych i zmniejszoną masą ciała płodu w badaniu rozwoju embrionalno-płodowego. Eltrombopag należy stosować w okresie ciąży tylko wtedy, gdy spodziewane korzyści przewyższają potencjalne ryzyko dla płodu (patrz punkt 4.6). Eltrombopag nie wpływał na płodność u samców szczura w dawce do 40 mg/kg mc./dobę, która była największą przebadaną dawką (3</w:t>
      </w:r>
      <w:r w:rsidR="008E31D4" w:rsidRPr="007E4DA1">
        <w:t> </w:t>
      </w:r>
      <w:r w:rsidRPr="007E4DA1">
        <w:t>x ekspozycja u ludzi w warunkach klinicznych w przypadku pacjentów z pierwotną małopłytkowością immunologiczną otrzymujących dawkę 75 mg/dobę, a także 2 x ekspozycja u ludzi w warunkach klinicznych w przypadku pacjentów zakażonych wirusem WZW C otrzymujących dawkę 100 mg/dobę na podstawie AUC). W badaniu dotyczącym przed- i pourodzeniowego rozwoju u szczurów nie wykazano działań niepożądanych na ciążę, poród i laktację u samic szczurów F</w:t>
      </w:r>
      <w:r w:rsidRPr="007E4DA1">
        <w:rPr>
          <w:vertAlign w:val="subscript"/>
        </w:rPr>
        <w:t>0</w:t>
      </w:r>
      <w:r w:rsidRPr="007E4DA1">
        <w:t> podczas stosowania dawek nietoksycznych dla matek (10 i 20 mg/kg mc./dobę) oraz nie wykazano wpływu na wzrost, rozwój, funkcję neurobehawioralną i reprodukcyjną potomstwa (F</w:t>
      </w:r>
      <w:r w:rsidRPr="007E4DA1">
        <w:rPr>
          <w:vertAlign w:val="subscript"/>
        </w:rPr>
        <w:t>1</w:t>
      </w:r>
      <w:r w:rsidRPr="007E4DA1">
        <w:t>). Eltrombopag wykrywany był w osoczu wszystkich młodych szczurów F</w:t>
      </w:r>
      <w:r w:rsidRPr="007E4DA1">
        <w:rPr>
          <w:vertAlign w:val="subscript"/>
        </w:rPr>
        <w:t>1</w:t>
      </w:r>
      <w:r w:rsidRPr="007E4DA1">
        <w:t>, przez cały 22-godzinny okres pobierania próbek po podaniu produktu leczniczego samicom F</w:t>
      </w:r>
      <w:r w:rsidRPr="007E4DA1">
        <w:rPr>
          <w:vertAlign w:val="subscript"/>
        </w:rPr>
        <w:t>0</w:t>
      </w:r>
      <w:r w:rsidRPr="007E4DA1">
        <w:t>, co wskazuje, że ekspozycja młodych na eltrombopag nastąpiła za pośrednictwem mleka matki.</w:t>
      </w:r>
    </w:p>
    <w:p w14:paraId="35F5ED39" w14:textId="77777777" w:rsidR="001922DF" w:rsidRPr="007E4DA1" w:rsidRDefault="001922DF" w:rsidP="001A6584">
      <w:pPr>
        <w:tabs>
          <w:tab w:val="left" w:pos="142"/>
        </w:tabs>
        <w:ind w:left="0" w:firstLine="0"/>
        <w:rPr>
          <w:szCs w:val="22"/>
        </w:rPr>
      </w:pPr>
    </w:p>
    <w:p w14:paraId="369A7D3F" w14:textId="77777777" w:rsidR="006C485B" w:rsidRPr="007E4DA1" w:rsidRDefault="006C485B" w:rsidP="001A6584">
      <w:pPr>
        <w:keepNext/>
        <w:tabs>
          <w:tab w:val="left" w:pos="142"/>
        </w:tabs>
        <w:ind w:left="0" w:firstLine="0"/>
        <w:rPr>
          <w:szCs w:val="22"/>
        </w:rPr>
      </w:pPr>
      <w:r w:rsidRPr="007E4DA1">
        <w:rPr>
          <w:szCs w:val="22"/>
          <w:u w:val="single"/>
        </w:rPr>
        <w:t>Fototoksyczność</w:t>
      </w:r>
    </w:p>
    <w:p w14:paraId="5FC3B60C" w14:textId="77777777" w:rsidR="006C485B" w:rsidRPr="007E4DA1" w:rsidRDefault="006C485B" w:rsidP="001A6584">
      <w:pPr>
        <w:keepNext/>
        <w:tabs>
          <w:tab w:val="left" w:pos="142"/>
        </w:tabs>
        <w:ind w:left="0" w:firstLine="0"/>
        <w:rPr>
          <w:szCs w:val="22"/>
        </w:rPr>
      </w:pPr>
    </w:p>
    <w:p w14:paraId="722BD43B" w14:textId="77777777" w:rsidR="00A350DA" w:rsidRPr="007E4DA1" w:rsidRDefault="00A350DA" w:rsidP="001A6584">
      <w:pPr>
        <w:tabs>
          <w:tab w:val="left" w:pos="142"/>
        </w:tabs>
        <w:ind w:left="0" w:firstLine="0"/>
        <w:rPr>
          <w:lang w:eastAsia="en-GB"/>
        </w:rPr>
      </w:pPr>
      <w:r w:rsidRPr="007E4DA1">
        <w:rPr>
          <w:lang w:eastAsia="en-GB"/>
        </w:rPr>
        <w:t xml:space="preserve">Badania </w:t>
      </w:r>
      <w:r w:rsidRPr="007E4DA1">
        <w:rPr>
          <w:i/>
          <w:lang w:eastAsia="en-GB"/>
        </w:rPr>
        <w:t>in vitro</w:t>
      </w:r>
      <w:r w:rsidRPr="007E4DA1">
        <w:rPr>
          <w:lang w:eastAsia="en-GB"/>
        </w:rPr>
        <w:t xml:space="preserve"> dotyczące eltrombopagu wskazują na potencjalne ryzyko fototoksyczności; jednak u szczurów nie stwierdzono fototoksyczności skórnej (10-krotność </w:t>
      </w:r>
      <w:r w:rsidR="0044065A" w:rsidRPr="007E4DA1">
        <w:rPr>
          <w:lang w:eastAsia="en-GB"/>
        </w:rPr>
        <w:t xml:space="preserve">lub 7-krotność </w:t>
      </w:r>
      <w:r w:rsidRPr="007E4DA1">
        <w:rPr>
          <w:lang w:eastAsia="en-GB"/>
        </w:rPr>
        <w:t>ekspozycji u ludzi w warunkach klinicznych</w:t>
      </w:r>
      <w:r w:rsidRPr="007E4DA1">
        <w:t xml:space="preserve"> w przypadku </w:t>
      </w:r>
      <w:r w:rsidR="0044065A" w:rsidRPr="007E4DA1">
        <w:t xml:space="preserve">dorosłych </w:t>
      </w:r>
      <w:r w:rsidRPr="007E4DA1">
        <w:t xml:space="preserve">pacjentów </w:t>
      </w:r>
      <w:r w:rsidR="0044065A" w:rsidRPr="007E4DA1">
        <w:t xml:space="preserve">lub dzieci i młodzieży </w:t>
      </w:r>
      <w:r w:rsidRPr="007E4DA1">
        <w:t>z pierwotną małopłytkowością immunologiczną otrzymujących dawkę 75 mg/dobę, a także 5-krotność ekspozycji u ludzi w warunkach klinicznych w przypadku pacjentów zakażonych wirusem WZW C otrzymujących dawkę 100 mg/dobę</w:t>
      </w:r>
      <w:r w:rsidRPr="007E4DA1">
        <w:rPr>
          <w:lang w:eastAsia="en-GB"/>
        </w:rPr>
        <w:t>, na podstawie AUC) ani fototoksyczności ocznej (</w:t>
      </w:r>
      <w:r w:rsidRPr="007E4DA1">
        <w:rPr>
          <w:lang w:eastAsia="en-GB"/>
        </w:rPr>
        <w:sym w:font="Symbol" w:char="F0B3"/>
      </w:r>
      <w:r w:rsidR="0044065A" w:rsidRPr="007E4DA1">
        <w:rPr>
          <w:lang w:eastAsia="en-GB"/>
        </w:rPr>
        <w:t>4</w:t>
      </w:r>
      <w:r w:rsidRPr="007E4DA1">
        <w:rPr>
          <w:lang w:eastAsia="en-GB"/>
        </w:rPr>
        <w:t>-krotność ekspozycji u ludzi w warunkach klinicznych</w:t>
      </w:r>
      <w:r w:rsidRPr="007E4DA1">
        <w:t xml:space="preserve"> w przypadku </w:t>
      </w:r>
      <w:r w:rsidR="0044065A" w:rsidRPr="007E4DA1">
        <w:t xml:space="preserve">dorosłych </w:t>
      </w:r>
      <w:r w:rsidRPr="007E4DA1">
        <w:t xml:space="preserve">pacjentów </w:t>
      </w:r>
      <w:r w:rsidR="0044065A" w:rsidRPr="007E4DA1">
        <w:t xml:space="preserve">lub dzieci i młodzieży </w:t>
      </w:r>
      <w:r w:rsidRPr="007E4DA1">
        <w:t>z pierwotną małopłytkowością immunologiczną otrzymujących dawkę 75 mg/dobę, a także 3-krotność ekspozycji u ludzi w warunkach klinicznych w przypadku pacjentów zakażonych wirusem WZW C otrzymujących dawkę 100 mg/dobę</w:t>
      </w:r>
      <w:r w:rsidRPr="007E4DA1">
        <w:rPr>
          <w:lang w:eastAsia="en-GB"/>
        </w:rPr>
        <w:t>, na podstawie AUC). Ponadto w klinicznym badaniu farmakologicznym obejmującym 36 osób nie wykazano zwiększonej wrażliwości na światło podczas stosowania eltrombopagu w dawce 75 mg. Oceniano to za pomocą opóźnionego wskaźnika fototoksycznego.</w:t>
      </w:r>
      <w:r w:rsidRPr="007E4DA1">
        <w:rPr>
          <w:szCs w:val="22"/>
          <w:lang w:eastAsia="en-GB"/>
        </w:rPr>
        <w:t xml:space="preserve"> Jednakże, p</w:t>
      </w:r>
      <w:r w:rsidRPr="007E4DA1">
        <w:rPr>
          <w:lang w:eastAsia="en-GB"/>
        </w:rPr>
        <w:t xml:space="preserve">onieważ nie jest możliwe przeprowadzenie specyficznego badania przedklinicznego, </w:t>
      </w:r>
      <w:r w:rsidRPr="007E4DA1">
        <w:rPr>
          <w:szCs w:val="22"/>
          <w:lang w:eastAsia="en-GB"/>
        </w:rPr>
        <w:t>nie można wykluczyć ryzyka reakcji fotoalergicznej</w:t>
      </w:r>
      <w:r w:rsidRPr="007E4DA1">
        <w:rPr>
          <w:lang w:eastAsia="en-GB"/>
        </w:rPr>
        <w:t>.</w:t>
      </w:r>
    </w:p>
    <w:p w14:paraId="1679CE87" w14:textId="77777777" w:rsidR="001922DF" w:rsidRPr="007E4DA1" w:rsidRDefault="001922DF" w:rsidP="001A6584">
      <w:pPr>
        <w:tabs>
          <w:tab w:val="left" w:pos="142"/>
        </w:tabs>
        <w:ind w:left="0" w:firstLine="0"/>
        <w:rPr>
          <w:szCs w:val="22"/>
        </w:rPr>
      </w:pPr>
    </w:p>
    <w:p w14:paraId="59F4C484" w14:textId="77777777" w:rsidR="006C485B" w:rsidRPr="007E4DA1" w:rsidRDefault="006C485B" w:rsidP="001A6584">
      <w:pPr>
        <w:keepNext/>
        <w:tabs>
          <w:tab w:val="left" w:pos="142"/>
        </w:tabs>
        <w:ind w:left="0" w:firstLine="0"/>
        <w:rPr>
          <w:szCs w:val="22"/>
        </w:rPr>
      </w:pPr>
      <w:r w:rsidRPr="007E4DA1">
        <w:rPr>
          <w:szCs w:val="22"/>
          <w:u w:val="single"/>
        </w:rPr>
        <w:t>Badania na młodych zwierzętach</w:t>
      </w:r>
    </w:p>
    <w:p w14:paraId="1E23F3FE" w14:textId="77777777" w:rsidR="006C485B" w:rsidRPr="007E4DA1" w:rsidRDefault="006C485B" w:rsidP="001A6584">
      <w:pPr>
        <w:keepNext/>
        <w:tabs>
          <w:tab w:val="left" w:pos="142"/>
        </w:tabs>
        <w:ind w:left="0" w:firstLine="0"/>
        <w:rPr>
          <w:szCs w:val="22"/>
        </w:rPr>
      </w:pPr>
    </w:p>
    <w:p w14:paraId="64540A4C" w14:textId="77777777" w:rsidR="0044065A" w:rsidRPr="007E4DA1" w:rsidRDefault="006C485B" w:rsidP="001A6584">
      <w:pPr>
        <w:tabs>
          <w:tab w:val="left" w:pos="142"/>
        </w:tabs>
        <w:ind w:left="0" w:firstLine="0"/>
        <w:rPr>
          <w:noProof/>
          <w:szCs w:val="22"/>
        </w:rPr>
      </w:pPr>
      <w:r w:rsidRPr="007E4DA1">
        <w:rPr>
          <w:szCs w:val="22"/>
        </w:rPr>
        <w:t>Po podaniu dawek nietolerowanych u szczurów nadal karmionych mlekiem matki obserwowano zmętnienie w gałce ocznej. Po podaniu dawek tolerowanych nie obserwowano zmętnienia w gałce ocznej (patrz wyżej podpunkt „Badania farmakologiczne dotyczące bezpieczeństwa i toksyczność po podaniu dawek wielokrotnych”). Należy wnioskować, że biorąc pod uwagę marginesy ekspozycji w oparciu o AUC nie można wykluczyć ryzyka wystąpienia zaćmy związanej ze stosowaniem eltrombopagu u dzieci i młodzieży.</w:t>
      </w:r>
      <w:r w:rsidRPr="007E4DA1">
        <w:rPr>
          <w:noProof/>
          <w:szCs w:val="22"/>
        </w:rPr>
        <w:t xml:space="preserve"> </w:t>
      </w:r>
      <w:r w:rsidR="0044065A" w:rsidRPr="007E4DA1">
        <w:rPr>
          <w:noProof/>
          <w:szCs w:val="22"/>
        </w:rPr>
        <w:t>Wyniki uzyskane w badaniach na młodych szczura</w:t>
      </w:r>
      <w:r w:rsidR="00332F7E" w:rsidRPr="007E4DA1">
        <w:rPr>
          <w:noProof/>
          <w:szCs w:val="22"/>
        </w:rPr>
        <w:t>ch</w:t>
      </w:r>
      <w:r w:rsidR="0044065A" w:rsidRPr="007E4DA1">
        <w:rPr>
          <w:noProof/>
          <w:szCs w:val="22"/>
        </w:rPr>
        <w:t xml:space="preserve"> nie </w:t>
      </w:r>
      <w:r w:rsidR="00332F7E" w:rsidRPr="007E4DA1">
        <w:rPr>
          <w:noProof/>
          <w:szCs w:val="22"/>
        </w:rPr>
        <w:t>wskazują na</w:t>
      </w:r>
      <w:r w:rsidR="0044065A" w:rsidRPr="007E4DA1">
        <w:rPr>
          <w:noProof/>
          <w:szCs w:val="22"/>
        </w:rPr>
        <w:t xml:space="preserve"> występowani</w:t>
      </w:r>
      <w:r w:rsidR="00332F7E" w:rsidRPr="007E4DA1">
        <w:rPr>
          <w:noProof/>
          <w:szCs w:val="22"/>
        </w:rPr>
        <w:t>e</w:t>
      </w:r>
      <w:r w:rsidR="0044065A" w:rsidRPr="007E4DA1">
        <w:rPr>
          <w:noProof/>
          <w:szCs w:val="22"/>
        </w:rPr>
        <w:t xml:space="preserve"> większego ryzyka toksycznego wpływu leczenia eltrombopagiem u dzieci i młodzieży w porównaniu z dorosłymi pacjentami z</w:t>
      </w:r>
      <w:r w:rsidR="00C93C3C" w:rsidRPr="007E4DA1">
        <w:rPr>
          <w:noProof/>
          <w:szCs w:val="22"/>
        </w:rPr>
        <w:t xml:space="preserve"> pierwotną</w:t>
      </w:r>
      <w:r w:rsidR="0044065A" w:rsidRPr="007E4DA1">
        <w:rPr>
          <w:noProof/>
          <w:szCs w:val="22"/>
        </w:rPr>
        <w:t xml:space="preserve"> małopłytkowością immunologiczną.</w:t>
      </w:r>
    </w:p>
    <w:p w14:paraId="071BFA34" w14:textId="77777777" w:rsidR="0044065A" w:rsidRPr="007E4DA1" w:rsidRDefault="0044065A" w:rsidP="001A6584">
      <w:pPr>
        <w:tabs>
          <w:tab w:val="left" w:pos="142"/>
        </w:tabs>
        <w:ind w:left="0" w:firstLine="0"/>
        <w:rPr>
          <w:szCs w:val="22"/>
        </w:rPr>
      </w:pPr>
    </w:p>
    <w:p w14:paraId="575A4247" w14:textId="77777777" w:rsidR="00A350DA" w:rsidRPr="007E4DA1" w:rsidRDefault="00A350DA" w:rsidP="001A6584">
      <w:pPr>
        <w:tabs>
          <w:tab w:val="left" w:pos="142"/>
        </w:tabs>
        <w:ind w:left="0" w:firstLine="0"/>
        <w:rPr>
          <w:szCs w:val="22"/>
        </w:rPr>
      </w:pPr>
    </w:p>
    <w:p w14:paraId="18C3E679" w14:textId="77777777" w:rsidR="00041A08" w:rsidRPr="00041A08" w:rsidRDefault="00A350DA" w:rsidP="001A6584">
      <w:pPr>
        <w:keepNext/>
      </w:pPr>
      <w:r w:rsidRPr="007E4DA1">
        <w:rPr>
          <w:b/>
        </w:rPr>
        <w:t>6.</w:t>
      </w:r>
      <w:r w:rsidRPr="007E4DA1">
        <w:rPr>
          <w:b/>
        </w:rPr>
        <w:tab/>
        <w:t>DANE FARMACEUTYCZNE</w:t>
      </w:r>
    </w:p>
    <w:p w14:paraId="697F493B" w14:textId="36348AF7" w:rsidR="00A350DA" w:rsidRPr="007E4DA1" w:rsidRDefault="00A350DA" w:rsidP="001A6584">
      <w:pPr>
        <w:keepNext/>
        <w:tabs>
          <w:tab w:val="left" w:pos="142"/>
        </w:tabs>
        <w:ind w:left="0" w:firstLine="0"/>
      </w:pPr>
    </w:p>
    <w:p w14:paraId="35306F23" w14:textId="77777777" w:rsidR="00041A08" w:rsidRPr="00041A08" w:rsidRDefault="00A350DA" w:rsidP="001A6584">
      <w:pPr>
        <w:keepNext/>
      </w:pPr>
      <w:r w:rsidRPr="007E4DA1">
        <w:rPr>
          <w:b/>
        </w:rPr>
        <w:t>6.1</w:t>
      </w:r>
      <w:r w:rsidRPr="007E4DA1">
        <w:rPr>
          <w:b/>
        </w:rPr>
        <w:tab/>
        <w:t>Wykaz substancji pomocniczych</w:t>
      </w:r>
    </w:p>
    <w:p w14:paraId="74079411" w14:textId="2E6D6109" w:rsidR="00A350DA" w:rsidRPr="007E4DA1" w:rsidRDefault="00A350DA" w:rsidP="001A6584">
      <w:pPr>
        <w:keepNext/>
        <w:tabs>
          <w:tab w:val="left" w:pos="142"/>
        </w:tabs>
        <w:ind w:left="0" w:firstLine="0"/>
        <w:rPr>
          <w:szCs w:val="22"/>
        </w:rPr>
      </w:pPr>
    </w:p>
    <w:p w14:paraId="61C8419E" w14:textId="77777777" w:rsidR="00A350DA" w:rsidRPr="007E4DA1" w:rsidRDefault="00A350DA" w:rsidP="001A6584">
      <w:pPr>
        <w:keepNext/>
        <w:tabs>
          <w:tab w:val="left" w:pos="142"/>
        </w:tabs>
        <w:ind w:left="0" w:firstLine="0"/>
        <w:rPr>
          <w:szCs w:val="22"/>
        </w:rPr>
      </w:pPr>
      <w:r w:rsidRPr="007E4DA1">
        <w:rPr>
          <w:szCs w:val="22"/>
        </w:rPr>
        <w:t>Mannitol (E</w:t>
      </w:r>
      <w:r w:rsidR="006A3CA7" w:rsidRPr="007E4DA1">
        <w:rPr>
          <w:szCs w:val="22"/>
        </w:rPr>
        <w:t xml:space="preserve"> </w:t>
      </w:r>
      <w:r w:rsidRPr="007E4DA1">
        <w:rPr>
          <w:szCs w:val="22"/>
        </w:rPr>
        <w:t>421)</w:t>
      </w:r>
    </w:p>
    <w:p w14:paraId="5A8A2489" w14:textId="77777777" w:rsidR="00E6012C" w:rsidRPr="007E4DA1" w:rsidRDefault="00E6012C" w:rsidP="001A6584">
      <w:pPr>
        <w:keepNext/>
        <w:tabs>
          <w:tab w:val="left" w:pos="142"/>
        </w:tabs>
        <w:ind w:left="0" w:firstLine="0"/>
        <w:rPr>
          <w:szCs w:val="22"/>
        </w:rPr>
      </w:pPr>
      <w:r w:rsidRPr="007E4DA1">
        <w:rPr>
          <w:szCs w:val="22"/>
        </w:rPr>
        <w:t>Sukraloza</w:t>
      </w:r>
    </w:p>
    <w:p w14:paraId="00A88952" w14:textId="77777777" w:rsidR="00A350DA" w:rsidRPr="007E4DA1" w:rsidRDefault="00E6012C" w:rsidP="001A6584">
      <w:pPr>
        <w:tabs>
          <w:tab w:val="left" w:pos="142"/>
        </w:tabs>
        <w:ind w:left="0" w:firstLine="0"/>
        <w:rPr>
          <w:iCs/>
          <w:szCs w:val="22"/>
        </w:rPr>
      </w:pPr>
      <w:r w:rsidRPr="007E4DA1">
        <w:rPr>
          <w:szCs w:val="22"/>
        </w:rPr>
        <w:t>Guma ksantan</w:t>
      </w:r>
    </w:p>
    <w:p w14:paraId="5CA8B154" w14:textId="77777777" w:rsidR="00E6012C" w:rsidRPr="007E4DA1" w:rsidRDefault="00E6012C" w:rsidP="001A6584">
      <w:pPr>
        <w:tabs>
          <w:tab w:val="left" w:pos="142"/>
        </w:tabs>
        <w:ind w:left="0" w:firstLine="0"/>
        <w:rPr>
          <w:iCs/>
          <w:szCs w:val="22"/>
        </w:rPr>
      </w:pPr>
    </w:p>
    <w:p w14:paraId="4EA7D99A" w14:textId="77777777" w:rsidR="00A350DA" w:rsidRPr="007E4DA1" w:rsidRDefault="00A350DA" w:rsidP="001A6584">
      <w:pPr>
        <w:keepNext/>
        <w:tabs>
          <w:tab w:val="left" w:pos="-5529"/>
        </w:tabs>
        <w:rPr>
          <w:szCs w:val="22"/>
        </w:rPr>
      </w:pPr>
      <w:r w:rsidRPr="007E4DA1">
        <w:rPr>
          <w:b/>
          <w:szCs w:val="22"/>
        </w:rPr>
        <w:t>6.2</w:t>
      </w:r>
      <w:r w:rsidRPr="007E4DA1">
        <w:rPr>
          <w:b/>
          <w:szCs w:val="22"/>
        </w:rPr>
        <w:tab/>
      </w:r>
      <w:r w:rsidRPr="007E4DA1">
        <w:rPr>
          <w:b/>
        </w:rPr>
        <w:t>Niezgodności farmaceutyczne</w:t>
      </w:r>
    </w:p>
    <w:p w14:paraId="1853D871" w14:textId="77777777" w:rsidR="00A350DA" w:rsidRPr="007E4DA1" w:rsidRDefault="00A350DA" w:rsidP="001A6584">
      <w:pPr>
        <w:keepNext/>
        <w:tabs>
          <w:tab w:val="left" w:pos="142"/>
        </w:tabs>
        <w:ind w:left="0" w:firstLine="0"/>
        <w:rPr>
          <w:szCs w:val="22"/>
        </w:rPr>
      </w:pPr>
    </w:p>
    <w:p w14:paraId="63A32550" w14:textId="77777777" w:rsidR="00A350DA" w:rsidRPr="007E4DA1" w:rsidRDefault="00A350DA" w:rsidP="001A6584">
      <w:pPr>
        <w:tabs>
          <w:tab w:val="left" w:pos="142"/>
        </w:tabs>
        <w:ind w:left="0" w:firstLine="0"/>
        <w:rPr>
          <w:szCs w:val="22"/>
        </w:rPr>
      </w:pPr>
      <w:r w:rsidRPr="007E4DA1">
        <w:rPr>
          <w:szCs w:val="22"/>
        </w:rPr>
        <w:t>Nie dotyczy.</w:t>
      </w:r>
    </w:p>
    <w:p w14:paraId="04DB6C19" w14:textId="77777777" w:rsidR="00A350DA" w:rsidRPr="007E4DA1" w:rsidRDefault="00A350DA" w:rsidP="001A6584">
      <w:pPr>
        <w:tabs>
          <w:tab w:val="left" w:pos="142"/>
        </w:tabs>
        <w:ind w:left="0" w:firstLine="0"/>
        <w:rPr>
          <w:szCs w:val="22"/>
        </w:rPr>
      </w:pPr>
    </w:p>
    <w:p w14:paraId="70CE9C1F" w14:textId="77777777" w:rsidR="00A350DA" w:rsidRPr="007E4DA1" w:rsidRDefault="00A350DA" w:rsidP="001A6584">
      <w:pPr>
        <w:keepNext/>
        <w:numPr>
          <w:ilvl w:val="1"/>
          <w:numId w:val="40"/>
        </w:numPr>
        <w:tabs>
          <w:tab w:val="left" w:pos="-8931"/>
        </w:tabs>
        <w:ind w:left="567" w:hanging="567"/>
        <w:rPr>
          <w:szCs w:val="22"/>
        </w:rPr>
      </w:pPr>
      <w:r w:rsidRPr="007E4DA1">
        <w:rPr>
          <w:b/>
          <w:szCs w:val="22"/>
        </w:rPr>
        <w:t>Okres ważności</w:t>
      </w:r>
    </w:p>
    <w:p w14:paraId="4148556F" w14:textId="77777777" w:rsidR="00A350DA" w:rsidRPr="007E4DA1" w:rsidRDefault="00A350DA" w:rsidP="001A6584">
      <w:pPr>
        <w:keepNext/>
        <w:tabs>
          <w:tab w:val="left" w:pos="142"/>
        </w:tabs>
        <w:ind w:left="0" w:firstLine="0"/>
        <w:rPr>
          <w:szCs w:val="22"/>
        </w:rPr>
      </w:pPr>
    </w:p>
    <w:p w14:paraId="0F026D0D" w14:textId="77777777" w:rsidR="00A350DA" w:rsidRPr="007E4DA1" w:rsidRDefault="00065B6E" w:rsidP="001A6584">
      <w:pPr>
        <w:tabs>
          <w:tab w:val="left" w:pos="142"/>
        </w:tabs>
        <w:rPr>
          <w:szCs w:val="22"/>
        </w:rPr>
      </w:pPr>
      <w:r w:rsidRPr="007E4DA1">
        <w:rPr>
          <w:szCs w:val="22"/>
        </w:rPr>
        <w:t>2</w:t>
      </w:r>
      <w:r w:rsidR="00A6158A" w:rsidRPr="007E4DA1">
        <w:rPr>
          <w:szCs w:val="22"/>
        </w:rPr>
        <w:t> </w:t>
      </w:r>
      <w:r w:rsidR="00A350DA" w:rsidRPr="007E4DA1">
        <w:rPr>
          <w:szCs w:val="22"/>
        </w:rPr>
        <w:t>lata</w:t>
      </w:r>
    </w:p>
    <w:p w14:paraId="6B1E4A83" w14:textId="77777777" w:rsidR="00A350DA" w:rsidRPr="007E4DA1" w:rsidRDefault="00A350DA" w:rsidP="001A6584">
      <w:pPr>
        <w:tabs>
          <w:tab w:val="left" w:pos="142"/>
        </w:tabs>
        <w:ind w:left="0" w:firstLine="0"/>
        <w:rPr>
          <w:szCs w:val="22"/>
        </w:rPr>
      </w:pPr>
    </w:p>
    <w:p w14:paraId="041D65AD" w14:textId="77777777" w:rsidR="00065B6E" w:rsidRPr="007E4DA1" w:rsidRDefault="00ED08C0" w:rsidP="001A6584">
      <w:pPr>
        <w:tabs>
          <w:tab w:val="left" w:pos="142"/>
        </w:tabs>
        <w:ind w:left="0" w:firstLine="0"/>
        <w:rPr>
          <w:szCs w:val="22"/>
        </w:rPr>
      </w:pPr>
      <w:r w:rsidRPr="007E4DA1">
        <w:t>Produkt leczniczy powinien być podany natychmiast po przygotowaniu, jednak można go przechowywać maksymalnie przez 30</w:t>
      </w:r>
      <w:r w:rsidR="002E41F4" w:rsidRPr="007E4DA1">
        <w:t> </w:t>
      </w:r>
      <w:r w:rsidRPr="007E4DA1">
        <w:t>minut.</w:t>
      </w:r>
    </w:p>
    <w:p w14:paraId="76D2487B" w14:textId="77777777" w:rsidR="00C76E2A" w:rsidRPr="007E4DA1" w:rsidRDefault="00C76E2A" w:rsidP="001A6584">
      <w:pPr>
        <w:tabs>
          <w:tab w:val="left" w:pos="142"/>
        </w:tabs>
        <w:ind w:left="0" w:firstLine="0"/>
        <w:rPr>
          <w:szCs w:val="22"/>
        </w:rPr>
      </w:pPr>
    </w:p>
    <w:p w14:paraId="7C337E15" w14:textId="77777777" w:rsidR="00A350DA" w:rsidRPr="007E4DA1" w:rsidRDefault="00A350DA" w:rsidP="001A6584">
      <w:pPr>
        <w:keepNext/>
        <w:tabs>
          <w:tab w:val="left" w:pos="-9498"/>
        </w:tabs>
        <w:rPr>
          <w:szCs w:val="22"/>
        </w:rPr>
      </w:pPr>
      <w:r w:rsidRPr="007E4DA1">
        <w:rPr>
          <w:b/>
        </w:rPr>
        <w:t>6.4</w:t>
      </w:r>
      <w:r w:rsidRPr="007E4DA1">
        <w:rPr>
          <w:b/>
        </w:rPr>
        <w:tab/>
        <w:t>Specjalne środki ostrożności podczas przechowywania</w:t>
      </w:r>
    </w:p>
    <w:p w14:paraId="5E78DEF1" w14:textId="77777777" w:rsidR="00A350DA" w:rsidRPr="007E4DA1" w:rsidRDefault="00A350DA" w:rsidP="001A6584">
      <w:pPr>
        <w:keepNext/>
        <w:tabs>
          <w:tab w:val="left" w:pos="142"/>
        </w:tabs>
        <w:ind w:left="0" w:firstLine="0"/>
        <w:rPr>
          <w:szCs w:val="22"/>
        </w:rPr>
      </w:pPr>
    </w:p>
    <w:p w14:paraId="5E0DB25E" w14:textId="77777777" w:rsidR="00A350DA" w:rsidRPr="007E4DA1" w:rsidRDefault="00A350DA" w:rsidP="001A6584">
      <w:pPr>
        <w:tabs>
          <w:tab w:val="left" w:pos="142"/>
        </w:tabs>
        <w:ind w:left="0" w:firstLine="0"/>
        <w:rPr>
          <w:szCs w:val="22"/>
        </w:rPr>
      </w:pPr>
      <w:r w:rsidRPr="007E4DA1">
        <w:rPr>
          <w:szCs w:val="22"/>
        </w:rPr>
        <w:t xml:space="preserve">Brak </w:t>
      </w:r>
      <w:r w:rsidR="00C76E2A" w:rsidRPr="007E4DA1">
        <w:rPr>
          <w:szCs w:val="22"/>
        </w:rPr>
        <w:t xml:space="preserve">specjalnych zaleceń </w:t>
      </w:r>
      <w:r w:rsidRPr="007E4DA1">
        <w:rPr>
          <w:szCs w:val="22"/>
        </w:rPr>
        <w:t>dotyczących przechowywania produktu leczniczego.</w:t>
      </w:r>
    </w:p>
    <w:p w14:paraId="4E80B2CA" w14:textId="77777777" w:rsidR="00BE1E41" w:rsidRPr="007E4DA1" w:rsidRDefault="00BE1E41" w:rsidP="001A6584">
      <w:pPr>
        <w:tabs>
          <w:tab w:val="left" w:pos="142"/>
        </w:tabs>
        <w:ind w:left="0" w:firstLine="0"/>
        <w:rPr>
          <w:szCs w:val="22"/>
        </w:rPr>
      </w:pPr>
    </w:p>
    <w:p w14:paraId="3A57C5C7" w14:textId="213D57A4" w:rsidR="00BE1E41" w:rsidRPr="007E4DA1" w:rsidRDefault="00BE1E41" w:rsidP="001A6584">
      <w:pPr>
        <w:tabs>
          <w:tab w:val="left" w:pos="142"/>
        </w:tabs>
        <w:ind w:left="0" w:firstLine="0"/>
        <w:rPr>
          <w:szCs w:val="22"/>
        </w:rPr>
      </w:pPr>
      <w:r w:rsidRPr="007E4DA1">
        <w:rPr>
          <w:szCs w:val="22"/>
        </w:rPr>
        <w:t xml:space="preserve">Warunki przechowywania </w:t>
      </w:r>
      <w:r w:rsidR="00615E5B" w:rsidRPr="007E4DA1">
        <w:rPr>
          <w:szCs w:val="22"/>
        </w:rPr>
        <w:t xml:space="preserve">produktu leczniczego </w:t>
      </w:r>
      <w:r w:rsidRPr="007E4DA1">
        <w:rPr>
          <w:szCs w:val="22"/>
        </w:rPr>
        <w:t>po rekonstytucji, patrz punkt 6.3.</w:t>
      </w:r>
    </w:p>
    <w:p w14:paraId="544B2754" w14:textId="77777777" w:rsidR="00A350DA" w:rsidRPr="007E4DA1" w:rsidRDefault="00A350DA" w:rsidP="001A6584">
      <w:pPr>
        <w:tabs>
          <w:tab w:val="left" w:pos="142"/>
        </w:tabs>
        <w:ind w:left="0" w:firstLine="0"/>
        <w:rPr>
          <w:szCs w:val="22"/>
        </w:rPr>
      </w:pPr>
    </w:p>
    <w:p w14:paraId="72F1DE47" w14:textId="77777777" w:rsidR="00041A08" w:rsidRPr="00041A08" w:rsidRDefault="00A350DA" w:rsidP="001A6584">
      <w:pPr>
        <w:keepNext/>
        <w:tabs>
          <w:tab w:val="left" w:pos="-5387"/>
        </w:tabs>
      </w:pPr>
      <w:r w:rsidRPr="007E4DA1">
        <w:rPr>
          <w:b/>
        </w:rPr>
        <w:t>6.5</w:t>
      </w:r>
      <w:r w:rsidRPr="007E4DA1">
        <w:rPr>
          <w:b/>
        </w:rPr>
        <w:tab/>
        <w:t>Rodzaj i zawartość opakowania</w:t>
      </w:r>
    </w:p>
    <w:p w14:paraId="7D5D4862" w14:textId="1E245587" w:rsidR="00A350DA" w:rsidRPr="007E4DA1" w:rsidRDefault="00A350DA" w:rsidP="001A6584">
      <w:pPr>
        <w:keepNext/>
        <w:tabs>
          <w:tab w:val="left" w:pos="142"/>
        </w:tabs>
        <w:ind w:left="0" w:firstLine="0"/>
        <w:rPr>
          <w:iCs/>
          <w:szCs w:val="22"/>
        </w:rPr>
      </w:pPr>
    </w:p>
    <w:p w14:paraId="7EAED241" w14:textId="77777777" w:rsidR="00A350DA" w:rsidRPr="007E4DA1" w:rsidRDefault="00033F29" w:rsidP="001A6584">
      <w:pPr>
        <w:tabs>
          <w:tab w:val="left" w:pos="142"/>
        </w:tabs>
        <w:ind w:left="0" w:firstLine="0"/>
        <w:rPr>
          <w:szCs w:val="22"/>
        </w:rPr>
      </w:pPr>
      <w:r w:rsidRPr="007E4DA1">
        <w:rPr>
          <w:szCs w:val="22"/>
        </w:rPr>
        <w:t xml:space="preserve">Saszetki </w:t>
      </w:r>
      <w:r w:rsidR="00E33FC9" w:rsidRPr="007E4DA1">
        <w:rPr>
          <w:szCs w:val="22"/>
        </w:rPr>
        <w:t xml:space="preserve">z folii </w:t>
      </w:r>
      <w:r w:rsidRPr="007E4DA1">
        <w:rPr>
          <w:szCs w:val="22"/>
        </w:rPr>
        <w:t>laminowan</w:t>
      </w:r>
      <w:r w:rsidR="00E33FC9" w:rsidRPr="007E4DA1">
        <w:rPr>
          <w:szCs w:val="22"/>
        </w:rPr>
        <w:t>ej</w:t>
      </w:r>
      <w:r w:rsidRPr="007E4DA1">
        <w:rPr>
          <w:szCs w:val="22"/>
        </w:rPr>
        <w:t xml:space="preserve"> </w:t>
      </w:r>
      <w:r w:rsidR="00E33FC9" w:rsidRPr="007E4DA1">
        <w:rPr>
          <w:szCs w:val="22"/>
        </w:rPr>
        <w:t>zamknięte poprzez zgrzewanie</w:t>
      </w:r>
      <w:r w:rsidRPr="007E4DA1">
        <w:rPr>
          <w:szCs w:val="22"/>
        </w:rPr>
        <w:t xml:space="preserve">. Laminat zawiera poliester (PET) / poliamid orientowany (OPA) / folię aluminiową </w:t>
      </w:r>
      <w:r w:rsidR="00E33FC9" w:rsidRPr="007E4DA1">
        <w:rPr>
          <w:szCs w:val="22"/>
        </w:rPr>
        <w:t xml:space="preserve">9 µm </w:t>
      </w:r>
      <w:r w:rsidRPr="007E4DA1">
        <w:rPr>
          <w:szCs w:val="22"/>
        </w:rPr>
        <w:t>(A</w:t>
      </w:r>
      <w:r w:rsidR="00650EE1" w:rsidRPr="007E4DA1">
        <w:rPr>
          <w:szCs w:val="22"/>
        </w:rPr>
        <w:t>l</w:t>
      </w:r>
      <w:r w:rsidRPr="007E4DA1">
        <w:rPr>
          <w:szCs w:val="22"/>
        </w:rPr>
        <w:t>) / warstwę zgrzewa</w:t>
      </w:r>
      <w:r w:rsidR="00E33FC9" w:rsidRPr="007E4DA1">
        <w:rPr>
          <w:szCs w:val="22"/>
        </w:rPr>
        <w:t>l</w:t>
      </w:r>
      <w:r w:rsidRPr="007E4DA1">
        <w:rPr>
          <w:szCs w:val="22"/>
        </w:rPr>
        <w:t xml:space="preserve">ną z polietylenu </w:t>
      </w:r>
      <w:r w:rsidR="00E33FC9" w:rsidRPr="007E4DA1">
        <w:rPr>
          <w:szCs w:val="22"/>
        </w:rPr>
        <w:t xml:space="preserve">o </w:t>
      </w:r>
      <w:r w:rsidRPr="007E4DA1">
        <w:rPr>
          <w:szCs w:val="22"/>
        </w:rPr>
        <w:t>małej gęstości (LDPE). Materiał kontakt</w:t>
      </w:r>
      <w:r w:rsidR="00E33FC9" w:rsidRPr="007E4DA1">
        <w:rPr>
          <w:szCs w:val="22"/>
        </w:rPr>
        <w:t>ujący się z</w:t>
      </w:r>
      <w:r w:rsidRPr="007E4DA1">
        <w:rPr>
          <w:szCs w:val="22"/>
        </w:rPr>
        <w:t xml:space="preserve"> produkt</w:t>
      </w:r>
      <w:r w:rsidR="00E33FC9" w:rsidRPr="007E4DA1">
        <w:rPr>
          <w:szCs w:val="22"/>
        </w:rPr>
        <w:t>em</w:t>
      </w:r>
      <w:r w:rsidRPr="007E4DA1">
        <w:rPr>
          <w:szCs w:val="22"/>
        </w:rPr>
        <w:t xml:space="preserve"> to warstwa zgrzewa</w:t>
      </w:r>
      <w:r w:rsidR="00E33FC9" w:rsidRPr="007E4DA1">
        <w:rPr>
          <w:szCs w:val="22"/>
        </w:rPr>
        <w:t>l</w:t>
      </w:r>
      <w:r w:rsidRPr="007E4DA1">
        <w:rPr>
          <w:szCs w:val="22"/>
        </w:rPr>
        <w:t>na wykonana z polietylenu. Saszetki są pakowane z zestawem zawierającym butelkę z HDPE 40</w:t>
      </w:r>
      <w:r w:rsidR="00650EE1" w:rsidRPr="007E4DA1">
        <w:rPr>
          <w:szCs w:val="22"/>
        </w:rPr>
        <w:t> </w:t>
      </w:r>
      <w:r w:rsidRPr="007E4DA1">
        <w:rPr>
          <w:szCs w:val="22"/>
        </w:rPr>
        <w:t xml:space="preserve">ml </w:t>
      </w:r>
      <w:r w:rsidR="00650EE1" w:rsidRPr="007E4DA1">
        <w:rPr>
          <w:szCs w:val="22"/>
        </w:rPr>
        <w:t xml:space="preserve">służącą do przygotowania zawiesiny </w:t>
      </w:r>
      <w:r w:rsidRPr="007E4DA1">
        <w:rPr>
          <w:szCs w:val="22"/>
        </w:rPr>
        <w:t xml:space="preserve">oraz </w:t>
      </w:r>
      <w:r w:rsidR="00B25033" w:rsidRPr="007E4DA1">
        <w:rPr>
          <w:szCs w:val="22"/>
        </w:rPr>
        <w:t>30</w:t>
      </w:r>
      <w:r w:rsidR="00FB2E78" w:rsidRPr="007E4DA1">
        <w:rPr>
          <w:szCs w:val="22"/>
        </w:rPr>
        <w:t> </w:t>
      </w:r>
      <w:r w:rsidRPr="007E4DA1">
        <w:rPr>
          <w:szCs w:val="22"/>
        </w:rPr>
        <w:t>strzykaw</w:t>
      </w:r>
      <w:r w:rsidR="00B25033" w:rsidRPr="007E4DA1">
        <w:rPr>
          <w:szCs w:val="22"/>
        </w:rPr>
        <w:t>ek</w:t>
      </w:r>
      <w:r w:rsidR="00560E04" w:rsidRPr="007E4DA1">
        <w:rPr>
          <w:szCs w:val="22"/>
        </w:rPr>
        <w:t xml:space="preserve"> jednorazowego użytku</w:t>
      </w:r>
      <w:r w:rsidRPr="007E4DA1">
        <w:rPr>
          <w:szCs w:val="22"/>
        </w:rPr>
        <w:t xml:space="preserve"> do podawania doustnego 20</w:t>
      </w:r>
      <w:r w:rsidR="00650EE1" w:rsidRPr="007E4DA1">
        <w:rPr>
          <w:szCs w:val="22"/>
        </w:rPr>
        <w:t> </w:t>
      </w:r>
      <w:r w:rsidRPr="007E4DA1">
        <w:rPr>
          <w:szCs w:val="22"/>
        </w:rPr>
        <w:t>ml (polipropylen/g</w:t>
      </w:r>
      <w:r w:rsidR="00650EE1" w:rsidRPr="007E4DA1">
        <w:rPr>
          <w:szCs w:val="22"/>
        </w:rPr>
        <w:t>uma silikon</w:t>
      </w:r>
      <w:r w:rsidR="006837F2" w:rsidRPr="007E4DA1">
        <w:rPr>
          <w:szCs w:val="22"/>
        </w:rPr>
        <w:t>o</w:t>
      </w:r>
      <w:r w:rsidR="00650EE1" w:rsidRPr="007E4DA1">
        <w:rPr>
          <w:szCs w:val="22"/>
        </w:rPr>
        <w:t>wa) z podziałką co 1 </w:t>
      </w:r>
      <w:r w:rsidRPr="007E4DA1">
        <w:rPr>
          <w:szCs w:val="22"/>
        </w:rPr>
        <w:t>ml. Ponadto, w zestawie znajduje się nakrętka (octan etylenowinyl</w:t>
      </w:r>
      <w:r w:rsidR="006A3CA7" w:rsidRPr="007E4DA1">
        <w:rPr>
          <w:szCs w:val="22"/>
        </w:rPr>
        <w:t>u</w:t>
      </w:r>
      <w:r w:rsidRPr="007E4DA1">
        <w:rPr>
          <w:szCs w:val="22"/>
        </w:rPr>
        <w:t xml:space="preserve"> / LDPE) z portem przystosowanym do połączenia ze strzykawką.</w:t>
      </w:r>
    </w:p>
    <w:p w14:paraId="13C51528" w14:textId="77777777" w:rsidR="00033F29" w:rsidRPr="007E4DA1" w:rsidRDefault="00033F29" w:rsidP="001A6584">
      <w:pPr>
        <w:tabs>
          <w:tab w:val="left" w:pos="142"/>
        </w:tabs>
        <w:ind w:left="0" w:firstLine="0"/>
        <w:rPr>
          <w:szCs w:val="22"/>
        </w:rPr>
      </w:pPr>
    </w:p>
    <w:p w14:paraId="0AC957A8" w14:textId="77777777" w:rsidR="00033F29" w:rsidRPr="007E4DA1" w:rsidRDefault="00033F29" w:rsidP="001A6584">
      <w:pPr>
        <w:tabs>
          <w:tab w:val="left" w:pos="142"/>
        </w:tabs>
        <w:ind w:left="0" w:firstLine="0"/>
        <w:rPr>
          <w:szCs w:val="22"/>
        </w:rPr>
      </w:pPr>
      <w:r w:rsidRPr="007E4DA1">
        <w:rPr>
          <w:szCs w:val="22"/>
        </w:rPr>
        <w:t>Wielkość opakowania 30 saszetek.</w:t>
      </w:r>
    </w:p>
    <w:p w14:paraId="69347D61" w14:textId="77777777" w:rsidR="00033F29" w:rsidRPr="007E4DA1" w:rsidRDefault="00033F29" w:rsidP="001A6584">
      <w:pPr>
        <w:tabs>
          <w:tab w:val="left" w:pos="142"/>
        </w:tabs>
        <w:ind w:left="0" w:firstLine="0"/>
        <w:rPr>
          <w:szCs w:val="22"/>
        </w:rPr>
      </w:pPr>
    </w:p>
    <w:p w14:paraId="1DBAD8AB" w14:textId="77777777" w:rsidR="00A350DA" w:rsidRPr="007E4DA1" w:rsidRDefault="00A350DA" w:rsidP="001A6584">
      <w:pPr>
        <w:keepNext/>
        <w:rPr>
          <w:szCs w:val="22"/>
        </w:rPr>
      </w:pPr>
      <w:r w:rsidRPr="007E4DA1">
        <w:rPr>
          <w:b/>
        </w:rPr>
        <w:t>6.6</w:t>
      </w:r>
      <w:r w:rsidRPr="007E4DA1">
        <w:rPr>
          <w:b/>
        </w:rPr>
        <w:tab/>
      </w:r>
      <w:r w:rsidRPr="007E4DA1">
        <w:rPr>
          <w:b/>
          <w:bCs/>
          <w:szCs w:val="22"/>
        </w:rPr>
        <w:t>Specjalne środki ostrożności dotyczące usuwania</w:t>
      </w:r>
    </w:p>
    <w:p w14:paraId="2416D736" w14:textId="77777777" w:rsidR="00A350DA" w:rsidRPr="007E4DA1" w:rsidRDefault="00A350DA" w:rsidP="001A6584">
      <w:pPr>
        <w:keepNext/>
        <w:tabs>
          <w:tab w:val="left" w:pos="142"/>
        </w:tabs>
        <w:ind w:left="0" w:firstLine="0"/>
        <w:rPr>
          <w:szCs w:val="22"/>
        </w:rPr>
      </w:pPr>
    </w:p>
    <w:p w14:paraId="343FB09A" w14:textId="77777777" w:rsidR="00041A08" w:rsidRPr="00041A08" w:rsidRDefault="00BE2F29" w:rsidP="001A6584">
      <w:pPr>
        <w:keepNext/>
        <w:rPr>
          <w:szCs w:val="22"/>
        </w:rPr>
      </w:pPr>
      <w:r w:rsidRPr="007E4DA1">
        <w:rPr>
          <w:szCs w:val="22"/>
          <w:u w:val="single"/>
        </w:rPr>
        <w:t>Instrukcja stosowania</w:t>
      </w:r>
    </w:p>
    <w:p w14:paraId="28D37A0F" w14:textId="7CB4842D" w:rsidR="00BE2F29" w:rsidRPr="007E4DA1" w:rsidRDefault="00BE2F29" w:rsidP="001A6584">
      <w:pPr>
        <w:keepNext/>
        <w:rPr>
          <w:szCs w:val="22"/>
        </w:rPr>
      </w:pPr>
    </w:p>
    <w:p w14:paraId="53FE4D04" w14:textId="77777777" w:rsidR="00BE2F29" w:rsidRPr="007E4DA1" w:rsidRDefault="00BE2F29" w:rsidP="001A6584">
      <w:pPr>
        <w:keepNext/>
        <w:ind w:left="0" w:firstLine="0"/>
      </w:pPr>
      <w:r w:rsidRPr="007E4DA1">
        <w:t>Należy unikać bezpośredniego kontaktu z lekiem. Miejsce kontaktu z lekiem należy natychmiast przemyć wodą z mydłem.</w:t>
      </w:r>
    </w:p>
    <w:p w14:paraId="5DDD7BCD" w14:textId="77777777" w:rsidR="00BE2F29" w:rsidRPr="007E4DA1" w:rsidRDefault="00BE2F29" w:rsidP="001A6584">
      <w:pPr>
        <w:keepNext/>
      </w:pPr>
    </w:p>
    <w:p w14:paraId="27B8F54C" w14:textId="77777777" w:rsidR="00041A08" w:rsidRPr="00041A08" w:rsidRDefault="00BE2F29" w:rsidP="001A6584">
      <w:pPr>
        <w:keepNext/>
      </w:pPr>
      <w:r w:rsidRPr="007E4DA1">
        <w:rPr>
          <w:i/>
        </w:rPr>
        <w:t>Przygotowanie i podawanie proszku do sporządzania zawiesiny doustnej:</w:t>
      </w:r>
    </w:p>
    <w:p w14:paraId="6F869220" w14:textId="0A66E056" w:rsidR="00BE2F29" w:rsidRPr="007E4DA1" w:rsidRDefault="00BE2F29" w:rsidP="001A6584">
      <w:pPr>
        <w:numPr>
          <w:ilvl w:val="0"/>
          <w:numId w:val="41"/>
        </w:numPr>
        <w:ind w:left="567" w:hanging="567"/>
      </w:pPr>
      <w:r w:rsidRPr="007E4DA1">
        <w:t>Zawiesinę doustną należy podać natychmiast po przygotowaniu. Należy wyrzucić zawiesinę, jeśli nie zostanie ona podana w ciągu 30</w:t>
      </w:r>
      <w:r w:rsidR="00A6158A" w:rsidRPr="007E4DA1">
        <w:t> </w:t>
      </w:r>
      <w:r w:rsidRPr="007E4DA1">
        <w:t>minut od przygotowania.</w:t>
      </w:r>
    </w:p>
    <w:p w14:paraId="18A0CB0A" w14:textId="77777777" w:rsidR="00BE2F29" w:rsidRPr="007E4DA1" w:rsidRDefault="00BE2F29" w:rsidP="001A6584">
      <w:pPr>
        <w:numPr>
          <w:ilvl w:val="0"/>
          <w:numId w:val="41"/>
        </w:numPr>
        <w:ind w:left="567" w:hanging="567"/>
      </w:pPr>
      <w:r w:rsidRPr="007E4DA1">
        <w:t>Do przygotowania zawiesiny należy używać wyłącznie wody.</w:t>
      </w:r>
    </w:p>
    <w:p w14:paraId="6B9A0A62" w14:textId="77777777" w:rsidR="00BE2F29" w:rsidRPr="007E4DA1" w:rsidRDefault="00BE2F29" w:rsidP="001A6584">
      <w:pPr>
        <w:numPr>
          <w:ilvl w:val="0"/>
          <w:numId w:val="41"/>
        </w:numPr>
        <w:ind w:left="567" w:hanging="567"/>
      </w:pPr>
      <w:r w:rsidRPr="007E4DA1">
        <w:t>Do butelki dołączonej do opakowania z lekiem i przeznaczonej do przygotowania zawiesiny wlać 20 ml wody i wsypać do niej zawartość przepisanej liczby saszetek (w zależności od zalecanej dawki), a następnie delikatnie wymieszać składniki.</w:t>
      </w:r>
    </w:p>
    <w:p w14:paraId="0F8D43F2" w14:textId="77777777" w:rsidR="00BE2F29" w:rsidRPr="007E4DA1" w:rsidRDefault="00BE2F29" w:rsidP="001A6584">
      <w:pPr>
        <w:numPr>
          <w:ilvl w:val="0"/>
          <w:numId w:val="41"/>
        </w:numPr>
        <w:ind w:left="567" w:hanging="567"/>
      </w:pPr>
      <w:r w:rsidRPr="007E4DA1">
        <w:t xml:space="preserve">Podać całą zawartość butelki pacjentowi za pomocą </w:t>
      </w:r>
      <w:r w:rsidR="00B25033" w:rsidRPr="007E4DA1">
        <w:t xml:space="preserve">jednej z </w:t>
      </w:r>
      <w:r w:rsidRPr="007E4DA1">
        <w:t>dołączon</w:t>
      </w:r>
      <w:r w:rsidR="00B25033" w:rsidRPr="007E4DA1">
        <w:t>ych</w:t>
      </w:r>
      <w:r w:rsidRPr="007E4DA1">
        <w:t xml:space="preserve"> strzykaw</w:t>
      </w:r>
      <w:r w:rsidR="00B25033" w:rsidRPr="007E4DA1">
        <w:t>e</w:t>
      </w:r>
      <w:r w:rsidRPr="007E4DA1">
        <w:t>k doustn</w:t>
      </w:r>
      <w:r w:rsidR="00B25033" w:rsidRPr="007E4DA1">
        <w:t>ych</w:t>
      </w:r>
      <w:r w:rsidRPr="007E4DA1">
        <w:t>.</w:t>
      </w:r>
    </w:p>
    <w:p w14:paraId="39745595" w14:textId="77777777" w:rsidR="00BE2F29" w:rsidRPr="007E4DA1" w:rsidRDefault="00BE2F29" w:rsidP="001A6584">
      <w:pPr>
        <w:numPr>
          <w:ilvl w:val="0"/>
          <w:numId w:val="41"/>
        </w:numPr>
        <w:ind w:left="567" w:hanging="567"/>
      </w:pPr>
      <w:r w:rsidRPr="007E4DA1">
        <w:t>UWAGA: Ponieważ pewna ilość leku pozostanie w butelce, należy wykonać podane niżej czynności.</w:t>
      </w:r>
    </w:p>
    <w:p w14:paraId="3F041796" w14:textId="77777777" w:rsidR="00BE2F29" w:rsidRPr="007E4DA1" w:rsidRDefault="00BE2F29" w:rsidP="001A6584">
      <w:pPr>
        <w:numPr>
          <w:ilvl w:val="0"/>
          <w:numId w:val="41"/>
        </w:numPr>
        <w:ind w:left="567" w:hanging="567"/>
      </w:pPr>
      <w:r w:rsidRPr="007E4DA1">
        <w:t>Do butelki wlać 10 ml wody i delikatnie zamieszać.</w:t>
      </w:r>
    </w:p>
    <w:p w14:paraId="1B09A2E5" w14:textId="77777777" w:rsidR="00BE2F29" w:rsidRPr="007E4DA1" w:rsidRDefault="00BE2F29" w:rsidP="001A6584">
      <w:pPr>
        <w:numPr>
          <w:ilvl w:val="0"/>
          <w:numId w:val="41"/>
        </w:numPr>
        <w:ind w:left="567" w:hanging="567"/>
      </w:pPr>
      <w:r w:rsidRPr="007E4DA1">
        <w:t xml:space="preserve">Podać całą zawartość butelki pacjentowi za pomocą </w:t>
      </w:r>
      <w:r w:rsidR="00CD2B17" w:rsidRPr="007E4DA1">
        <w:t xml:space="preserve">tej samej </w:t>
      </w:r>
      <w:r w:rsidRPr="007E4DA1">
        <w:t>strzykawki doustnej.</w:t>
      </w:r>
    </w:p>
    <w:p w14:paraId="5BBAF704" w14:textId="77777777" w:rsidR="005F77B0" w:rsidRPr="007E4DA1" w:rsidRDefault="005F77B0" w:rsidP="001A6584">
      <w:pPr>
        <w:ind w:left="0" w:firstLine="0"/>
      </w:pPr>
    </w:p>
    <w:p w14:paraId="0997CA91" w14:textId="77777777" w:rsidR="00041A08" w:rsidRPr="00041A08" w:rsidRDefault="00650EE1" w:rsidP="001A6584">
      <w:pPr>
        <w:tabs>
          <w:tab w:val="left" w:pos="720"/>
          <w:tab w:val="left" w:pos="994"/>
        </w:tabs>
        <w:ind w:left="0" w:firstLine="0"/>
        <w:contextualSpacing/>
        <w:rPr>
          <w:szCs w:val="22"/>
          <w:lang w:eastAsia="en-US"/>
        </w:rPr>
      </w:pPr>
      <w:r w:rsidRPr="007E4DA1">
        <w:rPr>
          <w:i/>
          <w:szCs w:val="22"/>
          <w:lang w:eastAsia="en-US"/>
        </w:rPr>
        <w:t>Czyszczenie materiału używanego do przygotowania mieszaniny:</w:t>
      </w:r>
    </w:p>
    <w:p w14:paraId="49EB0E9A" w14:textId="350B325C" w:rsidR="00650EE1" w:rsidRPr="007E4DA1" w:rsidRDefault="00CD2B17" w:rsidP="001A6584">
      <w:pPr>
        <w:numPr>
          <w:ilvl w:val="0"/>
          <w:numId w:val="52"/>
        </w:numPr>
        <w:tabs>
          <w:tab w:val="left" w:pos="567"/>
        </w:tabs>
        <w:ind w:left="567" w:hanging="567"/>
        <w:rPr>
          <w:szCs w:val="22"/>
          <w:lang w:eastAsia="en-US"/>
        </w:rPr>
      </w:pPr>
      <w:r w:rsidRPr="007E4DA1">
        <w:rPr>
          <w:szCs w:val="22"/>
          <w:lang w:eastAsia="en-US"/>
        </w:rPr>
        <w:t>Wyrzucić zużytą strzykawkę doustną.</w:t>
      </w:r>
    </w:p>
    <w:p w14:paraId="599BFED6" w14:textId="77777777" w:rsidR="00650EE1" w:rsidRPr="007E4DA1" w:rsidRDefault="00650EE1" w:rsidP="001A6584">
      <w:pPr>
        <w:numPr>
          <w:ilvl w:val="0"/>
          <w:numId w:val="52"/>
        </w:numPr>
        <w:tabs>
          <w:tab w:val="left" w:pos="567"/>
        </w:tabs>
        <w:ind w:left="567" w:hanging="567"/>
        <w:rPr>
          <w:szCs w:val="22"/>
          <w:lang w:eastAsia="en-US"/>
        </w:rPr>
      </w:pPr>
      <w:r w:rsidRPr="007E4DA1">
        <w:rPr>
          <w:szCs w:val="22"/>
          <w:lang w:eastAsia="en-US"/>
        </w:rPr>
        <w:t>Przepłukać butelkę</w:t>
      </w:r>
      <w:r w:rsidR="00CD2B17" w:rsidRPr="007E4DA1">
        <w:rPr>
          <w:szCs w:val="22"/>
          <w:lang w:eastAsia="en-US"/>
        </w:rPr>
        <w:t xml:space="preserve"> i</w:t>
      </w:r>
      <w:r w:rsidRPr="007E4DA1">
        <w:rPr>
          <w:szCs w:val="22"/>
          <w:lang w:eastAsia="en-US"/>
        </w:rPr>
        <w:t xml:space="preserve"> nakrętkę</w:t>
      </w:r>
      <w:r w:rsidR="00B4278F" w:rsidRPr="007E4DA1">
        <w:rPr>
          <w:szCs w:val="22"/>
          <w:lang w:eastAsia="en-US"/>
        </w:rPr>
        <w:t xml:space="preserve"> </w:t>
      </w:r>
      <w:r w:rsidRPr="007E4DA1">
        <w:rPr>
          <w:szCs w:val="22"/>
          <w:lang w:eastAsia="en-US"/>
        </w:rPr>
        <w:t>pod bieżącą wodą. (Butelka może ulec przebarwieniu pod wpływem leku. Jest to zjawisko normalne.)</w:t>
      </w:r>
    </w:p>
    <w:p w14:paraId="508C503A" w14:textId="77777777" w:rsidR="00650EE1" w:rsidRPr="007E4DA1" w:rsidRDefault="00650EE1" w:rsidP="001A6584">
      <w:pPr>
        <w:numPr>
          <w:ilvl w:val="0"/>
          <w:numId w:val="52"/>
        </w:numPr>
        <w:tabs>
          <w:tab w:val="left" w:pos="567"/>
        </w:tabs>
        <w:ind w:left="567" w:hanging="567"/>
      </w:pPr>
      <w:r w:rsidRPr="007E4DA1">
        <w:rPr>
          <w:szCs w:val="22"/>
          <w:lang w:eastAsia="en-US"/>
        </w:rPr>
        <w:t>Pozostawić wszystkie elementy do wyschnięcia na powietrzu.</w:t>
      </w:r>
    </w:p>
    <w:p w14:paraId="31EE9DE8" w14:textId="77777777" w:rsidR="00BE2F29" w:rsidRPr="007E4DA1" w:rsidRDefault="00650EE1" w:rsidP="001A6584">
      <w:pPr>
        <w:numPr>
          <w:ilvl w:val="0"/>
          <w:numId w:val="52"/>
        </w:numPr>
        <w:tabs>
          <w:tab w:val="left" w:pos="567"/>
        </w:tabs>
        <w:ind w:left="567" w:hanging="567"/>
      </w:pPr>
      <w:r w:rsidRPr="007E4DA1">
        <w:rPr>
          <w:szCs w:val="22"/>
          <w:lang w:eastAsia="en-US"/>
        </w:rPr>
        <w:t>Umyć ręce wodą z mydłem.</w:t>
      </w:r>
    </w:p>
    <w:p w14:paraId="2A2CA925" w14:textId="77777777" w:rsidR="00650EE1" w:rsidRPr="007E4DA1" w:rsidRDefault="00650EE1" w:rsidP="001A6584"/>
    <w:p w14:paraId="0E61BE72" w14:textId="77777777" w:rsidR="00CD2B17" w:rsidRPr="007E4DA1" w:rsidRDefault="00CD2B17" w:rsidP="001A6584">
      <w:pPr>
        <w:ind w:left="0" w:firstLine="0"/>
        <w:rPr>
          <w:szCs w:val="22"/>
        </w:rPr>
      </w:pPr>
      <w:r w:rsidRPr="007E4DA1">
        <w:t xml:space="preserve">Nie używać </w:t>
      </w:r>
      <w:r w:rsidR="00C44E26" w:rsidRPr="007E4DA1">
        <w:t xml:space="preserve">ponownie </w:t>
      </w:r>
      <w:r w:rsidRPr="007E4DA1">
        <w:t>strzykawki</w:t>
      </w:r>
      <w:r w:rsidR="00C44E26" w:rsidRPr="007E4DA1">
        <w:t xml:space="preserve"> </w:t>
      </w:r>
      <w:r w:rsidR="00513CD1" w:rsidRPr="007E4DA1">
        <w:t>doustnej</w:t>
      </w:r>
      <w:r w:rsidRPr="007E4DA1">
        <w:t xml:space="preserve">. </w:t>
      </w:r>
      <w:r w:rsidR="00C44E26" w:rsidRPr="007E4DA1">
        <w:t xml:space="preserve">Do przygotowania każdej dawki </w:t>
      </w:r>
      <w:r w:rsidR="00513CD1" w:rsidRPr="007E4DA1">
        <w:t>produktu leczniczego Revolade</w:t>
      </w:r>
      <w:r w:rsidR="00513CD1" w:rsidRPr="007E4DA1">
        <w:rPr>
          <w:szCs w:val="22"/>
        </w:rPr>
        <w:t xml:space="preserve"> </w:t>
      </w:r>
      <w:r w:rsidR="000D1ADE" w:rsidRPr="007E4DA1">
        <w:rPr>
          <w:szCs w:val="22"/>
        </w:rPr>
        <w:t xml:space="preserve">w postaci </w:t>
      </w:r>
      <w:r w:rsidR="00513CD1" w:rsidRPr="007E4DA1">
        <w:rPr>
          <w:szCs w:val="22"/>
        </w:rPr>
        <w:t xml:space="preserve">zawiesiny doustnej, należy użyć nowej </w:t>
      </w:r>
      <w:r w:rsidR="005B517C" w:rsidRPr="007E4DA1">
        <w:rPr>
          <w:szCs w:val="22"/>
        </w:rPr>
        <w:t xml:space="preserve">doustnej </w:t>
      </w:r>
      <w:r w:rsidR="00513CD1" w:rsidRPr="007E4DA1">
        <w:rPr>
          <w:szCs w:val="22"/>
        </w:rPr>
        <w:t xml:space="preserve">strzykawki </w:t>
      </w:r>
      <w:r w:rsidR="00560E04" w:rsidRPr="007E4DA1">
        <w:rPr>
          <w:szCs w:val="22"/>
        </w:rPr>
        <w:t>jednorazowego użytku</w:t>
      </w:r>
      <w:r w:rsidR="00513CD1" w:rsidRPr="007E4DA1">
        <w:rPr>
          <w:szCs w:val="22"/>
        </w:rPr>
        <w:t>.</w:t>
      </w:r>
    </w:p>
    <w:p w14:paraId="56D3D243" w14:textId="77777777" w:rsidR="00513CD1" w:rsidRPr="007E4DA1" w:rsidRDefault="00513CD1" w:rsidP="001A6584">
      <w:pPr>
        <w:ind w:left="0" w:firstLine="0"/>
      </w:pPr>
    </w:p>
    <w:p w14:paraId="17362CAF" w14:textId="77777777" w:rsidR="00BE2F29" w:rsidRPr="007E4DA1" w:rsidRDefault="00BE2F29" w:rsidP="001A6584">
      <w:pPr>
        <w:keepNext/>
        <w:tabs>
          <w:tab w:val="left" w:pos="142"/>
        </w:tabs>
        <w:ind w:left="0" w:firstLine="0"/>
        <w:rPr>
          <w:szCs w:val="22"/>
        </w:rPr>
      </w:pPr>
      <w:r w:rsidRPr="007E4DA1">
        <w:t>Więcej informacji o przygotowaniu i podawaniu zawiesiny, patrz Instrukcja stosowania w ulotce dołączonej do opakowania.</w:t>
      </w:r>
    </w:p>
    <w:p w14:paraId="145CEEF9" w14:textId="77777777" w:rsidR="00BE2F29" w:rsidRPr="007E4DA1" w:rsidRDefault="00BE2F29" w:rsidP="001A6584">
      <w:pPr>
        <w:tabs>
          <w:tab w:val="left" w:pos="142"/>
        </w:tabs>
        <w:ind w:left="0" w:firstLine="0"/>
      </w:pPr>
    </w:p>
    <w:p w14:paraId="4C487F2D" w14:textId="77777777" w:rsidR="00BE2F29" w:rsidRPr="007E4DA1" w:rsidRDefault="00BE2F29" w:rsidP="001A6584">
      <w:pPr>
        <w:keepNext/>
        <w:tabs>
          <w:tab w:val="left" w:pos="142"/>
        </w:tabs>
        <w:ind w:left="0" w:firstLine="0"/>
      </w:pPr>
      <w:r w:rsidRPr="007E4DA1">
        <w:t>Usuwanie</w:t>
      </w:r>
    </w:p>
    <w:p w14:paraId="1443CE72" w14:textId="77777777" w:rsidR="00A350DA" w:rsidRPr="007E4DA1" w:rsidRDefault="00A350DA" w:rsidP="001A6584">
      <w:pPr>
        <w:tabs>
          <w:tab w:val="left" w:pos="142"/>
        </w:tabs>
        <w:ind w:left="0" w:firstLine="0"/>
        <w:rPr>
          <w:szCs w:val="22"/>
        </w:rPr>
      </w:pPr>
      <w:r w:rsidRPr="007E4DA1">
        <w:t xml:space="preserve">Wszelkie niewykorzystane resztki produktu </w:t>
      </w:r>
      <w:r w:rsidRPr="007E4DA1">
        <w:rPr>
          <w:noProof/>
          <w:szCs w:val="22"/>
        </w:rPr>
        <w:t xml:space="preserve">leczniczego </w:t>
      </w:r>
      <w:r w:rsidRPr="007E4DA1">
        <w:t>lub jego odpady należy usunąć zgodnie z lokalnymi przepisami.</w:t>
      </w:r>
    </w:p>
    <w:p w14:paraId="0853B0E0" w14:textId="77777777" w:rsidR="00A350DA" w:rsidRPr="007E4DA1" w:rsidRDefault="00A350DA" w:rsidP="001A6584">
      <w:pPr>
        <w:tabs>
          <w:tab w:val="left" w:pos="142"/>
        </w:tabs>
        <w:ind w:left="0" w:firstLine="0"/>
        <w:rPr>
          <w:szCs w:val="22"/>
        </w:rPr>
      </w:pPr>
    </w:p>
    <w:p w14:paraId="0DB54377" w14:textId="77777777" w:rsidR="00A350DA" w:rsidRPr="007E4DA1" w:rsidRDefault="00A350DA" w:rsidP="001A6584">
      <w:pPr>
        <w:tabs>
          <w:tab w:val="left" w:pos="142"/>
        </w:tabs>
        <w:ind w:left="0" w:firstLine="0"/>
        <w:rPr>
          <w:szCs w:val="22"/>
        </w:rPr>
      </w:pPr>
    </w:p>
    <w:p w14:paraId="655029D5" w14:textId="77777777" w:rsidR="00041A08" w:rsidRPr="00041A08" w:rsidRDefault="00A350DA" w:rsidP="001A6584">
      <w:pPr>
        <w:keepNext/>
      </w:pPr>
      <w:r w:rsidRPr="007E4DA1">
        <w:rPr>
          <w:b/>
        </w:rPr>
        <w:t>7.</w:t>
      </w:r>
      <w:r w:rsidRPr="007E4DA1">
        <w:rPr>
          <w:b/>
        </w:rPr>
        <w:tab/>
        <w:t>PODMIOT OD</w:t>
      </w:r>
      <w:smartTag w:uri="schemas-GSKSiteLocations-com/fourthcoffee" w:element="flavor">
        <w:r w:rsidRPr="007E4DA1">
          <w:rPr>
            <w:b/>
          </w:rPr>
          <w:t>POW</w:t>
        </w:r>
      </w:smartTag>
      <w:r w:rsidRPr="007E4DA1">
        <w:rPr>
          <w:b/>
        </w:rPr>
        <w:t>IEDZIALNY POSIADAJĄCY POZWOLENIE NA DOPUSZCZENIE DO OBROTU</w:t>
      </w:r>
    </w:p>
    <w:p w14:paraId="1168A6B8" w14:textId="43E93983" w:rsidR="00A350DA" w:rsidRPr="007E4DA1" w:rsidRDefault="00A350DA" w:rsidP="001A6584">
      <w:pPr>
        <w:keepNext/>
        <w:tabs>
          <w:tab w:val="left" w:pos="142"/>
        </w:tabs>
        <w:ind w:left="0" w:firstLine="0"/>
        <w:rPr>
          <w:szCs w:val="22"/>
        </w:rPr>
      </w:pPr>
    </w:p>
    <w:p w14:paraId="76D0AB65" w14:textId="77777777" w:rsidR="00A350DA" w:rsidRPr="007E4DA1" w:rsidRDefault="00A350DA" w:rsidP="001A6584">
      <w:pPr>
        <w:keepNext/>
        <w:rPr>
          <w:lang w:val="en-US"/>
        </w:rPr>
      </w:pPr>
      <w:r w:rsidRPr="007E4DA1">
        <w:rPr>
          <w:lang w:val="en-US"/>
        </w:rPr>
        <w:t xml:space="preserve">Novartis </w:t>
      </w:r>
      <w:proofErr w:type="spellStart"/>
      <w:r w:rsidRPr="007E4DA1">
        <w:rPr>
          <w:lang w:val="en-US"/>
        </w:rPr>
        <w:t>Europharm</w:t>
      </w:r>
      <w:proofErr w:type="spellEnd"/>
      <w:r w:rsidRPr="007E4DA1">
        <w:rPr>
          <w:lang w:val="en-US"/>
        </w:rPr>
        <w:t xml:space="preserve"> Limited</w:t>
      </w:r>
    </w:p>
    <w:p w14:paraId="3E4C37A1" w14:textId="77777777" w:rsidR="0091544F" w:rsidRPr="007E4DA1" w:rsidRDefault="0091544F" w:rsidP="001A6584">
      <w:pPr>
        <w:keepNext/>
        <w:rPr>
          <w:color w:val="000000"/>
          <w:lang w:val="en-US"/>
        </w:rPr>
      </w:pPr>
      <w:r w:rsidRPr="007E4DA1">
        <w:rPr>
          <w:color w:val="000000"/>
          <w:lang w:val="en-US"/>
        </w:rPr>
        <w:t>Vista Building</w:t>
      </w:r>
    </w:p>
    <w:p w14:paraId="0CFEF1BC" w14:textId="77777777" w:rsidR="0091544F" w:rsidRPr="007E4DA1" w:rsidRDefault="0091544F" w:rsidP="001A6584">
      <w:pPr>
        <w:keepNext/>
        <w:rPr>
          <w:color w:val="000000"/>
          <w:lang w:val="en-US"/>
        </w:rPr>
      </w:pPr>
      <w:r w:rsidRPr="007E4DA1">
        <w:rPr>
          <w:color w:val="000000"/>
          <w:lang w:val="en-US"/>
        </w:rPr>
        <w:t>Elm Park, Merrion Road</w:t>
      </w:r>
    </w:p>
    <w:p w14:paraId="2B8C6F66" w14:textId="77777777" w:rsidR="0091544F" w:rsidRPr="007E4DA1" w:rsidRDefault="0091544F" w:rsidP="001A6584">
      <w:pPr>
        <w:keepNext/>
        <w:rPr>
          <w:color w:val="000000"/>
        </w:rPr>
      </w:pPr>
      <w:r w:rsidRPr="007E4DA1">
        <w:rPr>
          <w:color w:val="000000"/>
        </w:rPr>
        <w:t>Dublin 4</w:t>
      </w:r>
    </w:p>
    <w:p w14:paraId="459A5513" w14:textId="77777777" w:rsidR="00A350DA" w:rsidRPr="007E4DA1" w:rsidRDefault="0091544F" w:rsidP="001A6584">
      <w:pPr>
        <w:tabs>
          <w:tab w:val="left" w:pos="142"/>
        </w:tabs>
        <w:ind w:left="0" w:firstLine="0"/>
      </w:pPr>
      <w:r w:rsidRPr="007E4DA1">
        <w:rPr>
          <w:color w:val="000000"/>
        </w:rPr>
        <w:t>Irlandia</w:t>
      </w:r>
    </w:p>
    <w:p w14:paraId="4CBE9C82" w14:textId="77777777" w:rsidR="00A350DA" w:rsidRPr="007E4DA1" w:rsidRDefault="00A350DA" w:rsidP="001A6584">
      <w:pPr>
        <w:tabs>
          <w:tab w:val="left" w:pos="142"/>
        </w:tabs>
        <w:ind w:left="0" w:firstLine="0"/>
        <w:rPr>
          <w:szCs w:val="22"/>
        </w:rPr>
      </w:pPr>
    </w:p>
    <w:p w14:paraId="47870290" w14:textId="77777777" w:rsidR="00A350DA" w:rsidRPr="007E4DA1" w:rsidRDefault="00A350DA" w:rsidP="001A6584">
      <w:pPr>
        <w:tabs>
          <w:tab w:val="left" w:pos="142"/>
        </w:tabs>
        <w:ind w:left="0" w:firstLine="0"/>
        <w:rPr>
          <w:szCs w:val="22"/>
        </w:rPr>
      </w:pPr>
    </w:p>
    <w:p w14:paraId="756962DC" w14:textId="782D3289" w:rsidR="00041A08" w:rsidRPr="00041A08" w:rsidRDefault="00A350DA" w:rsidP="001A6584">
      <w:pPr>
        <w:keepNext/>
        <w:rPr>
          <w:szCs w:val="22"/>
        </w:rPr>
      </w:pPr>
      <w:r w:rsidRPr="007E4DA1">
        <w:rPr>
          <w:b/>
        </w:rPr>
        <w:t>8.</w:t>
      </w:r>
      <w:r w:rsidRPr="007E4DA1">
        <w:rPr>
          <w:b/>
        </w:rPr>
        <w:tab/>
        <w:t>NUMERY POZWOLEŃ NA DOPUSZCZENIE DO OBROTU</w:t>
      </w:r>
    </w:p>
    <w:p w14:paraId="68CD3608" w14:textId="4F61C903" w:rsidR="00A350DA" w:rsidRPr="007E4DA1" w:rsidRDefault="00A350DA" w:rsidP="001A6584">
      <w:pPr>
        <w:keepNext/>
        <w:tabs>
          <w:tab w:val="left" w:pos="142"/>
        </w:tabs>
        <w:ind w:left="0" w:firstLine="0"/>
        <w:rPr>
          <w:szCs w:val="22"/>
        </w:rPr>
      </w:pPr>
    </w:p>
    <w:p w14:paraId="239ECCFD" w14:textId="77777777" w:rsidR="00A350DA" w:rsidRPr="007E4DA1" w:rsidRDefault="00A350DA" w:rsidP="001A6584">
      <w:pPr>
        <w:keepNext/>
        <w:tabs>
          <w:tab w:val="left" w:pos="142"/>
        </w:tabs>
        <w:ind w:left="0" w:firstLine="0"/>
        <w:rPr>
          <w:szCs w:val="22"/>
        </w:rPr>
      </w:pPr>
      <w:r w:rsidRPr="007E4DA1">
        <w:rPr>
          <w:szCs w:val="22"/>
        </w:rPr>
        <w:t>EU/1/10/612/0</w:t>
      </w:r>
      <w:r w:rsidR="00071506" w:rsidRPr="007E4DA1">
        <w:rPr>
          <w:szCs w:val="22"/>
        </w:rPr>
        <w:t>13</w:t>
      </w:r>
    </w:p>
    <w:p w14:paraId="1E2AD7F6" w14:textId="77777777" w:rsidR="00A350DA" w:rsidRPr="007E4DA1" w:rsidRDefault="00A350DA" w:rsidP="001A6584">
      <w:pPr>
        <w:tabs>
          <w:tab w:val="left" w:pos="142"/>
        </w:tabs>
        <w:ind w:left="0" w:firstLine="0"/>
        <w:rPr>
          <w:szCs w:val="22"/>
        </w:rPr>
      </w:pPr>
    </w:p>
    <w:p w14:paraId="6CABA7DF" w14:textId="77777777" w:rsidR="00A350DA" w:rsidRPr="007E4DA1" w:rsidRDefault="00A350DA" w:rsidP="001A6584">
      <w:pPr>
        <w:tabs>
          <w:tab w:val="left" w:pos="142"/>
        </w:tabs>
        <w:ind w:left="0" w:firstLine="0"/>
        <w:rPr>
          <w:szCs w:val="22"/>
        </w:rPr>
      </w:pPr>
    </w:p>
    <w:p w14:paraId="1053F600" w14:textId="77777777" w:rsidR="00A350DA" w:rsidRPr="007E4DA1" w:rsidRDefault="00A350DA" w:rsidP="001A6584">
      <w:pPr>
        <w:keepNext/>
        <w:rPr>
          <w:szCs w:val="22"/>
        </w:rPr>
      </w:pPr>
      <w:r w:rsidRPr="007E4DA1">
        <w:rPr>
          <w:b/>
        </w:rPr>
        <w:t>9.</w:t>
      </w:r>
      <w:r w:rsidRPr="007E4DA1">
        <w:rPr>
          <w:b/>
        </w:rPr>
        <w:tab/>
      </w:r>
      <w:smartTag w:uri="urn:schemas-microsoft-com:office:smarttags" w:element="stockticker">
        <w:r w:rsidRPr="007E4DA1">
          <w:rPr>
            <w:b/>
          </w:rPr>
          <w:t>DATA</w:t>
        </w:r>
      </w:smartTag>
      <w:r w:rsidRPr="007E4DA1">
        <w:rPr>
          <w:b/>
        </w:rPr>
        <w:t xml:space="preserve"> WYDANIA PIERWSZEGO POZWOLENIA NA DOPUSZCZENIE DO OBROTU </w:t>
      </w:r>
      <w:r w:rsidR="00BE2F29" w:rsidRPr="007E4DA1">
        <w:rPr>
          <w:b/>
        </w:rPr>
        <w:t>I</w:t>
      </w:r>
      <w:r w:rsidRPr="007E4DA1">
        <w:rPr>
          <w:b/>
        </w:rPr>
        <w:t xml:space="preserve"> </w:t>
      </w:r>
      <w:smartTag w:uri="urn:schemas-microsoft-com:office:smarttags" w:element="stockticker">
        <w:r w:rsidRPr="007E4DA1">
          <w:rPr>
            <w:b/>
          </w:rPr>
          <w:t>DATA</w:t>
        </w:r>
      </w:smartTag>
      <w:r w:rsidRPr="007E4DA1">
        <w:rPr>
          <w:b/>
        </w:rPr>
        <w:t xml:space="preserve"> PRZEDŁUŻENIA POZWOLENIA</w:t>
      </w:r>
    </w:p>
    <w:p w14:paraId="00110557" w14:textId="77777777" w:rsidR="00A350DA" w:rsidRPr="007E4DA1" w:rsidRDefault="00A350DA" w:rsidP="001A6584">
      <w:pPr>
        <w:keepNext/>
        <w:tabs>
          <w:tab w:val="left" w:pos="142"/>
        </w:tabs>
        <w:ind w:left="0" w:firstLine="0"/>
        <w:rPr>
          <w:szCs w:val="22"/>
        </w:rPr>
      </w:pPr>
    </w:p>
    <w:p w14:paraId="28069BF2" w14:textId="77777777" w:rsidR="00A350DA" w:rsidRPr="007E4DA1" w:rsidRDefault="00A350DA" w:rsidP="001A6584">
      <w:pPr>
        <w:keepNext/>
        <w:tabs>
          <w:tab w:val="left" w:pos="142"/>
        </w:tabs>
        <w:ind w:left="0" w:firstLine="0"/>
        <w:rPr>
          <w:szCs w:val="22"/>
        </w:rPr>
      </w:pPr>
      <w:r w:rsidRPr="007E4DA1">
        <w:rPr>
          <w:szCs w:val="22"/>
        </w:rPr>
        <w:t>Data wydania pierwszego pozwolenia na dopuszczenie do obrotu: 11 marca 2010.</w:t>
      </w:r>
    </w:p>
    <w:p w14:paraId="20995561" w14:textId="77777777" w:rsidR="00A350DA" w:rsidRPr="007E4DA1" w:rsidRDefault="00A350DA" w:rsidP="001A6584">
      <w:pPr>
        <w:tabs>
          <w:tab w:val="left" w:pos="142"/>
        </w:tabs>
        <w:ind w:left="0" w:firstLine="0"/>
        <w:rPr>
          <w:szCs w:val="22"/>
        </w:rPr>
      </w:pPr>
      <w:r w:rsidRPr="007E4DA1">
        <w:rPr>
          <w:szCs w:val="22"/>
        </w:rPr>
        <w:t xml:space="preserve">Data ostatniego przedłużenia pozwolenia: </w:t>
      </w:r>
      <w:r w:rsidRPr="007E4DA1">
        <w:rPr>
          <w:color w:val="000000"/>
          <w:szCs w:val="22"/>
        </w:rPr>
        <w:t>15 stycznia 2015.</w:t>
      </w:r>
    </w:p>
    <w:p w14:paraId="356D2FC6" w14:textId="77777777" w:rsidR="00A350DA" w:rsidRPr="007E4DA1" w:rsidRDefault="00A350DA" w:rsidP="001A6584">
      <w:pPr>
        <w:tabs>
          <w:tab w:val="left" w:pos="142"/>
        </w:tabs>
        <w:ind w:left="0" w:firstLine="0"/>
        <w:rPr>
          <w:szCs w:val="22"/>
        </w:rPr>
      </w:pPr>
    </w:p>
    <w:p w14:paraId="38CE87FC" w14:textId="77777777" w:rsidR="00A350DA" w:rsidRPr="007E4DA1" w:rsidRDefault="00A350DA" w:rsidP="001A6584">
      <w:pPr>
        <w:tabs>
          <w:tab w:val="left" w:pos="142"/>
        </w:tabs>
        <w:ind w:left="0" w:firstLine="0"/>
        <w:rPr>
          <w:szCs w:val="22"/>
        </w:rPr>
      </w:pPr>
    </w:p>
    <w:p w14:paraId="67BE1207" w14:textId="77777777" w:rsidR="00041A08" w:rsidRPr="00041A08" w:rsidRDefault="00A350DA" w:rsidP="001A6584">
      <w:pPr>
        <w:tabs>
          <w:tab w:val="left" w:pos="-3828"/>
        </w:tabs>
        <w:rPr>
          <w:szCs w:val="22"/>
        </w:rPr>
      </w:pPr>
      <w:r w:rsidRPr="007E4DA1">
        <w:rPr>
          <w:b/>
          <w:szCs w:val="22"/>
        </w:rPr>
        <w:t>10.</w:t>
      </w:r>
      <w:r w:rsidRPr="007E4DA1">
        <w:rPr>
          <w:b/>
          <w:szCs w:val="22"/>
        </w:rPr>
        <w:tab/>
      </w:r>
      <w:r w:rsidRPr="007E4DA1">
        <w:rPr>
          <w:b/>
        </w:rPr>
        <w:t xml:space="preserve">DATA ZATWIERDZENIA </w:t>
      </w:r>
      <w:smartTag w:uri="urn:schemas-microsoft-com:office:smarttags" w:element="stockticker">
        <w:r w:rsidRPr="007E4DA1">
          <w:rPr>
            <w:b/>
          </w:rPr>
          <w:t>LUB</w:t>
        </w:r>
      </w:smartTag>
      <w:r w:rsidRPr="007E4DA1">
        <w:rPr>
          <w:b/>
        </w:rPr>
        <w:t xml:space="preserve"> CZĘŚCIOWEJ ZMIANY TEKSTU CHARAKTERYSTYKI PRODUKTU LECZNICZEGO</w:t>
      </w:r>
    </w:p>
    <w:p w14:paraId="4D32490A" w14:textId="67028BE7" w:rsidR="00A350DA" w:rsidRPr="007E4DA1" w:rsidRDefault="00A350DA" w:rsidP="001A6584">
      <w:pPr>
        <w:tabs>
          <w:tab w:val="left" w:pos="142"/>
        </w:tabs>
        <w:ind w:left="0" w:firstLine="0"/>
        <w:rPr>
          <w:szCs w:val="22"/>
        </w:rPr>
      </w:pPr>
    </w:p>
    <w:p w14:paraId="1D28F208" w14:textId="77777777" w:rsidR="00A350DA" w:rsidRPr="007E4DA1" w:rsidRDefault="00A350DA" w:rsidP="001A6584">
      <w:pPr>
        <w:tabs>
          <w:tab w:val="left" w:pos="142"/>
        </w:tabs>
        <w:ind w:left="0" w:firstLine="0"/>
        <w:rPr>
          <w:szCs w:val="22"/>
        </w:rPr>
      </w:pPr>
    </w:p>
    <w:p w14:paraId="46D9D7E0" w14:textId="78F8B4E4" w:rsidR="00A350DA" w:rsidRPr="007E4DA1" w:rsidRDefault="00A350DA" w:rsidP="001A6584">
      <w:pPr>
        <w:numPr>
          <w:ilvl w:val="12"/>
          <w:numId w:val="0"/>
        </w:numPr>
        <w:tabs>
          <w:tab w:val="left" w:pos="142"/>
        </w:tabs>
        <w:ind w:right="-2"/>
        <w:rPr>
          <w:color w:val="000000"/>
          <w:szCs w:val="22"/>
        </w:rPr>
      </w:pPr>
      <w:r w:rsidRPr="007E4DA1">
        <w:t>Szczegółow</w:t>
      </w:r>
      <w:r w:rsidR="00BE2F29" w:rsidRPr="007E4DA1">
        <w:t>e</w:t>
      </w:r>
      <w:r w:rsidRPr="007E4DA1">
        <w:t xml:space="preserve"> informacj</w:t>
      </w:r>
      <w:r w:rsidR="00BE2F29" w:rsidRPr="007E4DA1">
        <w:t>e</w:t>
      </w:r>
      <w:r w:rsidRPr="007E4DA1">
        <w:t xml:space="preserve"> o tym produkcie </w:t>
      </w:r>
      <w:r w:rsidR="00BE2F29" w:rsidRPr="007E4DA1">
        <w:t>leczniczym są</w:t>
      </w:r>
      <w:r w:rsidRPr="007E4DA1">
        <w:t xml:space="preserve"> dostępn</w:t>
      </w:r>
      <w:r w:rsidR="00BE2F29" w:rsidRPr="007E4DA1">
        <w:t>e</w:t>
      </w:r>
      <w:r w:rsidRPr="007E4DA1">
        <w:t xml:space="preserve"> na stronie internetowej Europejskiej Agencji </w:t>
      </w:r>
      <w:r w:rsidRPr="007E4DA1">
        <w:rPr>
          <w:color w:val="000000"/>
        </w:rPr>
        <w:t>Leków</w:t>
      </w:r>
      <w:r w:rsidRPr="007E4DA1">
        <w:rPr>
          <w:color w:val="000000"/>
          <w:szCs w:val="22"/>
        </w:rPr>
        <w:t xml:space="preserve"> </w:t>
      </w:r>
      <w:hyperlink r:id="rId10" w:history="1">
        <w:r w:rsidR="009D5220" w:rsidRPr="004534C2">
          <w:rPr>
            <w:rStyle w:val="Hyperlink"/>
          </w:rPr>
          <w:t>https://www.ema.europa.eu</w:t>
        </w:r>
      </w:hyperlink>
      <w:r w:rsidRPr="007E4DA1">
        <w:rPr>
          <w:color w:val="000000"/>
          <w:szCs w:val="22"/>
        </w:rPr>
        <w:t>.</w:t>
      </w:r>
    </w:p>
    <w:p w14:paraId="2E3B8458" w14:textId="77777777" w:rsidR="00A350DA" w:rsidRPr="007E4DA1" w:rsidRDefault="00A350DA" w:rsidP="00DE1596">
      <w:pPr>
        <w:tabs>
          <w:tab w:val="left" w:pos="142"/>
        </w:tabs>
        <w:ind w:left="0" w:firstLine="0"/>
        <w:rPr>
          <w:bCs/>
          <w:iCs/>
        </w:rPr>
      </w:pPr>
    </w:p>
    <w:p w14:paraId="3C50E0E3" w14:textId="77777777" w:rsidR="00B055F3" w:rsidRPr="007E4DA1" w:rsidRDefault="00A350DA" w:rsidP="00DE1596">
      <w:pPr>
        <w:ind w:left="0" w:firstLine="0"/>
      </w:pPr>
      <w:r w:rsidRPr="007E4DA1">
        <w:rPr>
          <w:bCs/>
          <w:iCs/>
        </w:rPr>
        <w:br w:type="page"/>
      </w:r>
    </w:p>
    <w:p w14:paraId="05D031CB" w14:textId="77777777" w:rsidR="00B055F3" w:rsidRPr="007E4DA1" w:rsidRDefault="00B055F3" w:rsidP="00DE1596"/>
    <w:p w14:paraId="1F12FD9C" w14:textId="77777777" w:rsidR="00B055F3" w:rsidRPr="007E4DA1" w:rsidRDefault="00B055F3" w:rsidP="00DE1596"/>
    <w:p w14:paraId="3697FA60" w14:textId="77777777" w:rsidR="00B055F3" w:rsidRPr="007E4DA1" w:rsidRDefault="00B055F3" w:rsidP="00DE1596"/>
    <w:p w14:paraId="7F6D1142" w14:textId="77777777" w:rsidR="00B055F3" w:rsidRPr="007E4DA1" w:rsidRDefault="00B055F3" w:rsidP="00DE1596"/>
    <w:p w14:paraId="163C0FC2" w14:textId="77777777" w:rsidR="00B055F3" w:rsidRPr="007E4DA1" w:rsidRDefault="00B055F3" w:rsidP="00DE1596"/>
    <w:p w14:paraId="193545D8" w14:textId="77777777" w:rsidR="00B055F3" w:rsidRPr="007E4DA1" w:rsidRDefault="00B055F3" w:rsidP="00DE1596"/>
    <w:p w14:paraId="2BC52412" w14:textId="77777777" w:rsidR="00B055F3" w:rsidRPr="007E4DA1" w:rsidRDefault="00B055F3" w:rsidP="00DE1596"/>
    <w:p w14:paraId="45058DA5" w14:textId="77777777" w:rsidR="00B055F3" w:rsidRPr="007E4DA1" w:rsidRDefault="00B055F3" w:rsidP="00DE1596"/>
    <w:p w14:paraId="0117DB3F" w14:textId="77777777" w:rsidR="00B055F3" w:rsidRPr="007E4DA1" w:rsidRDefault="00B055F3" w:rsidP="00DE1596"/>
    <w:p w14:paraId="0B42AD5F" w14:textId="77777777" w:rsidR="00B055F3" w:rsidRPr="007E4DA1" w:rsidRDefault="00B055F3" w:rsidP="00DE1596"/>
    <w:p w14:paraId="1801D2CF" w14:textId="77777777" w:rsidR="00B055F3" w:rsidRPr="007E4DA1" w:rsidRDefault="00B055F3" w:rsidP="00DE1596"/>
    <w:p w14:paraId="1900FE25" w14:textId="77777777" w:rsidR="00B055F3" w:rsidRPr="007E4DA1" w:rsidRDefault="00B055F3" w:rsidP="00DE1596"/>
    <w:p w14:paraId="56229058" w14:textId="77777777" w:rsidR="00B055F3" w:rsidRPr="007E4DA1" w:rsidRDefault="00B055F3" w:rsidP="00DE1596"/>
    <w:p w14:paraId="07085953" w14:textId="77777777" w:rsidR="00B055F3" w:rsidRPr="007E4DA1" w:rsidRDefault="00B055F3" w:rsidP="00DE1596"/>
    <w:p w14:paraId="66577CBF" w14:textId="77777777" w:rsidR="00B055F3" w:rsidRPr="007E4DA1" w:rsidRDefault="00B055F3" w:rsidP="00DE1596"/>
    <w:p w14:paraId="4559A30C" w14:textId="77777777" w:rsidR="00B055F3" w:rsidRPr="007E4DA1" w:rsidRDefault="00B055F3" w:rsidP="00DE1596"/>
    <w:p w14:paraId="1AD0E046" w14:textId="77777777" w:rsidR="00B055F3" w:rsidRPr="007E4DA1" w:rsidRDefault="00B055F3" w:rsidP="00DE1596"/>
    <w:p w14:paraId="5A3899E5" w14:textId="77777777" w:rsidR="00B055F3" w:rsidRPr="007E4DA1" w:rsidRDefault="00B055F3" w:rsidP="00DE1596"/>
    <w:p w14:paraId="4874D66F" w14:textId="77777777" w:rsidR="00B055F3" w:rsidRPr="007E4DA1" w:rsidRDefault="00B055F3" w:rsidP="00DE1596"/>
    <w:p w14:paraId="45533DE9" w14:textId="77777777" w:rsidR="00B055F3" w:rsidRPr="007E4DA1" w:rsidRDefault="00B055F3" w:rsidP="00DE1596"/>
    <w:p w14:paraId="257AE877" w14:textId="77777777" w:rsidR="00B055F3" w:rsidRPr="007E4DA1" w:rsidRDefault="00B055F3" w:rsidP="00DE1596"/>
    <w:p w14:paraId="7734E861" w14:textId="77777777" w:rsidR="00B055F3" w:rsidRPr="007E4DA1" w:rsidRDefault="00B055F3" w:rsidP="00DE1596"/>
    <w:p w14:paraId="43C3D88F" w14:textId="77777777" w:rsidR="00AA3184" w:rsidRPr="007E4DA1" w:rsidRDefault="00AA3184" w:rsidP="00DE1596"/>
    <w:p w14:paraId="3A051565" w14:textId="77777777" w:rsidR="00041A08" w:rsidRPr="00041A08" w:rsidRDefault="005B4BC8" w:rsidP="00DE1596">
      <w:pPr>
        <w:jc w:val="center"/>
      </w:pPr>
      <w:r w:rsidRPr="007E4DA1">
        <w:rPr>
          <w:b/>
        </w:rPr>
        <w:t>ANEKS II</w:t>
      </w:r>
    </w:p>
    <w:p w14:paraId="00AA76F4" w14:textId="01C69314" w:rsidR="005B4BC8" w:rsidRPr="007E4DA1" w:rsidRDefault="005B4BC8" w:rsidP="00DE1596">
      <w:pPr>
        <w:ind w:left="0" w:right="1416" w:firstLine="0"/>
        <w:jc w:val="both"/>
      </w:pPr>
    </w:p>
    <w:p w14:paraId="16A52267" w14:textId="77777777" w:rsidR="00041A08" w:rsidRPr="00041A08" w:rsidRDefault="002759A1" w:rsidP="00DE1596">
      <w:pPr>
        <w:tabs>
          <w:tab w:val="left" w:pos="-16018"/>
        </w:tabs>
        <w:ind w:left="1701" w:right="1150"/>
      </w:pPr>
      <w:r w:rsidRPr="007E4DA1">
        <w:rPr>
          <w:b/>
        </w:rPr>
        <w:t>A.</w:t>
      </w:r>
      <w:r w:rsidRPr="007E4DA1">
        <w:rPr>
          <w:b/>
        </w:rPr>
        <w:tab/>
      </w:r>
      <w:r w:rsidR="005B4BC8" w:rsidRPr="007E4DA1">
        <w:rPr>
          <w:b/>
        </w:rPr>
        <w:t>WYTWÓRC</w:t>
      </w:r>
      <w:r w:rsidR="00865A45" w:rsidRPr="007E4DA1">
        <w:rPr>
          <w:b/>
        </w:rPr>
        <w:t>Y</w:t>
      </w:r>
      <w:r w:rsidR="005B4BC8" w:rsidRPr="007E4DA1">
        <w:rPr>
          <w:b/>
        </w:rPr>
        <w:t xml:space="preserve"> OD</w:t>
      </w:r>
      <w:smartTag w:uri="schemas-GSKSiteLocations-com/fourthcoffee" w:element="flavor">
        <w:r w:rsidR="005B4BC8" w:rsidRPr="007E4DA1">
          <w:rPr>
            <w:b/>
          </w:rPr>
          <w:t>POW</w:t>
        </w:r>
      </w:smartTag>
      <w:r w:rsidR="005B4BC8" w:rsidRPr="007E4DA1">
        <w:rPr>
          <w:b/>
        </w:rPr>
        <w:t>IEDZIALN</w:t>
      </w:r>
      <w:r w:rsidR="00865A45" w:rsidRPr="007E4DA1">
        <w:rPr>
          <w:b/>
        </w:rPr>
        <w:t>I</w:t>
      </w:r>
      <w:r w:rsidR="005B4BC8" w:rsidRPr="007E4DA1">
        <w:rPr>
          <w:b/>
        </w:rPr>
        <w:t xml:space="preserve"> ZA ZWOLNIENIE SERII</w:t>
      </w:r>
    </w:p>
    <w:p w14:paraId="375F4F6A" w14:textId="7012A732" w:rsidR="005B4BC8" w:rsidRPr="007E4DA1" w:rsidRDefault="005B4BC8" w:rsidP="00DE1596">
      <w:pPr>
        <w:ind w:left="0" w:right="1416" w:firstLine="0"/>
        <w:jc w:val="both"/>
        <w:rPr>
          <w:bCs/>
        </w:rPr>
      </w:pPr>
    </w:p>
    <w:p w14:paraId="309FB597" w14:textId="77777777" w:rsidR="00041A08" w:rsidRPr="00041A08" w:rsidRDefault="002759A1" w:rsidP="00DE1596">
      <w:pPr>
        <w:tabs>
          <w:tab w:val="left" w:pos="-16018"/>
        </w:tabs>
        <w:ind w:left="1701" w:right="1150"/>
      </w:pPr>
      <w:r w:rsidRPr="007E4DA1">
        <w:rPr>
          <w:b/>
        </w:rPr>
        <w:t>B.</w:t>
      </w:r>
      <w:r w:rsidRPr="007E4DA1">
        <w:rPr>
          <w:b/>
        </w:rPr>
        <w:tab/>
      </w:r>
      <w:r w:rsidR="005B4BC8" w:rsidRPr="007E4DA1">
        <w:rPr>
          <w:b/>
        </w:rPr>
        <w:t xml:space="preserve">WARUNKI </w:t>
      </w:r>
      <w:r w:rsidR="00C96100" w:rsidRPr="007E4DA1">
        <w:rPr>
          <w:b/>
        </w:rPr>
        <w:t>LUB OGRANICZENIA DOTYCZĄCE ZAOPATRZENIA I STOSOWANIA</w:t>
      </w:r>
    </w:p>
    <w:p w14:paraId="7F0C5CF3" w14:textId="582578FF" w:rsidR="00C96100" w:rsidRPr="007E4DA1" w:rsidRDefault="00C96100" w:rsidP="00DE1596">
      <w:pPr>
        <w:pStyle w:val="Akapitzlist1"/>
        <w:ind w:left="0" w:hanging="1"/>
      </w:pPr>
    </w:p>
    <w:p w14:paraId="59BA4987" w14:textId="77777777" w:rsidR="00041A08" w:rsidRPr="00041A08" w:rsidRDefault="002759A1" w:rsidP="00DE1596">
      <w:pPr>
        <w:tabs>
          <w:tab w:val="left" w:pos="-16018"/>
        </w:tabs>
        <w:ind w:left="1701" w:right="1150"/>
      </w:pPr>
      <w:r w:rsidRPr="007E4DA1">
        <w:rPr>
          <w:b/>
        </w:rPr>
        <w:t>C.</w:t>
      </w:r>
      <w:r w:rsidRPr="007E4DA1">
        <w:rPr>
          <w:b/>
        </w:rPr>
        <w:tab/>
      </w:r>
      <w:r w:rsidR="00C96100" w:rsidRPr="007E4DA1">
        <w:rPr>
          <w:b/>
        </w:rPr>
        <w:t>INNE WARUNKI I WYMAGANIA DOTYCZĄCE DOPUSZCZENIA DO OBROTU</w:t>
      </w:r>
    </w:p>
    <w:p w14:paraId="562FC146" w14:textId="7A062B5B" w:rsidR="00C96100" w:rsidRPr="007E4DA1" w:rsidRDefault="00C96100" w:rsidP="00DE1596">
      <w:pPr>
        <w:ind w:left="0" w:right="1150" w:firstLine="0"/>
      </w:pPr>
    </w:p>
    <w:p w14:paraId="53A929DF" w14:textId="77777777" w:rsidR="00041A08" w:rsidRPr="00041A08" w:rsidRDefault="008266D5" w:rsidP="00DE1596">
      <w:pPr>
        <w:ind w:left="1701" w:right="850"/>
        <w:rPr>
          <w:szCs w:val="22"/>
        </w:rPr>
      </w:pPr>
      <w:r w:rsidRPr="007E4DA1">
        <w:rPr>
          <w:b/>
          <w:noProof/>
          <w:szCs w:val="22"/>
        </w:rPr>
        <w:t>D.</w:t>
      </w:r>
      <w:r w:rsidRPr="007E4DA1">
        <w:rPr>
          <w:b/>
          <w:szCs w:val="22"/>
        </w:rPr>
        <w:tab/>
      </w:r>
      <w:r w:rsidRPr="007E4DA1">
        <w:rPr>
          <w:b/>
          <w:noProof/>
          <w:szCs w:val="22"/>
        </w:rPr>
        <w:t>WARUNKI LUB OGRANICZENIA DOTYCZĄCE BEZPIECZNEGO I SKUTECZNEGO STOSOWANIA PRODUKTU LECZNICZEGO</w:t>
      </w:r>
    </w:p>
    <w:p w14:paraId="5888096E" w14:textId="5AA3A977" w:rsidR="005B4BC8" w:rsidRPr="007E4DA1" w:rsidRDefault="005B4BC8" w:rsidP="00DE1596">
      <w:pPr>
        <w:ind w:left="0" w:right="1416" w:firstLine="0"/>
        <w:jc w:val="both"/>
        <w:rPr>
          <w:bCs/>
        </w:rPr>
      </w:pPr>
    </w:p>
    <w:p w14:paraId="06DEF732" w14:textId="77777777" w:rsidR="00041A08" w:rsidRPr="00041A08" w:rsidRDefault="005B4BC8" w:rsidP="00620070">
      <w:pPr>
        <w:pStyle w:val="TitleB"/>
        <w:keepNext/>
        <w:ind w:left="0" w:firstLine="0"/>
        <w:outlineLvl w:val="0"/>
        <w:rPr>
          <w:b w:val="0"/>
        </w:rPr>
      </w:pPr>
      <w:r w:rsidRPr="007E4DA1">
        <w:br w:type="page"/>
        <w:t>A.</w:t>
      </w:r>
      <w:r w:rsidRPr="007E4DA1">
        <w:tab/>
        <w:t>WYTWÓRC</w:t>
      </w:r>
      <w:r w:rsidR="002F45B5" w:rsidRPr="007E4DA1">
        <w:t>Y</w:t>
      </w:r>
      <w:r w:rsidRPr="007E4DA1">
        <w:t xml:space="preserve"> OD</w:t>
      </w:r>
      <w:smartTag w:uri="schemas-GSKSiteLocations-com/fourthcoffee" w:element="flavor">
        <w:r w:rsidRPr="007E4DA1">
          <w:t>POW</w:t>
        </w:r>
      </w:smartTag>
      <w:r w:rsidRPr="007E4DA1">
        <w:t>IEDZIALN</w:t>
      </w:r>
      <w:r w:rsidR="00C96100" w:rsidRPr="007E4DA1">
        <w:t>I</w:t>
      </w:r>
      <w:r w:rsidRPr="007E4DA1">
        <w:t xml:space="preserve"> ZA ZWOLNIENIE SERII</w:t>
      </w:r>
    </w:p>
    <w:p w14:paraId="7BB3FBC4" w14:textId="1BB84294" w:rsidR="005B4BC8" w:rsidRPr="007E4DA1" w:rsidRDefault="005B4BC8" w:rsidP="00620070">
      <w:pPr>
        <w:keepNext/>
      </w:pPr>
    </w:p>
    <w:p w14:paraId="42CE7621" w14:textId="77777777" w:rsidR="005B4BC8" w:rsidRPr="007E4DA1" w:rsidRDefault="005B4BC8" w:rsidP="00620070">
      <w:pPr>
        <w:keepNext/>
      </w:pPr>
      <w:r w:rsidRPr="007E4DA1">
        <w:rPr>
          <w:u w:val="single"/>
        </w:rPr>
        <w:t>Nazwa i adres wytwórc</w:t>
      </w:r>
      <w:r w:rsidR="00C44A4D" w:rsidRPr="007E4DA1">
        <w:rPr>
          <w:color w:val="000000"/>
          <w:szCs w:val="22"/>
          <w:u w:val="single"/>
        </w:rPr>
        <w:t>ów</w:t>
      </w:r>
      <w:r w:rsidRPr="007E4DA1">
        <w:rPr>
          <w:u w:val="single"/>
        </w:rPr>
        <w:t xml:space="preserve"> odpowiedzialn</w:t>
      </w:r>
      <w:r w:rsidR="00C44A4D" w:rsidRPr="007E4DA1">
        <w:rPr>
          <w:u w:val="single"/>
        </w:rPr>
        <w:t>ych</w:t>
      </w:r>
      <w:r w:rsidRPr="007E4DA1">
        <w:rPr>
          <w:u w:val="single"/>
        </w:rPr>
        <w:t xml:space="preserve"> za zwolnienie serii</w:t>
      </w:r>
    </w:p>
    <w:p w14:paraId="0596A76F" w14:textId="77777777" w:rsidR="005B4BC8" w:rsidRPr="007E4DA1" w:rsidRDefault="005B4BC8" w:rsidP="00620070">
      <w:pPr>
        <w:keepNext/>
      </w:pPr>
    </w:p>
    <w:p w14:paraId="10423F6C" w14:textId="77777777" w:rsidR="00041A08" w:rsidRPr="00041A08" w:rsidRDefault="00CA02C5" w:rsidP="00620070">
      <w:pPr>
        <w:keepNext/>
        <w:rPr>
          <w:lang w:val="pt-BR"/>
        </w:rPr>
      </w:pPr>
      <w:r w:rsidRPr="007E4DA1">
        <w:rPr>
          <w:u w:val="single"/>
          <w:lang w:val="pt-BR"/>
        </w:rPr>
        <w:t>Revolade 12,5 mg, 25 mg, 50 mg i 75 mg tabletki powlekane:</w:t>
      </w:r>
    </w:p>
    <w:p w14:paraId="04E02BD4" w14:textId="7DA724F8" w:rsidR="009C078A" w:rsidRPr="007E4DA1" w:rsidRDefault="009C078A" w:rsidP="00620070">
      <w:pPr>
        <w:keepNext/>
        <w:rPr>
          <w:lang w:val="pt-BR"/>
        </w:rPr>
      </w:pPr>
    </w:p>
    <w:p w14:paraId="38B1DB61" w14:textId="77777777" w:rsidR="00FA7996" w:rsidRPr="007E4DA1" w:rsidRDefault="00FA7996" w:rsidP="00620070">
      <w:pPr>
        <w:keepNext/>
        <w:rPr>
          <w:bCs/>
          <w:szCs w:val="22"/>
        </w:rPr>
      </w:pPr>
      <w:r w:rsidRPr="007E4DA1">
        <w:rPr>
          <w:bCs/>
          <w:szCs w:val="22"/>
        </w:rPr>
        <w:t>Lek d.d</w:t>
      </w:r>
    </w:p>
    <w:p w14:paraId="1A39EAA9" w14:textId="77777777" w:rsidR="00FA7996" w:rsidRPr="007E4DA1" w:rsidRDefault="00FA7996" w:rsidP="00620070">
      <w:pPr>
        <w:keepNext/>
        <w:rPr>
          <w:bCs/>
          <w:szCs w:val="22"/>
        </w:rPr>
      </w:pPr>
      <w:r w:rsidRPr="007E4DA1">
        <w:rPr>
          <w:bCs/>
          <w:szCs w:val="22"/>
        </w:rPr>
        <w:t>Verovskova Ulica 57</w:t>
      </w:r>
    </w:p>
    <w:p w14:paraId="3AEC27BE" w14:textId="77777777" w:rsidR="00FA7996" w:rsidRPr="00F24E3F" w:rsidRDefault="00FA7996" w:rsidP="00620070">
      <w:pPr>
        <w:keepNext/>
        <w:rPr>
          <w:bCs/>
          <w:szCs w:val="22"/>
          <w:lang w:val="en-US"/>
        </w:rPr>
      </w:pPr>
      <w:r w:rsidRPr="00F24E3F">
        <w:rPr>
          <w:bCs/>
          <w:szCs w:val="22"/>
          <w:lang w:val="en-US"/>
        </w:rPr>
        <w:t>Ljubljana 1526</w:t>
      </w:r>
    </w:p>
    <w:p w14:paraId="10BD6F68" w14:textId="77777777" w:rsidR="00FA7996" w:rsidRPr="00F24E3F" w:rsidRDefault="00FA7996" w:rsidP="00DE1596">
      <w:pPr>
        <w:rPr>
          <w:bCs/>
          <w:szCs w:val="22"/>
          <w:lang w:val="en-US"/>
        </w:rPr>
      </w:pPr>
      <w:proofErr w:type="spellStart"/>
      <w:r w:rsidRPr="00F24E3F">
        <w:rPr>
          <w:bCs/>
          <w:szCs w:val="22"/>
          <w:lang w:val="en-US"/>
        </w:rPr>
        <w:t>Słowenia</w:t>
      </w:r>
      <w:proofErr w:type="spellEnd"/>
    </w:p>
    <w:p w14:paraId="266004C3" w14:textId="77777777" w:rsidR="00074D4A" w:rsidRPr="00583DFF" w:rsidRDefault="00074D4A" w:rsidP="00DE1596">
      <w:pPr>
        <w:rPr>
          <w:bCs/>
          <w:szCs w:val="22"/>
          <w:lang w:val="en-US"/>
        </w:rPr>
      </w:pPr>
    </w:p>
    <w:p w14:paraId="4CA37452" w14:textId="77777777" w:rsidR="00074D4A" w:rsidRPr="00583DFF" w:rsidRDefault="00074D4A" w:rsidP="00620070">
      <w:pPr>
        <w:keepNext/>
        <w:rPr>
          <w:bCs/>
          <w:szCs w:val="22"/>
          <w:lang w:val="en-US"/>
        </w:rPr>
      </w:pPr>
      <w:r w:rsidRPr="00583DFF">
        <w:rPr>
          <w:bCs/>
          <w:szCs w:val="22"/>
          <w:lang w:val="en-US"/>
        </w:rPr>
        <w:t>Novartis Pharmaceutical Manufacturing LLC</w:t>
      </w:r>
    </w:p>
    <w:p w14:paraId="35B25292" w14:textId="77777777" w:rsidR="00074D4A" w:rsidRPr="00F727F1" w:rsidRDefault="00074D4A" w:rsidP="00620070">
      <w:pPr>
        <w:keepNext/>
        <w:rPr>
          <w:bCs/>
          <w:szCs w:val="22"/>
          <w:lang w:val="fr-CH"/>
        </w:rPr>
      </w:pPr>
      <w:proofErr w:type="spellStart"/>
      <w:r w:rsidRPr="00F727F1">
        <w:rPr>
          <w:bCs/>
          <w:szCs w:val="22"/>
          <w:lang w:val="fr-CH"/>
        </w:rPr>
        <w:t>Verovskova</w:t>
      </w:r>
      <w:proofErr w:type="spellEnd"/>
      <w:r w:rsidRPr="00F727F1">
        <w:rPr>
          <w:bCs/>
          <w:szCs w:val="22"/>
          <w:lang w:val="fr-CH"/>
        </w:rPr>
        <w:t xml:space="preserve"> </w:t>
      </w:r>
      <w:proofErr w:type="spellStart"/>
      <w:r w:rsidRPr="00F727F1">
        <w:rPr>
          <w:bCs/>
          <w:szCs w:val="22"/>
          <w:lang w:val="fr-CH"/>
        </w:rPr>
        <w:t>Ulica</w:t>
      </w:r>
      <w:proofErr w:type="spellEnd"/>
      <w:r w:rsidRPr="00F727F1">
        <w:rPr>
          <w:bCs/>
          <w:szCs w:val="22"/>
          <w:lang w:val="fr-CH"/>
        </w:rPr>
        <w:t xml:space="preserve"> 57</w:t>
      </w:r>
    </w:p>
    <w:p w14:paraId="15166A48" w14:textId="77777777" w:rsidR="00074D4A" w:rsidRPr="00636F9A" w:rsidRDefault="00074D4A" w:rsidP="00620070">
      <w:pPr>
        <w:keepNext/>
        <w:rPr>
          <w:bCs/>
          <w:szCs w:val="22"/>
          <w:lang w:val="es-ES"/>
        </w:rPr>
      </w:pPr>
      <w:proofErr w:type="spellStart"/>
      <w:r w:rsidRPr="00636F9A">
        <w:rPr>
          <w:bCs/>
          <w:szCs w:val="22"/>
          <w:lang w:val="es-ES"/>
        </w:rPr>
        <w:t>Ljubljana</w:t>
      </w:r>
      <w:proofErr w:type="spellEnd"/>
      <w:r w:rsidRPr="00636F9A">
        <w:rPr>
          <w:bCs/>
          <w:szCs w:val="22"/>
          <w:lang w:val="es-ES"/>
        </w:rPr>
        <w:t xml:space="preserve"> 1</w:t>
      </w:r>
      <w:r>
        <w:rPr>
          <w:bCs/>
          <w:szCs w:val="22"/>
          <w:lang w:val="es-ES"/>
        </w:rPr>
        <w:t>000</w:t>
      </w:r>
    </w:p>
    <w:p w14:paraId="7D449B81" w14:textId="77777777" w:rsidR="00F727F1" w:rsidRPr="003D2760" w:rsidRDefault="00F727F1" w:rsidP="00DE1596">
      <w:pPr>
        <w:rPr>
          <w:bCs/>
          <w:szCs w:val="22"/>
        </w:rPr>
      </w:pPr>
      <w:r w:rsidRPr="003D2760">
        <w:rPr>
          <w:bCs/>
          <w:szCs w:val="22"/>
        </w:rPr>
        <w:t>Słowenia</w:t>
      </w:r>
    </w:p>
    <w:p w14:paraId="4E6791EB" w14:textId="77777777" w:rsidR="00FA7996" w:rsidRPr="007E4DA1" w:rsidRDefault="00FA7996" w:rsidP="00DE1596">
      <w:pPr>
        <w:rPr>
          <w:bCs/>
          <w:szCs w:val="22"/>
          <w:lang w:val="fr-CH"/>
        </w:rPr>
      </w:pPr>
    </w:p>
    <w:p w14:paraId="26FE2654" w14:textId="77777777" w:rsidR="008B4CA4" w:rsidRPr="007E4DA1" w:rsidRDefault="008B4CA4" w:rsidP="00620070">
      <w:pPr>
        <w:keepNext/>
        <w:numPr>
          <w:ilvl w:val="12"/>
          <w:numId w:val="0"/>
        </w:numPr>
        <w:rPr>
          <w:szCs w:val="22"/>
          <w:lang w:val="pt-BR"/>
        </w:rPr>
      </w:pPr>
      <w:r w:rsidRPr="007E4DA1">
        <w:rPr>
          <w:szCs w:val="22"/>
          <w:lang w:val="pt-BR"/>
        </w:rPr>
        <w:t>Novartis Farmacéutica SA</w:t>
      </w:r>
    </w:p>
    <w:p w14:paraId="083AB1E7" w14:textId="77777777" w:rsidR="006D31E4" w:rsidRPr="007E4DA1" w:rsidRDefault="006D31E4" w:rsidP="00620070">
      <w:pPr>
        <w:keepNext/>
        <w:rPr>
          <w:bCs/>
          <w:szCs w:val="22"/>
          <w:lang w:val="es-ES"/>
        </w:rPr>
      </w:pPr>
      <w:r w:rsidRPr="007E4DA1">
        <w:rPr>
          <w:bCs/>
          <w:szCs w:val="22"/>
          <w:lang w:val="es-ES"/>
        </w:rPr>
        <w:t xml:space="preserve">Gran </w:t>
      </w:r>
      <w:proofErr w:type="spellStart"/>
      <w:r w:rsidRPr="007E4DA1">
        <w:rPr>
          <w:bCs/>
          <w:szCs w:val="22"/>
          <w:lang w:val="es-ES"/>
        </w:rPr>
        <w:t>Via</w:t>
      </w:r>
      <w:proofErr w:type="spellEnd"/>
      <w:r w:rsidRPr="007E4DA1">
        <w:rPr>
          <w:bCs/>
          <w:szCs w:val="22"/>
          <w:lang w:val="es-ES"/>
        </w:rPr>
        <w:t xml:space="preserve"> de les Corts Catalanes, 764</w:t>
      </w:r>
    </w:p>
    <w:p w14:paraId="4EC7A330" w14:textId="77777777" w:rsidR="006D31E4" w:rsidRPr="007E4DA1" w:rsidRDefault="006D31E4" w:rsidP="00620070">
      <w:pPr>
        <w:keepNext/>
        <w:rPr>
          <w:bCs/>
          <w:szCs w:val="22"/>
          <w:lang w:val="es-ES"/>
        </w:rPr>
      </w:pPr>
      <w:r w:rsidRPr="007E4DA1">
        <w:rPr>
          <w:bCs/>
          <w:szCs w:val="22"/>
          <w:lang w:val="es-ES"/>
        </w:rPr>
        <w:t>08013 Barcelona</w:t>
      </w:r>
    </w:p>
    <w:p w14:paraId="6D5E2948" w14:textId="77777777" w:rsidR="008B4CA4" w:rsidRPr="007E4DA1" w:rsidRDefault="008B4CA4" w:rsidP="00DE1596">
      <w:pPr>
        <w:numPr>
          <w:ilvl w:val="12"/>
          <w:numId w:val="0"/>
        </w:numPr>
        <w:rPr>
          <w:szCs w:val="22"/>
          <w:lang w:val="it-IT"/>
        </w:rPr>
      </w:pPr>
      <w:r w:rsidRPr="007E4DA1">
        <w:rPr>
          <w:szCs w:val="22"/>
          <w:lang w:val="it-IT"/>
        </w:rPr>
        <w:t>Hiszpania</w:t>
      </w:r>
    </w:p>
    <w:p w14:paraId="5062A17F" w14:textId="77777777" w:rsidR="008B4CA4" w:rsidRPr="007E4DA1" w:rsidRDefault="008B4CA4" w:rsidP="00DE1596">
      <w:pPr>
        <w:numPr>
          <w:ilvl w:val="12"/>
          <w:numId w:val="0"/>
        </w:numPr>
        <w:rPr>
          <w:szCs w:val="22"/>
          <w:lang w:val="it-IT"/>
        </w:rPr>
      </w:pPr>
    </w:p>
    <w:p w14:paraId="72DA662B" w14:textId="5B5D8BE4" w:rsidR="00C44A4D" w:rsidRPr="007E4DA1" w:rsidDel="004C64BF" w:rsidRDefault="00C44A4D" w:rsidP="00620070">
      <w:pPr>
        <w:keepNext/>
        <w:numPr>
          <w:ilvl w:val="12"/>
          <w:numId w:val="0"/>
        </w:numPr>
        <w:rPr>
          <w:del w:id="15" w:author="Author"/>
          <w:rFonts w:eastAsia="Calibri"/>
          <w:noProof/>
          <w:color w:val="000000"/>
          <w:szCs w:val="22"/>
          <w:lang w:val="it-IT" w:eastAsia="en-US"/>
        </w:rPr>
      </w:pPr>
      <w:del w:id="16" w:author="Author">
        <w:r w:rsidRPr="007E4DA1" w:rsidDel="004C64BF">
          <w:rPr>
            <w:rFonts w:eastAsia="Calibri"/>
            <w:noProof/>
            <w:color w:val="000000"/>
            <w:szCs w:val="22"/>
            <w:lang w:val="it-IT" w:eastAsia="en-US"/>
          </w:rPr>
          <w:delText>Novartis Pharma GmbH</w:delText>
        </w:r>
      </w:del>
    </w:p>
    <w:p w14:paraId="3F8E6214" w14:textId="78D5526B" w:rsidR="00C44A4D" w:rsidRPr="007E4DA1" w:rsidDel="004C64BF" w:rsidRDefault="00C44A4D" w:rsidP="00620070">
      <w:pPr>
        <w:keepNext/>
        <w:numPr>
          <w:ilvl w:val="12"/>
          <w:numId w:val="0"/>
        </w:numPr>
        <w:rPr>
          <w:del w:id="17" w:author="Author"/>
          <w:rFonts w:eastAsia="Calibri"/>
          <w:noProof/>
          <w:color w:val="000000"/>
          <w:szCs w:val="22"/>
          <w:lang w:val="pt-BR" w:eastAsia="en-US"/>
        </w:rPr>
      </w:pPr>
      <w:del w:id="18" w:author="Author">
        <w:r w:rsidRPr="007E4DA1" w:rsidDel="004C64BF">
          <w:rPr>
            <w:rFonts w:eastAsia="Calibri"/>
            <w:noProof/>
            <w:color w:val="000000"/>
            <w:szCs w:val="22"/>
            <w:lang w:val="pt-BR" w:eastAsia="en-US"/>
          </w:rPr>
          <w:delText>Roonstraße 25</w:delText>
        </w:r>
      </w:del>
    </w:p>
    <w:p w14:paraId="545566D1" w14:textId="4B8C992B" w:rsidR="00C44A4D" w:rsidRPr="007E4DA1" w:rsidDel="004C64BF" w:rsidRDefault="00C44A4D" w:rsidP="00620070">
      <w:pPr>
        <w:keepNext/>
        <w:numPr>
          <w:ilvl w:val="12"/>
          <w:numId w:val="0"/>
        </w:numPr>
        <w:rPr>
          <w:del w:id="19" w:author="Author"/>
          <w:rFonts w:eastAsia="Calibri"/>
          <w:noProof/>
          <w:color w:val="000000"/>
          <w:szCs w:val="22"/>
          <w:lang w:val="pt-BR" w:eastAsia="en-US"/>
        </w:rPr>
      </w:pPr>
      <w:del w:id="20" w:author="Author">
        <w:r w:rsidRPr="007E4DA1" w:rsidDel="004C64BF">
          <w:rPr>
            <w:rFonts w:eastAsia="Calibri"/>
            <w:noProof/>
            <w:color w:val="000000"/>
            <w:szCs w:val="22"/>
            <w:lang w:val="pt-BR" w:eastAsia="en-US"/>
          </w:rPr>
          <w:delText>D-90429 Norymberga</w:delText>
        </w:r>
      </w:del>
    </w:p>
    <w:p w14:paraId="6B5639B0" w14:textId="144578E9" w:rsidR="00C44A4D" w:rsidRPr="007E4DA1" w:rsidDel="004C64BF" w:rsidRDefault="00C44A4D" w:rsidP="00DE1596">
      <w:pPr>
        <w:ind w:left="0" w:firstLine="0"/>
        <w:rPr>
          <w:del w:id="21" w:author="Author"/>
          <w:rFonts w:eastAsia="Calibri"/>
          <w:noProof/>
          <w:color w:val="000000"/>
          <w:szCs w:val="22"/>
          <w:lang w:val="pt-BR" w:eastAsia="en-US"/>
        </w:rPr>
      </w:pPr>
      <w:del w:id="22" w:author="Author">
        <w:r w:rsidRPr="007E4DA1" w:rsidDel="004C64BF">
          <w:rPr>
            <w:rFonts w:eastAsia="Calibri"/>
            <w:noProof/>
            <w:color w:val="000000"/>
            <w:szCs w:val="22"/>
            <w:lang w:val="pt-BR" w:eastAsia="en-US"/>
          </w:rPr>
          <w:delText>Niemcy</w:delText>
        </w:r>
      </w:del>
    </w:p>
    <w:p w14:paraId="65F00601" w14:textId="483C4F25" w:rsidR="00E67E24" w:rsidRPr="007E4DA1" w:rsidDel="004C64BF" w:rsidRDefault="00E67E24" w:rsidP="00DE1596">
      <w:pPr>
        <w:rPr>
          <w:del w:id="23" w:author="Author"/>
          <w:lang w:val="pt-BR"/>
        </w:rPr>
      </w:pPr>
    </w:p>
    <w:p w14:paraId="442331F3" w14:textId="77777777" w:rsidR="008B4CA4" w:rsidRPr="007E4DA1" w:rsidRDefault="008B4CA4" w:rsidP="00620070">
      <w:pPr>
        <w:keepNext/>
        <w:rPr>
          <w:bCs/>
          <w:szCs w:val="22"/>
          <w:lang w:val="pt-BR"/>
        </w:rPr>
      </w:pPr>
      <w:r w:rsidRPr="007E4DA1">
        <w:rPr>
          <w:bCs/>
          <w:szCs w:val="22"/>
          <w:lang w:val="pt-BR"/>
        </w:rPr>
        <w:t>Glaxo Wellcome S.A.</w:t>
      </w:r>
    </w:p>
    <w:p w14:paraId="15400C19" w14:textId="77777777" w:rsidR="008B4CA4" w:rsidRPr="007E4DA1" w:rsidRDefault="008B4CA4" w:rsidP="00620070">
      <w:pPr>
        <w:keepNext/>
        <w:rPr>
          <w:lang w:val="pt-BR"/>
        </w:rPr>
      </w:pPr>
      <w:r w:rsidRPr="007E4DA1">
        <w:rPr>
          <w:lang w:val="pt-BR"/>
        </w:rPr>
        <w:t>Avenida de Extremadura 3</w:t>
      </w:r>
    </w:p>
    <w:p w14:paraId="551CE63C" w14:textId="77777777" w:rsidR="008B4CA4" w:rsidRPr="007E4DA1" w:rsidRDefault="008B4CA4" w:rsidP="00620070">
      <w:pPr>
        <w:keepNext/>
        <w:rPr>
          <w:lang w:val="it-IT"/>
        </w:rPr>
      </w:pPr>
      <w:r w:rsidRPr="007E4DA1">
        <w:rPr>
          <w:lang w:val="it-IT"/>
        </w:rPr>
        <w:t>09400 Aranda de Duero</w:t>
      </w:r>
    </w:p>
    <w:p w14:paraId="50B96CC1" w14:textId="77777777" w:rsidR="008B4CA4" w:rsidRPr="00416C42" w:rsidRDefault="008B4CA4" w:rsidP="00620070">
      <w:pPr>
        <w:keepNext/>
      </w:pPr>
      <w:r w:rsidRPr="00416C42">
        <w:t>Burgos</w:t>
      </w:r>
    </w:p>
    <w:p w14:paraId="748E0399" w14:textId="77777777" w:rsidR="008B4CA4" w:rsidRPr="00416C42" w:rsidRDefault="008B4CA4" w:rsidP="00DE1596">
      <w:pPr>
        <w:rPr>
          <w:bCs/>
          <w:szCs w:val="22"/>
        </w:rPr>
      </w:pPr>
      <w:r w:rsidRPr="00416C42">
        <w:rPr>
          <w:bCs/>
          <w:szCs w:val="22"/>
        </w:rPr>
        <w:t>Hiszpania</w:t>
      </w:r>
    </w:p>
    <w:p w14:paraId="072CFC79" w14:textId="77777777" w:rsidR="008B4CA4" w:rsidRPr="00416C42" w:rsidRDefault="008B4CA4" w:rsidP="00DE1596"/>
    <w:p w14:paraId="43AEC116" w14:textId="77777777" w:rsidR="00F2699F" w:rsidRPr="00C60EE4" w:rsidRDefault="00F2699F" w:rsidP="00DE1596">
      <w:pPr>
        <w:keepNext/>
        <w:rPr>
          <w:rFonts w:eastAsia="Aptos"/>
          <w:szCs w:val="22"/>
          <w:lang w:val="de-CH" w:eastAsia="de-CH"/>
        </w:rPr>
      </w:pPr>
      <w:bookmarkStart w:id="24" w:name="_Hlk172709261"/>
      <w:r w:rsidRPr="00C60EE4">
        <w:rPr>
          <w:rFonts w:eastAsia="Aptos"/>
          <w:szCs w:val="22"/>
          <w:lang w:val="de-CH" w:eastAsia="de-CH"/>
        </w:rPr>
        <w:t>Novartis Pharma GmbH</w:t>
      </w:r>
    </w:p>
    <w:p w14:paraId="22325198" w14:textId="77777777" w:rsidR="00F2699F" w:rsidRPr="00C60EE4" w:rsidRDefault="00F2699F" w:rsidP="00DE1596">
      <w:pPr>
        <w:keepNext/>
        <w:rPr>
          <w:rFonts w:eastAsia="Aptos"/>
          <w:szCs w:val="22"/>
          <w:lang w:val="de-CH" w:eastAsia="de-CH"/>
        </w:rPr>
      </w:pPr>
      <w:r w:rsidRPr="00C60EE4">
        <w:rPr>
          <w:rFonts w:eastAsia="Aptos"/>
          <w:szCs w:val="22"/>
          <w:lang w:val="de-CH" w:eastAsia="de-CH"/>
        </w:rPr>
        <w:t>Sophie-Germain-Strasse 10</w:t>
      </w:r>
    </w:p>
    <w:p w14:paraId="7F70FD92" w14:textId="77777777" w:rsidR="00F2699F" w:rsidRPr="00C60EE4" w:rsidRDefault="00F2699F" w:rsidP="00DE1596">
      <w:pPr>
        <w:keepNext/>
        <w:rPr>
          <w:rFonts w:eastAsia="Aptos"/>
          <w:szCs w:val="22"/>
          <w:lang w:val="de-CH" w:eastAsia="de-CH"/>
        </w:rPr>
      </w:pPr>
      <w:r w:rsidRPr="00C60EE4">
        <w:rPr>
          <w:rFonts w:eastAsia="Aptos"/>
          <w:szCs w:val="22"/>
          <w:lang w:val="de-CH" w:eastAsia="de-CH"/>
        </w:rPr>
        <w:t>90443 Nürnberg</w:t>
      </w:r>
    </w:p>
    <w:p w14:paraId="13D6F733" w14:textId="2CBCC393" w:rsidR="00F2699F" w:rsidRDefault="00F2699F" w:rsidP="00DE1596">
      <w:r w:rsidRPr="003D2760">
        <w:rPr>
          <w:szCs w:val="22"/>
        </w:rPr>
        <w:t>Niemcy</w:t>
      </w:r>
      <w:bookmarkEnd w:id="24"/>
    </w:p>
    <w:p w14:paraId="27BE00C8" w14:textId="77777777" w:rsidR="00F2699F" w:rsidRPr="007E4DA1" w:rsidRDefault="00F2699F" w:rsidP="00DE1596"/>
    <w:p w14:paraId="6EAF86A5" w14:textId="77777777" w:rsidR="00041A08" w:rsidRPr="00041A08" w:rsidRDefault="00CA02C5" w:rsidP="00620070">
      <w:pPr>
        <w:keepNext/>
        <w:rPr>
          <w:szCs w:val="22"/>
        </w:rPr>
      </w:pPr>
      <w:r w:rsidRPr="007E4DA1">
        <w:rPr>
          <w:u w:val="single"/>
        </w:rPr>
        <w:t xml:space="preserve">Revolade 25 mg </w:t>
      </w:r>
      <w:r w:rsidRPr="007E4DA1">
        <w:rPr>
          <w:szCs w:val="22"/>
          <w:u w:val="single"/>
        </w:rPr>
        <w:t>proszek do sporządzania zawiesiny doustnej:</w:t>
      </w:r>
    </w:p>
    <w:p w14:paraId="6324C9D3" w14:textId="5887D97D" w:rsidR="00CA02C5" w:rsidRPr="007E4DA1" w:rsidRDefault="00CA02C5" w:rsidP="00620070">
      <w:pPr>
        <w:keepNext/>
        <w:rPr>
          <w:szCs w:val="22"/>
        </w:rPr>
      </w:pPr>
    </w:p>
    <w:p w14:paraId="155F9506" w14:textId="77777777" w:rsidR="00DF342E" w:rsidRPr="007E4DA1" w:rsidRDefault="00DF342E" w:rsidP="00620070">
      <w:pPr>
        <w:keepNext/>
        <w:rPr>
          <w:bCs/>
          <w:szCs w:val="22"/>
        </w:rPr>
      </w:pPr>
      <w:r w:rsidRPr="007E4DA1">
        <w:rPr>
          <w:bCs/>
          <w:szCs w:val="22"/>
        </w:rPr>
        <w:t>Lek d.d</w:t>
      </w:r>
    </w:p>
    <w:p w14:paraId="0EE4B3D7" w14:textId="77777777" w:rsidR="00DF342E" w:rsidRPr="007E4DA1" w:rsidRDefault="00DF342E" w:rsidP="00620070">
      <w:pPr>
        <w:keepNext/>
        <w:rPr>
          <w:bCs/>
          <w:szCs w:val="22"/>
        </w:rPr>
      </w:pPr>
      <w:r w:rsidRPr="007E4DA1">
        <w:rPr>
          <w:bCs/>
          <w:szCs w:val="22"/>
        </w:rPr>
        <w:t>Verovskova Ulica 57</w:t>
      </w:r>
    </w:p>
    <w:p w14:paraId="76D3FC78" w14:textId="77777777" w:rsidR="00DF342E" w:rsidRPr="0072587B" w:rsidRDefault="00DF342E" w:rsidP="00620070">
      <w:pPr>
        <w:keepNext/>
        <w:rPr>
          <w:bCs/>
          <w:szCs w:val="22"/>
        </w:rPr>
      </w:pPr>
      <w:r w:rsidRPr="0072587B">
        <w:rPr>
          <w:bCs/>
          <w:szCs w:val="22"/>
        </w:rPr>
        <w:t>Ljubljana 1526</w:t>
      </w:r>
    </w:p>
    <w:p w14:paraId="3D897EBB" w14:textId="77777777" w:rsidR="00CA02C5" w:rsidRPr="0072587B" w:rsidRDefault="00DF342E" w:rsidP="00DE1596">
      <w:pPr>
        <w:rPr>
          <w:bCs/>
          <w:szCs w:val="22"/>
        </w:rPr>
      </w:pPr>
      <w:r w:rsidRPr="0072587B">
        <w:rPr>
          <w:bCs/>
          <w:szCs w:val="22"/>
        </w:rPr>
        <w:t>Słowenia</w:t>
      </w:r>
    </w:p>
    <w:p w14:paraId="3395E553" w14:textId="77777777" w:rsidR="00074D4A" w:rsidRPr="00583DFF" w:rsidRDefault="00074D4A" w:rsidP="00DE1596">
      <w:pPr>
        <w:rPr>
          <w:bCs/>
          <w:szCs w:val="22"/>
          <w:lang w:val="en-US"/>
        </w:rPr>
      </w:pPr>
    </w:p>
    <w:p w14:paraId="188B6291" w14:textId="77777777" w:rsidR="00074D4A" w:rsidRPr="00583DFF" w:rsidRDefault="00074D4A" w:rsidP="00620070">
      <w:pPr>
        <w:keepNext/>
        <w:rPr>
          <w:bCs/>
          <w:szCs w:val="22"/>
          <w:lang w:val="en-US"/>
        </w:rPr>
      </w:pPr>
      <w:r w:rsidRPr="00583DFF">
        <w:rPr>
          <w:bCs/>
          <w:szCs w:val="22"/>
          <w:lang w:val="en-US"/>
        </w:rPr>
        <w:t>Novartis Pharmaceutical Manufacturing LLC</w:t>
      </w:r>
    </w:p>
    <w:p w14:paraId="36511E1B" w14:textId="77777777" w:rsidR="00074D4A" w:rsidRPr="00583DFF" w:rsidRDefault="00074D4A" w:rsidP="00620070">
      <w:pPr>
        <w:keepNext/>
        <w:rPr>
          <w:bCs/>
          <w:szCs w:val="22"/>
          <w:lang w:val="en-US"/>
        </w:rPr>
      </w:pPr>
      <w:proofErr w:type="spellStart"/>
      <w:r w:rsidRPr="00583DFF">
        <w:rPr>
          <w:bCs/>
          <w:szCs w:val="22"/>
          <w:lang w:val="en-US"/>
        </w:rPr>
        <w:t>Verovskova</w:t>
      </w:r>
      <w:proofErr w:type="spellEnd"/>
      <w:r w:rsidRPr="00583DFF">
        <w:rPr>
          <w:bCs/>
          <w:szCs w:val="22"/>
          <w:lang w:val="en-US"/>
        </w:rPr>
        <w:t xml:space="preserve"> </w:t>
      </w:r>
      <w:proofErr w:type="spellStart"/>
      <w:r w:rsidRPr="00583DFF">
        <w:rPr>
          <w:bCs/>
          <w:szCs w:val="22"/>
          <w:lang w:val="en-US"/>
        </w:rPr>
        <w:t>Ulica</w:t>
      </w:r>
      <w:proofErr w:type="spellEnd"/>
      <w:r w:rsidRPr="00583DFF">
        <w:rPr>
          <w:bCs/>
          <w:szCs w:val="22"/>
          <w:lang w:val="en-US"/>
        </w:rPr>
        <w:t xml:space="preserve"> 57</w:t>
      </w:r>
    </w:p>
    <w:p w14:paraId="60FCCBF2" w14:textId="77777777" w:rsidR="00074D4A" w:rsidRPr="00636F9A" w:rsidRDefault="00074D4A" w:rsidP="00620070">
      <w:pPr>
        <w:keepNext/>
        <w:rPr>
          <w:bCs/>
          <w:szCs w:val="22"/>
          <w:lang w:val="es-ES"/>
        </w:rPr>
      </w:pPr>
      <w:proofErr w:type="spellStart"/>
      <w:r w:rsidRPr="00636F9A">
        <w:rPr>
          <w:bCs/>
          <w:szCs w:val="22"/>
          <w:lang w:val="es-ES"/>
        </w:rPr>
        <w:t>Ljubljana</w:t>
      </w:r>
      <w:proofErr w:type="spellEnd"/>
      <w:r w:rsidRPr="00636F9A">
        <w:rPr>
          <w:bCs/>
          <w:szCs w:val="22"/>
          <w:lang w:val="es-ES"/>
        </w:rPr>
        <w:t xml:space="preserve"> 1</w:t>
      </w:r>
      <w:r>
        <w:rPr>
          <w:bCs/>
          <w:szCs w:val="22"/>
          <w:lang w:val="es-ES"/>
        </w:rPr>
        <w:t>000</w:t>
      </w:r>
    </w:p>
    <w:p w14:paraId="4E094FAA" w14:textId="77777777" w:rsidR="00F727F1" w:rsidRPr="00726503" w:rsidRDefault="00F727F1" w:rsidP="00DE1596">
      <w:pPr>
        <w:rPr>
          <w:bCs/>
          <w:szCs w:val="22"/>
          <w:lang w:val="en-US"/>
        </w:rPr>
      </w:pPr>
      <w:proofErr w:type="spellStart"/>
      <w:r w:rsidRPr="00726503">
        <w:rPr>
          <w:bCs/>
          <w:szCs w:val="22"/>
          <w:lang w:val="en-US"/>
        </w:rPr>
        <w:t>Słowenia</w:t>
      </w:r>
      <w:proofErr w:type="spellEnd"/>
    </w:p>
    <w:p w14:paraId="5ECF9E94" w14:textId="77777777" w:rsidR="00CA02C5" w:rsidRPr="00F24E3F" w:rsidRDefault="00CA02C5" w:rsidP="00DE1596">
      <w:pPr>
        <w:rPr>
          <w:bCs/>
          <w:szCs w:val="22"/>
          <w:lang w:val="es-ES"/>
        </w:rPr>
      </w:pPr>
    </w:p>
    <w:p w14:paraId="5E037B04" w14:textId="49729ACC" w:rsidR="00CA02C5" w:rsidRPr="007E4DA1" w:rsidDel="004C64BF" w:rsidRDefault="00CA02C5" w:rsidP="00620070">
      <w:pPr>
        <w:keepNext/>
        <w:rPr>
          <w:del w:id="25" w:author="Author"/>
          <w:bCs/>
          <w:szCs w:val="22"/>
          <w:lang w:val="nb-NO"/>
        </w:rPr>
      </w:pPr>
      <w:del w:id="26" w:author="Author">
        <w:r w:rsidRPr="007E4DA1" w:rsidDel="004C64BF">
          <w:rPr>
            <w:bCs/>
            <w:szCs w:val="22"/>
            <w:lang w:val="nb-NO"/>
          </w:rPr>
          <w:delText>Novartis Pharma GmbH</w:delText>
        </w:r>
      </w:del>
    </w:p>
    <w:p w14:paraId="46932DD5" w14:textId="32B13C0A" w:rsidR="00CA02C5" w:rsidRPr="007E4DA1" w:rsidDel="004C64BF" w:rsidRDefault="00CA02C5" w:rsidP="00620070">
      <w:pPr>
        <w:keepNext/>
        <w:rPr>
          <w:del w:id="27" w:author="Author"/>
          <w:bCs/>
          <w:szCs w:val="22"/>
          <w:lang w:val="nb-NO"/>
        </w:rPr>
      </w:pPr>
      <w:del w:id="28" w:author="Author">
        <w:r w:rsidRPr="007E4DA1" w:rsidDel="004C64BF">
          <w:rPr>
            <w:bCs/>
            <w:szCs w:val="22"/>
            <w:lang w:val="nb-NO"/>
          </w:rPr>
          <w:delText>Roonstra</w:delText>
        </w:r>
        <w:r w:rsidRPr="0072587B" w:rsidDel="004C64BF">
          <w:rPr>
            <w:bCs/>
            <w:szCs w:val="22"/>
          </w:rPr>
          <w:delText>ß</w:delText>
        </w:r>
        <w:r w:rsidRPr="007E4DA1" w:rsidDel="004C64BF">
          <w:rPr>
            <w:bCs/>
            <w:szCs w:val="22"/>
            <w:lang w:val="nb-NO"/>
          </w:rPr>
          <w:delText>e 25</w:delText>
        </w:r>
      </w:del>
    </w:p>
    <w:p w14:paraId="17521501" w14:textId="792DB994" w:rsidR="00CA02C5" w:rsidRPr="007E4DA1" w:rsidDel="004C64BF" w:rsidRDefault="00CA02C5" w:rsidP="00620070">
      <w:pPr>
        <w:keepNext/>
        <w:rPr>
          <w:del w:id="29" w:author="Author"/>
          <w:bCs/>
          <w:szCs w:val="22"/>
          <w:lang w:val="nb-NO"/>
        </w:rPr>
      </w:pPr>
      <w:del w:id="30" w:author="Author">
        <w:r w:rsidRPr="007E4DA1" w:rsidDel="004C64BF">
          <w:rPr>
            <w:bCs/>
            <w:szCs w:val="22"/>
            <w:lang w:val="nb-NO"/>
          </w:rPr>
          <w:delText>D-90429 Nuremberg</w:delText>
        </w:r>
      </w:del>
    </w:p>
    <w:p w14:paraId="42FC8BEC" w14:textId="19A1BE31" w:rsidR="00CA02C5" w:rsidRPr="0072587B" w:rsidDel="004C64BF" w:rsidRDefault="00CA02C5" w:rsidP="00DE1596">
      <w:pPr>
        <w:rPr>
          <w:del w:id="31" w:author="Author"/>
          <w:bCs/>
          <w:szCs w:val="22"/>
        </w:rPr>
      </w:pPr>
      <w:del w:id="32" w:author="Author">
        <w:r w:rsidRPr="0072587B" w:rsidDel="004C64BF">
          <w:rPr>
            <w:bCs/>
            <w:szCs w:val="22"/>
          </w:rPr>
          <w:delText>Niemcy</w:delText>
        </w:r>
      </w:del>
    </w:p>
    <w:p w14:paraId="6D90BE4A" w14:textId="6D0A2B93" w:rsidR="00CA02C5" w:rsidRPr="0072587B" w:rsidDel="004C64BF" w:rsidRDefault="00CA02C5" w:rsidP="00DE1596">
      <w:pPr>
        <w:rPr>
          <w:del w:id="33" w:author="Author"/>
        </w:rPr>
      </w:pPr>
    </w:p>
    <w:p w14:paraId="617F354F" w14:textId="77777777" w:rsidR="00F2699F" w:rsidRPr="00C60EE4" w:rsidRDefault="00F2699F" w:rsidP="00DE1596">
      <w:pPr>
        <w:keepNext/>
        <w:rPr>
          <w:rFonts w:eastAsia="Aptos"/>
          <w:szCs w:val="22"/>
          <w:lang w:val="de-CH" w:eastAsia="de-CH"/>
        </w:rPr>
      </w:pPr>
      <w:r w:rsidRPr="00C60EE4">
        <w:rPr>
          <w:rFonts w:eastAsia="Aptos"/>
          <w:szCs w:val="22"/>
          <w:lang w:val="de-CH" w:eastAsia="de-CH"/>
        </w:rPr>
        <w:t>Novartis Pharma GmbH</w:t>
      </w:r>
    </w:p>
    <w:p w14:paraId="682D0CBC" w14:textId="77777777" w:rsidR="00F2699F" w:rsidRPr="00C60EE4" w:rsidRDefault="00F2699F" w:rsidP="00DE1596">
      <w:pPr>
        <w:keepNext/>
        <w:rPr>
          <w:rFonts w:eastAsia="Aptos"/>
          <w:szCs w:val="22"/>
          <w:lang w:val="de-CH" w:eastAsia="de-CH"/>
        </w:rPr>
      </w:pPr>
      <w:r w:rsidRPr="00C60EE4">
        <w:rPr>
          <w:rFonts w:eastAsia="Aptos"/>
          <w:szCs w:val="22"/>
          <w:lang w:val="de-CH" w:eastAsia="de-CH"/>
        </w:rPr>
        <w:t>Sophie-Germain-Strasse 10</w:t>
      </w:r>
    </w:p>
    <w:p w14:paraId="234E7DDD" w14:textId="77777777" w:rsidR="00F2699F" w:rsidRPr="00C60EE4" w:rsidRDefault="00F2699F" w:rsidP="00DE1596">
      <w:pPr>
        <w:keepNext/>
        <w:rPr>
          <w:rFonts w:eastAsia="Aptos"/>
          <w:szCs w:val="22"/>
          <w:lang w:val="de-CH" w:eastAsia="de-CH"/>
        </w:rPr>
      </w:pPr>
      <w:r w:rsidRPr="00C60EE4">
        <w:rPr>
          <w:rFonts w:eastAsia="Aptos"/>
          <w:szCs w:val="22"/>
          <w:lang w:val="de-CH" w:eastAsia="de-CH"/>
        </w:rPr>
        <w:t>90443 Nürnberg</w:t>
      </w:r>
    </w:p>
    <w:p w14:paraId="01749B8A" w14:textId="153F3A8A" w:rsidR="00F2699F" w:rsidRDefault="00F2699F" w:rsidP="00DE1596">
      <w:r w:rsidRPr="00FF2733">
        <w:rPr>
          <w:szCs w:val="22"/>
          <w:lang w:val="de-CH"/>
        </w:rPr>
        <w:t>Niemcy</w:t>
      </w:r>
    </w:p>
    <w:p w14:paraId="7A980ADF" w14:textId="77777777" w:rsidR="00F2699F" w:rsidRPr="007E4DA1" w:rsidRDefault="00F2699F" w:rsidP="00DE1596"/>
    <w:p w14:paraId="64E109C0" w14:textId="77777777" w:rsidR="00EF5A9C" w:rsidRPr="007E4DA1" w:rsidRDefault="00EF5A9C" w:rsidP="00DE1596">
      <w:pPr>
        <w:ind w:left="0" w:firstLine="0"/>
        <w:rPr>
          <w:szCs w:val="24"/>
        </w:rPr>
      </w:pPr>
      <w:r w:rsidRPr="007E4DA1">
        <w:rPr>
          <w:szCs w:val="24"/>
        </w:rPr>
        <w:t>Wydrukowana ulotka dla pacjenta musi zawierać nazwę i adres wytwórcy odpowiedzialnego za zwolnienie danej serii produktu leczniczego.</w:t>
      </w:r>
    </w:p>
    <w:p w14:paraId="2840081B" w14:textId="77777777" w:rsidR="00E67E24" w:rsidRPr="007E4DA1" w:rsidRDefault="00E67E24" w:rsidP="00DE1596"/>
    <w:p w14:paraId="3B83C93A" w14:textId="77777777" w:rsidR="00442DC5" w:rsidRPr="007E4DA1" w:rsidRDefault="00442DC5" w:rsidP="00DE1596"/>
    <w:p w14:paraId="3885BFC6" w14:textId="77777777" w:rsidR="00041A08" w:rsidRPr="00041A08" w:rsidRDefault="005B4BC8" w:rsidP="00DE1596">
      <w:pPr>
        <w:pStyle w:val="TitleB"/>
        <w:keepNext/>
        <w:outlineLvl w:val="0"/>
        <w:rPr>
          <w:b w:val="0"/>
        </w:rPr>
      </w:pPr>
      <w:r w:rsidRPr="007E4DA1">
        <w:t>B.</w:t>
      </w:r>
      <w:r w:rsidRPr="007E4DA1">
        <w:tab/>
        <w:t>WARUNKI</w:t>
      </w:r>
      <w:r w:rsidR="00C96100" w:rsidRPr="007E4DA1">
        <w:t xml:space="preserve"> LUB OGRANICZENIA DOTYCZĄCE ZAOPATRZENIA I STOSOWANIA</w:t>
      </w:r>
    </w:p>
    <w:p w14:paraId="21C42AAA" w14:textId="32BDDAF5" w:rsidR="005B4BC8" w:rsidRPr="007E4DA1" w:rsidRDefault="005B4BC8" w:rsidP="00DE1596">
      <w:pPr>
        <w:keepNext/>
      </w:pPr>
    </w:p>
    <w:p w14:paraId="7DA573E0" w14:textId="77777777" w:rsidR="005B4BC8" w:rsidRPr="007E4DA1" w:rsidRDefault="00E67E24" w:rsidP="00DE1596">
      <w:pPr>
        <w:numPr>
          <w:ilvl w:val="12"/>
          <w:numId w:val="0"/>
        </w:numPr>
      </w:pPr>
      <w:r w:rsidRPr="007E4DA1">
        <w:t xml:space="preserve">Produkt leczniczy wydawany </w:t>
      </w:r>
      <w:r w:rsidR="00ED08C0" w:rsidRPr="007E4DA1">
        <w:t>na receptę</w:t>
      </w:r>
      <w:r w:rsidRPr="007E4DA1">
        <w:t xml:space="preserve"> do zastrzeżonego stosowania (</w:t>
      </w:r>
      <w:r w:rsidR="00ED08C0" w:rsidRPr="007E4DA1">
        <w:t>p</w:t>
      </w:r>
      <w:r w:rsidRPr="007E4DA1">
        <w:t xml:space="preserve">atrz </w:t>
      </w:r>
      <w:r w:rsidR="00ED08C0" w:rsidRPr="007E4DA1">
        <w:t>a</w:t>
      </w:r>
      <w:r w:rsidRPr="007E4DA1">
        <w:t>neks I: Charakterystyka Produktu Leczniczego, punkt</w:t>
      </w:r>
      <w:r w:rsidR="009E3946" w:rsidRPr="007E4DA1">
        <w:t> </w:t>
      </w:r>
      <w:r w:rsidRPr="007E4DA1">
        <w:t>4.2).</w:t>
      </w:r>
    </w:p>
    <w:p w14:paraId="4F5B5A73" w14:textId="77777777" w:rsidR="00E67E24" w:rsidRPr="007E4DA1" w:rsidRDefault="00E67E24" w:rsidP="00DE1596">
      <w:pPr>
        <w:numPr>
          <w:ilvl w:val="12"/>
          <w:numId w:val="0"/>
        </w:numPr>
      </w:pPr>
    </w:p>
    <w:p w14:paraId="7EA9D433" w14:textId="77777777" w:rsidR="00442DC5" w:rsidRPr="007E4DA1" w:rsidRDefault="00442DC5" w:rsidP="00DE1596">
      <w:pPr>
        <w:numPr>
          <w:ilvl w:val="12"/>
          <w:numId w:val="0"/>
        </w:numPr>
      </w:pPr>
    </w:p>
    <w:p w14:paraId="543EB458" w14:textId="77777777" w:rsidR="005B4BC8" w:rsidRPr="007E4DA1" w:rsidRDefault="00C96100" w:rsidP="00DE1596">
      <w:pPr>
        <w:keepNext/>
        <w:outlineLvl w:val="0"/>
      </w:pPr>
      <w:r w:rsidRPr="007E4DA1">
        <w:rPr>
          <w:b/>
        </w:rPr>
        <w:t>C.</w:t>
      </w:r>
      <w:r w:rsidRPr="007E4DA1">
        <w:rPr>
          <w:b/>
        </w:rPr>
        <w:tab/>
        <w:t xml:space="preserve">INNE </w:t>
      </w:r>
      <w:r w:rsidR="005B4BC8" w:rsidRPr="007E4DA1">
        <w:rPr>
          <w:b/>
        </w:rPr>
        <w:t xml:space="preserve">WARUNKI </w:t>
      </w:r>
      <w:r w:rsidRPr="007E4DA1">
        <w:rPr>
          <w:b/>
        </w:rPr>
        <w:t xml:space="preserve">I WYMAGANIA </w:t>
      </w:r>
      <w:r w:rsidR="005B4BC8" w:rsidRPr="007E4DA1">
        <w:rPr>
          <w:b/>
        </w:rPr>
        <w:t xml:space="preserve">DOTYCZĄCE </w:t>
      </w:r>
      <w:r w:rsidRPr="007E4DA1">
        <w:rPr>
          <w:b/>
        </w:rPr>
        <w:t>DOPUSZCZENIA DO OBROTU</w:t>
      </w:r>
    </w:p>
    <w:p w14:paraId="04996BB7" w14:textId="77777777" w:rsidR="008266D5" w:rsidRPr="007E4DA1" w:rsidRDefault="008266D5" w:rsidP="00DE1596">
      <w:pPr>
        <w:keepNext/>
        <w:ind w:right="-1"/>
        <w:rPr>
          <w:noProof/>
          <w:szCs w:val="22"/>
        </w:rPr>
      </w:pPr>
    </w:p>
    <w:p w14:paraId="65950AF3" w14:textId="77777777" w:rsidR="00041A08" w:rsidRPr="00041A08" w:rsidRDefault="008266D5" w:rsidP="00DE1596">
      <w:pPr>
        <w:keepNext/>
        <w:numPr>
          <w:ilvl w:val="0"/>
          <w:numId w:val="11"/>
        </w:numPr>
        <w:tabs>
          <w:tab w:val="clear" w:pos="720"/>
        </w:tabs>
        <w:ind w:left="540" w:right="-1" w:hanging="540"/>
        <w:rPr>
          <w:szCs w:val="22"/>
          <w:lang w:val="en-US"/>
        </w:rPr>
      </w:pPr>
      <w:r w:rsidRPr="007E4DA1">
        <w:rPr>
          <w:b/>
          <w:szCs w:val="22"/>
        </w:rPr>
        <w:t>Okresow</w:t>
      </w:r>
      <w:r w:rsidR="00E8381D" w:rsidRPr="007E4DA1">
        <w:rPr>
          <w:b/>
          <w:szCs w:val="22"/>
        </w:rPr>
        <w:t>e</w:t>
      </w:r>
      <w:r w:rsidRPr="007E4DA1">
        <w:rPr>
          <w:b/>
          <w:szCs w:val="22"/>
        </w:rPr>
        <w:t xml:space="preserve"> raport</w:t>
      </w:r>
      <w:r w:rsidR="00E8381D" w:rsidRPr="007E4DA1">
        <w:rPr>
          <w:b/>
          <w:szCs w:val="22"/>
        </w:rPr>
        <w:t>y</w:t>
      </w:r>
      <w:r w:rsidRPr="007E4DA1">
        <w:rPr>
          <w:b/>
          <w:szCs w:val="22"/>
        </w:rPr>
        <w:t xml:space="preserve"> o </w:t>
      </w:r>
      <w:r w:rsidRPr="007E4DA1">
        <w:rPr>
          <w:b/>
        </w:rPr>
        <w:t>bezpieczeństwie stosowania</w:t>
      </w:r>
      <w:r w:rsidR="00E8381D" w:rsidRPr="007E4DA1">
        <w:rPr>
          <w:b/>
        </w:rPr>
        <w:t xml:space="preserve"> (ang. </w:t>
      </w:r>
      <w:r w:rsidR="00E8381D" w:rsidRPr="007E4DA1">
        <w:rPr>
          <w:b/>
          <w:szCs w:val="22"/>
          <w:lang w:val="en-US"/>
        </w:rPr>
        <w:t>Periodic safety update reports,</w:t>
      </w:r>
      <w:r w:rsidR="00E8381D" w:rsidRPr="007E4DA1">
        <w:rPr>
          <w:b/>
          <w:lang w:val="en-US"/>
        </w:rPr>
        <w:t xml:space="preserve"> PSURs</w:t>
      </w:r>
      <w:r w:rsidR="00E8381D" w:rsidRPr="007E4DA1">
        <w:rPr>
          <w:b/>
          <w:szCs w:val="22"/>
          <w:lang w:val="en-US"/>
        </w:rPr>
        <w:t>)</w:t>
      </w:r>
    </w:p>
    <w:p w14:paraId="211B0277" w14:textId="7E1ACF71" w:rsidR="008266D5" w:rsidRPr="007E4DA1" w:rsidRDefault="008266D5" w:rsidP="00DE1596">
      <w:pPr>
        <w:keepNext/>
        <w:tabs>
          <w:tab w:val="left" w:pos="0"/>
        </w:tabs>
        <w:ind w:left="0" w:right="567" w:firstLine="0"/>
        <w:rPr>
          <w:szCs w:val="22"/>
          <w:lang w:val="en-US"/>
        </w:rPr>
      </w:pPr>
    </w:p>
    <w:p w14:paraId="243A52F8" w14:textId="77777777" w:rsidR="008266D5" w:rsidRPr="007E4DA1" w:rsidRDefault="00ED08C0" w:rsidP="00DE1596">
      <w:pPr>
        <w:tabs>
          <w:tab w:val="left" w:pos="0"/>
        </w:tabs>
        <w:ind w:left="0" w:firstLine="0"/>
      </w:pPr>
      <w:r w:rsidRPr="007E4DA1">
        <w:rPr>
          <w:noProof/>
          <w:szCs w:val="22"/>
        </w:rPr>
        <w:t>Wymagania do prz</w:t>
      </w:r>
      <w:r w:rsidR="009E3946" w:rsidRPr="007E4DA1">
        <w:rPr>
          <w:noProof/>
          <w:szCs w:val="22"/>
        </w:rPr>
        <w:t>e</w:t>
      </w:r>
      <w:r w:rsidRPr="007E4DA1">
        <w:rPr>
          <w:noProof/>
          <w:szCs w:val="22"/>
        </w:rPr>
        <w:t>dłożenia</w:t>
      </w:r>
      <w:r w:rsidR="008266D5" w:rsidRPr="007E4DA1">
        <w:rPr>
          <w:noProof/>
          <w:szCs w:val="22"/>
        </w:rPr>
        <w:t xml:space="preserve"> okresow</w:t>
      </w:r>
      <w:r w:rsidRPr="007E4DA1">
        <w:rPr>
          <w:noProof/>
          <w:szCs w:val="22"/>
        </w:rPr>
        <w:t>ych</w:t>
      </w:r>
      <w:r w:rsidR="008266D5" w:rsidRPr="007E4DA1">
        <w:rPr>
          <w:noProof/>
          <w:szCs w:val="22"/>
        </w:rPr>
        <w:t xml:space="preserve"> raport</w:t>
      </w:r>
      <w:r w:rsidRPr="007E4DA1">
        <w:rPr>
          <w:noProof/>
          <w:szCs w:val="22"/>
        </w:rPr>
        <w:t>ów</w:t>
      </w:r>
      <w:r w:rsidR="008266D5" w:rsidRPr="007E4DA1">
        <w:rPr>
          <w:noProof/>
          <w:szCs w:val="22"/>
        </w:rPr>
        <w:t xml:space="preserve"> o</w:t>
      </w:r>
      <w:r w:rsidR="008266D5" w:rsidRPr="007E4DA1">
        <w:t xml:space="preserve"> </w:t>
      </w:r>
      <w:r w:rsidR="008266D5" w:rsidRPr="007E4DA1">
        <w:rPr>
          <w:noProof/>
          <w:szCs w:val="22"/>
        </w:rPr>
        <w:t>bezpieczeństwie stosowania t</w:t>
      </w:r>
      <w:r w:rsidR="00A10400" w:rsidRPr="007E4DA1">
        <w:rPr>
          <w:noProof/>
          <w:szCs w:val="22"/>
        </w:rPr>
        <w:t>ego</w:t>
      </w:r>
      <w:r w:rsidR="008266D5" w:rsidRPr="007E4DA1">
        <w:rPr>
          <w:noProof/>
          <w:szCs w:val="22"/>
        </w:rPr>
        <w:t xml:space="preserve"> produkt</w:t>
      </w:r>
      <w:r w:rsidR="00A10400" w:rsidRPr="007E4DA1">
        <w:rPr>
          <w:noProof/>
          <w:szCs w:val="22"/>
        </w:rPr>
        <w:t>u</w:t>
      </w:r>
      <w:r w:rsidR="008266D5" w:rsidRPr="007E4DA1">
        <w:rPr>
          <w:noProof/>
          <w:szCs w:val="22"/>
        </w:rPr>
        <w:t xml:space="preserve"> </w:t>
      </w:r>
      <w:r w:rsidR="00E8381D" w:rsidRPr="007E4DA1">
        <w:rPr>
          <w:noProof/>
          <w:szCs w:val="22"/>
        </w:rPr>
        <w:t xml:space="preserve">leczniczego </w:t>
      </w:r>
      <w:r w:rsidRPr="007E4DA1">
        <w:rPr>
          <w:noProof/>
          <w:szCs w:val="22"/>
        </w:rPr>
        <w:t xml:space="preserve">są określone </w:t>
      </w:r>
      <w:r w:rsidR="008266D5" w:rsidRPr="007E4DA1">
        <w:rPr>
          <w:noProof/>
          <w:szCs w:val="22"/>
        </w:rPr>
        <w:t>w wykazie unijnych dat referencyjnych</w:t>
      </w:r>
      <w:r w:rsidRPr="007E4DA1">
        <w:rPr>
          <w:noProof/>
          <w:szCs w:val="22"/>
        </w:rPr>
        <w:t xml:space="preserve"> (wykaz EURD)</w:t>
      </w:r>
      <w:r w:rsidR="008266D5" w:rsidRPr="007E4DA1">
        <w:rPr>
          <w:noProof/>
          <w:szCs w:val="22"/>
        </w:rPr>
        <w:t>, o którym mowa w art. 107c ust.</w:t>
      </w:r>
      <w:r w:rsidR="008266D5" w:rsidRPr="007E4DA1">
        <w:rPr>
          <w:szCs w:val="22"/>
        </w:rPr>
        <w:t xml:space="preserve"> </w:t>
      </w:r>
      <w:r w:rsidR="008266D5" w:rsidRPr="007E4DA1">
        <w:rPr>
          <w:noProof/>
          <w:szCs w:val="22"/>
        </w:rPr>
        <w:t xml:space="preserve">7 dyrektywy 2001/83/WE i </w:t>
      </w:r>
      <w:r w:rsidR="00A77B11" w:rsidRPr="007E4DA1">
        <w:rPr>
          <w:noProof/>
          <w:szCs w:val="22"/>
        </w:rPr>
        <w:t>jego kolejnych aktualizacjach</w:t>
      </w:r>
      <w:r w:rsidR="008266D5" w:rsidRPr="007E4DA1">
        <w:rPr>
          <w:noProof/>
          <w:szCs w:val="22"/>
        </w:rPr>
        <w:t xml:space="preserve"> ogłaszany</w:t>
      </w:r>
      <w:r w:rsidR="00A77B11" w:rsidRPr="007E4DA1">
        <w:rPr>
          <w:noProof/>
          <w:szCs w:val="22"/>
        </w:rPr>
        <w:t>ch</w:t>
      </w:r>
      <w:r w:rsidR="008266D5" w:rsidRPr="007E4DA1">
        <w:rPr>
          <w:noProof/>
          <w:szCs w:val="22"/>
        </w:rPr>
        <w:t xml:space="preserve"> na europejskiej stronie internetowej dotyczącej leków</w:t>
      </w:r>
      <w:r w:rsidR="008266D5" w:rsidRPr="007E4DA1">
        <w:rPr>
          <w:i/>
        </w:rPr>
        <w:t>.</w:t>
      </w:r>
    </w:p>
    <w:p w14:paraId="6C8DAF5C" w14:textId="77777777" w:rsidR="005B4BC8" w:rsidRPr="007E4DA1" w:rsidRDefault="005B4BC8" w:rsidP="00DE1596">
      <w:pPr>
        <w:ind w:left="0" w:firstLine="0"/>
      </w:pPr>
    </w:p>
    <w:p w14:paraId="128D5044" w14:textId="77777777" w:rsidR="00442DC5" w:rsidRPr="007E4DA1" w:rsidRDefault="00442DC5" w:rsidP="00DE1596">
      <w:pPr>
        <w:ind w:left="0" w:firstLine="0"/>
      </w:pPr>
    </w:p>
    <w:p w14:paraId="0E2ACAEB" w14:textId="77777777" w:rsidR="00041A08" w:rsidRPr="00041A08" w:rsidRDefault="008266D5" w:rsidP="00DE1596">
      <w:pPr>
        <w:keepNext/>
        <w:ind w:right="850"/>
        <w:outlineLvl w:val="0"/>
        <w:rPr>
          <w:szCs w:val="22"/>
        </w:rPr>
      </w:pPr>
      <w:r w:rsidRPr="007E4DA1">
        <w:rPr>
          <w:b/>
          <w:noProof/>
          <w:szCs w:val="22"/>
        </w:rPr>
        <w:t>D.</w:t>
      </w:r>
      <w:r w:rsidRPr="007E4DA1">
        <w:rPr>
          <w:b/>
          <w:szCs w:val="22"/>
        </w:rPr>
        <w:tab/>
      </w:r>
      <w:r w:rsidRPr="007E4DA1">
        <w:rPr>
          <w:b/>
          <w:noProof/>
          <w:szCs w:val="22"/>
        </w:rPr>
        <w:t>WARUNKI LUB OGRANICZENIA DOTYCZĄCE BEZPIECZNEGO I SKUTECZNEGO STOSOWANIA PRODUKTU LECZNICZEGO</w:t>
      </w:r>
    </w:p>
    <w:p w14:paraId="6C37E647" w14:textId="21D1F182" w:rsidR="008266D5" w:rsidRPr="007E4DA1" w:rsidRDefault="008266D5" w:rsidP="00DE1596">
      <w:pPr>
        <w:keepNext/>
        <w:ind w:left="0" w:firstLine="0"/>
      </w:pPr>
    </w:p>
    <w:p w14:paraId="378A2D0D" w14:textId="77777777" w:rsidR="008266D5" w:rsidRPr="007E4DA1" w:rsidRDefault="008266D5" w:rsidP="00DE1596">
      <w:pPr>
        <w:keepNext/>
        <w:numPr>
          <w:ilvl w:val="0"/>
          <w:numId w:val="14"/>
        </w:numPr>
        <w:tabs>
          <w:tab w:val="num" w:pos="540"/>
          <w:tab w:val="left" w:pos="567"/>
        </w:tabs>
        <w:ind w:left="540" w:right="-1" w:hanging="540"/>
        <w:rPr>
          <w:noProof/>
          <w:szCs w:val="22"/>
        </w:rPr>
      </w:pPr>
      <w:r w:rsidRPr="007E4DA1">
        <w:rPr>
          <w:b/>
          <w:noProof/>
          <w:szCs w:val="22"/>
        </w:rPr>
        <w:t xml:space="preserve">Plan zarządzania ryzykiem (ang. </w:t>
      </w:r>
      <w:r w:rsidRPr="007E4DA1">
        <w:rPr>
          <w:b/>
          <w:szCs w:val="22"/>
        </w:rPr>
        <w:t>Risk Management Plan</w:t>
      </w:r>
      <w:r w:rsidRPr="007E4DA1">
        <w:rPr>
          <w:b/>
          <w:noProof/>
          <w:szCs w:val="22"/>
        </w:rPr>
        <w:t>, RMP)</w:t>
      </w:r>
    </w:p>
    <w:p w14:paraId="4AEF1DEB" w14:textId="77777777" w:rsidR="008266D5" w:rsidRPr="007E4DA1" w:rsidRDefault="008266D5" w:rsidP="00DE1596">
      <w:pPr>
        <w:keepNext/>
        <w:ind w:right="-1"/>
        <w:rPr>
          <w:noProof/>
          <w:szCs w:val="22"/>
        </w:rPr>
      </w:pPr>
    </w:p>
    <w:p w14:paraId="525BA42D" w14:textId="77777777" w:rsidR="008266D5" w:rsidRPr="007E4DA1" w:rsidRDefault="008266D5" w:rsidP="00DE1596">
      <w:pPr>
        <w:ind w:left="0" w:right="-142" w:firstLine="0"/>
        <w:rPr>
          <w:szCs w:val="22"/>
        </w:rPr>
      </w:pPr>
      <w:r w:rsidRPr="007E4DA1">
        <w:rPr>
          <w:noProof/>
          <w:szCs w:val="22"/>
        </w:rPr>
        <w:t xml:space="preserve">Podmiot odpowiedzialny podejmie wymagane działania i interwencje </w:t>
      </w:r>
      <w:r w:rsidRPr="007E4DA1">
        <w:rPr>
          <w:szCs w:val="22"/>
        </w:rPr>
        <w:t xml:space="preserve">z zakresu nadzoru nad bezpieczeństwem farmakoterapii </w:t>
      </w:r>
      <w:r w:rsidRPr="007E4DA1">
        <w:rPr>
          <w:noProof/>
          <w:szCs w:val="22"/>
        </w:rPr>
        <w:t>wyszczególnione w RMP, przedstawionym w module</w:t>
      </w:r>
      <w:r w:rsidR="00B91E09" w:rsidRPr="007E4DA1">
        <w:rPr>
          <w:noProof/>
          <w:szCs w:val="22"/>
        </w:rPr>
        <w:t> </w:t>
      </w:r>
      <w:r w:rsidRPr="007E4DA1">
        <w:rPr>
          <w:noProof/>
          <w:szCs w:val="22"/>
        </w:rPr>
        <w:t>1.8.2 dokumentacji do pozwolenia na dopuszczenie do obrotu, i wszelkich jego kolejnych aktualizacjach.</w:t>
      </w:r>
    </w:p>
    <w:p w14:paraId="20B62A17" w14:textId="77777777" w:rsidR="008266D5" w:rsidRPr="007E4DA1" w:rsidRDefault="008266D5" w:rsidP="00DE1596">
      <w:pPr>
        <w:ind w:right="-1"/>
        <w:rPr>
          <w:szCs w:val="22"/>
        </w:rPr>
      </w:pPr>
    </w:p>
    <w:p w14:paraId="077982BC" w14:textId="77777777" w:rsidR="008266D5" w:rsidRPr="007E4DA1" w:rsidRDefault="008266D5" w:rsidP="00DE1596">
      <w:pPr>
        <w:keepNext/>
        <w:ind w:right="-1"/>
      </w:pPr>
      <w:r w:rsidRPr="007E4DA1">
        <w:t>Uaktualniony RMP należy przedstawiać:</w:t>
      </w:r>
    </w:p>
    <w:p w14:paraId="5B99199F" w14:textId="77777777" w:rsidR="008266D5" w:rsidRPr="007E4DA1" w:rsidRDefault="008266D5" w:rsidP="00DE1596">
      <w:pPr>
        <w:keepNext/>
        <w:numPr>
          <w:ilvl w:val="0"/>
          <w:numId w:val="14"/>
        </w:numPr>
        <w:tabs>
          <w:tab w:val="clear" w:pos="720"/>
          <w:tab w:val="left" w:pos="-16018"/>
        </w:tabs>
        <w:ind w:left="567" w:hanging="567"/>
        <w:rPr>
          <w:noProof/>
          <w:szCs w:val="22"/>
        </w:rPr>
      </w:pPr>
      <w:r w:rsidRPr="007E4DA1">
        <w:rPr>
          <w:noProof/>
          <w:szCs w:val="22"/>
        </w:rPr>
        <w:t>na żądanie Europejskiej Agencji Leków;</w:t>
      </w:r>
    </w:p>
    <w:p w14:paraId="1B78D2DD" w14:textId="77777777" w:rsidR="008266D5" w:rsidRPr="007E4DA1" w:rsidRDefault="008266D5" w:rsidP="00DE1596">
      <w:pPr>
        <w:numPr>
          <w:ilvl w:val="0"/>
          <w:numId w:val="14"/>
        </w:numPr>
        <w:tabs>
          <w:tab w:val="clear" w:pos="720"/>
          <w:tab w:val="left" w:pos="-16018"/>
        </w:tabs>
        <w:ind w:left="567" w:hanging="567"/>
        <w:rPr>
          <w:noProof/>
          <w:szCs w:val="22"/>
        </w:rPr>
      </w:pPr>
      <w:r w:rsidRPr="007E4DA1">
        <w:rPr>
          <w:noProof/>
          <w:szCs w:val="22"/>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3BE6CC10" w14:textId="77777777" w:rsidR="00A77B11" w:rsidRPr="007E4DA1" w:rsidRDefault="00A77B11" w:rsidP="00DE1596">
      <w:pPr>
        <w:autoSpaceDE w:val="0"/>
        <w:autoSpaceDN w:val="0"/>
        <w:adjustRightInd w:val="0"/>
        <w:ind w:left="0" w:firstLine="0"/>
        <w:rPr>
          <w:rFonts w:ascii="TimesNewRoman" w:hAnsi="TimesNewRoman" w:cs="TimesNewRoman"/>
          <w:szCs w:val="22"/>
        </w:rPr>
      </w:pPr>
    </w:p>
    <w:p w14:paraId="202F549C" w14:textId="77777777" w:rsidR="005B4BC8" w:rsidRPr="007E4DA1" w:rsidRDefault="005B4BC8" w:rsidP="00DE1596">
      <w:pPr>
        <w:ind w:left="0" w:firstLine="0"/>
      </w:pPr>
      <w:r w:rsidRPr="007E4DA1">
        <w:rPr>
          <w:b/>
        </w:rPr>
        <w:br w:type="page"/>
      </w:r>
    </w:p>
    <w:p w14:paraId="52CDB37F" w14:textId="77777777" w:rsidR="005B4BC8" w:rsidRPr="007E4DA1" w:rsidRDefault="005B4BC8" w:rsidP="00DE1596"/>
    <w:p w14:paraId="386BEC46" w14:textId="77777777" w:rsidR="005B4BC8" w:rsidRPr="007E4DA1" w:rsidRDefault="005B4BC8" w:rsidP="00DE1596"/>
    <w:p w14:paraId="1F540ACE" w14:textId="77777777" w:rsidR="005B4BC8" w:rsidRPr="007E4DA1" w:rsidRDefault="005B4BC8" w:rsidP="00DE1596"/>
    <w:p w14:paraId="762F3E59" w14:textId="77777777" w:rsidR="005B4BC8" w:rsidRPr="007E4DA1" w:rsidRDefault="005B4BC8" w:rsidP="00DE1596"/>
    <w:p w14:paraId="0D77E168" w14:textId="77777777" w:rsidR="005B4BC8" w:rsidRPr="007E4DA1" w:rsidRDefault="005B4BC8" w:rsidP="00DE1596"/>
    <w:p w14:paraId="4B0F1D09" w14:textId="77777777" w:rsidR="005B4BC8" w:rsidRPr="007E4DA1" w:rsidRDefault="005B4BC8" w:rsidP="00DE1596"/>
    <w:p w14:paraId="1DD9BC56" w14:textId="77777777" w:rsidR="005B4BC8" w:rsidRPr="007E4DA1" w:rsidRDefault="005B4BC8" w:rsidP="00DE1596"/>
    <w:p w14:paraId="451AEF75" w14:textId="77777777" w:rsidR="005B4BC8" w:rsidRPr="007E4DA1" w:rsidRDefault="005B4BC8" w:rsidP="00DE1596"/>
    <w:p w14:paraId="35612888" w14:textId="77777777" w:rsidR="005B4BC8" w:rsidRPr="007E4DA1" w:rsidRDefault="005B4BC8" w:rsidP="00DE1596"/>
    <w:p w14:paraId="6B5CB8C1" w14:textId="77777777" w:rsidR="005B4BC8" w:rsidRPr="007E4DA1" w:rsidRDefault="005B4BC8" w:rsidP="00DE1596"/>
    <w:p w14:paraId="5F28ABAA" w14:textId="77777777" w:rsidR="005B4BC8" w:rsidRPr="007E4DA1" w:rsidRDefault="005B4BC8" w:rsidP="00DE1596"/>
    <w:p w14:paraId="364E73CC" w14:textId="77777777" w:rsidR="005B4BC8" w:rsidRPr="007E4DA1" w:rsidRDefault="005B4BC8" w:rsidP="00DE1596"/>
    <w:p w14:paraId="7ABD272E" w14:textId="77777777" w:rsidR="005B4BC8" w:rsidRPr="007E4DA1" w:rsidRDefault="005B4BC8" w:rsidP="00DE1596"/>
    <w:p w14:paraId="45951A41" w14:textId="77777777" w:rsidR="005B4BC8" w:rsidRPr="007E4DA1" w:rsidRDefault="005B4BC8" w:rsidP="00DE1596"/>
    <w:p w14:paraId="041D03E9" w14:textId="77777777" w:rsidR="005B4BC8" w:rsidRPr="007E4DA1" w:rsidRDefault="005B4BC8" w:rsidP="00DE1596"/>
    <w:p w14:paraId="682BC261" w14:textId="77777777" w:rsidR="005B4BC8" w:rsidRPr="007E4DA1" w:rsidRDefault="005B4BC8" w:rsidP="00DE1596"/>
    <w:p w14:paraId="71CD010A" w14:textId="77777777" w:rsidR="005B4BC8" w:rsidRPr="007E4DA1" w:rsidRDefault="005B4BC8" w:rsidP="00DE1596"/>
    <w:p w14:paraId="60ADDBDC" w14:textId="77777777" w:rsidR="005B4BC8" w:rsidRPr="007E4DA1" w:rsidRDefault="005B4BC8" w:rsidP="00DE1596"/>
    <w:p w14:paraId="08D87140" w14:textId="77777777" w:rsidR="005B4BC8" w:rsidRPr="007E4DA1" w:rsidRDefault="005B4BC8" w:rsidP="00DE1596"/>
    <w:p w14:paraId="727D4E0F" w14:textId="77777777" w:rsidR="005B4BC8" w:rsidRPr="007E4DA1" w:rsidRDefault="005B4BC8" w:rsidP="00DE1596"/>
    <w:p w14:paraId="4C287CED" w14:textId="77777777" w:rsidR="005B4BC8" w:rsidRPr="007E4DA1" w:rsidRDefault="005B4BC8" w:rsidP="00DE1596"/>
    <w:p w14:paraId="484D6418" w14:textId="77777777" w:rsidR="005B4BC8" w:rsidRPr="007E4DA1" w:rsidRDefault="005B4BC8" w:rsidP="00DE1596"/>
    <w:p w14:paraId="5C05B7F2" w14:textId="77777777" w:rsidR="00AA3184" w:rsidRPr="007E4DA1" w:rsidRDefault="00AA3184" w:rsidP="00DE1596"/>
    <w:p w14:paraId="0317C903" w14:textId="77777777" w:rsidR="00041A08" w:rsidRPr="00041A08" w:rsidRDefault="005B4BC8" w:rsidP="00DE1596">
      <w:pPr>
        <w:jc w:val="center"/>
      </w:pPr>
      <w:r w:rsidRPr="007E4DA1">
        <w:rPr>
          <w:b/>
        </w:rPr>
        <w:t xml:space="preserve">ANEKS </w:t>
      </w:r>
      <w:smartTag w:uri="urn:schemas-microsoft-com:office:smarttags" w:element="stockticker">
        <w:r w:rsidRPr="007E4DA1">
          <w:rPr>
            <w:b/>
          </w:rPr>
          <w:t>III</w:t>
        </w:r>
      </w:smartTag>
    </w:p>
    <w:p w14:paraId="4A035D79" w14:textId="1AB73FD0" w:rsidR="005B4BC8" w:rsidRPr="007E4DA1" w:rsidRDefault="005B4BC8" w:rsidP="00DE1596">
      <w:pPr>
        <w:jc w:val="center"/>
      </w:pPr>
    </w:p>
    <w:p w14:paraId="54C7C08F" w14:textId="77777777" w:rsidR="00041A08" w:rsidRPr="00041A08" w:rsidRDefault="005B4BC8" w:rsidP="00DE1596">
      <w:pPr>
        <w:jc w:val="center"/>
      </w:pPr>
      <w:r w:rsidRPr="007E4DA1">
        <w:rPr>
          <w:b/>
        </w:rPr>
        <w:t xml:space="preserve">OZNAKOWANIE OPAKOWAŃ I ULOTKA </w:t>
      </w:r>
      <w:smartTag w:uri="urn:schemas-microsoft-com:office:smarttags" w:element="stockticker">
        <w:r w:rsidRPr="007E4DA1">
          <w:rPr>
            <w:b/>
          </w:rPr>
          <w:t>DLA</w:t>
        </w:r>
      </w:smartTag>
      <w:r w:rsidRPr="007E4DA1">
        <w:rPr>
          <w:b/>
        </w:rPr>
        <w:t xml:space="preserve"> </w:t>
      </w:r>
      <w:smartTag w:uri="schemas-GSKSiteLocations-com/fourthcoffee" w:element="flavor">
        <w:r w:rsidRPr="007E4DA1">
          <w:rPr>
            <w:b/>
          </w:rPr>
          <w:t>PAC</w:t>
        </w:r>
      </w:smartTag>
      <w:r w:rsidRPr="007E4DA1">
        <w:rPr>
          <w:b/>
        </w:rPr>
        <w:t>JENTA</w:t>
      </w:r>
    </w:p>
    <w:p w14:paraId="08CAE57E" w14:textId="42871F47" w:rsidR="005B4BC8" w:rsidRPr="007E4DA1" w:rsidRDefault="005B4BC8" w:rsidP="00DE1596">
      <w:pPr>
        <w:ind w:left="0" w:firstLine="0"/>
      </w:pPr>
      <w:r w:rsidRPr="007E4DA1">
        <w:br w:type="page"/>
      </w:r>
    </w:p>
    <w:p w14:paraId="6AD2D4A2" w14:textId="77777777" w:rsidR="005B4BC8" w:rsidRPr="007E4DA1" w:rsidRDefault="005B4BC8" w:rsidP="00DE1596"/>
    <w:p w14:paraId="35343E18" w14:textId="77777777" w:rsidR="005B4BC8" w:rsidRPr="007E4DA1" w:rsidRDefault="005B4BC8" w:rsidP="00DE1596"/>
    <w:p w14:paraId="303EE048" w14:textId="77777777" w:rsidR="005B4BC8" w:rsidRPr="007E4DA1" w:rsidRDefault="005B4BC8" w:rsidP="00DE1596"/>
    <w:p w14:paraId="772F0185" w14:textId="77777777" w:rsidR="005B4BC8" w:rsidRPr="007E4DA1" w:rsidRDefault="005B4BC8" w:rsidP="00DE1596"/>
    <w:p w14:paraId="615A4393" w14:textId="77777777" w:rsidR="005B4BC8" w:rsidRPr="007E4DA1" w:rsidRDefault="005B4BC8" w:rsidP="00DE1596"/>
    <w:p w14:paraId="5EDF4CC5" w14:textId="77777777" w:rsidR="005B4BC8" w:rsidRPr="007E4DA1" w:rsidRDefault="005B4BC8" w:rsidP="00DE1596"/>
    <w:p w14:paraId="379110C3" w14:textId="77777777" w:rsidR="005B4BC8" w:rsidRPr="007E4DA1" w:rsidRDefault="005B4BC8" w:rsidP="00DE1596"/>
    <w:p w14:paraId="533CD198" w14:textId="77777777" w:rsidR="005B4BC8" w:rsidRPr="007E4DA1" w:rsidRDefault="005B4BC8" w:rsidP="00DE1596"/>
    <w:p w14:paraId="5F419C5E" w14:textId="77777777" w:rsidR="005B4BC8" w:rsidRPr="007E4DA1" w:rsidRDefault="005B4BC8" w:rsidP="00DE1596"/>
    <w:p w14:paraId="7318AE6B" w14:textId="77777777" w:rsidR="005B4BC8" w:rsidRPr="007E4DA1" w:rsidRDefault="005B4BC8" w:rsidP="00DE1596"/>
    <w:p w14:paraId="14E82AC5" w14:textId="77777777" w:rsidR="005B4BC8" w:rsidRPr="007E4DA1" w:rsidRDefault="005B4BC8" w:rsidP="00DE1596"/>
    <w:p w14:paraId="29BD90A0" w14:textId="77777777" w:rsidR="005B4BC8" w:rsidRPr="007E4DA1" w:rsidRDefault="005B4BC8" w:rsidP="00DE1596"/>
    <w:p w14:paraId="6862016C" w14:textId="77777777" w:rsidR="005B4BC8" w:rsidRPr="007E4DA1" w:rsidRDefault="005B4BC8" w:rsidP="00DE1596"/>
    <w:p w14:paraId="12DD6806" w14:textId="77777777" w:rsidR="005B4BC8" w:rsidRPr="007E4DA1" w:rsidRDefault="005B4BC8" w:rsidP="00DE1596"/>
    <w:p w14:paraId="52EC7536" w14:textId="77777777" w:rsidR="005B4BC8" w:rsidRPr="007E4DA1" w:rsidRDefault="005B4BC8" w:rsidP="00DE1596"/>
    <w:p w14:paraId="545979F3" w14:textId="77777777" w:rsidR="005B4BC8" w:rsidRPr="007E4DA1" w:rsidRDefault="005B4BC8" w:rsidP="00DE1596"/>
    <w:p w14:paraId="07A8373F" w14:textId="77777777" w:rsidR="005B4BC8" w:rsidRPr="007E4DA1" w:rsidRDefault="005B4BC8" w:rsidP="00DE1596"/>
    <w:p w14:paraId="5B5C28CD" w14:textId="77777777" w:rsidR="005B4BC8" w:rsidRPr="007E4DA1" w:rsidRDefault="005B4BC8" w:rsidP="00DE1596"/>
    <w:p w14:paraId="79963429" w14:textId="77777777" w:rsidR="005B4BC8" w:rsidRPr="007E4DA1" w:rsidRDefault="005B4BC8" w:rsidP="00DE1596"/>
    <w:p w14:paraId="125BF41F" w14:textId="77777777" w:rsidR="005B4BC8" w:rsidRPr="007E4DA1" w:rsidRDefault="005B4BC8" w:rsidP="00DE1596"/>
    <w:p w14:paraId="6CB0FA0A" w14:textId="77777777" w:rsidR="005B4BC8" w:rsidRPr="007E4DA1" w:rsidRDefault="005B4BC8" w:rsidP="00DE1596"/>
    <w:p w14:paraId="5C7534FD" w14:textId="77777777" w:rsidR="005B4BC8" w:rsidRPr="007E4DA1" w:rsidRDefault="005B4BC8" w:rsidP="00DE1596"/>
    <w:p w14:paraId="177EA25B" w14:textId="77777777" w:rsidR="00AA3184" w:rsidRPr="007E4DA1" w:rsidRDefault="00AA3184" w:rsidP="00DE1596"/>
    <w:p w14:paraId="57EC7479" w14:textId="77777777" w:rsidR="00041A08" w:rsidRPr="00041A08" w:rsidRDefault="005B4BC8" w:rsidP="00DE1596">
      <w:pPr>
        <w:pStyle w:val="TitleA"/>
        <w:outlineLvl w:val="0"/>
        <w:rPr>
          <w:b w:val="0"/>
        </w:rPr>
      </w:pPr>
      <w:r w:rsidRPr="007E4DA1">
        <w:t>A. OZNAKOWANIE OPAKOWAŃ</w:t>
      </w:r>
    </w:p>
    <w:p w14:paraId="2E913A7F" w14:textId="0E330FA9" w:rsidR="00A350DA" w:rsidRPr="007E4DA1" w:rsidRDefault="005B4BC8" w:rsidP="00DE1596">
      <w:r w:rsidRPr="007E4DA1">
        <w:br w:type="page"/>
      </w:r>
    </w:p>
    <w:p w14:paraId="147DF3D4" w14:textId="77777777" w:rsidR="00AA3184" w:rsidRPr="007E4DA1" w:rsidRDefault="00AA3184" w:rsidP="00DE1596">
      <w:pPr>
        <w:ind w:left="-32" w:firstLine="32"/>
      </w:pPr>
    </w:p>
    <w:p w14:paraId="390D17D6" w14:textId="77777777" w:rsidR="00041A08" w:rsidRPr="00041A08" w:rsidRDefault="00A350DA" w:rsidP="00DE1596">
      <w:pPr>
        <w:pBdr>
          <w:top w:val="single" w:sz="4" w:space="1" w:color="auto"/>
          <w:left w:val="single" w:sz="4" w:space="4" w:color="auto"/>
          <w:bottom w:val="single" w:sz="4" w:space="1" w:color="auto"/>
          <w:right w:val="single" w:sz="4" w:space="4" w:color="auto"/>
        </w:pBdr>
        <w:ind w:left="-32" w:firstLine="32"/>
      </w:pPr>
      <w:r w:rsidRPr="007E4DA1">
        <w:rPr>
          <w:b/>
        </w:rPr>
        <w:t>INFORMACJE ZAMIESZCZANE NA OPAKOWANIACH ZEWNĘTRZNYCH</w:t>
      </w:r>
    </w:p>
    <w:p w14:paraId="76D1DA61" w14:textId="253D3AFF" w:rsidR="00A350DA" w:rsidRPr="007E4DA1" w:rsidRDefault="00A350DA" w:rsidP="00DE1596">
      <w:pPr>
        <w:pBdr>
          <w:top w:val="single" w:sz="4" w:space="1" w:color="auto"/>
          <w:left w:val="single" w:sz="4" w:space="4" w:color="auto"/>
          <w:bottom w:val="single" w:sz="4" w:space="1" w:color="auto"/>
          <w:right w:val="single" w:sz="4" w:space="4" w:color="auto"/>
        </w:pBdr>
        <w:ind w:left="-32" w:firstLine="32"/>
      </w:pPr>
    </w:p>
    <w:p w14:paraId="438FF430" w14:textId="77777777" w:rsidR="00041A08" w:rsidRPr="00041A08" w:rsidRDefault="00A350DA" w:rsidP="00DE1596">
      <w:pPr>
        <w:pBdr>
          <w:top w:val="single" w:sz="4" w:space="1" w:color="auto"/>
          <w:left w:val="single" w:sz="4" w:space="4" w:color="auto"/>
          <w:bottom w:val="single" w:sz="4" w:space="1" w:color="auto"/>
          <w:right w:val="single" w:sz="4" w:space="4" w:color="auto"/>
        </w:pBdr>
        <w:ind w:left="-32" w:firstLine="32"/>
      </w:pPr>
      <w:r w:rsidRPr="007E4DA1">
        <w:rPr>
          <w:b/>
        </w:rPr>
        <w:t xml:space="preserve">PUDEŁKO tabletki </w:t>
      </w:r>
      <w:r w:rsidR="000B12ED" w:rsidRPr="007E4DA1">
        <w:rPr>
          <w:b/>
        </w:rPr>
        <w:t>1</w:t>
      </w:r>
      <w:r w:rsidRPr="007E4DA1">
        <w:rPr>
          <w:b/>
        </w:rPr>
        <w:t>2</w:t>
      </w:r>
      <w:r w:rsidR="000B12ED" w:rsidRPr="007E4DA1">
        <w:rPr>
          <w:b/>
        </w:rPr>
        <w:t>,</w:t>
      </w:r>
      <w:r w:rsidRPr="007E4DA1">
        <w:rPr>
          <w:b/>
        </w:rPr>
        <w:t>5</w:t>
      </w:r>
      <w:r w:rsidR="006773CD" w:rsidRPr="007E4DA1">
        <w:rPr>
          <w:b/>
        </w:rPr>
        <w:t> </w:t>
      </w:r>
      <w:r w:rsidRPr="007E4DA1">
        <w:rPr>
          <w:b/>
        </w:rPr>
        <w:t>mg – 14, 28, 84 (3 OPAKOWANIA po 28) sztuk</w:t>
      </w:r>
    </w:p>
    <w:p w14:paraId="67506536" w14:textId="4658465B" w:rsidR="00A350DA" w:rsidRPr="007E4DA1" w:rsidRDefault="00A350DA" w:rsidP="00DE1596"/>
    <w:p w14:paraId="1247A575" w14:textId="77777777" w:rsidR="00A350DA" w:rsidRPr="007E4DA1" w:rsidRDefault="00A350DA" w:rsidP="00DE1596"/>
    <w:p w14:paraId="4BF513E7"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1.</w:t>
      </w:r>
      <w:r w:rsidRPr="007E4DA1">
        <w:rPr>
          <w:b/>
          <w:lang w:eastAsia="en-US"/>
        </w:rPr>
        <w:tab/>
        <w:t>NAZWA PRODUKTU LECZNICZEGO</w:t>
      </w:r>
    </w:p>
    <w:p w14:paraId="4C4F075D" w14:textId="0497BB32" w:rsidR="00A350DA" w:rsidRPr="007E4DA1" w:rsidRDefault="00A350DA" w:rsidP="00DE1596"/>
    <w:p w14:paraId="0EDA5800" w14:textId="77777777" w:rsidR="00A350DA" w:rsidRPr="007E4DA1" w:rsidRDefault="00A350DA" w:rsidP="00DE1596">
      <w:r w:rsidRPr="007E4DA1">
        <w:t xml:space="preserve">Revolade </w:t>
      </w:r>
      <w:r w:rsidR="000B12ED" w:rsidRPr="007E4DA1">
        <w:t>1</w:t>
      </w:r>
      <w:r w:rsidRPr="007E4DA1">
        <w:t>2</w:t>
      </w:r>
      <w:r w:rsidR="000B12ED" w:rsidRPr="007E4DA1">
        <w:t>,</w:t>
      </w:r>
      <w:r w:rsidRPr="007E4DA1">
        <w:t>5 mg tabletki powlekane</w:t>
      </w:r>
    </w:p>
    <w:p w14:paraId="696EA9FA" w14:textId="77777777" w:rsidR="00410505" w:rsidRPr="007E4DA1" w:rsidRDefault="00410505" w:rsidP="00DE1596"/>
    <w:p w14:paraId="557BBB94" w14:textId="77777777" w:rsidR="00A350DA" w:rsidRPr="007E4DA1" w:rsidRDefault="00A350DA" w:rsidP="00DE1596">
      <w:r w:rsidRPr="007E4DA1">
        <w:t>eltrombopag</w:t>
      </w:r>
    </w:p>
    <w:p w14:paraId="06D7FBDA" w14:textId="77777777" w:rsidR="00A350DA" w:rsidRPr="007E4DA1" w:rsidRDefault="00A350DA" w:rsidP="00DE1596"/>
    <w:p w14:paraId="26E5A0EE" w14:textId="77777777" w:rsidR="00A350DA" w:rsidRPr="007E4DA1" w:rsidRDefault="00A350DA" w:rsidP="00DE1596"/>
    <w:p w14:paraId="45FDF03A"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lang w:eastAsia="en-US"/>
        </w:rPr>
        <w:t>2.</w:t>
      </w:r>
      <w:r w:rsidRPr="007E4DA1">
        <w:rPr>
          <w:b/>
          <w:lang w:eastAsia="en-US"/>
        </w:rPr>
        <w:tab/>
        <w:t>ZAWARTOŚĆ SUBSTANCJI CZYNNEJ</w:t>
      </w:r>
    </w:p>
    <w:p w14:paraId="1DAD12D3" w14:textId="14095B3D" w:rsidR="00A350DA" w:rsidRPr="007E4DA1" w:rsidRDefault="00A350DA" w:rsidP="00DE1596"/>
    <w:p w14:paraId="13B7E413" w14:textId="77777777" w:rsidR="00A350DA" w:rsidRPr="007E4DA1" w:rsidRDefault="00A350DA" w:rsidP="00DE1596">
      <w:pPr>
        <w:ind w:left="0" w:firstLine="0"/>
      </w:pPr>
      <w:r w:rsidRPr="007E4DA1">
        <w:t xml:space="preserve">Każda tabletka powlekana zawiera eltrombopag z olaminą w ilości odpowiadającej </w:t>
      </w:r>
      <w:r w:rsidR="000B12ED" w:rsidRPr="007E4DA1">
        <w:t>1</w:t>
      </w:r>
      <w:r w:rsidRPr="007E4DA1">
        <w:t>2</w:t>
      </w:r>
      <w:r w:rsidR="000B12ED" w:rsidRPr="007E4DA1">
        <w:t>,</w:t>
      </w:r>
      <w:r w:rsidRPr="007E4DA1">
        <w:t>5 mg eltrombopagu.</w:t>
      </w:r>
    </w:p>
    <w:p w14:paraId="10B561F4" w14:textId="77777777" w:rsidR="00A350DA" w:rsidRPr="007E4DA1" w:rsidRDefault="00A350DA" w:rsidP="00DE1596"/>
    <w:p w14:paraId="197B9832" w14:textId="77777777" w:rsidR="00A350DA" w:rsidRPr="007E4DA1" w:rsidRDefault="00A350DA" w:rsidP="00DE1596"/>
    <w:p w14:paraId="2346EBDC" w14:textId="77777777" w:rsidR="00041A08" w:rsidRPr="00041A08" w:rsidRDefault="00A350DA" w:rsidP="00DE1596">
      <w:pPr>
        <w:pBdr>
          <w:top w:val="single" w:sz="4" w:space="1" w:color="auto"/>
          <w:left w:val="single" w:sz="4" w:space="4" w:color="auto"/>
          <w:bottom w:val="single" w:sz="4" w:space="2" w:color="auto"/>
          <w:right w:val="single" w:sz="4" w:space="4" w:color="auto"/>
        </w:pBdr>
        <w:tabs>
          <w:tab w:val="left" w:pos="142"/>
        </w:tabs>
        <w:rPr>
          <w:lang w:eastAsia="en-US"/>
        </w:rPr>
      </w:pPr>
      <w:r w:rsidRPr="007E4DA1">
        <w:rPr>
          <w:b/>
          <w:lang w:eastAsia="en-US"/>
        </w:rPr>
        <w:t>3.</w:t>
      </w:r>
      <w:r w:rsidRPr="007E4DA1">
        <w:rPr>
          <w:b/>
          <w:lang w:eastAsia="en-US"/>
        </w:rPr>
        <w:tab/>
        <w:t>WYKAZ SUBSTANCJI POMOCNICZYCH</w:t>
      </w:r>
    </w:p>
    <w:p w14:paraId="1E3979C1" w14:textId="39F5BC55" w:rsidR="00A350DA" w:rsidRPr="007E4DA1" w:rsidRDefault="00A350DA" w:rsidP="00DE1596"/>
    <w:p w14:paraId="1E00AFA4" w14:textId="77777777" w:rsidR="00A350DA" w:rsidRPr="007E4DA1" w:rsidRDefault="00A350DA" w:rsidP="00DE1596"/>
    <w:p w14:paraId="2AB4DE01"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4.</w:t>
      </w:r>
      <w:r w:rsidRPr="007E4DA1">
        <w:rPr>
          <w:b/>
          <w:lang w:eastAsia="en-US"/>
        </w:rPr>
        <w:tab/>
        <w:t>POSTAĆ FARMACEUTYCZNA I ZAWARTOŚĆ OPAKOWANIA</w:t>
      </w:r>
    </w:p>
    <w:p w14:paraId="22F104F7" w14:textId="72D32EBC" w:rsidR="00A350DA" w:rsidRPr="007E4DA1" w:rsidRDefault="00A350DA" w:rsidP="00DE1596">
      <w:pPr>
        <w:rPr>
          <w:bCs/>
        </w:rPr>
      </w:pPr>
    </w:p>
    <w:p w14:paraId="135833C0" w14:textId="77777777" w:rsidR="00A350DA" w:rsidRPr="007E4DA1" w:rsidRDefault="00A350DA" w:rsidP="00DE1596">
      <w:r w:rsidRPr="007E4DA1">
        <w:t>14</w:t>
      </w:r>
      <w:r w:rsidR="00B91E09" w:rsidRPr="007E4DA1">
        <w:t> </w:t>
      </w:r>
      <w:r w:rsidRPr="007E4DA1">
        <w:t>tabletek powlekanych</w:t>
      </w:r>
    </w:p>
    <w:p w14:paraId="39C6132F" w14:textId="77777777" w:rsidR="00A350DA" w:rsidRPr="007E4DA1" w:rsidRDefault="00A350DA" w:rsidP="00DE1596">
      <w:pPr>
        <w:rPr>
          <w:shd w:val="pct15" w:color="auto" w:fill="auto"/>
        </w:rPr>
      </w:pPr>
      <w:r w:rsidRPr="007E4DA1">
        <w:rPr>
          <w:shd w:val="pct15" w:color="auto" w:fill="auto"/>
        </w:rPr>
        <w:t>28</w:t>
      </w:r>
      <w:r w:rsidR="00B91E09" w:rsidRPr="007E4DA1">
        <w:rPr>
          <w:shd w:val="pct15" w:color="auto" w:fill="auto"/>
        </w:rPr>
        <w:t> </w:t>
      </w:r>
      <w:r w:rsidRPr="007E4DA1">
        <w:rPr>
          <w:shd w:val="pct15" w:color="auto" w:fill="auto"/>
        </w:rPr>
        <w:t>tabletek powlekanych</w:t>
      </w:r>
    </w:p>
    <w:p w14:paraId="7EDAC205" w14:textId="77777777" w:rsidR="00A350DA" w:rsidRPr="007E4DA1" w:rsidRDefault="00A350DA" w:rsidP="00DE1596">
      <w:pPr>
        <w:rPr>
          <w:shd w:val="pct15" w:color="auto" w:fill="auto"/>
        </w:rPr>
      </w:pPr>
      <w:r w:rsidRPr="007E4DA1">
        <w:rPr>
          <w:shd w:val="pct15" w:color="auto" w:fill="auto"/>
        </w:rPr>
        <w:t>Opakowanie zbiorcze zawierające 84 tabletki powlekane (3 opakowania po 28)</w:t>
      </w:r>
    </w:p>
    <w:p w14:paraId="295232C1" w14:textId="77777777" w:rsidR="00A350DA" w:rsidRPr="007E4DA1" w:rsidRDefault="00A350DA" w:rsidP="00DE1596"/>
    <w:p w14:paraId="5171D02F" w14:textId="77777777" w:rsidR="00A350DA" w:rsidRPr="007E4DA1" w:rsidRDefault="00A350DA" w:rsidP="00DE1596">
      <w:pPr>
        <w:rPr>
          <w:bCs/>
        </w:rPr>
      </w:pPr>
    </w:p>
    <w:p w14:paraId="0E14F1CF"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5.</w:t>
      </w:r>
      <w:r w:rsidRPr="007E4DA1">
        <w:rPr>
          <w:b/>
          <w:lang w:eastAsia="en-US"/>
        </w:rPr>
        <w:tab/>
        <w:t>SPOSÓB I DROGA PODANIA</w:t>
      </w:r>
    </w:p>
    <w:p w14:paraId="0CDDB5D0" w14:textId="77B5A201" w:rsidR="00A350DA" w:rsidRPr="007E4DA1" w:rsidRDefault="00A350DA" w:rsidP="00DE1596"/>
    <w:p w14:paraId="3094B565" w14:textId="77777777" w:rsidR="00A350DA" w:rsidRPr="007E4DA1" w:rsidRDefault="00A350DA" w:rsidP="00DE1596">
      <w:r w:rsidRPr="007E4DA1">
        <w:t>Należy zapoznać się z treścią ulotki przed zastosowaniem leku.</w:t>
      </w:r>
      <w:r w:rsidR="000B12ED" w:rsidRPr="007E4DA1">
        <w:t xml:space="preserve"> </w:t>
      </w:r>
      <w:r w:rsidRPr="007E4DA1">
        <w:t>Podanie doustne.</w:t>
      </w:r>
    </w:p>
    <w:p w14:paraId="53FFAC72" w14:textId="77777777" w:rsidR="00A350DA" w:rsidRPr="007E4DA1" w:rsidRDefault="00A350DA" w:rsidP="00DE1596"/>
    <w:p w14:paraId="12877991" w14:textId="77777777" w:rsidR="00A350DA" w:rsidRPr="007E4DA1" w:rsidRDefault="00A350DA" w:rsidP="00DE1596"/>
    <w:p w14:paraId="4AC24F00"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lang w:eastAsia="en-US"/>
        </w:rPr>
        <w:t>6.</w:t>
      </w:r>
      <w:r w:rsidRPr="007E4DA1">
        <w:rPr>
          <w:b/>
          <w:lang w:eastAsia="en-US"/>
        </w:rPr>
        <w:tab/>
        <w:t xml:space="preserve">OSTRZEŻENIE DOTYCZĄCE PRZECHOWYWANIA PRODUKTU LECZNICZEGO W MIEJSCU </w:t>
      </w:r>
      <w:r w:rsidRPr="007E4DA1">
        <w:rPr>
          <w:b/>
        </w:rPr>
        <w:t xml:space="preserve">NIEWIDOCZNYM I </w:t>
      </w:r>
      <w:r w:rsidRPr="007E4DA1">
        <w:rPr>
          <w:b/>
          <w:lang w:eastAsia="en-US"/>
        </w:rPr>
        <w:t>NIEDOSTĘPNYM</w:t>
      </w:r>
      <w:r w:rsidRPr="007E4DA1">
        <w:rPr>
          <w:b/>
        </w:rPr>
        <w:t xml:space="preserve"> DLA DZIECI</w:t>
      </w:r>
    </w:p>
    <w:p w14:paraId="6D5EC106" w14:textId="548D45F9" w:rsidR="00A350DA" w:rsidRPr="007E4DA1" w:rsidRDefault="00A350DA" w:rsidP="00DE1596"/>
    <w:p w14:paraId="671FF299" w14:textId="77777777" w:rsidR="00A350DA" w:rsidRPr="007E4DA1" w:rsidRDefault="00A350DA" w:rsidP="00DE1596">
      <w:r w:rsidRPr="007E4DA1">
        <w:t>Lek przechowywać w miejscu niewidocznym i niedostępnym dla dzieci.</w:t>
      </w:r>
    </w:p>
    <w:p w14:paraId="4FAAB551" w14:textId="77777777" w:rsidR="00A350DA" w:rsidRPr="007E4DA1" w:rsidRDefault="00A350DA" w:rsidP="00DE1596"/>
    <w:p w14:paraId="62FAC72E" w14:textId="77777777" w:rsidR="00A350DA" w:rsidRPr="007E4DA1" w:rsidRDefault="00A350DA" w:rsidP="00DE1596"/>
    <w:p w14:paraId="722700CA"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7.</w:t>
      </w:r>
      <w:r w:rsidRPr="007E4DA1">
        <w:rPr>
          <w:b/>
        </w:rPr>
        <w:tab/>
        <w:t>INNE OSTRZEŻENIA SPECJALNE, JEŚLI KONIECZNE</w:t>
      </w:r>
    </w:p>
    <w:p w14:paraId="36A35D41" w14:textId="1B5DA245" w:rsidR="00A350DA" w:rsidRPr="007E4DA1" w:rsidRDefault="00A350DA" w:rsidP="00DE1596"/>
    <w:p w14:paraId="343D5B0F" w14:textId="77777777" w:rsidR="00A350DA" w:rsidRPr="007E4DA1" w:rsidRDefault="00A350DA" w:rsidP="00DE1596"/>
    <w:p w14:paraId="4D7F8DDD"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8.</w:t>
      </w:r>
      <w:r w:rsidRPr="007E4DA1">
        <w:rPr>
          <w:b/>
        </w:rPr>
        <w:tab/>
        <w:t>T</w:t>
      </w:r>
      <w:smartTag w:uri="schemas-GSKSiteLocations-com/fourthcoffee" w:element="flavor">
        <w:r w:rsidRPr="007E4DA1">
          <w:rPr>
            <w:b/>
          </w:rPr>
          <w:t>ERM</w:t>
        </w:r>
      </w:smartTag>
      <w:r w:rsidRPr="007E4DA1">
        <w:rPr>
          <w:b/>
        </w:rPr>
        <w:t>IN WAŻNOŚCI</w:t>
      </w:r>
    </w:p>
    <w:p w14:paraId="60F923D3" w14:textId="5D562969" w:rsidR="00A350DA" w:rsidRPr="007E4DA1" w:rsidRDefault="00A350DA" w:rsidP="00DE1596"/>
    <w:p w14:paraId="50E02F44" w14:textId="4D7C2E41" w:rsidR="00A350DA" w:rsidRPr="007E4DA1" w:rsidRDefault="00A350DA" w:rsidP="00DE1596">
      <w:r w:rsidRPr="007E4DA1">
        <w:t>Termin ważności:</w:t>
      </w:r>
    </w:p>
    <w:p w14:paraId="438226D5" w14:textId="77777777" w:rsidR="00A350DA" w:rsidRPr="007E4DA1" w:rsidRDefault="00A350DA" w:rsidP="00DE1596"/>
    <w:p w14:paraId="73189F21" w14:textId="77777777" w:rsidR="00A350DA" w:rsidRPr="007E4DA1" w:rsidRDefault="00A350DA" w:rsidP="00DE1596"/>
    <w:p w14:paraId="080C652F" w14:textId="77777777" w:rsidR="00041A08" w:rsidRPr="00041A08" w:rsidRDefault="00A350DA" w:rsidP="00DE1596">
      <w:pPr>
        <w:keepNext/>
        <w:pBdr>
          <w:top w:val="single" w:sz="4" w:space="1" w:color="auto"/>
          <w:left w:val="single" w:sz="4" w:space="4" w:color="auto"/>
          <w:bottom w:val="single" w:sz="4" w:space="1" w:color="auto"/>
          <w:right w:val="single" w:sz="4" w:space="4" w:color="auto"/>
        </w:pBdr>
        <w:tabs>
          <w:tab w:val="left" w:pos="142"/>
        </w:tabs>
      </w:pPr>
      <w:r w:rsidRPr="007E4DA1">
        <w:rPr>
          <w:b/>
        </w:rPr>
        <w:t>9.</w:t>
      </w:r>
      <w:r w:rsidRPr="007E4DA1">
        <w:rPr>
          <w:b/>
        </w:rPr>
        <w:tab/>
        <w:t>WARUNKI PRZECHOWYWANIA</w:t>
      </w:r>
    </w:p>
    <w:p w14:paraId="45544088" w14:textId="317246A1" w:rsidR="00A350DA" w:rsidRPr="007E4DA1" w:rsidRDefault="00A350DA" w:rsidP="00DE1596">
      <w:pPr>
        <w:keepNext/>
        <w:tabs>
          <w:tab w:val="left" w:pos="720"/>
        </w:tabs>
      </w:pPr>
    </w:p>
    <w:p w14:paraId="4C3C8BCE" w14:textId="77777777" w:rsidR="00A350DA" w:rsidRPr="007E4DA1" w:rsidRDefault="00A350DA" w:rsidP="00DE1596">
      <w:pPr>
        <w:tabs>
          <w:tab w:val="left" w:pos="720"/>
        </w:tabs>
      </w:pPr>
    </w:p>
    <w:p w14:paraId="33B71B6C" w14:textId="77777777" w:rsidR="00041A08" w:rsidRPr="00041A08" w:rsidRDefault="00A350DA" w:rsidP="00DE1596">
      <w:pPr>
        <w:keepNext/>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10.</w:t>
      </w:r>
      <w:r w:rsidRPr="007E4DA1">
        <w:rPr>
          <w:b/>
          <w:lang w:eastAsia="en-US"/>
        </w:rPr>
        <w:tab/>
        <w:t xml:space="preserve">SPECJALNE ŚRODKI OSTROŻNOŚCI DOTYCZĄCE USUWANIA NIEZUŻYTEGO PRODUKTU LECZNICZEGO </w:t>
      </w:r>
      <w:smartTag w:uri="urn:schemas-microsoft-com:office:smarttags" w:element="stockticker">
        <w:r w:rsidRPr="007E4DA1">
          <w:rPr>
            <w:b/>
            <w:lang w:eastAsia="en-US"/>
          </w:rPr>
          <w:t>LUB</w:t>
        </w:r>
      </w:smartTag>
      <w:r w:rsidRPr="007E4DA1">
        <w:rPr>
          <w:b/>
          <w:lang w:eastAsia="en-US"/>
        </w:rPr>
        <w:t xml:space="preserve"> POCHODZĄCYCH Z NIEGO ODPADÓW, JEŚLI WŁAŚCIWE</w:t>
      </w:r>
    </w:p>
    <w:p w14:paraId="3A193E2D" w14:textId="5E92759E" w:rsidR="00A350DA" w:rsidRPr="007E4DA1" w:rsidRDefault="00A350DA" w:rsidP="00DE1596">
      <w:pPr>
        <w:tabs>
          <w:tab w:val="left" w:pos="720"/>
        </w:tabs>
      </w:pPr>
    </w:p>
    <w:p w14:paraId="757318A4" w14:textId="77777777" w:rsidR="00A350DA" w:rsidRPr="007E4DA1" w:rsidRDefault="00A350DA" w:rsidP="00DE1596">
      <w:pPr>
        <w:tabs>
          <w:tab w:val="left" w:pos="720"/>
        </w:tabs>
      </w:pPr>
    </w:p>
    <w:p w14:paraId="2E8BF1C8"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lang w:eastAsia="en-US"/>
        </w:rPr>
        <w:t>11.</w:t>
      </w:r>
      <w:r w:rsidRPr="007E4DA1">
        <w:rPr>
          <w:b/>
          <w:lang w:eastAsia="en-US"/>
        </w:rPr>
        <w:tab/>
        <w:t>NAZWA</w:t>
      </w:r>
      <w:r w:rsidRPr="007E4DA1">
        <w:rPr>
          <w:b/>
        </w:rPr>
        <w:t xml:space="preserve"> I ADRES PODMIOTU OD</w:t>
      </w:r>
      <w:smartTag w:uri="schemas-GSKSiteLocations-com/fourthcoffee" w:element="flavor">
        <w:r w:rsidRPr="007E4DA1">
          <w:rPr>
            <w:b/>
          </w:rPr>
          <w:t>POW</w:t>
        </w:r>
      </w:smartTag>
      <w:r w:rsidRPr="007E4DA1">
        <w:rPr>
          <w:b/>
        </w:rPr>
        <w:t>IEDZIALNEGO</w:t>
      </w:r>
    </w:p>
    <w:p w14:paraId="1FF614A8" w14:textId="12A3BCBA" w:rsidR="00A350DA" w:rsidRPr="007E4DA1" w:rsidRDefault="00A350DA" w:rsidP="00DE1596">
      <w:pPr>
        <w:tabs>
          <w:tab w:val="left" w:pos="720"/>
        </w:tabs>
      </w:pPr>
    </w:p>
    <w:p w14:paraId="3E832389" w14:textId="77777777" w:rsidR="00A350DA" w:rsidRPr="007E4DA1" w:rsidRDefault="00A350DA" w:rsidP="00DE1596">
      <w:r w:rsidRPr="007E4DA1">
        <w:t>Novartis Europharm Limited</w:t>
      </w:r>
    </w:p>
    <w:p w14:paraId="47F70294" w14:textId="77777777" w:rsidR="0091544F" w:rsidRPr="007E4DA1" w:rsidRDefault="0091544F" w:rsidP="00DE1596">
      <w:pPr>
        <w:keepNext/>
        <w:rPr>
          <w:color w:val="000000"/>
          <w:lang w:val="en-GB"/>
        </w:rPr>
      </w:pPr>
      <w:r w:rsidRPr="007E4DA1">
        <w:rPr>
          <w:color w:val="000000"/>
          <w:lang w:val="en-GB"/>
        </w:rPr>
        <w:t>Vista Building</w:t>
      </w:r>
    </w:p>
    <w:p w14:paraId="6A2AD05D" w14:textId="77777777" w:rsidR="0091544F" w:rsidRPr="007E4DA1" w:rsidRDefault="0091544F" w:rsidP="00DE1596">
      <w:pPr>
        <w:keepNext/>
        <w:rPr>
          <w:color w:val="000000"/>
          <w:lang w:val="en-GB"/>
        </w:rPr>
      </w:pPr>
      <w:r w:rsidRPr="007E4DA1">
        <w:rPr>
          <w:color w:val="000000"/>
          <w:lang w:val="en-GB"/>
        </w:rPr>
        <w:t>Elm Park, Merrion Road</w:t>
      </w:r>
    </w:p>
    <w:p w14:paraId="07886F82" w14:textId="77777777" w:rsidR="0091544F" w:rsidRPr="007E4DA1" w:rsidRDefault="0091544F" w:rsidP="00DE1596">
      <w:pPr>
        <w:keepNext/>
        <w:rPr>
          <w:color w:val="000000"/>
        </w:rPr>
      </w:pPr>
      <w:r w:rsidRPr="007E4DA1">
        <w:rPr>
          <w:color w:val="000000"/>
        </w:rPr>
        <w:t>Dublin 4</w:t>
      </w:r>
    </w:p>
    <w:p w14:paraId="182A7B09" w14:textId="77777777" w:rsidR="00A350DA" w:rsidRPr="007E4DA1" w:rsidRDefault="0091544F" w:rsidP="00DE1596">
      <w:pPr>
        <w:tabs>
          <w:tab w:val="left" w:pos="720"/>
        </w:tabs>
      </w:pPr>
      <w:r w:rsidRPr="007E4DA1">
        <w:rPr>
          <w:color w:val="000000"/>
        </w:rPr>
        <w:t>Irlandia</w:t>
      </w:r>
    </w:p>
    <w:p w14:paraId="30BED393" w14:textId="77777777" w:rsidR="00A350DA" w:rsidRPr="007E4DA1" w:rsidRDefault="00A350DA" w:rsidP="00DE1596">
      <w:pPr>
        <w:tabs>
          <w:tab w:val="left" w:pos="720"/>
        </w:tabs>
      </w:pPr>
    </w:p>
    <w:p w14:paraId="23C776EF" w14:textId="77777777" w:rsidR="00A350DA" w:rsidRPr="007E4DA1" w:rsidRDefault="00A350DA" w:rsidP="00DE1596">
      <w:pPr>
        <w:tabs>
          <w:tab w:val="left" w:pos="720"/>
        </w:tabs>
      </w:pPr>
    </w:p>
    <w:p w14:paraId="7C09F1F5"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12.</w:t>
      </w:r>
      <w:r w:rsidRPr="007E4DA1">
        <w:rPr>
          <w:b/>
        </w:rPr>
        <w:tab/>
        <w:t>NUMERY POZWOLEŃ NA DOPUSZCZENIE DO OBROTU</w:t>
      </w:r>
    </w:p>
    <w:p w14:paraId="17CCBED0" w14:textId="49C740B3" w:rsidR="00A350DA" w:rsidRPr="007E4DA1" w:rsidRDefault="00A350DA" w:rsidP="00DE1596">
      <w:pPr>
        <w:tabs>
          <w:tab w:val="left" w:pos="720"/>
        </w:tabs>
      </w:pPr>
    </w:p>
    <w:p w14:paraId="24C0F5F9" w14:textId="77777777" w:rsidR="00A350DA" w:rsidRPr="007E4DA1" w:rsidRDefault="00A350DA" w:rsidP="00DE1596">
      <w:pPr>
        <w:rPr>
          <w:shd w:val="pct15" w:color="auto" w:fill="auto"/>
        </w:rPr>
      </w:pPr>
      <w:r w:rsidRPr="007E4DA1">
        <w:t>EU/1/10/612/0</w:t>
      </w:r>
      <w:r w:rsidR="00DD42E6" w:rsidRPr="007E4DA1">
        <w:t>1</w:t>
      </w:r>
      <w:r w:rsidR="000F7C7C" w:rsidRPr="007E4DA1">
        <w:t>0</w:t>
      </w:r>
      <w:r w:rsidRPr="007E4DA1">
        <w:t xml:space="preserve"> </w:t>
      </w:r>
      <w:r w:rsidRPr="007E4DA1">
        <w:rPr>
          <w:shd w:val="pct15" w:color="auto" w:fill="auto"/>
        </w:rPr>
        <w:t>(14</w:t>
      </w:r>
      <w:r w:rsidR="00B91E09" w:rsidRPr="007E4DA1">
        <w:rPr>
          <w:shd w:val="pct15" w:color="auto" w:fill="auto"/>
        </w:rPr>
        <w:t> </w:t>
      </w:r>
      <w:r w:rsidRPr="007E4DA1">
        <w:rPr>
          <w:shd w:val="pct15" w:color="auto" w:fill="auto"/>
        </w:rPr>
        <w:t>tabletek powlekanych)</w:t>
      </w:r>
    </w:p>
    <w:p w14:paraId="19A92514" w14:textId="77777777" w:rsidR="00A350DA" w:rsidRPr="007E4DA1" w:rsidRDefault="00A350DA" w:rsidP="00DE1596">
      <w:pPr>
        <w:rPr>
          <w:shd w:val="pct15" w:color="auto" w:fill="auto"/>
        </w:rPr>
      </w:pPr>
      <w:r w:rsidRPr="007E4DA1">
        <w:rPr>
          <w:shd w:val="pct15" w:color="auto" w:fill="auto"/>
        </w:rPr>
        <w:t>EU/1/10/612/0</w:t>
      </w:r>
      <w:r w:rsidR="00DD42E6" w:rsidRPr="007E4DA1">
        <w:rPr>
          <w:shd w:val="pct15" w:color="auto" w:fill="auto"/>
        </w:rPr>
        <w:t>11</w:t>
      </w:r>
      <w:r w:rsidRPr="007E4DA1">
        <w:rPr>
          <w:shd w:val="pct15" w:color="auto" w:fill="auto"/>
        </w:rPr>
        <w:t xml:space="preserve"> (28</w:t>
      </w:r>
      <w:r w:rsidR="00B91E09" w:rsidRPr="007E4DA1">
        <w:rPr>
          <w:shd w:val="pct15" w:color="auto" w:fill="auto"/>
        </w:rPr>
        <w:t> </w:t>
      </w:r>
      <w:r w:rsidRPr="007E4DA1">
        <w:rPr>
          <w:shd w:val="pct15" w:color="auto" w:fill="auto"/>
        </w:rPr>
        <w:t>tabletek powlekanych)</w:t>
      </w:r>
    </w:p>
    <w:p w14:paraId="09003F05" w14:textId="77777777" w:rsidR="00A350DA" w:rsidRPr="007E4DA1" w:rsidRDefault="00A350DA" w:rsidP="00DE1596">
      <w:pPr>
        <w:ind w:left="0" w:firstLine="0"/>
      </w:pPr>
      <w:r w:rsidRPr="007E4DA1">
        <w:rPr>
          <w:shd w:val="pct15" w:color="auto" w:fill="auto"/>
        </w:rPr>
        <w:t>EU/1/10/612/0</w:t>
      </w:r>
      <w:r w:rsidR="00DD42E6" w:rsidRPr="007E4DA1">
        <w:rPr>
          <w:shd w:val="pct15" w:color="auto" w:fill="auto"/>
        </w:rPr>
        <w:t>12</w:t>
      </w:r>
      <w:r w:rsidRPr="007E4DA1">
        <w:rPr>
          <w:shd w:val="pct15" w:color="auto" w:fill="auto"/>
        </w:rPr>
        <w:t xml:space="preserve"> 84</w:t>
      </w:r>
      <w:r w:rsidR="00B91E09" w:rsidRPr="007E4DA1">
        <w:rPr>
          <w:shd w:val="pct15" w:color="auto" w:fill="auto"/>
        </w:rPr>
        <w:t> </w:t>
      </w:r>
      <w:r w:rsidRPr="007E4DA1">
        <w:rPr>
          <w:shd w:val="pct15" w:color="auto" w:fill="auto"/>
        </w:rPr>
        <w:t>tabletki powlekane (3</w:t>
      </w:r>
      <w:r w:rsidR="00B91E09" w:rsidRPr="007E4DA1">
        <w:rPr>
          <w:shd w:val="pct15" w:color="auto" w:fill="auto"/>
        </w:rPr>
        <w:t> </w:t>
      </w:r>
      <w:r w:rsidRPr="007E4DA1">
        <w:rPr>
          <w:shd w:val="pct15" w:color="auto" w:fill="auto"/>
        </w:rPr>
        <w:t>opakowania po 28)</w:t>
      </w:r>
    </w:p>
    <w:p w14:paraId="697E529E" w14:textId="77777777" w:rsidR="00A350DA" w:rsidRPr="007E4DA1" w:rsidRDefault="00A350DA" w:rsidP="00DE1596">
      <w:pPr>
        <w:tabs>
          <w:tab w:val="left" w:pos="720"/>
        </w:tabs>
      </w:pPr>
    </w:p>
    <w:p w14:paraId="2E347342" w14:textId="77777777" w:rsidR="00A350DA" w:rsidRPr="007E4DA1" w:rsidRDefault="00A350DA" w:rsidP="00DE1596">
      <w:pPr>
        <w:tabs>
          <w:tab w:val="left" w:pos="720"/>
        </w:tabs>
      </w:pPr>
    </w:p>
    <w:p w14:paraId="67D58DE4"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13.</w:t>
      </w:r>
      <w:r w:rsidRPr="007E4DA1">
        <w:rPr>
          <w:b/>
        </w:rPr>
        <w:tab/>
        <w:t>NUMER SERII</w:t>
      </w:r>
    </w:p>
    <w:p w14:paraId="1B452922" w14:textId="24944987" w:rsidR="00A350DA" w:rsidRPr="007E4DA1" w:rsidRDefault="00A350DA" w:rsidP="00DE1596">
      <w:pPr>
        <w:tabs>
          <w:tab w:val="left" w:pos="720"/>
        </w:tabs>
      </w:pPr>
    </w:p>
    <w:p w14:paraId="4747B5D9" w14:textId="24E81928" w:rsidR="00A350DA" w:rsidRPr="007E4DA1" w:rsidRDefault="00270E50" w:rsidP="00DE1596">
      <w:pPr>
        <w:tabs>
          <w:tab w:val="left" w:pos="720"/>
        </w:tabs>
      </w:pPr>
      <w:r w:rsidRPr="007E4DA1">
        <w:t xml:space="preserve">Nr </w:t>
      </w:r>
      <w:r w:rsidR="00A350DA" w:rsidRPr="007E4DA1">
        <w:t>serii:</w:t>
      </w:r>
    </w:p>
    <w:p w14:paraId="25181E06" w14:textId="77777777" w:rsidR="00A350DA" w:rsidRPr="007E4DA1" w:rsidRDefault="00A350DA" w:rsidP="00DE1596">
      <w:pPr>
        <w:tabs>
          <w:tab w:val="left" w:pos="720"/>
        </w:tabs>
      </w:pPr>
    </w:p>
    <w:p w14:paraId="29449E01" w14:textId="77777777" w:rsidR="00A350DA" w:rsidRPr="007E4DA1" w:rsidRDefault="00A350DA" w:rsidP="00DE1596">
      <w:pPr>
        <w:tabs>
          <w:tab w:val="left" w:pos="720"/>
        </w:tabs>
      </w:pPr>
    </w:p>
    <w:p w14:paraId="5CC20AD0"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14.</w:t>
      </w:r>
      <w:r w:rsidRPr="007E4DA1">
        <w:rPr>
          <w:b/>
        </w:rPr>
        <w:tab/>
        <w:t>OGÓLNA KATEGORIA DOSTĘPNOŚCI</w:t>
      </w:r>
    </w:p>
    <w:p w14:paraId="4A995580" w14:textId="06B15978" w:rsidR="00A350DA" w:rsidRPr="007E4DA1" w:rsidRDefault="00A350DA" w:rsidP="00DE1596">
      <w:pPr>
        <w:tabs>
          <w:tab w:val="left" w:pos="720"/>
        </w:tabs>
      </w:pPr>
    </w:p>
    <w:p w14:paraId="7771DC00" w14:textId="77777777" w:rsidR="00A350DA" w:rsidRPr="007E4DA1" w:rsidRDefault="00A350DA" w:rsidP="00DE1596">
      <w:pPr>
        <w:tabs>
          <w:tab w:val="left" w:pos="720"/>
        </w:tabs>
      </w:pPr>
    </w:p>
    <w:p w14:paraId="0F5A432B"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15.</w:t>
      </w:r>
      <w:r w:rsidRPr="007E4DA1">
        <w:rPr>
          <w:b/>
        </w:rPr>
        <w:tab/>
        <w:t>INSTRUKCJA UŻYCIA</w:t>
      </w:r>
    </w:p>
    <w:p w14:paraId="557D5CA5" w14:textId="1B25AC93" w:rsidR="00A350DA" w:rsidRPr="007E4DA1" w:rsidRDefault="00A350DA" w:rsidP="00DE1596">
      <w:pPr>
        <w:tabs>
          <w:tab w:val="left" w:pos="720"/>
        </w:tabs>
      </w:pPr>
    </w:p>
    <w:p w14:paraId="4557FE35" w14:textId="77777777" w:rsidR="00A350DA" w:rsidRPr="007E4DA1" w:rsidRDefault="00A350DA" w:rsidP="00DE1596">
      <w:pPr>
        <w:tabs>
          <w:tab w:val="left" w:pos="720"/>
        </w:tabs>
      </w:pPr>
    </w:p>
    <w:p w14:paraId="5BC0100B"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720"/>
        </w:tabs>
      </w:pPr>
      <w:r w:rsidRPr="007E4DA1">
        <w:rPr>
          <w:b/>
        </w:rPr>
        <w:t>16.</w:t>
      </w:r>
      <w:r w:rsidRPr="007E4DA1">
        <w:rPr>
          <w:b/>
        </w:rPr>
        <w:tab/>
        <w:t>INFORMACJA PODANA SYSTEMEM BRAILLE’A</w:t>
      </w:r>
    </w:p>
    <w:p w14:paraId="72345933" w14:textId="77777777" w:rsidR="00A350DA" w:rsidRPr="007E4DA1" w:rsidRDefault="00A350DA" w:rsidP="00DE1596">
      <w:pPr>
        <w:tabs>
          <w:tab w:val="left" w:pos="720"/>
        </w:tabs>
      </w:pPr>
    </w:p>
    <w:p w14:paraId="5D4EE63F" w14:textId="77777777" w:rsidR="00A350DA" w:rsidRPr="007E4DA1" w:rsidRDefault="00A350DA" w:rsidP="00DE1596">
      <w:pPr>
        <w:tabs>
          <w:tab w:val="left" w:pos="720"/>
        </w:tabs>
      </w:pPr>
      <w:r w:rsidRPr="007E4DA1">
        <w:t xml:space="preserve">revolade </w:t>
      </w:r>
      <w:r w:rsidR="000F7C7C" w:rsidRPr="007E4DA1">
        <w:t>1</w:t>
      </w:r>
      <w:r w:rsidRPr="007E4DA1">
        <w:t>2</w:t>
      </w:r>
      <w:r w:rsidR="000F7C7C" w:rsidRPr="007E4DA1">
        <w:t>,</w:t>
      </w:r>
      <w:r w:rsidRPr="007E4DA1">
        <w:t>5 mg</w:t>
      </w:r>
    </w:p>
    <w:p w14:paraId="36E3EE4E" w14:textId="77777777" w:rsidR="00A350DA" w:rsidRPr="007E4DA1" w:rsidRDefault="00A350DA" w:rsidP="00DE1596">
      <w:pPr>
        <w:tabs>
          <w:tab w:val="left" w:pos="720"/>
        </w:tabs>
      </w:pPr>
    </w:p>
    <w:p w14:paraId="613A03FF" w14:textId="77777777" w:rsidR="00C84CC9" w:rsidRPr="007E4DA1" w:rsidRDefault="00C84CC9" w:rsidP="00DE1596">
      <w:pPr>
        <w:tabs>
          <w:tab w:val="left" w:pos="720"/>
        </w:tabs>
      </w:pPr>
    </w:p>
    <w:p w14:paraId="62A5496A" w14:textId="77777777" w:rsidR="00041A08" w:rsidRPr="00041A08" w:rsidRDefault="00A10400" w:rsidP="00DE1596">
      <w:pPr>
        <w:keepNext/>
        <w:numPr>
          <w:ilvl w:val="1"/>
          <w:numId w:val="59"/>
        </w:numPr>
        <w:pBdr>
          <w:top w:val="single" w:sz="4" w:space="1" w:color="auto"/>
          <w:left w:val="single" w:sz="4" w:space="4" w:color="auto"/>
          <w:bottom w:val="single" w:sz="4" w:space="1" w:color="auto"/>
          <w:right w:val="single" w:sz="4" w:space="4" w:color="auto"/>
        </w:pBdr>
        <w:tabs>
          <w:tab w:val="left" w:pos="567"/>
        </w:tabs>
        <w:ind w:left="567"/>
        <w:rPr>
          <w:noProof/>
        </w:rPr>
      </w:pPr>
      <w:r w:rsidRPr="007E4DA1">
        <w:rPr>
          <w:b/>
          <w:noProof/>
        </w:rPr>
        <w:t>NIEPOWTARZALNY IDENTYFIKATOR – KOD 2D</w:t>
      </w:r>
    </w:p>
    <w:p w14:paraId="791A01A0" w14:textId="1F42D9AB" w:rsidR="00A10400" w:rsidRPr="007E4DA1" w:rsidRDefault="00A10400" w:rsidP="00DE1596">
      <w:pPr>
        <w:rPr>
          <w:noProof/>
        </w:rPr>
      </w:pPr>
    </w:p>
    <w:p w14:paraId="70275ED6" w14:textId="36BFFDB0" w:rsidR="00E8381D" w:rsidRPr="007E4DA1" w:rsidRDefault="00A10400" w:rsidP="00DE1596">
      <w:pPr>
        <w:rPr>
          <w:noProof/>
          <w:shd w:val="pct15" w:color="auto" w:fill="auto"/>
        </w:rPr>
      </w:pPr>
      <w:r w:rsidRPr="007E4DA1">
        <w:rPr>
          <w:noProof/>
          <w:shd w:val="pct15" w:color="auto" w:fill="auto"/>
        </w:rPr>
        <w:t>Obejmuje kod 2D będący nośnikiem niepowtarzalnego identyfikatora.</w:t>
      </w:r>
    </w:p>
    <w:p w14:paraId="316E2E5B" w14:textId="77777777" w:rsidR="00A10400" w:rsidRPr="007E4DA1" w:rsidRDefault="00A10400" w:rsidP="00DE1596">
      <w:pPr>
        <w:rPr>
          <w:noProof/>
          <w:szCs w:val="22"/>
        </w:rPr>
      </w:pPr>
    </w:p>
    <w:p w14:paraId="6AF52136" w14:textId="77777777" w:rsidR="00A10400" w:rsidRPr="007E4DA1" w:rsidRDefault="00A10400" w:rsidP="00DE1596">
      <w:pPr>
        <w:rPr>
          <w:noProof/>
          <w:szCs w:val="22"/>
        </w:rPr>
      </w:pPr>
    </w:p>
    <w:p w14:paraId="2C1A8E1D" w14:textId="77777777" w:rsidR="00041A08" w:rsidRPr="00041A08" w:rsidRDefault="00A10400" w:rsidP="00DE1596">
      <w:pPr>
        <w:keepNext/>
        <w:numPr>
          <w:ilvl w:val="1"/>
          <w:numId w:val="59"/>
        </w:numPr>
        <w:pBdr>
          <w:top w:val="single" w:sz="4" w:space="1" w:color="auto"/>
          <w:left w:val="single" w:sz="4" w:space="4" w:color="auto"/>
          <w:bottom w:val="single" w:sz="4" w:space="1" w:color="auto"/>
          <w:right w:val="single" w:sz="4" w:space="4" w:color="auto"/>
        </w:pBdr>
        <w:tabs>
          <w:tab w:val="left" w:pos="567"/>
        </w:tabs>
        <w:ind w:left="567"/>
        <w:rPr>
          <w:noProof/>
        </w:rPr>
      </w:pPr>
      <w:r w:rsidRPr="007E4DA1">
        <w:rPr>
          <w:b/>
          <w:noProof/>
        </w:rPr>
        <w:t>NIEPOWTARZALNY IDENTYFIKATOR – DANE CZYTELNE DLA CZŁOWIEKA</w:t>
      </w:r>
    </w:p>
    <w:p w14:paraId="259DB36A" w14:textId="79FE4E9B" w:rsidR="00A10400" w:rsidRPr="007E4DA1" w:rsidRDefault="00A10400" w:rsidP="00DE1596">
      <w:pPr>
        <w:rPr>
          <w:noProof/>
        </w:rPr>
      </w:pPr>
    </w:p>
    <w:p w14:paraId="2DF8B9FB" w14:textId="7E74167C" w:rsidR="00A10400" w:rsidRPr="007E4DA1" w:rsidRDefault="00A10400" w:rsidP="00DE1596">
      <w:pPr>
        <w:rPr>
          <w:color w:val="000000" w:themeColor="text1"/>
          <w:szCs w:val="22"/>
        </w:rPr>
      </w:pPr>
      <w:r w:rsidRPr="007E4DA1">
        <w:rPr>
          <w:color w:val="000000" w:themeColor="text1"/>
        </w:rPr>
        <w:t>PC</w:t>
      </w:r>
    </w:p>
    <w:p w14:paraId="3A03AF2C" w14:textId="468F932D" w:rsidR="00A10400" w:rsidRPr="007E4DA1" w:rsidRDefault="00A10400" w:rsidP="00DE1596">
      <w:pPr>
        <w:rPr>
          <w:szCs w:val="22"/>
        </w:rPr>
      </w:pPr>
      <w:r w:rsidRPr="007E4DA1">
        <w:t>SN</w:t>
      </w:r>
    </w:p>
    <w:p w14:paraId="3A63EE6C" w14:textId="0D0DF034" w:rsidR="00A10400" w:rsidRPr="007E4DA1" w:rsidRDefault="00A10400" w:rsidP="00DE1596">
      <w:pPr>
        <w:rPr>
          <w:szCs w:val="22"/>
        </w:rPr>
      </w:pPr>
      <w:r w:rsidRPr="007E4DA1">
        <w:t>NN</w:t>
      </w:r>
    </w:p>
    <w:p w14:paraId="26BE6AFF" w14:textId="77777777" w:rsidR="00A350DA" w:rsidRPr="007E4DA1" w:rsidRDefault="00A350DA" w:rsidP="00DE1596">
      <w:pPr>
        <w:ind w:left="0" w:firstLine="0"/>
      </w:pPr>
      <w:r w:rsidRPr="007E4DA1">
        <w:br w:type="page"/>
      </w:r>
    </w:p>
    <w:p w14:paraId="721B703B" w14:textId="77777777" w:rsidR="00AA3184" w:rsidRPr="007E4DA1" w:rsidRDefault="00AA3184" w:rsidP="00DE1596">
      <w:pPr>
        <w:ind w:left="0" w:firstLine="0"/>
      </w:pPr>
    </w:p>
    <w:p w14:paraId="7A289699" w14:textId="77777777" w:rsidR="00041A08" w:rsidRPr="00041A08" w:rsidRDefault="00A350DA" w:rsidP="00DE1596">
      <w:pPr>
        <w:pBdr>
          <w:top w:val="single" w:sz="4" w:space="1" w:color="auto"/>
          <w:left w:val="single" w:sz="4" w:space="4" w:color="auto"/>
          <w:bottom w:val="single" w:sz="4" w:space="1" w:color="auto"/>
          <w:right w:val="single" w:sz="4" w:space="4" w:color="auto"/>
        </w:pBdr>
        <w:ind w:left="0" w:firstLine="0"/>
      </w:pPr>
      <w:r w:rsidRPr="007E4DA1">
        <w:rPr>
          <w:b/>
        </w:rPr>
        <w:t xml:space="preserve">INFORMACJE ZAMIESZCZANE NA </w:t>
      </w:r>
      <w:r w:rsidR="00E46C4D" w:rsidRPr="007E4DA1">
        <w:rPr>
          <w:b/>
        </w:rPr>
        <w:t>OPAKOWANIACH</w:t>
      </w:r>
      <w:r w:rsidRPr="007E4DA1">
        <w:rPr>
          <w:b/>
        </w:rPr>
        <w:t xml:space="preserve"> </w:t>
      </w:r>
      <w:r w:rsidR="00B91E09" w:rsidRPr="007E4DA1">
        <w:rPr>
          <w:b/>
        </w:rPr>
        <w:t>POŚREDNI</w:t>
      </w:r>
      <w:r w:rsidR="00E46C4D" w:rsidRPr="007E4DA1">
        <w:rPr>
          <w:b/>
        </w:rPr>
        <w:t>CH</w:t>
      </w:r>
    </w:p>
    <w:p w14:paraId="17F198B5" w14:textId="14CF9234" w:rsidR="00A350DA" w:rsidRPr="007E4DA1" w:rsidRDefault="00A350DA" w:rsidP="00DE1596">
      <w:pPr>
        <w:pBdr>
          <w:top w:val="single" w:sz="4" w:space="1" w:color="auto"/>
          <w:left w:val="single" w:sz="4" w:space="4" w:color="auto"/>
          <w:bottom w:val="single" w:sz="4" w:space="1" w:color="auto"/>
          <w:right w:val="single" w:sz="4" w:space="4" w:color="auto"/>
        </w:pBdr>
      </w:pPr>
    </w:p>
    <w:p w14:paraId="18B99BE8" w14:textId="77777777" w:rsidR="00041A08" w:rsidRPr="00041A08" w:rsidRDefault="00A350DA" w:rsidP="00DE1596">
      <w:pPr>
        <w:pBdr>
          <w:top w:val="single" w:sz="4" w:space="1" w:color="auto"/>
          <w:left w:val="single" w:sz="4" w:space="4" w:color="auto"/>
          <w:bottom w:val="single" w:sz="4" w:space="1" w:color="auto"/>
          <w:right w:val="single" w:sz="4" w:space="4" w:color="auto"/>
        </w:pBdr>
        <w:ind w:left="0" w:firstLine="0"/>
      </w:pPr>
      <w:r w:rsidRPr="007E4DA1">
        <w:rPr>
          <w:b/>
          <w:bCs/>
        </w:rPr>
        <w:t xml:space="preserve">Opakowanie zbiorcze zawierające </w:t>
      </w:r>
      <w:r w:rsidRPr="007E4DA1">
        <w:rPr>
          <w:b/>
        </w:rPr>
        <w:t xml:space="preserve">84 tabletki powlekane </w:t>
      </w:r>
      <w:r w:rsidRPr="007E4DA1">
        <w:rPr>
          <w:b/>
          <w:bCs/>
        </w:rPr>
        <w:t>(3 opakowania po 28)</w:t>
      </w:r>
      <w:r w:rsidRPr="007E4DA1">
        <w:rPr>
          <w:b/>
        </w:rPr>
        <w:t xml:space="preserve"> </w:t>
      </w:r>
      <w:r w:rsidRPr="007E4DA1">
        <w:rPr>
          <w:b/>
          <w:bCs/>
        </w:rPr>
        <w:t xml:space="preserve">– bez blue box – </w:t>
      </w:r>
      <w:r w:rsidR="00415123" w:rsidRPr="007E4DA1">
        <w:rPr>
          <w:b/>
          <w:bCs/>
        </w:rPr>
        <w:t>1</w:t>
      </w:r>
      <w:r w:rsidRPr="007E4DA1">
        <w:rPr>
          <w:b/>
          <w:bCs/>
        </w:rPr>
        <w:t>2</w:t>
      </w:r>
      <w:r w:rsidR="00415123" w:rsidRPr="007E4DA1">
        <w:rPr>
          <w:b/>
          <w:bCs/>
        </w:rPr>
        <w:t>,</w:t>
      </w:r>
      <w:r w:rsidRPr="007E4DA1">
        <w:rPr>
          <w:b/>
          <w:bCs/>
        </w:rPr>
        <w:t>5 mg tabletki powlekane</w:t>
      </w:r>
    </w:p>
    <w:p w14:paraId="762BEC8E" w14:textId="02267741" w:rsidR="00A350DA" w:rsidRPr="007E4DA1" w:rsidRDefault="00A350DA" w:rsidP="00DE1596"/>
    <w:p w14:paraId="0E1F07EA" w14:textId="77777777" w:rsidR="00A350DA" w:rsidRPr="007E4DA1" w:rsidRDefault="00A350DA" w:rsidP="00DE1596"/>
    <w:p w14:paraId="2069648E"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1.</w:t>
      </w:r>
      <w:r w:rsidRPr="007E4DA1">
        <w:rPr>
          <w:b/>
          <w:lang w:eastAsia="en-US"/>
        </w:rPr>
        <w:tab/>
        <w:t>NAZWA PRODUKTU LECZNICZEGO</w:t>
      </w:r>
    </w:p>
    <w:p w14:paraId="48D72834" w14:textId="239EDBF7" w:rsidR="00A350DA" w:rsidRPr="007E4DA1" w:rsidRDefault="00A350DA" w:rsidP="00DE1596"/>
    <w:p w14:paraId="012E2D7C" w14:textId="77777777" w:rsidR="00A350DA" w:rsidRPr="007E4DA1" w:rsidRDefault="00A350DA" w:rsidP="00DE1596">
      <w:r w:rsidRPr="007E4DA1">
        <w:t xml:space="preserve">Revolade </w:t>
      </w:r>
      <w:r w:rsidR="00415123" w:rsidRPr="007E4DA1">
        <w:t>1</w:t>
      </w:r>
      <w:r w:rsidRPr="007E4DA1">
        <w:t>2</w:t>
      </w:r>
      <w:r w:rsidR="00415123" w:rsidRPr="007E4DA1">
        <w:t>,</w:t>
      </w:r>
      <w:r w:rsidRPr="007E4DA1">
        <w:t>5 mg tabletki powlekane</w:t>
      </w:r>
    </w:p>
    <w:p w14:paraId="6393924F" w14:textId="77777777" w:rsidR="00410505" w:rsidRPr="007E4DA1" w:rsidRDefault="00410505" w:rsidP="00DE1596"/>
    <w:p w14:paraId="2F60DD9B" w14:textId="77777777" w:rsidR="00A350DA" w:rsidRPr="007E4DA1" w:rsidRDefault="00A350DA" w:rsidP="00DE1596">
      <w:r w:rsidRPr="007E4DA1">
        <w:t>eltrombopag</w:t>
      </w:r>
    </w:p>
    <w:p w14:paraId="322260BF" w14:textId="77777777" w:rsidR="00A350DA" w:rsidRPr="007E4DA1" w:rsidRDefault="00A350DA" w:rsidP="00DE1596"/>
    <w:p w14:paraId="6BE64644" w14:textId="77777777" w:rsidR="00A350DA" w:rsidRPr="007E4DA1" w:rsidRDefault="00A350DA" w:rsidP="00DE1596"/>
    <w:p w14:paraId="61425334"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lang w:eastAsia="en-US"/>
        </w:rPr>
        <w:t>2.</w:t>
      </w:r>
      <w:r w:rsidRPr="007E4DA1">
        <w:rPr>
          <w:b/>
          <w:lang w:eastAsia="en-US"/>
        </w:rPr>
        <w:tab/>
        <w:t>ZAWARTOŚĆ SUBSTANCJI CZYNNEJ</w:t>
      </w:r>
    </w:p>
    <w:p w14:paraId="563FC726" w14:textId="06435C8D" w:rsidR="00A350DA" w:rsidRPr="007E4DA1" w:rsidRDefault="00A350DA" w:rsidP="00DE1596"/>
    <w:p w14:paraId="67C7E660" w14:textId="77777777" w:rsidR="00A350DA" w:rsidRPr="007E4DA1" w:rsidRDefault="00A350DA" w:rsidP="00DE1596">
      <w:pPr>
        <w:ind w:left="0" w:firstLine="0"/>
      </w:pPr>
      <w:r w:rsidRPr="007E4DA1">
        <w:t xml:space="preserve">Każda tabletka powlekana zawiera eltrombopag z olaminą w ilości odpowiadającej </w:t>
      </w:r>
      <w:r w:rsidR="00415123" w:rsidRPr="007E4DA1">
        <w:t>1</w:t>
      </w:r>
      <w:r w:rsidRPr="007E4DA1">
        <w:t>2</w:t>
      </w:r>
      <w:r w:rsidR="00415123" w:rsidRPr="007E4DA1">
        <w:t>,</w:t>
      </w:r>
      <w:r w:rsidRPr="007E4DA1">
        <w:t>5 mg eltrombopagu.</w:t>
      </w:r>
    </w:p>
    <w:p w14:paraId="7ADDEE74" w14:textId="77777777" w:rsidR="00A350DA" w:rsidRPr="007E4DA1" w:rsidRDefault="00A350DA" w:rsidP="00DE1596"/>
    <w:p w14:paraId="2F11C277" w14:textId="77777777" w:rsidR="00A350DA" w:rsidRPr="007E4DA1" w:rsidRDefault="00A350DA" w:rsidP="00DE1596"/>
    <w:p w14:paraId="471AAB69" w14:textId="77777777" w:rsidR="00041A08" w:rsidRPr="00041A08" w:rsidRDefault="00A350DA" w:rsidP="00DE1596">
      <w:pPr>
        <w:pBdr>
          <w:top w:val="single" w:sz="4" w:space="1" w:color="auto"/>
          <w:left w:val="single" w:sz="4" w:space="4" w:color="auto"/>
          <w:bottom w:val="single" w:sz="4" w:space="2" w:color="auto"/>
          <w:right w:val="single" w:sz="4" w:space="4" w:color="auto"/>
        </w:pBdr>
        <w:tabs>
          <w:tab w:val="left" w:pos="142"/>
        </w:tabs>
        <w:rPr>
          <w:lang w:eastAsia="en-US"/>
        </w:rPr>
      </w:pPr>
      <w:r w:rsidRPr="007E4DA1">
        <w:rPr>
          <w:b/>
          <w:lang w:eastAsia="en-US"/>
        </w:rPr>
        <w:t>3.</w:t>
      </w:r>
      <w:r w:rsidRPr="007E4DA1">
        <w:rPr>
          <w:b/>
          <w:lang w:eastAsia="en-US"/>
        </w:rPr>
        <w:tab/>
        <w:t>WYKAZ SUBSTANCJI POMOCNICZYCH</w:t>
      </w:r>
    </w:p>
    <w:p w14:paraId="50EA79C4" w14:textId="487EE4C1" w:rsidR="00A350DA" w:rsidRPr="007E4DA1" w:rsidRDefault="00A350DA" w:rsidP="00DE1596"/>
    <w:p w14:paraId="4E4E2400" w14:textId="77777777" w:rsidR="00A350DA" w:rsidRPr="007E4DA1" w:rsidRDefault="00A350DA" w:rsidP="00DE1596"/>
    <w:p w14:paraId="4C82F1FA"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4.</w:t>
      </w:r>
      <w:r w:rsidRPr="007E4DA1">
        <w:rPr>
          <w:b/>
          <w:lang w:eastAsia="en-US"/>
        </w:rPr>
        <w:tab/>
        <w:t>POSTAĆ FARMACEUTYCZNA I ZAWARTOŚĆ OPAKOWANIA</w:t>
      </w:r>
    </w:p>
    <w:p w14:paraId="618E6529" w14:textId="652EB92D" w:rsidR="00A350DA" w:rsidRPr="007E4DA1" w:rsidRDefault="00A350DA" w:rsidP="00DE1596">
      <w:pPr>
        <w:rPr>
          <w:bCs/>
        </w:rPr>
      </w:pPr>
    </w:p>
    <w:p w14:paraId="2ECBBEA5" w14:textId="77777777" w:rsidR="00A350DA" w:rsidRPr="007E4DA1" w:rsidRDefault="00A350DA" w:rsidP="00DE1596">
      <w:pPr>
        <w:rPr>
          <w:shd w:val="clear" w:color="auto" w:fill="CCCCCC"/>
        </w:rPr>
      </w:pPr>
      <w:r w:rsidRPr="007E4DA1">
        <w:t>28</w:t>
      </w:r>
      <w:r w:rsidR="00B91E09" w:rsidRPr="007E4DA1">
        <w:t> </w:t>
      </w:r>
      <w:r w:rsidRPr="007E4DA1">
        <w:t>tabletek powlekanych. Składnik opakowania zbiorczego, nie może być sprzedawany oddzielnie.</w:t>
      </w:r>
    </w:p>
    <w:p w14:paraId="595D973B" w14:textId="77777777" w:rsidR="00A350DA" w:rsidRPr="007E4DA1" w:rsidRDefault="00A350DA" w:rsidP="00DE1596"/>
    <w:p w14:paraId="767FA3B9" w14:textId="77777777" w:rsidR="00A350DA" w:rsidRPr="007E4DA1" w:rsidRDefault="00A350DA" w:rsidP="00DE1596">
      <w:pPr>
        <w:rPr>
          <w:bCs/>
        </w:rPr>
      </w:pPr>
    </w:p>
    <w:p w14:paraId="01E12FE2"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5.</w:t>
      </w:r>
      <w:r w:rsidRPr="007E4DA1">
        <w:rPr>
          <w:b/>
          <w:lang w:eastAsia="en-US"/>
        </w:rPr>
        <w:tab/>
        <w:t>SPOSÓB I DROGA PODANIA</w:t>
      </w:r>
    </w:p>
    <w:p w14:paraId="64DAD5AF" w14:textId="5689DC9C" w:rsidR="00A350DA" w:rsidRPr="007E4DA1" w:rsidRDefault="00A350DA" w:rsidP="00DE1596"/>
    <w:p w14:paraId="3A44984E" w14:textId="77777777" w:rsidR="00A350DA" w:rsidRPr="007E4DA1" w:rsidRDefault="00A350DA" w:rsidP="00DE1596">
      <w:r w:rsidRPr="007E4DA1">
        <w:t>Należy zapoznać się z treścią ulotki przed zastosowaniem leku.</w:t>
      </w:r>
      <w:r w:rsidR="00415123" w:rsidRPr="007E4DA1">
        <w:t xml:space="preserve"> </w:t>
      </w:r>
      <w:r w:rsidRPr="007E4DA1">
        <w:t>Podanie doustne.</w:t>
      </w:r>
    </w:p>
    <w:p w14:paraId="7493BA3B" w14:textId="77777777" w:rsidR="00A350DA" w:rsidRPr="007E4DA1" w:rsidRDefault="00A350DA" w:rsidP="00DE1596"/>
    <w:p w14:paraId="625C57BA" w14:textId="77777777" w:rsidR="00A350DA" w:rsidRPr="007E4DA1" w:rsidRDefault="00A350DA" w:rsidP="00DE1596"/>
    <w:p w14:paraId="2C293511"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lang w:eastAsia="en-US"/>
        </w:rPr>
        <w:t>6.</w:t>
      </w:r>
      <w:r w:rsidRPr="007E4DA1">
        <w:rPr>
          <w:b/>
          <w:lang w:eastAsia="en-US"/>
        </w:rPr>
        <w:tab/>
        <w:t xml:space="preserve">OSTRZEŻENIE DOTYCZĄCE PRZECHOWYWANIA PRODUKTU LECZNICZEGO W MIEJSCU </w:t>
      </w:r>
      <w:r w:rsidRPr="007E4DA1">
        <w:rPr>
          <w:b/>
        </w:rPr>
        <w:t xml:space="preserve">NIEWIDOCZNYM I </w:t>
      </w:r>
      <w:r w:rsidRPr="007E4DA1">
        <w:rPr>
          <w:b/>
          <w:lang w:eastAsia="en-US"/>
        </w:rPr>
        <w:t>NIEDOSTĘPNYM</w:t>
      </w:r>
      <w:r w:rsidRPr="007E4DA1">
        <w:rPr>
          <w:b/>
        </w:rPr>
        <w:t xml:space="preserve"> DLA DZIECI</w:t>
      </w:r>
    </w:p>
    <w:p w14:paraId="5640F8FC" w14:textId="36F69119" w:rsidR="00A350DA" w:rsidRPr="007E4DA1" w:rsidRDefault="00A350DA" w:rsidP="00DE1596"/>
    <w:p w14:paraId="159CC353" w14:textId="77777777" w:rsidR="00A350DA" w:rsidRPr="007E4DA1" w:rsidRDefault="00A350DA" w:rsidP="00DE1596">
      <w:r w:rsidRPr="007E4DA1">
        <w:t>Lek przechowywać w miejscu niewidocznym i niedostępnym dla dzieci.</w:t>
      </w:r>
    </w:p>
    <w:p w14:paraId="39FE1095" w14:textId="77777777" w:rsidR="00A350DA" w:rsidRPr="007E4DA1" w:rsidRDefault="00A350DA" w:rsidP="00DE1596"/>
    <w:p w14:paraId="62CEFE44" w14:textId="77777777" w:rsidR="00A350DA" w:rsidRPr="007E4DA1" w:rsidRDefault="00A350DA" w:rsidP="00DE1596"/>
    <w:p w14:paraId="597F1611"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7.</w:t>
      </w:r>
      <w:r w:rsidRPr="007E4DA1">
        <w:rPr>
          <w:b/>
        </w:rPr>
        <w:tab/>
        <w:t>INNE OSTRZEŻENIA SPECJALNE, JEŚLI KONIECZNE</w:t>
      </w:r>
    </w:p>
    <w:p w14:paraId="48FBB428" w14:textId="43E59482" w:rsidR="00A350DA" w:rsidRPr="007E4DA1" w:rsidRDefault="00A350DA" w:rsidP="00DE1596"/>
    <w:p w14:paraId="7B3B3240" w14:textId="77777777" w:rsidR="00A350DA" w:rsidRPr="007E4DA1" w:rsidRDefault="00A350DA" w:rsidP="00DE1596"/>
    <w:p w14:paraId="3DCF3C98"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8.</w:t>
      </w:r>
      <w:r w:rsidRPr="007E4DA1">
        <w:rPr>
          <w:b/>
        </w:rPr>
        <w:tab/>
        <w:t>T</w:t>
      </w:r>
      <w:smartTag w:uri="schemas-GSKSiteLocations-com/fourthcoffee" w:element="flavor">
        <w:r w:rsidRPr="007E4DA1">
          <w:rPr>
            <w:b/>
          </w:rPr>
          <w:t>ERM</w:t>
        </w:r>
      </w:smartTag>
      <w:r w:rsidRPr="007E4DA1">
        <w:rPr>
          <w:b/>
        </w:rPr>
        <w:t>IN WAŻNOŚCI</w:t>
      </w:r>
    </w:p>
    <w:p w14:paraId="11A83F4D" w14:textId="7B7E7804" w:rsidR="00A350DA" w:rsidRPr="007E4DA1" w:rsidRDefault="00A350DA" w:rsidP="00DE1596"/>
    <w:p w14:paraId="7E9135F3" w14:textId="6AC4BFF9" w:rsidR="00A350DA" w:rsidRPr="007E4DA1" w:rsidRDefault="00A350DA" w:rsidP="00DE1596">
      <w:r w:rsidRPr="007E4DA1">
        <w:t>Termin ważności:</w:t>
      </w:r>
    </w:p>
    <w:p w14:paraId="23CFA856" w14:textId="77777777" w:rsidR="00A350DA" w:rsidRPr="007E4DA1" w:rsidRDefault="00A350DA" w:rsidP="00DE1596"/>
    <w:p w14:paraId="7079A4DC" w14:textId="77777777" w:rsidR="00A350DA" w:rsidRPr="007E4DA1" w:rsidRDefault="00A350DA" w:rsidP="00DE1596"/>
    <w:p w14:paraId="0DAED5B1" w14:textId="77777777" w:rsidR="00041A08" w:rsidRPr="00041A08" w:rsidRDefault="00A350DA" w:rsidP="00DE1596">
      <w:pPr>
        <w:keepNext/>
        <w:pBdr>
          <w:top w:val="single" w:sz="4" w:space="1" w:color="auto"/>
          <w:left w:val="single" w:sz="4" w:space="4" w:color="auto"/>
          <w:bottom w:val="single" w:sz="4" w:space="1" w:color="auto"/>
          <w:right w:val="single" w:sz="4" w:space="4" w:color="auto"/>
        </w:pBdr>
        <w:tabs>
          <w:tab w:val="left" w:pos="142"/>
        </w:tabs>
      </w:pPr>
      <w:r w:rsidRPr="007E4DA1">
        <w:rPr>
          <w:b/>
        </w:rPr>
        <w:t>9.</w:t>
      </w:r>
      <w:r w:rsidRPr="007E4DA1">
        <w:rPr>
          <w:b/>
        </w:rPr>
        <w:tab/>
        <w:t>WARUNKI PRZECHOWYWANIA</w:t>
      </w:r>
    </w:p>
    <w:p w14:paraId="4555EE61" w14:textId="525478E5" w:rsidR="00A350DA" w:rsidRPr="007E4DA1" w:rsidRDefault="00A350DA" w:rsidP="00DE1596">
      <w:pPr>
        <w:keepNext/>
        <w:tabs>
          <w:tab w:val="left" w:pos="720"/>
        </w:tabs>
      </w:pPr>
    </w:p>
    <w:p w14:paraId="0CA6C5D3" w14:textId="77777777" w:rsidR="00A350DA" w:rsidRPr="007E4DA1" w:rsidRDefault="00A350DA" w:rsidP="00DE1596">
      <w:pPr>
        <w:tabs>
          <w:tab w:val="left" w:pos="720"/>
        </w:tabs>
      </w:pPr>
    </w:p>
    <w:p w14:paraId="077D94EF" w14:textId="77777777" w:rsidR="00041A08" w:rsidRPr="00041A08" w:rsidRDefault="00A350DA" w:rsidP="00DE1596">
      <w:pPr>
        <w:keepNext/>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10.</w:t>
      </w:r>
      <w:r w:rsidRPr="007E4DA1">
        <w:rPr>
          <w:b/>
          <w:lang w:eastAsia="en-US"/>
        </w:rPr>
        <w:tab/>
        <w:t xml:space="preserve">SPECJALNE ŚRODKI OSTROŻNOŚCI DOTYCZĄCE USUWANIA NIEZUŻYTEGO PRODUKTU LECZNICZEGO </w:t>
      </w:r>
      <w:smartTag w:uri="urn:schemas-microsoft-com:office:smarttags" w:element="stockticker">
        <w:r w:rsidRPr="007E4DA1">
          <w:rPr>
            <w:b/>
            <w:lang w:eastAsia="en-US"/>
          </w:rPr>
          <w:t>LUB</w:t>
        </w:r>
      </w:smartTag>
      <w:r w:rsidRPr="007E4DA1">
        <w:rPr>
          <w:b/>
          <w:lang w:eastAsia="en-US"/>
        </w:rPr>
        <w:t xml:space="preserve"> POCHODZĄCYCH Z NIEGO ODPADÓW, JEŚLI WŁAŚCIWE</w:t>
      </w:r>
    </w:p>
    <w:p w14:paraId="185473AE" w14:textId="07489B61" w:rsidR="00A350DA" w:rsidRPr="007E4DA1" w:rsidRDefault="00A350DA" w:rsidP="00DE1596">
      <w:pPr>
        <w:keepNext/>
        <w:tabs>
          <w:tab w:val="left" w:pos="720"/>
        </w:tabs>
      </w:pPr>
    </w:p>
    <w:p w14:paraId="7AE694E0" w14:textId="77777777" w:rsidR="00A350DA" w:rsidRPr="007E4DA1" w:rsidRDefault="00A350DA" w:rsidP="00DE1596">
      <w:pPr>
        <w:tabs>
          <w:tab w:val="left" w:pos="720"/>
        </w:tabs>
      </w:pPr>
    </w:p>
    <w:p w14:paraId="33EB3B1C"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lang w:eastAsia="en-US"/>
        </w:rPr>
        <w:t>11.</w:t>
      </w:r>
      <w:r w:rsidRPr="007E4DA1">
        <w:rPr>
          <w:b/>
          <w:lang w:eastAsia="en-US"/>
        </w:rPr>
        <w:tab/>
        <w:t>NAZWA</w:t>
      </w:r>
      <w:r w:rsidRPr="007E4DA1">
        <w:rPr>
          <w:b/>
        </w:rPr>
        <w:t xml:space="preserve"> I ADRES PODMIOTU OD</w:t>
      </w:r>
      <w:smartTag w:uri="schemas-GSKSiteLocations-com/fourthcoffee" w:element="flavor">
        <w:r w:rsidRPr="007E4DA1">
          <w:rPr>
            <w:b/>
          </w:rPr>
          <w:t>POW</w:t>
        </w:r>
      </w:smartTag>
      <w:r w:rsidRPr="007E4DA1">
        <w:rPr>
          <w:b/>
        </w:rPr>
        <w:t>IEDZIALNEGO</w:t>
      </w:r>
    </w:p>
    <w:p w14:paraId="0C2C71B8" w14:textId="77C74D3E" w:rsidR="00A350DA" w:rsidRPr="007E4DA1" w:rsidRDefault="00A350DA" w:rsidP="00DE1596">
      <w:pPr>
        <w:tabs>
          <w:tab w:val="left" w:pos="720"/>
        </w:tabs>
      </w:pPr>
    </w:p>
    <w:p w14:paraId="20135352" w14:textId="77777777" w:rsidR="00A350DA" w:rsidRPr="007E4DA1" w:rsidRDefault="00A350DA" w:rsidP="00DE1596">
      <w:r w:rsidRPr="007E4DA1">
        <w:t>Novartis Europharm Limited</w:t>
      </w:r>
    </w:p>
    <w:p w14:paraId="20704277" w14:textId="77777777" w:rsidR="0091544F" w:rsidRPr="007E4DA1" w:rsidRDefault="0091544F" w:rsidP="00DE1596">
      <w:pPr>
        <w:keepNext/>
        <w:rPr>
          <w:color w:val="000000"/>
          <w:lang w:val="en-GB"/>
        </w:rPr>
      </w:pPr>
      <w:r w:rsidRPr="007E4DA1">
        <w:rPr>
          <w:color w:val="000000"/>
          <w:lang w:val="en-GB"/>
        </w:rPr>
        <w:t>Vista Building</w:t>
      </w:r>
    </w:p>
    <w:p w14:paraId="0DB28243" w14:textId="77777777" w:rsidR="0091544F" w:rsidRPr="007E4DA1" w:rsidRDefault="0091544F" w:rsidP="00DE1596">
      <w:pPr>
        <w:keepNext/>
        <w:rPr>
          <w:color w:val="000000"/>
          <w:lang w:val="en-GB"/>
        </w:rPr>
      </w:pPr>
      <w:r w:rsidRPr="007E4DA1">
        <w:rPr>
          <w:color w:val="000000"/>
          <w:lang w:val="en-GB"/>
        </w:rPr>
        <w:t>Elm Park, Merrion Road</w:t>
      </w:r>
    </w:p>
    <w:p w14:paraId="143BEC34" w14:textId="77777777" w:rsidR="0091544F" w:rsidRPr="007E4DA1" w:rsidRDefault="0091544F" w:rsidP="00DE1596">
      <w:pPr>
        <w:keepNext/>
        <w:rPr>
          <w:color w:val="000000"/>
        </w:rPr>
      </w:pPr>
      <w:r w:rsidRPr="007E4DA1">
        <w:rPr>
          <w:color w:val="000000"/>
        </w:rPr>
        <w:t>Dublin 4</w:t>
      </w:r>
    </w:p>
    <w:p w14:paraId="59E152A4" w14:textId="77777777" w:rsidR="00A350DA" w:rsidRPr="007E4DA1" w:rsidRDefault="0091544F" w:rsidP="00DE1596">
      <w:pPr>
        <w:tabs>
          <w:tab w:val="left" w:pos="720"/>
        </w:tabs>
      </w:pPr>
      <w:r w:rsidRPr="007E4DA1">
        <w:rPr>
          <w:color w:val="000000"/>
        </w:rPr>
        <w:t>Irlandia</w:t>
      </w:r>
    </w:p>
    <w:p w14:paraId="342C4FEB" w14:textId="77777777" w:rsidR="00A350DA" w:rsidRPr="007E4DA1" w:rsidRDefault="00A350DA" w:rsidP="00DE1596">
      <w:pPr>
        <w:tabs>
          <w:tab w:val="left" w:pos="720"/>
        </w:tabs>
      </w:pPr>
    </w:p>
    <w:p w14:paraId="2302CB41" w14:textId="77777777" w:rsidR="00A350DA" w:rsidRPr="007E4DA1" w:rsidRDefault="00A350DA" w:rsidP="00DE1596">
      <w:pPr>
        <w:tabs>
          <w:tab w:val="left" w:pos="720"/>
        </w:tabs>
      </w:pPr>
    </w:p>
    <w:p w14:paraId="6AB17A7C"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12.</w:t>
      </w:r>
      <w:r w:rsidRPr="007E4DA1">
        <w:rPr>
          <w:b/>
        </w:rPr>
        <w:tab/>
        <w:t>NUMER POZWOLENIA NA DOPUSZCZENIE DO OBROTU</w:t>
      </w:r>
    </w:p>
    <w:p w14:paraId="4E015AFE" w14:textId="6247771D" w:rsidR="00A350DA" w:rsidRPr="007E4DA1" w:rsidRDefault="00A350DA" w:rsidP="00DE1596">
      <w:pPr>
        <w:tabs>
          <w:tab w:val="left" w:pos="720"/>
        </w:tabs>
      </w:pPr>
    </w:p>
    <w:p w14:paraId="250CB3B8" w14:textId="77777777" w:rsidR="00A350DA" w:rsidRPr="007E4DA1" w:rsidRDefault="00A350DA" w:rsidP="00DE1596">
      <w:pPr>
        <w:rPr>
          <w:lang w:val="es-ES"/>
        </w:rPr>
      </w:pPr>
      <w:r w:rsidRPr="007E4DA1">
        <w:rPr>
          <w:lang w:val="es-ES"/>
        </w:rPr>
        <w:t>EU/1/10/612/0</w:t>
      </w:r>
      <w:r w:rsidR="00DD42E6" w:rsidRPr="007E4DA1">
        <w:rPr>
          <w:lang w:val="es-ES"/>
        </w:rPr>
        <w:t>12</w:t>
      </w:r>
    </w:p>
    <w:p w14:paraId="73574D77" w14:textId="77777777" w:rsidR="00A350DA" w:rsidRPr="007E4DA1" w:rsidRDefault="00A350DA" w:rsidP="00DE1596">
      <w:pPr>
        <w:tabs>
          <w:tab w:val="left" w:pos="720"/>
        </w:tabs>
        <w:rPr>
          <w:lang w:val="es-ES"/>
        </w:rPr>
      </w:pPr>
    </w:p>
    <w:p w14:paraId="7743D433" w14:textId="77777777" w:rsidR="00A350DA" w:rsidRPr="007E4DA1" w:rsidRDefault="00A350DA" w:rsidP="00DE1596">
      <w:pPr>
        <w:tabs>
          <w:tab w:val="left" w:pos="720"/>
        </w:tabs>
        <w:rPr>
          <w:lang w:val="es-ES"/>
        </w:rPr>
      </w:pPr>
    </w:p>
    <w:p w14:paraId="75A5B01D"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rPr>
          <w:lang w:val="es-ES"/>
        </w:rPr>
      </w:pPr>
      <w:r w:rsidRPr="007E4DA1">
        <w:rPr>
          <w:b/>
          <w:lang w:val="es-ES"/>
        </w:rPr>
        <w:t>13.</w:t>
      </w:r>
      <w:r w:rsidRPr="007E4DA1">
        <w:rPr>
          <w:b/>
          <w:lang w:val="es-ES"/>
        </w:rPr>
        <w:tab/>
        <w:t>NUMER SERII</w:t>
      </w:r>
    </w:p>
    <w:p w14:paraId="64786EAE" w14:textId="35B4D6EA" w:rsidR="00A350DA" w:rsidRPr="007E4DA1" w:rsidRDefault="00A350DA" w:rsidP="00DE1596">
      <w:pPr>
        <w:tabs>
          <w:tab w:val="left" w:pos="720"/>
        </w:tabs>
        <w:rPr>
          <w:lang w:val="es-ES"/>
        </w:rPr>
      </w:pPr>
    </w:p>
    <w:p w14:paraId="7B3AFB40" w14:textId="07C20F10" w:rsidR="00A350DA" w:rsidRPr="007E4DA1" w:rsidRDefault="00DC7A8F" w:rsidP="00DE1596">
      <w:pPr>
        <w:tabs>
          <w:tab w:val="left" w:pos="720"/>
        </w:tabs>
        <w:rPr>
          <w:lang w:val="es-ES"/>
        </w:rPr>
      </w:pPr>
      <w:proofErr w:type="spellStart"/>
      <w:r w:rsidRPr="007E4DA1">
        <w:rPr>
          <w:lang w:val="es-ES"/>
        </w:rPr>
        <w:t>Nr</w:t>
      </w:r>
      <w:proofErr w:type="spellEnd"/>
      <w:r w:rsidRPr="007E4DA1">
        <w:rPr>
          <w:lang w:val="es-ES"/>
        </w:rPr>
        <w:t xml:space="preserve"> </w:t>
      </w:r>
      <w:proofErr w:type="spellStart"/>
      <w:r w:rsidR="00A350DA" w:rsidRPr="007E4DA1">
        <w:rPr>
          <w:lang w:val="es-ES"/>
        </w:rPr>
        <w:t>serii</w:t>
      </w:r>
      <w:proofErr w:type="spellEnd"/>
      <w:r w:rsidR="00A350DA" w:rsidRPr="007E4DA1">
        <w:rPr>
          <w:lang w:val="es-ES"/>
        </w:rPr>
        <w:t>:</w:t>
      </w:r>
    </w:p>
    <w:p w14:paraId="20C5C003" w14:textId="77777777" w:rsidR="00A350DA" w:rsidRPr="007E4DA1" w:rsidRDefault="00A350DA" w:rsidP="00DE1596">
      <w:pPr>
        <w:tabs>
          <w:tab w:val="left" w:pos="720"/>
        </w:tabs>
        <w:rPr>
          <w:lang w:val="es-ES"/>
        </w:rPr>
      </w:pPr>
    </w:p>
    <w:p w14:paraId="5D63ED02" w14:textId="77777777" w:rsidR="00A350DA" w:rsidRPr="007E4DA1" w:rsidRDefault="00A350DA" w:rsidP="00DE1596">
      <w:pPr>
        <w:tabs>
          <w:tab w:val="left" w:pos="720"/>
        </w:tabs>
        <w:rPr>
          <w:lang w:val="es-ES"/>
        </w:rPr>
      </w:pPr>
    </w:p>
    <w:p w14:paraId="022373BA"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14.</w:t>
      </w:r>
      <w:r w:rsidRPr="007E4DA1">
        <w:rPr>
          <w:b/>
        </w:rPr>
        <w:tab/>
        <w:t>OGÓLNA KATEGORIA DOSTĘPNOŚCI</w:t>
      </w:r>
    </w:p>
    <w:p w14:paraId="51543451" w14:textId="706231F5" w:rsidR="00A350DA" w:rsidRPr="007E4DA1" w:rsidRDefault="00A350DA" w:rsidP="00DE1596">
      <w:pPr>
        <w:tabs>
          <w:tab w:val="left" w:pos="720"/>
        </w:tabs>
      </w:pPr>
    </w:p>
    <w:p w14:paraId="2667F5DF" w14:textId="77777777" w:rsidR="00A350DA" w:rsidRPr="007E4DA1" w:rsidRDefault="00A350DA" w:rsidP="00DE1596">
      <w:pPr>
        <w:tabs>
          <w:tab w:val="left" w:pos="720"/>
        </w:tabs>
      </w:pPr>
    </w:p>
    <w:p w14:paraId="245D5B6B"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15.</w:t>
      </w:r>
      <w:r w:rsidRPr="007E4DA1">
        <w:rPr>
          <w:b/>
        </w:rPr>
        <w:tab/>
        <w:t>INSTRUKCJA UŻYCIA</w:t>
      </w:r>
    </w:p>
    <w:p w14:paraId="0A135F33" w14:textId="251B5374" w:rsidR="00A350DA" w:rsidRPr="007E4DA1" w:rsidRDefault="00A350DA" w:rsidP="00DE1596">
      <w:pPr>
        <w:tabs>
          <w:tab w:val="left" w:pos="720"/>
        </w:tabs>
      </w:pPr>
    </w:p>
    <w:p w14:paraId="2437E9B1" w14:textId="77777777" w:rsidR="00A350DA" w:rsidRPr="007E4DA1" w:rsidRDefault="00A350DA" w:rsidP="00DE1596">
      <w:pPr>
        <w:tabs>
          <w:tab w:val="left" w:pos="720"/>
        </w:tabs>
      </w:pPr>
    </w:p>
    <w:p w14:paraId="100CEDB1"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720"/>
        </w:tabs>
      </w:pPr>
      <w:r w:rsidRPr="007E4DA1">
        <w:rPr>
          <w:b/>
        </w:rPr>
        <w:t>16.</w:t>
      </w:r>
      <w:r w:rsidRPr="007E4DA1">
        <w:rPr>
          <w:b/>
        </w:rPr>
        <w:tab/>
        <w:t>INFORMACJA PODANA SYSTEMEM BRAILLE’A</w:t>
      </w:r>
    </w:p>
    <w:p w14:paraId="5B07503A" w14:textId="77777777" w:rsidR="00A350DA" w:rsidRPr="007E4DA1" w:rsidRDefault="00A350DA" w:rsidP="00DE1596">
      <w:pPr>
        <w:tabs>
          <w:tab w:val="left" w:pos="720"/>
        </w:tabs>
      </w:pPr>
    </w:p>
    <w:p w14:paraId="429DB25D" w14:textId="77777777" w:rsidR="00A350DA" w:rsidRPr="007E4DA1" w:rsidRDefault="00A350DA" w:rsidP="00DE1596">
      <w:pPr>
        <w:tabs>
          <w:tab w:val="left" w:pos="720"/>
        </w:tabs>
      </w:pPr>
      <w:r w:rsidRPr="007E4DA1">
        <w:t xml:space="preserve">revolade </w:t>
      </w:r>
      <w:r w:rsidR="00415123" w:rsidRPr="007E4DA1">
        <w:t>1</w:t>
      </w:r>
      <w:r w:rsidRPr="007E4DA1">
        <w:t>2</w:t>
      </w:r>
      <w:r w:rsidR="00415123" w:rsidRPr="007E4DA1">
        <w:t>,</w:t>
      </w:r>
      <w:r w:rsidRPr="007E4DA1">
        <w:t>5 mg</w:t>
      </w:r>
    </w:p>
    <w:p w14:paraId="36D065D7" w14:textId="77777777" w:rsidR="00A350DA" w:rsidRPr="007E4DA1" w:rsidRDefault="00A350DA" w:rsidP="00DE1596">
      <w:pPr>
        <w:tabs>
          <w:tab w:val="left" w:pos="720"/>
        </w:tabs>
      </w:pPr>
    </w:p>
    <w:p w14:paraId="73DFAA97" w14:textId="77777777" w:rsidR="00A350DA" w:rsidRPr="007E4DA1" w:rsidRDefault="00A350DA" w:rsidP="00DE1596">
      <w:pPr>
        <w:tabs>
          <w:tab w:val="left" w:pos="720"/>
        </w:tabs>
      </w:pPr>
      <w:r w:rsidRPr="007E4DA1">
        <w:br w:type="page"/>
      </w:r>
    </w:p>
    <w:p w14:paraId="66A0599D" w14:textId="77777777" w:rsidR="00AA3184" w:rsidRPr="007E4DA1" w:rsidRDefault="00AA3184" w:rsidP="00DE1596">
      <w:pPr>
        <w:tabs>
          <w:tab w:val="left" w:pos="720"/>
        </w:tabs>
        <w:ind w:left="0" w:firstLine="0"/>
      </w:pPr>
    </w:p>
    <w:p w14:paraId="172A444A"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720"/>
        </w:tabs>
        <w:ind w:left="0" w:firstLine="0"/>
      </w:pPr>
      <w:r w:rsidRPr="007E4DA1">
        <w:rPr>
          <w:b/>
        </w:rPr>
        <w:t xml:space="preserve">MINIMUM INFORMACJI ZAMIESZCZANYCH NA BLISTRACH </w:t>
      </w:r>
      <w:smartTag w:uri="urn:schemas-microsoft-com:office:smarttags" w:element="stockticker">
        <w:r w:rsidRPr="007E4DA1">
          <w:rPr>
            <w:b/>
          </w:rPr>
          <w:t>LUB</w:t>
        </w:r>
      </w:smartTag>
      <w:r w:rsidRPr="007E4DA1">
        <w:rPr>
          <w:b/>
        </w:rPr>
        <w:t xml:space="preserve"> OPAKOWANIACH FOLIOWYCH</w:t>
      </w:r>
    </w:p>
    <w:p w14:paraId="3F70284C" w14:textId="2C88CCEC" w:rsidR="00A350DA" w:rsidRPr="007E4DA1" w:rsidRDefault="00A350DA" w:rsidP="00DE1596">
      <w:pPr>
        <w:pBdr>
          <w:top w:val="single" w:sz="4" w:space="1" w:color="auto"/>
          <w:left w:val="single" w:sz="4" w:space="4" w:color="auto"/>
          <w:bottom w:val="single" w:sz="4" w:space="1" w:color="auto"/>
          <w:right w:val="single" w:sz="4" w:space="4" w:color="auto"/>
        </w:pBdr>
        <w:tabs>
          <w:tab w:val="left" w:pos="720"/>
        </w:tabs>
        <w:ind w:left="0" w:firstLine="0"/>
      </w:pPr>
    </w:p>
    <w:p w14:paraId="1F545099"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720"/>
        </w:tabs>
        <w:ind w:left="0" w:firstLine="0"/>
      </w:pPr>
      <w:r w:rsidRPr="007E4DA1">
        <w:rPr>
          <w:b/>
          <w:bCs/>
        </w:rPr>
        <w:t>Blister</w:t>
      </w:r>
    </w:p>
    <w:p w14:paraId="02A286A8" w14:textId="4B8A9A75" w:rsidR="00A350DA" w:rsidRPr="007E4DA1" w:rsidRDefault="00A350DA" w:rsidP="00DE1596">
      <w:pPr>
        <w:tabs>
          <w:tab w:val="left" w:pos="720"/>
        </w:tabs>
      </w:pPr>
    </w:p>
    <w:p w14:paraId="3014970D" w14:textId="77777777" w:rsidR="00A350DA" w:rsidRPr="007E4DA1" w:rsidRDefault="00A350DA" w:rsidP="00DE1596">
      <w:pPr>
        <w:tabs>
          <w:tab w:val="left" w:pos="720"/>
        </w:tabs>
      </w:pPr>
    </w:p>
    <w:p w14:paraId="4D370F6F"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1.</w:t>
      </w:r>
      <w:r w:rsidRPr="007E4DA1">
        <w:rPr>
          <w:b/>
        </w:rPr>
        <w:tab/>
        <w:t>NAZWA PRODUKTU LECZNICZEGO</w:t>
      </w:r>
    </w:p>
    <w:p w14:paraId="3B87A97C" w14:textId="00A4CC1C" w:rsidR="00A350DA" w:rsidRPr="007E4DA1" w:rsidRDefault="00A350DA" w:rsidP="00DE1596"/>
    <w:p w14:paraId="5E7DC38D" w14:textId="77777777" w:rsidR="00A350DA" w:rsidRPr="007E4DA1" w:rsidRDefault="00A350DA" w:rsidP="00DE1596">
      <w:r w:rsidRPr="007E4DA1">
        <w:t xml:space="preserve">Revolade </w:t>
      </w:r>
      <w:r w:rsidR="00415123" w:rsidRPr="007E4DA1">
        <w:t>1</w:t>
      </w:r>
      <w:r w:rsidRPr="007E4DA1">
        <w:t>2</w:t>
      </w:r>
      <w:r w:rsidR="00415123" w:rsidRPr="007E4DA1">
        <w:t>,</w:t>
      </w:r>
      <w:r w:rsidRPr="007E4DA1">
        <w:t>5 mg tabletki powlekane</w:t>
      </w:r>
    </w:p>
    <w:p w14:paraId="19C3D955" w14:textId="77777777" w:rsidR="00410505" w:rsidRPr="007E4DA1" w:rsidRDefault="00410505" w:rsidP="00DE1596"/>
    <w:p w14:paraId="097554F2" w14:textId="77777777" w:rsidR="00A350DA" w:rsidRPr="007E4DA1" w:rsidRDefault="00A350DA" w:rsidP="00DE1596">
      <w:r w:rsidRPr="007E4DA1">
        <w:t>eltrombopag</w:t>
      </w:r>
    </w:p>
    <w:p w14:paraId="75486AD4" w14:textId="77777777" w:rsidR="00A350DA" w:rsidRPr="007E4DA1" w:rsidRDefault="00A350DA" w:rsidP="00DE1596">
      <w:pPr>
        <w:tabs>
          <w:tab w:val="left" w:pos="720"/>
        </w:tabs>
      </w:pPr>
    </w:p>
    <w:p w14:paraId="76373994" w14:textId="77777777" w:rsidR="00A350DA" w:rsidRPr="007E4DA1" w:rsidRDefault="00A350DA" w:rsidP="00DE1596">
      <w:pPr>
        <w:tabs>
          <w:tab w:val="left" w:pos="720"/>
        </w:tabs>
      </w:pPr>
    </w:p>
    <w:p w14:paraId="4DB28D8E"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2.</w:t>
      </w:r>
      <w:r w:rsidRPr="007E4DA1">
        <w:rPr>
          <w:b/>
        </w:rPr>
        <w:tab/>
        <w:t>NAZWA PODMIOTU OD</w:t>
      </w:r>
      <w:smartTag w:uri="schemas-GSKSiteLocations-com/fourthcoffee" w:element="flavor">
        <w:r w:rsidRPr="007E4DA1">
          <w:rPr>
            <w:b/>
          </w:rPr>
          <w:t>POW</w:t>
        </w:r>
      </w:smartTag>
      <w:r w:rsidRPr="007E4DA1">
        <w:rPr>
          <w:b/>
        </w:rPr>
        <w:t>IEDZIALNEGO</w:t>
      </w:r>
    </w:p>
    <w:p w14:paraId="4B8B67B0" w14:textId="5457F72E" w:rsidR="00A350DA" w:rsidRPr="007E4DA1" w:rsidRDefault="00A350DA" w:rsidP="00DE1596">
      <w:pPr>
        <w:tabs>
          <w:tab w:val="left" w:pos="720"/>
        </w:tabs>
      </w:pPr>
    </w:p>
    <w:p w14:paraId="3E15A48D" w14:textId="77777777" w:rsidR="00A350DA" w:rsidRPr="007E4DA1" w:rsidRDefault="00A350DA" w:rsidP="00DE1596">
      <w:r w:rsidRPr="007E4DA1">
        <w:t>Novartis Europharm Limited</w:t>
      </w:r>
    </w:p>
    <w:p w14:paraId="5F56985A" w14:textId="77777777" w:rsidR="00A350DA" w:rsidRPr="007E4DA1" w:rsidRDefault="00A350DA" w:rsidP="00DE1596">
      <w:pPr>
        <w:tabs>
          <w:tab w:val="left" w:pos="720"/>
        </w:tabs>
      </w:pPr>
    </w:p>
    <w:p w14:paraId="181F9A73" w14:textId="77777777" w:rsidR="00A350DA" w:rsidRPr="007E4DA1" w:rsidRDefault="00A350DA" w:rsidP="00DE1596">
      <w:pPr>
        <w:tabs>
          <w:tab w:val="left" w:pos="720"/>
        </w:tabs>
      </w:pPr>
    </w:p>
    <w:p w14:paraId="0F568664"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3.</w:t>
      </w:r>
      <w:r w:rsidRPr="007E4DA1">
        <w:rPr>
          <w:b/>
        </w:rPr>
        <w:tab/>
        <w:t>T</w:t>
      </w:r>
      <w:smartTag w:uri="schemas-GSKSiteLocations-com/fourthcoffee" w:element="flavor">
        <w:r w:rsidRPr="007E4DA1">
          <w:rPr>
            <w:b/>
          </w:rPr>
          <w:t>ERM</w:t>
        </w:r>
      </w:smartTag>
      <w:r w:rsidRPr="007E4DA1">
        <w:rPr>
          <w:b/>
        </w:rPr>
        <w:t>IN WAŻNOŚCI</w:t>
      </w:r>
    </w:p>
    <w:p w14:paraId="15C9600F" w14:textId="55ED655D" w:rsidR="00A350DA" w:rsidRPr="007E4DA1" w:rsidRDefault="00A350DA" w:rsidP="00DE1596">
      <w:pPr>
        <w:tabs>
          <w:tab w:val="left" w:pos="720"/>
        </w:tabs>
      </w:pPr>
    </w:p>
    <w:p w14:paraId="6976DC83" w14:textId="77777777" w:rsidR="00A350DA" w:rsidRPr="007E4DA1" w:rsidRDefault="00A350DA" w:rsidP="00DE1596">
      <w:pPr>
        <w:tabs>
          <w:tab w:val="left" w:pos="720"/>
        </w:tabs>
      </w:pPr>
      <w:r w:rsidRPr="007E4DA1">
        <w:t>EXP</w:t>
      </w:r>
    </w:p>
    <w:p w14:paraId="0FF68F38" w14:textId="77777777" w:rsidR="00A350DA" w:rsidRPr="007E4DA1" w:rsidRDefault="00A350DA" w:rsidP="00DE1596">
      <w:pPr>
        <w:tabs>
          <w:tab w:val="left" w:pos="720"/>
        </w:tabs>
      </w:pPr>
    </w:p>
    <w:p w14:paraId="00E113F7" w14:textId="77777777" w:rsidR="00A350DA" w:rsidRPr="007E4DA1" w:rsidRDefault="00A350DA" w:rsidP="00DE1596">
      <w:pPr>
        <w:tabs>
          <w:tab w:val="left" w:pos="720"/>
        </w:tabs>
      </w:pPr>
    </w:p>
    <w:p w14:paraId="77D1E554"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4.</w:t>
      </w:r>
      <w:r w:rsidRPr="007E4DA1">
        <w:rPr>
          <w:b/>
        </w:rPr>
        <w:tab/>
        <w:t>NUMER SERII</w:t>
      </w:r>
    </w:p>
    <w:p w14:paraId="65BF8C6B" w14:textId="056E697F" w:rsidR="00A350DA" w:rsidRPr="007E4DA1" w:rsidRDefault="00A350DA" w:rsidP="00DE1596">
      <w:pPr>
        <w:tabs>
          <w:tab w:val="left" w:pos="720"/>
        </w:tabs>
      </w:pPr>
    </w:p>
    <w:p w14:paraId="007AC5E8" w14:textId="77777777" w:rsidR="00A350DA" w:rsidRPr="007E4DA1" w:rsidRDefault="00A350DA" w:rsidP="00DE1596">
      <w:pPr>
        <w:tabs>
          <w:tab w:val="left" w:pos="720"/>
        </w:tabs>
      </w:pPr>
      <w:r w:rsidRPr="007E4DA1">
        <w:t>Lot</w:t>
      </w:r>
    </w:p>
    <w:p w14:paraId="01071161" w14:textId="77777777" w:rsidR="00A350DA" w:rsidRPr="007E4DA1" w:rsidRDefault="00A350DA" w:rsidP="00DE1596">
      <w:pPr>
        <w:tabs>
          <w:tab w:val="left" w:pos="720"/>
        </w:tabs>
      </w:pPr>
    </w:p>
    <w:p w14:paraId="07325D48" w14:textId="77777777" w:rsidR="00A350DA" w:rsidRPr="007E4DA1" w:rsidRDefault="00A350DA" w:rsidP="00DE1596">
      <w:pPr>
        <w:tabs>
          <w:tab w:val="left" w:pos="720"/>
        </w:tabs>
      </w:pPr>
    </w:p>
    <w:p w14:paraId="3231441F"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720"/>
        </w:tabs>
      </w:pPr>
      <w:r w:rsidRPr="007E4DA1">
        <w:rPr>
          <w:b/>
        </w:rPr>
        <w:t>5.</w:t>
      </w:r>
      <w:r w:rsidRPr="007E4DA1">
        <w:rPr>
          <w:b/>
        </w:rPr>
        <w:tab/>
        <w:t>INNE</w:t>
      </w:r>
    </w:p>
    <w:p w14:paraId="270F23DD" w14:textId="77777777" w:rsidR="00A350DA" w:rsidRPr="007E4DA1" w:rsidRDefault="00A350DA" w:rsidP="00DE1596">
      <w:pPr>
        <w:tabs>
          <w:tab w:val="left" w:pos="720"/>
        </w:tabs>
      </w:pPr>
    </w:p>
    <w:p w14:paraId="0ADFA46A" w14:textId="77777777" w:rsidR="00A350DA" w:rsidRPr="007E4DA1" w:rsidRDefault="00A350DA" w:rsidP="00DE1596">
      <w:pPr>
        <w:tabs>
          <w:tab w:val="left" w:pos="720"/>
        </w:tabs>
      </w:pPr>
    </w:p>
    <w:p w14:paraId="40B322CA" w14:textId="77777777" w:rsidR="005B4BC8" w:rsidRPr="007E4DA1" w:rsidRDefault="00A350DA" w:rsidP="00DE1596">
      <w:r w:rsidRPr="007E4DA1">
        <w:br w:type="page"/>
      </w:r>
    </w:p>
    <w:p w14:paraId="334A86A3" w14:textId="77777777" w:rsidR="00AA3184" w:rsidRPr="007E4DA1" w:rsidRDefault="00AA3184" w:rsidP="00DE1596">
      <w:pPr>
        <w:ind w:left="-32" w:firstLine="32"/>
      </w:pPr>
    </w:p>
    <w:p w14:paraId="25E8E055" w14:textId="77777777" w:rsidR="00041A08" w:rsidRPr="00041A08" w:rsidRDefault="006350EE" w:rsidP="00DE1596">
      <w:pPr>
        <w:pBdr>
          <w:top w:val="single" w:sz="4" w:space="1" w:color="auto"/>
          <w:left w:val="single" w:sz="4" w:space="4" w:color="auto"/>
          <w:bottom w:val="single" w:sz="4" w:space="1" w:color="auto"/>
          <w:right w:val="single" w:sz="4" w:space="4" w:color="auto"/>
        </w:pBdr>
        <w:ind w:left="-32" w:firstLine="32"/>
      </w:pPr>
      <w:r w:rsidRPr="007E4DA1">
        <w:rPr>
          <w:b/>
        </w:rPr>
        <w:t>INFORMACJE ZAMIESZCZANE NA OPAKOWANIACH ZEWNĘTRZNYCH</w:t>
      </w:r>
    </w:p>
    <w:p w14:paraId="408FDA0F" w14:textId="4A57D08F" w:rsidR="006350EE" w:rsidRPr="007E4DA1" w:rsidRDefault="006350EE" w:rsidP="00DE1596">
      <w:pPr>
        <w:pBdr>
          <w:top w:val="single" w:sz="4" w:space="1" w:color="auto"/>
          <w:left w:val="single" w:sz="4" w:space="4" w:color="auto"/>
          <w:bottom w:val="single" w:sz="4" w:space="1" w:color="auto"/>
          <w:right w:val="single" w:sz="4" w:space="4" w:color="auto"/>
        </w:pBdr>
        <w:ind w:left="-32" w:firstLine="32"/>
      </w:pPr>
    </w:p>
    <w:p w14:paraId="0E074404" w14:textId="77777777" w:rsidR="00041A08" w:rsidRPr="00041A08" w:rsidRDefault="006350EE" w:rsidP="00DE1596">
      <w:pPr>
        <w:pBdr>
          <w:top w:val="single" w:sz="4" w:space="1" w:color="auto"/>
          <w:left w:val="single" w:sz="4" w:space="4" w:color="auto"/>
          <w:bottom w:val="single" w:sz="4" w:space="1" w:color="auto"/>
          <w:right w:val="single" w:sz="4" w:space="4" w:color="auto"/>
        </w:pBdr>
        <w:ind w:left="-32" w:firstLine="32"/>
      </w:pPr>
      <w:r w:rsidRPr="007E4DA1">
        <w:rPr>
          <w:b/>
        </w:rPr>
        <w:t>PUDEŁKO tabletki 25</w:t>
      </w:r>
      <w:r w:rsidR="00DB76DE" w:rsidRPr="007E4DA1">
        <w:rPr>
          <w:b/>
        </w:rPr>
        <w:t> </w:t>
      </w:r>
      <w:r w:rsidRPr="007E4DA1">
        <w:rPr>
          <w:b/>
        </w:rPr>
        <w:t>mg – 14, 28, 84 (3 OPAKOWANIA po 28) sztuk</w:t>
      </w:r>
    </w:p>
    <w:p w14:paraId="34FDCC49" w14:textId="71F2E34F" w:rsidR="005B4BC8" w:rsidRPr="007E4DA1" w:rsidRDefault="005B4BC8" w:rsidP="00DE1596"/>
    <w:p w14:paraId="0792D308" w14:textId="77777777" w:rsidR="005B4BC8" w:rsidRPr="007E4DA1" w:rsidRDefault="005B4BC8" w:rsidP="00DE1596"/>
    <w:p w14:paraId="0421888D" w14:textId="77777777" w:rsidR="00041A08" w:rsidRPr="00041A08" w:rsidRDefault="005B4BC8" w:rsidP="00DE1596">
      <w:pPr>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1.</w:t>
      </w:r>
      <w:r w:rsidRPr="007E4DA1">
        <w:rPr>
          <w:b/>
          <w:lang w:eastAsia="en-US"/>
        </w:rPr>
        <w:tab/>
        <w:t>NAZWA PRODUKTU LECZNICZEGO</w:t>
      </w:r>
    </w:p>
    <w:p w14:paraId="43EA9F51" w14:textId="47C8F9BC" w:rsidR="005B4BC8" w:rsidRPr="007E4DA1" w:rsidRDefault="005B4BC8" w:rsidP="00DE1596"/>
    <w:p w14:paraId="1AEEC716" w14:textId="77777777" w:rsidR="00FD348C" w:rsidRPr="007E4DA1" w:rsidRDefault="00FD348C" w:rsidP="00DE1596">
      <w:r w:rsidRPr="007E4DA1">
        <w:t>Revolade 25 mg tabletki powlekane</w:t>
      </w:r>
    </w:p>
    <w:p w14:paraId="5558569B" w14:textId="77777777" w:rsidR="00410505" w:rsidRPr="007E4DA1" w:rsidRDefault="00410505" w:rsidP="00DE1596"/>
    <w:p w14:paraId="38FF5A51" w14:textId="77777777" w:rsidR="00FD348C" w:rsidRPr="007E4DA1" w:rsidRDefault="00B566C8" w:rsidP="00DE1596">
      <w:r w:rsidRPr="007E4DA1">
        <w:t>eltrombopag</w:t>
      </w:r>
    </w:p>
    <w:p w14:paraId="37389F62" w14:textId="77777777" w:rsidR="00B566C8" w:rsidRPr="007E4DA1" w:rsidRDefault="00B566C8" w:rsidP="00DE1596"/>
    <w:p w14:paraId="124730CC" w14:textId="77777777" w:rsidR="00B566C8" w:rsidRPr="007E4DA1" w:rsidRDefault="00B566C8" w:rsidP="00DE1596"/>
    <w:p w14:paraId="75601CC8" w14:textId="77777777" w:rsidR="00041A08" w:rsidRPr="00041A08" w:rsidRDefault="005B4BC8" w:rsidP="00DE1596">
      <w:pPr>
        <w:pBdr>
          <w:top w:val="single" w:sz="4" w:space="1" w:color="auto"/>
          <w:left w:val="single" w:sz="4" w:space="4" w:color="auto"/>
          <w:bottom w:val="single" w:sz="4" w:space="1" w:color="auto"/>
          <w:right w:val="single" w:sz="4" w:space="4" w:color="auto"/>
        </w:pBdr>
        <w:tabs>
          <w:tab w:val="left" w:pos="142"/>
        </w:tabs>
      </w:pPr>
      <w:r w:rsidRPr="007E4DA1">
        <w:rPr>
          <w:b/>
          <w:lang w:eastAsia="en-US"/>
        </w:rPr>
        <w:t>2.</w:t>
      </w:r>
      <w:r w:rsidRPr="007E4DA1">
        <w:rPr>
          <w:b/>
          <w:lang w:eastAsia="en-US"/>
        </w:rPr>
        <w:tab/>
        <w:t>ZAWARTOŚĆ SUBSTANCJI CZYNNEJ</w:t>
      </w:r>
    </w:p>
    <w:p w14:paraId="1D0F5CF2" w14:textId="1580483E" w:rsidR="005B4BC8" w:rsidRPr="007E4DA1" w:rsidRDefault="005B4BC8" w:rsidP="00DE1596"/>
    <w:p w14:paraId="716D66FC" w14:textId="77777777" w:rsidR="00FD348C" w:rsidRPr="007E4DA1" w:rsidRDefault="00FD348C" w:rsidP="00DE1596">
      <w:pPr>
        <w:ind w:left="0" w:firstLine="0"/>
      </w:pPr>
      <w:r w:rsidRPr="007E4DA1">
        <w:t xml:space="preserve">Każda tabletka powlekana zawiera </w:t>
      </w:r>
      <w:r w:rsidR="00742C37" w:rsidRPr="007E4DA1">
        <w:t>eltrombopag</w:t>
      </w:r>
      <w:r w:rsidR="00021D36" w:rsidRPr="007E4DA1">
        <w:t xml:space="preserve"> z olaminą</w:t>
      </w:r>
      <w:r w:rsidRPr="007E4DA1">
        <w:t xml:space="preserve"> w ilości odpowiadającej 25 mg eltrombopagu.</w:t>
      </w:r>
    </w:p>
    <w:p w14:paraId="0D14BECC" w14:textId="77777777" w:rsidR="00FD348C" w:rsidRPr="007E4DA1" w:rsidRDefault="00FD348C" w:rsidP="00DE1596"/>
    <w:p w14:paraId="6FE8454A" w14:textId="77777777" w:rsidR="00FD348C" w:rsidRPr="007E4DA1" w:rsidRDefault="00FD348C" w:rsidP="00DE1596"/>
    <w:p w14:paraId="588B8265" w14:textId="77777777" w:rsidR="00041A08" w:rsidRPr="00041A08" w:rsidRDefault="005B4BC8" w:rsidP="00DE1596">
      <w:pPr>
        <w:pBdr>
          <w:top w:val="single" w:sz="4" w:space="1" w:color="auto"/>
          <w:left w:val="single" w:sz="4" w:space="4" w:color="auto"/>
          <w:bottom w:val="single" w:sz="4" w:space="2" w:color="auto"/>
          <w:right w:val="single" w:sz="4" w:space="4" w:color="auto"/>
        </w:pBdr>
        <w:tabs>
          <w:tab w:val="left" w:pos="142"/>
        </w:tabs>
        <w:rPr>
          <w:lang w:eastAsia="en-US"/>
        </w:rPr>
      </w:pPr>
      <w:r w:rsidRPr="007E4DA1">
        <w:rPr>
          <w:b/>
          <w:lang w:eastAsia="en-US"/>
        </w:rPr>
        <w:t>3.</w:t>
      </w:r>
      <w:r w:rsidRPr="007E4DA1">
        <w:rPr>
          <w:b/>
          <w:lang w:eastAsia="en-US"/>
        </w:rPr>
        <w:tab/>
        <w:t>WYKAZ SUBSTANCJI POMOCNICZYCH</w:t>
      </w:r>
    </w:p>
    <w:p w14:paraId="56D4E4FB" w14:textId="033D0F95" w:rsidR="00742C37" w:rsidRPr="007E4DA1" w:rsidRDefault="00742C37" w:rsidP="00DE1596"/>
    <w:p w14:paraId="4061543D" w14:textId="77777777" w:rsidR="00742C37" w:rsidRPr="007E4DA1" w:rsidRDefault="00742C37" w:rsidP="00DE1596"/>
    <w:p w14:paraId="221C5B35" w14:textId="77777777" w:rsidR="00041A08" w:rsidRPr="00041A08" w:rsidRDefault="006350EE" w:rsidP="00DE1596">
      <w:pPr>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4.</w:t>
      </w:r>
      <w:r w:rsidRPr="007E4DA1">
        <w:rPr>
          <w:b/>
          <w:lang w:eastAsia="en-US"/>
        </w:rPr>
        <w:tab/>
        <w:t>POSTAĆ FARMACEUTYCZNA I ZAWARTOŚĆ OPAKOWANIA</w:t>
      </w:r>
    </w:p>
    <w:p w14:paraId="49EAC323" w14:textId="7B165088" w:rsidR="005B4BC8" w:rsidRPr="007E4DA1" w:rsidRDefault="005B4BC8" w:rsidP="00DE1596">
      <w:pPr>
        <w:rPr>
          <w:bCs/>
        </w:rPr>
      </w:pPr>
    </w:p>
    <w:p w14:paraId="4E4CEBA8" w14:textId="77777777" w:rsidR="005A618A" w:rsidRPr="007E4DA1" w:rsidRDefault="005A618A" w:rsidP="00DE1596">
      <w:r w:rsidRPr="007E4DA1">
        <w:t>14</w:t>
      </w:r>
      <w:r w:rsidR="00B91E09" w:rsidRPr="007E4DA1">
        <w:t> </w:t>
      </w:r>
      <w:r w:rsidRPr="007E4DA1">
        <w:t>tabletek powlekanych</w:t>
      </w:r>
    </w:p>
    <w:p w14:paraId="77F972FB" w14:textId="77777777" w:rsidR="005A618A" w:rsidRPr="007E4DA1" w:rsidRDefault="005A618A" w:rsidP="00DE1596">
      <w:r w:rsidRPr="007E4DA1">
        <w:rPr>
          <w:shd w:val="clear" w:color="auto" w:fill="CCCCCC"/>
        </w:rPr>
        <w:t>28</w:t>
      </w:r>
      <w:r w:rsidR="00B91E09" w:rsidRPr="007E4DA1">
        <w:rPr>
          <w:shd w:val="clear" w:color="auto" w:fill="CCCCCC"/>
        </w:rPr>
        <w:t> </w:t>
      </w:r>
      <w:r w:rsidRPr="007E4DA1">
        <w:rPr>
          <w:shd w:val="clear" w:color="auto" w:fill="CCCCCC"/>
        </w:rPr>
        <w:t>tabletek powlekanych</w:t>
      </w:r>
    </w:p>
    <w:p w14:paraId="37BCF70D" w14:textId="77777777" w:rsidR="005A618A" w:rsidRPr="007E4DA1" w:rsidRDefault="005A618A" w:rsidP="00DE1596">
      <w:pPr>
        <w:rPr>
          <w:shd w:val="clear" w:color="auto" w:fill="CCCCCC"/>
        </w:rPr>
      </w:pPr>
      <w:r w:rsidRPr="007E4DA1">
        <w:rPr>
          <w:shd w:val="clear" w:color="auto" w:fill="CCCCCC"/>
        </w:rPr>
        <w:t>Opakowanie zbiorcze zawierające 84 tablet</w:t>
      </w:r>
      <w:r w:rsidR="00377C05" w:rsidRPr="007E4DA1">
        <w:rPr>
          <w:shd w:val="clear" w:color="auto" w:fill="CCCCCC"/>
        </w:rPr>
        <w:t>ki</w:t>
      </w:r>
      <w:r w:rsidRPr="007E4DA1">
        <w:rPr>
          <w:shd w:val="clear" w:color="auto" w:fill="CCCCCC"/>
        </w:rPr>
        <w:t xml:space="preserve"> powlekan</w:t>
      </w:r>
      <w:r w:rsidR="00377C05" w:rsidRPr="007E4DA1">
        <w:rPr>
          <w:shd w:val="clear" w:color="auto" w:fill="CCCCCC"/>
        </w:rPr>
        <w:t>e (3 opakowania po 28)</w:t>
      </w:r>
    </w:p>
    <w:p w14:paraId="675E8EE7" w14:textId="77777777" w:rsidR="005A618A" w:rsidRPr="007E4DA1" w:rsidRDefault="005A618A" w:rsidP="00DE1596"/>
    <w:p w14:paraId="319D2450" w14:textId="77777777" w:rsidR="005B4BC8" w:rsidRPr="007E4DA1" w:rsidRDefault="005B4BC8" w:rsidP="00DE1596">
      <w:pPr>
        <w:rPr>
          <w:bCs/>
        </w:rPr>
      </w:pPr>
    </w:p>
    <w:p w14:paraId="21303F0D" w14:textId="77777777" w:rsidR="00041A08" w:rsidRPr="00041A08" w:rsidRDefault="006350EE" w:rsidP="00DE1596">
      <w:pPr>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5.</w:t>
      </w:r>
      <w:r w:rsidRPr="007E4DA1">
        <w:rPr>
          <w:b/>
          <w:lang w:eastAsia="en-US"/>
        </w:rPr>
        <w:tab/>
        <w:t>SPOSÓB I DROGA PODANIA</w:t>
      </w:r>
    </w:p>
    <w:p w14:paraId="73D51548" w14:textId="34E3C603" w:rsidR="005B4BC8" w:rsidRPr="007E4DA1" w:rsidRDefault="005B4BC8" w:rsidP="00DE1596"/>
    <w:p w14:paraId="509E5D92" w14:textId="77777777" w:rsidR="005A618A" w:rsidRPr="007E4DA1" w:rsidRDefault="00A36C04" w:rsidP="00DE1596">
      <w:r w:rsidRPr="007E4DA1">
        <w:t>Należy zapoznać się z treścią ulotki przed zastosowaniem leku.</w:t>
      </w:r>
      <w:r w:rsidR="004B22C0" w:rsidRPr="007E4DA1">
        <w:t xml:space="preserve"> </w:t>
      </w:r>
      <w:r w:rsidR="005A618A" w:rsidRPr="007E4DA1">
        <w:t>Podanie doustne.</w:t>
      </w:r>
    </w:p>
    <w:p w14:paraId="667891F6" w14:textId="77777777" w:rsidR="005B4BC8" w:rsidRPr="007E4DA1" w:rsidRDefault="005B4BC8" w:rsidP="00DE1596"/>
    <w:p w14:paraId="3A848819" w14:textId="77777777" w:rsidR="005B4BC8" w:rsidRPr="007E4DA1" w:rsidRDefault="005B4BC8" w:rsidP="00DE1596"/>
    <w:p w14:paraId="4EE747BA" w14:textId="77777777" w:rsidR="00041A08" w:rsidRPr="00041A08" w:rsidRDefault="006350EE" w:rsidP="00DE1596">
      <w:pPr>
        <w:pBdr>
          <w:top w:val="single" w:sz="4" w:space="1" w:color="auto"/>
          <w:left w:val="single" w:sz="4" w:space="4" w:color="auto"/>
          <w:bottom w:val="single" w:sz="4" w:space="1" w:color="auto"/>
          <w:right w:val="single" w:sz="4" w:space="4" w:color="auto"/>
        </w:pBdr>
        <w:tabs>
          <w:tab w:val="left" w:pos="142"/>
        </w:tabs>
      </w:pPr>
      <w:r w:rsidRPr="007E4DA1">
        <w:rPr>
          <w:b/>
          <w:lang w:eastAsia="en-US"/>
        </w:rPr>
        <w:t>6.</w:t>
      </w:r>
      <w:r w:rsidRPr="007E4DA1">
        <w:rPr>
          <w:b/>
          <w:lang w:eastAsia="en-US"/>
        </w:rPr>
        <w:tab/>
        <w:t xml:space="preserve">OSTRZEŻENIE DOTYCZĄCE PRZECHOWYWANIA PRODUKTU LECZNICZEGO W MIEJSCU </w:t>
      </w:r>
      <w:r w:rsidRPr="007E4DA1">
        <w:rPr>
          <w:b/>
        </w:rPr>
        <w:t xml:space="preserve">NIEWIDOCZNYM I </w:t>
      </w:r>
      <w:r w:rsidRPr="007E4DA1">
        <w:rPr>
          <w:b/>
          <w:lang w:eastAsia="en-US"/>
        </w:rPr>
        <w:t>NIEDOSTĘPNYM</w:t>
      </w:r>
      <w:r w:rsidRPr="007E4DA1">
        <w:rPr>
          <w:b/>
        </w:rPr>
        <w:t xml:space="preserve"> DLA DZIECI</w:t>
      </w:r>
    </w:p>
    <w:p w14:paraId="280D7D1E" w14:textId="52EFA705" w:rsidR="005B4BC8" w:rsidRPr="007E4DA1" w:rsidRDefault="005B4BC8" w:rsidP="00DE1596"/>
    <w:p w14:paraId="2885A9C3" w14:textId="77777777" w:rsidR="005B4BC8" w:rsidRPr="007E4DA1" w:rsidRDefault="005B4BC8" w:rsidP="00DE1596">
      <w:r w:rsidRPr="007E4DA1">
        <w:t xml:space="preserve">Lek przechowywać w miejscu </w:t>
      </w:r>
      <w:r w:rsidR="00854A5A" w:rsidRPr="007E4DA1">
        <w:t xml:space="preserve">niewidocznym i </w:t>
      </w:r>
      <w:r w:rsidRPr="007E4DA1">
        <w:t>niedostępnym dla dzieci.</w:t>
      </w:r>
    </w:p>
    <w:p w14:paraId="2ACE6AB8" w14:textId="77777777" w:rsidR="005B4BC8" w:rsidRPr="007E4DA1" w:rsidRDefault="005B4BC8" w:rsidP="00DE1596"/>
    <w:p w14:paraId="4BE0D641" w14:textId="77777777" w:rsidR="005B4BC8" w:rsidRPr="007E4DA1" w:rsidRDefault="005B4BC8" w:rsidP="00DE1596"/>
    <w:p w14:paraId="31B8724C" w14:textId="77777777" w:rsidR="00041A08" w:rsidRPr="00041A08" w:rsidRDefault="006350EE" w:rsidP="00DE1596">
      <w:pPr>
        <w:pBdr>
          <w:top w:val="single" w:sz="4" w:space="1" w:color="auto"/>
          <w:left w:val="single" w:sz="4" w:space="4" w:color="auto"/>
          <w:bottom w:val="single" w:sz="4" w:space="1" w:color="auto"/>
          <w:right w:val="single" w:sz="4" w:space="4" w:color="auto"/>
        </w:pBdr>
        <w:tabs>
          <w:tab w:val="left" w:pos="142"/>
        </w:tabs>
      </w:pPr>
      <w:r w:rsidRPr="007E4DA1">
        <w:rPr>
          <w:b/>
        </w:rPr>
        <w:t>7.</w:t>
      </w:r>
      <w:r w:rsidRPr="007E4DA1">
        <w:rPr>
          <w:b/>
        </w:rPr>
        <w:tab/>
        <w:t>INNE OSTRZEŻENIA SPECJALNE, JEŚLI KONIECZNE</w:t>
      </w:r>
    </w:p>
    <w:p w14:paraId="0B8D4EEC" w14:textId="19B78D67" w:rsidR="005B4BC8" w:rsidRPr="007E4DA1" w:rsidRDefault="005B4BC8" w:rsidP="00DE1596"/>
    <w:p w14:paraId="47197AEB" w14:textId="77777777" w:rsidR="005B4BC8" w:rsidRPr="007E4DA1" w:rsidRDefault="005B4BC8" w:rsidP="00DE1596"/>
    <w:p w14:paraId="508571FB" w14:textId="77777777" w:rsidR="00041A08" w:rsidRPr="00041A08" w:rsidRDefault="006350EE" w:rsidP="00DE1596">
      <w:pPr>
        <w:pBdr>
          <w:top w:val="single" w:sz="4" w:space="1" w:color="auto"/>
          <w:left w:val="single" w:sz="4" w:space="4" w:color="auto"/>
          <w:bottom w:val="single" w:sz="4" w:space="1" w:color="auto"/>
          <w:right w:val="single" w:sz="4" w:space="4" w:color="auto"/>
        </w:pBdr>
        <w:tabs>
          <w:tab w:val="left" w:pos="142"/>
        </w:tabs>
      </w:pPr>
      <w:r w:rsidRPr="007E4DA1">
        <w:rPr>
          <w:b/>
        </w:rPr>
        <w:t>8.</w:t>
      </w:r>
      <w:r w:rsidRPr="007E4DA1">
        <w:rPr>
          <w:b/>
        </w:rPr>
        <w:tab/>
        <w:t>T</w:t>
      </w:r>
      <w:smartTag w:uri="schemas-GSKSiteLocations-com/fourthcoffee" w:element="flavor">
        <w:r w:rsidRPr="007E4DA1">
          <w:rPr>
            <w:b/>
          </w:rPr>
          <w:t>ERM</w:t>
        </w:r>
      </w:smartTag>
      <w:r w:rsidRPr="007E4DA1">
        <w:rPr>
          <w:b/>
        </w:rPr>
        <w:t>IN WAŻNOŚCI</w:t>
      </w:r>
    </w:p>
    <w:p w14:paraId="439A3D84" w14:textId="0C05AB33" w:rsidR="005B4BC8" w:rsidRPr="007E4DA1" w:rsidRDefault="005B4BC8" w:rsidP="00DE1596"/>
    <w:p w14:paraId="0F36D4FC" w14:textId="3AC892F5" w:rsidR="005B4BC8" w:rsidRPr="007E4DA1" w:rsidRDefault="005A618A" w:rsidP="00DE1596">
      <w:r w:rsidRPr="007E4DA1">
        <w:t>Termin ważności:</w:t>
      </w:r>
    </w:p>
    <w:p w14:paraId="45958DD4" w14:textId="77777777" w:rsidR="005A618A" w:rsidRPr="007E4DA1" w:rsidRDefault="005A618A" w:rsidP="00DE1596"/>
    <w:p w14:paraId="156EE665" w14:textId="77777777" w:rsidR="005A618A" w:rsidRPr="007E4DA1" w:rsidRDefault="005A618A" w:rsidP="00DE1596"/>
    <w:p w14:paraId="09CC02FD" w14:textId="77777777" w:rsidR="00041A08" w:rsidRPr="00041A08" w:rsidRDefault="006350EE" w:rsidP="00DE1596">
      <w:pPr>
        <w:keepNext/>
        <w:pBdr>
          <w:top w:val="single" w:sz="4" w:space="1" w:color="auto"/>
          <w:left w:val="single" w:sz="4" w:space="4" w:color="auto"/>
          <w:bottom w:val="single" w:sz="4" w:space="1" w:color="auto"/>
          <w:right w:val="single" w:sz="4" w:space="4" w:color="auto"/>
        </w:pBdr>
        <w:tabs>
          <w:tab w:val="left" w:pos="142"/>
        </w:tabs>
      </w:pPr>
      <w:r w:rsidRPr="007E4DA1">
        <w:rPr>
          <w:b/>
        </w:rPr>
        <w:t>9.</w:t>
      </w:r>
      <w:r w:rsidRPr="007E4DA1">
        <w:rPr>
          <w:b/>
        </w:rPr>
        <w:tab/>
        <w:t>WARUNKI PRZECHOWYWANIA</w:t>
      </w:r>
    </w:p>
    <w:p w14:paraId="63F9F59C" w14:textId="2A729BB4" w:rsidR="005B4BC8" w:rsidRPr="007E4DA1" w:rsidRDefault="005B4BC8" w:rsidP="00DE1596">
      <w:pPr>
        <w:keepNext/>
        <w:tabs>
          <w:tab w:val="left" w:pos="720"/>
        </w:tabs>
      </w:pPr>
    </w:p>
    <w:p w14:paraId="07505238" w14:textId="77777777" w:rsidR="005A618A" w:rsidRPr="007E4DA1" w:rsidRDefault="005A618A" w:rsidP="00DE1596">
      <w:pPr>
        <w:tabs>
          <w:tab w:val="left" w:pos="720"/>
        </w:tabs>
      </w:pPr>
    </w:p>
    <w:p w14:paraId="4CB37FCB" w14:textId="77777777" w:rsidR="00041A08" w:rsidRPr="00041A08" w:rsidRDefault="006350EE" w:rsidP="00DE1596">
      <w:pPr>
        <w:keepNext/>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10.</w:t>
      </w:r>
      <w:r w:rsidRPr="007E4DA1">
        <w:rPr>
          <w:b/>
          <w:lang w:eastAsia="en-US"/>
        </w:rPr>
        <w:tab/>
        <w:t xml:space="preserve">SPECJALNE ŚRODKI OSTROŻNOŚCI DOTYCZĄCE USUWANIA NIEZUŻYTEGO PRODUKTU LECZNICZEGO </w:t>
      </w:r>
      <w:smartTag w:uri="urn:schemas-microsoft-com:office:smarttags" w:element="stockticker">
        <w:r w:rsidRPr="007E4DA1">
          <w:rPr>
            <w:b/>
            <w:lang w:eastAsia="en-US"/>
          </w:rPr>
          <w:t>LUB</w:t>
        </w:r>
      </w:smartTag>
      <w:r w:rsidRPr="007E4DA1">
        <w:rPr>
          <w:b/>
          <w:lang w:eastAsia="en-US"/>
        </w:rPr>
        <w:t xml:space="preserve"> POCHODZĄCYCH Z NIEGO ODPADÓW, JEŚLI WŁAŚCIWE</w:t>
      </w:r>
    </w:p>
    <w:p w14:paraId="4AD7529A" w14:textId="729B5908" w:rsidR="005B4BC8" w:rsidRPr="007E4DA1" w:rsidRDefault="005B4BC8" w:rsidP="00DE1596">
      <w:pPr>
        <w:tabs>
          <w:tab w:val="left" w:pos="720"/>
        </w:tabs>
      </w:pPr>
    </w:p>
    <w:p w14:paraId="4188AA99" w14:textId="77777777" w:rsidR="005B4BC8" w:rsidRPr="007E4DA1" w:rsidRDefault="005B4BC8" w:rsidP="00DE1596">
      <w:pPr>
        <w:tabs>
          <w:tab w:val="left" w:pos="720"/>
        </w:tabs>
      </w:pPr>
    </w:p>
    <w:p w14:paraId="62A32CFE" w14:textId="77777777" w:rsidR="00041A08" w:rsidRPr="00041A08" w:rsidRDefault="006350EE" w:rsidP="00DE1596">
      <w:pPr>
        <w:pBdr>
          <w:top w:val="single" w:sz="4" w:space="1" w:color="auto"/>
          <w:left w:val="single" w:sz="4" w:space="4" w:color="auto"/>
          <w:bottom w:val="single" w:sz="4" w:space="1" w:color="auto"/>
          <w:right w:val="single" w:sz="4" w:space="4" w:color="auto"/>
        </w:pBdr>
        <w:tabs>
          <w:tab w:val="left" w:pos="142"/>
        </w:tabs>
      </w:pPr>
      <w:r w:rsidRPr="007E4DA1">
        <w:rPr>
          <w:b/>
          <w:lang w:eastAsia="en-US"/>
        </w:rPr>
        <w:t>11.</w:t>
      </w:r>
      <w:r w:rsidRPr="007E4DA1">
        <w:rPr>
          <w:b/>
          <w:lang w:eastAsia="en-US"/>
        </w:rPr>
        <w:tab/>
        <w:t>NAZWA</w:t>
      </w:r>
      <w:r w:rsidRPr="007E4DA1">
        <w:rPr>
          <w:b/>
        </w:rPr>
        <w:t xml:space="preserve"> I ADRES PODMIOTU OD</w:t>
      </w:r>
      <w:smartTag w:uri="schemas-GSKSiteLocations-com/fourthcoffee" w:element="flavor">
        <w:r w:rsidRPr="007E4DA1">
          <w:rPr>
            <w:b/>
          </w:rPr>
          <w:t>POW</w:t>
        </w:r>
      </w:smartTag>
      <w:r w:rsidRPr="007E4DA1">
        <w:rPr>
          <w:b/>
        </w:rPr>
        <w:t>IEDZIALNEGO</w:t>
      </w:r>
    </w:p>
    <w:p w14:paraId="756A71EE" w14:textId="1D3A5A34" w:rsidR="005B4BC8" w:rsidRPr="007E4DA1" w:rsidRDefault="005B4BC8" w:rsidP="00DE1596">
      <w:pPr>
        <w:tabs>
          <w:tab w:val="left" w:pos="720"/>
        </w:tabs>
      </w:pPr>
    </w:p>
    <w:p w14:paraId="0FA1B6D8" w14:textId="77777777" w:rsidR="00EE79C2" w:rsidRPr="007E4DA1" w:rsidRDefault="00EE79C2" w:rsidP="00DE1596">
      <w:r w:rsidRPr="007E4DA1">
        <w:t>Novartis Europharm Limited</w:t>
      </w:r>
    </w:p>
    <w:p w14:paraId="49F027DA" w14:textId="77777777" w:rsidR="0091544F" w:rsidRPr="007E4DA1" w:rsidRDefault="0091544F" w:rsidP="00DE1596">
      <w:pPr>
        <w:keepNext/>
        <w:rPr>
          <w:color w:val="000000"/>
          <w:lang w:val="en-GB"/>
        </w:rPr>
      </w:pPr>
      <w:r w:rsidRPr="007E4DA1">
        <w:rPr>
          <w:color w:val="000000"/>
          <w:lang w:val="en-GB"/>
        </w:rPr>
        <w:t>Vista Building</w:t>
      </w:r>
    </w:p>
    <w:p w14:paraId="1D35B68E" w14:textId="77777777" w:rsidR="0091544F" w:rsidRPr="007E4DA1" w:rsidRDefault="0091544F" w:rsidP="00DE1596">
      <w:pPr>
        <w:keepNext/>
        <w:rPr>
          <w:color w:val="000000"/>
          <w:lang w:val="en-GB"/>
        </w:rPr>
      </w:pPr>
      <w:r w:rsidRPr="007E4DA1">
        <w:rPr>
          <w:color w:val="000000"/>
          <w:lang w:val="en-GB"/>
        </w:rPr>
        <w:t>Elm Park, Merrion Road</w:t>
      </w:r>
    </w:p>
    <w:p w14:paraId="30A92FB1" w14:textId="77777777" w:rsidR="0091544F" w:rsidRPr="007E4DA1" w:rsidRDefault="0091544F" w:rsidP="00DE1596">
      <w:pPr>
        <w:keepNext/>
        <w:rPr>
          <w:color w:val="000000"/>
        </w:rPr>
      </w:pPr>
      <w:r w:rsidRPr="007E4DA1">
        <w:rPr>
          <w:color w:val="000000"/>
        </w:rPr>
        <w:t>Dublin 4</w:t>
      </w:r>
    </w:p>
    <w:p w14:paraId="6597656D" w14:textId="77777777" w:rsidR="00EE79C2" w:rsidRPr="007E4DA1" w:rsidRDefault="0091544F" w:rsidP="00DE1596">
      <w:pPr>
        <w:tabs>
          <w:tab w:val="left" w:pos="720"/>
        </w:tabs>
      </w:pPr>
      <w:r w:rsidRPr="007E4DA1">
        <w:rPr>
          <w:color w:val="000000"/>
        </w:rPr>
        <w:t>Irlandia</w:t>
      </w:r>
    </w:p>
    <w:p w14:paraId="7C1AF56A" w14:textId="77777777" w:rsidR="005A618A" w:rsidRPr="007E4DA1" w:rsidRDefault="005A618A" w:rsidP="00DE1596">
      <w:pPr>
        <w:tabs>
          <w:tab w:val="left" w:pos="720"/>
        </w:tabs>
      </w:pPr>
    </w:p>
    <w:p w14:paraId="3145D626" w14:textId="77777777" w:rsidR="005B4BC8" w:rsidRPr="007E4DA1" w:rsidRDefault="005B4BC8" w:rsidP="00DE1596">
      <w:pPr>
        <w:tabs>
          <w:tab w:val="left" w:pos="720"/>
        </w:tabs>
      </w:pPr>
    </w:p>
    <w:p w14:paraId="4C6C4F99" w14:textId="77777777" w:rsidR="00041A08" w:rsidRPr="00041A08" w:rsidRDefault="006350EE" w:rsidP="00DE1596">
      <w:pPr>
        <w:pBdr>
          <w:top w:val="single" w:sz="4" w:space="1" w:color="auto"/>
          <w:left w:val="single" w:sz="4" w:space="4" w:color="auto"/>
          <w:bottom w:val="single" w:sz="4" w:space="1" w:color="auto"/>
          <w:right w:val="single" w:sz="4" w:space="4" w:color="auto"/>
        </w:pBdr>
        <w:tabs>
          <w:tab w:val="left" w:pos="142"/>
        </w:tabs>
      </w:pPr>
      <w:r w:rsidRPr="007E4DA1">
        <w:rPr>
          <w:b/>
        </w:rPr>
        <w:t>12.</w:t>
      </w:r>
      <w:r w:rsidRPr="007E4DA1">
        <w:rPr>
          <w:b/>
        </w:rPr>
        <w:tab/>
        <w:t>NUMERY POZWOLEŃ NA DOPUSZCZENIE DO OBROTU</w:t>
      </w:r>
    </w:p>
    <w:p w14:paraId="19D8964E" w14:textId="2901FDA4" w:rsidR="005B4BC8" w:rsidRPr="007E4DA1" w:rsidRDefault="005B4BC8" w:rsidP="00DE1596">
      <w:pPr>
        <w:tabs>
          <w:tab w:val="left" w:pos="720"/>
        </w:tabs>
      </w:pPr>
    </w:p>
    <w:p w14:paraId="250AFD3D" w14:textId="77777777" w:rsidR="005A618A" w:rsidRPr="007E4DA1" w:rsidRDefault="005A618A" w:rsidP="00DE1596">
      <w:pPr>
        <w:rPr>
          <w:shd w:val="pct15" w:color="auto" w:fill="auto"/>
        </w:rPr>
      </w:pPr>
      <w:r w:rsidRPr="007E4DA1">
        <w:t>EU</w:t>
      </w:r>
      <w:r w:rsidR="00CC2556" w:rsidRPr="007E4DA1">
        <w:t>/1/10/612/001</w:t>
      </w:r>
      <w:r w:rsidRPr="007E4DA1">
        <w:t xml:space="preserve"> </w:t>
      </w:r>
      <w:r w:rsidRPr="007E4DA1">
        <w:rPr>
          <w:shd w:val="pct15" w:color="auto" w:fill="auto"/>
        </w:rPr>
        <w:t>(14</w:t>
      </w:r>
      <w:r w:rsidR="0002695F" w:rsidRPr="007E4DA1">
        <w:rPr>
          <w:shd w:val="pct15" w:color="auto" w:fill="auto"/>
        </w:rPr>
        <w:t> </w:t>
      </w:r>
      <w:r w:rsidRPr="007E4DA1">
        <w:rPr>
          <w:shd w:val="pct15" w:color="auto" w:fill="auto"/>
        </w:rPr>
        <w:t>tabletek powlekanych)</w:t>
      </w:r>
    </w:p>
    <w:p w14:paraId="31A1CAE7" w14:textId="77777777" w:rsidR="005A618A" w:rsidRPr="007E4DA1" w:rsidRDefault="005A618A" w:rsidP="00DE1596">
      <w:pPr>
        <w:rPr>
          <w:shd w:val="pct15" w:color="auto" w:fill="auto"/>
        </w:rPr>
      </w:pPr>
      <w:r w:rsidRPr="007E4DA1">
        <w:rPr>
          <w:shd w:val="pct15" w:color="auto" w:fill="auto"/>
        </w:rPr>
        <w:t>EU</w:t>
      </w:r>
      <w:r w:rsidR="00CC2556" w:rsidRPr="007E4DA1">
        <w:rPr>
          <w:shd w:val="pct15" w:color="auto" w:fill="auto"/>
        </w:rPr>
        <w:t>/1/10/612/002</w:t>
      </w:r>
      <w:r w:rsidRPr="007E4DA1">
        <w:rPr>
          <w:shd w:val="pct15" w:color="auto" w:fill="auto"/>
        </w:rPr>
        <w:t xml:space="preserve"> (28</w:t>
      </w:r>
      <w:r w:rsidR="0002695F" w:rsidRPr="007E4DA1">
        <w:rPr>
          <w:shd w:val="pct15" w:color="auto" w:fill="auto"/>
        </w:rPr>
        <w:t> </w:t>
      </w:r>
      <w:r w:rsidRPr="007E4DA1">
        <w:rPr>
          <w:shd w:val="pct15" w:color="auto" w:fill="auto"/>
        </w:rPr>
        <w:t>tabletek powlekanych)</w:t>
      </w:r>
    </w:p>
    <w:p w14:paraId="26F1CD2C" w14:textId="77777777" w:rsidR="005A618A" w:rsidRPr="007E4DA1" w:rsidRDefault="005A618A" w:rsidP="00DE1596">
      <w:pPr>
        <w:ind w:left="0" w:firstLine="0"/>
      </w:pPr>
      <w:r w:rsidRPr="007E4DA1">
        <w:rPr>
          <w:shd w:val="pct15" w:color="auto" w:fill="auto"/>
        </w:rPr>
        <w:t>EU</w:t>
      </w:r>
      <w:r w:rsidR="00CC2556" w:rsidRPr="007E4DA1">
        <w:rPr>
          <w:shd w:val="pct15" w:color="auto" w:fill="auto"/>
        </w:rPr>
        <w:t>/1/10/612/003</w:t>
      </w:r>
      <w:r w:rsidRPr="007E4DA1">
        <w:rPr>
          <w:shd w:val="pct15" w:color="auto" w:fill="auto"/>
        </w:rPr>
        <w:t xml:space="preserve"> 84</w:t>
      </w:r>
      <w:r w:rsidR="0002695F" w:rsidRPr="007E4DA1">
        <w:rPr>
          <w:shd w:val="pct15" w:color="auto" w:fill="auto"/>
        </w:rPr>
        <w:t> </w:t>
      </w:r>
      <w:r w:rsidRPr="007E4DA1">
        <w:rPr>
          <w:shd w:val="pct15" w:color="auto" w:fill="auto"/>
        </w:rPr>
        <w:t>tablet</w:t>
      </w:r>
      <w:r w:rsidR="00377C05" w:rsidRPr="007E4DA1">
        <w:rPr>
          <w:shd w:val="pct15" w:color="auto" w:fill="auto"/>
        </w:rPr>
        <w:t>ki</w:t>
      </w:r>
      <w:r w:rsidRPr="007E4DA1">
        <w:rPr>
          <w:shd w:val="pct15" w:color="auto" w:fill="auto"/>
        </w:rPr>
        <w:t xml:space="preserve"> powlekan</w:t>
      </w:r>
      <w:r w:rsidR="00377C05" w:rsidRPr="007E4DA1">
        <w:rPr>
          <w:shd w:val="pct15" w:color="auto" w:fill="auto"/>
        </w:rPr>
        <w:t>e (3</w:t>
      </w:r>
      <w:r w:rsidR="0002695F" w:rsidRPr="007E4DA1">
        <w:rPr>
          <w:shd w:val="pct15" w:color="auto" w:fill="auto"/>
        </w:rPr>
        <w:t> </w:t>
      </w:r>
      <w:r w:rsidR="00377C05" w:rsidRPr="007E4DA1">
        <w:rPr>
          <w:shd w:val="pct15" w:color="auto" w:fill="auto"/>
        </w:rPr>
        <w:t>opakowania po 28)</w:t>
      </w:r>
    </w:p>
    <w:p w14:paraId="2558CEE1" w14:textId="77777777" w:rsidR="005B4BC8" w:rsidRPr="007E4DA1" w:rsidRDefault="005B4BC8" w:rsidP="00DE1596">
      <w:pPr>
        <w:tabs>
          <w:tab w:val="left" w:pos="720"/>
        </w:tabs>
      </w:pPr>
    </w:p>
    <w:p w14:paraId="5B054290" w14:textId="77777777" w:rsidR="005B4BC8" w:rsidRPr="007E4DA1" w:rsidRDefault="005B4BC8" w:rsidP="00DE1596">
      <w:pPr>
        <w:tabs>
          <w:tab w:val="left" w:pos="720"/>
        </w:tabs>
      </w:pPr>
    </w:p>
    <w:p w14:paraId="307EC1D6" w14:textId="77777777" w:rsidR="00041A08" w:rsidRPr="00041A08" w:rsidRDefault="006350EE" w:rsidP="00DE1596">
      <w:pPr>
        <w:pBdr>
          <w:top w:val="single" w:sz="4" w:space="1" w:color="auto"/>
          <w:left w:val="single" w:sz="4" w:space="4" w:color="auto"/>
          <w:bottom w:val="single" w:sz="4" w:space="1" w:color="auto"/>
          <w:right w:val="single" w:sz="4" w:space="4" w:color="auto"/>
        </w:pBdr>
        <w:tabs>
          <w:tab w:val="left" w:pos="142"/>
        </w:tabs>
      </w:pPr>
      <w:r w:rsidRPr="007E4DA1">
        <w:rPr>
          <w:b/>
        </w:rPr>
        <w:t>13.</w:t>
      </w:r>
      <w:r w:rsidRPr="007E4DA1">
        <w:rPr>
          <w:b/>
        </w:rPr>
        <w:tab/>
        <w:t>NUMER SERII</w:t>
      </w:r>
    </w:p>
    <w:p w14:paraId="2A16CE17" w14:textId="7236844F" w:rsidR="001706E8" w:rsidRPr="007E4DA1" w:rsidRDefault="001706E8" w:rsidP="00DE1596">
      <w:pPr>
        <w:tabs>
          <w:tab w:val="left" w:pos="720"/>
        </w:tabs>
      </w:pPr>
    </w:p>
    <w:p w14:paraId="47ED1D66" w14:textId="008E2540" w:rsidR="005B4BC8" w:rsidRPr="007E4DA1" w:rsidRDefault="00270E50" w:rsidP="00DE1596">
      <w:pPr>
        <w:tabs>
          <w:tab w:val="left" w:pos="720"/>
        </w:tabs>
      </w:pPr>
      <w:r w:rsidRPr="007E4DA1">
        <w:t xml:space="preserve">Nr </w:t>
      </w:r>
      <w:r w:rsidR="001706E8" w:rsidRPr="007E4DA1">
        <w:t>serii:</w:t>
      </w:r>
    </w:p>
    <w:p w14:paraId="6E8DB21C" w14:textId="77777777" w:rsidR="001706E8" w:rsidRPr="007E4DA1" w:rsidRDefault="001706E8" w:rsidP="00DE1596">
      <w:pPr>
        <w:tabs>
          <w:tab w:val="left" w:pos="720"/>
        </w:tabs>
      </w:pPr>
    </w:p>
    <w:p w14:paraId="4CF6D721" w14:textId="77777777" w:rsidR="005B4BC8" w:rsidRPr="007E4DA1" w:rsidRDefault="005B4BC8" w:rsidP="00DE1596">
      <w:pPr>
        <w:tabs>
          <w:tab w:val="left" w:pos="720"/>
        </w:tabs>
      </w:pPr>
    </w:p>
    <w:p w14:paraId="4B451A37" w14:textId="77777777" w:rsidR="00041A08" w:rsidRPr="00041A08" w:rsidRDefault="006350EE" w:rsidP="00DE1596">
      <w:pPr>
        <w:pBdr>
          <w:top w:val="single" w:sz="4" w:space="1" w:color="auto"/>
          <w:left w:val="single" w:sz="4" w:space="4" w:color="auto"/>
          <w:bottom w:val="single" w:sz="4" w:space="1" w:color="auto"/>
          <w:right w:val="single" w:sz="4" w:space="4" w:color="auto"/>
        </w:pBdr>
        <w:tabs>
          <w:tab w:val="left" w:pos="142"/>
        </w:tabs>
      </w:pPr>
      <w:r w:rsidRPr="007E4DA1">
        <w:rPr>
          <w:b/>
        </w:rPr>
        <w:t>14.</w:t>
      </w:r>
      <w:r w:rsidRPr="007E4DA1">
        <w:rPr>
          <w:b/>
        </w:rPr>
        <w:tab/>
        <w:t>OGÓLNA KATEGORIA DOSTĘPNOŚCI</w:t>
      </w:r>
    </w:p>
    <w:p w14:paraId="28BC5FC6" w14:textId="09DF0164" w:rsidR="005B4BC8" w:rsidRPr="007E4DA1" w:rsidRDefault="005B4BC8" w:rsidP="00DE1596">
      <w:pPr>
        <w:tabs>
          <w:tab w:val="left" w:pos="720"/>
        </w:tabs>
      </w:pPr>
    </w:p>
    <w:p w14:paraId="5DB3052C" w14:textId="77777777" w:rsidR="005B4BC8" w:rsidRPr="007E4DA1" w:rsidRDefault="005B4BC8" w:rsidP="00DE1596">
      <w:pPr>
        <w:tabs>
          <w:tab w:val="left" w:pos="720"/>
        </w:tabs>
      </w:pPr>
    </w:p>
    <w:p w14:paraId="186DBB0C" w14:textId="77777777" w:rsidR="00041A08" w:rsidRPr="00041A08" w:rsidRDefault="006350EE" w:rsidP="00DE1596">
      <w:pPr>
        <w:pBdr>
          <w:top w:val="single" w:sz="4" w:space="1" w:color="auto"/>
          <w:left w:val="single" w:sz="4" w:space="4" w:color="auto"/>
          <w:bottom w:val="single" w:sz="4" w:space="1" w:color="auto"/>
          <w:right w:val="single" w:sz="4" w:space="4" w:color="auto"/>
        </w:pBdr>
        <w:tabs>
          <w:tab w:val="left" w:pos="142"/>
        </w:tabs>
      </w:pPr>
      <w:r w:rsidRPr="007E4DA1">
        <w:rPr>
          <w:b/>
        </w:rPr>
        <w:t>15.</w:t>
      </w:r>
      <w:r w:rsidRPr="007E4DA1">
        <w:rPr>
          <w:b/>
        </w:rPr>
        <w:tab/>
        <w:t>INSTRUKCJA UŻYCIA</w:t>
      </w:r>
    </w:p>
    <w:p w14:paraId="4BA705CC" w14:textId="350B955C" w:rsidR="005B4BC8" w:rsidRPr="007E4DA1" w:rsidRDefault="005B4BC8" w:rsidP="00DE1596">
      <w:pPr>
        <w:tabs>
          <w:tab w:val="left" w:pos="720"/>
        </w:tabs>
      </w:pPr>
    </w:p>
    <w:p w14:paraId="619645B7" w14:textId="77777777" w:rsidR="005B4BC8" w:rsidRPr="007E4DA1" w:rsidRDefault="005B4BC8" w:rsidP="00DE1596">
      <w:pPr>
        <w:tabs>
          <w:tab w:val="left" w:pos="720"/>
        </w:tabs>
      </w:pPr>
    </w:p>
    <w:p w14:paraId="5CFD58D1" w14:textId="77777777" w:rsidR="005B4BC8" w:rsidRPr="007E4DA1" w:rsidRDefault="005B4BC8" w:rsidP="00DE1596">
      <w:pPr>
        <w:pBdr>
          <w:top w:val="single" w:sz="4" w:space="1" w:color="auto"/>
          <w:left w:val="single" w:sz="4" w:space="4" w:color="auto"/>
          <w:bottom w:val="single" w:sz="4" w:space="1" w:color="auto"/>
          <w:right w:val="single" w:sz="4" w:space="4" w:color="auto"/>
        </w:pBdr>
        <w:tabs>
          <w:tab w:val="left" w:pos="720"/>
        </w:tabs>
      </w:pPr>
      <w:r w:rsidRPr="007E4DA1">
        <w:rPr>
          <w:b/>
        </w:rPr>
        <w:t>16.</w:t>
      </w:r>
      <w:r w:rsidRPr="007E4DA1">
        <w:rPr>
          <w:b/>
        </w:rPr>
        <w:tab/>
        <w:t xml:space="preserve">INFORMACJA PODANA </w:t>
      </w:r>
      <w:r w:rsidR="00EC2472" w:rsidRPr="007E4DA1">
        <w:rPr>
          <w:b/>
        </w:rPr>
        <w:t>SYSTEMEM BRAILLE’A</w:t>
      </w:r>
    </w:p>
    <w:p w14:paraId="7E4533DF" w14:textId="77777777" w:rsidR="005B4BC8" w:rsidRPr="007E4DA1" w:rsidRDefault="005B4BC8" w:rsidP="00DE1596">
      <w:pPr>
        <w:tabs>
          <w:tab w:val="left" w:pos="720"/>
        </w:tabs>
      </w:pPr>
    </w:p>
    <w:p w14:paraId="3FE3EC12" w14:textId="77777777" w:rsidR="00F14B9B" w:rsidRPr="007E4DA1" w:rsidRDefault="00F14B9B" w:rsidP="00DE1596">
      <w:pPr>
        <w:tabs>
          <w:tab w:val="left" w:pos="720"/>
        </w:tabs>
      </w:pPr>
      <w:r w:rsidRPr="007E4DA1">
        <w:t>revolade 25 mg</w:t>
      </w:r>
    </w:p>
    <w:p w14:paraId="25E44455" w14:textId="77777777" w:rsidR="00F14B9B" w:rsidRPr="007E4DA1" w:rsidRDefault="00F14B9B" w:rsidP="00DE1596">
      <w:pPr>
        <w:tabs>
          <w:tab w:val="left" w:pos="720"/>
        </w:tabs>
      </w:pPr>
    </w:p>
    <w:p w14:paraId="411E49E5" w14:textId="77777777" w:rsidR="00C84CC9" w:rsidRPr="007E4DA1" w:rsidRDefault="00C84CC9" w:rsidP="00DE1596">
      <w:pPr>
        <w:tabs>
          <w:tab w:val="left" w:pos="720"/>
        </w:tabs>
      </w:pPr>
    </w:p>
    <w:p w14:paraId="2B535E1A" w14:textId="77777777" w:rsidR="00041A08" w:rsidRPr="00041A08" w:rsidRDefault="00B10D04" w:rsidP="00DE1596">
      <w:pPr>
        <w:keepNext/>
        <w:numPr>
          <w:ilvl w:val="0"/>
          <w:numId w:val="60"/>
        </w:numPr>
        <w:pBdr>
          <w:top w:val="single" w:sz="4" w:space="1" w:color="auto"/>
          <w:left w:val="single" w:sz="4" w:space="4" w:color="auto"/>
          <w:bottom w:val="single" w:sz="4" w:space="1" w:color="auto"/>
          <w:right w:val="single" w:sz="4" w:space="4" w:color="auto"/>
        </w:pBdr>
        <w:tabs>
          <w:tab w:val="left" w:pos="567"/>
        </w:tabs>
        <w:ind w:hanging="502"/>
        <w:rPr>
          <w:noProof/>
        </w:rPr>
      </w:pPr>
      <w:r w:rsidRPr="007E4DA1">
        <w:rPr>
          <w:b/>
          <w:noProof/>
        </w:rPr>
        <w:t>NIEPOWTARZALNY IDENTYFIKATOR – KOD 2D</w:t>
      </w:r>
    </w:p>
    <w:p w14:paraId="6E08828B" w14:textId="11CAC77A" w:rsidR="00B10D04" w:rsidRPr="007E4DA1" w:rsidRDefault="00B10D04" w:rsidP="00DE1596">
      <w:pPr>
        <w:tabs>
          <w:tab w:val="left" w:pos="-6804"/>
        </w:tabs>
        <w:ind w:left="0" w:firstLine="0"/>
        <w:rPr>
          <w:noProof/>
        </w:rPr>
      </w:pPr>
    </w:p>
    <w:p w14:paraId="5784FEF6" w14:textId="77777777" w:rsidR="00B10D04" w:rsidRPr="007E4DA1" w:rsidRDefault="00B10D04" w:rsidP="00DE1596">
      <w:pPr>
        <w:tabs>
          <w:tab w:val="left" w:pos="-6804"/>
        </w:tabs>
        <w:ind w:left="0" w:firstLine="0"/>
        <w:rPr>
          <w:noProof/>
          <w:shd w:val="pct15" w:color="auto" w:fill="auto"/>
        </w:rPr>
      </w:pPr>
      <w:r w:rsidRPr="007E4DA1">
        <w:rPr>
          <w:noProof/>
          <w:shd w:val="pct15" w:color="auto" w:fill="auto"/>
        </w:rPr>
        <w:t>Obejmuje kod 2D będący nośnikiem niepowtarzalnego identyfikatora.</w:t>
      </w:r>
    </w:p>
    <w:p w14:paraId="243615EF" w14:textId="77777777" w:rsidR="00E8381D" w:rsidRPr="007E4DA1" w:rsidRDefault="00E8381D" w:rsidP="00DE1596">
      <w:pPr>
        <w:tabs>
          <w:tab w:val="left" w:pos="-6804"/>
        </w:tabs>
        <w:ind w:left="0" w:firstLine="0"/>
        <w:rPr>
          <w:noProof/>
          <w:szCs w:val="22"/>
          <w:shd w:val="pct15" w:color="auto" w:fill="auto"/>
        </w:rPr>
      </w:pPr>
    </w:p>
    <w:p w14:paraId="49F4413F" w14:textId="77777777" w:rsidR="00BB12DB" w:rsidRPr="007E4DA1" w:rsidRDefault="00BB12DB" w:rsidP="00DE1596">
      <w:pPr>
        <w:tabs>
          <w:tab w:val="left" w:pos="-6804"/>
        </w:tabs>
        <w:ind w:left="0" w:firstLine="0"/>
        <w:rPr>
          <w:noProof/>
          <w:szCs w:val="22"/>
        </w:rPr>
      </w:pPr>
    </w:p>
    <w:p w14:paraId="3A77FC68" w14:textId="77777777" w:rsidR="00B10D04" w:rsidRPr="007E4DA1" w:rsidRDefault="00B10D04" w:rsidP="00DE1596">
      <w:pPr>
        <w:tabs>
          <w:tab w:val="left" w:pos="-6804"/>
        </w:tabs>
        <w:ind w:left="0" w:firstLine="0"/>
        <w:rPr>
          <w:noProof/>
        </w:rPr>
      </w:pPr>
    </w:p>
    <w:p w14:paraId="1B3A630B" w14:textId="77777777" w:rsidR="00041A08" w:rsidRPr="00041A08" w:rsidRDefault="00B10D04" w:rsidP="00DE1596">
      <w:pPr>
        <w:keepNext/>
        <w:numPr>
          <w:ilvl w:val="0"/>
          <w:numId w:val="60"/>
        </w:numPr>
        <w:pBdr>
          <w:top w:val="single" w:sz="4" w:space="1" w:color="auto"/>
          <w:left w:val="single" w:sz="4" w:space="4" w:color="auto"/>
          <w:bottom w:val="single" w:sz="4" w:space="1" w:color="auto"/>
          <w:right w:val="single" w:sz="4" w:space="4" w:color="auto"/>
        </w:pBdr>
        <w:tabs>
          <w:tab w:val="left" w:pos="567"/>
        </w:tabs>
        <w:ind w:hanging="502"/>
        <w:rPr>
          <w:noProof/>
        </w:rPr>
      </w:pPr>
      <w:r w:rsidRPr="007E4DA1">
        <w:rPr>
          <w:b/>
          <w:noProof/>
        </w:rPr>
        <w:t>NIEPOWTARZALNY IDENTYFIKATOR – DANE CZYTELNE DLA CZŁOWIEKA</w:t>
      </w:r>
    </w:p>
    <w:p w14:paraId="2DBDF9BD" w14:textId="384DC990" w:rsidR="00B10D04" w:rsidRPr="007E4DA1" w:rsidRDefault="00B10D04" w:rsidP="00DE1596">
      <w:pPr>
        <w:tabs>
          <w:tab w:val="left" w:pos="567"/>
        </w:tabs>
        <w:ind w:hanging="502"/>
        <w:rPr>
          <w:noProof/>
        </w:rPr>
      </w:pPr>
    </w:p>
    <w:p w14:paraId="6C228A32" w14:textId="6837AB17" w:rsidR="00B10D04" w:rsidRPr="007E4DA1" w:rsidRDefault="00B10D04" w:rsidP="00DE1596">
      <w:pPr>
        <w:tabs>
          <w:tab w:val="left" w:pos="567"/>
        </w:tabs>
        <w:ind w:hanging="502"/>
        <w:rPr>
          <w:color w:val="000000" w:themeColor="text1"/>
          <w:szCs w:val="22"/>
        </w:rPr>
      </w:pPr>
      <w:r w:rsidRPr="007E4DA1">
        <w:rPr>
          <w:color w:val="000000" w:themeColor="text1"/>
        </w:rPr>
        <w:t>PC</w:t>
      </w:r>
    </w:p>
    <w:p w14:paraId="041C8565" w14:textId="3AAB7CF4" w:rsidR="00B10D04" w:rsidRPr="007E4DA1" w:rsidRDefault="00B10D04" w:rsidP="00DE1596">
      <w:pPr>
        <w:tabs>
          <w:tab w:val="left" w:pos="567"/>
        </w:tabs>
        <w:ind w:hanging="502"/>
        <w:rPr>
          <w:szCs w:val="22"/>
        </w:rPr>
      </w:pPr>
      <w:r w:rsidRPr="007E4DA1">
        <w:t>SN</w:t>
      </w:r>
    </w:p>
    <w:p w14:paraId="55363674" w14:textId="5FE57BA6" w:rsidR="00B10D04" w:rsidRPr="007E4DA1" w:rsidRDefault="00B10D04" w:rsidP="00DE1596">
      <w:pPr>
        <w:tabs>
          <w:tab w:val="left" w:pos="567"/>
        </w:tabs>
        <w:ind w:hanging="502"/>
        <w:rPr>
          <w:szCs w:val="22"/>
        </w:rPr>
      </w:pPr>
      <w:r w:rsidRPr="007E4DA1">
        <w:t>NN</w:t>
      </w:r>
    </w:p>
    <w:p w14:paraId="1BD3D3EA" w14:textId="77777777" w:rsidR="00A260E0" w:rsidRPr="007E4DA1" w:rsidRDefault="00B566C8" w:rsidP="00DE1596">
      <w:pPr>
        <w:ind w:left="0" w:firstLine="0"/>
      </w:pPr>
      <w:r w:rsidRPr="007E4DA1">
        <w:br w:type="page"/>
      </w:r>
    </w:p>
    <w:p w14:paraId="28756E55" w14:textId="77777777" w:rsidR="00AA3184" w:rsidRPr="007E4DA1" w:rsidRDefault="00AA3184" w:rsidP="00DE1596">
      <w:pPr>
        <w:ind w:left="0" w:firstLine="0"/>
      </w:pPr>
    </w:p>
    <w:p w14:paraId="4F113BED" w14:textId="77777777" w:rsidR="00041A08" w:rsidRPr="00041A08" w:rsidRDefault="006350EE" w:rsidP="00DE1596">
      <w:pPr>
        <w:pBdr>
          <w:top w:val="single" w:sz="4" w:space="1" w:color="auto"/>
          <w:left w:val="single" w:sz="4" w:space="4" w:color="auto"/>
          <w:bottom w:val="single" w:sz="4" w:space="1" w:color="auto"/>
          <w:right w:val="single" w:sz="4" w:space="4" w:color="auto"/>
        </w:pBdr>
        <w:ind w:left="0" w:firstLine="0"/>
      </w:pPr>
      <w:r w:rsidRPr="007E4DA1">
        <w:rPr>
          <w:b/>
        </w:rPr>
        <w:t xml:space="preserve">INFORMACJE ZAMIESZCZANE NA </w:t>
      </w:r>
      <w:r w:rsidR="00E46C4D" w:rsidRPr="007E4DA1">
        <w:rPr>
          <w:b/>
        </w:rPr>
        <w:t>OPAKOWANIACH POŚREDNICH</w:t>
      </w:r>
    </w:p>
    <w:p w14:paraId="46583514" w14:textId="44AD7FEB" w:rsidR="006350EE" w:rsidRPr="007E4DA1" w:rsidRDefault="006350EE" w:rsidP="00DE1596">
      <w:pPr>
        <w:pBdr>
          <w:top w:val="single" w:sz="4" w:space="1" w:color="auto"/>
          <w:left w:val="single" w:sz="4" w:space="4" w:color="auto"/>
          <w:bottom w:val="single" w:sz="4" w:space="1" w:color="auto"/>
          <w:right w:val="single" w:sz="4" w:space="4" w:color="auto"/>
        </w:pBdr>
      </w:pPr>
    </w:p>
    <w:p w14:paraId="7E810402" w14:textId="77777777" w:rsidR="00041A08" w:rsidRPr="00041A08" w:rsidRDefault="006350EE" w:rsidP="00DE1596">
      <w:pPr>
        <w:pBdr>
          <w:top w:val="single" w:sz="4" w:space="1" w:color="auto"/>
          <w:left w:val="single" w:sz="4" w:space="4" w:color="auto"/>
          <w:bottom w:val="single" w:sz="4" w:space="1" w:color="auto"/>
          <w:right w:val="single" w:sz="4" w:space="4" w:color="auto"/>
        </w:pBdr>
        <w:ind w:left="0" w:firstLine="0"/>
      </w:pPr>
      <w:r w:rsidRPr="007E4DA1">
        <w:rPr>
          <w:b/>
          <w:bCs/>
        </w:rPr>
        <w:t xml:space="preserve">Opakowanie zbiorcze zawierające </w:t>
      </w:r>
      <w:r w:rsidRPr="007E4DA1">
        <w:rPr>
          <w:b/>
        </w:rPr>
        <w:t xml:space="preserve">84 tabletki powlekane </w:t>
      </w:r>
      <w:r w:rsidRPr="007E4DA1">
        <w:rPr>
          <w:b/>
          <w:bCs/>
        </w:rPr>
        <w:t>(3 opakowania po 28)</w:t>
      </w:r>
      <w:r w:rsidRPr="007E4DA1">
        <w:rPr>
          <w:b/>
        </w:rPr>
        <w:t xml:space="preserve"> </w:t>
      </w:r>
      <w:r w:rsidRPr="007E4DA1">
        <w:rPr>
          <w:b/>
          <w:bCs/>
        </w:rPr>
        <w:t>– bez blue box – 25 mg tabletki powlekane</w:t>
      </w:r>
    </w:p>
    <w:p w14:paraId="2FCFEAF5" w14:textId="6334DFF7" w:rsidR="00A260E0" w:rsidRPr="007E4DA1" w:rsidRDefault="00A260E0" w:rsidP="00DE1596"/>
    <w:p w14:paraId="5675753F" w14:textId="77777777" w:rsidR="00A260E0" w:rsidRPr="007E4DA1" w:rsidRDefault="00A260E0" w:rsidP="00DE1596"/>
    <w:p w14:paraId="75D84FDD" w14:textId="77777777" w:rsidR="00041A08" w:rsidRPr="00041A08" w:rsidRDefault="00A260E0" w:rsidP="00DE1596">
      <w:pPr>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1.</w:t>
      </w:r>
      <w:r w:rsidRPr="007E4DA1">
        <w:rPr>
          <w:b/>
          <w:lang w:eastAsia="en-US"/>
        </w:rPr>
        <w:tab/>
        <w:t>NAZWA PRODUKTU LECZNICZEGO</w:t>
      </w:r>
    </w:p>
    <w:p w14:paraId="2610EDA8" w14:textId="3683B58A" w:rsidR="00A260E0" w:rsidRPr="007E4DA1" w:rsidRDefault="00A260E0" w:rsidP="00DE1596"/>
    <w:p w14:paraId="727A19E0" w14:textId="77777777" w:rsidR="00A260E0" w:rsidRPr="007E4DA1" w:rsidRDefault="00A260E0" w:rsidP="00DE1596">
      <w:r w:rsidRPr="007E4DA1">
        <w:t>Revolade 25 mg tabletki powlekane</w:t>
      </w:r>
    </w:p>
    <w:p w14:paraId="513F8A07" w14:textId="77777777" w:rsidR="00410505" w:rsidRPr="007E4DA1" w:rsidRDefault="00410505" w:rsidP="00DE1596"/>
    <w:p w14:paraId="0D9F1EDD" w14:textId="77777777" w:rsidR="00A260E0" w:rsidRPr="007E4DA1" w:rsidRDefault="00A260E0" w:rsidP="00DE1596">
      <w:r w:rsidRPr="007E4DA1">
        <w:t>eltrombopag</w:t>
      </w:r>
    </w:p>
    <w:p w14:paraId="2C6FC27A" w14:textId="77777777" w:rsidR="00A260E0" w:rsidRPr="007E4DA1" w:rsidRDefault="00A260E0" w:rsidP="00DE1596"/>
    <w:p w14:paraId="56849304" w14:textId="77777777" w:rsidR="00A260E0" w:rsidRPr="007E4DA1" w:rsidRDefault="00A260E0" w:rsidP="00DE1596"/>
    <w:p w14:paraId="7A9ABB77" w14:textId="77777777" w:rsidR="00041A08" w:rsidRPr="00041A08" w:rsidRDefault="00A260E0" w:rsidP="00DE1596">
      <w:pPr>
        <w:pBdr>
          <w:top w:val="single" w:sz="4" w:space="1" w:color="auto"/>
          <w:left w:val="single" w:sz="4" w:space="4" w:color="auto"/>
          <w:bottom w:val="single" w:sz="4" w:space="1" w:color="auto"/>
          <w:right w:val="single" w:sz="4" w:space="4" w:color="auto"/>
        </w:pBdr>
        <w:tabs>
          <w:tab w:val="left" w:pos="142"/>
        </w:tabs>
      </w:pPr>
      <w:r w:rsidRPr="007E4DA1">
        <w:rPr>
          <w:b/>
          <w:lang w:eastAsia="en-US"/>
        </w:rPr>
        <w:t>2.</w:t>
      </w:r>
      <w:r w:rsidRPr="007E4DA1">
        <w:rPr>
          <w:b/>
          <w:lang w:eastAsia="en-US"/>
        </w:rPr>
        <w:tab/>
        <w:t>ZAWARTOŚĆ SUBSTANCJI CZYNNEJ</w:t>
      </w:r>
    </w:p>
    <w:p w14:paraId="6D45F767" w14:textId="067CBE3C" w:rsidR="00A260E0" w:rsidRPr="007E4DA1" w:rsidRDefault="00A260E0" w:rsidP="00DE1596"/>
    <w:p w14:paraId="303117AA" w14:textId="77777777" w:rsidR="00A260E0" w:rsidRPr="007E4DA1" w:rsidRDefault="00A260E0" w:rsidP="00DE1596">
      <w:pPr>
        <w:ind w:left="0" w:firstLine="0"/>
      </w:pPr>
      <w:r w:rsidRPr="007E4DA1">
        <w:t xml:space="preserve">Każda tabletka powlekana zawiera </w:t>
      </w:r>
      <w:r w:rsidR="00021D36" w:rsidRPr="007E4DA1">
        <w:t>eltrombopag z olaminą</w:t>
      </w:r>
      <w:r w:rsidRPr="007E4DA1">
        <w:t xml:space="preserve"> w ilości odpowiadającej 25 mg eltrombopagu.</w:t>
      </w:r>
    </w:p>
    <w:p w14:paraId="6665A84D" w14:textId="77777777" w:rsidR="00A260E0" w:rsidRPr="007E4DA1" w:rsidRDefault="00A260E0" w:rsidP="00DE1596"/>
    <w:p w14:paraId="64F6801E" w14:textId="77777777" w:rsidR="00A260E0" w:rsidRPr="007E4DA1" w:rsidRDefault="00A260E0" w:rsidP="00DE1596"/>
    <w:p w14:paraId="0D3E4ADD" w14:textId="77777777" w:rsidR="00041A08" w:rsidRPr="00041A08" w:rsidRDefault="00A260E0" w:rsidP="00DE1596">
      <w:pPr>
        <w:pBdr>
          <w:top w:val="single" w:sz="4" w:space="1" w:color="auto"/>
          <w:left w:val="single" w:sz="4" w:space="4" w:color="auto"/>
          <w:bottom w:val="single" w:sz="4" w:space="2" w:color="auto"/>
          <w:right w:val="single" w:sz="4" w:space="4" w:color="auto"/>
        </w:pBdr>
        <w:tabs>
          <w:tab w:val="left" w:pos="142"/>
        </w:tabs>
        <w:rPr>
          <w:lang w:eastAsia="en-US"/>
        </w:rPr>
      </w:pPr>
      <w:r w:rsidRPr="007E4DA1">
        <w:rPr>
          <w:b/>
          <w:lang w:eastAsia="en-US"/>
        </w:rPr>
        <w:t>3.</w:t>
      </w:r>
      <w:r w:rsidRPr="007E4DA1">
        <w:rPr>
          <w:b/>
          <w:lang w:eastAsia="en-US"/>
        </w:rPr>
        <w:tab/>
        <w:t>WYKAZ SUBSTANCJI POMOCNICZYCH</w:t>
      </w:r>
    </w:p>
    <w:p w14:paraId="45A1DB8E" w14:textId="1D16C2DD" w:rsidR="00A260E0" w:rsidRPr="007E4DA1" w:rsidRDefault="00A260E0" w:rsidP="00DE1596"/>
    <w:p w14:paraId="6D70BD9C" w14:textId="77777777" w:rsidR="00D1215B" w:rsidRPr="007E4DA1" w:rsidRDefault="00D1215B" w:rsidP="00DE1596"/>
    <w:p w14:paraId="63DD094A" w14:textId="77777777" w:rsidR="00041A08" w:rsidRPr="00041A08" w:rsidRDefault="006350EE" w:rsidP="00DE1596">
      <w:pPr>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4.</w:t>
      </w:r>
      <w:r w:rsidRPr="007E4DA1">
        <w:rPr>
          <w:b/>
          <w:lang w:eastAsia="en-US"/>
        </w:rPr>
        <w:tab/>
        <w:t>POSTAĆ FARMACEUTYCZNA I ZAWARTOŚĆ OPAKOWANIA</w:t>
      </w:r>
    </w:p>
    <w:p w14:paraId="084B585E" w14:textId="29CACB11" w:rsidR="00A260E0" w:rsidRPr="007E4DA1" w:rsidRDefault="00A260E0" w:rsidP="00DE1596">
      <w:pPr>
        <w:rPr>
          <w:bCs/>
        </w:rPr>
      </w:pPr>
    </w:p>
    <w:p w14:paraId="4D89B928" w14:textId="77777777" w:rsidR="00A260E0" w:rsidRPr="007E4DA1" w:rsidRDefault="00A260E0" w:rsidP="00DE1596">
      <w:pPr>
        <w:rPr>
          <w:shd w:val="clear" w:color="auto" w:fill="CCCCCC"/>
        </w:rPr>
      </w:pPr>
      <w:r w:rsidRPr="007E4DA1">
        <w:t>28</w:t>
      </w:r>
      <w:r w:rsidR="0002695F" w:rsidRPr="007E4DA1">
        <w:t> </w:t>
      </w:r>
      <w:r w:rsidRPr="007E4DA1">
        <w:t>tabletek powlekanych</w:t>
      </w:r>
      <w:r w:rsidR="00A36C04" w:rsidRPr="007E4DA1">
        <w:t>. Składnik opakowania zbiorczego, nie może być sprzedawany oddzielnie.</w:t>
      </w:r>
    </w:p>
    <w:p w14:paraId="37911769" w14:textId="77777777" w:rsidR="00A260E0" w:rsidRPr="007E4DA1" w:rsidRDefault="00A260E0" w:rsidP="00DE1596"/>
    <w:p w14:paraId="543BF5DA" w14:textId="77777777" w:rsidR="00A260E0" w:rsidRPr="007E4DA1" w:rsidRDefault="00A260E0" w:rsidP="00DE1596">
      <w:pPr>
        <w:rPr>
          <w:bCs/>
        </w:rPr>
      </w:pPr>
    </w:p>
    <w:p w14:paraId="53018578" w14:textId="77777777" w:rsidR="00041A08" w:rsidRPr="00041A08" w:rsidRDefault="006350EE" w:rsidP="00DE1596">
      <w:pPr>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5.</w:t>
      </w:r>
      <w:r w:rsidRPr="007E4DA1">
        <w:rPr>
          <w:b/>
          <w:lang w:eastAsia="en-US"/>
        </w:rPr>
        <w:tab/>
        <w:t>SPOSÓB I DROGA PODANIA</w:t>
      </w:r>
    </w:p>
    <w:p w14:paraId="71B3B1A0" w14:textId="31BA4BFA" w:rsidR="00A260E0" w:rsidRPr="007E4DA1" w:rsidRDefault="00A260E0" w:rsidP="00DE1596"/>
    <w:p w14:paraId="15B22DB4" w14:textId="77777777" w:rsidR="000377CC" w:rsidRPr="007E4DA1" w:rsidRDefault="00A260E0" w:rsidP="00DE1596">
      <w:r w:rsidRPr="007E4DA1">
        <w:t>Należy zapoznać się z treścią ulotki przed zastosowaniem leku.</w:t>
      </w:r>
      <w:r w:rsidR="004B22C0" w:rsidRPr="007E4DA1">
        <w:t xml:space="preserve"> </w:t>
      </w:r>
      <w:r w:rsidR="000377CC" w:rsidRPr="007E4DA1">
        <w:t>Podanie doustne.</w:t>
      </w:r>
    </w:p>
    <w:p w14:paraId="6F901F7D" w14:textId="77777777" w:rsidR="00A260E0" w:rsidRPr="007E4DA1" w:rsidRDefault="00A260E0" w:rsidP="00DE1596"/>
    <w:p w14:paraId="0714FB18" w14:textId="77777777" w:rsidR="00A260E0" w:rsidRPr="007E4DA1" w:rsidRDefault="00A260E0" w:rsidP="00DE1596"/>
    <w:p w14:paraId="0FCCDC70" w14:textId="77777777" w:rsidR="00041A08" w:rsidRPr="00041A08" w:rsidRDefault="006350EE" w:rsidP="00DE1596">
      <w:pPr>
        <w:pBdr>
          <w:top w:val="single" w:sz="4" w:space="1" w:color="auto"/>
          <w:left w:val="single" w:sz="4" w:space="4" w:color="auto"/>
          <w:bottom w:val="single" w:sz="4" w:space="1" w:color="auto"/>
          <w:right w:val="single" w:sz="4" w:space="4" w:color="auto"/>
        </w:pBdr>
        <w:tabs>
          <w:tab w:val="left" w:pos="142"/>
        </w:tabs>
      </w:pPr>
      <w:r w:rsidRPr="007E4DA1">
        <w:rPr>
          <w:b/>
          <w:lang w:eastAsia="en-US"/>
        </w:rPr>
        <w:t>6.</w:t>
      </w:r>
      <w:r w:rsidRPr="007E4DA1">
        <w:rPr>
          <w:b/>
          <w:lang w:eastAsia="en-US"/>
        </w:rPr>
        <w:tab/>
        <w:t xml:space="preserve">OSTRZEŻENIE DOTYCZĄCE PRZECHOWYWANIA PRODUKTU LECZNICZEGO W MIEJSCU </w:t>
      </w:r>
      <w:r w:rsidRPr="007E4DA1">
        <w:rPr>
          <w:b/>
        </w:rPr>
        <w:t xml:space="preserve">NIEWIDOCZNYM I </w:t>
      </w:r>
      <w:r w:rsidRPr="007E4DA1">
        <w:rPr>
          <w:b/>
          <w:lang w:eastAsia="en-US"/>
        </w:rPr>
        <w:t>NIEDOSTĘPNYM</w:t>
      </w:r>
      <w:r w:rsidRPr="007E4DA1">
        <w:rPr>
          <w:b/>
        </w:rPr>
        <w:t xml:space="preserve"> DLA DZIECI</w:t>
      </w:r>
    </w:p>
    <w:p w14:paraId="2E7FEE49" w14:textId="7C6A29A7" w:rsidR="00A260E0" w:rsidRPr="007E4DA1" w:rsidRDefault="00A260E0" w:rsidP="00DE1596"/>
    <w:p w14:paraId="7CE52322" w14:textId="77777777" w:rsidR="00A260E0" w:rsidRPr="007E4DA1" w:rsidRDefault="00A260E0" w:rsidP="00DE1596">
      <w:r w:rsidRPr="007E4DA1">
        <w:t xml:space="preserve">Lek przechowywać w miejscu </w:t>
      </w:r>
      <w:r w:rsidR="00854A5A" w:rsidRPr="007E4DA1">
        <w:t xml:space="preserve">niewidocznym i </w:t>
      </w:r>
      <w:r w:rsidRPr="007E4DA1">
        <w:t>niedostępnym dla dzieci.</w:t>
      </w:r>
    </w:p>
    <w:p w14:paraId="7D81CD87" w14:textId="77777777" w:rsidR="00A260E0" w:rsidRPr="007E4DA1" w:rsidRDefault="00A260E0" w:rsidP="00DE1596"/>
    <w:p w14:paraId="77B6AFBF" w14:textId="77777777" w:rsidR="00A260E0" w:rsidRPr="007E4DA1" w:rsidRDefault="00A260E0" w:rsidP="00DE1596"/>
    <w:p w14:paraId="21980C5C" w14:textId="77777777" w:rsidR="00041A08" w:rsidRPr="00041A08" w:rsidRDefault="006350EE" w:rsidP="00DE1596">
      <w:pPr>
        <w:pBdr>
          <w:top w:val="single" w:sz="4" w:space="1" w:color="auto"/>
          <w:left w:val="single" w:sz="4" w:space="4" w:color="auto"/>
          <w:bottom w:val="single" w:sz="4" w:space="1" w:color="auto"/>
          <w:right w:val="single" w:sz="4" w:space="4" w:color="auto"/>
        </w:pBdr>
        <w:tabs>
          <w:tab w:val="left" w:pos="142"/>
        </w:tabs>
      </w:pPr>
      <w:r w:rsidRPr="007E4DA1">
        <w:rPr>
          <w:b/>
        </w:rPr>
        <w:t>7.</w:t>
      </w:r>
      <w:r w:rsidRPr="007E4DA1">
        <w:rPr>
          <w:b/>
        </w:rPr>
        <w:tab/>
        <w:t>INNE OSTRZEŻENIA SPECJALNE, JEŚLI KONIECZNE</w:t>
      </w:r>
    </w:p>
    <w:p w14:paraId="14DDA3D9" w14:textId="41317666" w:rsidR="00A260E0" w:rsidRPr="007E4DA1" w:rsidRDefault="00A260E0" w:rsidP="00DE1596"/>
    <w:p w14:paraId="15E3766E" w14:textId="77777777" w:rsidR="00A260E0" w:rsidRPr="007E4DA1" w:rsidRDefault="00A260E0" w:rsidP="00DE1596"/>
    <w:p w14:paraId="7AC69AF1" w14:textId="77777777" w:rsidR="00041A08" w:rsidRPr="00041A08" w:rsidRDefault="006350EE" w:rsidP="00DE1596">
      <w:pPr>
        <w:pBdr>
          <w:top w:val="single" w:sz="4" w:space="1" w:color="auto"/>
          <w:left w:val="single" w:sz="4" w:space="4" w:color="auto"/>
          <w:bottom w:val="single" w:sz="4" w:space="1" w:color="auto"/>
          <w:right w:val="single" w:sz="4" w:space="4" w:color="auto"/>
        </w:pBdr>
        <w:tabs>
          <w:tab w:val="left" w:pos="142"/>
        </w:tabs>
      </w:pPr>
      <w:r w:rsidRPr="007E4DA1">
        <w:rPr>
          <w:b/>
        </w:rPr>
        <w:t>8.</w:t>
      </w:r>
      <w:r w:rsidRPr="007E4DA1">
        <w:rPr>
          <w:b/>
        </w:rPr>
        <w:tab/>
        <w:t>T</w:t>
      </w:r>
      <w:smartTag w:uri="schemas-GSKSiteLocations-com/fourthcoffee" w:element="flavor">
        <w:r w:rsidRPr="007E4DA1">
          <w:rPr>
            <w:b/>
          </w:rPr>
          <w:t>ERM</w:t>
        </w:r>
      </w:smartTag>
      <w:r w:rsidRPr="007E4DA1">
        <w:rPr>
          <w:b/>
        </w:rPr>
        <w:t>IN WAŻNOŚCI</w:t>
      </w:r>
    </w:p>
    <w:p w14:paraId="71A69083" w14:textId="611EEF13" w:rsidR="00A260E0" w:rsidRPr="007E4DA1" w:rsidRDefault="00A260E0" w:rsidP="00DE1596"/>
    <w:p w14:paraId="1E02E369" w14:textId="01C57570" w:rsidR="00A260E0" w:rsidRPr="007E4DA1" w:rsidRDefault="00A260E0" w:rsidP="00DE1596">
      <w:r w:rsidRPr="007E4DA1">
        <w:t>Termin ważności:</w:t>
      </w:r>
    </w:p>
    <w:p w14:paraId="6FDAE352" w14:textId="77777777" w:rsidR="00A260E0" w:rsidRPr="007E4DA1" w:rsidRDefault="00A260E0" w:rsidP="00DE1596"/>
    <w:p w14:paraId="3B4FB920" w14:textId="77777777" w:rsidR="00A260E0" w:rsidRPr="007E4DA1" w:rsidRDefault="00A260E0" w:rsidP="00DE1596"/>
    <w:p w14:paraId="3309E430" w14:textId="77777777" w:rsidR="00041A08" w:rsidRPr="00041A08" w:rsidRDefault="006350EE" w:rsidP="00DE1596">
      <w:pPr>
        <w:keepNext/>
        <w:pBdr>
          <w:top w:val="single" w:sz="4" w:space="1" w:color="auto"/>
          <w:left w:val="single" w:sz="4" w:space="4" w:color="auto"/>
          <w:bottom w:val="single" w:sz="4" w:space="1" w:color="auto"/>
          <w:right w:val="single" w:sz="4" w:space="4" w:color="auto"/>
        </w:pBdr>
        <w:tabs>
          <w:tab w:val="left" w:pos="142"/>
        </w:tabs>
      </w:pPr>
      <w:r w:rsidRPr="007E4DA1">
        <w:rPr>
          <w:b/>
        </w:rPr>
        <w:t>9.</w:t>
      </w:r>
      <w:r w:rsidRPr="007E4DA1">
        <w:rPr>
          <w:b/>
        </w:rPr>
        <w:tab/>
        <w:t>WARUNKI PRZECHOWYWANIA</w:t>
      </w:r>
    </w:p>
    <w:p w14:paraId="0194EB88" w14:textId="30331719" w:rsidR="00A260E0" w:rsidRPr="007E4DA1" w:rsidRDefault="00A260E0" w:rsidP="00DE1596">
      <w:pPr>
        <w:keepNext/>
        <w:tabs>
          <w:tab w:val="left" w:pos="720"/>
        </w:tabs>
      </w:pPr>
    </w:p>
    <w:p w14:paraId="491C5F34" w14:textId="77777777" w:rsidR="00A260E0" w:rsidRPr="007E4DA1" w:rsidRDefault="00A260E0" w:rsidP="00DE1596">
      <w:pPr>
        <w:tabs>
          <w:tab w:val="left" w:pos="720"/>
        </w:tabs>
      </w:pPr>
    </w:p>
    <w:p w14:paraId="650B7021" w14:textId="77777777" w:rsidR="00041A08" w:rsidRPr="00041A08" w:rsidRDefault="006350EE" w:rsidP="00DE1596">
      <w:pPr>
        <w:keepNext/>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10.</w:t>
      </w:r>
      <w:r w:rsidRPr="007E4DA1">
        <w:rPr>
          <w:b/>
          <w:lang w:eastAsia="en-US"/>
        </w:rPr>
        <w:tab/>
        <w:t xml:space="preserve">SPECJALNE ŚRODKI OSTROŻNOŚCI DOTYCZĄCE USUWANIA NIEZUŻYTEGO PRODUKTU LECZNICZEGO </w:t>
      </w:r>
      <w:smartTag w:uri="urn:schemas-microsoft-com:office:smarttags" w:element="stockticker">
        <w:r w:rsidRPr="007E4DA1">
          <w:rPr>
            <w:b/>
            <w:lang w:eastAsia="en-US"/>
          </w:rPr>
          <w:t>LUB</w:t>
        </w:r>
      </w:smartTag>
      <w:r w:rsidRPr="007E4DA1">
        <w:rPr>
          <w:b/>
          <w:lang w:eastAsia="en-US"/>
        </w:rPr>
        <w:t xml:space="preserve"> POCHODZĄCYCH Z NIEGO ODPADÓW, JEŚLI WŁAŚCIWE</w:t>
      </w:r>
    </w:p>
    <w:p w14:paraId="3A6D44F6" w14:textId="1D83D191" w:rsidR="00A260E0" w:rsidRPr="007E4DA1" w:rsidRDefault="00A260E0" w:rsidP="00DE1596">
      <w:pPr>
        <w:keepNext/>
        <w:tabs>
          <w:tab w:val="left" w:pos="720"/>
        </w:tabs>
      </w:pPr>
    </w:p>
    <w:p w14:paraId="0CFB6344" w14:textId="77777777" w:rsidR="00A260E0" w:rsidRPr="007E4DA1" w:rsidRDefault="00A260E0" w:rsidP="00DE1596">
      <w:pPr>
        <w:tabs>
          <w:tab w:val="left" w:pos="720"/>
        </w:tabs>
      </w:pPr>
    </w:p>
    <w:p w14:paraId="7027BAE1" w14:textId="77777777" w:rsidR="00041A08" w:rsidRPr="00041A08" w:rsidRDefault="006350EE" w:rsidP="00DE1596">
      <w:pPr>
        <w:pBdr>
          <w:top w:val="single" w:sz="4" w:space="1" w:color="auto"/>
          <w:left w:val="single" w:sz="4" w:space="4" w:color="auto"/>
          <w:bottom w:val="single" w:sz="4" w:space="1" w:color="auto"/>
          <w:right w:val="single" w:sz="4" w:space="4" w:color="auto"/>
        </w:pBdr>
        <w:tabs>
          <w:tab w:val="left" w:pos="142"/>
        </w:tabs>
      </w:pPr>
      <w:r w:rsidRPr="007E4DA1">
        <w:rPr>
          <w:b/>
          <w:lang w:eastAsia="en-US"/>
        </w:rPr>
        <w:t>11.</w:t>
      </w:r>
      <w:r w:rsidRPr="007E4DA1">
        <w:rPr>
          <w:b/>
          <w:lang w:eastAsia="en-US"/>
        </w:rPr>
        <w:tab/>
        <w:t>NAZWA</w:t>
      </w:r>
      <w:r w:rsidRPr="007E4DA1">
        <w:rPr>
          <w:b/>
        </w:rPr>
        <w:t xml:space="preserve"> I ADRES PODMIOTU OD</w:t>
      </w:r>
      <w:smartTag w:uri="schemas-GSKSiteLocations-com/fourthcoffee" w:element="flavor">
        <w:r w:rsidRPr="007E4DA1">
          <w:rPr>
            <w:b/>
          </w:rPr>
          <w:t>POW</w:t>
        </w:r>
      </w:smartTag>
      <w:r w:rsidRPr="007E4DA1">
        <w:rPr>
          <w:b/>
        </w:rPr>
        <w:t>IEDZIALNEGO</w:t>
      </w:r>
    </w:p>
    <w:p w14:paraId="01C50215" w14:textId="02D994A2" w:rsidR="00A260E0" w:rsidRPr="007E4DA1" w:rsidRDefault="00A260E0" w:rsidP="00DE1596">
      <w:pPr>
        <w:tabs>
          <w:tab w:val="left" w:pos="720"/>
        </w:tabs>
      </w:pPr>
    </w:p>
    <w:p w14:paraId="7DED8623" w14:textId="77777777" w:rsidR="00EE79C2" w:rsidRPr="007E4DA1" w:rsidRDefault="00EE79C2" w:rsidP="00DE1596">
      <w:r w:rsidRPr="007E4DA1">
        <w:t>Novartis Europharm Limited</w:t>
      </w:r>
    </w:p>
    <w:p w14:paraId="1C3FFADC" w14:textId="77777777" w:rsidR="0091544F" w:rsidRPr="007E4DA1" w:rsidRDefault="0091544F" w:rsidP="00DE1596">
      <w:pPr>
        <w:keepNext/>
        <w:rPr>
          <w:color w:val="000000"/>
          <w:lang w:val="en-GB"/>
        </w:rPr>
      </w:pPr>
      <w:r w:rsidRPr="007E4DA1">
        <w:rPr>
          <w:color w:val="000000"/>
          <w:lang w:val="en-GB"/>
        </w:rPr>
        <w:t>Vista Building</w:t>
      </w:r>
    </w:p>
    <w:p w14:paraId="5D8783FD" w14:textId="77777777" w:rsidR="0091544F" w:rsidRPr="007E4DA1" w:rsidRDefault="0091544F" w:rsidP="00DE1596">
      <w:pPr>
        <w:keepNext/>
        <w:rPr>
          <w:color w:val="000000"/>
          <w:lang w:val="en-GB"/>
        </w:rPr>
      </w:pPr>
      <w:r w:rsidRPr="007E4DA1">
        <w:rPr>
          <w:color w:val="000000"/>
          <w:lang w:val="en-GB"/>
        </w:rPr>
        <w:t>Elm Park, Merrion Road</w:t>
      </w:r>
    </w:p>
    <w:p w14:paraId="32DF7859" w14:textId="77777777" w:rsidR="0091544F" w:rsidRPr="007E4DA1" w:rsidRDefault="0091544F" w:rsidP="00DE1596">
      <w:pPr>
        <w:keepNext/>
        <w:rPr>
          <w:color w:val="000000"/>
        </w:rPr>
      </w:pPr>
      <w:r w:rsidRPr="007E4DA1">
        <w:rPr>
          <w:color w:val="000000"/>
        </w:rPr>
        <w:t>Dublin 4</w:t>
      </w:r>
    </w:p>
    <w:p w14:paraId="4218B657" w14:textId="77777777" w:rsidR="00EE79C2" w:rsidRPr="007E4DA1" w:rsidRDefault="0091544F" w:rsidP="00DE1596">
      <w:pPr>
        <w:tabs>
          <w:tab w:val="left" w:pos="720"/>
        </w:tabs>
      </w:pPr>
      <w:r w:rsidRPr="007E4DA1">
        <w:rPr>
          <w:color w:val="000000"/>
        </w:rPr>
        <w:t>Irlandia</w:t>
      </w:r>
    </w:p>
    <w:p w14:paraId="4917F06F" w14:textId="77777777" w:rsidR="00EE79C2" w:rsidRPr="007E4DA1" w:rsidRDefault="00EE79C2" w:rsidP="00DE1596">
      <w:pPr>
        <w:tabs>
          <w:tab w:val="left" w:pos="720"/>
        </w:tabs>
      </w:pPr>
    </w:p>
    <w:p w14:paraId="366FC172" w14:textId="77777777" w:rsidR="00A260E0" w:rsidRPr="007E4DA1" w:rsidRDefault="00A260E0" w:rsidP="00DE1596">
      <w:pPr>
        <w:tabs>
          <w:tab w:val="left" w:pos="720"/>
        </w:tabs>
      </w:pPr>
    </w:p>
    <w:p w14:paraId="109210F0" w14:textId="77777777" w:rsidR="00041A08" w:rsidRPr="00041A08" w:rsidRDefault="006350EE" w:rsidP="00DE1596">
      <w:pPr>
        <w:pBdr>
          <w:top w:val="single" w:sz="4" w:space="1" w:color="auto"/>
          <w:left w:val="single" w:sz="4" w:space="4" w:color="auto"/>
          <w:bottom w:val="single" w:sz="4" w:space="1" w:color="auto"/>
          <w:right w:val="single" w:sz="4" w:space="4" w:color="auto"/>
        </w:pBdr>
        <w:tabs>
          <w:tab w:val="left" w:pos="142"/>
        </w:tabs>
      </w:pPr>
      <w:r w:rsidRPr="007E4DA1">
        <w:rPr>
          <w:b/>
        </w:rPr>
        <w:t>12.</w:t>
      </w:r>
      <w:r w:rsidRPr="007E4DA1">
        <w:rPr>
          <w:b/>
        </w:rPr>
        <w:tab/>
        <w:t>NUMER POZWOLENIA NA DOPUSZCZENIE DO OBROTU</w:t>
      </w:r>
    </w:p>
    <w:p w14:paraId="211134CD" w14:textId="3F393424" w:rsidR="00A260E0" w:rsidRPr="007E4DA1" w:rsidRDefault="00A260E0" w:rsidP="00DE1596">
      <w:pPr>
        <w:tabs>
          <w:tab w:val="left" w:pos="720"/>
        </w:tabs>
      </w:pPr>
    </w:p>
    <w:p w14:paraId="2C236215" w14:textId="77777777" w:rsidR="00A260E0" w:rsidRPr="007E4DA1" w:rsidRDefault="00A260E0" w:rsidP="00DE1596">
      <w:pPr>
        <w:rPr>
          <w:lang w:val="es-ES"/>
        </w:rPr>
      </w:pPr>
      <w:r w:rsidRPr="007E4DA1">
        <w:rPr>
          <w:lang w:val="es-ES"/>
        </w:rPr>
        <w:t>EU/</w:t>
      </w:r>
      <w:r w:rsidR="007A49CF" w:rsidRPr="007E4DA1">
        <w:rPr>
          <w:lang w:val="es-ES"/>
        </w:rPr>
        <w:t>1/10/612/003</w:t>
      </w:r>
    </w:p>
    <w:p w14:paraId="64768FA7" w14:textId="77777777" w:rsidR="00A260E0" w:rsidRPr="007E4DA1" w:rsidRDefault="00A260E0" w:rsidP="00DE1596">
      <w:pPr>
        <w:tabs>
          <w:tab w:val="left" w:pos="720"/>
        </w:tabs>
        <w:rPr>
          <w:lang w:val="es-ES"/>
        </w:rPr>
      </w:pPr>
    </w:p>
    <w:p w14:paraId="3371D335" w14:textId="77777777" w:rsidR="00A260E0" w:rsidRPr="007E4DA1" w:rsidRDefault="00A260E0" w:rsidP="00DE1596">
      <w:pPr>
        <w:tabs>
          <w:tab w:val="left" w:pos="720"/>
        </w:tabs>
        <w:rPr>
          <w:lang w:val="es-ES"/>
        </w:rPr>
      </w:pPr>
    </w:p>
    <w:p w14:paraId="7EAB309F" w14:textId="77777777" w:rsidR="00041A08" w:rsidRPr="00041A08" w:rsidRDefault="006350EE" w:rsidP="00DE1596">
      <w:pPr>
        <w:pBdr>
          <w:top w:val="single" w:sz="4" w:space="1" w:color="auto"/>
          <w:left w:val="single" w:sz="4" w:space="4" w:color="auto"/>
          <w:bottom w:val="single" w:sz="4" w:space="1" w:color="auto"/>
          <w:right w:val="single" w:sz="4" w:space="4" w:color="auto"/>
        </w:pBdr>
        <w:tabs>
          <w:tab w:val="left" w:pos="142"/>
        </w:tabs>
        <w:rPr>
          <w:lang w:val="es-ES"/>
        </w:rPr>
      </w:pPr>
      <w:r w:rsidRPr="007E4DA1">
        <w:rPr>
          <w:b/>
          <w:lang w:val="es-ES"/>
        </w:rPr>
        <w:t>13.</w:t>
      </w:r>
      <w:r w:rsidRPr="007E4DA1">
        <w:rPr>
          <w:b/>
          <w:lang w:val="es-ES"/>
        </w:rPr>
        <w:tab/>
        <w:t>NUMER SERII</w:t>
      </w:r>
    </w:p>
    <w:p w14:paraId="623EF061" w14:textId="4EA08215" w:rsidR="00A260E0" w:rsidRPr="007E4DA1" w:rsidRDefault="00A260E0" w:rsidP="00DE1596">
      <w:pPr>
        <w:tabs>
          <w:tab w:val="left" w:pos="720"/>
        </w:tabs>
        <w:rPr>
          <w:lang w:val="es-ES"/>
        </w:rPr>
      </w:pPr>
    </w:p>
    <w:p w14:paraId="2398AC55" w14:textId="492B41FF" w:rsidR="00A260E0" w:rsidRPr="007E4DA1" w:rsidRDefault="00DC7A8F" w:rsidP="00DE1596">
      <w:pPr>
        <w:tabs>
          <w:tab w:val="left" w:pos="720"/>
        </w:tabs>
        <w:rPr>
          <w:lang w:val="es-ES"/>
        </w:rPr>
      </w:pPr>
      <w:proofErr w:type="spellStart"/>
      <w:r w:rsidRPr="007E4DA1">
        <w:rPr>
          <w:lang w:val="es-ES"/>
        </w:rPr>
        <w:t>Nr</w:t>
      </w:r>
      <w:proofErr w:type="spellEnd"/>
      <w:r w:rsidRPr="007E4DA1">
        <w:rPr>
          <w:lang w:val="es-ES"/>
        </w:rPr>
        <w:t xml:space="preserve"> </w:t>
      </w:r>
      <w:proofErr w:type="spellStart"/>
      <w:r w:rsidR="00A260E0" w:rsidRPr="007E4DA1">
        <w:rPr>
          <w:lang w:val="es-ES"/>
        </w:rPr>
        <w:t>serii</w:t>
      </w:r>
      <w:proofErr w:type="spellEnd"/>
      <w:r w:rsidR="00A260E0" w:rsidRPr="007E4DA1">
        <w:rPr>
          <w:lang w:val="es-ES"/>
        </w:rPr>
        <w:t>:</w:t>
      </w:r>
    </w:p>
    <w:p w14:paraId="3317EC5B" w14:textId="77777777" w:rsidR="00A260E0" w:rsidRPr="007E4DA1" w:rsidRDefault="00A260E0" w:rsidP="00DE1596">
      <w:pPr>
        <w:tabs>
          <w:tab w:val="left" w:pos="720"/>
        </w:tabs>
        <w:rPr>
          <w:lang w:val="es-ES"/>
        </w:rPr>
      </w:pPr>
    </w:p>
    <w:p w14:paraId="37D330BB" w14:textId="77777777" w:rsidR="00A260E0" w:rsidRPr="007E4DA1" w:rsidRDefault="00A260E0" w:rsidP="00DE1596">
      <w:pPr>
        <w:tabs>
          <w:tab w:val="left" w:pos="720"/>
        </w:tabs>
        <w:rPr>
          <w:lang w:val="es-ES"/>
        </w:rPr>
      </w:pPr>
    </w:p>
    <w:p w14:paraId="17C574FF" w14:textId="77777777" w:rsidR="00041A08" w:rsidRPr="00041A08" w:rsidRDefault="006350EE" w:rsidP="00DE1596">
      <w:pPr>
        <w:pBdr>
          <w:top w:val="single" w:sz="4" w:space="1" w:color="auto"/>
          <w:left w:val="single" w:sz="4" w:space="4" w:color="auto"/>
          <w:bottom w:val="single" w:sz="4" w:space="1" w:color="auto"/>
          <w:right w:val="single" w:sz="4" w:space="4" w:color="auto"/>
        </w:pBdr>
        <w:tabs>
          <w:tab w:val="left" w:pos="142"/>
        </w:tabs>
      </w:pPr>
      <w:r w:rsidRPr="007E4DA1">
        <w:rPr>
          <w:b/>
        </w:rPr>
        <w:t>14.</w:t>
      </w:r>
      <w:r w:rsidRPr="007E4DA1">
        <w:rPr>
          <w:b/>
        </w:rPr>
        <w:tab/>
        <w:t>OGÓLNA KATEGORIA DOSTĘPNOŚCI</w:t>
      </w:r>
    </w:p>
    <w:p w14:paraId="194CF161" w14:textId="08755188" w:rsidR="00A260E0" w:rsidRPr="007E4DA1" w:rsidRDefault="00A260E0" w:rsidP="00DE1596">
      <w:pPr>
        <w:tabs>
          <w:tab w:val="left" w:pos="720"/>
        </w:tabs>
      </w:pPr>
    </w:p>
    <w:p w14:paraId="37D4E1FE" w14:textId="77777777" w:rsidR="00A260E0" w:rsidRPr="007E4DA1" w:rsidRDefault="00A260E0" w:rsidP="00DE1596">
      <w:pPr>
        <w:tabs>
          <w:tab w:val="left" w:pos="720"/>
        </w:tabs>
      </w:pPr>
    </w:p>
    <w:p w14:paraId="0B1A3C21" w14:textId="77777777" w:rsidR="00041A08" w:rsidRPr="00041A08" w:rsidRDefault="006350EE" w:rsidP="00DE1596">
      <w:pPr>
        <w:pBdr>
          <w:top w:val="single" w:sz="4" w:space="1" w:color="auto"/>
          <w:left w:val="single" w:sz="4" w:space="4" w:color="auto"/>
          <w:bottom w:val="single" w:sz="4" w:space="1" w:color="auto"/>
          <w:right w:val="single" w:sz="4" w:space="4" w:color="auto"/>
        </w:pBdr>
        <w:tabs>
          <w:tab w:val="left" w:pos="142"/>
        </w:tabs>
      </w:pPr>
      <w:r w:rsidRPr="007E4DA1">
        <w:rPr>
          <w:b/>
        </w:rPr>
        <w:t>15.</w:t>
      </w:r>
      <w:r w:rsidRPr="007E4DA1">
        <w:rPr>
          <w:b/>
        </w:rPr>
        <w:tab/>
        <w:t>INSTRUKCJA UŻYCIA</w:t>
      </w:r>
    </w:p>
    <w:p w14:paraId="687A0D21" w14:textId="0D262305" w:rsidR="00A260E0" w:rsidRPr="007E4DA1" w:rsidRDefault="00A260E0" w:rsidP="00DE1596">
      <w:pPr>
        <w:tabs>
          <w:tab w:val="left" w:pos="720"/>
        </w:tabs>
      </w:pPr>
    </w:p>
    <w:p w14:paraId="2D56A5F2" w14:textId="77777777" w:rsidR="00A260E0" w:rsidRPr="007E4DA1" w:rsidRDefault="00A260E0" w:rsidP="00DE1596">
      <w:pPr>
        <w:tabs>
          <w:tab w:val="left" w:pos="720"/>
        </w:tabs>
      </w:pPr>
    </w:p>
    <w:p w14:paraId="70291186" w14:textId="77777777" w:rsidR="00A260E0" w:rsidRPr="007E4DA1" w:rsidRDefault="00A260E0" w:rsidP="00DE1596">
      <w:pPr>
        <w:pBdr>
          <w:top w:val="single" w:sz="4" w:space="1" w:color="auto"/>
          <w:left w:val="single" w:sz="4" w:space="4" w:color="auto"/>
          <w:bottom w:val="single" w:sz="4" w:space="1" w:color="auto"/>
          <w:right w:val="single" w:sz="4" w:space="4" w:color="auto"/>
        </w:pBdr>
        <w:tabs>
          <w:tab w:val="left" w:pos="720"/>
        </w:tabs>
      </w:pPr>
      <w:r w:rsidRPr="007E4DA1">
        <w:rPr>
          <w:b/>
        </w:rPr>
        <w:t>16.</w:t>
      </w:r>
      <w:r w:rsidRPr="007E4DA1">
        <w:rPr>
          <w:b/>
        </w:rPr>
        <w:tab/>
        <w:t xml:space="preserve">INFORMACJA PODANA </w:t>
      </w:r>
      <w:r w:rsidR="001E4933" w:rsidRPr="007E4DA1">
        <w:rPr>
          <w:b/>
        </w:rPr>
        <w:t>SYSTEMEM BRAILLE’A</w:t>
      </w:r>
    </w:p>
    <w:p w14:paraId="72922EFF" w14:textId="77777777" w:rsidR="00A260E0" w:rsidRPr="007E4DA1" w:rsidRDefault="00A260E0" w:rsidP="00DE1596">
      <w:pPr>
        <w:tabs>
          <w:tab w:val="left" w:pos="720"/>
        </w:tabs>
      </w:pPr>
    </w:p>
    <w:p w14:paraId="6D21ED70" w14:textId="77777777" w:rsidR="00A260E0" w:rsidRPr="007E4DA1" w:rsidRDefault="00A260E0" w:rsidP="00DE1596">
      <w:pPr>
        <w:tabs>
          <w:tab w:val="left" w:pos="720"/>
        </w:tabs>
      </w:pPr>
      <w:r w:rsidRPr="007E4DA1">
        <w:t>revolade 25 mg</w:t>
      </w:r>
    </w:p>
    <w:p w14:paraId="499EC4D1" w14:textId="77777777" w:rsidR="00A260E0" w:rsidRPr="007E4DA1" w:rsidRDefault="00A260E0" w:rsidP="00DE1596">
      <w:pPr>
        <w:tabs>
          <w:tab w:val="left" w:pos="720"/>
        </w:tabs>
      </w:pPr>
    </w:p>
    <w:p w14:paraId="6AF16BC0" w14:textId="77777777" w:rsidR="005B4BC8" w:rsidRPr="007E4DA1" w:rsidRDefault="00A260E0" w:rsidP="00DE1596">
      <w:pPr>
        <w:tabs>
          <w:tab w:val="left" w:pos="720"/>
        </w:tabs>
      </w:pPr>
      <w:r w:rsidRPr="007E4DA1">
        <w:br w:type="page"/>
      </w:r>
    </w:p>
    <w:p w14:paraId="4ABF9F2F" w14:textId="77777777" w:rsidR="00AA3184" w:rsidRPr="007E4DA1" w:rsidRDefault="00AA3184" w:rsidP="00DE1596">
      <w:pPr>
        <w:tabs>
          <w:tab w:val="left" w:pos="720"/>
        </w:tabs>
        <w:ind w:left="0" w:firstLine="0"/>
      </w:pPr>
    </w:p>
    <w:p w14:paraId="690492BC" w14:textId="77777777" w:rsidR="00041A08" w:rsidRPr="00041A08" w:rsidRDefault="006350EE" w:rsidP="00DE1596">
      <w:pPr>
        <w:pBdr>
          <w:top w:val="single" w:sz="4" w:space="1" w:color="auto"/>
          <w:left w:val="single" w:sz="4" w:space="4" w:color="auto"/>
          <w:bottom w:val="single" w:sz="4" w:space="1" w:color="auto"/>
          <w:right w:val="single" w:sz="4" w:space="4" w:color="auto"/>
        </w:pBdr>
        <w:tabs>
          <w:tab w:val="left" w:pos="720"/>
        </w:tabs>
        <w:ind w:left="0" w:firstLine="0"/>
      </w:pPr>
      <w:r w:rsidRPr="007E4DA1">
        <w:rPr>
          <w:b/>
        </w:rPr>
        <w:t xml:space="preserve">MINIMUM INFORMACJI ZAMIESZCZANYCH NA BLISTRACH </w:t>
      </w:r>
      <w:smartTag w:uri="urn:schemas-microsoft-com:office:smarttags" w:element="stockticker">
        <w:r w:rsidRPr="007E4DA1">
          <w:rPr>
            <w:b/>
          </w:rPr>
          <w:t>LUB</w:t>
        </w:r>
      </w:smartTag>
      <w:r w:rsidRPr="007E4DA1">
        <w:rPr>
          <w:b/>
        </w:rPr>
        <w:t xml:space="preserve"> OPAKOWANIACH FOLIOWYCH</w:t>
      </w:r>
    </w:p>
    <w:p w14:paraId="2DF91A9D" w14:textId="08817224" w:rsidR="006350EE" w:rsidRPr="007E4DA1" w:rsidRDefault="006350EE" w:rsidP="00DE1596">
      <w:pPr>
        <w:pBdr>
          <w:top w:val="single" w:sz="4" w:space="1" w:color="auto"/>
          <w:left w:val="single" w:sz="4" w:space="4" w:color="auto"/>
          <w:bottom w:val="single" w:sz="4" w:space="1" w:color="auto"/>
          <w:right w:val="single" w:sz="4" w:space="4" w:color="auto"/>
        </w:pBdr>
        <w:tabs>
          <w:tab w:val="left" w:pos="720"/>
        </w:tabs>
        <w:ind w:left="0" w:firstLine="0"/>
      </w:pPr>
    </w:p>
    <w:p w14:paraId="581D3CC0" w14:textId="77777777" w:rsidR="00041A08" w:rsidRPr="00041A08" w:rsidRDefault="006350EE" w:rsidP="00DE1596">
      <w:pPr>
        <w:pBdr>
          <w:top w:val="single" w:sz="4" w:space="1" w:color="auto"/>
          <w:left w:val="single" w:sz="4" w:space="4" w:color="auto"/>
          <w:bottom w:val="single" w:sz="4" w:space="1" w:color="auto"/>
          <w:right w:val="single" w:sz="4" w:space="4" w:color="auto"/>
        </w:pBdr>
        <w:tabs>
          <w:tab w:val="left" w:pos="720"/>
        </w:tabs>
        <w:ind w:left="0" w:firstLine="0"/>
      </w:pPr>
      <w:r w:rsidRPr="007E4DA1">
        <w:rPr>
          <w:b/>
          <w:bCs/>
        </w:rPr>
        <w:t>Blister</w:t>
      </w:r>
    </w:p>
    <w:p w14:paraId="42DFFEE5" w14:textId="6F7E3752" w:rsidR="005B4BC8" w:rsidRPr="007E4DA1" w:rsidRDefault="005B4BC8" w:rsidP="00DE1596">
      <w:pPr>
        <w:tabs>
          <w:tab w:val="left" w:pos="720"/>
        </w:tabs>
      </w:pPr>
    </w:p>
    <w:p w14:paraId="264269D7" w14:textId="77777777" w:rsidR="005B4BC8" w:rsidRPr="007E4DA1" w:rsidRDefault="005B4BC8" w:rsidP="00DE1596">
      <w:pPr>
        <w:tabs>
          <w:tab w:val="left" w:pos="720"/>
        </w:tabs>
      </w:pPr>
    </w:p>
    <w:p w14:paraId="2E029E34" w14:textId="77777777" w:rsidR="00041A08" w:rsidRPr="00041A08" w:rsidRDefault="009838A4" w:rsidP="00DE1596">
      <w:pPr>
        <w:pBdr>
          <w:top w:val="single" w:sz="4" w:space="1" w:color="auto"/>
          <w:left w:val="single" w:sz="4" w:space="4" w:color="auto"/>
          <w:bottom w:val="single" w:sz="4" w:space="1" w:color="auto"/>
          <w:right w:val="single" w:sz="4" w:space="4" w:color="auto"/>
        </w:pBdr>
        <w:tabs>
          <w:tab w:val="left" w:pos="142"/>
        </w:tabs>
      </w:pPr>
      <w:r w:rsidRPr="007E4DA1">
        <w:rPr>
          <w:b/>
        </w:rPr>
        <w:t>1.</w:t>
      </w:r>
      <w:r w:rsidRPr="007E4DA1">
        <w:rPr>
          <w:b/>
        </w:rPr>
        <w:tab/>
        <w:t>NAZWA PRODUKTU LECZNICZEGO</w:t>
      </w:r>
    </w:p>
    <w:p w14:paraId="10027EA8" w14:textId="74B0643E" w:rsidR="005B4BC8" w:rsidRPr="007E4DA1" w:rsidRDefault="005B4BC8" w:rsidP="00DE1596"/>
    <w:p w14:paraId="4AC19D4A" w14:textId="77777777" w:rsidR="00E30C58" w:rsidRPr="007E4DA1" w:rsidRDefault="00E30C58" w:rsidP="00DE1596">
      <w:r w:rsidRPr="007E4DA1">
        <w:t>Revolade 25 mg tabletki powlekane</w:t>
      </w:r>
    </w:p>
    <w:p w14:paraId="00BC0ACF" w14:textId="77777777" w:rsidR="00410505" w:rsidRPr="007E4DA1" w:rsidRDefault="00410505" w:rsidP="00DE1596"/>
    <w:p w14:paraId="48F76264" w14:textId="77777777" w:rsidR="00E30C58" w:rsidRPr="007E4DA1" w:rsidRDefault="00E30C58" w:rsidP="00DE1596">
      <w:r w:rsidRPr="007E4DA1">
        <w:t>eltrombopag</w:t>
      </w:r>
    </w:p>
    <w:p w14:paraId="55868333" w14:textId="77777777" w:rsidR="005B4BC8" w:rsidRPr="007E4DA1" w:rsidRDefault="005B4BC8" w:rsidP="00DE1596">
      <w:pPr>
        <w:tabs>
          <w:tab w:val="left" w:pos="720"/>
        </w:tabs>
      </w:pPr>
    </w:p>
    <w:p w14:paraId="24641DE9" w14:textId="77777777" w:rsidR="005B4BC8" w:rsidRPr="007E4DA1" w:rsidRDefault="005B4BC8" w:rsidP="00DE1596">
      <w:pPr>
        <w:tabs>
          <w:tab w:val="left" w:pos="720"/>
        </w:tabs>
      </w:pPr>
    </w:p>
    <w:p w14:paraId="6FEB99AD" w14:textId="77777777" w:rsidR="00041A08" w:rsidRPr="00041A08" w:rsidRDefault="009838A4" w:rsidP="00DE1596">
      <w:pPr>
        <w:pBdr>
          <w:top w:val="single" w:sz="4" w:space="1" w:color="auto"/>
          <w:left w:val="single" w:sz="4" w:space="4" w:color="auto"/>
          <w:bottom w:val="single" w:sz="4" w:space="1" w:color="auto"/>
          <w:right w:val="single" w:sz="4" w:space="4" w:color="auto"/>
        </w:pBdr>
        <w:tabs>
          <w:tab w:val="left" w:pos="142"/>
        </w:tabs>
      </w:pPr>
      <w:r w:rsidRPr="007E4DA1">
        <w:rPr>
          <w:b/>
        </w:rPr>
        <w:t>2.</w:t>
      </w:r>
      <w:r w:rsidRPr="007E4DA1">
        <w:rPr>
          <w:b/>
        </w:rPr>
        <w:tab/>
        <w:t>NAZWA PODMIOTU OD</w:t>
      </w:r>
      <w:smartTag w:uri="schemas-GSKSiteLocations-com/fourthcoffee" w:element="flavor">
        <w:r w:rsidRPr="007E4DA1">
          <w:rPr>
            <w:b/>
          </w:rPr>
          <w:t>POW</w:t>
        </w:r>
      </w:smartTag>
      <w:r w:rsidRPr="007E4DA1">
        <w:rPr>
          <w:b/>
        </w:rPr>
        <w:t>IEDZIALNEGO</w:t>
      </w:r>
    </w:p>
    <w:p w14:paraId="2EACE137" w14:textId="357BF826" w:rsidR="005B4BC8" w:rsidRPr="007E4DA1" w:rsidRDefault="005B4BC8" w:rsidP="00DE1596">
      <w:pPr>
        <w:tabs>
          <w:tab w:val="left" w:pos="720"/>
        </w:tabs>
      </w:pPr>
    </w:p>
    <w:p w14:paraId="3948CD8D" w14:textId="77777777" w:rsidR="00E30C58" w:rsidRPr="007E4DA1" w:rsidRDefault="00EE79C2" w:rsidP="00DE1596">
      <w:r w:rsidRPr="007E4DA1">
        <w:t>Novartis Europharm Limited</w:t>
      </w:r>
    </w:p>
    <w:p w14:paraId="39027A82" w14:textId="77777777" w:rsidR="005B4BC8" w:rsidRPr="007E4DA1" w:rsidRDefault="005B4BC8" w:rsidP="00DE1596">
      <w:pPr>
        <w:tabs>
          <w:tab w:val="left" w:pos="720"/>
        </w:tabs>
      </w:pPr>
    </w:p>
    <w:p w14:paraId="2F22905D" w14:textId="77777777" w:rsidR="005B4BC8" w:rsidRPr="007E4DA1" w:rsidRDefault="005B4BC8" w:rsidP="00DE1596">
      <w:pPr>
        <w:tabs>
          <w:tab w:val="left" w:pos="720"/>
        </w:tabs>
      </w:pPr>
    </w:p>
    <w:p w14:paraId="342ED70B" w14:textId="77777777" w:rsidR="00041A08" w:rsidRPr="00041A08" w:rsidRDefault="009838A4" w:rsidP="00DE1596">
      <w:pPr>
        <w:pBdr>
          <w:top w:val="single" w:sz="4" w:space="1" w:color="auto"/>
          <w:left w:val="single" w:sz="4" w:space="4" w:color="auto"/>
          <w:bottom w:val="single" w:sz="4" w:space="1" w:color="auto"/>
          <w:right w:val="single" w:sz="4" w:space="4" w:color="auto"/>
        </w:pBdr>
        <w:tabs>
          <w:tab w:val="left" w:pos="142"/>
        </w:tabs>
      </w:pPr>
      <w:r w:rsidRPr="007E4DA1">
        <w:rPr>
          <w:b/>
        </w:rPr>
        <w:t>3.</w:t>
      </w:r>
      <w:r w:rsidRPr="007E4DA1">
        <w:rPr>
          <w:b/>
        </w:rPr>
        <w:tab/>
        <w:t>T</w:t>
      </w:r>
      <w:smartTag w:uri="schemas-GSKSiteLocations-com/fourthcoffee" w:element="flavor">
        <w:r w:rsidRPr="007E4DA1">
          <w:rPr>
            <w:b/>
          </w:rPr>
          <w:t>ERM</w:t>
        </w:r>
      </w:smartTag>
      <w:r w:rsidRPr="007E4DA1">
        <w:rPr>
          <w:b/>
        </w:rPr>
        <w:t>IN WAŻNOŚCI</w:t>
      </w:r>
    </w:p>
    <w:p w14:paraId="62B8F159" w14:textId="3C7373D0" w:rsidR="005B4BC8" w:rsidRPr="007E4DA1" w:rsidRDefault="005B4BC8" w:rsidP="00DE1596">
      <w:pPr>
        <w:tabs>
          <w:tab w:val="left" w:pos="720"/>
        </w:tabs>
      </w:pPr>
    </w:p>
    <w:p w14:paraId="6C0FD97E" w14:textId="77777777" w:rsidR="00E30C58" w:rsidRPr="007E4DA1" w:rsidRDefault="00E30C58" w:rsidP="00DE1596">
      <w:pPr>
        <w:tabs>
          <w:tab w:val="left" w:pos="720"/>
        </w:tabs>
      </w:pPr>
      <w:r w:rsidRPr="007E4DA1">
        <w:t>EXP</w:t>
      </w:r>
    </w:p>
    <w:p w14:paraId="3717A1C6" w14:textId="77777777" w:rsidR="00E30C58" w:rsidRPr="007E4DA1" w:rsidRDefault="00E30C58" w:rsidP="00DE1596">
      <w:pPr>
        <w:tabs>
          <w:tab w:val="left" w:pos="720"/>
        </w:tabs>
      </w:pPr>
    </w:p>
    <w:p w14:paraId="20A5EB18" w14:textId="77777777" w:rsidR="005B4BC8" w:rsidRPr="007E4DA1" w:rsidRDefault="005B4BC8" w:rsidP="00DE1596">
      <w:pPr>
        <w:tabs>
          <w:tab w:val="left" w:pos="720"/>
        </w:tabs>
      </w:pPr>
    </w:p>
    <w:p w14:paraId="0A62D139" w14:textId="77777777" w:rsidR="00041A08" w:rsidRPr="00041A08" w:rsidRDefault="009838A4" w:rsidP="00DE1596">
      <w:pPr>
        <w:pBdr>
          <w:top w:val="single" w:sz="4" w:space="1" w:color="auto"/>
          <w:left w:val="single" w:sz="4" w:space="4" w:color="auto"/>
          <w:bottom w:val="single" w:sz="4" w:space="1" w:color="auto"/>
          <w:right w:val="single" w:sz="4" w:space="4" w:color="auto"/>
        </w:pBdr>
        <w:tabs>
          <w:tab w:val="left" w:pos="142"/>
        </w:tabs>
      </w:pPr>
      <w:r w:rsidRPr="007E4DA1">
        <w:rPr>
          <w:b/>
        </w:rPr>
        <w:t>4.</w:t>
      </w:r>
      <w:r w:rsidRPr="007E4DA1">
        <w:rPr>
          <w:b/>
        </w:rPr>
        <w:tab/>
        <w:t>NUMER SERII</w:t>
      </w:r>
    </w:p>
    <w:p w14:paraId="53487519" w14:textId="03FC8ABB" w:rsidR="005B4BC8" w:rsidRPr="007E4DA1" w:rsidRDefault="005B4BC8" w:rsidP="00DE1596">
      <w:pPr>
        <w:tabs>
          <w:tab w:val="left" w:pos="720"/>
        </w:tabs>
      </w:pPr>
    </w:p>
    <w:p w14:paraId="1DC13160" w14:textId="77777777" w:rsidR="00E30C58" w:rsidRPr="007E4DA1" w:rsidRDefault="00E30C58" w:rsidP="00DE1596">
      <w:pPr>
        <w:tabs>
          <w:tab w:val="left" w:pos="720"/>
        </w:tabs>
      </w:pPr>
      <w:r w:rsidRPr="007E4DA1">
        <w:t>Lot</w:t>
      </w:r>
    </w:p>
    <w:p w14:paraId="178FFBEE" w14:textId="77777777" w:rsidR="00E30C58" w:rsidRPr="007E4DA1" w:rsidRDefault="00E30C58" w:rsidP="00DE1596">
      <w:pPr>
        <w:tabs>
          <w:tab w:val="left" w:pos="720"/>
        </w:tabs>
      </w:pPr>
    </w:p>
    <w:p w14:paraId="09C09AF4" w14:textId="77777777" w:rsidR="005B4BC8" w:rsidRPr="007E4DA1" w:rsidRDefault="005B4BC8" w:rsidP="00DE1596">
      <w:pPr>
        <w:tabs>
          <w:tab w:val="left" w:pos="720"/>
        </w:tabs>
      </w:pPr>
    </w:p>
    <w:p w14:paraId="3D052CAD" w14:textId="77777777" w:rsidR="005B4BC8" w:rsidRPr="007E4DA1" w:rsidRDefault="005B4BC8" w:rsidP="00DE1596">
      <w:pPr>
        <w:pBdr>
          <w:top w:val="single" w:sz="4" w:space="1" w:color="auto"/>
          <w:left w:val="single" w:sz="4" w:space="4" w:color="auto"/>
          <w:bottom w:val="single" w:sz="4" w:space="1" w:color="auto"/>
          <w:right w:val="single" w:sz="4" w:space="4" w:color="auto"/>
        </w:pBdr>
        <w:tabs>
          <w:tab w:val="left" w:pos="720"/>
        </w:tabs>
      </w:pPr>
      <w:r w:rsidRPr="007E4DA1">
        <w:rPr>
          <w:b/>
        </w:rPr>
        <w:t>5.</w:t>
      </w:r>
      <w:r w:rsidRPr="007E4DA1">
        <w:rPr>
          <w:b/>
        </w:rPr>
        <w:tab/>
        <w:t>INNE</w:t>
      </w:r>
    </w:p>
    <w:p w14:paraId="0A8FBEDE" w14:textId="77777777" w:rsidR="005B4BC8" w:rsidRPr="007E4DA1" w:rsidRDefault="005B4BC8" w:rsidP="00DE1596">
      <w:pPr>
        <w:tabs>
          <w:tab w:val="left" w:pos="720"/>
        </w:tabs>
      </w:pPr>
    </w:p>
    <w:p w14:paraId="479A1234" w14:textId="77777777" w:rsidR="005B4BC8" w:rsidRPr="007E4DA1" w:rsidRDefault="005B4BC8" w:rsidP="00DE1596">
      <w:pPr>
        <w:tabs>
          <w:tab w:val="left" w:pos="720"/>
        </w:tabs>
      </w:pPr>
    </w:p>
    <w:p w14:paraId="7CB940A2" w14:textId="77777777" w:rsidR="00A350DA" w:rsidRPr="007E4DA1" w:rsidRDefault="00E30C58" w:rsidP="00DE1596">
      <w:r w:rsidRPr="007E4DA1">
        <w:br w:type="page"/>
      </w:r>
    </w:p>
    <w:p w14:paraId="69F18EB2" w14:textId="77777777" w:rsidR="00AA3184" w:rsidRPr="007E4DA1" w:rsidRDefault="00AA3184" w:rsidP="00DE1596">
      <w:pPr>
        <w:ind w:left="-32" w:firstLine="32"/>
      </w:pPr>
    </w:p>
    <w:p w14:paraId="245E1630" w14:textId="77777777" w:rsidR="00041A08" w:rsidRPr="00041A08" w:rsidRDefault="00A350DA" w:rsidP="00DE1596">
      <w:pPr>
        <w:pBdr>
          <w:top w:val="single" w:sz="4" w:space="1" w:color="auto"/>
          <w:left w:val="single" w:sz="4" w:space="4" w:color="auto"/>
          <w:bottom w:val="single" w:sz="4" w:space="1" w:color="auto"/>
          <w:right w:val="single" w:sz="4" w:space="4" w:color="auto"/>
        </w:pBdr>
        <w:ind w:left="-32" w:firstLine="32"/>
      </w:pPr>
      <w:r w:rsidRPr="007E4DA1">
        <w:rPr>
          <w:b/>
        </w:rPr>
        <w:t>INFORMACJE ZAMIESZCZANE NA OPAKOWANIACH ZEWNĘTRZNYCH</w:t>
      </w:r>
    </w:p>
    <w:p w14:paraId="4EAFFD95" w14:textId="0C012E68" w:rsidR="00A350DA" w:rsidRPr="007E4DA1" w:rsidRDefault="00A350DA" w:rsidP="00DE1596">
      <w:pPr>
        <w:pBdr>
          <w:top w:val="single" w:sz="4" w:space="1" w:color="auto"/>
          <w:left w:val="single" w:sz="4" w:space="4" w:color="auto"/>
          <w:bottom w:val="single" w:sz="4" w:space="1" w:color="auto"/>
          <w:right w:val="single" w:sz="4" w:space="4" w:color="auto"/>
        </w:pBdr>
        <w:ind w:left="-32" w:firstLine="32"/>
      </w:pPr>
    </w:p>
    <w:p w14:paraId="557E443C" w14:textId="77777777" w:rsidR="00041A08" w:rsidRPr="00041A08" w:rsidRDefault="00A350DA" w:rsidP="00DE1596">
      <w:pPr>
        <w:pBdr>
          <w:top w:val="single" w:sz="4" w:space="1" w:color="auto"/>
          <w:left w:val="single" w:sz="4" w:space="4" w:color="auto"/>
          <w:bottom w:val="single" w:sz="4" w:space="1" w:color="auto"/>
          <w:right w:val="single" w:sz="4" w:space="4" w:color="auto"/>
        </w:pBdr>
        <w:ind w:left="-32" w:firstLine="32"/>
      </w:pPr>
      <w:r w:rsidRPr="007E4DA1">
        <w:rPr>
          <w:b/>
        </w:rPr>
        <w:t>PUDEŁKO tabletki 50 mg – 14, 28, 84 (3 OPAKOWANIA po 28) sztuk</w:t>
      </w:r>
    </w:p>
    <w:p w14:paraId="2BFC52F8" w14:textId="4885F113" w:rsidR="00A350DA" w:rsidRPr="007E4DA1" w:rsidRDefault="00A350DA" w:rsidP="00DE1596"/>
    <w:p w14:paraId="0A07C4CC" w14:textId="77777777" w:rsidR="00A350DA" w:rsidRPr="007E4DA1" w:rsidRDefault="00A350DA" w:rsidP="00DE1596"/>
    <w:p w14:paraId="4846B07E"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1.</w:t>
      </w:r>
      <w:r w:rsidRPr="007E4DA1">
        <w:rPr>
          <w:b/>
          <w:lang w:eastAsia="en-US"/>
        </w:rPr>
        <w:tab/>
        <w:t>NAZWA PRODUKTU LECZNICZEGO</w:t>
      </w:r>
    </w:p>
    <w:p w14:paraId="3BC139DE" w14:textId="680CA5EF" w:rsidR="00A350DA" w:rsidRPr="007E4DA1" w:rsidRDefault="00A350DA" w:rsidP="00DE1596"/>
    <w:p w14:paraId="7ED5C087" w14:textId="77777777" w:rsidR="00A350DA" w:rsidRPr="007E4DA1" w:rsidRDefault="00A350DA" w:rsidP="00DE1596">
      <w:r w:rsidRPr="007E4DA1">
        <w:t>Revolade 50 mg tabletki powlekane</w:t>
      </w:r>
    </w:p>
    <w:p w14:paraId="6947F4CD" w14:textId="77777777" w:rsidR="00410505" w:rsidRPr="007E4DA1" w:rsidRDefault="00410505" w:rsidP="00DE1596"/>
    <w:p w14:paraId="08873CC2" w14:textId="77777777" w:rsidR="00A350DA" w:rsidRPr="007E4DA1" w:rsidRDefault="00A350DA" w:rsidP="00DE1596">
      <w:r w:rsidRPr="007E4DA1">
        <w:t>eltrombopag</w:t>
      </w:r>
    </w:p>
    <w:p w14:paraId="4732A19D" w14:textId="77777777" w:rsidR="00A350DA" w:rsidRPr="007E4DA1" w:rsidRDefault="00A350DA" w:rsidP="00DE1596"/>
    <w:p w14:paraId="7C6ED448" w14:textId="77777777" w:rsidR="00A350DA" w:rsidRPr="007E4DA1" w:rsidRDefault="00A350DA" w:rsidP="00DE1596"/>
    <w:p w14:paraId="6C7E44F4"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lang w:eastAsia="en-US"/>
        </w:rPr>
        <w:t>2.</w:t>
      </w:r>
      <w:r w:rsidRPr="007E4DA1">
        <w:rPr>
          <w:b/>
          <w:lang w:eastAsia="en-US"/>
        </w:rPr>
        <w:tab/>
        <w:t>ZAWARTOŚĆ SUBSTANCJI CZYNNEJ</w:t>
      </w:r>
    </w:p>
    <w:p w14:paraId="299A2FE5" w14:textId="5AEDB67A" w:rsidR="00A350DA" w:rsidRPr="007E4DA1" w:rsidRDefault="00A350DA" w:rsidP="00DE1596"/>
    <w:p w14:paraId="1B2C36C4" w14:textId="77777777" w:rsidR="00A350DA" w:rsidRPr="007E4DA1" w:rsidRDefault="00A350DA" w:rsidP="00DE1596">
      <w:pPr>
        <w:ind w:left="0" w:firstLine="0"/>
      </w:pPr>
      <w:r w:rsidRPr="007E4DA1">
        <w:t>Każda tabletka powlekana zawiera eltrombopag z olaminą w ilości odpowiadającej 50 mg eltrombopagu.</w:t>
      </w:r>
    </w:p>
    <w:p w14:paraId="0A3DB720" w14:textId="77777777" w:rsidR="00A350DA" w:rsidRPr="007E4DA1" w:rsidRDefault="00A350DA" w:rsidP="00DE1596"/>
    <w:p w14:paraId="7CA709C2" w14:textId="77777777" w:rsidR="00A350DA" w:rsidRPr="007E4DA1" w:rsidRDefault="00A350DA" w:rsidP="00DE1596"/>
    <w:p w14:paraId="7784AB37" w14:textId="77777777" w:rsidR="00041A08" w:rsidRPr="00041A08" w:rsidRDefault="00A350DA" w:rsidP="00DE1596">
      <w:pPr>
        <w:pBdr>
          <w:top w:val="single" w:sz="4" w:space="1" w:color="auto"/>
          <w:left w:val="single" w:sz="4" w:space="4" w:color="auto"/>
          <w:bottom w:val="single" w:sz="4" w:space="2" w:color="auto"/>
          <w:right w:val="single" w:sz="4" w:space="4" w:color="auto"/>
        </w:pBdr>
        <w:tabs>
          <w:tab w:val="left" w:pos="142"/>
        </w:tabs>
        <w:rPr>
          <w:lang w:eastAsia="en-US"/>
        </w:rPr>
      </w:pPr>
      <w:r w:rsidRPr="007E4DA1">
        <w:rPr>
          <w:b/>
          <w:lang w:eastAsia="en-US"/>
        </w:rPr>
        <w:t>3.</w:t>
      </w:r>
      <w:r w:rsidRPr="007E4DA1">
        <w:rPr>
          <w:b/>
          <w:lang w:eastAsia="en-US"/>
        </w:rPr>
        <w:tab/>
        <w:t>WYKAZ SUBSTANCJI POMOCNICZYCH</w:t>
      </w:r>
    </w:p>
    <w:p w14:paraId="1E769084" w14:textId="43282E4A" w:rsidR="00A350DA" w:rsidRPr="007E4DA1" w:rsidRDefault="00A350DA" w:rsidP="00DE1596"/>
    <w:p w14:paraId="4592C85B" w14:textId="77777777" w:rsidR="00A350DA" w:rsidRPr="007E4DA1" w:rsidRDefault="00A350DA" w:rsidP="00DE1596"/>
    <w:p w14:paraId="7599DAB7"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4.</w:t>
      </w:r>
      <w:r w:rsidRPr="007E4DA1">
        <w:rPr>
          <w:b/>
          <w:lang w:eastAsia="en-US"/>
        </w:rPr>
        <w:tab/>
        <w:t>POSTAĆ FARMACEUTYCZNA I ZAWARTOŚĆ OPAKOWANIA</w:t>
      </w:r>
    </w:p>
    <w:p w14:paraId="1A1186BA" w14:textId="37A9511F" w:rsidR="00A350DA" w:rsidRPr="007E4DA1" w:rsidRDefault="00A350DA" w:rsidP="00DE1596">
      <w:pPr>
        <w:rPr>
          <w:bCs/>
        </w:rPr>
      </w:pPr>
    </w:p>
    <w:p w14:paraId="2D6A4C70" w14:textId="77777777" w:rsidR="00A350DA" w:rsidRPr="007E4DA1" w:rsidRDefault="00A350DA" w:rsidP="00DE1596">
      <w:r w:rsidRPr="007E4DA1">
        <w:t>14</w:t>
      </w:r>
      <w:r w:rsidR="0002695F" w:rsidRPr="007E4DA1">
        <w:t> </w:t>
      </w:r>
      <w:r w:rsidRPr="007E4DA1">
        <w:t>tabletek powlekanych</w:t>
      </w:r>
    </w:p>
    <w:p w14:paraId="6203275F" w14:textId="77777777" w:rsidR="00A350DA" w:rsidRPr="007E4DA1" w:rsidRDefault="00A350DA" w:rsidP="00DE1596">
      <w:r w:rsidRPr="007E4DA1">
        <w:rPr>
          <w:shd w:val="clear" w:color="auto" w:fill="CCCCCC"/>
        </w:rPr>
        <w:t>28</w:t>
      </w:r>
      <w:r w:rsidR="0002695F" w:rsidRPr="007E4DA1">
        <w:rPr>
          <w:shd w:val="clear" w:color="auto" w:fill="CCCCCC"/>
        </w:rPr>
        <w:t> </w:t>
      </w:r>
      <w:r w:rsidRPr="007E4DA1">
        <w:rPr>
          <w:shd w:val="clear" w:color="auto" w:fill="CCCCCC"/>
        </w:rPr>
        <w:t>tabletek powlekanych</w:t>
      </w:r>
    </w:p>
    <w:p w14:paraId="2E0A5AAE" w14:textId="77777777" w:rsidR="00A350DA" w:rsidRPr="007E4DA1" w:rsidRDefault="00A350DA" w:rsidP="00DE1596">
      <w:pPr>
        <w:rPr>
          <w:shd w:val="clear" w:color="auto" w:fill="CCCCCC"/>
        </w:rPr>
      </w:pPr>
      <w:r w:rsidRPr="007E4DA1">
        <w:rPr>
          <w:shd w:val="clear" w:color="auto" w:fill="CCCCCC"/>
        </w:rPr>
        <w:t>Opakowanie zbiorcze zawierające 84 tabletki powlekane (3 opakowania po 28)</w:t>
      </w:r>
    </w:p>
    <w:p w14:paraId="5E457FA7" w14:textId="77777777" w:rsidR="00A350DA" w:rsidRPr="007E4DA1" w:rsidRDefault="00A350DA" w:rsidP="00DE1596"/>
    <w:p w14:paraId="2B3F1D95" w14:textId="77777777" w:rsidR="00A350DA" w:rsidRPr="007E4DA1" w:rsidRDefault="00A350DA" w:rsidP="00DE1596">
      <w:pPr>
        <w:rPr>
          <w:bCs/>
        </w:rPr>
      </w:pPr>
    </w:p>
    <w:p w14:paraId="089428CF"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5.</w:t>
      </w:r>
      <w:r w:rsidRPr="007E4DA1">
        <w:rPr>
          <w:b/>
          <w:lang w:eastAsia="en-US"/>
        </w:rPr>
        <w:tab/>
        <w:t>SPOSÓB I DROGA PODANIA</w:t>
      </w:r>
    </w:p>
    <w:p w14:paraId="5F9B39E5" w14:textId="2A68911F" w:rsidR="00A350DA" w:rsidRPr="007E4DA1" w:rsidRDefault="00A350DA" w:rsidP="00DE1596"/>
    <w:p w14:paraId="6108E3B3" w14:textId="77777777" w:rsidR="00A350DA" w:rsidRPr="007E4DA1" w:rsidRDefault="00A350DA" w:rsidP="00DE1596">
      <w:r w:rsidRPr="007E4DA1">
        <w:t>Należy zapoznać się z treścią ulotki przed zastosowaniem leku.</w:t>
      </w:r>
      <w:r w:rsidR="004B22C0" w:rsidRPr="007E4DA1">
        <w:t xml:space="preserve"> </w:t>
      </w:r>
      <w:r w:rsidRPr="007E4DA1">
        <w:t>Podanie doustne.</w:t>
      </w:r>
    </w:p>
    <w:p w14:paraId="2D143E3E" w14:textId="77777777" w:rsidR="00A350DA" w:rsidRPr="007E4DA1" w:rsidRDefault="00A350DA" w:rsidP="00DE1596"/>
    <w:p w14:paraId="7CA49FCB" w14:textId="77777777" w:rsidR="00A350DA" w:rsidRPr="007E4DA1" w:rsidRDefault="00A350DA" w:rsidP="00DE1596"/>
    <w:p w14:paraId="6C062C19"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lang w:eastAsia="en-US"/>
        </w:rPr>
        <w:t>6.</w:t>
      </w:r>
      <w:r w:rsidRPr="007E4DA1">
        <w:rPr>
          <w:b/>
          <w:lang w:eastAsia="en-US"/>
        </w:rPr>
        <w:tab/>
        <w:t xml:space="preserve">OSTRZEŻENIE DOTYCZĄCE PRZECHOWYWANIA PRODUKTU LECZNICZEGO W MIEJSCU </w:t>
      </w:r>
      <w:r w:rsidRPr="007E4DA1">
        <w:rPr>
          <w:b/>
        </w:rPr>
        <w:t xml:space="preserve">NIEWIDOCZNYM I </w:t>
      </w:r>
      <w:r w:rsidRPr="007E4DA1">
        <w:rPr>
          <w:b/>
          <w:lang w:eastAsia="en-US"/>
        </w:rPr>
        <w:t>NIEDOSTĘPNYM</w:t>
      </w:r>
      <w:r w:rsidRPr="007E4DA1">
        <w:rPr>
          <w:b/>
        </w:rPr>
        <w:t xml:space="preserve"> DLA DZIECI</w:t>
      </w:r>
    </w:p>
    <w:p w14:paraId="747FA662" w14:textId="36EE38CF" w:rsidR="00A350DA" w:rsidRPr="007E4DA1" w:rsidRDefault="00A350DA" w:rsidP="00DE1596"/>
    <w:p w14:paraId="601EEAB2" w14:textId="77777777" w:rsidR="00A350DA" w:rsidRPr="007E4DA1" w:rsidRDefault="00A350DA" w:rsidP="00DE1596">
      <w:r w:rsidRPr="007E4DA1">
        <w:t>Lek przechowywać w miejscu niewidocznym i niedostępnym dla dzieci.</w:t>
      </w:r>
    </w:p>
    <w:p w14:paraId="1D1E9A7D" w14:textId="77777777" w:rsidR="00A350DA" w:rsidRPr="007E4DA1" w:rsidRDefault="00A350DA" w:rsidP="00DE1596"/>
    <w:p w14:paraId="3A196F7F" w14:textId="77777777" w:rsidR="00A350DA" w:rsidRPr="007E4DA1" w:rsidRDefault="00A350DA" w:rsidP="00DE1596"/>
    <w:p w14:paraId="1BA5C1B1"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7.</w:t>
      </w:r>
      <w:r w:rsidRPr="007E4DA1">
        <w:rPr>
          <w:b/>
        </w:rPr>
        <w:tab/>
        <w:t>INNE OSTRZEŻENIA SPECJALNE, JEŚLI KONIECZNE</w:t>
      </w:r>
    </w:p>
    <w:p w14:paraId="6848DEC8" w14:textId="43D69F30" w:rsidR="00A350DA" w:rsidRPr="007E4DA1" w:rsidRDefault="00A350DA" w:rsidP="00DE1596"/>
    <w:p w14:paraId="4E978F93" w14:textId="77777777" w:rsidR="00A350DA" w:rsidRPr="007E4DA1" w:rsidRDefault="00A350DA" w:rsidP="00DE1596"/>
    <w:p w14:paraId="60116FFD"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8.</w:t>
      </w:r>
      <w:r w:rsidRPr="007E4DA1">
        <w:rPr>
          <w:b/>
        </w:rPr>
        <w:tab/>
        <w:t>T</w:t>
      </w:r>
      <w:smartTag w:uri="schemas-GSKSiteLocations-com/fourthcoffee" w:element="flavor">
        <w:r w:rsidRPr="007E4DA1">
          <w:rPr>
            <w:b/>
          </w:rPr>
          <w:t>ERM</w:t>
        </w:r>
      </w:smartTag>
      <w:r w:rsidRPr="007E4DA1">
        <w:rPr>
          <w:b/>
        </w:rPr>
        <w:t>IN WAŻNOŚCI</w:t>
      </w:r>
    </w:p>
    <w:p w14:paraId="6D3051E9" w14:textId="41046131" w:rsidR="00A350DA" w:rsidRPr="007E4DA1" w:rsidRDefault="00A350DA" w:rsidP="00DE1596"/>
    <w:p w14:paraId="71C34C88" w14:textId="1B8FA995" w:rsidR="00A350DA" w:rsidRPr="007E4DA1" w:rsidRDefault="00A350DA" w:rsidP="00DE1596">
      <w:r w:rsidRPr="007E4DA1">
        <w:t>Termin ważności:</w:t>
      </w:r>
    </w:p>
    <w:p w14:paraId="6C5BE508" w14:textId="77777777" w:rsidR="00A350DA" w:rsidRPr="007E4DA1" w:rsidRDefault="00A350DA" w:rsidP="00DE1596"/>
    <w:p w14:paraId="1C6E45D7" w14:textId="77777777" w:rsidR="00A350DA" w:rsidRPr="007E4DA1" w:rsidRDefault="00A350DA" w:rsidP="00DE1596"/>
    <w:p w14:paraId="2382F1AC" w14:textId="77777777" w:rsidR="00041A08" w:rsidRPr="00041A08" w:rsidRDefault="00A350DA" w:rsidP="00DE1596">
      <w:pPr>
        <w:keepNext/>
        <w:pBdr>
          <w:top w:val="single" w:sz="4" w:space="1" w:color="auto"/>
          <w:left w:val="single" w:sz="4" w:space="4" w:color="auto"/>
          <w:bottom w:val="single" w:sz="4" w:space="1" w:color="auto"/>
          <w:right w:val="single" w:sz="4" w:space="4" w:color="auto"/>
        </w:pBdr>
        <w:tabs>
          <w:tab w:val="left" w:pos="142"/>
        </w:tabs>
      </w:pPr>
      <w:r w:rsidRPr="007E4DA1">
        <w:rPr>
          <w:b/>
        </w:rPr>
        <w:t>9.</w:t>
      </w:r>
      <w:r w:rsidRPr="007E4DA1">
        <w:rPr>
          <w:b/>
        </w:rPr>
        <w:tab/>
        <w:t>WARUNKI PRZECHOWYWANIA</w:t>
      </w:r>
    </w:p>
    <w:p w14:paraId="5E3196E6" w14:textId="180218ED" w:rsidR="00A350DA" w:rsidRPr="007E4DA1" w:rsidRDefault="00A350DA" w:rsidP="00DE1596">
      <w:pPr>
        <w:keepNext/>
        <w:tabs>
          <w:tab w:val="left" w:pos="720"/>
        </w:tabs>
      </w:pPr>
    </w:p>
    <w:p w14:paraId="2F76E81F" w14:textId="77777777" w:rsidR="00A350DA" w:rsidRPr="007E4DA1" w:rsidRDefault="00A350DA" w:rsidP="00DE1596">
      <w:pPr>
        <w:tabs>
          <w:tab w:val="left" w:pos="720"/>
        </w:tabs>
      </w:pPr>
    </w:p>
    <w:p w14:paraId="0FE2C33C" w14:textId="77777777" w:rsidR="00041A08" w:rsidRPr="00041A08" w:rsidRDefault="00A350DA" w:rsidP="00DE1596">
      <w:pPr>
        <w:keepNext/>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10.</w:t>
      </w:r>
      <w:r w:rsidRPr="007E4DA1">
        <w:rPr>
          <w:b/>
          <w:lang w:eastAsia="en-US"/>
        </w:rPr>
        <w:tab/>
        <w:t xml:space="preserve">SPECJALNE ŚRODKI OSTROŻNOŚCI DOTYCZĄCE USUWANIA NIEZUŻYTEGO PRODUKTU LECZNICZEGO </w:t>
      </w:r>
      <w:smartTag w:uri="urn:schemas-microsoft-com:office:smarttags" w:element="stockticker">
        <w:r w:rsidRPr="007E4DA1">
          <w:rPr>
            <w:b/>
            <w:lang w:eastAsia="en-US"/>
          </w:rPr>
          <w:t>LUB</w:t>
        </w:r>
      </w:smartTag>
      <w:r w:rsidRPr="007E4DA1">
        <w:rPr>
          <w:b/>
          <w:lang w:eastAsia="en-US"/>
        </w:rPr>
        <w:t xml:space="preserve"> POCHODZĄCYCH Z NIEGO ODPADÓW, JEŚLI WŁAŚCIWE</w:t>
      </w:r>
    </w:p>
    <w:p w14:paraId="2D5A7418" w14:textId="717E2873" w:rsidR="00A350DA" w:rsidRPr="007E4DA1" w:rsidRDefault="00A350DA" w:rsidP="00DE1596">
      <w:pPr>
        <w:tabs>
          <w:tab w:val="left" w:pos="720"/>
        </w:tabs>
      </w:pPr>
    </w:p>
    <w:p w14:paraId="02249391" w14:textId="77777777" w:rsidR="00A350DA" w:rsidRPr="007E4DA1" w:rsidRDefault="00A350DA" w:rsidP="00DE1596">
      <w:pPr>
        <w:tabs>
          <w:tab w:val="left" w:pos="720"/>
        </w:tabs>
      </w:pPr>
    </w:p>
    <w:p w14:paraId="0A1878EA"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lang w:eastAsia="en-US"/>
        </w:rPr>
        <w:t>11.</w:t>
      </w:r>
      <w:r w:rsidRPr="007E4DA1">
        <w:rPr>
          <w:b/>
          <w:lang w:eastAsia="en-US"/>
        </w:rPr>
        <w:tab/>
        <w:t>NAZWA</w:t>
      </w:r>
      <w:r w:rsidRPr="007E4DA1">
        <w:rPr>
          <w:b/>
        </w:rPr>
        <w:t xml:space="preserve"> I ADRES PODMIOTU OD</w:t>
      </w:r>
      <w:smartTag w:uri="schemas-GSKSiteLocations-com/fourthcoffee" w:element="flavor">
        <w:r w:rsidRPr="007E4DA1">
          <w:rPr>
            <w:b/>
          </w:rPr>
          <w:t>POW</w:t>
        </w:r>
      </w:smartTag>
      <w:r w:rsidRPr="007E4DA1">
        <w:rPr>
          <w:b/>
        </w:rPr>
        <w:t>IEDZIALNEGO</w:t>
      </w:r>
    </w:p>
    <w:p w14:paraId="6C66CA86" w14:textId="0968873A" w:rsidR="00A350DA" w:rsidRPr="007E4DA1" w:rsidRDefault="00A350DA" w:rsidP="00DE1596">
      <w:pPr>
        <w:tabs>
          <w:tab w:val="left" w:pos="720"/>
        </w:tabs>
      </w:pPr>
    </w:p>
    <w:p w14:paraId="3E747349" w14:textId="77777777" w:rsidR="00A350DA" w:rsidRPr="007E4DA1" w:rsidRDefault="00A350DA" w:rsidP="00DE1596">
      <w:r w:rsidRPr="007E4DA1">
        <w:t>Novartis Europharm Limited</w:t>
      </w:r>
    </w:p>
    <w:p w14:paraId="1477940F" w14:textId="77777777" w:rsidR="0091544F" w:rsidRPr="007E4DA1" w:rsidRDefault="0091544F" w:rsidP="00DE1596">
      <w:pPr>
        <w:keepNext/>
        <w:rPr>
          <w:color w:val="000000"/>
          <w:lang w:val="en-GB"/>
        </w:rPr>
      </w:pPr>
      <w:r w:rsidRPr="007E4DA1">
        <w:rPr>
          <w:color w:val="000000"/>
          <w:lang w:val="en-GB"/>
        </w:rPr>
        <w:t>Vista Building</w:t>
      </w:r>
    </w:p>
    <w:p w14:paraId="4A77C370" w14:textId="77777777" w:rsidR="0091544F" w:rsidRPr="007E4DA1" w:rsidRDefault="0091544F" w:rsidP="00DE1596">
      <w:pPr>
        <w:keepNext/>
        <w:rPr>
          <w:color w:val="000000"/>
          <w:lang w:val="en-GB"/>
        </w:rPr>
      </w:pPr>
      <w:r w:rsidRPr="007E4DA1">
        <w:rPr>
          <w:color w:val="000000"/>
          <w:lang w:val="en-GB"/>
        </w:rPr>
        <w:t>Elm Park, Merrion Road</w:t>
      </w:r>
    </w:p>
    <w:p w14:paraId="6F917E2B" w14:textId="77777777" w:rsidR="0091544F" w:rsidRPr="007E4DA1" w:rsidRDefault="0091544F" w:rsidP="00DE1596">
      <w:pPr>
        <w:keepNext/>
        <w:rPr>
          <w:color w:val="000000"/>
        </w:rPr>
      </w:pPr>
      <w:r w:rsidRPr="007E4DA1">
        <w:rPr>
          <w:color w:val="000000"/>
        </w:rPr>
        <w:t>Dublin 4</w:t>
      </w:r>
    </w:p>
    <w:p w14:paraId="3BA239B2" w14:textId="77777777" w:rsidR="00A350DA" w:rsidRPr="007E4DA1" w:rsidRDefault="0091544F" w:rsidP="00DE1596">
      <w:pPr>
        <w:tabs>
          <w:tab w:val="left" w:pos="720"/>
        </w:tabs>
      </w:pPr>
      <w:r w:rsidRPr="007E4DA1">
        <w:rPr>
          <w:color w:val="000000"/>
        </w:rPr>
        <w:t>Irlandia</w:t>
      </w:r>
    </w:p>
    <w:p w14:paraId="598C4817" w14:textId="77777777" w:rsidR="00A350DA" w:rsidRPr="007E4DA1" w:rsidRDefault="00A350DA" w:rsidP="00DE1596">
      <w:pPr>
        <w:tabs>
          <w:tab w:val="left" w:pos="720"/>
        </w:tabs>
      </w:pPr>
    </w:p>
    <w:p w14:paraId="75B67FCE" w14:textId="77777777" w:rsidR="00A350DA" w:rsidRPr="007E4DA1" w:rsidRDefault="00A350DA" w:rsidP="00DE1596">
      <w:pPr>
        <w:tabs>
          <w:tab w:val="left" w:pos="720"/>
        </w:tabs>
      </w:pPr>
    </w:p>
    <w:p w14:paraId="1B343222"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12.</w:t>
      </w:r>
      <w:r w:rsidRPr="007E4DA1">
        <w:rPr>
          <w:b/>
        </w:rPr>
        <w:tab/>
        <w:t>NUMERY POZWOLEŃ NA DOPUSZCZENIE DO OBROTU</w:t>
      </w:r>
    </w:p>
    <w:p w14:paraId="65CECF42" w14:textId="67E36F5D" w:rsidR="00A350DA" w:rsidRPr="007E4DA1" w:rsidRDefault="00A350DA" w:rsidP="00DE1596">
      <w:pPr>
        <w:tabs>
          <w:tab w:val="left" w:pos="720"/>
        </w:tabs>
      </w:pPr>
    </w:p>
    <w:p w14:paraId="49F1FFF3" w14:textId="77777777" w:rsidR="00A350DA" w:rsidRPr="007E4DA1" w:rsidRDefault="00A350DA" w:rsidP="00DE1596">
      <w:pPr>
        <w:rPr>
          <w:shd w:val="pct15" w:color="auto" w:fill="auto"/>
        </w:rPr>
      </w:pPr>
      <w:r w:rsidRPr="007E4DA1">
        <w:t xml:space="preserve">EU/1/10/612/004 </w:t>
      </w:r>
      <w:r w:rsidRPr="007E4DA1">
        <w:rPr>
          <w:shd w:val="pct15" w:color="auto" w:fill="auto"/>
        </w:rPr>
        <w:t>(14</w:t>
      </w:r>
      <w:r w:rsidR="0002695F" w:rsidRPr="007E4DA1">
        <w:rPr>
          <w:shd w:val="pct15" w:color="auto" w:fill="auto"/>
        </w:rPr>
        <w:t> </w:t>
      </w:r>
      <w:r w:rsidRPr="007E4DA1">
        <w:rPr>
          <w:shd w:val="pct15" w:color="auto" w:fill="auto"/>
        </w:rPr>
        <w:t>tabletek powlekanych)</w:t>
      </w:r>
    </w:p>
    <w:p w14:paraId="63F4F979" w14:textId="77777777" w:rsidR="00A350DA" w:rsidRPr="007E4DA1" w:rsidRDefault="00A350DA" w:rsidP="00DE1596">
      <w:pPr>
        <w:rPr>
          <w:shd w:val="pct15" w:color="auto" w:fill="auto"/>
        </w:rPr>
      </w:pPr>
      <w:r w:rsidRPr="007E4DA1">
        <w:rPr>
          <w:shd w:val="pct15" w:color="auto" w:fill="auto"/>
        </w:rPr>
        <w:t>EU/1/10/612/005 (28</w:t>
      </w:r>
      <w:r w:rsidR="0002695F" w:rsidRPr="007E4DA1">
        <w:rPr>
          <w:shd w:val="pct15" w:color="auto" w:fill="auto"/>
        </w:rPr>
        <w:t> </w:t>
      </w:r>
      <w:r w:rsidRPr="007E4DA1">
        <w:rPr>
          <w:shd w:val="pct15" w:color="auto" w:fill="auto"/>
        </w:rPr>
        <w:t>tabletek powlekanych)</w:t>
      </w:r>
    </w:p>
    <w:p w14:paraId="48137BE3" w14:textId="77777777" w:rsidR="00A350DA" w:rsidRPr="007E4DA1" w:rsidRDefault="00A350DA" w:rsidP="00DE1596">
      <w:pPr>
        <w:ind w:left="0" w:firstLine="0"/>
      </w:pPr>
      <w:r w:rsidRPr="007E4DA1">
        <w:rPr>
          <w:shd w:val="pct15" w:color="auto" w:fill="auto"/>
        </w:rPr>
        <w:t>EU/1/10/612/006 84</w:t>
      </w:r>
      <w:r w:rsidR="0002695F" w:rsidRPr="007E4DA1">
        <w:rPr>
          <w:shd w:val="pct15" w:color="auto" w:fill="auto"/>
        </w:rPr>
        <w:t> </w:t>
      </w:r>
      <w:r w:rsidRPr="007E4DA1">
        <w:rPr>
          <w:shd w:val="pct15" w:color="auto" w:fill="auto"/>
        </w:rPr>
        <w:t>tabletki powlekane (3</w:t>
      </w:r>
      <w:r w:rsidR="0002695F" w:rsidRPr="007E4DA1">
        <w:rPr>
          <w:shd w:val="pct15" w:color="auto" w:fill="auto"/>
        </w:rPr>
        <w:t> </w:t>
      </w:r>
      <w:r w:rsidRPr="007E4DA1">
        <w:rPr>
          <w:shd w:val="pct15" w:color="auto" w:fill="auto"/>
        </w:rPr>
        <w:t>opakowania po 28)</w:t>
      </w:r>
    </w:p>
    <w:p w14:paraId="2E8480A4" w14:textId="77777777" w:rsidR="00A350DA" w:rsidRPr="007E4DA1" w:rsidRDefault="00A350DA" w:rsidP="00DE1596">
      <w:pPr>
        <w:tabs>
          <w:tab w:val="left" w:pos="720"/>
        </w:tabs>
      </w:pPr>
    </w:p>
    <w:p w14:paraId="2C47F0DE" w14:textId="77777777" w:rsidR="00A350DA" w:rsidRPr="007E4DA1" w:rsidRDefault="00A350DA" w:rsidP="00DE1596">
      <w:pPr>
        <w:tabs>
          <w:tab w:val="left" w:pos="720"/>
        </w:tabs>
      </w:pPr>
    </w:p>
    <w:p w14:paraId="4731DD1E"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13.</w:t>
      </w:r>
      <w:r w:rsidRPr="007E4DA1">
        <w:rPr>
          <w:b/>
        </w:rPr>
        <w:tab/>
        <w:t>NUMER SERII</w:t>
      </w:r>
    </w:p>
    <w:p w14:paraId="3F11FBDB" w14:textId="3C73F2AE" w:rsidR="00A350DA" w:rsidRPr="007E4DA1" w:rsidRDefault="00A350DA" w:rsidP="00DE1596">
      <w:pPr>
        <w:tabs>
          <w:tab w:val="left" w:pos="720"/>
        </w:tabs>
      </w:pPr>
    </w:p>
    <w:p w14:paraId="2FF7E005" w14:textId="766F5158" w:rsidR="00A350DA" w:rsidRPr="007E4DA1" w:rsidRDefault="00270E50" w:rsidP="00DE1596">
      <w:pPr>
        <w:tabs>
          <w:tab w:val="left" w:pos="720"/>
        </w:tabs>
      </w:pPr>
      <w:r w:rsidRPr="007E4DA1">
        <w:t xml:space="preserve">Nr </w:t>
      </w:r>
      <w:r w:rsidR="00A350DA" w:rsidRPr="007E4DA1">
        <w:t>serii:</w:t>
      </w:r>
    </w:p>
    <w:p w14:paraId="5359E307" w14:textId="77777777" w:rsidR="00A350DA" w:rsidRPr="007E4DA1" w:rsidRDefault="00A350DA" w:rsidP="00DE1596">
      <w:pPr>
        <w:tabs>
          <w:tab w:val="left" w:pos="720"/>
        </w:tabs>
      </w:pPr>
    </w:p>
    <w:p w14:paraId="3A675AC3" w14:textId="77777777" w:rsidR="00A350DA" w:rsidRPr="007E4DA1" w:rsidRDefault="00A350DA" w:rsidP="00DE1596">
      <w:pPr>
        <w:tabs>
          <w:tab w:val="left" w:pos="720"/>
        </w:tabs>
      </w:pPr>
    </w:p>
    <w:p w14:paraId="1FB5803A"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14.</w:t>
      </w:r>
      <w:r w:rsidRPr="007E4DA1">
        <w:rPr>
          <w:b/>
        </w:rPr>
        <w:tab/>
        <w:t>OGÓLNA KATEGORIA DOSTĘPNOŚCI</w:t>
      </w:r>
    </w:p>
    <w:p w14:paraId="036BBEA6" w14:textId="5EFCB4EB" w:rsidR="00A350DA" w:rsidRPr="007E4DA1" w:rsidRDefault="00A350DA" w:rsidP="00DE1596">
      <w:pPr>
        <w:tabs>
          <w:tab w:val="left" w:pos="720"/>
        </w:tabs>
      </w:pPr>
    </w:p>
    <w:p w14:paraId="577DA76B" w14:textId="77777777" w:rsidR="00A350DA" w:rsidRPr="007E4DA1" w:rsidRDefault="00A350DA" w:rsidP="00DE1596">
      <w:pPr>
        <w:tabs>
          <w:tab w:val="left" w:pos="720"/>
        </w:tabs>
      </w:pPr>
    </w:p>
    <w:p w14:paraId="068F4034"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15.</w:t>
      </w:r>
      <w:r w:rsidRPr="007E4DA1">
        <w:rPr>
          <w:b/>
        </w:rPr>
        <w:tab/>
        <w:t>INSTRUKCJA UŻYCIA</w:t>
      </w:r>
    </w:p>
    <w:p w14:paraId="4C423B01" w14:textId="1104F748" w:rsidR="00A350DA" w:rsidRPr="007E4DA1" w:rsidRDefault="00A350DA" w:rsidP="00DE1596">
      <w:pPr>
        <w:tabs>
          <w:tab w:val="left" w:pos="720"/>
        </w:tabs>
      </w:pPr>
    </w:p>
    <w:p w14:paraId="23DE8169" w14:textId="77777777" w:rsidR="00A350DA" w:rsidRPr="007E4DA1" w:rsidRDefault="00A350DA" w:rsidP="00DE1596">
      <w:pPr>
        <w:tabs>
          <w:tab w:val="left" w:pos="720"/>
        </w:tabs>
      </w:pPr>
    </w:p>
    <w:p w14:paraId="2A177023"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720"/>
        </w:tabs>
      </w:pPr>
      <w:r w:rsidRPr="007E4DA1">
        <w:rPr>
          <w:b/>
        </w:rPr>
        <w:t>16.</w:t>
      </w:r>
      <w:r w:rsidRPr="007E4DA1">
        <w:rPr>
          <w:b/>
        </w:rPr>
        <w:tab/>
        <w:t>INFORMACJA PODANA SYSTEMEM BRAILLE’A</w:t>
      </w:r>
    </w:p>
    <w:p w14:paraId="6035C422" w14:textId="77777777" w:rsidR="00A350DA" w:rsidRPr="007E4DA1" w:rsidRDefault="00A350DA" w:rsidP="00DE1596">
      <w:pPr>
        <w:tabs>
          <w:tab w:val="left" w:pos="720"/>
        </w:tabs>
      </w:pPr>
    </w:p>
    <w:p w14:paraId="09B228E4" w14:textId="77777777" w:rsidR="00A350DA" w:rsidRPr="007E4DA1" w:rsidRDefault="00A350DA" w:rsidP="00DE1596">
      <w:pPr>
        <w:tabs>
          <w:tab w:val="left" w:pos="720"/>
        </w:tabs>
      </w:pPr>
      <w:r w:rsidRPr="007E4DA1">
        <w:t>revolade 50 mg</w:t>
      </w:r>
    </w:p>
    <w:p w14:paraId="12D772D2" w14:textId="77777777" w:rsidR="00A350DA" w:rsidRPr="007E4DA1" w:rsidRDefault="00A350DA" w:rsidP="00DE1596">
      <w:pPr>
        <w:tabs>
          <w:tab w:val="left" w:pos="720"/>
        </w:tabs>
      </w:pPr>
    </w:p>
    <w:p w14:paraId="6DB2D300" w14:textId="77777777" w:rsidR="00041A08" w:rsidRPr="00041A08" w:rsidRDefault="00B10D04" w:rsidP="00DE1596">
      <w:pPr>
        <w:keepNext/>
        <w:numPr>
          <w:ilvl w:val="0"/>
          <w:numId w:val="61"/>
        </w:numPr>
        <w:pBdr>
          <w:top w:val="single" w:sz="4" w:space="1" w:color="auto"/>
          <w:left w:val="single" w:sz="4" w:space="4" w:color="auto"/>
          <w:bottom w:val="single" w:sz="4" w:space="1" w:color="auto"/>
          <w:right w:val="single" w:sz="4" w:space="4" w:color="auto"/>
        </w:pBdr>
        <w:tabs>
          <w:tab w:val="left" w:pos="567"/>
        </w:tabs>
        <w:ind w:hanging="502"/>
        <w:rPr>
          <w:noProof/>
        </w:rPr>
      </w:pPr>
      <w:r w:rsidRPr="007E4DA1">
        <w:rPr>
          <w:b/>
          <w:noProof/>
        </w:rPr>
        <w:t>NIEPOWTARZALNY IDENTYFIKATOR – KOD 2D</w:t>
      </w:r>
    </w:p>
    <w:p w14:paraId="719C89DB" w14:textId="29F66CA6" w:rsidR="00B10D04" w:rsidRPr="007E4DA1" w:rsidRDefault="00B10D04" w:rsidP="00DE1596">
      <w:pPr>
        <w:rPr>
          <w:noProof/>
        </w:rPr>
      </w:pPr>
    </w:p>
    <w:p w14:paraId="1D617CFD" w14:textId="77777777" w:rsidR="00B10D04" w:rsidRPr="007E4DA1" w:rsidRDefault="00B10D04" w:rsidP="00DE1596">
      <w:pPr>
        <w:rPr>
          <w:noProof/>
          <w:szCs w:val="22"/>
          <w:shd w:val="clear" w:color="auto" w:fill="CCCCCC"/>
        </w:rPr>
      </w:pPr>
      <w:r w:rsidRPr="007E4DA1">
        <w:rPr>
          <w:noProof/>
          <w:shd w:val="pct15" w:color="auto" w:fill="auto"/>
        </w:rPr>
        <w:t>Obejmuje kod 2D będący nośnikiem niepowtarzalnego identyfikatora.</w:t>
      </w:r>
    </w:p>
    <w:p w14:paraId="4004B513" w14:textId="77777777" w:rsidR="00B10D04" w:rsidRPr="007E4DA1" w:rsidRDefault="00B10D04" w:rsidP="00DE1596">
      <w:pPr>
        <w:rPr>
          <w:noProof/>
        </w:rPr>
      </w:pPr>
    </w:p>
    <w:p w14:paraId="0FA37877" w14:textId="77777777" w:rsidR="00B10D04" w:rsidRPr="007E4DA1" w:rsidRDefault="00B10D04" w:rsidP="00DE1596">
      <w:pPr>
        <w:rPr>
          <w:noProof/>
        </w:rPr>
      </w:pPr>
    </w:p>
    <w:p w14:paraId="6EAC2247" w14:textId="77777777" w:rsidR="00041A08" w:rsidRPr="00041A08" w:rsidRDefault="00B10D04" w:rsidP="00DE1596">
      <w:pPr>
        <w:keepNext/>
        <w:numPr>
          <w:ilvl w:val="0"/>
          <w:numId w:val="61"/>
        </w:numPr>
        <w:pBdr>
          <w:top w:val="single" w:sz="4" w:space="1" w:color="auto"/>
          <w:left w:val="single" w:sz="4" w:space="4" w:color="auto"/>
          <w:bottom w:val="single" w:sz="4" w:space="1" w:color="auto"/>
          <w:right w:val="single" w:sz="4" w:space="4" w:color="auto"/>
        </w:pBdr>
        <w:tabs>
          <w:tab w:val="left" w:pos="567"/>
        </w:tabs>
        <w:ind w:hanging="502"/>
        <w:rPr>
          <w:noProof/>
        </w:rPr>
      </w:pPr>
      <w:r w:rsidRPr="007E4DA1">
        <w:rPr>
          <w:b/>
          <w:noProof/>
        </w:rPr>
        <w:t>NIEPOWTARZALNY IDENTYFIKATOR – DANE CZYTELNE DLA CZŁOWIEKA</w:t>
      </w:r>
    </w:p>
    <w:p w14:paraId="7DB3C229" w14:textId="005597C5" w:rsidR="00B10D04" w:rsidRPr="007E4DA1" w:rsidRDefault="00B10D04" w:rsidP="00DE1596">
      <w:pPr>
        <w:rPr>
          <w:noProof/>
        </w:rPr>
      </w:pPr>
    </w:p>
    <w:p w14:paraId="742CAB15" w14:textId="2790A484" w:rsidR="00B10D04" w:rsidRPr="007E4DA1" w:rsidRDefault="00B10D04" w:rsidP="00DE1596">
      <w:pPr>
        <w:rPr>
          <w:color w:val="000000" w:themeColor="text1"/>
          <w:szCs w:val="22"/>
        </w:rPr>
      </w:pPr>
      <w:r w:rsidRPr="007E4DA1">
        <w:rPr>
          <w:color w:val="000000" w:themeColor="text1"/>
        </w:rPr>
        <w:t>PC</w:t>
      </w:r>
    </w:p>
    <w:p w14:paraId="70AC3F22" w14:textId="7304260E" w:rsidR="00B10D04" w:rsidRPr="007E4DA1" w:rsidRDefault="00B10D04" w:rsidP="00DE1596">
      <w:pPr>
        <w:rPr>
          <w:color w:val="000000" w:themeColor="text1"/>
          <w:szCs w:val="22"/>
        </w:rPr>
      </w:pPr>
      <w:r w:rsidRPr="007E4DA1">
        <w:rPr>
          <w:color w:val="000000" w:themeColor="text1"/>
        </w:rPr>
        <w:t>SN</w:t>
      </w:r>
    </w:p>
    <w:p w14:paraId="1AFEFAF5" w14:textId="0134D995" w:rsidR="00A03274" w:rsidRPr="007E4DA1" w:rsidRDefault="00B10D04" w:rsidP="00DE1596">
      <w:pPr>
        <w:rPr>
          <w:color w:val="000000" w:themeColor="text1"/>
        </w:rPr>
      </w:pPr>
      <w:r w:rsidRPr="007E4DA1">
        <w:rPr>
          <w:color w:val="000000" w:themeColor="text1"/>
        </w:rPr>
        <w:t>NN</w:t>
      </w:r>
    </w:p>
    <w:p w14:paraId="42EE495E" w14:textId="77777777" w:rsidR="00AA3184" w:rsidRPr="007E4DA1" w:rsidRDefault="00A03274" w:rsidP="00DE1596">
      <w:pPr>
        <w:rPr>
          <w:color w:val="000000" w:themeColor="text1"/>
        </w:rPr>
      </w:pPr>
      <w:r w:rsidRPr="007E4DA1">
        <w:rPr>
          <w:color w:val="000000" w:themeColor="text1"/>
        </w:rPr>
        <w:br w:type="page"/>
      </w:r>
    </w:p>
    <w:p w14:paraId="4A81761C" w14:textId="77777777" w:rsidR="00AA3184" w:rsidRPr="007E4DA1" w:rsidRDefault="00AA3184" w:rsidP="00DE1596">
      <w:pPr>
        <w:rPr>
          <w:color w:val="000000" w:themeColor="text1"/>
        </w:rPr>
      </w:pPr>
    </w:p>
    <w:p w14:paraId="25BD6507" w14:textId="77777777" w:rsidR="00041A08" w:rsidRPr="00041A08" w:rsidRDefault="00A350DA" w:rsidP="00DE1596">
      <w:pPr>
        <w:pBdr>
          <w:top w:val="single" w:sz="4" w:space="1" w:color="auto"/>
          <w:left w:val="single" w:sz="4" w:space="1" w:color="auto"/>
          <w:bottom w:val="single" w:sz="4" w:space="1" w:color="auto"/>
          <w:right w:val="single" w:sz="4" w:space="1" w:color="auto"/>
        </w:pBdr>
        <w:rPr>
          <w:color w:val="000000" w:themeColor="text1"/>
        </w:rPr>
      </w:pPr>
      <w:r w:rsidRPr="007E4DA1">
        <w:rPr>
          <w:b/>
          <w:color w:val="000000" w:themeColor="text1"/>
        </w:rPr>
        <w:t xml:space="preserve">INFORMACJE ZAMIESZCZANE NA </w:t>
      </w:r>
      <w:r w:rsidR="00E46C4D" w:rsidRPr="007E4DA1">
        <w:rPr>
          <w:b/>
          <w:color w:val="000000" w:themeColor="text1"/>
        </w:rPr>
        <w:t>OPAKOWANIACH POŚREDNICH</w:t>
      </w:r>
    </w:p>
    <w:p w14:paraId="18BB64E2" w14:textId="409EC376" w:rsidR="00A350DA" w:rsidRPr="007E4DA1" w:rsidRDefault="00A350DA" w:rsidP="00DE1596">
      <w:pPr>
        <w:pBdr>
          <w:top w:val="single" w:sz="4" w:space="1" w:color="auto"/>
          <w:left w:val="single" w:sz="4" w:space="1" w:color="auto"/>
          <w:bottom w:val="single" w:sz="4" w:space="1" w:color="auto"/>
          <w:right w:val="single" w:sz="4" w:space="1" w:color="auto"/>
        </w:pBdr>
      </w:pPr>
    </w:p>
    <w:p w14:paraId="4DBFB139" w14:textId="77777777" w:rsidR="00041A08" w:rsidRPr="00041A08" w:rsidRDefault="00A350DA" w:rsidP="00DE1596">
      <w:pPr>
        <w:pBdr>
          <w:top w:val="single" w:sz="4" w:space="1" w:color="auto"/>
          <w:left w:val="single" w:sz="4" w:space="1" w:color="auto"/>
          <w:bottom w:val="single" w:sz="4" w:space="1" w:color="auto"/>
          <w:right w:val="single" w:sz="4" w:space="1" w:color="auto"/>
        </w:pBdr>
        <w:ind w:left="0" w:firstLine="0"/>
      </w:pPr>
      <w:r w:rsidRPr="007E4DA1">
        <w:rPr>
          <w:b/>
          <w:bCs/>
        </w:rPr>
        <w:t xml:space="preserve">Opakowanie zbiorcze zawierające </w:t>
      </w:r>
      <w:r w:rsidRPr="007E4DA1">
        <w:rPr>
          <w:b/>
        </w:rPr>
        <w:t xml:space="preserve">84 tabletki powlekane </w:t>
      </w:r>
      <w:r w:rsidRPr="007E4DA1">
        <w:rPr>
          <w:b/>
          <w:bCs/>
        </w:rPr>
        <w:t>(3 opakowania po 28)</w:t>
      </w:r>
      <w:r w:rsidRPr="007E4DA1">
        <w:rPr>
          <w:b/>
        </w:rPr>
        <w:t xml:space="preserve"> </w:t>
      </w:r>
      <w:r w:rsidRPr="007E4DA1">
        <w:rPr>
          <w:b/>
          <w:bCs/>
        </w:rPr>
        <w:t>– bez blue box – 50</w:t>
      </w:r>
      <w:r w:rsidR="00DB76DE" w:rsidRPr="007E4DA1">
        <w:rPr>
          <w:b/>
          <w:bCs/>
        </w:rPr>
        <w:t> </w:t>
      </w:r>
      <w:r w:rsidRPr="007E4DA1">
        <w:rPr>
          <w:b/>
          <w:bCs/>
        </w:rPr>
        <w:t>mg tabletki powlekane</w:t>
      </w:r>
    </w:p>
    <w:p w14:paraId="43A33AC9" w14:textId="6DD98B3E" w:rsidR="00A350DA" w:rsidRPr="007E4DA1" w:rsidRDefault="00A350DA" w:rsidP="00DE1596"/>
    <w:p w14:paraId="6812FAD2" w14:textId="77777777" w:rsidR="00A350DA" w:rsidRPr="007E4DA1" w:rsidRDefault="00A350DA" w:rsidP="00DE1596"/>
    <w:p w14:paraId="412CFFAB"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1.</w:t>
      </w:r>
      <w:r w:rsidRPr="007E4DA1">
        <w:rPr>
          <w:b/>
          <w:lang w:eastAsia="en-US"/>
        </w:rPr>
        <w:tab/>
        <w:t>NAZWA PRODUKTU LECZNICZEGO</w:t>
      </w:r>
    </w:p>
    <w:p w14:paraId="5313FB01" w14:textId="4DFEC088" w:rsidR="00A350DA" w:rsidRPr="007E4DA1" w:rsidRDefault="00A350DA" w:rsidP="00DE1596"/>
    <w:p w14:paraId="40914681" w14:textId="77777777" w:rsidR="00A350DA" w:rsidRPr="007E4DA1" w:rsidRDefault="00A350DA" w:rsidP="00DE1596">
      <w:r w:rsidRPr="007E4DA1">
        <w:t>Revolade 50 mg tabletki powlekane</w:t>
      </w:r>
    </w:p>
    <w:p w14:paraId="204AA758" w14:textId="77777777" w:rsidR="00410505" w:rsidRPr="007E4DA1" w:rsidRDefault="00410505" w:rsidP="00DE1596"/>
    <w:p w14:paraId="6B02A4B2" w14:textId="77777777" w:rsidR="00A350DA" w:rsidRPr="007E4DA1" w:rsidRDefault="00A350DA" w:rsidP="00DE1596">
      <w:r w:rsidRPr="007E4DA1">
        <w:t>eltrombopag</w:t>
      </w:r>
    </w:p>
    <w:p w14:paraId="5F7536AD" w14:textId="77777777" w:rsidR="00A350DA" w:rsidRPr="007E4DA1" w:rsidRDefault="00A350DA" w:rsidP="00DE1596"/>
    <w:p w14:paraId="2EBF67FC" w14:textId="77777777" w:rsidR="00A350DA" w:rsidRPr="007E4DA1" w:rsidRDefault="00A350DA" w:rsidP="00DE1596"/>
    <w:p w14:paraId="50DEBBE3"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lang w:eastAsia="en-US"/>
        </w:rPr>
        <w:t>2.</w:t>
      </w:r>
      <w:r w:rsidRPr="007E4DA1">
        <w:rPr>
          <w:b/>
          <w:lang w:eastAsia="en-US"/>
        </w:rPr>
        <w:tab/>
        <w:t>ZAWARTOŚĆ SUBSTANCJI CZYNNEJ</w:t>
      </w:r>
    </w:p>
    <w:p w14:paraId="5ADABE40" w14:textId="765909ED" w:rsidR="00A350DA" w:rsidRPr="007E4DA1" w:rsidRDefault="00A350DA" w:rsidP="00DE1596"/>
    <w:p w14:paraId="14C17BF7" w14:textId="77777777" w:rsidR="00A350DA" w:rsidRPr="007E4DA1" w:rsidRDefault="00A350DA" w:rsidP="00DE1596">
      <w:pPr>
        <w:ind w:left="0" w:firstLine="0"/>
      </w:pPr>
      <w:r w:rsidRPr="007E4DA1">
        <w:t>Każda tabletka powlekana zawiera eltrombopag z olaminą w ilości odpowiadającej 50 mg eltrombopagu.</w:t>
      </w:r>
    </w:p>
    <w:p w14:paraId="5DBD647B" w14:textId="77777777" w:rsidR="00A350DA" w:rsidRPr="007E4DA1" w:rsidRDefault="00A350DA" w:rsidP="00DE1596"/>
    <w:p w14:paraId="45C4B3E6" w14:textId="77777777" w:rsidR="00A350DA" w:rsidRPr="007E4DA1" w:rsidRDefault="00A350DA" w:rsidP="00DE1596"/>
    <w:p w14:paraId="659568E6" w14:textId="77777777" w:rsidR="00041A08" w:rsidRPr="00041A08" w:rsidRDefault="00A350DA" w:rsidP="00DE1596">
      <w:pPr>
        <w:pBdr>
          <w:top w:val="single" w:sz="4" w:space="1" w:color="auto"/>
          <w:left w:val="single" w:sz="4" w:space="4" w:color="auto"/>
          <w:bottom w:val="single" w:sz="4" w:space="2" w:color="auto"/>
          <w:right w:val="single" w:sz="4" w:space="4" w:color="auto"/>
        </w:pBdr>
        <w:tabs>
          <w:tab w:val="left" w:pos="142"/>
        </w:tabs>
        <w:rPr>
          <w:lang w:eastAsia="en-US"/>
        </w:rPr>
      </w:pPr>
      <w:r w:rsidRPr="007E4DA1">
        <w:rPr>
          <w:b/>
          <w:lang w:eastAsia="en-US"/>
        </w:rPr>
        <w:t>3.</w:t>
      </w:r>
      <w:r w:rsidRPr="007E4DA1">
        <w:rPr>
          <w:b/>
          <w:lang w:eastAsia="en-US"/>
        </w:rPr>
        <w:tab/>
        <w:t>WYKAZ SUBSTANCJI POMOCNICZYCH</w:t>
      </w:r>
    </w:p>
    <w:p w14:paraId="108D6DFA" w14:textId="0BDAD7CC" w:rsidR="00A350DA" w:rsidRPr="007E4DA1" w:rsidRDefault="00A350DA" w:rsidP="00DE1596"/>
    <w:p w14:paraId="1CC0B97C" w14:textId="77777777" w:rsidR="00A350DA" w:rsidRPr="007E4DA1" w:rsidRDefault="00A350DA" w:rsidP="00DE1596"/>
    <w:p w14:paraId="2EDE0A83"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4.</w:t>
      </w:r>
      <w:r w:rsidRPr="007E4DA1">
        <w:rPr>
          <w:b/>
          <w:lang w:eastAsia="en-US"/>
        </w:rPr>
        <w:tab/>
        <w:t>POSTAĆ FARMACEUTYCZNA I ZAWARTOŚĆ OPAKOWANIA</w:t>
      </w:r>
    </w:p>
    <w:p w14:paraId="7D08CFDE" w14:textId="2FE63DCF" w:rsidR="00A350DA" w:rsidRPr="007E4DA1" w:rsidRDefault="00A350DA" w:rsidP="00DE1596">
      <w:pPr>
        <w:rPr>
          <w:bCs/>
        </w:rPr>
      </w:pPr>
    </w:p>
    <w:p w14:paraId="561B6185" w14:textId="77777777" w:rsidR="00A350DA" w:rsidRPr="007E4DA1" w:rsidRDefault="00A350DA" w:rsidP="00DE1596">
      <w:pPr>
        <w:rPr>
          <w:shd w:val="clear" w:color="auto" w:fill="CCCCCC"/>
        </w:rPr>
      </w:pPr>
      <w:r w:rsidRPr="007E4DA1">
        <w:t>28</w:t>
      </w:r>
      <w:r w:rsidR="0002695F" w:rsidRPr="007E4DA1">
        <w:t> </w:t>
      </w:r>
      <w:r w:rsidRPr="007E4DA1">
        <w:t>tabletek powlekanych. Składnik opakowania zbiorczego, nie może być sprzedawany oddzielnie.</w:t>
      </w:r>
    </w:p>
    <w:p w14:paraId="73791E7A" w14:textId="77777777" w:rsidR="00A350DA" w:rsidRPr="007E4DA1" w:rsidRDefault="00A350DA" w:rsidP="00DE1596"/>
    <w:p w14:paraId="0893357F" w14:textId="77777777" w:rsidR="00A350DA" w:rsidRPr="007E4DA1" w:rsidRDefault="00A350DA" w:rsidP="00DE1596">
      <w:pPr>
        <w:rPr>
          <w:bCs/>
        </w:rPr>
      </w:pPr>
    </w:p>
    <w:p w14:paraId="76A1E51D"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5.</w:t>
      </w:r>
      <w:r w:rsidRPr="007E4DA1">
        <w:rPr>
          <w:b/>
          <w:lang w:eastAsia="en-US"/>
        </w:rPr>
        <w:tab/>
        <w:t>SPOSÓB I DROGA PODANIA</w:t>
      </w:r>
    </w:p>
    <w:p w14:paraId="1E4B79EB" w14:textId="1746150A" w:rsidR="00A350DA" w:rsidRPr="007E4DA1" w:rsidRDefault="00A350DA" w:rsidP="00DE1596"/>
    <w:p w14:paraId="5090F713" w14:textId="77777777" w:rsidR="00A350DA" w:rsidRPr="007E4DA1" w:rsidRDefault="00A350DA" w:rsidP="00DE1596">
      <w:r w:rsidRPr="007E4DA1">
        <w:t>Należy zapoznać się z treścią ulotki przed zastosowaniem leku.</w:t>
      </w:r>
      <w:r w:rsidR="008C0A82" w:rsidRPr="007E4DA1">
        <w:t xml:space="preserve"> </w:t>
      </w:r>
      <w:r w:rsidRPr="007E4DA1">
        <w:t>Podanie doustne.</w:t>
      </w:r>
    </w:p>
    <w:p w14:paraId="64637169" w14:textId="77777777" w:rsidR="00A350DA" w:rsidRPr="007E4DA1" w:rsidRDefault="00A350DA" w:rsidP="00DE1596"/>
    <w:p w14:paraId="5602BD5B" w14:textId="77777777" w:rsidR="00A350DA" w:rsidRPr="007E4DA1" w:rsidRDefault="00A350DA" w:rsidP="00DE1596"/>
    <w:p w14:paraId="09D0A81E"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lang w:eastAsia="en-US"/>
        </w:rPr>
        <w:t>6.</w:t>
      </w:r>
      <w:r w:rsidRPr="007E4DA1">
        <w:rPr>
          <w:b/>
          <w:lang w:eastAsia="en-US"/>
        </w:rPr>
        <w:tab/>
        <w:t xml:space="preserve">OSTRZEŻENIE DOTYCZĄCE PRZECHOWYWANIA PRODUKTU LECZNICZEGO W MIEJSCU </w:t>
      </w:r>
      <w:r w:rsidRPr="007E4DA1">
        <w:rPr>
          <w:b/>
        </w:rPr>
        <w:t xml:space="preserve">NIEWIDOCZNYM I </w:t>
      </w:r>
      <w:r w:rsidRPr="007E4DA1">
        <w:rPr>
          <w:b/>
          <w:lang w:eastAsia="en-US"/>
        </w:rPr>
        <w:t>NIEDOSTĘPNYM</w:t>
      </w:r>
      <w:r w:rsidRPr="007E4DA1">
        <w:rPr>
          <w:b/>
        </w:rPr>
        <w:t xml:space="preserve"> DLA DZIECI</w:t>
      </w:r>
    </w:p>
    <w:p w14:paraId="77102A3E" w14:textId="3BDF8A7D" w:rsidR="00A350DA" w:rsidRPr="007E4DA1" w:rsidRDefault="00A350DA" w:rsidP="00DE1596"/>
    <w:p w14:paraId="423191E5" w14:textId="77777777" w:rsidR="00A350DA" w:rsidRPr="007E4DA1" w:rsidRDefault="00A350DA" w:rsidP="00DE1596">
      <w:r w:rsidRPr="007E4DA1">
        <w:t>Lek przechowywać w miejscu niewidocznym i niedostępnym dla dzieci.</w:t>
      </w:r>
    </w:p>
    <w:p w14:paraId="02B6E453" w14:textId="77777777" w:rsidR="00A350DA" w:rsidRPr="007E4DA1" w:rsidRDefault="00A350DA" w:rsidP="00DE1596"/>
    <w:p w14:paraId="3D61E75E" w14:textId="77777777" w:rsidR="00A350DA" w:rsidRPr="007E4DA1" w:rsidRDefault="00A350DA" w:rsidP="00DE1596"/>
    <w:p w14:paraId="172F2036"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7.</w:t>
      </w:r>
      <w:r w:rsidRPr="007E4DA1">
        <w:rPr>
          <w:b/>
        </w:rPr>
        <w:tab/>
        <w:t>INNE OSTRZEŻENIA SPECJALNE, JEŚLI KONIECZNE</w:t>
      </w:r>
    </w:p>
    <w:p w14:paraId="48012C03" w14:textId="24CE3E0C" w:rsidR="00A350DA" w:rsidRPr="007E4DA1" w:rsidRDefault="00A350DA" w:rsidP="00DE1596"/>
    <w:p w14:paraId="7002561D" w14:textId="77777777" w:rsidR="00A350DA" w:rsidRPr="007E4DA1" w:rsidRDefault="00A350DA" w:rsidP="00DE1596"/>
    <w:p w14:paraId="6A8AB969"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8.</w:t>
      </w:r>
      <w:r w:rsidRPr="007E4DA1">
        <w:rPr>
          <w:b/>
        </w:rPr>
        <w:tab/>
        <w:t>T</w:t>
      </w:r>
      <w:smartTag w:uri="schemas-GSKSiteLocations-com/fourthcoffee" w:element="flavor">
        <w:r w:rsidRPr="007E4DA1">
          <w:rPr>
            <w:b/>
          </w:rPr>
          <w:t>ERM</w:t>
        </w:r>
      </w:smartTag>
      <w:r w:rsidRPr="007E4DA1">
        <w:rPr>
          <w:b/>
        </w:rPr>
        <w:t>IN WAŻNOŚCI</w:t>
      </w:r>
    </w:p>
    <w:p w14:paraId="577252A5" w14:textId="05F386E5" w:rsidR="00A350DA" w:rsidRPr="007E4DA1" w:rsidRDefault="00A350DA" w:rsidP="00DE1596"/>
    <w:p w14:paraId="57D97BAD" w14:textId="638BCB38" w:rsidR="00A350DA" w:rsidRPr="007E4DA1" w:rsidRDefault="00A350DA" w:rsidP="00DE1596">
      <w:r w:rsidRPr="007E4DA1">
        <w:t>Termin ważności:</w:t>
      </w:r>
    </w:p>
    <w:p w14:paraId="4D6A7FBA" w14:textId="77777777" w:rsidR="00A350DA" w:rsidRPr="007E4DA1" w:rsidRDefault="00A350DA" w:rsidP="00DE1596"/>
    <w:p w14:paraId="09B2E149" w14:textId="77777777" w:rsidR="00A350DA" w:rsidRPr="007E4DA1" w:rsidRDefault="00A350DA" w:rsidP="00DE1596"/>
    <w:p w14:paraId="4BF94E4B" w14:textId="77777777" w:rsidR="00041A08" w:rsidRPr="00041A08" w:rsidRDefault="00A350DA" w:rsidP="00DE1596">
      <w:pPr>
        <w:keepNext/>
        <w:pBdr>
          <w:top w:val="single" w:sz="4" w:space="1" w:color="auto"/>
          <w:left w:val="single" w:sz="4" w:space="4" w:color="auto"/>
          <w:bottom w:val="single" w:sz="4" w:space="1" w:color="auto"/>
          <w:right w:val="single" w:sz="4" w:space="4" w:color="auto"/>
        </w:pBdr>
        <w:tabs>
          <w:tab w:val="left" w:pos="142"/>
        </w:tabs>
      </w:pPr>
      <w:r w:rsidRPr="007E4DA1">
        <w:rPr>
          <w:b/>
        </w:rPr>
        <w:t>9.</w:t>
      </w:r>
      <w:r w:rsidRPr="007E4DA1">
        <w:rPr>
          <w:b/>
        </w:rPr>
        <w:tab/>
        <w:t>WARUNKI PRZECHOWYWANIA</w:t>
      </w:r>
    </w:p>
    <w:p w14:paraId="7F350334" w14:textId="66F7D027" w:rsidR="00A350DA" w:rsidRPr="007E4DA1" w:rsidRDefault="00A350DA" w:rsidP="00DE1596">
      <w:pPr>
        <w:keepNext/>
        <w:tabs>
          <w:tab w:val="left" w:pos="720"/>
        </w:tabs>
      </w:pPr>
    </w:p>
    <w:p w14:paraId="2FC8EED5" w14:textId="77777777" w:rsidR="00A350DA" w:rsidRPr="007E4DA1" w:rsidRDefault="00A350DA" w:rsidP="00DE1596">
      <w:pPr>
        <w:tabs>
          <w:tab w:val="left" w:pos="720"/>
        </w:tabs>
      </w:pPr>
    </w:p>
    <w:p w14:paraId="70DEB083" w14:textId="77777777" w:rsidR="00041A08" w:rsidRPr="00041A08" w:rsidRDefault="00A350DA" w:rsidP="00DE1596">
      <w:pPr>
        <w:keepNext/>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10.</w:t>
      </w:r>
      <w:r w:rsidRPr="007E4DA1">
        <w:rPr>
          <w:b/>
          <w:lang w:eastAsia="en-US"/>
        </w:rPr>
        <w:tab/>
        <w:t xml:space="preserve">SPECJALNE ŚRODKI OSTROŻNOŚCI DOTYCZĄCE USUWANIA NIEZUŻYTEGO PRODUKTU LECZNICZEGO </w:t>
      </w:r>
      <w:smartTag w:uri="urn:schemas-microsoft-com:office:smarttags" w:element="stockticker">
        <w:r w:rsidRPr="007E4DA1">
          <w:rPr>
            <w:b/>
            <w:lang w:eastAsia="en-US"/>
          </w:rPr>
          <w:t>LUB</w:t>
        </w:r>
      </w:smartTag>
      <w:r w:rsidRPr="007E4DA1">
        <w:rPr>
          <w:b/>
          <w:lang w:eastAsia="en-US"/>
        </w:rPr>
        <w:t xml:space="preserve"> POCHODZĄCYCH Z NIEGO ODPADÓW, JEŚLI WŁAŚCIWE</w:t>
      </w:r>
    </w:p>
    <w:p w14:paraId="0C26FB01" w14:textId="363D8331" w:rsidR="00A350DA" w:rsidRPr="007E4DA1" w:rsidRDefault="00A350DA" w:rsidP="00DE1596">
      <w:pPr>
        <w:keepNext/>
        <w:tabs>
          <w:tab w:val="left" w:pos="720"/>
        </w:tabs>
      </w:pPr>
    </w:p>
    <w:p w14:paraId="4E78126E" w14:textId="77777777" w:rsidR="00A350DA" w:rsidRPr="007E4DA1" w:rsidRDefault="00A350DA" w:rsidP="00DE1596">
      <w:pPr>
        <w:tabs>
          <w:tab w:val="left" w:pos="720"/>
        </w:tabs>
      </w:pPr>
    </w:p>
    <w:p w14:paraId="20ABF8D9"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lang w:eastAsia="en-US"/>
        </w:rPr>
        <w:t>11.</w:t>
      </w:r>
      <w:r w:rsidRPr="007E4DA1">
        <w:rPr>
          <w:b/>
          <w:lang w:eastAsia="en-US"/>
        </w:rPr>
        <w:tab/>
        <w:t>NAZWA</w:t>
      </w:r>
      <w:r w:rsidRPr="007E4DA1">
        <w:rPr>
          <w:b/>
        </w:rPr>
        <w:t xml:space="preserve"> I ADRES PODMIOTU OD</w:t>
      </w:r>
      <w:smartTag w:uri="schemas-GSKSiteLocations-com/fourthcoffee" w:element="flavor">
        <w:r w:rsidRPr="007E4DA1">
          <w:rPr>
            <w:b/>
          </w:rPr>
          <w:t>POW</w:t>
        </w:r>
      </w:smartTag>
      <w:r w:rsidRPr="007E4DA1">
        <w:rPr>
          <w:b/>
        </w:rPr>
        <w:t>IEDZIALNEGO</w:t>
      </w:r>
    </w:p>
    <w:p w14:paraId="7F382AAF" w14:textId="2A2676E5" w:rsidR="00A350DA" w:rsidRPr="007E4DA1" w:rsidRDefault="00A350DA" w:rsidP="00DE1596">
      <w:pPr>
        <w:tabs>
          <w:tab w:val="left" w:pos="720"/>
        </w:tabs>
      </w:pPr>
    </w:p>
    <w:p w14:paraId="28CA79D5" w14:textId="77777777" w:rsidR="00A350DA" w:rsidRPr="007E4DA1" w:rsidRDefault="00A350DA" w:rsidP="00DE1596">
      <w:r w:rsidRPr="007E4DA1">
        <w:t>Novartis Europharm Limited</w:t>
      </w:r>
    </w:p>
    <w:p w14:paraId="7AB09666" w14:textId="77777777" w:rsidR="0091544F" w:rsidRPr="007E4DA1" w:rsidRDefault="0091544F" w:rsidP="00DE1596">
      <w:pPr>
        <w:keepNext/>
        <w:rPr>
          <w:color w:val="000000"/>
          <w:lang w:val="en-GB"/>
        </w:rPr>
      </w:pPr>
      <w:r w:rsidRPr="007E4DA1">
        <w:rPr>
          <w:color w:val="000000"/>
          <w:lang w:val="en-GB"/>
        </w:rPr>
        <w:t>Vista Building</w:t>
      </w:r>
    </w:p>
    <w:p w14:paraId="6386C5D5" w14:textId="77777777" w:rsidR="0091544F" w:rsidRPr="007E4DA1" w:rsidRDefault="0091544F" w:rsidP="00DE1596">
      <w:pPr>
        <w:keepNext/>
        <w:rPr>
          <w:color w:val="000000"/>
          <w:lang w:val="en-GB"/>
        </w:rPr>
      </w:pPr>
      <w:r w:rsidRPr="007E4DA1">
        <w:rPr>
          <w:color w:val="000000"/>
          <w:lang w:val="en-GB"/>
        </w:rPr>
        <w:t>Elm Park, Merrion Road</w:t>
      </w:r>
    </w:p>
    <w:p w14:paraId="4460631B" w14:textId="77777777" w:rsidR="0091544F" w:rsidRPr="007E4DA1" w:rsidRDefault="0091544F" w:rsidP="00DE1596">
      <w:pPr>
        <w:keepNext/>
        <w:rPr>
          <w:color w:val="000000"/>
        </w:rPr>
      </w:pPr>
      <w:r w:rsidRPr="007E4DA1">
        <w:rPr>
          <w:color w:val="000000"/>
        </w:rPr>
        <w:t>Dublin 4</w:t>
      </w:r>
    </w:p>
    <w:p w14:paraId="40C6DDC6" w14:textId="77777777" w:rsidR="00A350DA" w:rsidRPr="007E4DA1" w:rsidRDefault="0091544F" w:rsidP="00DE1596">
      <w:pPr>
        <w:tabs>
          <w:tab w:val="left" w:pos="720"/>
        </w:tabs>
      </w:pPr>
      <w:r w:rsidRPr="007E4DA1">
        <w:rPr>
          <w:color w:val="000000"/>
        </w:rPr>
        <w:t>Irlandia</w:t>
      </w:r>
    </w:p>
    <w:p w14:paraId="2836BC0A" w14:textId="77777777" w:rsidR="00A350DA" w:rsidRPr="007E4DA1" w:rsidRDefault="00A350DA" w:rsidP="00DE1596">
      <w:pPr>
        <w:tabs>
          <w:tab w:val="left" w:pos="720"/>
        </w:tabs>
      </w:pPr>
    </w:p>
    <w:p w14:paraId="56D88D92" w14:textId="77777777" w:rsidR="00A350DA" w:rsidRPr="007E4DA1" w:rsidRDefault="00A350DA" w:rsidP="00DE1596">
      <w:pPr>
        <w:tabs>
          <w:tab w:val="left" w:pos="720"/>
        </w:tabs>
      </w:pPr>
    </w:p>
    <w:p w14:paraId="592133C5"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12.</w:t>
      </w:r>
      <w:r w:rsidRPr="007E4DA1">
        <w:rPr>
          <w:b/>
        </w:rPr>
        <w:tab/>
        <w:t>NUMER POZWOLENIA NA DOPUSZCZENIE DO OBROTU</w:t>
      </w:r>
    </w:p>
    <w:p w14:paraId="60A1DAC1" w14:textId="00766584" w:rsidR="00A350DA" w:rsidRPr="007E4DA1" w:rsidRDefault="00A350DA" w:rsidP="00DE1596">
      <w:pPr>
        <w:tabs>
          <w:tab w:val="left" w:pos="720"/>
        </w:tabs>
      </w:pPr>
    </w:p>
    <w:p w14:paraId="3C520E48" w14:textId="77777777" w:rsidR="00A350DA" w:rsidRPr="007E4DA1" w:rsidRDefault="00A350DA" w:rsidP="00DE1596">
      <w:pPr>
        <w:rPr>
          <w:lang w:val="es-ES"/>
        </w:rPr>
      </w:pPr>
      <w:r w:rsidRPr="007E4DA1">
        <w:rPr>
          <w:lang w:val="es-ES"/>
        </w:rPr>
        <w:t>EU/1/10/612/006</w:t>
      </w:r>
    </w:p>
    <w:p w14:paraId="32FAB6C6" w14:textId="77777777" w:rsidR="00A350DA" w:rsidRPr="007E4DA1" w:rsidRDefault="00A350DA" w:rsidP="00DE1596">
      <w:pPr>
        <w:tabs>
          <w:tab w:val="left" w:pos="720"/>
        </w:tabs>
        <w:rPr>
          <w:lang w:val="es-ES"/>
        </w:rPr>
      </w:pPr>
    </w:p>
    <w:p w14:paraId="5742A2DE" w14:textId="77777777" w:rsidR="00A350DA" w:rsidRPr="007E4DA1" w:rsidRDefault="00A350DA" w:rsidP="00DE1596">
      <w:pPr>
        <w:tabs>
          <w:tab w:val="left" w:pos="720"/>
        </w:tabs>
        <w:rPr>
          <w:lang w:val="es-ES"/>
        </w:rPr>
      </w:pPr>
    </w:p>
    <w:p w14:paraId="51B439FD"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rPr>
          <w:lang w:val="es-ES"/>
        </w:rPr>
      </w:pPr>
      <w:r w:rsidRPr="007E4DA1">
        <w:rPr>
          <w:b/>
          <w:lang w:val="es-ES"/>
        </w:rPr>
        <w:t>13.</w:t>
      </w:r>
      <w:r w:rsidRPr="007E4DA1">
        <w:rPr>
          <w:b/>
          <w:lang w:val="es-ES"/>
        </w:rPr>
        <w:tab/>
        <w:t>NUMER SERII</w:t>
      </w:r>
    </w:p>
    <w:p w14:paraId="69BD9CDC" w14:textId="69CBFCF5" w:rsidR="00A350DA" w:rsidRPr="007E4DA1" w:rsidRDefault="00A350DA" w:rsidP="00DE1596">
      <w:pPr>
        <w:tabs>
          <w:tab w:val="left" w:pos="720"/>
        </w:tabs>
        <w:rPr>
          <w:lang w:val="es-ES"/>
        </w:rPr>
      </w:pPr>
    </w:p>
    <w:p w14:paraId="2A379404" w14:textId="6F584667" w:rsidR="00A350DA" w:rsidRPr="007E4DA1" w:rsidRDefault="00DC7A8F" w:rsidP="00DE1596">
      <w:pPr>
        <w:tabs>
          <w:tab w:val="left" w:pos="720"/>
        </w:tabs>
        <w:rPr>
          <w:lang w:val="es-ES"/>
        </w:rPr>
      </w:pPr>
      <w:proofErr w:type="spellStart"/>
      <w:r w:rsidRPr="007E4DA1">
        <w:rPr>
          <w:lang w:val="es-ES"/>
        </w:rPr>
        <w:t>Nr</w:t>
      </w:r>
      <w:proofErr w:type="spellEnd"/>
      <w:r w:rsidRPr="007E4DA1">
        <w:rPr>
          <w:lang w:val="es-ES"/>
        </w:rPr>
        <w:t xml:space="preserve"> </w:t>
      </w:r>
      <w:proofErr w:type="spellStart"/>
      <w:r w:rsidR="00A350DA" w:rsidRPr="007E4DA1">
        <w:rPr>
          <w:lang w:val="es-ES"/>
        </w:rPr>
        <w:t>serii</w:t>
      </w:r>
      <w:proofErr w:type="spellEnd"/>
      <w:r w:rsidR="00A350DA" w:rsidRPr="007E4DA1">
        <w:rPr>
          <w:lang w:val="es-ES"/>
        </w:rPr>
        <w:t>:</w:t>
      </w:r>
    </w:p>
    <w:p w14:paraId="31362D1A" w14:textId="77777777" w:rsidR="00A350DA" w:rsidRPr="007E4DA1" w:rsidRDefault="00A350DA" w:rsidP="00DE1596">
      <w:pPr>
        <w:tabs>
          <w:tab w:val="left" w:pos="720"/>
        </w:tabs>
        <w:rPr>
          <w:lang w:val="es-ES"/>
        </w:rPr>
      </w:pPr>
    </w:p>
    <w:p w14:paraId="066D1B83" w14:textId="77777777" w:rsidR="00A350DA" w:rsidRPr="007E4DA1" w:rsidRDefault="00A350DA" w:rsidP="00DE1596">
      <w:pPr>
        <w:tabs>
          <w:tab w:val="left" w:pos="720"/>
        </w:tabs>
        <w:rPr>
          <w:lang w:val="es-ES"/>
        </w:rPr>
      </w:pPr>
    </w:p>
    <w:p w14:paraId="43B191F0"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14.</w:t>
      </w:r>
      <w:r w:rsidRPr="007E4DA1">
        <w:rPr>
          <w:b/>
        </w:rPr>
        <w:tab/>
        <w:t>OGÓLNA KATEGORIA DOSTĘPNOŚCI</w:t>
      </w:r>
    </w:p>
    <w:p w14:paraId="7DB54C7C" w14:textId="0A2189D6" w:rsidR="00A350DA" w:rsidRPr="007E4DA1" w:rsidRDefault="00A350DA" w:rsidP="00DE1596">
      <w:pPr>
        <w:tabs>
          <w:tab w:val="left" w:pos="720"/>
        </w:tabs>
      </w:pPr>
    </w:p>
    <w:p w14:paraId="2F4435BF" w14:textId="77777777" w:rsidR="00A350DA" w:rsidRPr="007E4DA1" w:rsidRDefault="00A350DA" w:rsidP="00DE1596">
      <w:pPr>
        <w:tabs>
          <w:tab w:val="left" w:pos="720"/>
        </w:tabs>
      </w:pPr>
    </w:p>
    <w:p w14:paraId="25620595"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15.</w:t>
      </w:r>
      <w:r w:rsidRPr="007E4DA1">
        <w:rPr>
          <w:b/>
        </w:rPr>
        <w:tab/>
        <w:t>INSTRUKCJA UŻYCIA</w:t>
      </w:r>
    </w:p>
    <w:p w14:paraId="21FF2970" w14:textId="0E386AB3" w:rsidR="00A350DA" w:rsidRPr="007E4DA1" w:rsidRDefault="00A350DA" w:rsidP="00DE1596">
      <w:pPr>
        <w:tabs>
          <w:tab w:val="left" w:pos="720"/>
        </w:tabs>
      </w:pPr>
    </w:p>
    <w:p w14:paraId="54E567E8" w14:textId="77777777" w:rsidR="00A350DA" w:rsidRPr="007E4DA1" w:rsidRDefault="00A350DA" w:rsidP="00DE1596">
      <w:pPr>
        <w:tabs>
          <w:tab w:val="left" w:pos="720"/>
        </w:tabs>
      </w:pPr>
    </w:p>
    <w:p w14:paraId="7FD00E49"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720"/>
        </w:tabs>
      </w:pPr>
      <w:r w:rsidRPr="007E4DA1">
        <w:rPr>
          <w:b/>
        </w:rPr>
        <w:t>16.</w:t>
      </w:r>
      <w:r w:rsidRPr="007E4DA1">
        <w:rPr>
          <w:b/>
        </w:rPr>
        <w:tab/>
        <w:t>INFORMACJA PODANA SYSTEMEM BRAILLE’A</w:t>
      </w:r>
    </w:p>
    <w:p w14:paraId="6BC11302" w14:textId="77777777" w:rsidR="00A350DA" w:rsidRPr="007E4DA1" w:rsidRDefault="00A350DA" w:rsidP="00DE1596">
      <w:pPr>
        <w:tabs>
          <w:tab w:val="left" w:pos="720"/>
        </w:tabs>
      </w:pPr>
    </w:p>
    <w:p w14:paraId="690323BE" w14:textId="77777777" w:rsidR="00A350DA" w:rsidRPr="007E4DA1" w:rsidRDefault="00A350DA" w:rsidP="00DE1596">
      <w:pPr>
        <w:tabs>
          <w:tab w:val="left" w:pos="720"/>
        </w:tabs>
      </w:pPr>
      <w:r w:rsidRPr="007E4DA1">
        <w:t>revolade 50 mg</w:t>
      </w:r>
    </w:p>
    <w:p w14:paraId="387F1F25" w14:textId="77777777" w:rsidR="00A350DA" w:rsidRPr="007E4DA1" w:rsidRDefault="00A350DA" w:rsidP="00DE1596">
      <w:pPr>
        <w:tabs>
          <w:tab w:val="left" w:pos="720"/>
        </w:tabs>
      </w:pPr>
    </w:p>
    <w:p w14:paraId="7FDA903A" w14:textId="77777777" w:rsidR="00A350DA" w:rsidRPr="007E4DA1" w:rsidRDefault="00A350DA" w:rsidP="00DE1596">
      <w:pPr>
        <w:tabs>
          <w:tab w:val="left" w:pos="720"/>
        </w:tabs>
      </w:pPr>
      <w:r w:rsidRPr="007E4DA1">
        <w:br w:type="page"/>
      </w:r>
    </w:p>
    <w:p w14:paraId="7EDBED57" w14:textId="77777777" w:rsidR="00AA3184" w:rsidRPr="007E4DA1" w:rsidRDefault="00AA3184" w:rsidP="00DE1596">
      <w:pPr>
        <w:tabs>
          <w:tab w:val="left" w:pos="720"/>
        </w:tabs>
        <w:ind w:left="0" w:firstLine="0"/>
      </w:pPr>
    </w:p>
    <w:p w14:paraId="2099556D"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720"/>
        </w:tabs>
        <w:ind w:left="0" w:firstLine="0"/>
      </w:pPr>
      <w:r w:rsidRPr="007E4DA1">
        <w:rPr>
          <w:b/>
        </w:rPr>
        <w:t xml:space="preserve">MINIMUM INFORMACJI ZAMIESZCZANYCH NA BLISTRACH </w:t>
      </w:r>
      <w:smartTag w:uri="urn:schemas-microsoft-com:office:smarttags" w:element="stockticker">
        <w:r w:rsidRPr="007E4DA1">
          <w:rPr>
            <w:b/>
          </w:rPr>
          <w:t>LUB</w:t>
        </w:r>
      </w:smartTag>
      <w:r w:rsidRPr="007E4DA1">
        <w:rPr>
          <w:b/>
        </w:rPr>
        <w:t xml:space="preserve"> OPAKOWANIACH FOLIOWYCH</w:t>
      </w:r>
    </w:p>
    <w:p w14:paraId="199513DE" w14:textId="3C7CF394" w:rsidR="00A350DA" w:rsidRPr="007E4DA1" w:rsidRDefault="00A350DA" w:rsidP="00DE1596">
      <w:pPr>
        <w:pBdr>
          <w:top w:val="single" w:sz="4" w:space="1" w:color="auto"/>
          <w:left w:val="single" w:sz="4" w:space="4" w:color="auto"/>
          <w:bottom w:val="single" w:sz="4" w:space="1" w:color="auto"/>
          <w:right w:val="single" w:sz="4" w:space="4" w:color="auto"/>
        </w:pBdr>
        <w:tabs>
          <w:tab w:val="left" w:pos="720"/>
        </w:tabs>
        <w:ind w:left="0" w:firstLine="0"/>
      </w:pPr>
    </w:p>
    <w:p w14:paraId="7CE8579F"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720"/>
        </w:tabs>
        <w:ind w:left="0" w:firstLine="0"/>
      </w:pPr>
      <w:r w:rsidRPr="007E4DA1">
        <w:rPr>
          <w:b/>
          <w:bCs/>
        </w:rPr>
        <w:t>Blister</w:t>
      </w:r>
    </w:p>
    <w:p w14:paraId="20A774CA" w14:textId="356EF636" w:rsidR="00A350DA" w:rsidRPr="007E4DA1" w:rsidRDefault="00A350DA" w:rsidP="00DE1596">
      <w:pPr>
        <w:tabs>
          <w:tab w:val="left" w:pos="720"/>
        </w:tabs>
      </w:pPr>
    </w:p>
    <w:p w14:paraId="53382D44" w14:textId="77777777" w:rsidR="00A350DA" w:rsidRPr="007E4DA1" w:rsidRDefault="00A350DA" w:rsidP="00DE1596">
      <w:pPr>
        <w:tabs>
          <w:tab w:val="left" w:pos="720"/>
        </w:tabs>
      </w:pPr>
    </w:p>
    <w:p w14:paraId="702A66E4"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1.</w:t>
      </w:r>
      <w:r w:rsidRPr="007E4DA1">
        <w:rPr>
          <w:b/>
        </w:rPr>
        <w:tab/>
        <w:t>NAZWA PRODUKTU LECZNICZEGO</w:t>
      </w:r>
    </w:p>
    <w:p w14:paraId="449237AA" w14:textId="78765F13" w:rsidR="00A350DA" w:rsidRPr="007E4DA1" w:rsidRDefault="00A350DA" w:rsidP="00DE1596"/>
    <w:p w14:paraId="386E484E" w14:textId="77777777" w:rsidR="00A350DA" w:rsidRPr="007E4DA1" w:rsidRDefault="00A350DA" w:rsidP="00DE1596">
      <w:r w:rsidRPr="007E4DA1">
        <w:t>Revolade 50 mg tabletki powlekane</w:t>
      </w:r>
    </w:p>
    <w:p w14:paraId="79D8A01D" w14:textId="77777777" w:rsidR="00410505" w:rsidRPr="007E4DA1" w:rsidRDefault="00410505" w:rsidP="00DE1596"/>
    <w:p w14:paraId="06837931" w14:textId="77777777" w:rsidR="00A350DA" w:rsidRPr="007E4DA1" w:rsidRDefault="00A350DA" w:rsidP="00DE1596">
      <w:r w:rsidRPr="007E4DA1">
        <w:t>eltrombopag</w:t>
      </w:r>
    </w:p>
    <w:p w14:paraId="7CCCFBA1" w14:textId="77777777" w:rsidR="00A350DA" w:rsidRPr="007E4DA1" w:rsidRDefault="00A350DA" w:rsidP="00DE1596">
      <w:pPr>
        <w:tabs>
          <w:tab w:val="left" w:pos="720"/>
        </w:tabs>
      </w:pPr>
    </w:p>
    <w:p w14:paraId="5EDE3D7B" w14:textId="77777777" w:rsidR="00A350DA" w:rsidRPr="007E4DA1" w:rsidRDefault="00A350DA" w:rsidP="00DE1596">
      <w:pPr>
        <w:tabs>
          <w:tab w:val="left" w:pos="720"/>
        </w:tabs>
      </w:pPr>
    </w:p>
    <w:p w14:paraId="73DA3D45"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2.</w:t>
      </w:r>
      <w:r w:rsidRPr="007E4DA1">
        <w:rPr>
          <w:b/>
        </w:rPr>
        <w:tab/>
        <w:t>NAZWA PODMIOTU OD</w:t>
      </w:r>
      <w:smartTag w:uri="schemas-GSKSiteLocations-com/fourthcoffee" w:element="flavor">
        <w:r w:rsidRPr="007E4DA1">
          <w:rPr>
            <w:b/>
          </w:rPr>
          <w:t>POW</w:t>
        </w:r>
      </w:smartTag>
      <w:r w:rsidRPr="007E4DA1">
        <w:rPr>
          <w:b/>
        </w:rPr>
        <w:t>IEDZIALNEGO</w:t>
      </w:r>
    </w:p>
    <w:p w14:paraId="306F486B" w14:textId="25BA36EF" w:rsidR="00A350DA" w:rsidRPr="007E4DA1" w:rsidRDefault="00A350DA" w:rsidP="00DE1596">
      <w:pPr>
        <w:tabs>
          <w:tab w:val="left" w:pos="720"/>
        </w:tabs>
      </w:pPr>
    </w:p>
    <w:p w14:paraId="3839F0C9" w14:textId="77777777" w:rsidR="00A350DA" w:rsidRPr="007E4DA1" w:rsidRDefault="00A350DA" w:rsidP="00DE1596">
      <w:r w:rsidRPr="007E4DA1">
        <w:t>Novartis Europharm Limited</w:t>
      </w:r>
    </w:p>
    <w:p w14:paraId="21D7268A" w14:textId="77777777" w:rsidR="00A350DA" w:rsidRPr="007E4DA1" w:rsidRDefault="00A350DA" w:rsidP="00DE1596">
      <w:pPr>
        <w:tabs>
          <w:tab w:val="left" w:pos="720"/>
        </w:tabs>
      </w:pPr>
    </w:p>
    <w:p w14:paraId="55EE359A" w14:textId="77777777" w:rsidR="00A350DA" w:rsidRPr="007E4DA1" w:rsidRDefault="00A350DA" w:rsidP="00DE1596">
      <w:pPr>
        <w:tabs>
          <w:tab w:val="left" w:pos="720"/>
        </w:tabs>
      </w:pPr>
    </w:p>
    <w:p w14:paraId="02E43D20"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3.</w:t>
      </w:r>
      <w:r w:rsidRPr="007E4DA1">
        <w:rPr>
          <w:b/>
        </w:rPr>
        <w:tab/>
        <w:t>T</w:t>
      </w:r>
      <w:smartTag w:uri="schemas-GSKSiteLocations-com/fourthcoffee" w:element="flavor">
        <w:r w:rsidRPr="007E4DA1">
          <w:rPr>
            <w:b/>
          </w:rPr>
          <w:t>ERM</w:t>
        </w:r>
      </w:smartTag>
      <w:r w:rsidRPr="007E4DA1">
        <w:rPr>
          <w:b/>
        </w:rPr>
        <w:t>IN WAŻNOŚCI</w:t>
      </w:r>
    </w:p>
    <w:p w14:paraId="2E63319D" w14:textId="166D8717" w:rsidR="00A350DA" w:rsidRPr="007E4DA1" w:rsidRDefault="00A350DA" w:rsidP="00DE1596">
      <w:pPr>
        <w:tabs>
          <w:tab w:val="left" w:pos="720"/>
        </w:tabs>
      </w:pPr>
    </w:p>
    <w:p w14:paraId="2E7319DF" w14:textId="77777777" w:rsidR="00A350DA" w:rsidRPr="007E4DA1" w:rsidRDefault="00A350DA" w:rsidP="00DE1596">
      <w:pPr>
        <w:tabs>
          <w:tab w:val="left" w:pos="720"/>
        </w:tabs>
      </w:pPr>
      <w:r w:rsidRPr="007E4DA1">
        <w:t>EXP</w:t>
      </w:r>
    </w:p>
    <w:p w14:paraId="10B43E94" w14:textId="77777777" w:rsidR="00A350DA" w:rsidRPr="007E4DA1" w:rsidRDefault="00A350DA" w:rsidP="00DE1596">
      <w:pPr>
        <w:tabs>
          <w:tab w:val="left" w:pos="720"/>
        </w:tabs>
      </w:pPr>
    </w:p>
    <w:p w14:paraId="6DD180F0" w14:textId="77777777" w:rsidR="00A350DA" w:rsidRPr="007E4DA1" w:rsidRDefault="00A350DA" w:rsidP="00DE1596">
      <w:pPr>
        <w:tabs>
          <w:tab w:val="left" w:pos="720"/>
        </w:tabs>
      </w:pPr>
    </w:p>
    <w:p w14:paraId="5012FB2F"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4.</w:t>
      </w:r>
      <w:r w:rsidRPr="007E4DA1">
        <w:rPr>
          <w:b/>
        </w:rPr>
        <w:tab/>
        <w:t>NUMER SERII</w:t>
      </w:r>
    </w:p>
    <w:p w14:paraId="26114321" w14:textId="090997D8" w:rsidR="00A350DA" w:rsidRPr="007E4DA1" w:rsidRDefault="00A350DA" w:rsidP="00DE1596">
      <w:pPr>
        <w:tabs>
          <w:tab w:val="left" w:pos="720"/>
        </w:tabs>
      </w:pPr>
    </w:p>
    <w:p w14:paraId="7F49053A" w14:textId="77777777" w:rsidR="00A350DA" w:rsidRPr="007E4DA1" w:rsidRDefault="00A350DA" w:rsidP="00DE1596">
      <w:pPr>
        <w:tabs>
          <w:tab w:val="left" w:pos="720"/>
        </w:tabs>
      </w:pPr>
      <w:r w:rsidRPr="007E4DA1">
        <w:t>Lot</w:t>
      </w:r>
    </w:p>
    <w:p w14:paraId="2F5A83C6" w14:textId="77777777" w:rsidR="00A350DA" w:rsidRPr="007E4DA1" w:rsidRDefault="00A350DA" w:rsidP="00DE1596">
      <w:pPr>
        <w:tabs>
          <w:tab w:val="left" w:pos="720"/>
        </w:tabs>
      </w:pPr>
    </w:p>
    <w:p w14:paraId="3E7E0697" w14:textId="77777777" w:rsidR="00A350DA" w:rsidRPr="007E4DA1" w:rsidRDefault="00A350DA" w:rsidP="00DE1596">
      <w:pPr>
        <w:tabs>
          <w:tab w:val="left" w:pos="720"/>
        </w:tabs>
      </w:pPr>
    </w:p>
    <w:p w14:paraId="03CFA986"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720"/>
        </w:tabs>
      </w:pPr>
      <w:r w:rsidRPr="007E4DA1">
        <w:rPr>
          <w:b/>
        </w:rPr>
        <w:t>5.</w:t>
      </w:r>
      <w:r w:rsidRPr="007E4DA1">
        <w:rPr>
          <w:b/>
        </w:rPr>
        <w:tab/>
        <w:t>INNE</w:t>
      </w:r>
    </w:p>
    <w:p w14:paraId="50A724EA" w14:textId="77777777" w:rsidR="00A350DA" w:rsidRPr="007E4DA1" w:rsidRDefault="00A350DA" w:rsidP="00DE1596">
      <w:pPr>
        <w:tabs>
          <w:tab w:val="left" w:pos="720"/>
        </w:tabs>
      </w:pPr>
    </w:p>
    <w:p w14:paraId="373FF76E" w14:textId="77777777" w:rsidR="00A350DA" w:rsidRPr="007E4DA1" w:rsidRDefault="00A350DA" w:rsidP="00DE1596">
      <w:pPr>
        <w:tabs>
          <w:tab w:val="left" w:pos="720"/>
        </w:tabs>
      </w:pPr>
    </w:p>
    <w:p w14:paraId="2C04094F" w14:textId="77777777" w:rsidR="00A350DA" w:rsidRPr="007E4DA1" w:rsidRDefault="00A350DA" w:rsidP="00DE1596">
      <w:r w:rsidRPr="007E4DA1">
        <w:br w:type="page"/>
      </w:r>
    </w:p>
    <w:p w14:paraId="31E5E714" w14:textId="77777777" w:rsidR="00AA3184" w:rsidRPr="007E4DA1" w:rsidRDefault="00AA3184" w:rsidP="00DE1596">
      <w:pPr>
        <w:ind w:left="-32" w:firstLine="32"/>
      </w:pPr>
    </w:p>
    <w:p w14:paraId="0BE1F465" w14:textId="77777777" w:rsidR="00041A08" w:rsidRPr="00041A08" w:rsidRDefault="00A350DA" w:rsidP="00DE1596">
      <w:pPr>
        <w:pBdr>
          <w:top w:val="single" w:sz="4" w:space="1" w:color="auto"/>
          <w:left w:val="single" w:sz="4" w:space="4" w:color="auto"/>
          <w:bottom w:val="single" w:sz="4" w:space="1" w:color="auto"/>
          <w:right w:val="single" w:sz="4" w:space="4" w:color="auto"/>
        </w:pBdr>
        <w:ind w:left="-32" w:firstLine="32"/>
      </w:pPr>
      <w:r w:rsidRPr="007E4DA1">
        <w:rPr>
          <w:b/>
        </w:rPr>
        <w:t>INFORMACJE ZAMIESZCZANE NA OPAKOWANIACH ZEWNĘTRZNYCH</w:t>
      </w:r>
    </w:p>
    <w:p w14:paraId="0A896355" w14:textId="033B1003" w:rsidR="00A350DA" w:rsidRPr="007E4DA1" w:rsidRDefault="00A350DA" w:rsidP="00DE1596">
      <w:pPr>
        <w:pBdr>
          <w:top w:val="single" w:sz="4" w:space="1" w:color="auto"/>
          <w:left w:val="single" w:sz="4" w:space="4" w:color="auto"/>
          <w:bottom w:val="single" w:sz="4" w:space="1" w:color="auto"/>
          <w:right w:val="single" w:sz="4" w:space="4" w:color="auto"/>
        </w:pBdr>
        <w:ind w:left="-32" w:firstLine="32"/>
      </w:pPr>
    </w:p>
    <w:p w14:paraId="4A7D49E3" w14:textId="77777777" w:rsidR="00041A08" w:rsidRPr="00041A08" w:rsidRDefault="00A350DA" w:rsidP="00DE1596">
      <w:pPr>
        <w:pBdr>
          <w:top w:val="single" w:sz="4" w:space="1" w:color="auto"/>
          <w:left w:val="single" w:sz="4" w:space="4" w:color="auto"/>
          <w:bottom w:val="single" w:sz="4" w:space="1" w:color="auto"/>
          <w:right w:val="single" w:sz="4" w:space="4" w:color="auto"/>
        </w:pBdr>
        <w:ind w:left="-32" w:firstLine="32"/>
      </w:pPr>
      <w:r w:rsidRPr="007E4DA1">
        <w:rPr>
          <w:b/>
        </w:rPr>
        <w:t>PUDEŁKO tabletki 75</w:t>
      </w:r>
      <w:r w:rsidR="00DB76DE" w:rsidRPr="007E4DA1">
        <w:rPr>
          <w:b/>
        </w:rPr>
        <w:t> </w:t>
      </w:r>
      <w:r w:rsidRPr="007E4DA1">
        <w:rPr>
          <w:b/>
        </w:rPr>
        <w:t>mg – 14, 28, 84 (3 OPAKOWANIA po 28) sztuk</w:t>
      </w:r>
    </w:p>
    <w:p w14:paraId="49D9EC25" w14:textId="76698E19" w:rsidR="00A350DA" w:rsidRPr="007E4DA1" w:rsidRDefault="00A350DA" w:rsidP="00DE1596"/>
    <w:p w14:paraId="48452CD2" w14:textId="77777777" w:rsidR="00A350DA" w:rsidRPr="007E4DA1" w:rsidRDefault="00A350DA" w:rsidP="00DE1596"/>
    <w:p w14:paraId="6114877E"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1.</w:t>
      </w:r>
      <w:r w:rsidRPr="007E4DA1">
        <w:rPr>
          <w:b/>
          <w:lang w:eastAsia="en-US"/>
        </w:rPr>
        <w:tab/>
        <w:t>NAZWA PRODUKTU LECZNICZEGO</w:t>
      </w:r>
    </w:p>
    <w:p w14:paraId="30C18992" w14:textId="43885AE9" w:rsidR="00A350DA" w:rsidRPr="007E4DA1" w:rsidRDefault="00A350DA" w:rsidP="00DE1596"/>
    <w:p w14:paraId="0BC7613C" w14:textId="77777777" w:rsidR="00A350DA" w:rsidRPr="007E4DA1" w:rsidRDefault="00A350DA" w:rsidP="00DE1596">
      <w:r w:rsidRPr="007E4DA1">
        <w:t>Revolade 75 mg tabletki powlekane</w:t>
      </w:r>
    </w:p>
    <w:p w14:paraId="7AEA014D" w14:textId="77777777" w:rsidR="00410505" w:rsidRPr="007E4DA1" w:rsidRDefault="00410505" w:rsidP="00DE1596"/>
    <w:p w14:paraId="7E40E440" w14:textId="77777777" w:rsidR="00A350DA" w:rsidRPr="007E4DA1" w:rsidRDefault="00A350DA" w:rsidP="00DE1596">
      <w:r w:rsidRPr="007E4DA1">
        <w:t>eltrombopag</w:t>
      </w:r>
    </w:p>
    <w:p w14:paraId="1A816011" w14:textId="77777777" w:rsidR="00A350DA" w:rsidRPr="007E4DA1" w:rsidRDefault="00A350DA" w:rsidP="00DE1596"/>
    <w:p w14:paraId="704F268B" w14:textId="77777777" w:rsidR="00A350DA" w:rsidRPr="007E4DA1" w:rsidRDefault="00A350DA" w:rsidP="00DE1596"/>
    <w:p w14:paraId="4553056A"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lang w:eastAsia="en-US"/>
        </w:rPr>
        <w:t>2.</w:t>
      </w:r>
      <w:r w:rsidRPr="007E4DA1">
        <w:rPr>
          <w:b/>
          <w:lang w:eastAsia="en-US"/>
        </w:rPr>
        <w:tab/>
        <w:t>ZAWARTOŚĆ SUBSTANCJI CZYNNEJ</w:t>
      </w:r>
    </w:p>
    <w:p w14:paraId="7039C015" w14:textId="6B9EC75C" w:rsidR="00A350DA" w:rsidRPr="007E4DA1" w:rsidRDefault="00A350DA" w:rsidP="00DE1596"/>
    <w:p w14:paraId="728AE441" w14:textId="77777777" w:rsidR="00A350DA" w:rsidRPr="007E4DA1" w:rsidRDefault="00A350DA" w:rsidP="00DE1596">
      <w:pPr>
        <w:ind w:left="0" w:firstLine="0"/>
      </w:pPr>
      <w:r w:rsidRPr="007E4DA1">
        <w:t>Każda tabletka powlekana zawiera eltrombopag z olaminą w ilości odpowiadającej 75 mg eltrombopagu.</w:t>
      </w:r>
    </w:p>
    <w:p w14:paraId="556390EA" w14:textId="77777777" w:rsidR="00A350DA" w:rsidRPr="007E4DA1" w:rsidRDefault="00A350DA" w:rsidP="00DE1596"/>
    <w:p w14:paraId="67BB5239" w14:textId="77777777" w:rsidR="00A350DA" w:rsidRPr="007E4DA1" w:rsidRDefault="00A350DA" w:rsidP="00DE1596"/>
    <w:p w14:paraId="2BD3E6B2" w14:textId="77777777" w:rsidR="00041A08" w:rsidRPr="00041A08" w:rsidRDefault="00A350DA" w:rsidP="00DE1596">
      <w:pPr>
        <w:pBdr>
          <w:top w:val="single" w:sz="4" w:space="1" w:color="auto"/>
          <w:left w:val="single" w:sz="4" w:space="4" w:color="auto"/>
          <w:bottom w:val="single" w:sz="4" w:space="2" w:color="auto"/>
          <w:right w:val="single" w:sz="4" w:space="4" w:color="auto"/>
        </w:pBdr>
        <w:tabs>
          <w:tab w:val="left" w:pos="142"/>
        </w:tabs>
        <w:rPr>
          <w:lang w:eastAsia="en-US"/>
        </w:rPr>
      </w:pPr>
      <w:r w:rsidRPr="007E4DA1">
        <w:rPr>
          <w:b/>
          <w:lang w:eastAsia="en-US"/>
        </w:rPr>
        <w:t>3.</w:t>
      </w:r>
      <w:r w:rsidRPr="007E4DA1">
        <w:rPr>
          <w:b/>
          <w:lang w:eastAsia="en-US"/>
        </w:rPr>
        <w:tab/>
        <w:t>WYKAZ SUBSTANCJI POMOCNICZYCH</w:t>
      </w:r>
    </w:p>
    <w:p w14:paraId="0D000425" w14:textId="1D038A0D" w:rsidR="00A350DA" w:rsidRPr="007E4DA1" w:rsidRDefault="00A350DA" w:rsidP="00DE1596"/>
    <w:p w14:paraId="54ABA91A" w14:textId="77777777" w:rsidR="00A350DA" w:rsidRPr="007E4DA1" w:rsidRDefault="00A350DA" w:rsidP="00DE1596"/>
    <w:p w14:paraId="48E9BD6B"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4.</w:t>
      </w:r>
      <w:r w:rsidRPr="007E4DA1">
        <w:rPr>
          <w:b/>
          <w:lang w:eastAsia="en-US"/>
        </w:rPr>
        <w:tab/>
        <w:t>POSTAĆ FARMACEUTYCZNA I ZAWARTOŚĆ OPAKOWANIA</w:t>
      </w:r>
    </w:p>
    <w:p w14:paraId="3A0856B6" w14:textId="7B46098F" w:rsidR="00A350DA" w:rsidRPr="007E4DA1" w:rsidRDefault="00A350DA" w:rsidP="00DE1596">
      <w:pPr>
        <w:rPr>
          <w:bCs/>
        </w:rPr>
      </w:pPr>
    </w:p>
    <w:p w14:paraId="6CF347A0" w14:textId="77777777" w:rsidR="00A350DA" w:rsidRPr="007E4DA1" w:rsidRDefault="00A350DA" w:rsidP="00DE1596">
      <w:r w:rsidRPr="007E4DA1">
        <w:t>14</w:t>
      </w:r>
      <w:r w:rsidR="0002695F" w:rsidRPr="007E4DA1">
        <w:t> </w:t>
      </w:r>
      <w:r w:rsidRPr="007E4DA1">
        <w:t>tabletek powlekanych</w:t>
      </w:r>
    </w:p>
    <w:p w14:paraId="4C0FB837" w14:textId="77777777" w:rsidR="00A350DA" w:rsidRPr="007E4DA1" w:rsidRDefault="00A350DA" w:rsidP="00DE1596">
      <w:r w:rsidRPr="007E4DA1">
        <w:rPr>
          <w:shd w:val="clear" w:color="auto" w:fill="CCCCCC"/>
        </w:rPr>
        <w:t>28</w:t>
      </w:r>
      <w:r w:rsidR="0002695F" w:rsidRPr="007E4DA1">
        <w:rPr>
          <w:shd w:val="clear" w:color="auto" w:fill="CCCCCC"/>
        </w:rPr>
        <w:t> </w:t>
      </w:r>
      <w:r w:rsidRPr="007E4DA1">
        <w:rPr>
          <w:shd w:val="clear" w:color="auto" w:fill="CCCCCC"/>
        </w:rPr>
        <w:t>tabletek powlekanych</w:t>
      </w:r>
    </w:p>
    <w:p w14:paraId="121AEFD3" w14:textId="77777777" w:rsidR="00A350DA" w:rsidRPr="007E4DA1" w:rsidRDefault="00A350DA" w:rsidP="00DE1596">
      <w:pPr>
        <w:rPr>
          <w:shd w:val="clear" w:color="auto" w:fill="CCCCCC"/>
        </w:rPr>
      </w:pPr>
      <w:r w:rsidRPr="007E4DA1">
        <w:rPr>
          <w:shd w:val="clear" w:color="auto" w:fill="CCCCCC"/>
        </w:rPr>
        <w:t>Opakowanie zbiorcze zawierające 84 tabletki powlekane (3 opakowania po 28)</w:t>
      </w:r>
    </w:p>
    <w:p w14:paraId="2E6F1CF6" w14:textId="77777777" w:rsidR="00A350DA" w:rsidRPr="007E4DA1" w:rsidRDefault="00A350DA" w:rsidP="00DE1596"/>
    <w:p w14:paraId="77B6E2C1" w14:textId="77777777" w:rsidR="00A350DA" w:rsidRPr="007E4DA1" w:rsidRDefault="00A350DA" w:rsidP="00DE1596">
      <w:pPr>
        <w:rPr>
          <w:bCs/>
        </w:rPr>
      </w:pPr>
    </w:p>
    <w:p w14:paraId="0F5DAC85"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5.</w:t>
      </w:r>
      <w:r w:rsidRPr="007E4DA1">
        <w:rPr>
          <w:b/>
          <w:lang w:eastAsia="en-US"/>
        </w:rPr>
        <w:tab/>
        <w:t>SPOSÓB I DROGA PODANIA</w:t>
      </w:r>
    </w:p>
    <w:p w14:paraId="520F9724" w14:textId="4A147F1F" w:rsidR="00A350DA" w:rsidRPr="007E4DA1" w:rsidRDefault="00A350DA" w:rsidP="00DE1596"/>
    <w:p w14:paraId="3B26326B" w14:textId="77777777" w:rsidR="00A350DA" w:rsidRPr="007E4DA1" w:rsidRDefault="00A350DA" w:rsidP="00DE1596">
      <w:r w:rsidRPr="007E4DA1">
        <w:t>Należy zapoznać się z treścią ulotki przed zastosowaniem leku.</w:t>
      </w:r>
      <w:r w:rsidR="008C0A82" w:rsidRPr="007E4DA1">
        <w:t xml:space="preserve"> </w:t>
      </w:r>
      <w:r w:rsidRPr="007E4DA1">
        <w:t>Podanie doustne.</w:t>
      </w:r>
    </w:p>
    <w:p w14:paraId="436913C1" w14:textId="77777777" w:rsidR="00A350DA" w:rsidRPr="007E4DA1" w:rsidRDefault="00A350DA" w:rsidP="00DE1596"/>
    <w:p w14:paraId="3127A7A2" w14:textId="77777777" w:rsidR="00A350DA" w:rsidRPr="007E4DA1" w:rsidRDefault="00A350DA" w:rsidP="00DE1596"/>
    <w:p w14:paraId="5AA78417"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lang w:eastAsia="en-US"/>
        </w:rPr>
        <w:t>6.</w:t>
      </w:r>
      <w:r w:rsidRPr="007E4DA1">
        <w:rPr>
          <w:b/>
          <w:lang w:eastAsia="en-US"/>
        </w:rPr>
        <w:tab/>
        <w:t xml:space="preserve">OSTRZEŻENIE DOTYCZĄCE PRZECHOWYWANIA PRODUKTU LECZNICZEGO W MIEJSCU </w:t>
      </w:r>
      <w:r w:rsidRPr="007E4DA1">
        <w:rPr>
          <w:b/>
        </w:rPr>
        <w:t xml:space="preserve">NIEWIDOCZNYM I </w:t>
      </w:r>
      <w:r w:rsidRPr="007E4DA1">
        <w:rPr>
          <w:b/>
          <w:lang w:eastAsia="en-US"/>
        </w:rPr>
        <w:t>NIEDOSTĘPNYM</w:t>
      </w:r>
      <w:r w:rsidRPr="007E4DA1">
        <w:rPr>
          <w:b/>
        </w:rPr>
        <w:t xml:space="preserve"> DLA DZIECI</w:t>
      </w:r>
    </w:p>
    <w:p w14:paraId="71301E36" w14:textId="17B01F25" w:rsidR="00A350DA" w:rsidRPr="007E4DA1" w:rsidRDefault="00A350DA" w:rsidP="00DE1596"/>
    <w:p w14:paraId="5E03FDF8" w14:textId="77777777" w:rsidR="00A350DA" w:rsidRPr="007E4DA1" w:rsidRDefault="00A350DA" w:rsidP="00DE1596">
      <w:r w:rsidRPr="007E4DA1">
        <w:t>Lek przechowywać w miejscu niewidocznym i niedostępnym dla dzieci.</w:t>
      </w:r>
    </w:p>
    <w:p w14:paraId="5A32F2C7" w14:textId="77777777" w:rsidR="00A350DA" w:rsidRPr="007E4DA1" w:rsidRDefault="00A350DA" w:rsidP="00DE1596"/>
    <w:p w14:paraId="6F989468" w14:textId="77777777" w:rsidR="00A350DA" w:rsidRPr="007E4DA1" w:rsidRDefault="00A350DA" w:rsidP="00DE1596"/>
    <w:p w14:paraId="31930C37"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7.</w:t>
      </w:r>
      <w:r w:rsidRPr="007E4DA1">
        <w:rPr>
          <w:b/>
        </w:rPr>
        <w:tab/>
        <w:t>INNE OSTRZEŻENIA SPECJALNE, JEŚLI KONIECZNE</w:t>
      </w:r>
    </w:p>
    <w:p w14:paraId="60840428" w14:textId="6783424A" w:rsidR="00A350DA" w:rsidRPr="007E4DA1" w:rsidRDefault="00A350DA" w:rsidP="00DE1596"/>
    <w:p w14:paraId="43A06579" w14:textId="77777777" w:rsidR="00A350DA" w:rsidRPr="007E4DA1" w:rsidRDefault="00A350DA" w:rsidP="00DE1596"/>
    <w:p w14:paraId="03735242"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8.</w:t>
      </w:r>
      <w:r w:rsidRPr="007E4DA1">
        <w:rPr>
          <w:b/>
        </w:rPr>
        <w:tab/>
        <w:t>T</w:t>
      </w:r>
      <w:smartTag w:uri="schemas-GSKSiteLocations-com/fourthcoffee" w:element="flavor">
        <w:r w:rsidRPr="007E4DA1">
          <w:rPr>
            <w:b/>
          </w:rPr>
          <w:t>ERM</w:t>
        </w:r>
      </w:smartTag>
      <w:r w:rsidRPr="007E4DA1">
        <w:rPr>
          <w:b/>
        </w:rPr>
        <w:t>IN WAŻNOŚCI</w:t>
      </w:r>
    </w:p>
    <w:p w14:paraId="6B1837D5" w14:textId="71487311" w:rsidR="00A350DA" w:rsidRPr="007E4DA1" w:rsidRDefault="00A350DA" w:rsidP="00DE1596"/>
    <w:p w14:paraId="1B22E563" w14:textId="2891BFCD" w:rsidR="00A350DA" w:rsidRPr="007E4DA1" w:rsidRDefault="00A350DA" w:rsidP="00DE1596">
      <w:r w:rsidRPr="007E4DA1">
        <w:t>Termin ważności:</w:t>
      </w:r>
    </w:p>
    <w:p w14:paraId="24C6B5F2" w14:textId="77777777" w:rsidR="00A350DA" w:rsidRPr="007E4DA1" w:rsidRDefault="00A350DA" w:rsidP="00DE1596"/>
    <w:p w14:paraId="763EDA7B" w14:textId="77777777" w:rsidR="00A350DA" w:rsidRPr="007E4DA1" w:rsidRDefault="00A350DA" w:rsidP="00DE1596"/>
    <w:p w14:paraId="542E6CAC" w14:textId="77777777" w:rsidR="00041A08" w:rsidRPr="00041A08" w:rsidRDefault="00A350DA" w:rsidP="00DE1596">
      <w:pPr>
        <w:keepNext/>
        <w:pBdr>
          <w:top w:val="single" w:sz="4" w:space="1" w:color="auto"/>
          <w:left w:val="single" w:sz="4" w:space="4" w:color="auto"/>
          <w:bottom w:val="single" w:sz="4" w:space="1" w:color="auto"/>
          <w:right w:val="single" w:sz="4" w:space="4" w:color="auto"/>
        </w:pBdr>
        <w:tabs>
          <w:tab w:val="left" w:pos="142"/>
        </w:tabs>
      </w:pPr>
      <w:r w:rsidRPr="007E4DA1">
        <w:rPr>
          <w:b/>
        </w:rPr>
        <w:t>9.</w:t>
      </w:r>
      <w:r w:rsidRPr="007E4DA1">
        <w:rPr>
          <w:b/>
        </w:rPr>
        <w:tab/>
        <w:t>WARUNKI PRZECHOWYWANIA</w:t>
      </w:r>
    </w:p>
    <w:p w14:paraId="00F75BB8" w14:textId="7A2763D9" w:rsidR="00A350DA" w:rsidRPr="007E4DA1" w:rsidRDefault="00A350DA" w:rsidP="00DE1596">
      <w:pPr>
        <w:keepNext/>
        <w:tabs>
          <w:tab w:val="left" w:pos="720"/>
        </w:tabs>
      </w:pPr>
    </w:p>
    <w:p w14:paraId="2C8661AF" w14:textId="77777777" w:rsidR="00A350DA" w:rsidRPr="007E4DA1" w:rsidRDefault="00A350DA" w:rsidP="00DE1596">
      <w:pPr>
        <w:tabs>
          <w:tab w:val="left" w:pos="720"/>
        </w:tabs>
      </w:pPr>
    </w:p>
    <w:p w14:paraId="29408919" w14:textId="77777777" w:rsidR="00041A08" w:rsidRPr="00041A08" w:rsidRDefault="00A350DA" w:rsidP="00DE1596">
      <w:pPr>
        <w:keepNext/>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10.</w:t>
      </w:r>
      <w:r w:rsidRPr="007E4DA1">
        <w:rPr>
          <w:b/>
          <w:lang w:eastAsia="en-US"/>
        </w:rPr>
        <w:tab/>
        <w:t xml:space="preserve">SPECJALNE ŚRODKI OSTROŻNOŚCI DOTYCZĄCE USUWANIA NIEZUŻYTEGO PRODUKTU LECZNICZEGO </w:t>
      </w:r>
      <w:smartTag w:uri="urn:schemas-microsoft-com:office:smarttags" w:element="stockticker">
        <w:r w:rsidRPr="007E4DA1">
          <w:rPr>
            <w:b/>
            <w:lang w:eastAsia="en-US"/>
          </w:rPr>
          <w:t>LUB</w:t>
        </w:r>
      </w:smartTag>
      <w:r w:rsidRPr="007E4DA1">
        <w:rPr>
          <w:b/>
          <w:lang w:eastAsia="en-US"/>
        </w:rPr>
        <w:t xml:space="preserve"> POCHODZĄCYCH Z NIEGO ODPADÓW, JEŚLI WŁAŚCIWE</w:t>
      </w:r>
    </w:p>
    <w:p w14:paraId="4DDB5FB8" w14:textId="140BF19B" w:rsidR="00A350DA" w:rsidRPr="007E4DA1" w:rsidRDefault="00A350DA" w:rsidP="00DE1596">
      <w:pPr>
        <w:tabs>
          <w:tab w:val="left" w:pos="720"/>
        </w:tabs>
      </w:pPr>
    </w:p>
    <w:p w14:paraId="73F3E3C4" w14:textId="77777777" w:rsidR="00A350DA" w:rsidRPr="007E4DA1" w:rsidRDefault="00A350DA" w:rsidP="00DE1596">
      <w:pPr>
        <w:tabs>
          <w:tab w:val="left" w:pos="720"/>
        </w:tabs>
      </w:pPr>
    </w:p>
    <w:p w14:paraId="239B5ACF"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lang w:eastAsia="en-US"/>
        </w:rPr>
        <w:t>11.</w:t>
      </w:r>
      <w:r w:rsidRPr="007E4DA1">
        <w:rPr>
          <w:b/>
          <w:lang w:eastAsia="en-US"/>
        </w:rPr>
        <w:tab/>
        <w:t>NAZWA</w:t>
      </w:r>
      <w:r w:rsidRPr="007E4DA1">
        <w:rPr>
          <w:b/>
        </w:rPr>
        <w:t xml:space="preserve"> I ADRES PODMIOTU OD</w:t>
      </w:r>
      <w:smartTag w:uri="schemas-GSKSiteLocations-com/fourthcoffee" w:element="flavor">
        <w:r w:rsidRPr="007E4DA1">
          <w:rPr>
            <w:b/>
          </w:rPr>
          <w:t>POW</w:t>
        </w:r>
      </w:smartTag>
      <w:r w:rsidRPr="007E4DA1">
        <w:rPr>
          <w:b/>
        </w:rPr>
        <w:t>IEDZIALNEGO</w:t>
      </w:r>
    </w:p>
    <w:p w14:paraId="39252BBD" w14:textId="2BD849FE" w:rsidR="00A350DA" w:rsidRPr="007E4DA1" w:rsidRDefault="00A350DA" w:rsidP="00DE1596">
      <w:pPr>
        <w:tabs>
          <w:tab w:val="left" w:pos="720"/>
        </w:tabs>
      </w:pPr>
    </w:p>
    <w:p w14:paraId="620BB1B9" w14:textId="77777777" w:rsidR="00A350DA" w:rsidRPr="007E4DA1" w:rsidRDefault="00A350DA" w:rsidP="00DE1596">
      <w:r w:rsidRPr="007E4DA1">
        <w:t>Novartis Europharm Limited</w:t>
      </w:r>
    </w:p>
    <w:p w14:paraId="75ADEBA8" w14:textId="77777777" w:rsidR="0091544F" w:rsidRPr="007E4DA1" w:rsidRDefault="0091544F" w:rsidP="00DE1596">
      <w:pPr>
        <w:keepNext/>
        <w:rPr>
          <w:color w:val="000000"/>
          <w:lang w:val="en-GB"/>
        </w:rPr>
      </w:pPr>
      <w:r w:rsidRPr="007E4DA1">
        <w:rPr>
          <w:color w:val="000000"/>
          <w:lang w:val="en-GB"/>
        </w:rPr>
        <w:t>Vista Building</w:t>
      </w:r>
    </w:p>
    <w:p w14:paraId="2C3689FD" w14:textId="77777777" w:rsidR="0091544F" w:rsidRPr="007E4DA1" w:rsidRDefault="0091544F" w:rsidP="00DE1596">
      <w:pPr>
        <w:keepNext/>
        <w:rPr>
          <w:color w:val="000000"/>
          <w:lang w:val="en-GB"/>
        </w:rPr>
      </w:pPr>
      <w:r w:rsidRPr="007E4DA1">
        <w:rPr>
          <w:color w:val="000000"/>
          <w:lang w:val="en-GB"/>
        </w:rPr>
        <w:t>Elm Park, Merrion Road</w:t>
      </w:r>
    </w:p>
    <w:p w14:paraId="43586F6C" w14:textId="77777777" w:rsidR="0091544F" w:rsidRPr="007E4DA1" w:rsidRDefault="0091544F" w:rsidP="00DE1596">
      <w:pPr>
        <w:keepNext/>
        <w:rPr>
          <w:color w:val="000000"/>
        </w:rPr>
      </w:pPr>
      <w:r w:rsidRPr="007E4DA1">
        <w:rPr>
          <w:color w:val="000000"/>
        </w:rPr>
        <w:t>Dublin 4</w:t>
      </w:r>
    </w:p>
    <w:p w14:paraId="32B76B23" w14:textId="77777777" w:rsidR="00A350DA" w:rsidRPr="007E4DA1" w:rsidRDefault="0091544F" w:rsidP="00DE1596">
      <w:pPr>
        <w:tabs>
          <w:tab w:val="left" w:pos="720"/>
        </w:tabs>
      </w:pPr>
      <w:r w:rsidRPr="007E4DA1">
        <w:rPr>
          <w:color w:val="000000"/>
        </w:rPr>
        <w:t>Irlandia</w:t>
      </w:r>
    </w:p>
    <w:p w14:paraId="4195DC94" w14:textId="77777777" w:rsidR="00A350DA" w:rsidRPr="007E4DA1" w:rsidRDefault="00A350DA" w:rsidP="00DE1596">
      <w:pPr>
        <w:tabs>
          <w:tab w:val="left" w:pos="720"/>
        </w:tabs>
      </w:pPr>
    </w:p>
    <w:p w14:paraId="2D3C02D1" w14:textId="77777777" w:rsidR="00A350DA" w:rsidRPr="007E4DA1" w:rsidRDefault="00A350DA" w:rsidP="00DE1596">
      <w:pPr>
        <w:tabs>
          <w:tab w:val="left" w:pos="720"/>
        </w:tabs>
      </w:pPr>
    </w:p>
    <w:p w14:paraId="47001B46"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12.</w:t>
      </w:r>
      <w:r w:rsidRPr="007E4DA1">
        <w:rPr>
          <w:b/>
        </w:rPr>
        <w:tab/>
        <w:t>NUMERY POZWOLEŃ NA DOPUSZCZENIE DO OBROTU</w:t>
      </w:r>
    </w:p>
    <w:p w14:paraId="563B3860" w14:textId="19F78042" w:rsidR="00A350DA" w:rsidRPr="007E4DA1" w:rsidRDefault="00A350DA" w:rsidP="00DE1596">
      <w:pPr>
        <w:tabs>
          <w:tab w:val="left" w:pos="720"/>
        </w:tabs>
      </w:pPr>
    </w:p>
    <w:p w14:paraId="38EEAECA" w14:textId="77777777" w:rsidR="00A350DA" w:rsidRPr="007E4DA1" w:rsidRDefault="00A350DA" w:rsidP="00DE1596">
      <w:pPr>
        <w:rPr>
          <w:shd w:val="pct15" w:color="auto" w:fill="auto"/>
        </w:rPr>
      </w:pPr>
      <w:r w:rsidRPr="007E4DA1">
        <w:t xml:space="preserve">EU/1/10/612/007 </w:t>
      </w:r>
      <w:r w:rsidRPr="007E4DA1">
        <w:rPr>
          <w:shd w:val="pct15" w:color="auto" w:fill="auto"/>
        </w:rPr>
        <w:t>(14</w:t>
      </w:r>
      <w:r w:rsidR="0002695F" w:rsidRPr="007E4DA1">
        <w:rPr>
          <w:shd w:val="pct15" w:color="auto" w:fill="auto"/>
        </w:rPr>
        <w:t> </w:t>
      </w:r>
      <w:r w:rsidRPr="007E4DA1">
        <w:rPr>
          <w:shd w:val="pct15" w:color="auto" w:fill="auto"/>
        </w:rPr>
        <w:t>tabletek powlekanych)</w:t>
      </w:r>
    </w:p>
    <w:p w14:paraId="37B45526" w14:textId="77777777" w:rsidR="00A350DA" w:rsidRPr="007E4DA1" w:rsidRDefault="00A350DA" w:rsidP="00DE1596">
      <w:pPr>
        <w:rPr>
          <w:shd w:val="pct15" w:color="auto" w:fill="auto"/>
        </w:rPr>
      </w:pPr>
      <w:r w:rsidRPr="007E4DA1">
        <w:rPr>
          <w:shd w:val="pct15" w:color="auto" w:fill="auto"/>
        </w:rPr>
        <w:t>EU/1/10/612/008 (28</w:t>
      </w:r>
      <w:r w:rsidR="0002695F" w:rsidRPr="007E4DA1">
        <w:rPr>
          <w:shd w:val="pct15" w:color="auto" w:fill="auto"/>
        </w:rPr>
        <w:t> </w:t>
      </w:r>
      <w:r w:rsidRPr="007E4DA1">
        <w:rPr>
          <w:shd w:val="pct15" w:color="auto" w:fill="auto"/>
        </w:rPr>
        <w:t>tabletek powlekanych)</w:t>
      </w:r>
    </w:p>
    <w:p w14:paraId="1C335D83" w14:textId="77777777" w:rsidR="00A350DA" w:rsidRPr="007E4DA1" w:rsidRDefault="00A350DA" w:rsidP="00DE1596">
      <w:pPr>
        <w:ind w:left="0" w:firstLine="0"/>
      </w:pPr>
      <w:r w:rsidRPr="007E4DA1">
        <w:rPr>
          <w:shd w:val="pct15" w:color="auto" w:fill="auto"/>
        </w:rPr>
        <w:t>EU/1/10/612/009 84</w:t>
      </w:r>
      <w:r w:rsidR="0002695F" w:rsidRPr="007E4DA1">
        <w:rPr>
          <w:shd w:val="pct15" w:color="auto" w:fill="auto"/>
        </w:rPr>
        <w:t> </w:t>
      </w:r>
      <w:r w:rsidRPr="007E4DA1">
        <w:rPr>
          <w:shd w:val="pct15" w:color="auto" w:fill="auto"/>
        </w:rPr>
        <w:t>tabletki powlekane (3</w:t>
      </w:r>
      <w:r w:rsidR="0002695F" w:rsidRPr="007E4DA1">
        <w:rPr>
          <w:shd w:val="pct15" w:color="auto" w:fill="auto"/>
        </w:rPr>
        <w:t> </w:t>
      </w:r>
      <w:r w:rsidRPr="007E4DA1">
        <w:rPr>
          <w:shd w:val="pct15" w:color="auto" w:fill="auto"/>
        </w:rPr>
        <w:t>opakowania po 28)</w:t>
      </w:r>
    </w:p>
    <w:p w14:paraId="799721BC" w14:textId="77777777" w:rsidR="00A350DA" w:rsidRPr="007E4DA1" w:rsidRDefault="00A350DA" w:rsidP="00DE1596">
      <w:pPr>
        <w:tabs>
          <w:tab w:val="left" w:pos="720"/>
        </w:tabs>
      </w:pPr>
    </w:p>
    <w:p w14:paraId="35F61D83" w14:textId="77777777" w:rsidR="00A350DA" w:rsidRPr="007E4DA1" w:rsidRDefault="00A350DA" w:rsidP="00DE1596">
      <w:pPr>
        <w:tabs>
          <w:tab w:val="left" w:pos="720"/>
        </w:tabs>
      </w:pPr>
    </w:p>
    <w:p w14:paraId="61CAB360"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13.</w:t>
      </w:r>
      <w:r w:rsidRPr="007E4DA1">
        <w:rPr>
          <w:b/>
        </w:rPr>
        <w:tab/>
        <w:t>NUMER SERII</w:t>
      </w:r>
    </w:p>
    <w:p w14:paraId="7B3F53BC" w14:textId="6A232837" w:rsidR="00A350DA" w:rsidRPr="007E4DA1" w:rsidRDefault="00A350DA" w:rsidP="00DE1596">
      <w:pPr>
        <w:tabs>
          <w:tab w:val="left" w:pos="720"/>
        </w:tabs>
      </w:pPr>
    </w:p>
    <w:p w14:paraId="477C548C" w14:textId="64253119" w:rsidR="00A350DA" w:rsidRPr="007E4DA1" w:rsidRDefault="00270E50" w:rsidP="00DE1596">
      <w:pPr>
        <w:tabs>
          <w:tab w:val="left" w:pos="720"/>
        </w:tabs>
      </w:pPr>
      <w:r w:rsidRPr="007E4DA1">
        <w:t xml:space="preserve">Nr </w:t>
      </w:r>
      <w:r w:rsidR="00A350DA" w:rsidRPr="007E4DA1">
        <w:t>serii:</w:t>
      </w:r>
    </w:p>
    <w:p w14:paraId="07C46571" w14:textId="77777777" w:rsidR="00A350DA" w:rsidRPr="007E4DA1" w:rsidRDefault="00A350DA" w:rsidP="00DE1596">
      <w:pPr>
        <w:tabs>
          <w:tab w:val="left" w:pos="720"/>
        </w:tabs>
      </w:pPr>
    </w:p>
    <w:p w14:paraId="147446B7" w14:textId="77777777" w:rsidR="00A350DA" w:rsidRPr="007E4DA1" w:rsidRDefault="00A350DA" w:rsidP="00DE1596">
      <w:pPr>
        <w:tabs>
          <w:tab w:val="left" w:pos="720"/>
        </w:tabs>
      </w:pPr>
    </w:p>
    <w:p w14:paraId="7B620837"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14.</w:t>
      </w:r>
      <w:r w:rsidRPr="007E4DA1">
        <w:rPr>
          <w:b/>
        </w:rPr>
        <w:tab/>
        <w:t>OGÓLNA KATEGORIA DOSTĘPNOŚCI</w:t>
      </w:r>
    </w:p>
    <w:p w14:paraId="12851192" w14:textId="38504B35" w:rsidR="00A350DA" w:rsidRPr="007E4DA1" w:rsidRDefault="00A350DA" w:rsidP="00DE1596">
      <w:pPr>
        <w:tabs>
          <w:tab w:val="left" w:pos="720"/>
        </w:tabs>
      </w:pPr>
    </w:p>
    <w:p w14:paraId="15FFC291" w14:textId="77777777" w:rsidR="00A350DA" w:rsidRPr="007E4DA1" w:rsidRDefault="00A350DA" w:rsidP="00DE1596">
      <w:pPr>
        <w:tabs>
          <w:tab w:val="left" w:pos="720"/>
        </w:tabs>
      </w:pPr>
    </w:p>
    <w:p w14:paraId="5249DA86"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15.</w:t>
      </w:r>
      <w:r w:rsidRPr="007E4DA1">
        <w:rPr>
          <w:b/>
        </w:rPr>
        <w:tab/>
        <w:t>INSTRUKCJA UŻYCIA</w:t>
      </w:r>
    </w:p>
    <w:p w14:paraId="6AD7BBFB" w14:textId="7AE22F9F" w:rsidR="00A350DA" w:rsidRPr="007E4DA1" w:rsidRDefault="00A350DA" w:rsidP="00DE1596">
      <w:pPr>
        <w:tabs>
          <w:tab w:val="left" w:pos="720"/>
        </w:tabs>
      </w:pPr>
    </w:p>
    <w:p w14:paraId="71538604" w14:textId="77777777" w:rsidR="00A350DA" w:rsidRPr="007E4DA1" w:rsidRDefault="00A350DA" w:rsidP="00DE1596">
      <w:pPr>
        <w:tabs>
          <w:tab w:val="left" w:pos="720"/>
        </w:tabs>
      </w:pPr>
    </w:p>
    <w:p w14:paraId="2C492EC8"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720"/>
        </w:tabs>
      </w:pPr>
      <w:r w:rsidRPr="007E4DA1">
        <w:rPr>
          <w:b/>
        </w:rPr>
        <w:t>16.</w:t>
      </w:r>
      <w:r w:rsidRPr="007E4DA1">
        <w:rPr>
          <w:b/>
        </w:rPr>
        <w:tab/>
        <w:t>INFORMACJA PODANA SYSTEMEM BRAILLE’A</w:t>
      </w:r>
    </w:p>
    <w:p w14:paraId="0E9474B8" w14:textId="77777777" w:rsidR="00A350DA" w:rsidRPr="007E4DA1" w:rsidRDefault="00A350DA" w:rsidP="00DE1596">
      <w:pPr>
        <w:tabs>
          <w:tab w:val="left" w:pos="720"/>
        </w:tabs>
      </w:pPr>
    </w:p>
    <w:p w14:paraId="704E63F3" w14:textId="77777777" w:rsidR="00A350DA" w:rsidRPr="007E4DA1" w:rsidRDefault="00A350DA" w:rsidP="00DE1596">
      <w:pPr>
        <w:tabs>
          <w:tab w:val="left" w:pos="720"/>
        </w:tabs>
      </w:pPr>
      <w:r w:rsidRPr="007E4DA1">
        <w:t>revolade 75 mg</w:t>
      </w:r>
    </w:p>
    <w:p w14:paraId="0A5D4875" w14:textId="77777777" w:rsidR="00A350DA" w:rsidRPr="007E4DA1" w:rsidRDefault="00A350DA" w:rsidP="00DE1596">
      <w:pPr>
        <w:tabs>
          <w:tab w:val="left" w:pos="720"/>
        </w:tabs>
      </w:pPr>
    </w:p>
    <w:p w14:paraId="49340E1F" w14:textId="77777777" w:rsidR="00041A08" w:rsidRPr="00041A08" w:rsidRDefault="00B10D04" w:rsidP="00DE1596">
      <w:pPr>
        <w:keepNext/>
        <w:numPr>
          <w:ilvl w:val="0"/>
          <w:numId w:val="62"/>
        </w:numPr>
        <w:pBdr>
          <w:top w:val="single" w:sz="4" w:space="1" w:color="auto"/>
          <w:left w:val="single" w:sz="4" w:space="4" w:color="auto"/>
          <w:bottom w:val="single" w:sz="4" w:space="1" w:color="auto"/>
          <w:right w:val="single" w:sz="4" w:space="4" w:color="auto"/>
        </w:pBdr>
        <w:tabs>
          <w:tab w:val="left" w:pos="567"/>
        </w:tabs>
        <w:ind w:hanging="502"/>
        <w:rPr>
          <w:noProof/>
        </w:rPr>
      </w:pPr>
      <w:r w:rsidRPr="007E4DA1">
        <w:rPr>
          <w:b/>
          <w:noProof/>
        </w:rPr>
        <w:t>NIEPOWTARZALNY IDENTYFIKATOR – KOD 2D</w:t>
      </w:r>
    </w:p>
    <w:p w14:paraId="2C079DD7" w14:textId="5CABE319" w:rsidR="00B10D04" w:rsidRPr="007E4DA1" w:rsidRDefault="00B10D04" w:rsidP="00DE1596">
      <w:pPr>
        <w:rPr>
          <w:noProof/>
        </w:rPr>
      </w:pPr>
    </w:p>
    <w:p w14:paraId="3B3F012B" w14:textId="77777777" w:rsidR="00B10D04" w:rsidRPr="007E4DA1" w:rsidRDefault="00B10D04" w:rsidP="00DE1596">
      <w:pPr>
        <w:rPr>
          <w:noProof/>
          <w:szCs w:val="22"/>
          <w:shd w:val="clear" w:color="auto" w:fill="CCCCCC"/>
        </w:rPr>
      </w:pPr>
      <w:r w:rsidRPr="007E4DA1">
        <w:rPr>
          <w:noProof/>
          <w:shd w:val="clear" w:color="auto" w:fill="D9D9D9" w:themeFill="background1" w:themeFillShade="D9"/>
        </w:rPr>
        <w:t>Obejmuje kod 2D będący nośnikiem niepowtarzalnego identyfikatora.</w:t>
      </w:r>
    </w:p>
    <w:p w14:paraId="7B1CB412" w14:textId="77777777" w:rsidR="00B10D04" w:rsidRPr="007E4DA1" w:rsidRDefault="00B10D04" w:rsidP="00DE1596">
      <w:pPr>
        <w:rPr>
          <w:noProof/>
        </w:rPr>
      </w:pPr>
    </w:p>
    <w:p w14:paraId="1735147F" w14:textId="77777777" w:rsidR="00B10D04" w:rsidRPr="007E4DA1" w:rsidRDefault="00B10D04" w:rsidP="00DE1596">
      <w:pPr>
        <w:rPr>
          <w:noProof/>
        </w:rPr>
      </w:pPr>
    </w:p>
    <w:p w14:paraId="65F05BCB" w14:textId="77777777" w:rsidR="00041A08" w:rsidRPr="00041A08" w:rsidRDefault="00B10D04" w:rsidP="00DE1596">
      <w:pPr>
        <w:keepNext/>
        <w:numPr>
          <w:ilvl w:val="0"/>
          <w:numId w:val="62"/>
        </w:numPr>
        <w:pBdr>
          <w:top w:val="single" w:sz="4" w:space="1" w:color="auto"/>
          <w:left w:val="single" w:sz="4" w:space="4" w:color="auto"/>
          <w:bottom w:val="single" w:sz="4" w:space="1" w:color="auto"/>
          <w:right w:val="single" w:sz="4" w:space="4" w:color="auto"/>
        </w:pBdr>
        <w:tabs>
          <w:tab w:val="left" w:pos="567"/>
        </w:tabs>
        <w:ind w:hanging="502"/>
        <w:rPr>
          <w:noProof/>
        </w:rPr>
      </w:pPr>
      <w:r w:rsidRPr="007E4DA1">
        <w:rPr>
          <w:b/>
          <w:noProof/>
        </w:rPr>
        <w:t>NIEPOWTARZALNY IDENTYFIKATOR – DANE CZYTELNE DLA CZŁOWIEKA</w:t>
      </w:r>
    </w:p>
    <w:p w14:paraId="01D22535" w14:textId="6D0EA582" w:rsidR="00B10D04" w:rsidRPr="007E4DA1" w:rsidRDefault="00B10D04" w:rsidP="00DE1596">
      <w:pPr>
        <w:rPr>
          <w:noProof/>
        </w:rPr>
      </w:pPr>
    </w:p>
    <w:p w14:paraId="75EA211E" w14:textId="01D980E6" w:rsidR="00B10D04" w:rsidRPr="007E4DA1" w:rsidRDefault="00B10D04" w:rsidP="00DE1596">
      <w:pPr>
        <w:rPr>
          <w:szCs w:val="22"/>
        </w:rPr>
      </w:pPr>
      <w:r w:rsidRPr="007E4DA1">
        <w:t>PC</w:t>
      </w:r>
    </w:p>
    <w:p w14:paraId="320564F4" w14:textId="1032B1DA" w:rsidR="00B10D04" w:rsidRPr="007E4DA1" w:rsidRDefault="00B10D04" w:rsidP="00DE1596">
      <w:pPr>
        <w:rPr>
          <w:szCs w:val="22"/>
        </w:rPr>
      </w:pPr>
      <w:r w:rsidRPr="007E4DA1">
        <w:t>SN</w:t>
      </w:r>
    </w:p>
    <w:p w14:paraId="13FEA229" w14:textId="03DDB7D1" w:rsidR="00B10D04" w:rsidRPr="007E4DA1" w:rsidRDefault="00B10D04" w:rsidP="00DE1596">
      <w:pPr>
        <w:rPr>
          <w:szCs w:val="22"/>
        </w:rPr>
      </w:pPr>
      <w:r w:rsidRPr="007E4DA1">
        <w:t>NN</w:t>
      </w:r>
    </w:p>
    <w:p w14:paraId="2A9FB73E" w14:textId="77777777" w:rsidR="00A350DA" w:rsidRPr="007E4DA1" w:rsidRDefault="00A350DA" w:rsidP="00DE1596">
      <w:pPr>
        <w:ind w:left="0" w:firstLine="0"/>
      </w:pPr>
      <w:r w:rsidRPr="007E4DA1">
        <w:br w:type="page"/>
      </w:r>
    </w:p>
    <w:p w14:paraId="4C458FC7" w14:textId="77777777" w:rsidR="00AA3184" w:rsidRPr="007E4DA1" w:rsidRDefault="00AA3184" w:rsidP="00DE1596">
      <w:pPr>
        <w:ind w:left="0" w:firstLine="0"/>
      </w:pPr>
    </w:p>
    <w:p w14:paraId="250275D4" w14:textId="77777777" w:rsidR="00041A08" w:rsidRPr="00041A08" w:rsidRDefault="00A350DA" w:rsidP="00DE1596">
      <w:pPr>
        <w:pBdr>
          <w:top w:val="single" w:sz="4" w:space="1" w:color="auto"/>
          <w:left w:val="single" w:sz="4" w:space="4" w:color="auto"/>
          <w:bottom w:val="single" w:sz="4" w:space="1" w:color="auto"/>
          <w:right w:val="single" w:sz="4" w:space="4" w:color="auto"/>
        </w:pBdr>
        <w:ind w:left="0" w:firstLine="0"/>
      </w:pPr>
      <w:r w:rsidRPr="007E4DA1">
        <w:rPr>
          <w:b/>
        </w:rPr>
        <w:t xml:space="preserve">INFORMACJE ZAMIESZCZANE NA </w:t>
      </w:r>
      <w:r w:rsidR="00E46C4D" w:rsidRPr="007E4DA1">
        <w:rPr>
          <w:b/>
        </w:rPr>
        <w:t>OPAKOWANIACH POŚREDNICH</w:t>
      </w:r>
    </w:p>
    <w:p w14:paraId="3D534CA3" w14:textId="765138F1" w:rsidR="00A350DA" w:rsidRPr="007E4DA1" w:rsidRDefault="00A350DA" w:rsidP="00DE1596">
      <w:pPr>
        <w:pBdr>
          <w:top w:val="single" w:sz="4" w:space="1" w:color="auto"/>
          <w:left w:val="single" w:sz="4" w:space="4" w:color="auto"/>
          <w:bottom w:val="single" w:sz="4" w:space="1" w:color="auto"/>
          <w:right w:val="single" w:sz="4" w:space="4" w:color="auto"/>
        </w:pBdr>
      </w:pPr>
    </w:p>
    <w:p w14:paraId="43F7E84D" w14:textId="77777777" w:rsidR="00041A08" w:rsidRPr="00041A08" w:rsidRDefault="00A350DA" w:rsidP="00DE1596">
      <w:pPr>
        <w:pBdr>
          <w:top w:val="single" w:sz="4" w:space="1" w:color="auto"/>
          <w:left w:val="single" w:sz="4" w:space="4" w:color="auto"/>
          <w:bottom w:val="single" w:sz="4" w:space="1" w:color="auto"/>
          <w:right w:val="single" w:sz="4" w:space="4" w:color="auto"/>
        </w:pBdr>
        <w:ind w:left="0" w:firstLine="0"/>
      </w:pPr>
      <w:r w:rsidRPr="007E4DA1">
        <w:rPr>
          <w:b/>
          <w:bCs/>
        </w:rPr>
        <w:t xml:space="preserve">Opakowanie zbiorcze zawierające </w:t>
      </w:r>
      <w:r w:rsidRPr="007E4DA1">
        <w:rPr>
          <w:b/>
        </w:rPr>
        <w:t xml:space="preserve">84 tabletki powlekane </w:t>
      </w:r>
      <w:r w:rsidRPr="007E4DA1">
        <w:rPr>
          <w:b/>
          <w:bCs/>
        </w:rPr>
        <w:t>(3 opakowania po 28)</w:t>
      </w:r>
      <w:r w:rsidRPr="007E4DA1">
        <w:rPr>
          <w:b/>
        </w:rPr>
        <w:t xml:space="preserve"> </w:t>
      </w:r>
      <w:r w:rsidRPr="007E4DA1">
        <w:rPr>
          <w:b/>
          <w:bCs/>
        </w:rPr>
        <w:t>– bez blue box – 75</w:t>
      </w:r>
      <w:r w:rsidR="00DB76DE" w:rsidRPr="007E4DA1">
        <w:rPr>
          <w:b/>
          <w:bCs/>
        </w:rPr>
        <w:t> </w:t>
      </w:r>
      <w:r w:rsidRPr="007E4DA1">
        <w:rPr>
          <w:b/>
          <w:bCs/>
        </w:rPr>
        <w:t>mg tabletki powlekane</w:t>
      </w:r>
    </w:p>
    <w:p w14:paraId="57BAD7DF" w14:textId="6A6F1EA7" w:rsidR="00A350DA" w:rsidRPr="007E4DA1" w:rsidRDefault="00A350DA" w:rsidP="00DE1596"/>
    <w:p w14:paraId="35F86D90" w14:textId="77777777" w:rsidR="00A350DA" w:rsidRPr="007E4DA1" w:rsidRDefault="00A350DA" w:rsidP="00DE1596"/>
    <w:p w14:paraId="0BF7EFA3"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1.</w:t>
      </w:r>
      <w:r w:rsidRPr="007E4DA1">
        <w:rPr>
          <w:b/>
          <w:lang w:eastAsia="en-US"/>
        </w:rPr>
        <w:tab/>
        <w:t>NAZWA PRODUKTU LECZNICZEGO</w:t>
      </w:r>
    </w:p>
    <w:p w14:paraId="2E977308" w14:textId="1897A093" w:rsidR="00A350DA" w:rsidRPr="007E4DA1" w:rsidRDefault="00A350DA" w:rsidP="00DE1596"/>
    <w:p w14:paraId="0324BFF8" w14:textId="77777777" w:rsidR="00A350DA" w:rsidRPr="007E4DA1" w:rsidRDefault="00A350DA" w:rsidP="00DE1596">
      <w:r w:rsidRPr="007E4DA1">
        <w:t>Revolade 75 mg tabletki powlekane</w:t>
      </w:r>
    </w:p>
    <w:p w14:paraId="33E53A34" w14:textId="77777777" w:rsidR="00410505" w:rsidRPr="007E4DA1" w:rsidRDefault="00410505" w:rsidP="00DE1596"/>
    <w:p w14:paraId="7BF69DB4" w14:textId="77777777" w:rsidR="00A350DA" w:rsidRPr="007E4DA1" w:rsidRDefault="00A350DA" w:rsidP="00DE1596">
      <w:r w:rsidRPr="007E4DA1">
        <w:t>eltrombopag</w:t>
      </w:r>
    </w:p>
    <w:p w14:paraId="3F0CF7CE" w14:textId="77777777" w:rsidR="00A350DA" w:rsidRPr="007E4DA1" w:rsidRDefault="00A350DA" w:rsidP="00DE1596"/>
    <w:p w14:paraId="6F8B6596" w14:textId="77777777" w:rsidR="00A350DA" w:rsidRPr="007E4DA1" w:rsidRDefault="00A350DA" w:rsidP="00DE1596"/>
    <w:p w14:paraId="3D171840"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lang w:eastAsia="en-US"/>
        </w:rPr>
        <w:t>2.</w:t>
      </w:r>
      <w:r w:rsidRPr="007E4DA1">
        <w:rPr>
          <w:b/>
          <w:lang w:eastAsia="en-US"/>
        </w:rPr>
        <w:tab/>
        <w:t>ZAWARTOŚĆ SUBSTANCJI CZYNNEJ</w:t>
      </w:r>
    </w:p>
    <w:p w14:paraId="1216556A" w14:textId="41B0F796" w:rsidR="00A350DA" w:rsidRPr="007E4DA1" w:rsidRDefault="00A350DA" w:rsidP="00DE1596"/>
    <w:p w14:paraId="7DD77F99" w14:textId="77777777" w:rsidR="00A350DA" w:rsidRPr="007E4DA1" w:rsidRDefault="00A350DA" w:rsidP="00DE1596">
      <w:pPr>
        <w:ind w:left="0" w:firstLine="0"/>
      </w:pPr>
      <w:r w:rsidRPr="007E4DA1">
        <w:t>Każda tabletka powlekana zawiera eltrombopag z olaminą w ilości odpowiadającej 75 mg eltrombopagu.</w:t>
      </w:r>
    </w:p>
    <w:p w14:paraId="4F470458" w14:textId="77777777" w:rsidR="00A350DA" w:rsidRPr="007E4DA1" w:rsidRDefault="00A350DA" w:rsidP="00DE1596"/>
    <w:p w14:paraId="727E963B" w14:textId="77777777" w:rsidR="00A350DA" w:rsidRPr="007E4DA1" w:rsidRDefault="00A350DA" w:rsidP="00DE1596"/>
    <w:p w14:paraId="2F67909A" w14:textId="77777777" w:rsidR="00041A08" w:rsidRPr="00041A08" w:rsidRDefault="00A350DA" w:rsidP="00DE1596">
      <w:pPr>
        <w:pBdr>
          <w:top w:val="single" w:sz="4" w:space="1" w:color="auto"/>
          <w:left w:val="single" w:sz="4" w:space="4" w:color="auto"/>
          <w:bottom w:val="single" w:sz="4" w:space="2" w:color="auto"/>
          <w:right w:val="single" w:sz="4" w:space="4" w:color="auto"/>
        </w:pBdr>
        <w:tabs>
          <w:tab w:val="left" w:pos="142"/>
        </w:tabs>
        <w:rPr>
          <w:lang w:eastAsia="en-US"/>
        </w:rPr>
      </w:pPr>
      <w:r w:rsidRPr="007E4DA1">
        <w:rPr>
          <w:b/>
          <w:lang w:eastAsia="en-US"/>
        </w:rPr>
        <w:t>3.</w:t>
      </w:r>
      <w:r w:rsidRPr="007E4DA1">
        <w:rPr>
          <w:b/>
          <w:lang w:eastAsia="en-US"/>
        </w:rPr>
        <w:tab/>
        <w:t>WYKAZ SUBSTANCJI POMOCNICZYCH</w:t>
      </w:r>
    </w:p>
    <w:p w14:paraId="7422FFC1" w14:textId="3A0A1229" w:rsidR="00A350DA" w:rsidRPr="007E4DA1" w:rsidRDefault="00A350DA" w:rsidP="00DE1596"/>
    <w:p w14:paraId="7DBA8AD1" w14:textId="77777777" w:rsidR="00A350DA" w:rsidRPr="007E4DA1" w:rsidRDefault="00A350DA" w:rsidP="00DE1596"/>
    <w:p w14:paraId="69372300"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4.</w:t>
      </w:r>
      <w:r w:rsidRPr="007E4DA1">
        <w:rPr>
          <w:b/>
          <w:lang w:eastAsia="en-US"/>
        </w:rPr>
        <w:tab/>
        <w:t>POSTAĆ FARMACEUTYCZNA I ZAWARTOŚĆ OPAKOWANIA</w:t>
      </w:r>
    </w:p>
    <w:p w14:paraId="730EEEF9" w14:textId="33233864" w:rsidR="00A350DA" w:rsidRPr="007E4DA1" w:rsidRDefault="00A350DA" w:rsidP="00DE1596">
      <w:pPr>
        <w:rPr>
          <w:bCs/>
        </w:rPr>
      </w:pPr>
    </w:p>
    <w:p w14:paraId="1EF2CDDB" w14:textId="77777777" w:rsidR="00A350DA" w:rsidRPr="007E4DA1" w:rsidRDefault="00A350DA" w:rsidP="00DE1596">
      <w:pPr>
        <w:rPr>
          <w:shd w:val="clear" w:color="auto" w:fill="CCCCCC"/>
        </w:rPr>
      </w:pPr>
      <w:r w:rsidRPr="007E4DA1">
        <w:t>28</w:t>
      </w:r>
      <w:r w:rsidR="0002695F" w:rsidRPr="007E4DA1">
        <w:t> </w:t>
      </w:r>
      <w:r w:rsidRPr="007E4DA1">
        <w:t>tabletek powlekanych. Składnik opakowania zbiorczego, nie może być sprzedawany oddzielnie.</w:t>
      </w:r>
    </w:p>
    <w:p w14:paraId="63D006B9" w14:textId="77777777" w:rsidR="00A350DA" w:rsidRPr="007E4DA1" w:rsidRDefault="00A350DA" w:rsidP="00DE1596"/>
    <w:p w14:paraId="3E9EE1F1" w14:textId="77777777" w:rsidR="00A350DA" w:rsidRPr="007E4DA1" w:rsidRDefault="00A350DA" w:rsidP="00DE1596">
      <w:pPr>
        <w:rPr>
          <w:bCs/>
        </w:rPr>
      </w:pPr>
    </w:p>
    <w:p w14:paraId="4956E9ED"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5.</w:t>
      </w:r>
      <w:r w:rsidRPr="007E4DA1">
        <w:rPr>
          <w:b/>
          <w:lang w:eastAsia="en-US"/>
        </w:rPr>
        <w:tab/>
        <w:t>SPOSÓB I DROGA PODANIA</w:t>
      </w:r>
    </w:p>
    <w:p w14:paraId="13B3914D" w14:textId="0346AC91" w:rsidR="00A350DA" w:rsidRPr="007E4DA1" w:rsidRDefault="00A350DA" w:rsidP="00DE1596"/>
    <w:p w14:paraId="6AD9E9D9" w14:textId="77777777" w:rsidR="00A350DA" w:rsidRPr="007E4DA1" w:rsidRDefault="00A350DA" w:rsidP="00DE1596">
      <w:r w:rsidRPr="007E4DA1">
        <w:t>Należy zapoznać się z treścią ulotki przed zastosowaniem leku.</w:t>
      </w:r>
    </w:p>
    <w:p w14:paraId="44ED107C" w14:textId="77777777" w:rsidR="00A350DA" w:rsidRPr="007E4DA1" w:rsidRDefault="00A350DA" w:rsidP="00DE1596">
      <w:r w:rsidRPr="007E4DA1">
        <w:t>Podanie doustne.</w:t>
      </w:r>
    </w:p>
    <w:p w14:paraId="559E3931" w14:textId="77777777" w:rsidR="00A350DA" w:rsidRPr="007E4DA1" w:rsidRDefault="00A350DA" w:rsidP="00DE1596"/>
    <w:p w14:paraId="3204E5F7" w14:textId="77777777" w:rsidR="00A350DA" w:rsidRPr="007E4DA1" w:rsidRDefault="00A350DA" w:rsidP="00DE1596"/>
    <w:p w14:paraId="413709D3"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lang w:eastAsia="en-US"/>
        </w:rPr>
        <w:t>6.</w:t>
      </w:r>
      <w:r w:rsidRPr="007E4DA1">
        <w:rPr>
          <w:b/>
          <w:lang w:eastAsia="en-US"/>
        </w:rPr>
        <w:tab/>
        <w:t xml:space="preserve">OSTRZEŻENIE DOTYCZĄCE PRZECHOWYWANIA PRODUKTU LECZNICZEGO W MIEJSCU </w:t>
      </w:r>
      <w:r w:rsidRPr="007E4DA1">
        <w:rPr>
          <w:b/>
        </w:rPr>
        <w:t xml:space="preserve">NIEWIDOCZNYM I </w:t>
      </w:r>
      <w:r w:rsidRPr="007E4DA1">
        <w:rPr>
          <w:b/>
          <w:lang w:eastAsia="en-US"/>
        </w:rPr>
        <w:t>NIEDOSTĘPNYM</w:t>
      </w:r>
      <w:r w:rsidRPr="007E4DA1">
        <w:rPr>
          <w:b/>
        </w:rPr>
        <w:t xml:space="preserve"> DLA DZIECI</w:t>
      </w:r>
    </w:p>
    <w:p w14:paraId="21D6FEA0" w14:textId="26590C3B" w:rsidR="00A350DA" w:rsidRPr="007E4DA1" w:rsidRDefault="00A350DA" w:rsidP="00DE1596"/>
    <w:p w14:paraId="4FF30AFB" w14:textId="77777777" w:rsidR="00A350DA" w:rsidRPr="007E4DA1" w:rsidRDefault="00A350DA" w:rsidP="00DE1596">
      <w:r w:rsidRPr="007E4DA1">
        <w:t>Lek przechowywać w miejscu niewidocznym i niedostępnym dla dzieci.</w:t>
      </w:r>
    </w:p>
    <w:p w14:paraId="39F90FC5" w14:textId="77777777" w:rsidR="00A350DA" w:rsidRPr="007E4DA1" w:rsidRDefault="00A350DA" w:rsidP="00DE1596"/>
    <w:p w14:paraId="22DECCCA" w14:textId="77777777" w:rsidR="00A350DA" w:rsidRPr="007E4DA1" w:rsidRDefault="00A350DA" w:rsidP="00DE1596"/>
    <w:p w14:paraId="236D9FDE"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7.</w:t>
      </w:r>
      <w:r w:rsidRPr="007E4DA1">
        <w:rPr>
          <w:b/>
        </w:rPr>
        <w:tab/>
        <w:t>INNE OSTRZEŻENIA SPECJALNE, JEŚLI KONIECZNE</w:t>
      </w:r>
    </w:p>
    <w:p w14:paraId="6D1582BA" w14:textId="7780CE0C" w:rsidR="00A350DA" w:rsidRPr="007E4DA1" w:rsidRDefault="00A350DA" w:rsidP="00DE1596"/>
    <w:p w14:paraId="6D45186C" w14:textId="77777777" w:rsidR="00A350DA" w:rsidRPr="007E4DA1" w:rsidRDefault="00A350DA" w:rsidP="00DE1596"/>
    <w:p w14:paraId="2F797BBF"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8.</w:t>
      </w:r>
      <w:r w:rsidRPr="007E4DA1">
        <w:rPr>
          <w:b/>
        </w:rPr>
        <w:tab/>
        <w:t>T</w:t>
      </w:r>
      <w:smartTag w:uri="schemas-GSKSiteLocations-com/fourthcoffee" w:element="flavor">
        <w:r w:rsidRPr="007E4DA1">
          <w:rPr>
            <w:b/>
          </w:rPr>
          <w:t>ERM</w:t>
        </w:r>
      </w:smartTag>
      <w:r w:rsidRPr="007E4DA1">
        <w:rPr>
          <w:b/>
        </w:rPr>
        <w:t>IN WAŻNOŚCI</w:t>
      </w:r>
    </w:p>
    <w:p w14:paraId="7CE6653F" w14:textId="3F9AC4B7" w:rsidR="00A350DA" w:rsidRPr="007E4DA1" w:rsidRDefault="00A350DA" w:rsidP="00DE1596"/>
    <w:p w14:paraId="2DC71295" w14:textId="6BE17935" w:rsidR="00A350DA" w:rsidRPr="007E4DA1" w:rsidRDefault="00A350DA" w:rsidP="00DE1596">
      <w:r w:rsidRPr="007E4DA1">
        <w:t>Termin ważności:</w:t>
      </w:r>
    </w:p>
    <w:p w14:paraId="492098CC" w14:textId="77777777" w:rsidR="00A350DA" w:rsidRPr="007E4DA1" w:rsidRDefault="00A350DA" w:rsidP="00DE1596"/>
    <w:p w14:paraId="0292AC92" w14:textId="77777777" w:rsidR="00A350DA" w:rsidRPr="007E4DA1" w:rsidRDefault="00A350DA" w:rsidP="00DE1596"/>
    <w:p w14:paraId="57EBFD2E" w14:textId="77777777" w:rsidR="00041A08" w:rsidRPr="00041A08" w:rsidRDefault="00A350DA" w:rsidP="00DE1596">
      <w:pPr>
        <w:keepNext/>
        <w:pBdr>
          <w:top w:val="single" w:sz="4" w:space="1" w:color="auto"/>
          <w:left w:val="single" w:sz="4" w:space="4" w:color="auto"/>
          <w:bottom w:val="single" w:sz="4" w:space="1" w:color="auto"/>
          <w:right w:val="single" w:sz="4" w:space="4" w:color="auto"/>
        </w:pBdr>
        <w:tabs>
          <w:tab w:val="left" w:pos="142"/>
        </w:tabs>
      </w:pPr>
      <w:r w:rsidRPr="007E4DA1">
        <w:rPr>
          <w:b/>
        </w:rPr>
        <w:t>9.</w:t>
      </w:r>
      <w:r w:rsidRPr="007E4DA1">
        <w:rPr>
          <w:b/>
        </w:rPr>
        <w:tab/>
        <w:t>WARUNKI PRZECHOWYWANIA</w:t>
      </w:r>
    </w:p>
    <w:p w14:paraId="38F03F19" w14:textId="628D0B00" w:rsidR="00A350DA" w:rsidRPr="007E4DA1" w:rsidRDefault="00A350DA" w:rsidP="00DE1596">
      <w:pPr>
        <w:keepNext/>
        <w:tabs>
          <w:tab w:val="left" w:pos="720"/>
        </w:tabs>
      </w:pPr>
    </w:p>
    <w:p w14:paraId="73B165AA" w14:textId="77777777" w:rsidR="00A350DA" w:rsidRPr="007E4DA1" w:rsidRDefault="00A350DA" w:rsidP="00DE1596">
      <w:pPr>
        <w:tabs>
          <w:tab w:val="left" w:pos="720"/>
        </w:tabs>
      </w:pPr>
    </w:p>
    <w:p w14:paraId="63E825A7" w14:textId="77777777" w:rsidR="00041A08" w:rsidRPr="00041A08" w:rsidRDefault="00A350DA" w:rsidP="00DE1596">
      <w:pPr>
        <w:keepNext/>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10.</w:t>
      </w:r>
      <w:r w:rsidRPr="007E4DA1">
        <w:rPr>
          <w:b/>
          <w:lang w:eastAsia="en-US"/>
        </w:rPr>
        <w:tab/>
        <w:t xml:space="preserve">SPECJALNE ŚRODKI OSTROŻNOŚCI DOTYCZĄCE USUWANIA NIEZUŻYTEGO PRODUKTU LECZNICZEGO </w:t>
      </w:r>
      <w:smartTag w:uri="urn:schemas-microsoft-com:office:smarttags" w:element="stockticker">
        <w:r w:rsidRPr="007E4DA1">
          <w:rPr>
            <w:b/>
            <w:lang w:eastAsia="en-US"/>
          </w:rPr>
          <w:t>LUB</w:t>
        </w:r>
      </w:smartTag>
      <w:r w:rsidRPr="007E4DA1">
        <w:rPr>
          <w:b/>
          <w:lang w:eastAsia="en-US"/>
        </w:rPr>
        <w:t xml:space="preserve"> POCHODZĄCYCH Z NIEGO ODPADÓW, JEŚLI WŁAŚCIWE</w:t>
      </w:r>
    </w:p>
    <w:p w14:paraId="560F3BB8" w14:textId="135CA30F" w:rsidR="00A350DA" w:rsidRPr="007E4DA1" w:rsidRDefault="00A350DA" w:rsidP="00DE1596">
      <w:pPr>
        <w:tabs>
          <w:tab w:val="left" w:pos="720"/>
        </w:tabs>
      </w:pPr>
    </w:p>
    <w:p w14:paraId="2172DAF0" w14:textId="77777777" w:rsidR="00A350DA" w:rsidRPr="007E4DA1" w:rsidRDefault="00A350DA" w:rsidP="00DE1596">
      <w:pPr>
        <w:tabs>
          <w:tab w:val="left" w:pos="720"/>
        </w:tabs>
      </w:pPr>
    </w:p>
    <w:p w14:paraId="0936DD31"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lang w:eastAsia="en-US"/>
        </w:rPr>
        <w:t>11.</w:t>
      </w:r>
      <w:r w:rsidRPr="007E4DA1">
        <w:rPr>
          <w:b/>
          <w:lang w:eastAsia="en-US"/>
        </w:rPr>
        <w:tab/>
        <w:t>NAZWA</w:t>
      </w:r>
      <w:r w:rsidRPr="007E4DA1">
        <w:rPr>
          <w:b/>
        </w:rPr>
        <w:t xml:space="preserve"> I ADRES PODMIOTU OD</w:t>
      </w:r>
      <w:smartTag w:uri="schemas-GSKSiteLocations-com/fourthcoffee" w:element="flavor">
        <w:r w:rsidRPr="007E4DA1">
          <w:rPr>
            <w:b/>
          </w:rPr>
          <w:t>POW</w:t>
        </w:r>
      </w:smartTag>
      <w:r w:rsidRPr="007E4DA1">
        <w:rPr>
          <w:b/>
        </w:rPr>
        <w:t>IEDZIALNEGO</w:t>
      </w:r>
    </w:p>
    <w:p w14:paraId="6904195E" w14:textId="5BF96224" w:rsidR="00A350DA" w:rsidRPr="007E4DA1" w:rsidRDefault="00A350DA" w:rsidP="00DE1596">
      <w:pPr>
        <w:tabs>
          <w:tab w:val="left" w:pos="720"/>
        </w:tabs>
      </w:pPr>
    </w:p>
    <w:p w14:paraId="5D4E1BFD" w14:textId="77777777" w:rsidR="00A350DA" w:rsidRPr="007E4DA1" w:rsidRDefault="00A350DA" w:rsidP="00DE1596">
      <w:r w:rsidRPr="007E4DA1">
        <w:t>Novartis Europharm Limited</w:t>
      </w:r>
    </w:p>
    <w:p w14:paraId="1894A7E2" w14:textId="77777777" w:rsidR="0091544F" w:rsidRPr="007E4DA1" w:rsidRDefault="0091544F" w:rsidP="00DE1596">
      <w:pPr>
        <w:keepNext/>
        <w:rPr>
          <w:color w:val="000000"/>
          <w:lang w:val="en-GB"/>
        </w:rPr>
      </w:pPr>
      <w:r w:rsidRPr="007E4DA1">
        <w:rPr>
          <w:color w:val="000000"/>
          <w:lang w:val="en-GB"/>
        </w:rPr>
        <w:t>Vista Building</w:t>
      </w:r>
    </w:p>
    <w:p w14:paraId="19F93CF4" w14:textId="77777777" w:rsidR="0091544F" w:rsidRPr="007E4DA1" w:rsidRDefault="0091544F" w:rsidP="00DE1596">
      <w:pPr>
        <w:keepNext/>
        <w:rPr>
          <w:color w:val="000000"/>
          <w:lang w:val="en-GB"/>
        </w:rPr>
      </w:pPr>
      <w:r w:rsidRPr="007E4DA1">
        <w:rPr>
          <w:color w:val="000000"/>
          <w:lang w:val="en-GB"/>
        </w:rPr>
        <w:t>Elm Park, Merrion Road</w:t>
      </w:r>
    </w:p>
    <w:p w14:paraId="09A42ACB" w14:textId="77777777" w:rsidR="0091544F" w:rsidRPr="007E4DA1" w:rsidRDefault="0091544F" w:rsidP="00DE1596">
      <w:pPr>
        <w:keepNext/>
        <w:rPr>
          <w:color w:val="000000"/>
        </w:rPr>
      </w:pPr>
      <w:r w:rsidRPr="007E4DA1">
        <w:rPr>
          <w:color w:val="000000"/>
        </w:rPr>
        <w:t>Dublin 4</w:t>
      </w:r>
    </w:p>
    <w:p w14:paraId="7A0A7287" w14:textId="77777777" w:rsidR="00A350DA" w:rsidRPr="007E4DA1" w:rsidRDefault="0091544F" w:rsidP="00DE1596">
      <w:pPr>
        <w:tabs>
          <w:tab w:val="left" w:pos="720"/>
        </w:tabs>
      </w:pPr>
      <w:r w:rsidRPr="007E4DA1">
        <w:rPr>
          <w:color w:val="000000"/>
        </w:rPr>
        <w:t>Irlandia</w:t>
      </w:r>
    </w:p>
    <w:p w14:paraId="7DD89B80" w14:textId="77777777" w:rsidR="00A350DA" w:rsidRPr="007E4DA1" w:rsidRDefault="00A350DA" w:rsidP="00DE1596">
      <w:pPr>
        <w:tabs>
          <w:tab w:val="left" w:pos="720"/>
        </w:tabs>
      </w:pPr>
    </w:p>
    <w:p w14:paraId="79D28471" w14:textId="77777777" w:rsidR="00A350DA" w:rsidRPr="007E4DA1" w:rsidRDefault="00A350DA" w:rsidP="00DE1596">
      <w:pPr>
        <w:tabs>
          <w:tab w:val="left" w:pos="720"/>
        </w:tabs>
      </w:pPr>
    </w:p>
    <w:p w14:paraId="0C0CF028"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12.</w:t>
      </w:r>
      <w:r w:rsidRPr="007E4DA1">
        <w:rPr>
          <w:b/>
        </w:rPr>
        <w:tab/>
        <w:t>NUMER POZWOLENIA NA DOPUSZCZENIE DO OBROTU</w:t>
      </w:r>
    </w:p>
    <w:p w14:paraId="74F73D4E" w14:textId="18D059AD" w:rsidR="00A350DA" w:rsidRPr="007E4DA1" w:rsidRDefault="00A350DA" w:rsidP="00DE1596">
      <w:pPr>
        <w:tabs>
          <w:tab w:val="left" w:pos="720"/>
        </w:tabs>
      </w:pPr>
    </w:p>
    <w:p w14:paraId="4BF7CC20" w14:textId="77777777" w:rsidR="00A350DA" w:rsidRPr="007E4DA1" w:rsidRDefault="00A350DA" w:rsidP="00DE1596">
      <w:pPr>
        <w:rPr>
          <w:lang w:val="es-ES"/>
        </w:rPr>
      </w:pPr>
      <w:r w:rsidRPr="007E4DA1">
        <w:rPr>
          <w:lang w:val="es-ES"/>
        </w:rPr>
        <w:t>EU/1/10/612/009</w:t>
      </w:r>
    </w:p>
    <w:p w14:paraId="7C5ECBF3" w14:textId="77777777" w:rsidR="00A350DA" w:rsidRPr="007E4DA1" w:rsidRDefault="00A350DA" w:rsidP="00DE1596">
      <w:pPr>
        <w:tabs>
          <w:tab w:val="left" w:pos="720"/>
        </w:tabs>
        <w:rPr>
          <w:lang w:val="es-ES"/>
        </w:rPr>
      </w:pPr>
    </w:p>
    <w:p w14:paraId="5BC331CC" w14:textId="77777777" w:rsidR="00A350DA" w:rsidRPr="007E4DA1" w:rsidRDefault="00A350DA" w:rsidP="00DE1596">
      <w:pPr>
        <w:tabs>
          <w:tab w:val="left" w:pos="720"/>
        </w:tabs>
        <w:rPr>
          <w:lang w:val="es-ES"/>
        </w:rPr>
      </w:pPr>
    </w:p>
    <w:p w14:paraId="4C11E796"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rPr>
          <w:lang w:val="es-ES"/>
        </w:rPr>
      </w:pPr>
      <w:r w:rsidRPr="007E4DA1">
        <w:rPr>
          <w:b/>
          <w:lang w:val="es-ES"/>
        </w:rPr>
        <w:t>13.</w:t>
      </w:r>
      <w:r w:rsidRPr="007E4DA1">
        <w:rPr>
          <w:b/>
          <w:lang w:val="es-ES"/>
        </w:rPr>
        <w:tab/>
        <w:t>NUMER SERII</w:t>
      </w:r>
    </w:p>
    <w:p w14:paraId="2202970E" w14:textId="6765EBBF" w:rsidR="00A350DA" w:rsidRPr="007E4DA1" w:rsidRDefault="00A350DA" w:rsidP="00DE1596">
      <w:pPr>
        <w:tabs>
          <w:tab w:val="left" w:pos="720"/>
        </w:tabs>
        <w:rPr>
          <w:lang w:val="es-ES"/>
        </w:rPr>
      </w:pPr>
    </w:p>
    <w:p w14:paraId="5869BD4A" w14:textId="7B1FB363" w:rsidR="00A350DA" w:rsidRPr="007E4DA1" w:rsidRDefault="00DC7A8F" w:rsidP="00DE1596">
      <w:pPr>
        <w:tabs>
          <w:tab w:val="left" w:pos="720"/>
        </w:tabs>
        <w:rPr>
          <w:lang w:val="es-ES"/>
        </w:rPr>
      </w:pPr>
      <w:proofErr w:type="spellStart"/>
      <w:r w:rsidRPr="007E4DA1">
        <w:rPr>
          <w:lang w:val="es-ES"/>
        </w:rPr>
        <w:t>Nr</w:t>
      </w:r>
      <w:proofErr w:type="spellEnd"/>
      <w:r w:rsidRPr="007E4DA1">
        <w:rPr>
          <w:lang w:val="es-ES"/>
        </w:rPr>
        <w:t xml:space="preserve"> </w:t>
      </w:r>
      <w:proofErr w:type="spellStart"/>
      <w:r w:rsidR="00A350DA" w:rsidRPr="007E4DA1">
        <w:rPr>
          <w:lang w:val="es-ES"/>
        </w:rPr>
        <w:t>serii</w:t>
      </w:r>
      <w:proofErr w:type="spellEnd"/>
      <w:r w:rsidR="00A350DA" w:rsidRPr="007E4DA1">
        <w:rPr>
          <w:lang w:val="es-ES"/>
        </w:rPr>
        <w:t>:</w:t>
      </w:r>
    </w:p>
    <w:p w14:paraId="6B8FAB7A" w14:textId="77777777" w:rsidR="00A350DA" w:rsidRPr="007E4DA1" w:rsidRDefault="00A350DA" w:rsidP="00DE1596">
      <w:pPr>
        <w:tabs>
          <w:tab w:val="left" w:pos="720"/>
        </w:tabs>
        <w:rPr>
          <w:lang w:val="es-ES"/>
        </w:rPr>
      </w:pPr>
    </w:p>
    <w:p w14:paraId="01B2613C" w14:textId="77777777" w:rsidR="00A350DA" w:rsidRPr="007E4DA1" w:rsidRDefault="00A350DA" w:rsidP="00DE1596">
      <w:pPr>
        <w:tabs>
          <w:tab w:val="left" w:pos="720"/>
        </w:tabs>
        <w:rPr>
          <w:lang w:val="es-ES"/>
        </w:rPr>
      </w:pPr>
    </w:p>
    <w:p w14:paraId="0022F001"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14.</w:t>
      </w:r>
      <w:r w:rsidRPr="007E4DA1">
        <w:rPr>
          <w:b/>
        </w:rPr>
        <w:tab/>
        <w:t>OGÓLNA KATEGORIA DOSTĘPNOŚCI</w:t>
      </w:r>
    </w:p>
    <w:p w14:paraId="0D37E425" w14:textId="65EE403A" w:rsidR="00A350DA" w:rsidRPr="007E4DA1" w:rsidRDefault="00A350DA" w:rsidP="00DE1596">
      <w:pPr>
        <w:tabs>
          <w:tab w:val="left" w:pos="720"/>
        </w:tabs>
      </w:pPr>
    </w:p>
    <w:p w14:paraId="34382114" w14:textId="77777777" w:rsidR="00A350DA" w:rsidRPr="007E4DA1" w:rsidRDefault="00A350DA" w:rsidP="00DE1596">
      <w:pPr>
        <w:tabs>
          <w:tab w:val="left" w:pos="720"/>
        </w:tabs>
      </w:pPr>
    </w:p>
    <w:p w14:paraId="4BF1A2B2"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15.</w:t>
      </w:r>
      <w:r w:rsidRPr="007E4DA1">
        <w:rPr>
          <w:b/>
        </w:rPr>
        <w:tab/>
        <w:t>INSTRUKCJA UŻYCIA</w:t>
      </w:r>
    </w:p>
    <w:p w14:paraId="5A2413B8" w14:textId="575DFE4D" w:rsidR="00A350DA" w:rsidRPr="007E4DA1" w:rsidRDefault="00A350DA" w:rsidP="00DE1596">
      <w:pPr>
        <w:tabs>
          <w:tab w:val="left" w:pos="720"/>
        </w:tabs>
      </w:pPr>
    </w:p>
    <w:p w14:paraId="35156884" w14:textId="77777777" w:rsidR="00A350DA" w:rsidRPr="007E4DA1" w:rsidRDefault="00A350DA" w:rsidP="00DE1596">
      <w:pPr>
        <w:tabs>
          <w:tab w:val="left" w:pos="720"/>
        </w:tabs>
      </w:pPr>
    </w:p>
    <w:p w14:paraId="11574E4C"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720"/>
        </w:tabs>
      </w:pPr>
      <w:r w:rsidRPr="007E4DA1">
        <w:rPr>
          <w:b/>
        </w:rPr>
        <w:t>16.</w:t>
      </w:r>
      <w:r w:rsidRPr="007E4DA1">
        <w:rPr>
          <w:b/>
        </w:rPr>
        <w:tab/>
        <w:t>INFORMACJA PODANA SYSTEMEM BRAILLE’A</w:t>
      </w:r>
    </w:p>
    <w:p w14:paraId="5D6371E1" w14:textId="77777777" w:rsidR="00A350DA" w:rsidRPr="007E4DA1" w:rsidRDefault="00A350DA" w:rsidP="00DE1596">
      <w:pPr>
        <w:tabs>
          <w:tab w:val="left" w:pos="720"/>
        </w:tabs>
      </w:pPr>
    </w:p>
    <w:p w14:paraId="4B14AE63" w14:textId="77777777" w:rsidR="00A350DA" w:rsidRPr="007E4DA1" w:rsidRDefault="00A350DA" w:rsidP="00DE1596">
      <w:pPr>
        <w:tabs>
          <w:tab w:val="left" w:pos="720"/>
        </w:tabs>
      </w:pPr>
      <w:r w:rsidRPr="007E4DA1">
        <w:t>revolade 75 mg</w:t>
      </w:r>
    </w:p>
    <w:p w14:paraId="7372EA26" w14:textId="77777777" w:rsidR="00A350DA" w:rsidRPr="007E4DA1" w:rsidRDefault="00A350DA" w:rsidP="00DE1596">
      <w:pPr>
        <w:tabs>
          <w:tab w:val="left" w:pos="720"/>
        </w:tabs>
      </w:pPr>
    </w:p>
    <w:p w14:paraId="1A8D9A02" w14:textId="77777777" w:rsidR="00A350DA" w:rsidRPr="007E4DA1" w:rsidRDefault="00A350DA" w:rsidP="00DE1596">
      <w:pPr>
        <w:tabs>
          <w:tab w:val="left" w:pos="720"/>
        </w:tabs>
      </w:pPr>
      <w:r w:rsidRPr="007E4DA1">
        <w:br w:type="page"/>
      </w:r>
    </w:p>
    <w:p w14:paraId="455A0F46" w14:textId="77777777" w:rsidR="00AA3184" w:rsidRPr="007E4DA1" w:rsidRDefault="00AA3184" w:rsidP="00DE1596">
      <w:pPr>
        <w:tabs>
          <w:tab w:val="left" w:pos="720"/>
        </w:tabs>
        <w:ind w:left="0" w:firstLine="0"/>
      </w:pPr>
    </w:p>
    <w:p w14:paraId="39280CBE"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720"/>
        </w:tabs>
        <w:ind w:left="0" w:firstLine="0"/>
      </w:pPr>
      <w:r w:rsidRPr="007E4DA1">
        <w:rPr>
          <w:b/>
        </w:rPr>
        <w:t xml:space="preserve">MINIMUM INFORMACJI ZAMIESZCZANYCH NA BLISTRACH </w:t>
      </w:r>
      <w:smartTag w:uri="urn:schemas-microsoft-com:office:smarttags" w:element="stockticker">
        <w:r w:rsidRPr="007E4DA1">
          <w:rPr>
            <w:b/>
          </w:rPr>
          <w:t>LUB</w:t>
        </w:r>
      </w:smartTag>
      <w:r w:rsidRPr="007E4DA1">
        <w:rPr>
          <w:b/>
        </w:rPr>
        <w:t xml:space="preserve"> OPAKOWANIACH FOLIOWYCH</w:t>
      </w:r>
    </w:p>
    <w:p w14:paraId="0CC89948" w14:textId="0FFB5CE9" w:rsidR="00A350DA" w:rsidRPr="007E4DA1" w:rsidRDefault="00A350DA" w:rsidP="00DE1596">
      <w:pPr>
        <w:pBdr>
          <w:top w:val="single" w:sz="4" w:space="1" w:color="auto"/>
          <w:left w:val="single" w:sz="4" w:space="4" w:color="auto"/>
          <w:bottom w:val="single" w:sz="4" w:space="1" w:color="auto"/>
          <w:right w:val="single" w:sz="4" w:space="4" w:color="auto"/>
        </w:pBdr>
        <w:tabs>
          <w:tab w:val="left" w:pos="720"/>
        </w:tabs>
        <w:ind w:left="0" w:firstLine="0"/>
      </w:pPr>
    </w:p>
    <w:p w14:paraId="017EDC64"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720"/>
        </w:tabs>
        <w:ind w:left="0" w:firstLine="0"/>
      </w:pPr>
      <w:r w:rsidRPr="007E4DA1">
        <w:rPr>
          <w:b/>
          <w:bCs/>
        </w:rPr>
        <w:t>Blister</w:t>
      </w:r>
    </w:p>
    <w:p w14:paraId="3B7C6252" w14:textId="507DB468" w:rsidR="00A350DA" w:rsidRPr="007E4DA1" w:rsidRDefault="00A350DA" w:rsidP="00DE1596">
      <w:pPr>
        <w:tabs>
          <w:tab w:val="left" w:pos="720"/>
        </w:tabs>
      </w:pPr>
    </w:p>
    <w:p w14:paraId="2DD4C6D8" w14:textId="77777777" w:rsidR="00A350DA" w:rsidRPr="007E4DA1" w:rsidRDefault="00A350DA" w:rsidP="00DE1596">
      <w:pPr>
        <w:tabs>
          <w:tab w:val="left" w:pos="720"/>
        </w:tabs>
      </w:pPr>
    </w:p>
    <w:p w14:paraId="09747CED"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1.</w:t>
      </w:r>
      <w:r w:rsidRPr="007E4DA1">
        <w:rPr>
          <w:b/>
        </w:rPr>
        <w:tab/>
        <w:t>NAZWA PRODUKTU LECZNICZEGO</w:t>
      </w:r>
    </w:p>
    <w:p w14:paraId="7DD12DD5" w14:textId="7AD99D4D" w:rsidR="00A350DA" w:rsidRPr="007E4DA1" w:rsidRDefault="00A350DA" w:rsidP="00DE1596"/>
    <w:p w14:paraId="5CD840AF" w14:textId="77777777" w:rsidR="00A350DA" w:rsidRPr="007E4DA1" w:rsidRDefault="00A350DA" w:rsidP="00DE1596">
      <w:r w:rsidRPr="007E4DA1">
        <w:t>Revolade 75 mg tabletki powlekane</w:t>
      </w:r>
    </w:p>
    <w:p w14:paraId="6F366099" w14:textId="77777777" w:rsidR="00410505" w:rsidRPr="007E4DA1" w:rsidRDefault="00410505" w:rsidP="00DE1596"/>
    <w:p w14:paraId="1424C46C" w14:textId="77777777" w:rsidR="00A350DA" w:rsidRPr="007E4DA1" w:rsidRDefault="00A350DA" w:rsidP="00DE1596">
      <w:r w:rsidRPr="007E4DA1">
        <w:t>eltrombopag</w:t>
      </w:r>
    </w:p>
    <w:p w14:paraId="61901A01" w14:textId="77777777" w:rsidR="00A350DA" w:rsidRPr="007E4DA1" w:rsidRDefault="00A350DA" w:rsidP="00DE1596">
      <w:pPr>
        <w:tabs>
          <w:tab w:val="left" w:pos="720"/>
        </w:tabs>
      </w:pPr>
    </w:p>
    <w:p w14:paraId="70429019" w14:textId="77777777" w:rsidR="00A350DA" w:rsidRPr="007E4DA1" w:rsidRDefault="00A350DA" w:rsidP="00DE1596">
      <w:pPr>
        <w:tabs>
          <w:tab w:val="left" w:pos="720"/>
        </w:tabs>
      </w:pPr>
    </w:p>
    <w:p w14:paraId="14A126C4"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2.</w:t>
      </w:r>
      <w:r w:rsidRPr="007E4DA1">
        <w:rPr>
          <w:b/>
        </w:rPr>
        <w:tab/>
        <w:t>NAZWA PODMIOTU OD</w:t>
      </w:r>
      <w:smartTag w:uri="schemas-GSKSiteLocations-com/fourthcoffee" w:element="flavor">
        <w:r w:rsidRPr="007E4DA1">
          <w:rPr>
            <w:b/>
          </w:rPr>
          <w:t>POW</w:t>
        </w:r>
      </w:smartTag>
      <w:r w:rsidRPr="007E4DA1">
        <w:rPr>
          <w:b/>
        </w:rPr>
        <w:t>IEDZIALNEGO</w:t>
      </w:r>
    </w:p>
    <w:p w14:paraId="20DBA627" w14:textId="54E948F8" w:rsidR="00A350DA" w:rsidRPr="007E4DA1" w:rsidRDefault="00A350DA" w:rsidP="00DE1596">
      <w:pPr>
        <w:tabs>
          <w:tab w:val="left" w:pos="720"/>
        </w:tabs>
      </w:pPr>
    </w:p>
    <w:p w14:paraId="2581F764" w14:textId="77777777" w:rsidR="00A350DA" w:rsidRPr="007E4DA1" w:rsidRDefault="00A350DA" w:rsidP="00DE1596">
      <w:r w:rsidRPr="007E4DA1">
        <w:t>Novartis Europharm Limited</w:t>
      </w:r>
    </w:p>
    <w:p w14:paraId="05FC8D46" w14:textId="77777777" w:rsidR="00A350DA" w:rsidRPr="007E4DA1" w:rsidRDefault="00A350DA" w:rsidP="00DE1596">
      <w:pPr>
        <w:tabs>
          <w:tab w:val="left" w:pos="720"/>
        </w:tabs>
      </w:pPr>
    </w:p>
    <w:p w14:paraId="44C47705" w14:textId="77777777" w:rsidR="00A350DA" w:rsidRPr="007E4DA1" w:rsidRDefault="00A350DA" w:rsidP="00DE1596">
      <w:pPr>
        <w:tabs>
          <w:tab w:val="left" w:pos="720"/>
        </w:tabs>
      </w:pPr>
    </w:p>
    <w:p w14:paraId="3F25F412"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3.</w:t>
      </w:r>
      <w:r w:rsidRPr="007E4DA1">
        <w:rPr>
          <w:b/>
        </w:rPr>
        <w:tab/>
        <w:t>T</w:t>
      </w:r>
      <w:smartTag w:uri="schemas-GSKSiteLocations-com/fourthcoffee" w:element="flavor">
        <w:r w:rsidRPr="007E4DA1">
          <w:rPr>
            <w:b/>
          </w:rPr>
          <w:t>ERM</w:t>
        </w:r>
      </w:smartTag>
      <w:r w:rsidRPr="007E4DA1">
        <w:rPr>
          <w:b/>
        </w:rPr>
        <w:t>IN WAŻNOŚCI</w:t>
      </w:r>
    </w:p>
    <w:p w14:paraId="44765EE5" w14:textId="0558EA6C" w:rsidR="00A350DA" w:rsidRPr="007E4DA1" w:rsidRDefault="00A350DA" w:rsidP="00DE1596">
      <w:pPr>
        <w:tabs>
          <w:tab w:val="left" w:pos="720"/>
        </w:tabs>
      </w:pPr>
    </w:p>
    <w:p w14:paraId="0C23609E" w14:textId="77777777" w:rsidR="00A350DA" w:rsidRPr="007E4DA1" w:rsidRDefault="00A350DA" w:rsidP="00DE1596">
      <w:pPr>
        <w:tabs>
          <w:tab w:val="left" w:pos="720"/>
        </w:tabs>
      </w:pPr>
      <w:r w:rsidRPr="007E4DA1">
        <w:t>EXP</w:t>
      </w:r>
    </w:p>
    <w:p w14:paraId="443E56AE" w14:textId="77777777" w:rsidR="00A350DA" w:rsidRPr="007E4DA1" w:rsidRDefault="00A350DA" w:rsidP="00DE1596">
      <w:pPr>
        <w:tabs>
          <w:tab w:val="left" w:pos="720"/>
        </w:tabs>
      </w:pPr>
    </w:p>
    <w:p w14:paraId="26901D6A" w14:textId="77777777" w:rsidR="00A350DA" w:rsidRPr="007E4DA1" w:rsidRDefault="00A350DA" w:rsidP="00DE1596">
      <w:pPr>
        <w:tabs>
          <w:tab w:val="left" w:pos="720"/>
        </w:tabs>
      </w:pPr>
    </w:p>
    <w:p w14:paraId="649C495B"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4.</w:t>
      </w:r>
      <w:r w:rsidRPr="007E4DA1">
        <w:rPr>
          <w:b/>
        </w:rPr>
        <w:tab/>
        <w:t>NUMER SERII</w:t>
      </w:r>
    </w:p>
    <w:p w14:paraId="0672AAFC" w14:textId="2E113147" w:rsidR="00A350DA" w:rsidRPr="007E4DA1" w:rsidRDefault="00A350DA" w:rsidP="00DE1596">
      <w:pPr>
        <w:tabs>
          <w:tab w:val="left" w:pos="720"/>
        </w:tabs>
      </w:pPr>
    </w:p>
    <w:p w14:paraId="781635F3" w14:textId="77777777" w:rsidR="00A350DA" w:rsidRPr="007E4DA1" w:rsidRDefault="00A350DA" w:rsidP="00DE1596">
      <w:pPr>
        <w:tabs>
          <w:tab w:val="left" w:pos="720"/>
        </w:tabs>
      </w:pPr>
      <w:r w:rsidRPr="007E4DA1">
        <w:t>Lot</w:t>
      </w:r>
    </w:p>
    <w:p w14:paraId="0720A927" w14:textId="77777777" w:rsidR="00A350DA" w:rsidRPr="007E4DA1" w:rsidRDefault="00A350DA" w:rsidP="00DE1596">
      <w:pPr>
        <w:tabs>
          <w:tab w:val="left" w:pos="720"/>
        </w:tabs>
      </w:pPr>
    </w:p>
    <w:p w14:paraId="0B05E782" w14:textId="77777777" w:rsidR="00A350DA" w:rsidRPr="007E4DA1" w:rsidRDefault="00A350DA" w:rsidP="00DE1596">
      <w:pPr>
        <w:tabs>
          <w:tab w:val="left" w:pos="720"/>
        </w:tabs>
      </w:pPr>
    </w:p>
    <w:p w14:paraId="7C8F0B63"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720"/>
        </w:tabs>
      </w:pPr>
      <w:r w:rsidRPr="007E4DA1">
        <w:rPr>
          <w:b/>
        </w:rPr>
        <w:t>5.</w:t>
      </w:r>
      <w:r w:rsidRPr="007E4DA1">
        <w:rPr>
          <w:b/>
        </w:rPr>
        <w:tab/>
        <w:t>INNE</w:t>
      </w:r>
    </w:p>
    <w:p w14:paraId="16B4D8C4" w14:textId="77777777" w:rsidR="00A350DA" w:rsidRPr="007E4DA1" w:rsidRDefault="00A350DA" w:rsidP="00DE1596">
      <w:pPr>
        <w:tabs>
          <w:tab w:val="left" w:pos="720"/>
        </w:tabs>
      </w:pPr>
    </w:p>
    <w:p w14:paraId="32EC9E29" w14:textId="77777777" w:rsidR="00A350DA" w:rsidRPr="007E4DA1" w:rsidRDefault="00A350DA" w:rsidP="00DE1596">
      <w:pPr>
        <w:tabs>
          <w:tab w:val="left" w:pos="720"/>
        </w:tabs>
      </w:pPr>
    </w:p>
    <w:p w14:paraId="3A7C6542" w14:textId="77777777" w:rsidR="00A350DA" w:rsidRPr="007E4DA1" w:rsidRDefault="00A350DA" w:rsidP="00DE1596">
      <w:r w:rsidRPr="007E4DA1">
        <w:br w:type="page"/>
      </w:r>
    </w:p>
    <w:p w14:paraId="51457110" w14:textId="77777777" w:rsidR="00AA3184" w:rsidRPr="007E4DA1" w:rsidRDefault="00AA3184" w:rsidP="00DE1596">
      <w:pPr>
        <w:ind w:left="-32" w:firstLine="32"/>
      </w:pPr>
    </w:p>
    <w:p w14:paraId="3DD5B7EE" w14:textId="77777777" w:rsidR="00041A08" w:rsidRPr="00041A08" w:rsidRDefault="00A350DA" w:rsidP="00DE1596">
      <w:pPr>
        <w:pBdr>
          <w:top w:val="single" w:sz="4" w:space="1" w:color="auto"/>
          <w:left w:val="single" w:sz="4" w:space="4" w:color="auto"/>
          <w:bottom w:val="single" w:sz="4" w:space="1" w:color="auto"/>
          <w:right w:val="single" w:sz="4" w:space="4" w:color="auto"/>
        </w:pBdr>
        <w:ind w:left="-32" w:firstLine="32"/>
      </w:pPr>
      <w:r w:rsidRPr="007E4DA1">
        <w:rPr>
          <w:b/>
        </w:rPr>
        <w:t>INFORMACJE ZAMIESZCZANE NA OPAKOWANIACH ZEWNĘTRZNYCH</w:t>
      </w:r>
    </w:p>
    <w:p w14:paraId="175844B2" w14:textId="5AB71CB8" w:rsidR="00A350DA" w:rsidRPr="007E4DA1" w:rsidRDefault="00A350DA" w:rsidP="00DE1596">
      <w:pPr>
        <w:pBdr>
          <w:top w:val="single" w:sz="4" w:space="1" w:color="auto"/>
          <w:left w:val="single" w:sz="4" w:space="4" w:color="auto"/>
          <w:bottom w:val="single" w:sz="4" w:space="1" w:color="auto"/>
          <w:right w:val="single" w:sz="4" w:space="4" w:color="auto"/>
        </w:pBdr>
        <w:ind w:left="-32" w:firstLine="32"/>
      </w:pPr>
    </w:p>
    <w:p w14:paraId="0A861DB0" w14:textId="77777777" w:rsidR="00041A08" w:rsidRPr="00041A08" w:rsidRDefault="00A350DA" w:rsidP="00DE1596">
      <w:pPr>
        <w:pBdr>
          <w:top w:val="single" w:sz="4" w:space="1" w:color="auto"/>
          <w:left w:val="single" w:sz="4" w:space="4" w:color="auto"/>
          <w:bottom w:val="single" w:sz="4" w:space="1" w:color="auto"/>
          <w:right w:val="single" w:sz="4" w:space="4" w:color="auto"/>
        </w:pBdr>
        <w:ind w:left="-32" w:firstLine="32"/>
      </w:pPr>
      <w:r w:rsidRPr="007E4DA1">
        <w:rPr>
          <w:b/>
        </w:rPr>
        <w:t>PUDEŁKO 25</w:t>
      </w:r>
      <w:r w:rsidR="00DB76DE" w:rsidRPr="007E4DA1">
        <w:rPr>
          <w:b/>
        </w:rPr>
        <w:t> </w:t>
      </w:r>
      <w:r w:rsidRPr="007E4DA1">
        <w:rPr>
          <w:b/>
        </w:rPr>
        <w:t>mg</w:t>
      </w:r>
      <w:r w:rsidR="007C32B2" w:rsidRPr="007E4DA1">
        <w:rPr>
          <w:b/>
        </w:rPr>
        <w:t xml:space="preserve"> proszek do sporządzania zawiesiny</w:t>
      </w:r>
    </w:p>
    <w:p w14:paraId="0B15FB45" w14:textId="4AFDED51" w:rsidR="00A350DA" w:rsidRPr="007E4DA1" w:rsidRDefault="00A350DA" w:rsidP="00DE1596"/>
    <w:p w14:paraId="65554993" w14:textId="77777777" w:rsidR="00A350DA" w:rsidRPr="007E4DA1" w:rsidRDefault="00A350DA" w:rsidP="00DE1596"/>
    <w:p w14:paraId="2D832F71"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1.</w:t>
      </w:r>
      <w:r w:rsidRPr="007E4DA1">
        <w:rPr>
          <w:b/>
          <w:lang w:eastAsia="en-US"/>
        </w:rPr>
        <w:tab/>
        <w:t>NAZWA PRODUKTU LECZNICZEGO</w:t>
      </w:r>
    </w:p>
    <w:p w14:paraId="25CBDE9D" w14:textId="562D9392" w:rsidR="00A350DA" w:rsidRPr="007E4DA1" w:rsidRDefault="00A350DA" w:rsidP="00DE1596"/>
    <w:p w14:paraId="1927FEB6" w14:textId="77777777" w:rsidR="00A350DA" w:rsidRPr="007E4DA1" w:rsidRDefault="00A350DA" w:rsidP="00DE1596">
      <w:r w:rsidRPr="007E4DA1">
        <w:t xml:space="preserve">Revolade 25 mg </w:t>
      </w:r>
      <w:r w:rsidR="007C32B2" w:rsidRPr="007E4DA1">
        <w:t>proszek do sporządzania zawiesiny doustnej</w:t>
      </w:r>
    </w:p>
    <w:p w14:paraId="2E633F25" w14:textId="77777777" w:rsidR="00410505" w:rsidRPr="007E4DA1" w:rsidRDefault="00410505" w:rsidP="00DE1596"/>
    <w:p w14:paraId="307A3CAB" w14:textId="77777777" w:rsidR="00A350DA" w:rsidRPr="007E4DA1" w:rsidRDefault="00A350DA" w:rsidP="00DE1596">
      <w:r w:rsidRPr="007E4DA1">
        <w:t>eltrombopag</w:t>
      </w:r>
    </w:p>
    <w:p w14:paraId="5C7637DF" w14:textId="77777777" w:rsidR="00A350DA" w:rsidRPr="007E4DA1" w:rsidRDefault="00A350DA" w:rsidP="00DE1596"/>
    <w:p w14:paraId="3E4A585A" w14:textId="77777777" w:rsidR="00A350DA" w:rsidRPr="007E4DA1" w:rsidRDefault="00A350DA" w:rsidP="00DE1596"/>
    <w:p w14:paraId="057521BF"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lang w:eastAsia="en-US"/>
        </w:rPr>
        <w:t>2.</w:t>
      </w:r>
      <w:r w:rsidRPr="007E4DA1">
        <w:rPr>
          <w:b/>
          <w:lang w:eastAsia="en-US"/>
        </w:rPr>
        <w:tab/>
        <w:t>ZAWARTOŚĆ SUBSTANCJI CZYNNEJ</w:t>
      </w:r>
    </w:p>
    <w:p w14:paraId="50DBE349" w14:textId="1CBFCF01" w:rsidR="00A350DA" w:rsidRPr="007E4DA1" w:rsidRDefault="00A350DA" w:rsidP="00DE1596"/>
    <w:p w14:paraId="1EAB3D2A" w14:textId="77777777" w:rsidR="00A350DA" w:rsidRPr="007E4DA1" w:rsidRDefault="00A350DA" w:rsidP="00DE1596">
      <w:pPr>
        <w:ind w:left="0" w:firstLine="0"/>
      </w:pPr>
      <w:r w:rsidRPr="007E4DA1">
        <w:t>Każda</w:t>
      </w:r>
      <w:r w:rsidR="007C32B2" w:rsidRPr="007E4DA1">
        <w:t xml:space="preserve"> saszetka</w:t>
      </w:r>
      <w:r w:rsidRPr="007E4DA1">
        <w:t xml:space="preserve"> zawiera eltrombopag z olaminą w ilości odpowiadającej 25 mg eltrombopagu.</w:t>
      </w:r>
    </w:p>
    <w:p w14:paraId="2A563F56" w14:textId="77777777" w:rsidR="00A350DA" w:rsidRPr="007E4DA1" w:rsidRDefault="00A350DA" w:rsidP="00DE1596"/>
    <w:p w14:paraId="49C8A03B" w14:textId="77777777" w:rsidR="00A350DA" w:rsidRPr="007E4DA1" w:rsidRDefault="00A350DA" w:rsidP="00DE1596"/>
    <w:p w14:paraId="7F5CC42D" w14:textId="77777777" w:rsidR="00041A08" w:rsidRPr="00041A08" w:rsidRDefault="00A350DA" w:rsidP="00DE1596">
      <w:pPr>
        <w:pBdr>
          <w:top w:val="single" w:sz="4" w:space="1" w:color="auto"/>
          <w:left w:val="single" w:sz="4" w:space="4" w:color="auto"/>
          <w:bottom w:val="single" w:sz="4" w:space="2" w:color="auto"/>
          <w:right w:val="single" w:sz="4" w:space="4" w:color="auto"/>
        </w:pBdr>
        <w:tabs>
          <w:tab w:val="left" w:pos="142"/>
        </w:tabs>
        <w:rPr>
          <w:lang w:eastAsia="en-US"/>
        </w:rPr>
      </w:pPr>
      <w:r w:rsidRPr="007E4DA1">
        <w:rPr>
          <w:b/>
          <w:lang w:eastAsia="en-US"/>
        </w:rPr>
        <w:t>3.</w:t>
      </w:r>
      <w:r w:rsidRPr="007E4DA1">
        <w:rPr>
          <w:b/>
          <w:lang w:eastAsia="en-US"/>
        </w:rPr>
        <w:tab/>
        <w:t>WYKAZ SUBSTANCJI POMOCNICZYCH</w:t>
      </w:r>
    </w:p>
    <w:p w14:paraId="17C19225" w14:textId="799C61B1" w:rsidR="00A350DA" w:rsidRPr="007E4DA1" w:rsidRDefault="00A350DA" w:rsidP="00DE1596"/>
    <w:p w14:paraId="7810646A" w14:textId="77777777" w:rsidR="00A350DA" w:rsidRPr="007E4DA1" w:rsidRDefault="00A350DA" w:rsidP="00DE1596"/>
    <w:p w14:paraId="14B90341"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4.</w:t>
      </w:r>
      <w:r w:rsidRPr="007E4DA1">
        <w:rPr>
          <w:b/>
          <w:lang w:eastAsia="en-US"/>
        </w:rPr>
        <w:tab/>
        <w:t>POSTAĆ FARMACEUTYCZNA I ZAWARTOŚĆ OPAKOWANIA</w:t>
      </w:r>
    </w:p>
    <w:p w14:paraId="35BA1A56" w14:textId="24DEDC60" w:rsidR="00A350DA" w:rsidRPr="007E4DA1" w:rsidRDefault="00A350DA" w:rsidP="00DE1596">
      <w:pPr>
        <w:rPr>
          <w:bCs/>
        </w:rPr>
      </w:pPr>
    </w:p>
    <w:p w14:paraId="3F911A7A" w14:textId="0A31E1E4" w:rsidR="00A350DA" w:rsidRPr="007E4DA1" w:rsidRDefault="007C32B2" w:rsidP="00DE1596">
      <w:pPr>
        <w:ind w:left="0" w:firstLine="0"/>
      </w:pPr>
      <w:r w:rsidRPr="007E4DA1">
        <w:t>30</w:t>
      </w:r>
      <w:r w:rsidR="00DB76DE" w:rsidRPr="007E4DA1">
        <w:t> </w:t>
      </w:r>
      <w:r w:rsidRPr="007E4DA1">
        <w:t>saszetek i 1</w:t>
      </w:r>
      <w:r w:rsidR="00DB76DE" w:rsidRPr="007E4DA1">
        <w:t> </w:t>
      </w:r>
      <w:r w:rsidRPr="007E4DA1">
        <w:t xml:space="preserve">butelka </w:t>
      </w:r>
      <w:r w:rsidR="00ED19CE" w:rsidRPr="007E4DA1">
        <w:t xml:space="preserve">służąca </w:t>
      </w:r>
      <w:r w:rsidRPr="007E4DA1">
        <w:t xml:space="preserve">do przygotowania mieszaniny + </w:t>
      </w:r>
      <w:r w:rsidR="003B7E37" w:rsidRPr="007E4DA1">
        <w:t xml:space="preserve">30 doustnych </w:t>
      </w:r>
      <w:r w:rsidRPr="007E4DA1">
        <w:t>strzykaw</w:t>
      </w:r>
      <w:r w:rsidR="003B7E37" w:rsidRPr="007E4DA1">
        <w:t>ek</w:t>
      </w:r>
      <w:r w:rsidR="0073654B" w:rsidRPr="007E4DA1">
        <w:t xml:space="preserve"> jednorazowego użytku</w:t>
      </w:r>
    </w:p>
    <w:p w14:paraId="3CB18DDE" w14:textId="77777777" w:rsidR="00A350DA" w:rsidRPr="007E4DA1" w:rsidRDefault="00A350DA" w:rsidP="00DE1596"/>
    <w:p w14:paraId="029C456F" w14:textId="77777777" w:rsidR="00A350DA" w:rsidRPr="007E4DA1" w:rsidRDefault="00A350DA" w:rsidP="00DE1596">
      <w:pPr>
        <w:rPr>
          <w:bCs/>
        </w:rPr>
      </w:pPr>
    </w:p>
    <w:p w14:paraId="6046CE39"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5.</w:t>
      </w:r>
      <w:r w:rsidRPr="007E4DA1">
        <w:rPr>
          <w:b/>
          <w:lang w:eastAsia="en-US"/>
        </w:rPr>
        <w:tab/>
        <w:t>SPOSÓB I DROGA PODANIA</w:t>
      </w:r>
    </w:p>
    <w:p w14:paraId="3625D75F" w14:textId="18BE86D1" w:rsidR="00A350DA" w:rsidRPr="007E4DA1" w:rsidRDefault="00A350DA" w:rsidP="00DE1596"/>
    <w:p w14:paraId="64C42F2D" w14:textId="77777777" w:rsidR="00A350DA" w:rsidRPr="007E4DA1" w:rsidRDefault="00A350DA" w:rsidP="00DE1596">
      <w:r w:rsidRPr="007E4DA1">
        <w:t>Należy zapoznać się z treścią ulotki przed zastosowaniem leku.</w:t>
      </w:r>
    </w:p>
    <w:p w14:paraId="5552BF1E" w14:textId="77777777" w:rsidR="00A350DA" w:rsidRPr="007E4DA1" w:rsidRDefault="00A350DA" w:rsidP="00DE1596">
      <w:r w:rsidRPr="007E4DA1">
        <w:t>Podanie doustne.</w:t>
      </w:r>
    </w:p>
    <w:p w14:paraId="627ABFB5" w14:textId="77777777" w:rsidR="00A350DA" w:rsidRPr="007E4DA1" w:rsidRDefault="00A350DA" w:rsidP="00DE1596"/>
    <w:p w14:paraId="1A196C7B" w14:textId="77777777" w:rsidR="00A350DA" w:rsidRPr="007E4DA1" w:rsidRDefault="00A350DA" w:rsidP="00DE1596"/>
    <w:p w14:paraId="331B889A"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lang w:eastAsia="en-US"/>
        </w:rPr>
        <w:t>6.</w:t>
      </w:r>
      <w:r w:rsidRPr="007E4DA1">
        <w:rPr>
          <w:b/>
          <w:lang w:eastAsia="en-US"/>
        </w:rPr>
        <w:tab/>
        <w:t xml:space="preserve">OSTRZEŻENIE DOTYCZĄCE PRZECHOWYWANIA PRODUKTU LECZNICZEGO W MIEJSCU </w:t>
      </w:r>
      <w:r w:rsidRPr="007E4DA1">
        <w:rPr>
          <w:b/>
        </w:rPr>
        <w:t xml:space="preserve">NIEWIDOCZNYM I </w:t>
      </w:r>
      <w:r w:rsidRPr="007E4DA1">
        <w:rPr>
          <w:b/>
          <w:lang w:eastAsia="en-US"/>
        </w:rPr>
        <w:t>NIEDOSTĘPNYM</w:t>
      </w:r>
      <w:r w:rsidRPr="007E4DA1">
        <w:rPr>
          <w:b/>
        </w:rPr>
        <w:t xml:space="preserve"> DLA DZIECI</w:t>
      </w:r>
    </w:p>
    <w:p w14:paraId="6CD22909" w14:textId="176259CB" w:rsidR="00A350DA" w:rsidRPr="007E4DA1" w:rsidRDefault="00A350DA" w:rsidP="00DE1596"/>
    <w:p w14:paraId="557D358E" w14:textId="77777777" w:rsidR="00A350DA" w:rsidRPr="007E4DA1" w:rsidRDefault="00A350DA" w:rsidP="00DE1596">
      <w:r w:rsidRPr="007E4DA1">
        <w:t>Lek przechowywać w miejscu niewidocznym i niedostępnym dla dzieci.</w:t>
      </w:r>
    </w:p>
    <w:p w14:paraId="3F7C6905" w14:textId="77777777" w:rsidR="00A350DA" w:rsidRPr="007E4DA1" w:rsidRDefault="00A350DA" w:rsidP="00DE1596"/>
    <w:p w14:paraId="22D5B5E4" w14:textId="77777777" w:rsidR="00A350DA" w:rsidRPr="007E4DA1" w:rsidRDefault="00A350DA" w:rsidP="00DE1596"/>
    <w:p w14:paraId="398864E4"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7.</w:t>
      </w:r>
      <w:r w:rsidRPr="007E4DA1">
        <w:rPr>
          <w:b/>
        </w:rPr>
        <w:tab/>
        <w:t>INNE OSTRZEŻENIA SPECJALNE, JEŚLI KONIECZNE</w:t>
      </w:r>
    </w:p>
    <w:p w14:paraId="1E92E193" w14:textId="42545D34" w:rsidR="00A350DA" w:rsidRPr="007E4DA1" w:rsidRDefault="00A350DA" w:rsidP="00DE1596"/>
    <w:p w14:paraId="03E48D29" w14:textId="77777777" w:rsidR="00A350DA" w:rsidRPr="007E4DA1" w:rsidRDefault="00A350DA" w:rsidP="00DE1596"/>
    <w:p w14:paraId="6C05F499"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8.</w:t>
      </w:r>
      <w:r w:rsidRPr="007E4DA1">
        <w:rPr>
          <w:b/>
        </w:rPr>
        <w:tab/>
        <w:t>T</w:t>
      </w:r>
      <w:smartTag w:uri="schemas-GSKSiteLocations-com/fourthcoffee" w:element="flavor">
        <w:r w:rsidRPr="007E4DA1">
          <w:rPr>
            <w:b/>
          </w:rPr>
          <w:t>ERM</w:t>
        </w:r>
      </w:smartTag>
      <w:r w:rsidRPr="007E4DA1">
        <w:rPr>
          <w:b/>
        </w:rPr>
        <w:t>IN WAŻNOŚCI</w:t>
      </w:r>
    </w:p>
    <w:p w14:paraId="3CB4427C" w14:textId="40933FDE" w:rsidR="00A350DA" w:rsidRPr="007E4DA1" w:rsidRDefault="00A350DA" w:rsidP="00DE1596"/>
    <w:p w14:paraId="6A6754A7" w14:textId="77777777" w:rsidR="00A350DA" w:rsidRPr="007E4DA1" w:rsidRDefault="00A350DA" w:rsidP="00DE1596">
      <w:r w:rsidRPr="007E4DA1">
        <w:t>Termin ważności (EXP):</w:t>
      </w:r>
    </w:p>
    <w:p w14:paraId="1927810F" w14:textId="77777777" w:rsidR="00704218" w:rsidRPr="007E4DA1" w:rsidRDefault="00704218" w:rsidP="00DE1596">
      <w:r w:rsidRPr="007E4DA1">
        <w:t>Zużyć w ciągu 30 minut od przygotowania.</w:t>
      </w:r>
    </w:p>
    <w:p w14:paraId="1B8ECFA1" w14:textId="77777777" w:rsidR="00A350DA" w:rsidRPr="007E4DA1" w:rsidRDefault="00A350DA" w:rsidP="00DE1596"/>
    <w:p w14:paraId="50C00949" w14:textId="77777777" w:rsidR="00A350DA" w:rsidRPr="007E4DA1" w:rsidRDefault="00A350DA" w:rsidP="00DE1596"/>
    <w:p w14:paraId="0B98DBFA" w14:textId="77777777" w:rsidR="00041A08" w:rsidRPr="00041A08" w:rsidRDefault="00A350DA" w:rsidP="00DE1596">
      <w:pPr>
        <w:keepNext/>
        <w:pBdr>
          <w:top w:val="single" w:sz="4" w:space="1" w:color="auto"/>
          <w:left w:val="single" w:sz="4" w:space="4" w:color="auto"/>
          <w:bottom w:val="single" w:sz="4" w:space="1" w:color="auto"/>
          <w:right w:val="single" w:sz="4" w:space="4" w:color="auto"/>
        </w:pBdr>
        <w:tabs>
          <w:tab w:val="left" w:pos="142"/>
        </w:tabs>
      </w:pPr>
      <w:r w:rsidRPr="007E4DA1">
        <w:rPr>
          <w:b/>
        </w:rPr>
        <w:t>9.</w:t>
      </w:r>
      <w:r w:rsidRPr="007E4DA1">
        <w:rPr>
          <w:b/>
        </w:rPr>
        <w:tab/>
        <w:t>WARUNKI PRZECHOWYWANIA</w:t>
      </w:r>
    </w:p>
    <w:p w14:paraId="618E326B" w14:textId="3B858054" w:rsidR="00A350DA" w:rsidRPr="007E4DA1" w:rsidRDefault="00A350DA" w:rsidP="00DE1596">
      <w:pPr>
        <w:keepNext/>
        <w:tabs>
          <w:tab w:val="left" w:pos="720"/>
        </w:tabs>
      </w:pPr>
    </w:p>
    <w:p w14:paraId="27310CB6" w14:textId="77777777" w:rsidR="00A350DA" w:rsidRPr="007E4DA1" w:rsidRDefault="00A350DA" w:rsidP="00DE1596">
      <w:pPr>
        <w:tabs>
          <w:tab w:val="left" w:pos="720"/>
        </w:tabs>
      </w:pPr>
    </w:p>
    <w:p w14:paraId="4A70F110" w14:textId="77777777" w:rsidR="00041A08" w:rsidRPr="00041A08" w:rsidRDefault="00A350DA" w:rsidP="00DE1596">
      <w:pPr>
        <w:keepNext/>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10.</w:t>
      </w:r>
      <w:r w:rsidRPr="007E4DA1">
        <w:rPr>
          <w:b/>
          <w:lang w:eastAsia="en-US"/>
        </w:rPr>
        <w:tab/>
        <w:t xml:space="preserve">SPECJALNE ŚRODKI OSTROŻNOŚCI DOTYCZĄCE USUWANIA NIEZUŻYTEGO PRODUKTU LECZNICZEGO </w:t>
      </w:r>
      <w:smartTag w:uri="urn:schemas-microsoft-com:office:smarttags" w:element="stockticker">
        <w:r w:rsidRPr="007E4DA1">
          <w:rPr>
            <w:b/>
            <w:lang w:eastAsia="en-US"/>
          </w:rPr>
          <w:t>LUB</w:t>
        </w:r>
      </w:smartTag>
      <w:r w:rsidRPr="007E4DA1">
        <w:rPr>
          <w:b/>
          <w:lang w:eastAsia="en-US"/>
        </w:rPr>
        <w:t xml:space="preserve"> POCHODZĄCYCH Z NIEGO ODPADÓW, JEŚLI WŁAŚCIWE</w:t>
      </w:r>
    </w:p>
    <w:p w14:paraId="5B83E5C5" w14:textId="023BC7E9" w:rsidR="00A350DA" w:rsidRPr="007E4DA1" w:rsidRDefault="00A350DA" w:rsidP="00DE1596">
      <w:pPr>
        <w:tabs>
          <w:tab w:val="left" w:pos="720"/>
        </w:tabs>
      </w:pPr>
    </w:p>
    <w:p w14:paraId="6E12AB27" w14:textId="77777777" w:rsidR="00A350DA" w:rsidRPr="007E4DA1" w:rsidRDefault="00A350DA" w:rsidP="00DE1596">
      <w:pPr>
        <w:tabs>
          <w:tab w:val="left" w:pos="720"/>
        </w:tabs>
      </w:pPr>
    </w:p>
    <w:p w14:paraId="56E068A0"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lang w:eastAsia="en-US"/>
        </w:rPr>
        <w:t>11.</w:t>
      </w:r>
      <w:r w:rsidRPr="007E4DA1">
        <w:rPr>
          <w:b/>
          <w:lang w:eastAsia="en-US"/>
        </w:rPr>
        <w:tab/>
        <w:t>NAZWA</w:t>
      </w:r>
      <w:r w:rsidRPr="007E4DA1">
        <w:rPr>
          <w:b/>
        </w:rPr>
        <w:t xml:space="preserve"> I ADRES PODMIOTU OD</w:t>
      </w:r>
      <w:smartTag w:uri="schemas-GSKSiteLocations-com/fourthcoffee" w:element="flavor">
        <w:r w:rsidRPr="007E4DA1">
          <w:rPr>
            <w:b/>
          </w:rPr>
          <w:t>POW</w:t>
        </w:r>
      </w:smartTag>
      <w:r w:rsidRPr="007E4DA1">
        <w:rPr>
          <w:b/>
        </w:rPr>
        <w:t>IEDZIALNEGO</w:t>
      </w:r>
    </w:p>
    <w:p w14:paraId="04CE6193" w14:textId="69DCCE3A" w:rsidR="00A350DA" w:rsidRPr="007E4DA1" w:rsidRDefault="00A350DA" w:rsidP="00DE1596">
      <w:pPr>
        <w:tabs>
          <w:tab w:val="left" w:pos="720"/>
        </w:tabs>
      </w:pPr>
    </w:p>
    <w:p w14:paraId="7C8205E3" w14:textId="77777777" w:rsidR="00A350DA" w:rsidRPr="007E4DA1" w:rsidRDefault="00A350DA" w:rsidP="00DE1596">
      <w:r w:rsidRPr="007E4DA1">
        <w:t>Novartis Europharm Limited</w:t>
      </w:r>
    </w:p>
    <w:p w14:paraId="2328CC3A" w14:textId="77777777" w:rsidR="0091544F" w:rsidRPr="007E4DA1" w:rsidRDefault="0091544F" w:rsidP="00DE1596">
      <w:pPr>
        <w:keepNext/>
        <w:rPr>
          <w:color w:val="000000"/>
          <w:lang w:val="en-GB"/>
        </w:rPr>
      </w:pPr>
      <w:r w:rsidRPr="007E4DA1">
        <w:rPr>
          <w:color w:val="000000"/>
          <w:lang w:val="en-GB"/>
        </w:rPr>
        <w:t>Vista Building</w:t>
      </w:r>
    </w:p>
    <w:p w14:paraId="6F2FA329" w14:textId="77777777" w:rsidR="0091544F" w:rsidRPr="007E4DA1" w:rsidRDefault="0091544F" w:rsidP="00DE1596">
      <w:pPr>
        <w:keepNext/>
        <w:rPr>
          <w:color w:val="000000"/>
          <w:lang w:val="en-GB"/>
        </w:rPr>
      </w:pPr>
      <w:r w:rsidRPr="007E4DA1">
        <w:rPr>
          <w:color w:val="000000"/>
          <w:lang w:val="en-GB"/>
        </w:rPr>
        <w:t>Elm Park, Merrion Road</w:t>
      </w:r>
    </w:p>
    <w:p w14:paraId="119350C9" w14:textId="77777777" w:rsidR="0091544F" w:rsidRPr="007E4DA1" w:rsidRDefault="0091544F" w:rsidP="00DE1596">
      <w:pPr>
        <w:keepNext/>
        <w:rPr>
          <w:color w:val="000000"/>
        </w:rPr>
      </w:pPr>
      <w:r w:rsidRPr="007E4DA1">
        <w:rPr>
          <w:color w:val="000000"/>
        </w:rPr>
        <w:t>Dublin 4</w:t>
      </w:r>
    </w:p>
    <w:p w14:paraId="5B8EF048" w14:textId="77777777" w:rsidR="00A350DA" w:rsidRPr="007E4DA1" w:rsidRDefault="0091544F" w:rsidP="00DE1596">
      <w:pPr>
        <w:tabs>
          <w:tab w:val="left" w:pos="720"/>
        </w:tabs>
      </w:pPr>
      <w:r w:rsidRPr="007E4DA1">
        <w:rPr>
          <w:color w:val="000000"/>
        </w:rPr>
        <w:t>Irlandia</w:t>
      </w:r>
    </w:p>
    <w:p w14:paraId="15A4DC04" w14:textId="77777777" w:rsidR="00A350DA" w:rsidRPr="007E4DA1" w:rsidRDefault="00A350DA" w:rsidP="00DE1596">
      <w:pPr>
        <w:tabs>
          <w:tab w:val="left" w:pos="720"/>
        </w:tabs>
      </w:pPr>
    </w:p>
    <w:p w14:paraId="70994178" w14:textId="77777777" w:rsidR="00A350DA" w:rsidRPr="007E4DA1" w:rsidRDefault="00A350DA" w:rsidP="00DE1596">
      <w:pPr>
        <w:tabs>
          <w:tab w:val="left" w:pos="720"/>
        </w:tabs>
      </w:pPr>
    </w:p>
    <w:p w14:paraId="6CB8438D"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12.</w:t>
      </w:r>
      <w:r w:rsidRPr="007E4DA1">
        <w:rPr>
          <w:b/>
        </w:rPr>
        <w:tab/>
        <w:t>NUMER POZWOLENIA NA DOPUSZCZENIE DO OBROTU</w:t>
      </w:r>
    </w:p>
    <w:p w14:paraId="18171D48" w14:textId="7A1AAEFE" w:rsidR="00A350DA" w:rsidRPr="007E4DA1" w:rsidRDefault="00A350DA" w:rsidP="00DE1596">
      <w:pPr>
        <w:tabs>
          <w:tab w:val="left" w:pos="720"/>
        </w:tabs>
      </w:pPr>
    </w:p>
    <w:p w14:paraId="49CAFF5D" w14:textId="77777777" w:rsidR="00A350DA" w:rsidRPr="007E4DA1" w:rsidRDefault="00A350DA" w:rsidP="00DE1596">
      <w:pPr>
        <w:rPr>
          <w:shd w:val="pct15" w:color="auto" w:fill="auto"/>
        </w:rPr>
      </w:pPr>
      <w:r w:rsidRPr="007E4DA1">
        <w:t>EU/1/10/612/0</w:t>
      </w:r>
      <w:r w:rsidR="00704218" w:rsidRPr="007E4DA1">
        <w:t>13</w:t>
      </w:r>
      <w:r w:rsidRPr="007E4DA1">
        <w:t xml:space="preserve"> </w:t>
      </w:r>
      <w:r w:rsidRPr="007E4DA1">
        <w:rPr>
          <w:shd w:val="pct15" w:color="auto" w:fill="auto"/>
        </w:rPr>
        <w:t>(</w:t>
      </w:r>
      <w:r w:rsidR="007C32B2" w:rsidRPr="007E4DA1">
        <w:rPr>
          <w:shd w:val="pct15" w:color="auto" w:fill="auto"/>
        </w:rPr>
        <w:t>30</w:t>
      </w:r>
      <w:r w:rsidR="00DB76DE" w:rsidRPr="007E4DA1">
        <w:rPr>
          <w:shd w:val="pct15" w:color="auto" w:fill="auto"/>
        </w:rPr>
        <w:t> </w:t>
      </w:r>
      <w:r w:rsidR="007C32B2" w:rsidRPr="007E4DA1">
        <w:rPr>
          <w:shd w:val="pct15" w:color="auto" w:fill="auto"/>
        </w:rPr>
        <w:t>saszetek z proszkiem do sporządzania zawiesiny doustnej</w:t>
      </w:r>
      <w:r w:rsidRPr="007E4DA1">
        <w:rPr>
          <w:shd w:val="pct15" w:color="auto" w:fill="auto"/>
        </w:rPr>
        <w:t>)</w:t>
      </w:r>
    </w:p>
    <w:p w14:paraId="0BB37312" w14:textId="77777777" w:rsidR="00A350DA" w:rsidRPr="007E4DA1" w:rsidRDefault="00A350DA" w:rsidP="00DE1596">
      <w:pPr>
        <w:tabs>
          <w:tab w:val="left" w:pos="720"/>
        </w:tabs>
      </w:pPr>
    </w:p>
    <w:p w14:paraId="7E523CAC" w14:textId="77777777" w:rsidR="00A350DA" w:rsidRPr="007E4DA1" w:rsidRDefault="00A350DA" w:rsidP="00DE1596">
      <w:pPr>
        <w:tabs>
          <w:tab w:val="left" w:pos="720"/>
        </w:tabs>
      </w:pPr>
    </w:p>
    <w:p w14:paraId="68D7D300"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rPr>
          <w:lang w:val="en-US"/>
        </w:rPr>
      </w:pPr>
      <w:r w:rsidRPr="007E4DA1">
        <w:rPr>
          <w:b/>
          <w:lang w:val="en-US"/>
        </w:rPr>
        <w:t>13.</w:t>
      </w:r>
      <w:r w:rsidRPr="007E4DA1">
        <w:rPr>
          <w:b/>
          <w:lang w:val="en-US"/>
        </w:rPr>
        <w:tab/>
        <w:t>NUMER SERII</w:t>
      </w:r>
    </w:p>
    <w:p w14:paraId="610E4C3C" w14:textId="74046D08" w:rsidR="00A350DA" w:rsidRPr="007E4DA1" w:rsidRDefault="00A350DA" w:rsidP="00DE1596">
      <w:pPr>
        <w:tabs>
          <w:tab w:val="left" w:pos="720"/>
        </w:tabs>
        <w:rPr>
          <w:lang w:val="en-US"/>
        </w:rPr>
      </w:pPr>
    </w:p>
    <w:p w14:paraId="7C8F96EC" w14:textId="77777777" w:rsidR="00A350DA" w:rsidRPr="007E4DA1" w:rsidRDefault="00A350DA" w:rsidP="00DE1596">
      <w:pPr>
        <w:tabs>
          <w:tab w:val="left" w:pos="720"/>
        </w:tabs>
        <w:rPr>
          <w:lang w:val="en-US"/>
        </w:rPr>
      </w:pPr>
      <w:proofErr w:type="spellStart"/>
      <w:r w:rsidRPr="007E4DA1">
        <w:rPr>
          <w:lang w:val="en-US"/>
        </w:rPr>
        <w:t>Numer</w:t>
      </w:r>
      <w:proofErr w:type="spellEnd"/>
      <w:r w:rsidRPr="007E4DA1">
        <w:rPr>
          <w:lang w:val="en-US"/>
        </w:rPr>
        <w:t xml:space="preserve"> </w:t>
      </w:r>
      <w:proofErr w:type="spellStart"/>
      <w:r w:rsidRPr="007E4DA1">
        <w:rPr>
          <w:lang w:val="en-US"/>
        </w:rPr>
        <w:t>serii</w:t>
      </w:r>
      <w:proofErr w:type="spellEnd"/>
      <w:r w:rsidRPr="007E4DA1">
        <w:rPr>
          <w:lang w:val="en-US"/>
        </w:rPr>
        <w:t xml:space="preserve"> (Lot):</w:t>
      </w:r>
    </w:p>
    <w:p w14:paraId="2B9DE8FA" w14:textId="77777777" w:rsidR="00A350DA" w:rsidRPr="007E4DA1" w:rsidRDefault="00A350DA" w:rsidP="00DE1596">
      <w:pPr>
        <w:tabs>
          <w:tab w:val="left" w:pos="720"/>
        </w:tabs>
        <w:rPr>
          <w:lang w:val="en-US"/>
        </w:rPr>
      </w:pPr>
    </w:p>
    <w:p w14:paraId="63FF816E" w14:textId="77777777" w:rsidR="00A350DA" w:rsidRPr="007E4DA1" w:rsidRDefault="00A350DA" w:rsidP="00DE1596">
      <w:pPr>
        <w:tabs>
          <w:tab w:val="left" w:pos="720"/>
        </w:tabs>
        <w:rPr>
          <w:lang w:val="en-US"/>
        </w:rPr>
      </w:pPr>
    </w:p>
    <w:p w14:paraId="6F2968AB"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14.</w:t>
      </w:r>
      <w:r w:rsidRPr="007E4DA1">
        <w:rPr>
          <w:b/>
        </w:rPr>
        <w:tab/>
        <w:t>OGÓLNA KATEGORIA DOSTĘPNOŚCI</w:t>
      </w:r>
    </w:p>
    <w:p w14:paraId="370AF476" w14:textId="3AC69405" w:rsidR="00A350DA" w:rsidRPr="007E4DA1" w:rsidRDefault="00A350DA" w:rsidP="00DE1596">
      <w:pPr>
        <w:tabs>
          <w:tab w:val="left" w:pos="720"/>
        </w:tabs>
      </w:pPr>
    </w:p>
    <w:p w14:paraId="3A51200B" w14:textId="77777777" w:rsidR="00A350DA" w:rsidRPr="007E4DA1" w:rsidRDefault="00A350DA" w:rsidP="00DE1596">
      <w:pPr>
        <w:tabs>
          <w:tab w:val="left" w:pos="720"/>
        </w:tabs>
      </w:pPr>
    </w:p>
    <w:p w14:paraId="223AEBC9"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15.</w:t>
      </w:r>
      <w:r w:rsidRPr="007E4DA1">
        <w:rPr>
          <w:b/>
        </w:rPr>
        <w:tab/>
        <w:t>INSTRUKCJA UŻYCIA</w:t>
      </w:r>
    </w:p>
    <w:p w14:paraId="25216078" w14:textId="22A154B2" w:rsidR="00A350DA" w:rsidRPr="007E4DA1" w:rsidRDefault="00A350DA" w:rsidP="00DE1596">
      <w:pPr>
        <w:tabs>
          <w:tab w:val="left" w:pos="720"/>
        </w:tabs>
      </w:pPr>
    </w:p>
    <w:p w14:paraId="0C7E90DF" w14:textId="77777777" w:rsidR="00A350DA" w:rsidRPr="007E4DA1" w:rsidRDefault="00A350DA" w:rsidP="00DE1596">
      <w:pPr>
        <w:tabs>
          <w:tab w:val="left" w:pos="720"/>
        </w:tabs>
      </w:pPr>
    </w:p>
    <w:p w14:paraId="6E88741B"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720"/>
        </w:tabs>
      </w:pPr>
      <w:r w:rsidRPr="007E4DA1">
        <w:rPr>
          <w:b/>
        </w:rPr>
        <w:t>16.</w:t>
      </w:r>
      <w:r w:rsidRPr="007E4DA1">
        <w:rPr>
          <w:b/>
        </w:rPr>
        <w:tab/>
        <w:t>INFORMACJA PODANA SYSTEMEM BRAILLE’A</w:t>
      </w:r>
    </w:p>
    <w:p w14:paraId="03DB1963" w14:textId="77777777" w:rsidR="00A350DA" w:rsidRPr="007E4DA1" w:rsidRDefault="00A350DA" w:rsidP="00DE1596">
      <w:pPr>
        <w:tabs>
          <w:tab w:val="left" w:pos="720"/>
        </w:tabs>
      </w:pPr>
    </w:p>
    <w:p w14:paraId="07699BE6" w14:textId="77777777" w:rsidR="00A350DA" w:rsidRPr="007E4DA1" w:rsidRDefault="00A350DA" w:rsidP="00DE1596">
      <w:pPr>
        <w:tabs>
          <w:tab w:val="left" w:pos="720"/>
        </w:tabs>
      </w:pPr>
      <w:r w:rsidRPr="007E4DA1">
        <w:t>revolade 25 mg</w:t>
      </w:r>
      <w:r w:rsidR="007C32B2" w:rsidRPr="007E4DA1">
        <w:t xml:space="preserve"> saszetki</w:t>
      </w:r>
    </w:p>
    <w:p w14:paraId="798E6B1E" w14:textId="77777777" w:rsidR="00A350DA" w:rsidRPr="007E4DA1" w:rsidRDefault="00A350DA" w:rsidP="00DE1596">
      <w:pPr>
        <w:tabs>
          <w:tab w:val="left" w:pos="720"/>
        </w:tabs>
      </w:pPr>
    </w:p>
    <w:p w14:paraId="4AABF162" w14:textId="77777777" w:rsidR="00041A08" w:rsidRPr="00041A08" w:rsidRDefault="00B10D04" w:rsidP="00DE1596">
      <w:pPr>
        <w:keepNext/>
        <w:numPr>
          <w:ilvl w:val="0"/>
          <w:numId w:val="63"/>
        </w:numPr>
        <w:pBdr>
          <w:top w:val="single" w:sz="4" w:space="1" w:color="auto"/>
          <w:left w:val="single" w:sz="4" w:space="4" w:color="auto"/>
          <w:bottom w:val="single" w:sz="4" w:space="1" w:color="auto"/>
          <w:right w:val="single" w:sz="4" w:space="4" w:color="auto"/>
        </w:pBdr>
        <w:tabs>
          <w:tab w:val="left" w:pos="567"/>
        </w:tabs>
        <w:ind w:hanging="502"/>
        <w:rPr>
          <w:noProof/>
        </w:rPr>
      </w:pPr>
      <w:r w:rsidRPr="007E4DA1">
        <w:rPr>
          <w:b/>
          <w:noProof/>
        </w:rPr>
        <w:t>NIEPOWTARZALNY IDENTYFIKATOR – KOD 2D</w:t>
      </w:r>
    </w:p>
    <w:p w14:paraId="7205F4FC" w14:textId="50FE666B" w:rsidR="00B10D04" w:rsidRPr="007E4DA1" w:rsidRDefault="00B10D04" w:rsidP="00DE1596">
      <w:pPr>
        <w:rPr>
          <w:noProof/>
        </w:rPr>
      </w:pPr>
    </w:p>
    <w:p w14:paraId="69946546" w14:textId="77777777" w:rsidR="00B10D04" w:rsidRPr="007E4DA1" w:rsidRDefault="00B10D04" w:rsidP="00DE1596">
      <w:pPr>
        <w:rPr>
          <w:noProof/>
          <w:szCs w:val="22"/>
          <w:shd w:val="clear" w:color="auto" w:fill="CCCCCC"/>
        </w:rPr>
      </w:pPr>
      <w:r w:rsidRPr="007E4DA1">
        <w:rPr>
          <w:noProof/>
          <w:shd w:val="pct15" w:color="auto" w:fill="auto"/>
        </w:rPr>
        <w:t>Obejmuje kod 2D będący nośnikiem niepowtarzalnego identyfikatora.</w:t>
      </w:r>
    </w:p>
    <w:p w14:paraId="7CFE26D6" w14:textId="77777777" w:rsidR="00B10D04" w:rsidRPr="007E4DA1" w:rsidRDefault="00B10D04" w:rsidP="00DE1596">
      <w:pPr>
        <w:ind w:left="0" w:firstLine="0"/>
        <w:rPr>
          <w:noProof/>
        </w:rPr>
      </w:pPr>
    </w:p>
    <w:p w14:paraId="3D24DBF9" w14:textId="77777777" w:rsidR="00B10D04" w:rsidRPr="007E4DA1" w:rsidRDefault="00B10D04" w:rsidP="00DE1596">
      <w:pPr>
        <w:rPr>
          <w:noProof/>
        </w:rPr>
      </w:pPr>
    </w:p>
    <w:p w14:paraId="6DCEA2C9" w14:textId="77777777" w:rsidR="00041A08" w:rsidRPr="00041A08" w:rsidRDefault="00B10D04" w:rsidP="00DE1596">
      <w:pPr>
        <w:keepNext/>
        <w:numPr>
          <w:ilvl w:val="0"/>
          <w:numId w:val="63"/>
        </w:numPr>
        <w:pBdr>
          <w:top w:val="single" w:sz="4" w:space="1" w:color="auto"/>
          <w:left w:val="single" w:sz="4" w:space="4" w:color="auto"/>
          <w:bottom w:val="single" w:sz="4" w:space="1" w:color="auto"/>
          <w:right w:val="single" w:sz="4" w:space="4" w:color="auto"/>
        </w:pBdr>
        <w:tabs>
          <w:tab w:val="left" w:pos="567"/>
        </w:tabs>
        <w:ind w:hanging="502"/>
        <w:rPr>
          <w:noProof/>
        </w:rPr>
      </w:pPr>
      <w:r w:rsidRPr="007E4DA1">
        <w:rPr>
          <w:b/>
          <w:noProof/>
        </w:rPr>
        <w:t>NIEPOWTARZALNY IDENTYFIKATOR – DANE CZYTELNE DLA CZŁOWIEKA</w:t>
      </w:r>
    </w:p>
    <w:p w14:paraId="0C1DDF6C" w14:textId="415826A0" w:rsidR="00B10D04" w:rsidRPr="007E4DA1" w:rsidRDefault="00B10D04" w:rsidP="00DE1596">
      <w:pPr>
        <w:rPr>
          <w:noProof/>
        </w:rPr>
      </w:pPr>
    </w:p>
    <w:p w14:paraId="7110E45C" w14:textId="36B3A44C" w:rsidR="00B10D04" w:rsidRPr="007E4DA1" w:rsidRDefault="00B10D04" w:rsidP="00DE1596">
      <w:pPr>
        <w:rPr>
          <w:szCs w:val="22"/>
        </w:rPr>
      </w:pPr>
      <w:r w:rsidRPr="007E4DA1">
        <w:t>PC</w:t>
      </w:r>
    </w:p>
    <w:p w14:paraId="30158B1E" w14:textId="24B2C17E" w:rsidR="00B10D04" w:rsidRPr="007E4DA1" w:rsidRDefault="00B10D04" w:rsidP="00DE1596">
      <w:pPr>
        <w:rPr>
          <w:szCs w:val="22"/>
        </w:rPr>
      </w:pPr>
      <w:r w:rsidRPr="007E4DA1">
        <w:t>SN</w:t>
      </w:r>
    </w:p>
    <w:p w14:paraId="4586D4BE" w14:textId="78B5B5FE" w:rsidR="00B10D04" w:rsidRPr="007E4DA1" w:rsidRDefault="00B10D04" w:rsidP="00DE1596">
      <w:pPr>
        <w:rPr>
          <w:szCs w:val="22"/>
        </w:rPr>
      </w:pPr>
      <w:r w:rsidRPr="007E4DA1">
        <w:t>NN</w:t>
      </w:r>
    </w:p>
    <w:p w14:paraId="609C4481" w14:textId="77777777" w:rsidR="00B10D04" w:rsidRPr="007E4DA1" w:rsidRDefault="00B10D04" w:rsidP="00DE1596">
      <w:pPr>
        <w:rPr>
          <w:noProof/>
          <w:szCs w:val="22"/>
        </w:rPr>
      </w:pPr>
    </w:p>
    <w:p w14:paraId="65FCEDA4" w14:textId="77777777" w:rsidR="00A350DA" w:rsidRPr="007E4DA1" w:rsidRDefault="00A350DA" w:rsidP="00DE1596">
      <w:pPr>
        <w:ind w:left="0" w:firstLine="0"/>
      </w:pPr>
      <w:r w:rsidRPr="007E4DA1">
        <w:br w:type="page"/>
      </w:r>
    </w:p>
    <w:p w14:paraId="3335922F" w14:textId="77777777" w:rsidR="00AA3184" w:rsidRPr="007E4DA1" w:rsidRDefault="00AA3184" w:rsidP="00DE1596">
      <w:pPr>
        <w:ind w:left="0" w:firstLine="0"/>
      </w:pPr>
    </w:p>
    <w:p w14:paraId="0B6A71FE" w14:textId="77777777" w:rsidR="00041A08" w:rsidRPr="00041A08" w:rsidRDefault="00A350DA" w:rsidP="00DE1596">
      <w:pPr>
        <w:pBdr>
          <w:top w:val="single" w:sz="4" w:space="1" w:color="auto"/>
          <w:left w:val="single" w:sz="4" w:space="4" w:color="auto"/>
          <w:bottom w:val="single" w:sz="4" w:space="1" w:color="auto"/>
          <w:right w:val="single" w:sz="4" w:space="4" w:color="auto"/>
        </w:pBdr>
        <w:ind w:left="0" w:firstLine="0"/>
      </w:pPr>
      <w:r w:rsidRPr="007E4DA1">
        <w:rPr>
          <w:b/>
        </w:rPr>
        <w:t>INFORMACJE ZAMIESZCZANE NA OPAKOWANIA</w:t>
      </w:r>
      <w:r w:rsidR="007C32B2" w:rsidRPr="007E4DA1">
        <w:rPr>
          <w:b/>
        </w:rPr>
        <w:t>CH ZEWNĘTRZNYCH</w:t>
      </w:r>
    </w:p>
    <w:p w14:paraId="111C06B9" w14:textId="49743D8F" w:rsidR="00A350DA" w:rsidRPr="007E4DA1" w:rsidRDefault="00A350DA" w:rsidP="00DE1596">
      <w:pPr>
        <w:pBdr>
          <w:top w:val="single" w:sz="4" w:space="1" w:color="auto"/>
          <w:left w:val="single" w:sz="4" w:space="4" w:color="auto"/>
          <w:bottom w:val="single" w:sz="4" w:space="1" w:color="auto"/>
          <w:right w:val="single" w:sz="4" w:space="4" w:color="auto"/>
        </w:pBdr>
      </w:pPr>
    </w:p>
    <w:p w14:paraId="5EC8DBB9" w14:textId="77777777" w:rsidR="00041A08" w:rsidRPr="00041A08" w:rsidRDefault="007C32B2" w:rsidP="00DE1596">
      <w:pPr>
        <w:pBdr>
          <w:top w:val="single" w:sz="4" w:space="1" w:color="auto"/>
          <w:left w:val="single" w:sz="4" w:space="4" w:color="auto"/>
          <w:bottom w:val="single" w:sz="4" w:space="1" w:color="auto"/>
          <w:right w:val="single" w:sz="4" w:space="4" w:color="auto"/>
        </w:pBdr>
        <w:ind w:left="0" w:firstLine="0"/>
      </w:pPr>
      <w:r w:rsidRPr="007E4DA1">
        <w:rPr>
          <w:b/>
        </w:rPr>
        <w:t>PUDEŁKO 25</w:t>
      </w:r>
      <w:r w:rsidR="0002695F" w:rsidRPr="007E4DA1">
        <w:rPr>
          <w:b/>
        </w:rPr>
        <w:t> </w:t>
      </w:r>
      <w:r w:rsidRPr="007E4DA1">
        <w:rPr>
          <w:b/>
        </w:rPr>
        <w:t xml:space="preserve">mg proszek do sporządzania zawiesiny doustnej </w:t>
      </w:r>
      <w:r w:rsidRPr="007E4DA1">
        <w:rPr>
          <w:b/>
          <w:bCs/>
        </w:rPr>
        <w:t xml:space="preserve">– bez blue box – </w:t>
      </w:r>
      <w:r w:rsidRPr="007E4DA1">
        <w:rPr>
          <w:b/>
        </w:rPr>
        <w:t>30</w:t>
      </w:r>
      <w:r w:rsidR="0002695F" w:rsidRPr="007E4DA1">
        <w:rPr>
          <w:b/>
        </w:rPr>
        <w:t> </w:t>
      </w:r>
      <w:r w:rsidRPr="007E4DA1">
        <w:rPr>
          <w:b/>
        </w:rPr>
        <w:t>saszetek</w:t>
      </w:r>
    </w:p>
    <w:p w14:paraId="13A02DFD" w14:textId="0DA3C4FD" w:rsidR="00A350DA" w:rsidRPr="007E4DA1" w:rsidRDefault="00A350DA" w:rsidP="00DE1596"/>
    <w:p w14:paraId="03110261" w14:textId="77777777" w:rsidR="00A350DA" w:rsidRPr="007E4DA1" w:rsidRDefault="00A350DA" w:rsidP="00DE1596"/>
    <w:p w14:paraId="1DE91F85"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1.</w:t>
      </w:r>
      <w:r w:rsidRPr="007E4DA1">
        <w:rPr>
          <w:b/>
          <w:lang w:eastAsia="en-US"/>
        </w:rPr>
        <w:tab/>
        <w:t>NAZWA PRODUKTU LECZNICZEGO</w:t>
      </w:r>
    </w:p>
    <w:p w14:paraId="72EC461C" w14:textId="5AA242CA" w:rsidR="00A350DA" w:rsidRPr="007E4DA1" w:rsidRDefault="00A350DA" w:rsidP="00DE1596"/>
    <w:p w14:paraId="6D4A9AFA" w14:textId="77777777" w:rsidR="00A350DA" w:rsidRPr="007E4DA1" w:rsidRDefault="00A350DA" w:rsidP="00DE1596">
      <w:r w:rsidRPr="007E4DA1">
        <w:t xml:space="preserve">Revolade 25 mg </w:t>
      </w:r>
      <w:r w:rsidR="00712793" w:rsidRPr="007E4DA1">
        <w:t>proszek do sporządzania zawiesiny doustnej</w:t>
      </w:r>
    </w:p>
    <w:p w14:paraId="62285DEE" w14:textId="77777777" w:rsidR="00410505" w:rsidRPr="007E4DA1" w:rsidRDefault="00410505" w:rsidP="00DE1596"/>
    <w:p w14:paraId="41A87011" w14:textId="77777777" w:rsidR="00A350DA" w:rsidRPr="007E4DA1" w:rsidRDefault="00A350DA" w:rsidP="00DE1596">
      <w:r w:rsidRPr="007E4DA1">
        <w:t>eltrombopag</w:t>
      </w:r>
    </w:p>
    <w:p w14:paraId="75E018A2" w14:textId="77777777" w:rsidR="00A350DA" w:rsidRPr="007E4DA1" w:rsidRDefault="00A350DA" w:rsidP="00DE1596"/>
    <w:p w14:paraId="311E049A" w14:textId="77777777" w:rsidR="00A350DA" w:rsidRPr="007E4DA1" w:rsidRDefault="00A350DA" w:rsidP="00DE1596"/>
    <w:p w14:paraId="071A2E72"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lang w:eastAsia="en-US"/>
        </w:rPr>
        <w:t>2.</w:t>
      </w:r>
      <w:r w:rsidRPr="007E4DA1">
        <w:rPr>
          <w:b/>
          <w:lang w:eastAsia="en-US"/>
        </w:rPr>
        <w:tab/>
        <w:t>ZAWARTOŚĆ SUBSTANCJI CZYNNEJ</w:t>
      </w:r>
    </w:p>
    <w:p w14:paraId="7D7EA0A4" w14:textId="136AE685" w:rsidR="00A350DA" w:rsidRPr="007E4DA1" w:rsidRDefault="00A350DA" w:rsidP="00DE1596"/>
    <w:p w14:paraId="7DE5BFC4" w14:textId="77777777" w:rsidR="00A350DA" w:rsidRPr="007E4DA1" w:rsidRDefault="00A350DA" w:rsidP="00DE1596">
      <w:pPr>
        <w:ind w:left="0" w:firstLine="0"/>
      </w:pPr>
      <w:r w:rsidRPr="007E4DA1">
        <w:t xml:space="preserve">Każda </w:t>
      </w:r>
      <w:r w:rsidR="00712793" w:rsidRPr="007E4DA1">
        <w:t>saszetka</w:t>
      </w:r>
      <w:r w:rsidRPr="007E4DA1">
        <w:t xml:space="preserve"> zawiera eltrombopag z olaminą w ilości odpowiadającej 25 mg eltrombopagu.</w:t>
      </w:r>
    </w:p>
    <w:p w14:paraId="71FABCB5" w14:textId="77777777" w:rsidR="00A350DA" w:rsidRPr="007E4DA1" w:rsidRDefault="00A350DA" w:rsidP="00DE1596"/>
    <w:p w14:paraId="3B266B5B" w14:textId="77777777" w:rsidR="00A350DA" w:rsidRPr="007E4DA1" w:rsidRDefault="00A350DA" w:rsidP="00DE1596"/>
    <w:p w14:paraId="1D2E803B" w14:textId="77777777" w:rsidR="00041A08" w:rsidRPr="00041A08" w:rsidRDefault="00A350DA" w:rsidP="00DE1596">
      <w:pPr>
        <w:pBdr>
          <w:top w:val="single" w:sz="4" w:space="1" w:color="auto"/>
          <w:left w:val="single" w:sz="4" w:space="4" w:color="auto"/>
          <w:bottom w:val="single" w:sz="4" w:space="2" w:color="auto"/>
          <w:right w:val="single" w:sz="4" w:space="4" w:color="auto"/>
        </w:pBdr>
        <w:tabs>
          <w:tab w:val="left" w:pos="142"/>
        </w:tabs>
        <w:rPr>
          <w:lang w:eastAsia="en-US"/>
        </w:rPr>
      </w:pPr>
      <w:r w:rsidRPr="007E4DA1">
        <w:rPr>
          <w:b/>
          <w:lang w:eastAsia="en-US"/>
        </w:rPr>
        <w:t>3.</w:t>
      </w:r>
      <w:r w:rsidRPr="007E4DA1">
        <w:rPr>
          <w:b/>
          <w:lang w:eastAsia="en-US"/>
        </w:rPr>
        <w:tab/>
        <w:t>WYKAZ SUBSTANCJI POMOCNICZYCH</w:t>
      </w:r>
    </w:p>
    <w:p w14:paraId="074DC1FC" w14:textId="127492C0" w:rsidR="00A350DA" w:rsidRPr="007E4DA1" w:rsidRDefault="00A350DA" w:rsidP="00DE1596"/>
    <w:p w14:paraId="4D17A7A7" w14:textId="77777777" w:rsidR="00A350DA" w:rsidRPr="007E4DA1" w:rsidRDefault="00A350DA" w:rsidP="00DE1596"/>
    <w:p w14:paraId="6580DBC9"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4.</w:t>
      </w:r>
      <w:r w:rsidRPr="007E4DA1">
        <w:rPr>
          <w:b/>
          <w:lang w:eastAsia="en-US"/>
        </w:rPr>
        <w:tab/>
        <w:t>POSTAĆ FARMACEUTYCZNA I ZAWARTOŚĆ OPAKOWANIA</w:t>
      </w:r>
    </w:p>
    <w:p w14:paraId="302A92F1" w14:textId="1BFA1EEB" w:rsidR="00A350DA" w:rsidRPr="007E4DA1" w:rsidRDefault="00A350DA" w:rsidP="00DE1596">
      <w:pPr>
        <w:rPr>
          <w:bCs/>
        </w:rPr>
      </w:pPr>
    </w:p>
    <w:p w14:paraId="6C53E4D7" w14:textId="77777777" w:rsidR="00A350DA" w:rsidRPr="007E4DA1" w:rsidRDefault="00712793" w:rsidP="00DE1596">
      <w:pPr>
        <w:rPr>
          <w:shd w:val="clear" w:color="auto" w:fill="CCCCCC"/>
        </w:rPr>
      </w:pPr>
      <w:r w:rsidRPr="007E4DA1">
        <w:t>30</w:t>
      </w:r>
      <w:r w:rsidR="0002695F" w:rsidRPr="007E4DA1">
        <w:t> </w:t>
      </w:r>
      <w:r w:rsidRPr="007E4DA1">
        <w:t>saszetek.</w:t>
      </w:r>
    </w:p>
    <w:p w14:paraId="697EFC45" w14:textId="77777777" w:rsidR="00A350DA" w:rsidRPr="007E4DA1" w:rsidRDefault="00A350DA" w:rsidP="00DE1596"/>
    <w:p w14:paraId="47A0E01F" w14:textId="77777777" w:rsidR="00A350DA" w:rsidRPr="007E4DA1" w:rsidRDefault="00A350DA" w:rsidP="00DE1596">
      <w:pPr>
        <w:rPr>
          <w:bCs/>
        </w:rPr>
      </w:pPr>
    </w:p>
    <w:p w14:paraId="1538204B"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5.</w:t>
      </w:r>
      <w:r w:rsidRPr="007E4DA1">
        <w:rPr>
          <w:b/>
          <w:lang w:eastAsia="en-US"/>
        </w:rPr>
        <w:tab/>
        <w:t>SPOSÓB I DROGA PODANIA</w:t>
      </w:r>
    </w:p>
    <w:p w14:paraId="2CDE8FA5" w14:textId="1B7C93A0" w:rsidR="00A350DA" w:rsidRPr="007E4DA1" w:rsidRDefault="00A350DA" w:rsidP="00DE1596"/>
    <w:p w14:paraId="71396B6E" w14:textId="77777777" w:rsidR="00A350DA" w:rsidRPr="007E4DA1" w:rsidRDefault="00A350DA" w:rsidP="00DE1596">
      <w:r w:rsidRPr="007E4DA1">
        <w:t>Należy zapoznać się z treścią ulotki przed zastosowaniem leku.</w:t>
      </w:r>
    </w:p>
    <w:p w14:paraId="42DB5E89" w14:textId="77777777" w:rsidR="00A350DA" w:rsidRPr="007E4DA1" w:rsidRDefault="00A350DA" w:rsidP="00DE1596">
      <w:r w:rsidRPr="007E4DA1">
        <w:t>Podanie doustne.</w:t>
      </w:r>
    </w:p>
    <w:p w14:paraId="74C6861B" w14:textId="77777777" w:rsidR="00A350DA" w:rsidRPr="007E4DA1" w:rsidRDefault="00A350DA" w:rsidP="00DE1596"/>
    <w:p w14:paraId="7F13BFED" w14:textId="77777777" w:rsidR="00A350DA" w:rsidRPr="007E4DA1" w:rsidRDefault="00A350DA" w:rsidP="00DE1596"/>
    <w:p w14:paraId="79E0F2BA"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lang w:eastAsia="en-US"/>
        </w:rPr>
        <w:t>6.</w:t>
      </w:r>
      <w:r w:rsidRPr="007E4DA1">
        <w:rPr>
          <w:b/>
          <w:lang w:eastAsia="en-US"/>
        </w:rPr>
        <w:tab/>
        <w:t xml:space="preserve">OSTRZEŻENIE DOTYCZĄCE PRZECHOWYWANIA PRODUKTU LECZNICZEGO W MIEJSCU </w:t>
      </w:r>
      <w:r w:rsidRPr="007E4DA1">
        <w:rPr>
          <w:b/>
        </w:rPr>
        <w:t xml:space="preserve">NIEWIDOCZNYM I </w:t>
      </w:r>
      <w:r w:rsidRPr="007E4DA1">
        <w:rPr>
          <w:b/>
          <w:lang w:eastAsia="en-US"/>
        </w:rPr>
        <w:t>NIEDOSTĘPNYM</w:t>
      </w:r>
      <w:r w:rsidRPr="007E4DA1">
        <w:rPr>
          <w:b/>
        </w:rPr>
        <w:t xml:space="preserve"> DLA DZIECI</w:t>
      </w:r>
    </w:p>
    <w:p w14:paraId="0BA33D69" w14:textId="253B9572" w:rsidR="00A350DA" w:rsidRPr="007E4DA1" w:rsidRDefault="00A350DA" w:rsidP="00DE1596"/>
    <w:p w14:paraId="1077A955" w14:textId="77777777" w:rsidR="00A350DA" w:rsidRPr="007E4DA1" w:rsidRDefault="00A350DA" w:rsidP="00DE1596">
      <w:r w:rsidRPr="007E4DA1">
        <w:t>Lek przechowywać w miejscu niewidocznym i niedostępnym dla dzieci.</w:t>
      </w:r>
    </w:p>
    <w:p w14:paraId="59A7E098" w14:textId="77777777" w:rsidR="00A350DA" w:rsidRPr="007E4DA1" w:rsidRDefault="00A350DA" w:rsidP="00DE1596"/>
    <w:p w14:paraId="18600256" w14:textId="77777777" w:rsidR="00A350DA" w:rsidRPr="007E4DA1" w:rsidRDefault="00A350DA" w:rsidP="00DE1596"/>
    <w:p w14:paraId="5DAA53FC"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7.</w:t>
      </w:r>
      <w:r w:rsidRPr="007E4DA1">
        <w:rPr>
          <w:b/>
        </w:rPr>
        <w:tab/>
        <w:t>INNE OSTRZEŻENIA SPECJALNE, JEŚLI KONIECZNE</w:t>
      </w:r>
    </w:p>
    <w:p w14:paraId="41DB7CCB" w14:textId="45CCD23D" w:rsidR="00A350DA" w:rsidRPr="007E4DA1" w:rsidRDefault="00A350DA" w:rsidP="00DE1596"/>
    <w:p w14:paraId="1C4F4C58" w14:textId="77777777" w:rsidR="00A350DA" w:rsidRPr="007E4DA1" w:rsidRDefault="00A350DA" w:rsidP="00DE1596"/>
    <w:p w14:paraId="3BB14361"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8.</w:t>
      </w:r>
      <w:r w:rsidRPr="007E4DA1">
        <w:rPr>
          <w:b/>
        </w:rPr>
        <w:tab/>
        <w:t>T</w:t>
      </w:r>
      <w:smartTag w:uri="schemas-GSKSiteLocations-com/fourthcoffee" w:element="flavor">
        <w:r w:rsidRPr="007E4DA1">
          <w:rPr>
            <w:b/>
          </w:rPr>
          <w:t>ERM</w:t>
        </w:r>
      </w:smartTag>
      <w:r w:rsidRPr="007E4DA1">
        <w:rPr>
          <w:b/>
        </w:rPr>
        <w:t>IN WAŻNOŚCI</w:t>
      </w:r>
    </w:p>
    <w:p w14:paraId="4500654D" w14:textId="6A64E4FA" w:rsidR="00A350DA" w:rsidRPr="007E4DA1" w:rsidRDefault="00A350DA" w:rsidP="00DE1596"/>
    <w:p w14:paraId="3B3B1556" w14:textId="77777777" w:rsidR="00A350DA" w:rsidRPr="007E4DA1" w:rsidRDefault="00A350DA" w:rsidP="00DE1596">
      <w:r w:rsidRPr="007E4DA1">
        <w:t>Termin ważności (EXP):</w:t>
      </w:r>
    </w:p>
    <w:p w14:paraId="64AE6054" w14:textId="77777777" w:rsidR="00704218" w:rsidRPr="007E4DA1" w:rsidRDefault="00704218" w:rsidP="00DE1596">
      <w:r w:rsidRPr="007E4DA1">
        <w:t>Zużyć w ciągu 30 minut od przygotowania.</w:t>
      </w:r>
    </w:p>
    <w:p w14:paraId="10B2596D" w14:textId="77777777" w:rsidR="00A350DA" w:rsidRPr="007E4DA1" w:rsidRDefault="00A350DA" w:rsidP="00DE1596"/>
    <w:p w14:paraId="251D5515" w14:textId="77777777" w:rsidR="00A350DA" w:rsidRPr="007E4DA1" w:rsidRDefault="00A350DA" w:rsidP="00DE1596"/>
    <w:p w14:paraId="3FD7B1BD" w14:textId="77777777" w:rsidR="00041A08" w:rsidRPr="00041A08" w:rsidRDefault="00A350DA" w:rsidP="00DE1596">
      <w:pPr>
        <w:keepNext/>
        <w:pBdr>
          <w:top w:val="single" w:sz="4" w:space="1" w:color="auto"/>
          <w:left w:val="single" w:sz="4" w:space="4" w:color="auto"/>
          <w:bottom w:val="single" w:sz="4" w:space="1" w:color="auto"/>
          <w:right w:val="single" w:sz="4" w:space="4" w:color="auto"/>
        </w:pBdr>
        <w:tabs>
          <w:tab w:val="left" w:pos="142"/>
        </w:tabs>
      </w:pPr>
      <w:r w:rsidRPr="007E4DA1">
        <w:rPr>
          <w:b/>
        </w:rPr>
        <w:t>9.</w:t>
      </w:r>
      <w:r w:rsidRPr="007E4DA1">
        <w:rPr>
          <w:b/>
        </w:rPr>
        <w:tab/>
        <w:t>WARUNKI PRZECHOWYWANIA</w:t>
      </w:r>
    </w:p>
    <w:p w14:paraId="0682CDEB" w14:textId="1A72C40C" w:rsidR="00A350DA" w:rsidRPr="007E4DA1" w:rsidRDefault="00A350DA" w:rsidP="00DE1596">
      <w:pPr>
        <w:keepNext/>
        <w:tabs>
          <w:tab w:val="left" w:pos="720"/>
        </w:tabs>
      </w:pPr>
    </w:p>
    <w:p w14:paraId="632251B6" w14:textId="77777777" w:rsidR="00A350DA" w:rsidRPr="007E4DA1" w:rsidRDefault="00A350DA" w:rsidP="00DE1596">
      <w:pPr>
        <w:tabs>
          <w:tab w:val="left" w:pos="720"/>
        </w:tabs>
      </w:pPr>
    </w:p>
    <w:p w14:paraId="00EC28F6" w14:textId="77777777" w:rsidR="00041A08" w:rsidRPr="00041A08" w:rsidRDefault="00A350DA" w:rsidP="00DE1596">
      <w:pPr>
        <w:keepNext/>
        <w:pBdr>
          <w:top w:val="single" w:sz="4" w:space="1" w:color="auto"/>
          <w:left w:val="single" w:sz="4" w:space="4" w:color="auto"/>
          <w:bottom w:val="single" w:sz="4" w:space="1" w:color="auto"/>
          <w:right w:val="single" w:sz="4" w:space="4" w:color="auto"/>
        </w:pBdr>
        <w:tabs>
          <w:tab w:val="left" w:pos="142"/>
        </w:tabs>
        <w:rPr>
          <w:lang w:eastAsia="en-US"/>
        </w:rPr>
      </w:pPr>
      <w:r w:rsidRPr="007E4DA1">
        <w:rPr>
          <w:b/>
          <w:lang w:eastAsia="en-US"/>
        </w:rPr>
        <w:t>10.</w:t>
      </w:r>
      <w:r w:rsidRPr="007E4DA1">
        <w:rPr>
          <w:b/>
          <w:lang w:eastAsia="en-US"/>
        </w:rPr>
        <w:tab/>
        <w:t xml:space="preserve">SPECJALNE ŚRODKI OSTROŻNOŚCI DOTYCZĄCE USUWANIA NIEZUŻYTEGO PRODUKTU LECZNICZEGO </w:t>
      </w:r>
      <w:smartTag w:uri="urn:schemas-microsoft-com:office:smarttags" w:element="stockticker">
        <w:r w:rsidRPr="007E4DA1">
          <w:rPr>
            <w:b/>
            <w:lang w:eastAsia="en-US"/>
          </w:rPr>
          <w:t>LUB</w:t>
        </w:r>
      </w:smartTag>
      <w:r w:rsidRPr="007E4DA1">
        <w:rPr>
          <w:b/>
          <w:lang w:eastAsia="en-US"/>
        </w:rPr>
        <w:t xml:space="preserve"> POCHODZĄCYCH Z NIEGO ODPADÓW, JEŚLI WŁAŚCIWE</w:t>
      </w:r>
    </w:p>
    <w:p w14:paraId="0CE30DB7" w14:textId="50CA6E09" w:rsidR="00A350DA" w:rsidRPr="007E4DA1" w:rsidRDefault="00A350DA" w:rsidP="00DE1596">
      <w:pPr>
        <w:keepNext/>
        <w:tabs>
          <w:tab w:val="left" w:pos="720"/>
        </w:tabs>
      </w:pPr>
    </w:p>
    <w:p w14:paraId="7D91E5C4" w14:textId="77777777" w:rsidR="00A350DA" w:rsidRPr="007E4DA1" w:rsidRDefault="00A350DA" w:rsidP="00DE1596">
      <w:pPr>
        <w:tabs>
          <w:tab w:val="left" w:pos="720"/>
        </w:tabs>
      </w:pPr>
    </w:p>
    <w:p w14:paraId="44F1AC14"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lang w:eastAsia="en-US"/>
        </w:rPr>
        <w:t>11.</w:t>
      </w:r>
      <w:r w:rsidRPr="007E4DA1">
        <w:rPr>
          <w:b/>
          <w:lang w:eastAsia="en-US"/>
        </w:rPr>
        <w:tab/>
        <w:t>NAZWA</w:t>
      </w:r>
      <w:r w:rsidRPr="007E4DA1">
        <w:rPr>
          <w:b/>
        </w:rPr>
        <w:t xml:space="preserve"> I ADRES PODMIOTU OD</w:t>
      </w:r>
      <w:smartTag w:uri="schemas-GSKSiteLocations-com/fourthcoffee" w:element="flavor">
        <w:r w:rsidRPr="007E4DA1">
          <w:rPr>
            <w:b/>
          </w:rPr>
          <w:t>POW</w:t>
        </w:r>
      </w:smartTag>
      <w:r w:rsidRPr="007E4DA1">
        <w:rPr>
          <w:b/>
        </w:rPr>
        <w:t>IEDZIALNEGO</w:t>
      </w:r>
    </w:p>
    <w:p w14:paraId="6B58819D" w14:textId="7EEC2919" w:rsidR="00A350DA" w:rsidRPr="007E4DA1" w:rsidRDefault="00A350DA" w:rsidP="00DE1596">
      <w:pPr>
        <w:tabs>
          <w:tab w:val="left" w:pos="720"/>
        </w:tabs>
      </w:pPr>
    </w:p>
    <w:p w14:paraId="3D7152EE" w14:textId="77777777" w:rsidR="00A350DA" w:rsidRPr="007E4DA1" w:rsidRDefault="00A350DA" w:rsidP="00DE1596">
      <w:r w:rsidRPr="007E4DA1">
        <w:t>Novartis Europharm Limited</w:t>
      </w:r>
    </w:p>
    <w:p w14:paraId="3F8747B5" w14:textId="77777777" w:rsidR="0091544F" w:rsidRPr="007E4DA1" w:rsidRDefault="0091544F" w:rsidP="00DE1596">
      <w:pPr>
        <w:keepNext/>
        <w:rPr>
          <w:color w:val="000000"/>
          <w:lang w:val="en-GB"/>
        </w:rPr>
      </w:pPr>
      <w:r w:rsidRPr="007E4DA1">
        <w:rPr>
          <w:color w:val="000000"/>
          <w:lang w:val="en-GB"/>
        </w:rPr>
        <w:t>Vista Building</w:t>
      </w:r>
    </w:p>
    <w:p w14:paraId="43D6BD06" w14:textId="77777777" w:rsidR="0091544F" w:rsidRPr="007E4DA1" w:rsidRDefault="0091544F" w:rsidP="00DE1596">
      <w:pPr>
        <w:keepNext/>
        <w:rPr>
          <w:color w:val="000000"/>
          <w:lang w:val="en-GB"/>
        </w:rPr>
      </w:pPr>
      <w:r w:rsidRPr="007E4DA1">
        <w:rPr>
          <w:color w:val="000000"/>
          <w:lang w:val="en-GB"/>
        </w:rPr>
        <w:t>Elm Park, Merrion Road</w:t>
      </w:r>
    </w:p>
    <w:p w14:paraId="201E79F4" w14:textId="77777777" w:rsidR="0091544F" w:rsidRPr="007E4DA1" w:rsidRDefault="0091544F" w:rsidP="00DE1596">
      <w:pPr>
        <w:keepNext/>
        <w:rPr>
          <w:color w:val="000000"/>
        </w:rPr>
      </w:pPr>
      <w:r w:rsidRPr="007E4DA1">
        <w:rPr>
          <w:color w:val="000000"/>
        </w:rPr>
        <w:t>Dublin 4</w:t>
      </w:r>
    </w:p>
    <w:p w14:paraId="4C395943" w14:textId="77777777" w:rsidR="00A350DA" w:rsidRPr="007E4DA1" w:rsidRDefault="0091544F" w:rsidP="00DE1596">
      <w:pPr>
        <w:tabs>
          <w:tab w:val="left" w:pos="720"/>
        </w:tabs>
      </w:pPr>
      <w:r w:rsidRPr="007E4DA1">
        <w:rPr>
          <w:color w:val="000000"/>
        </w:rPr>
        <w:t>Irlandia</w:t>
      </w:r>
    </w:p>
    <w:p w14:paraId="4F222E17" w14:textId="77777777" w:rsidR="00A350DA" w:rsidRPr="007E4DA1" w:rsidRDefault="00A350DA" w:rsidP="00DE1596">
      <w:pPr>
        <w:tabs>
          <w:tab w:val="left" w:pos="720"/>
        </w:tabs>
      </w:pPr>
    </w:p>
    <w:p w14:paraId="6D4EFE85" w14:textId="77777777" w:rsidR="00A350DA" w:rsidRPr="007E4DA1" w:rsidRDefault="00A350DA" w:rsidP="00DE1596">
      <w:pPr>
        <w:tabs>
          <w:tab w:val="left" w:pos="720"/>
        </w:tabs>
      </w:pPr>
    </w:p>
    <w:p w14:paraId="2BA7FFC6"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12.</w:t>
      </w:r>
      <w:r w:rsidRPr="007E4DA1">
        <w:rPr>
          <w:b/>
        </w:rPr>
        <w:tab/>
        <w:t>NUMER POZWOLENIA NA DOPUSZCZENIE DO OBROTU</w:t>
      </w:r>
    </w:p>
    <w:p w14:paraId="7F4FEB8F" w14:textId="0663545C" w:rsidR="00A350DA" w:rsidRPr="007E4DA1" w:rsidRDefault="00A350DA" w:rsidP="00DE1596">
      <w:pPr>
        <w:tabs>
          <w:tab w:val="left" w:pos="720"/>
        </w:tabs>
      </w:pPr>
    </w:p>
    <w:p w14:paraId="380CDC83" w14:textId="77777777" w:rsidR="00A350DA" w:rsidRPr="007E4DA1" w:rsidRDefault="00A350DA" w:rsidP="00DE1596">
      <w:pPr>
        <w:rPr>
          <w:lang w:val="es-ES"/>
        </w:rPr>
      </w:pPr>
      <w:r w:rsidRPr="007E4DA1">
        <w:rPr>
          <w:lang w:val="es-ES"/>
        </w:rPr>
        <w:t>EU/1/10/612/0</w:t>
      </w:r>
      <w:r w:rsidR="00704218" w:rsidRPr="007E4DA1">
        <w:rPr>
          <w:lang w:val="es-ES"/>
        </w:rPr>
        <w:t>13</w:t>
      </w:r>
    </w:p>
    <w:p w14:paraId="60746854" w14:textId="77777777" w:rsidR="00A350DA" w:rsidRPr="007E4DA1" w:rsidRDefault="00A350DA" w:rsidP="00DE1596">
      <w:pPr>
        <w:tabs>
          <w:tab w:val="left" w:pos="720"/>
        </w:tabs>
        <w:rPr>
          <w:lang w:val="es-ES"/>
        </w:rPr>
      </w:pPr>
    </w:p>
    <w:p w14:paraId="6CD33714" w14:textId="77777777" w:rsidR="00A350DA" w:rsidRPr="007E4DA1" w:rsidRDefault="00A350DA" w:rsidP="00DE1596">
      <w:pPr>
        <w:tabs>
          <w:tab w:val="left" w:pos="720"/>
        </w:tabs>
        <w:rPr>
          <w:lang w:val="es-ES"/>
        </w:rPr>
      </w:pPr>
    </w:p>
    <w:p w14:paraId="58E0DB19"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rPr>
          <w:lang w:val="en-US"/>
        </w:rPr>
      </w:pPr>
      <w:r w:rsidRPr="001742B3">
        <w:rPr>
          <w:b/>
          <w:lang w:val="en-US"/>
        </w:rPr>
        <w:t>13.</w:t>
      </w:r>
      <w:r w:rsidRPr="001742B3">
        <w:rPr>
          <w:b/>
          <w:lang w:val="en-US"/>
        </w:rPr>
        <w:tab/>
        <w:t>NUMER SERII</w:t>
      </w:r>
    </w:p>
    <w:p w14:paraId="387EF342" w14:textId="670C2B2A" w:rsidR="00A350DA" w:rsidRPr="001742B3" w:rsidRDefault="00A350DA" w:rsidP="00DE1596">
      <w:pPr>
        <w:tabs>
          <w:tab w:val="left" w:pos="720"/>
        </w:tabs>
        <w:rPr>
          <w:lang w:val="en-US"/>
        </w:rPr>
      </w:pPr>
    </w:p>
    <w:p w14:paraId="7946F9DF" w14:textId="77777777" w:rsidR="00A350DA" w:rsidRPr="001742B3" w:rsidRDefault="00A350DA" w:rsidP="00DE1596">
      <w:pPr>
        <w:tabs>
          <w:tab w:val="left" w:pos="720"/>
        </w:tabs>
        <w:rPr>
          <w:lang w:val="en-US"/>
        </w:rPr>
      </w:pPr>
      <w:proofErr w:type="spellStart"/>
      <w:r w:rsidRPr="001742B3">
        <w:rPr>
          <w:lang w:val="en-US"/>
        </w:rPr>
        <w:t>Numer</w:t>
      </w:r>
      <w:proofErr w:type="spellEnd"/>
      <w:r w:rsidRPr="001742B3">
        <w:rPr>
          <w:lang w:val="en-US"/>
        </w:rPr>
        <w:t xml:space="preserve"> </w:t>
      </w:r>
      <w:proofErr w:type="spellStart"/>
      <w:r w:rsidRPr="001742B3">
        <w:rPr>
          <w:lang w:val="en-US"/>
        </w:rPr>
        <w:t>serii</w:t>
      </w:r>
      <w:proofErr w:type="spellEnd"/>
      <w:r w:rsidRPr="001742B3">
        <w:rPr>
          <w:lang w:val="en-US"/>
        </w:rPr>
        <w:t xml:space="preserve"> (Lot):</w:t>
      </w:r>
    </w:p>
    <w:p w14:paraId="32ECEA7B" w14:textId="77777777" w:rsidR="00A350DA" w:rsidRPr="001742B3" w:rsidRDefault="00A350DA" w:rsidP="00DE1596">
      <w:pPr>
        <w:tabs>
          <w:tab w:val="left" w:pos="720"/>
        </w:tabs>
        <w:rPr>
          <w:lang w:val="en-US"/>
        </w:rPr>
      </w:pPr>
    </w:p>
    <w:p w14:paraId="45EC3DEF" w14:textId="77777777" w:rsidR="00A350DA" w:rsidRPr="001742B3" w:rsidRDefault="00A350DA" w:rsidP="00DE1596">
      <w:pPr>
        <w:tabs>
          <w:tab w:val="left" w:pos="720"/>
        </w:tabs>
        <w:rPr>
          <w:lang w:val="en-US"/>
        </w:rPr>
      </w:pPr>
    </w:p>
    <w:p w14:paraId="192CF5F0"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14.</w:t>
      </w:r>
      <w:r w:rsidRPr="007E4DA1">
        <w:rPr>
          <w:b/>
        </w:rPr>
        <w:tab/>
        <w:t>OGÓLNA KATEGORIA DOSTĘPNOŚCI</w:t>
      </w:r>
    </w:p>
    <w:p w14:paraId="09248075" w14:textId="45423D0D" w:rsidR="00A350DA" w:rsidRPr="007E4DA1" w:rsidRDefault="00A350DA" w:rsidP="00DE1596">
      <w:pPr>
        <w:tabs>
          <w:tab w:val="left" w:pos="720"/>
        </w:tabs>
      </w:pPr>
    </w:p>
    <w:p w14:paraId="5860BE27" w14:textId="77777777" w:rsidR="00A350DA" w:rsidRPr="007E4DA1" w:rsidRDefault="00A350DA" w:rsidP="00DE1596">
      <w:pPr>
        <w:tabs>
          <w:tab w:val="left" w:pos="720"/>
        </w:tabs>
      </w:pPr>
    </w:p>
    <w:p w14:paraId="793CBC63"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15.</w:t>
      </w:r>
      <w:r w:rsidRPr="007E4DA1">
        <w:rPr>
          <w:b/>
        </w:rPr>
        <w:tab/>
        <w:t>INSTRUKCJA UŻYCIA</w:t>
      </w:r>
    </w:p>
    <w:p w14:paraId="49CF72C7" w14:textId="6CE3C656" w:rsidR="00A350DA" w:rsidRPr="007E4DA1" w:rsidRDefault="00A350DA" w:rsidP="00DE1596">
      <w:pPr>
        <w:tabs>
          <w:tab w:val="left" w:pos="720"/>
        </w:tabs>
      </w:pPr>
    </w:p>
    <w:p w14:paraId="36731562" w14:textId="77777777" w:rsidR="00A350DA" w:rsidRPr="007E4DA1" w:rsidRDefault="00A350DA" w:rsidP="00DE1596">
      <w:pPr>
        <w:tabs>
          <w:tab w:val="left" w:pos="720"/>
        </w:tabs>
      </w:pPr>
    </w:p>
    <w:p w14:paraId="78082950"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720"/>
        </w:tabs>
      </w:pPr>
      <w:r w:rsidRPr="007E4DA1">
        <w:rPr>
          <w:b/>
        </w:rPr>
        <w:t>16.</w:t>
      </w:r>
      <w:r w:rsidRPr="007E4DA1">
        <w:rPr>
          <w:b/>
        </w:rPr>
        <w:tab/>
        <w:t>INFORMACJA PODANA SYSTEMEM BRAILLE’A</w:t>
      </w:r>
    </w:p>
    <w:p w14:paraId="6C25E4A9" w14:textId="77777777" w:rsidR="00A350DA" w:rsidRPr="007E4DA1" w:rsidRDefault="00A350DA" w:rsidP="00DE1596">
      <w:pPr>
        <w:tabs>
          <w:tab w:val="left" w:pos="720"/>
        </w:tabs>
      </w:pPr>
    </w:p>
    <w:p w14:paraId="04C21851" w14:textId="77777777" w:rsidR="00A350DA" w:rsidRPr="007E4DA1" w:rsidRDefault="00A350DA" w:rsidP="00DE1596">
      <w:pPr>
        <w:tabs>
          <w:tab w:val="left" w:pos="720"/>
        </w:tabs>
      </w:pPr>
      <w:r w:rsidRPr="007E4DA1">
        <w:t>revolade 25 mg</w:t>
      </w:r>
      <w:r w:rsidR="00712793" w:rsidRPr="007E4DA1">
        <w:t xml:space="preserve"> saszetki</w:t>
      </w:r>
    </w:p>
    <w:p w14:paraId="252B84B7" w14:textId="77777777" w:rsidR="00A350DA" w:rsidRPr="007E4DA1" w:rsidRDefault="00A350DA" w:rsidP="00DE1596">
      <w:pPr>
        <w:tabs>
          <w:tab w:val="left" w:pos="720"/>
        </w:tabs>
      </w:pPr>
    </w:p>
    <w:p w14:paraId="118F172E" w14:textId="77777777" w:rsidR="00A350DA" w:rsidRPr="007E4DA1" w:rsidRDefault="00A350DA" w:rsidP="00DE1596">
      <w:pPr>
        <w:tabs>
          <w:tab w:val="left" w:pos="720"/>
        </w:tabs>
      </w:pPr>
      <w:r w:rsidRPr="007E4DA1">
        <w:br w:type="page"/>
      </w:r>
    </w:p>
    <w:p w14:paraId="39790A1E" w14:textId="77777777" w:rsidR="00AA3184" w:rsidRPr="007E4DA1" w:rsidRDefault="00AA3184" w:rsidP="00DE1596">
      <w:pPr>
        <w:tabs>
          <w:tab w:val="left" w:pos="720"/>
        </w:tabs>
        <w:ind w:left="0" w:firstLine="0"/>
      </w:pPr>
    </w:p>
    <w:p w14:paraId="5FFFADEC"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720"/>
        </w:tabs>
        <w:ind w:left="0" w:firstLine="0"/>
      </w:pPr>
      <w:r w:rsidRPr="007E4DA1">
        <w:rPr>
          <w:b/>
        </w:rPr>
        <w:t xml:space="preserve">MINIMUM INFORMACJI ZAMIESZCZANYCH NA </w:t>
      </w:r>
      <w:r w:rsidR="00704218" w:rsidRPr="007E4DA1">
        <w:rPr>
          <w:b/>
          <w:caps/>
          <w:noProof/>
          <w:szCs w:val="22"/>
        </w:rPr>
        <w:t>małych</w:t>
      </w:r>
      <w:r w:rsidR="00704218" w:rsidRPr="007E4DA1">
        <w:rPr>
          <w:b/>
          <w:noProof/>
          <w:szCs w:val="22"/>
        </w:rPr>
        <w:t xml:space="preserve"> OPAKOWANIACH BEZPOŚREDNICH</w:t>
      </w:r>
    </w:p>
    <w:p w14:paraId="7250801A" w14:textId="2A141894" w:rsidR="00A350DA" w:rsidRPr="007E4DA1" w:rsidRDefault="00A350DA" w:rsidP="00DE1596">
      <w:pPr>
        <w:pBdr>
          <w:top w:val="single" w:sz="4" w:space="1" w:color="auto"/>
          <w:left w:val="single" w:sz="4" w:space="4" w:color="auto"/>
          <w:bottom w:val="single" w:sz="4" w:space="1" w:color="auto"/>
          <w:right w:val="single" w:sz="4" w:space="4" w:color="auto"/>
        </w:pBdr>
        <w:tabs>
          <w:tab w:val="left" w:pos="720"/>
        </w:tabs>
        <w:ind w:left="0" w:firstLine="0"/>
      </w:pPr>
    </w:p>
    <w:p w14:paraId="58D2CE60" w14:textId="77777777" w:rsidR="00041A08" w:rsidRPr="00041A08" w:rsidRDefault="00712793" w:rsidP="00DE1596">
      <w:pPr>
        <w:pBdr>
          <w:top w:val="single" w:sz="4" w:space="1" w:color="auto"/>
          <w:left w:val="single" w:sz="4" w:space="4" w:color="auto"/>
          <w:bottom w:val="single" w:sz="4" w:space="1" w:color="auto"/>
          <w:right w:val="single" w:sz="4" w:space="4" w:color="auto"/>
        </w:pBdr>
        <w:tabs>
          <w:tab w:val="left" w:pos="720"/>
        </w:tabs>
        <w:ind w:left="0" w:firstLine="0"/>
      </w:pPr>
      <w:r w:rsidRPr="007E4DA1">
        <w:rPr>
          <w:b/>
          <w:bCs/>
        </w:rPr>
        <w:t>Saszetka</w:t>
      </w:r>
    </w:p>
    <w:p w14:paraId="202F77BF" w14:textId="6EC00D80" w:rsidR="00A350DA" w:rsidRPr="007E4DA1" w:rsidRDefault="00A350DA" w:rsidP="00DE1596">
      <w:pPr>
        <w:tabs>
          <w:tab w:val="left" w:pos="720"/>
        </w:tabs>
      </w:pPr>
    </w:p>
    <w:p w14:paraId="58119B93" w14:textId="77777777" w:rsidR="00A350DA" w:rsidRPr="007E4DA1" w:rsidRDefault="00A350DA" w:rsidP="00DE1596">
      <w:pPr>
        <w:tabs>
          <w:tab w:val="left" w:pos="720"/>
        </w:tabs>
      </w:pPr>
    </w:p>
    <w:p w14:paraId="12D36E08"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1.</w:t>
      </w:r>
      <w:r w:rsidRPr="007E4DA1">
        <w:rPr>
          <w:b/>
        </w:rPr>
        <w:tab/>
        <w:t>NAZWA PRODUKTU LECZNICZEGO</w:t>
      </w:r>
    </w:p>
    <w:p w14:paraId="6E91CA62" w14:textId="2A4421DA" w:rsidR="00A350DA" w:rsidRPr="007E4DA1" w:rsidRDefault="00A350DA" w:rsidP="00DE1596"/>
    <w:p w14:paraId="6A0DFE05" w14:textId="77777777" w:rsidR="00A350DA" w:rsidRPr="007E4DA1" w:rsidRDefault="00A350DA" w:rsidP="00DE1596">
      <w:r w:rsidRPr="007E4DA1">
        <w:t xml:space="preserve">Revolade 25 mg </w:t>
      </w:r>
      <w:r w:rsidR="00712793" w:rsidRPr="007E4DA1">
        <w:t>proszek do sporządzania zawiesiny doustnej</w:t>
      </w:r>
    </w:p>
    <w:p w14:paraId="35D6FFBA" w14:textId="77777777" w:rsidR="00410505" w:rsidRPr="007E4DA1" w:rsidRDefault="00410505" w:rsidP="00DE1596"/>
    <w:p w14:paraId="141D4A5B" w14:textId="77777777" w:rsidR="00A350DA" w:rsidRPr="007E4DA1" w:rsidRDefault="00A350DA" w:rsidP="00DE1596">
      <w:r w:rsidRPr="007E4DA1">
        <w:t>eltrombopag</w:t>
      </w:r>
    </w:p>
    <w:p w14:paraId="42BA38FC" w14:textId="77777777" w:rsidR="00A350DA" w:rsidRPr="007E4DA1" w:rsidRDefault="00A350DA" w:rsidP="00DE1596">
      <w:pPr>
        <w:tabs>
          <w:tab w:val="left" w:pos="720"/>
        </w:tabs>
      </w:pPr>
    </w:p>
    <w:p w14:paraId="7D28F0A9" w14:textId="77777777" w:rsidR="00704218" w:rsidRPr="007E4DA1" w:rsidRDefault="00704218" w:rsidP="00DE1596">
      <w:pPr>
        <w:tabs>
          <w:tab w:val="left" w:pos="720"/>
        </w:tabs>
      </w:pPr>
      <w:r w:rsidRPr="007E4DA1">
        <w:t>Podanie doustne</w:t>
      </w:r>
    </w:p>
    <w:p w14:paraId="26A590C9" w14:textId="77777777" w:rsidR="00704218" w:rsidRPr="007E4DA1" w:rsidRDefault="00704218" w:rsidP="00DE1596">
      <w:pPr>
        <w:tabs>
          <w:tab w:val="left" w:pos="720"/>
        </w:tabs>
      </w:pPr>
    </w:p>
    <w:p w14:paraId="38B03F91" w14:textId="77777777" w:rsidR="00A350DA" w:rsidRPr="007E4DA1" w:rsidRDefault="00A350DA" w:rsidP="00DE1596">
      <w:pPr>
        <w:tabs>
          <w:tab w:val="left" w:pos="720"/>
        </w:tabs>
      </w:pPr>
    </w:p>
    <w:p w14:paraId="732CDA21"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2.</w:t>
      </w:r>
      <w:r w:rsidRPr="007E4DA1">
        <w:rPr>
          <w:b/>
        </w:rPr>
        <w:tab/>
        <w:t>NAZWA PODMIOTU OD</w:t>
      </w:r>
      <w:smartTag w:uri="schemas-GSKSiteLocations-com/fourthcoffee" w:element="flavor">
        <w:r w:rsidRPr="007E4DA1">
          <w:rPr>
            <w:b/>
          </w:rPr>
          <w:t>POW</w:t>
        </w:r>
      </w:smartTag>
      <w:r w:rsidRPr="007E4DA1">
        <w:rPr>
          <w:b/>
        </w:rPr>
        <w:t>IEDZIALNEGO</w:t>
      </w:r>
    </w:p>
    <w:p w14:paraId="3C10E32B" w14:textId="5430E778" w:rsidR="00A350DA" w:rsidRPr="007E4DA1" w:rsidRDefault="00A350DA" w:rsidP="00DE1596">
      <w:pPr>
        <w:tabs>
          <w:tab w:val="left" w:pos="720"/>
        </w:tabs>
      </w:pPr>
    </w:p>
    <w:p w14:paraId="6EE7AEC0" w14:textId="77777777" w:rsidR="00A350DA" w:rsidRPr="007E4DA1" w:rsidRDefault="00A350DA" w:rsidP="00DE1596">
      <w:pPr>
        <w:rPr>
          <w:lang w:val="en-US"/>
        </w:rPr>
      </w:pPr>
      <w:r w:rsidRPr="007E4DA1">
        <w:rPr>
          <w:lang w:val="en-US"/>
        </w:rPr>
        <w:t xml:space="preserve">Novartis </w:t>
      </w:r>
      <w:proofErr w:type="spellStart"/>
      <w:r w:rsidRPr="007E4DA1">
        <w:rPr>
          <w:lang w:val="en-US"/>
        </w:rPr>
        <w:t>Europharm</w:t>
      </w:r>
      <w:proofErr w:type="spellEnd"/>
      <w:r w:rsidRPr="007E4DA1">
        <w:rPr>
          <w:lang w:val="en-US"/>
        </w:rPr>
        <w:t xml:space="preserve"> Limited</w:t>
      </w:r>
    </w:p>
    <w:p w14:paraId="4927FC8D" w14:textId="77777777" w:rsidR="00A350DA" w:rsidRPr="007E4DA1" w:rsidRDefault="00A350DA" w:rsidP="00DE1596">
      <w:pPr>
        <w:tabs>
          <w:tab w:val="left" w:pos="720"/>
        </w:tabs>
        <w:rPr>
          <w:lang w:val="en-US"/>
        </w:rPr>
      </w:pPr>
    </w:p>
    <w:p w14:paraId="1E10905B" w14:textId="77777777" w:rsidR="00A350DA" w:rsidRPr="007E4DA1" w:rsidRDefault="00A350DA" w:rsidP="00DE1596">
      <w:pPr>
        <w:tabs>
          <w:tab w:val="left" w:pos="720"/>
        </w:tabs>
        <w:rPr>
          <w:lang w:val="en-US"/>
        </w:rPr>
      </w:pPr>
    </w:p>
    <w:p w14:paraId="4C327799"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rPr>
          <w:lang w:val="en-US"/>
        </w:rPr>
      </w:pPr>
      <w:r w:rsidRPr="007E4DA1">
        <w:rPr>
          <w:b/>
          <w:lang w:val="en-US"/>
        </w:rPr>
        <w:t>3.</w:t>
      </w:r>
      <w:r w:rsidRPr="007E4DA1">
        <w:rPr>
          <w:b/>
          <w:lang w:val="en-US"/>
        </w:rPr>
        <w:tab/>
        <w:t>T</w:t>
      </w:r>
      <w:smartTag w:uri="schemas-GSKSiteLocations-com/fourthcoffee" w:element="flavor">
        <w:r w:rsidRPr="007E4DA1">
          <w:rPr>
            <w:b/>
            <w:lang w:val="en-US"/>
          </w:rPr>
          <w:t>ERM</w:t>
        </w:r>
      </w:smartTag>
      <w:r w:rsidRPr="007E4DA1">
        <w:rPr>
          <w:b/>
          <w:lang w:val="en-US"/>
        </w:rPr>
        <w:t>IN WAŻNOŚCI</w:t>
      </w:r>
    </w:p>
    <w:p w14:paraId="2390B2E1" w14:textId="1AB927A4" w:rsidR="00A350DA" w:rsidRPr="007E4DA1" w:rsidRDefault="00A350DA" w:rsidP="00DE1596">
      <w:pPr>
        <w:tabs>
          <w:tab w:val="left" w:pos="720"/>
        </w:tabs>
        <w:rPr>
          <w:lang w:val="en-US"/>
        </w:rPr>
      </w:pPr>
    </w:p>
    <w:p w14:paraId="012B3822" w14:textId="77777777" w:rsidR="00A350DA" w:rsidRPr="007E4DA1" w:rsidRDefault="00A350DA" w:rsidP="00DE1596">
      <w:pPr>
        <w:tabs>
          <w:tab w:val="left" w:pos="720"/>
        </w:tabs>
        <w:rPr>
          <w:lang w:val="en-US"/>
        </w:rPr>
      </w:pPr>
      <w:r w:rsidRPr="007E4DA1">
        <w:rPr>
          <w:lang w:val="en-US"/>
        </w:rPr>
        <w:t>EXP</w:t>
      </w:r>
    </w:p>
    <w:p w14:paraId="72153462" w14:textId="77777777" w:rsidR="00A350DA" w:rsidRPr="007E4DA1" w:rsidRDefault="00A350DA" w:rsidP="00DE1596">
      <w:pPr>
        <w:tabs>
          <w:tab w:val="left" w:pos="720"/>
        </w:tabs>
        <w:rPr>
          <w:lang w:val="en-US"/>
        </w:rPr>
      </w:pPr>
    </w:p>
    <w:p w14:paraId="3287911C" w14:textId="77777777" w:rsidR="00A350DA" w:rsidRPr="007E4DA1" w:rsidRDefault="00A350DA" w:rsidP="00DE1596">
      <w:pPr>
        <w:tabs>
          <w:tab w:val="left" w:pos="720"/>
        </w:tabs>
        <w:rPr>
          <w:lang w:val="en-US"/>
        </w:rPr>
      </w:pPr>
    </w:p>
    <w:p w14:paraId="26710BC7" w14:textId="77777777" w:rsidR="00041A08" w:rsidRPr="00041A08" w:rsidRDefault="00A350DA" w:rsidP="00DE1596">
      <w:pPr>
        <w:pBdr>
          <w:top w:val="single" w:sz="4" w:space="1" w:color="auto"/>
          <w:left w:val="single" w:sz="4" w:space="4" w:color="auto"/>
          <w:bottom w:val="single" w:sz="4" w:space="1" w:color="auto"/>
          <w:right w:val="single" w:sz="4" w:space="4" w:color="auto"/>
        </w:pBdr>
        <w:tabs>
          <w:tab w:val="left" w:pos="142"/>
        </w:tabs>
      </w:pPr>
      <w:r w:rsidRPr="007E4DA1">
        <w:rPr>
          <w:b/>
        </w:rPr>
        <w:t>4.</w:t>
      </w:r>
      <w:r w:rsidRPr="007E4DA1">
        <w:rPr>
          <w:b/>
        </w:rPr>
        <w:tab/>
        <w:t>NUMER SERII</w:t>
      </w:r>
    </w:p>
    <w:p w14:paraId="66EF5781" w14:textId="47230B30" w:rsidR="00A350DA" w:rsidRPr="007E4DA1" w:rsidRDefault="00A350DA" w:rsidP="00DE1596">
      <w:pPr>
        <w:tabs>
          <w:tab w:val="left" w:pos="720"/>
        </w:tabs>
      </w:pPr>
    </w:p>
    <w:p w14:paraId="06FCE461" w14:textId="77777777" w:rsidR="00A350DA" w:rsidRPr="007E4DA1" w:rsidRDefault="00A350DA" w:rsidP="00DE1596">
      <w:pPr>
        <w:tabs>
          <w:tab w:val="left" w:pos="720"/>
        </w:tabs>
      </w:pPr>
      <w:r w:rsidRPr="007E4DA1">
        <w:t>Lot</w:t>
      </w:r>
    </w:p>
    <w:p w14:paraId="2ED22206" w14:textId="77777777" w:rsidR="00A350DA" w:rsidRPr="007E4DA1" w:rsidRDefault="00A350DA" w:rsidP="00DE1596">
      <w:pPr>
        <w:tabs>
          <w:tab w:val="left" w:pos="720"/>
        </w:tabs>
      </w:pPr>
    </w:p>
    <w:p w14:paraId="4E701047" w14:textId="77777777" w:rsidR="00A350DA" w:rsidRPr="007E4DA1" w:rsidRDefault="00A350DA" w:rsidP="00DE1596">
      <w:pPr>
        <w:tabs>
          <w:tab w:val="left" w:pos="720"/>
        </w:tabs>
      </w:pPr>
    </w:p>
    <w:p w14:paraId="3C2D544D"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720"/>
        </w:tabs>
      </w:pPr>
      <w:r w:rsidRPr="007E4DA1">
        <w:rPr>
          <w:b/>
        </w:rPr>
        <w:t>5.</w:t>
      </w:r>
      <w:r w:rsidRPr="007E4DA1">
        <w:rPr>
          <w:b/>
        </w:rPr>
        <w:tab/>
        <w:t>INNE</w:t>
      </w:r>
    </w:p>
    <w:p w14:paraId="3207E604" w14:textId="77777777" w:rsidR="00A350DA" w:rsidRPr="007E4DA1" w:rsidRDefault="00A350DA" w:rsidP="00DE1596">
      <w:pPr>
        <w:tabs>
          <w:tab w:val="left" w:pos="720"/>
        </w:tabs>
      </w:pPr>
    </w:p>
    <w:p w14:paraId="740FEB56" w14:textId="77777777" w:rsidR="00A350DA" w:rsidRPr="007E4DA1" w:rsidRDefault="00A350DA" w:rsidP="00DE1596">
      <w:pPr>
        <w:tabs>
          <w:tab w:val="left" w:pos="720"/>
        </w:tabs>
      </w:pPr>
    </w:p>
    <w:p w14:paraId="21C431D0" w14:textId="77777777" w:rsidR="005B4BC8" w:rsidRPr="007E4DA1" w:rsidRDefault="00A350DA" w:rsidP="00DE1596">
      <w:r w:rsidRPr="007E4DA1">
        <w:br w:type="page"/>
      </w:r>
    </w:p>
    <w:p w14:paraId="7EB7BDDE" w14:textId="77777777" w:rsidR="005B4BC8" w:rsidRPr="007E4DA1" w:rsidRDefault="005B4BC8" w:rsidP="00DE1596"/>
    <w:p w14:paraId="69FBEE86" w14:textId="77777777" w:rsidR="005B4BC8" w:rsidRPr="007E4DA1" w:rsidRDefault="005B4BC8" w:rsidP="00DE1596"/>
    <w:p w14:paraId="00FA74B5" w14:textId="77777777" w:rsidR="005B4BC8" w:rsidRPr="007E4DA1" w:rsidRDefault="005B4BC8" w:rsidP="00DE1596"/>
    <w:p w14:paraId="235BF80E" w14:textId="77777777" w:rsidR="005B4BC8" w:rsidRPr="007E4DA1" w:rsidRDefault="005B4BC8" w:rsidP="00DE1596"/>
    <w:p w14:paraId="1A4802B0" w14:textId="77777777" w:rsidR="005B4BC8" w:rsidRPr="007E4DA1" w:rsidRDefault="005B4BC8" w:rsidP="00DE1596"/>
    <w:p w14:paraId="579BD17F" w14:textId="77777777" w:rsidR="005B4BC8" w:rsidRPr="007E4DA1" w:rsidRDefault="005B4BC8" w:rsidP="00DE1596"/>
    <w:p w14:paraId="0FC0D622" w14:textId="77777777" w:rsidR="005B4BC8" w:rsidRPr="007E4DA1" w:rsidRDefault="005B4BC8" w:rsidP="00DE1596"/>
    <w:p w14:paraId="73E3A22D" w14:textId="77777777" w:rsidR="005B4BC8" w:rsidRPr="007E4DA1" w:rsidRDefault="005B4BC8" w:rsidP="00DE1596"/>
    <w:p w14:paraId="7ED191A7" w14:textId="77777777" w:rsidR="005B4BC8" w:rsidRPr="007E4DA1" w:rsidRDefault="005B4BC8" w:rsidP="00DE1596"/>
    <w:p w14:paraId="48CDB6DE" w14:textId="77777777" w:rsidR="005B4BC8" w:rsidRPr="007E4DA1" w:rsidRDefault="005B4BC8" w:rsidP="00DE1596"/>
    <w:p w14:paraId="16ED3E97" w14:textId="77777777" w:rsidR="005B4BC8" w:rsidRPr="007E4DA1" w:rsidRDefault="005B4BC8" w:rsidP="00DE1596"/>
    <w:p w14:paraId="2686D576" w14:textId="77777777" w:rsidR="005B4BC8" w:rsidRPr="007E4DA1" w:rsidRDefault="005B4BC8" w:rsidP="00DE1596"/>
    <w:p w14:paraId="1DB7E8F6" w14:textId="77777777" w:rsidR="005B4BC8" w:rsidRPr="007E4DA1" w:rsidRDefault="005B4BC8" w:rsidP="00DE1596"/>
    <w:p w14:paraId="3370D7B8" w14:textId="77777777" w:rsidR="005B4BC8" w:rsidRPr="007E4DA1" w:rsidRDefault="005B4BC8" w:rsidP="00DE1596"/>
    <w:p w14:paraId="0B108A16" w14:textId="77777777" w:rsidR="005B4BC8" w:rsidRPr="007E4DA1" w:rsidRDefault="005B4BC8" w:rsidP="00DE1596"/>
    <w:p w14:paraId="148E121C" w14:textId="77777777" w:rsidR="005B4BC8" w:rsidRPr="007E4DA1" w:rsidRDefault="005B4BC8" w:rsidP="00DE1596"/>
    <w:p w14:paraId="295984C7" w14:textId="77777777" w:rsidR="005B4BC8" w:rsidRPr="007E4DA1" w:rsidRDefault="005B4BC8" w:rsidP="00DE1596"/>
    <w:p w14:paraId="6A47A081" w14:textId="77777777" w:rsidR="005B4BC8" w:rsidRPr="007E4DA1" w:rsidRDefault="005B4BC8" w:rsidP="00DE1596"/>
    <w:p w14:paraId="58E56960" w14:textId="77777777" w:rsidR="005B4BC8" w:rsidRPr="007E4DA1" w:rsidRDefault="005B4BC8" w:rsidP="00DE1596"/>
    <w:p w14:paraId="74087305" w14:textId="77777777" w:rsidR="005B4BC8" w:rsidRPr="007E4DA1" w:rsidRDefault="005B4BC8" w:rsidP="00DE1596"/>
    <w:p w14:paraId="03317D48" w14:textId="77777777" w:rsidR="005B4BC8" w:rsidRPr="007E4DA1" w:rsidRDefault="005B4BC8" w:rsidP="00DE1596"/>
    <w:p w14:paraId="1C9FED61" w14:textId="77777777" w:rsidR="005B4BC8" w:rsidRPr="007E4DA1" w:rsidRDefault="005B4BC8" w:rsidP="00DE1596"/>
    <w:p w14:paraId="3E625AE3" w14:textId="77777777" w:rsidR="00AA3184" w:rsidRPr="007E4DA1" w:rsidRDefault="00AA3184" w:rsidP="00DE1596"/>
    <w:p w14:paraId="24A54F6F" w14:textId="77777777" w:rsidR="00041A08" w:rsidRPr="00041A08" w:rsidRDefault="005B4BC8" w:rsidP="00DE1596">
      <w:pPr>
        <w:pStyle w:val="TitleA"/>
        <w:outlineLvl w:val="0"/>
        <w:rPr>
          <w:b w:val="0"/>
        </w:rPr>
      </w:pPr>
      <w:r w:rsidRPr="007E4DA1">
        <w:t xml:space="preserve">B. ULOTKA </w:t>
      </w:r>
      <w:smartTag w:uri="urn:schemas-microsoft-com:office:smarttags" w:element="stockticker">
        <w:r w:rsidRPr="007E4DA1">
          <w:t>DLA</w:t>
        </w:r>
      </w:smartTag>
      <w:r w:rsidRPr="007E4DA1">
        <w:t xml:space="preserve"> </w:t>
      </w:r>
      <w:smartTag w:uri="schemas-GSKSiteLocations-com/fourthcoffee" w:element="flavor">
        <w:r w:rsidRPr="007E4DA1">
          <w:t>PAC</w:t>
        </w:r>
      </w:smartTag>
      <w:r w:rsidRPr="007E4DA1">
        <w:t>JENTA</w:t>
      </w:r>
    </w:p>
    <w:p w14:paraId="16B1170C" w14:textId="77777777" w:rsidR="00041A08" w:rsidRPr="00041A08" w:rsidRDefault="005B4BC8" w:rsidP="00DE1596">
      <w:pPr>
        <w:ind w:left="0" w:firstLine="0"/>
        <w:jc w:val="center"/>
      </w:pPr>
      <w:r w:rsidRPr="007E4DA1">
        <w:rPr>
          <w:b/>
        </w:rPr>
        <w:br w:type="page"/>
      </w:r>
      <w:r w:rsidR="001E5EF3" w:rsidRPr="007E4DA1">
        <w:rPr>
          <w:b/>
          <w:noProof/>
          <w:szCs w:val="24"/>
        </w:rPr>
        <w:t>Ulotka dołączona do opakowania: informacja dla użytkownika</w:t>
      </w:r>
    </w:p>
    <w:p w14:paraId="3CE77A99" w14:textId="74E52B0A" w:rsidR="005B4BC8" w:rsidRPr="007E4DA1" w:rsidRDefault="005B4BC8" w:rsidP="00DE1596">
      <w:pPr>
        <w:jc w:val="center"/>
      </w:pPr>
    </w:p>
    <w:p w14:paraId="4DBB9C23" w14:textId="77777777" w:rsidR="00041A08" w:rsidRPr="00041A08" w:rsidRDefault="001168A9" w:rsidP="00DE1596">
      <w:pPr>
        <w:numPr>
          <w:ilvl w:val="12"/>
          <w:numId w:val="0"/>
        </w:numPr>
        <w:jc w:val="center"/>
        <w:rPr>
          <w:lang w:val="en-GB"/>
        </w:rPr>
      </w:pPr>
      <w:proofErr w:type="spellStart"/>
      <w:r w:rsidRPr="007E4DA1">
        <w:rPr>
          <w:b/>
          <w:lang w:val="en-GB"/>
        </w:rPr>
        <w:t>Revolade</w:t>
      </w:r>
      <w:proofErr w:type="spellEnd"/>
      <w:r w:rsidRPr="007E4DA1">
        <w:rPr>
          <w:b/>
          <w:lang w:val="en-GB"/>
        </w:rPr>
        <w:t xml:space="preserve"> 12,5 mg </w:t>
      </w:r>
      <w:proofErr w:type="spellStart"/>
      <w:r w:rsidRPr="007E4DA1">
        <w:rPr>
          <w:b/>
          <w:lang w:val="en-GB"/>
        </w:rPr>
        <w:t>tabletki</w:t>
      </w:r>
      <w:proofErr w:type="spellEnd"/>
      <w:r w:rsidRPr="007E4DA1">
        <w:rPr>
          <w:b/>
          <w:lang w:val="en-GB"/>
        </w:rPr>
        <w:t xml:space="preserve"> </w:t>
      </w:r>
      <w:proofErr w:type="spellStart"/>
      <w:r w:rsidRPr="007E4DA1">
        <w:rPr>
          <w:b/>
          <w:lang w:val="en-GB"/>
        </w:rPr>
        <w:t>powlekane</w:t>
      </w:r>
      <w:proofErr w:type="spellEnd"/>
    </w:p>
    <w:p w14:paraId="120B673D" w14:textId="77777777" w:rsidR="00041A08" w:rsidRPr="00041A08" w:rsidRDefault="00BA224B" w:rsidP="00DE1596">
      <w:pPr>
        <w:numPr>
          <w:ilvl w:val="12"/>
          <w:numId w:val="0"/>
        </w:numPr>
        <w:jc w:val="center"/>
        <w:rPr>
          <w:lang w:val="en-GB"/>
        </w:rPr>
      </w:pPr>
      <w:proofErr w:type="spellStart"/>
      <w:r w:rsidRPr="007E4DA1">
        <w:rPr>
          <w:b/>
          <w:lang w:val="en-GB"/>
        </w:rPr>
        <w:t>Revolade</w:t>
      </w:r>
      <w:proofErr w:type="spellEnd"/>
      <w:r w:rsidRPr="007E4DA1">
        <w:rPr>
          <w:b/>
          <w:lang w:val="en-GB"/>
        </w:rPr>
        <w:t xml:space="preserve"> 25 mg </w:t>
      </w:r>
      <w:proofErr w:type="spellStart"/>
      <w:r w:rsidRPr="007E4DA1">
        <w:rPr>
          <w:b/>
          <w:lang w:val="en-GB"/>
        </w:rPr>
        <w:t>tabletki</w:t>
      </w:r>
      <w:proofErr w:type="spellEnd"/>
      <w:r w:rsidRPr="007E4DA1">
        <w:rPr>
          <w:b/>
          <w:lang w:val="en-GB"/>
        </w:rPr>
        <w:t xml:space="preserve"> </w:t>
      </w:r>
      <w:proofErr w:type="spellStart"/>
      <w:r w:rsidRPr="007E4DA1">
        <w:rPr>
          <w:b/>
          <w:lang w:val="en-GB"/>
        </w:rPr>
        <w:t>powlekane</w:t>
      </w:r>
      <w:proofErr w:type="spellEnd"/>
    </w:p>
    <w:p w14:paraId="21531DFD" w14:textId="77777777" w:rsidR="00041A08" w:rsidRPr="00041A08" w:rsidRDefault="00BA224B" w:rsidP="00DE1596">
      <w:pPr>
        <w:numPr>
          <w:ilvl w:val="12"/>
          <w:numId w:val="0"/>
        </w:numPr>
        <w:jc w:val="center"/>
        <w:rPr>
          <w:lang w:val="en-GB"/>
        </w:rPr>
      </w:pPr>
      <w:proofErr w:type="spellStart"/>
      <w:r w:rsidRPr="007E4DA1">
        <w:rPr>
          <w:b/>
          <w:lang w:val="en-GB"/>
        </w:rPr>
        <w:t>Revolade</w:t>
      </w:r>
      <w:proofErr w:type="spellEnd"/>
      <w:r w:rsidRPr="007E4DA1">
        <w:rPr>
          <w:b/>
          <w:lang w:val="en-GB"/>
        </w:rPr>
        <w:t xml:space="preserve"> 50 mg </w:t>
      </w:r>
      <w:proofErr w:type="spellStart"/>
      <w:r w:rsidRPr="007E4DA1">
        <w:rPr>
          <w:b/>
          <w:lang w:val="en-GB"/>
        </w:rPr>
        <w:t>tabletki</w:t>
      </w:r>
      <w:proofErr w:type="spellEnd"/>
      <w:r w:rsidRPr="007E4DA1">
        <w:rPr>
          <w:b/>
          <w:lang w:val="en-GB"/>
        </w:rPr>
        <w:t xml:space="preserve"> </w:t>
      </w:r>
      <w:proofErr w:type="spellStart"/>
      <w:r w:rsidRPr="007E4DA1">
        <w:rPr>
          <w:b/>
          <w:lang w:val="en-GB"/>
        </w:rPr>
        <w:t>powlekane</w:t>
      </w:r>
      <w:proofErr w:type="spellEnd"/>
    </w:p>
    <w:p w14:paraId="2D2C0AF6" w14:textId="77777777" w:rsidR="00041A08" w:rsidRPr="00041A08" w:rsidRDefault="00851B42" w:rsidP="00DE1596">
      <w:pPr>
        <w:numPr>
          <w:ilvl w:val="12"/>
          <w:numId w:val="0"/>
        </w:numPr>
        <w:jc w:val="center"/>
        <w:rPr>
          <w:lang w:val="en-GB"/>
        </w:rPr>
      </w:pPr>
      <w:proofErr w:type="spellStart"/>
      <w:r w:rsidRPr="007E4DA1">
        <w:rPr>
          <w:b/>
          <w:bCs/>
          <w:lang w:val="en-GB"/>
        </w:rPr>
        <w:t>Revolade</w:t>
      </w:r>
      <w:proofErr w:type="spellEnd"/>
      <w:r w:rsidRPr="007E4DA1">
        <w:rPr>
          <w:b/>
          <w:bCs/>
          <w:lang w:val="en-GB"/>
        </w:rPr>
        <w:t xml:space="preserve"> 75 mg </w:t>
      </w:r>
      <w:proofErr w:type="spellStart"/>
      <w:r w:rsidRPr="007E4DA1">
        <w:rPr>
          <w:b/>
          <w:bCs/>
          <w:lang w:val="en-GB"/>
        </w:rPr>
        <w:t>tabletki</w:t>
      </w:r>
      <w:proofErr w:type="spellEnd"/>
      <w:r w:rsidRPr="007E4DA1">
        <w:rPr>
          <w:b/>
          <w:bCs/>
          <w:lang w:val="en-GB"/>
        </w:rPr>
        <w:t xml:space="preserve"> </w:t>
      </w:r>
      <w:proofErr w:type="spellStart"/>
      <w:r w:rsidRPr="007E4DA1">
        <w:rPr>
          <w:b/>
          <w:bCs/>
          <w:lang w:val="en-GB"/>
        </w:rPr>
        <w:t>powlekane</w:t>
      </w:r>
      <w:proofErr w:type="spellEnd"/>
    </w:p>
    <w:p w14:paraId="1FC987C5" w14:textId="0CB23F1E" w:rsidR="00BA224B" w:rsidRPr="007E4DA1" w:rsidRDefault="00F542A5" w:rsidP="00DE1596">
      <w:pPr>
        <w:numPr>
          <w:ilvl w:val="12"/>
          <w:numId w:val="0"/>
        </w:numPr>
        <w:jc w:val="center"/>
      </w:pPr>
      <w:r w:rsidRPr="007E4DA1">
        <w:t>e</w:t>
      </w:r>
      <w:r w:rsidR="00BA224B" w:rsidRPr="007E4DA1">
        <w:t>ltrombopag</w:t>
      </w:r>
    </w:p>
    <w:p w14:paraId="116A5B46" w14:textId="77777777" w:rsidR="00851B42" w:rsidRPr="007E4DA1" w:rsidRDefault="00851B42" w:rsidP="00DE1596">
      <w:pPr>
        <w:numPr>
          <w:ilvl w:val="12"/>
          <w:numId w:val="0"/>
        </w:numPr>
        <w:jc w:val="center"/>
      </w:pPr>
    </w:p>
    <w:p w14:paraId="4B9DB672" w14:textId="77777777" w:rsidR="00041A08" w:rsidRPr="00041A08" w:rsidRDefault="005B4BC8" w:rsidP="00DE1596">
      <w:pPr>
        <w:ind w:left="0" w:firstLine="0"/>
      </w:pPr>
      <w:r w:rsidRPr="007E4DA1">
        <w:rPr>
          <w:b/>
        </w:rPr>
        <w:t xml:space="preserve">Należy </w:t>
      </w:r>
      <w:r w:rsidR="001168A9" w:rsidRPr="007E4DA1">
        <w:rPr>
          <w:b/>
        </w:rPr>
        <w:t xml:space="preserve">uważnie </w:t>
      </w:r>
      <w:r w:rsidRPr="007E4DA1">
        <w:rPr>
          <w:b/>
        </w:rPr>
        <w:t>zapoznać się z treścią ulotki przed zastosowaniem leku</w:t>
      </w:r>
      <w:r w:rsidR="001E5EF3" w:rsidRPr="007E4DA1">
        <w:rPr>
          <w:b/>
        </w:rPr>
        <w:t>, poni</w:t>
      </w:r>
      <w:r w:rsidR="007408F7" w:rsidRPr="007E4DA1">
        <w:rPr>
          <w:b/>
        </w:rPr>
        <w:t>e</w:t>
      </w:r>
      <w:r w:rsidR="001E5EF3" w:rsidRPr="007E4DA1">
        <w:rPr>
          <w:b/>
        </w:rPr>
        <w:t>waż zawiera ona informacje ważne dla pacjenta</w:t>
      </w:r>
      <w:r w:rsidRPr="007E4DA1">
        <w:rPr>
          <w:b/>
        </w:rPr>
        <w:t>.</w:t>
      </w:r>
    </w:p>
    <w:p w14:paraId="7AF9529D" w14:textId="0DAD4787" w:rsidR="005B4BC8" w:rsidRPr="007E4DA1" w:rsidRDefault="005B4BC8" w:rsidP="00DE1596">
      <w:pPr>
        <w:numPr>
          <w:ilvl w:val="0"/>
          <w:numId w:val="1"/>
        </w:numPr>
        <w:tabs>
          <w:tab w:val="clear" w:pos="417"/>
        </w:tabs>
      </w:pPr>
      <w:r w:rsidRPr="007E4DA1">
        <w:t>Należy zachować tę ulotkę, aby w razie potrzeby móc ją ponownie przeczytać.</w:t>
      </w:r>
    </w:p>
    <w:p w14:paraId="49E346AC" w14:textId="77777777" w:rsidR="005B4BC8" w:rsidRPr="007E4DA1" w:rsidRDefault="001168A9" w:rsidP="00DE1596">
      <w:pPr>
        <w:numPr>
          <w:ilvl w:val="0"/>
          <w:numId w:val="1"/>
        </w:numPr>
        <w:tabs>
          <w:tab w:val="clear" w:pos="417"/>
        </w:tabs>
      </w:pPr>
      <w:r w:rsidRPr="007E4DA1">
        <w:t>W</w:t>
      </w:r>
      <w:r w:rsidR="001E5EF3" w:rsidRPr="007E4DA1">
        <w:t xml:space="preserve"> razie jakichkolwiek wątpliwości</w:t>
      </w:r>
      <w:r w:rsidRPr="007E4DA1">
        <w:t xml:space="preserve"> </w:t>
      </w:r>
      <w:r w:rsidR="00344DE6" w:rsidRPr="007E4DA1">
        <w:t>n</w:t>
      </w:r>
      <w:r w:rsidRPr="007E4DA1">
        <w:t>ależy zwrócić się do lekarza lub farmaceuty</w:t>
      </w:r>
      <w:r w:rsidR="005B4BC8" w:rsidRPr="007E4DA1">
        <w:t>.</w:t>
      </w:r>
    </w:p>
    <w:p w14:paraId="2F1B1538" w14:textId="77777777" w:rsidR="005B4BC8" w:rsidRPr="007E4DA1" w:rsidRDefault="005B4BC8" w:rsidP="00DE1596">
      <w:pPr>
        <w:numPr>
          <w:ilvl w:val="0"/>
          <w:numId w:val="1"/>
        </w:numPr>
        <w:tabs>
          <w:tab w:val="clear" w:pos="417"/>
        </w:tabs>
      </w:pPr>
      <w:r w:rsidRPr="007E4DA1">
        <w:t>Lek ten przepisan</w:t>
      </w:r>
      <w:r w:rsidR="001E5EF3" w:rsidRPr="007E4DA1">
        <w:t>o</w:t>
      </w:r>
      <w:r w:rsidRPr="007E4DA1">
        <w:t xml:space="preserve"> ściśle określonej osobie</w:t>
      </w:r>
      <w:r w:rsidR="001E5EF3" w:rsidRPr="007E4DA1">
        <w:t>.</w:t>
      </w:r>
      <w:r w:rsidRPr="007E4DA1">
        <w:t xml:space="preserve"> </w:t>
      </w:r>
      <w:r w:rsidR="001E5EF3" w:rsidRPr="007E4DA1">
        <w:t>N</w:t>
      </w:r>
      <w:r w:rsidRPr="007E4DA1">
        <w:t>ie należy go przekazywać innym</w:t>
      </w:r>
      <w:r w:rsidR="001E5EF3" w:rsidRPr="007E4DA1">
        <w:t xml:space="preserve">. Lek </w:t>
      </w:r>
      <w:r w:rsidRPr="007E4DA1">
        <w:t>może zaszkodzić</w:t>
      </w:r>
      <w:r w:rsidR="001E5EF3" w:rsidRPr="007E4DA1">
        <w:t xml:space="preserve"> innej osobie</w:t>
      </w:r>
      <w:r w:rsidRPr="007E4DA1">
        <w:t xml:space="preserve">, nawet jeśli objawy </w:t>
      </w:r>
      <w:r w:rsidR="001E5EF3" w:rsidRPr="007E4DA1">
        <w:t xml:space="preserve">jej </w:t>
      </w:r>
      <w:r w:rsidRPr="007E4DA1">
        <w:t>choroby są takie same.</w:t>
      </w:r>
    </w:p>
    <w:p w14:paraId="3D09CBED" w14:textId="77777777" w:rsidR="005B4BC8" w:rsidRDefault="005B4BC8" w:rsidP="00DE1596">
      <w:pPr>
        <w:numPr>
          <w:ilvl w:val="0"/>
          <w:numId w:val="1"/>
        </w:numPr>
        <w:tabs>
          <w:tab w:val="clear" w:pos="417"/>
        </w:tabs>
      </w:pPr>
      <w:r w:rsidRPr="007E4DA1">
        <w:t xml:space="preserve">Jeśli </w:t>
      </w:r>
      <w:r w:rsidR="00344DE6" w:rsidRPr="007E4DA1">
        <w:t xml:space="preserve">u pacjenta </w:t>
      </w:r>
      <w:r w:rsidRPr="007E4DA1">
        <w:t>wystąpią jakiekolwiek objawy niepożądane</w:t>
      </w:r>
      <w:r w:rsidR="004F402D" w:rsidRPr="007E4DA1">
        <w:t>, w tym wsz</w:t>
      </w:r>
      <w:r w:rsidR="00344DE6" w:rsidRPr="007E4DA1">
        <w:t>elkie</w:t>
      </w:r>
      <w:r w:rsidR="004F402D" w:rsidRPr="007E4DA1">
        <w:t xml:space="preserve"> objawy niepożądane </w:t>
      </w:r>
      <w:r w:rsidRPr="007E4DA1">
        <w:t xml:space="preserve">niewymienione w </w:t>
      </w:r>
      <w:r w:rsidR="00344DE6" w:rsidRPr="007E4DA1">
        <w:t xml:space="preserve">tej </w:t>
      </w:r>
      <w:r w:rsidRPr="007E4DA1">
        <w:t xml:space="preserve">ulotce, należy </w:t>
      </w:r>
      <w:r w:rsidR="004F402D" w:rsidRPr="007E4DA1">
        <w:t xml:space="preserve">powiedzieć o tym </w:t>
      </w:r>
      <w:r w:rsidRPr="007E4DA1">
        <w:t>lekarz</w:t>
      </w:r>
      <w:r w:rsidR="004F402D" w:rsidRPr="007E4DA1">
        <w:t>owi</w:t>
      </w:r>
      <w:r w:rsidRPr="007E4DA1">
        <w:t xml:space="preserve"> lub farmaceu</w:t>
      </w:r>
      <w:r w:rsidR="004F402D" w:rsidRPr="007E4DA1">
        <w:t>cie</w:t>
      </w:r>
      <w:r w:rsidRPr="007E4DA1">
        <w:t>.</w:t>
      </w:r>
      <w:r w:rsidR="006F7608" w:rsidRPr="007E4DA1">
        <w:t xml:space="preserve"> Patrz punkt</w:t>
      </w:r>
      <w:r w:rsidR="00ED0E6C" w:rsidRPr="007E4DA1">
        <w:t> </w:t>
      </w:r>
      <w:r w:rsidR="006F7608" w:rsidRPr="007E4DA1">
        <w:t>4.</w:t>
      </w:r>
    </w:p>
    <w:p w14:paraId="333641D5" w14:textId="40D22A54" w:rsidR="00BD0B75" w:rsidRPr="007E4DA1" w:rsidRDefault="00BD0B75" w:rsidP="00DE1596">
      <w:pPr>
        <w:numPr>
          <w:ilvl w:val="0"/>
          <w:numId w:val="1"/>
        </w:numPr>
        <w:tabs>
          <w:tab w:val="clear" w:pos="417"/>
        </w:tabs>
      </w:pPr>
      <w:bookmarkStart w:id="34" w:name="_Hlk192600528"/>
      <w:r>
        <w:t>Informacje zawarte w tej ulotce odnoszą się do pacjenta lub dziecka, jednak w treści ulotki będziemy zwracać się tylko do pacjenta</w:t>
      </w:r>
      <w:bookmarkEnd w:id="34"/>
      <w:r>
        <w:t>.</w:t>
      </w:r>
    </w:p>
    <w:p w14:paraId="3BE120FC" w14:textId="77777777" w:rsidR="005B4BC8" w:rsidRPr="007E4DA1" w:rsidRDefault="005B4BC8" w:rsidP="00DE1596"/>
    <w:p w14:paraId="009671C9" w14:textId="77777777" w:rsidR="00041A08" w:rsidRPr="00041A08" w:rsidRDefault="005B4BC8" w:rsidP="00DE1596">
      <w:r w:rsidRPr="007E4DA1">
        <w:rPr>
          <w:b/>
        </w:rPr>
        <w:t>Spis treści ulotki:</w:t>
      </w:r>
    </w:p>
    <w:p w14:paraId="15DBCB69" w14:textId="7C6D1A4A" w:rsidR="005B4BC8" w:rsidRPr="007E4DA1" w:rsidRDefault="005B4BC8" w:rsidP="00DE1596">
      <w:r w:rsidRPr="007E4DA1">
        <w:t>1.</w:t>
      </w:r>
      <w:r w:rsidRPr="007E4DA1">
        <w:tab/>
        <w:t xml:space="preserve">Co to jest </w:t>
      </w:r>
      <w:r w:rsidR="0002064B" w:rsidRPr="007E4DA1">
        <w:t xml:space="preserve">lek </w:t>
      </w:r>
      <w:r w:rsidR="00EF1DA4" w:rsidRPr="007E4DA1">
        <w:t xml:space="preserve">Revolade </w:t>
      </w:r>
      <w:r w:rsidRPr="007E4DA1">
        <w:t>i w jakim celu się go stosuje</w:t>
      </w:r>
    </w:p>
    <w:p w14:paraId="2C17373D" w14:textId="77777777" w:rsidR="005B4BC8" w:rsidRPr="007E4DA1" w:rsidRDefault="005B4BC8" w:rsidP="00DE1596">
      <w:pPr>
        <w:rPr>
          <w:bCs/>
        </w:rPr>
      </w:pPr>
      <w:r w:rsidRPr="007E4DA1">
        <w:t>2.</w:t>
      </w:r>
      <w:r w:rsidRPr="007E4DA1">
        <w:tab/>
      </w:r>
      <w:r w:rsidRPr="007E4DA1">
        <w:rPr>
          <w:bCs/>
        </w:rPr>
        <w:t>Informacje wa</w:t>
      </w:r>
      <w:r w:rsidRPr="007E4DA1">
        <w:t>ż</w:t>
      </w:r>
      <w:r w:rsidRPr="007E4DA1">
        <w:rPr>
          <w:bCs/>
        </w:rPr>
        <w:t>ne przed zastosowaniem</w:t>
      </w:r>
      <w:r w:rsidR="00EF1DA4" w:rsidRPr="007E4DA1">
        <w:rPr>
          <w:bCs/>
        </w:rPr>
        <w:t xml:space="preserve"> </w:t>
      </w:r>
      <w:r w:rsidRPr="007E4DA1">
        <w:t xml:space="preserve">leku </w:t>
      </w:r>
      <w:r w:rsidR="00EF1DA4" w:rsidRPr="007E4DA1">
        <w:rPr>
          <w:bCs/>
        </w:rPr>
        <w:t>Revolade</w:t>
      </w:r>
    </w:p>
    <w:p w14:paraId="11AEEC90" w14:textId="77777777" w:rsidR="005B4BC8" w:rsidRPr="007E4DA1" w:rsidRDefault="005B4BC8" w:rsidP="00DE1596">
      <w:r w:rsidRPr="007E4DA1">
        <w:t>3.</w:t>
      </w:r>
      <w:r w:rsidRPr="007E4DA1">
        <w:tab/>
        <w:t xml:space="preserve">Jak stosować </w:t>
      </w:r>
      <w:r w:rsidR="0002064B" w:rsidRPr="007E4DA1">
        <w:t xml:space="preserve">lek </w:t>
      </w:r>
      <w:r w:rsidR="00EF1DA4" w:rsidRPr="007E4DA1">
        <w:rPr>
          <w:bCs/>
        </w:rPr>
        <w:t>Revolade</w:t>
      </w:r>
    </w:p>
    <w:p w14:paraId="7EB61C23" w14:textId="77777777" w:rsidR="005B4BC8" w:rsidRPr="007E4DA1" w:rsidRDefault="005B4BC8" w:rsidP="00DE1596">
      <w:r w:rsidRPr="007E4DA1">
        <w:t>4.</w:t>
      </w:r>
      <w:r w:rsidRPr="007E4DA1">
        <w:tab/>
        <w:t>Możliwe działania niepożądane</w:t>
      </w:r>
    </w:p>
    <w:p w14:paraId="2B626406" w14:textId="77777777" w:rsidR="005B4BC8" w:rsidRPr="007E4DA1" w:rsidRDefault="005B4BC8" w:rsidP="00DE1596">
      <w:r w:rsidRPr="007E4DA1">
        <w:t>5.</w:t>
      </w:r>
      <w:r w:rsidRPr="007E4DA1">
        <w:tab/>
        <w:t xml:space="preserve">Jak przechowywać </w:t>
      </w:r>
      <w:r w:rsidR="0002064B" w:rsidRPr="007E4DA1">
        <w:t xml:space="preserve">lek </w:t>
      </w:r>
      <w:r w:rsidR="00EF1DA4" w:rsidRPr="007E4DA1">
        <w:rPr>
          <w:bCs/>
        </w:rPr>
        <w:t>Revolade</w:t>
      </w:r>
    </w:p>
    <w:p w14:paraId="78A41703" w14:textId="77777777" w:rsidR="005B4BC8" w:rsidRPr="007E4DA1" w:rsidRDefault="005B4BC8" w:rsidP="00DE1596">
      <w:r w:rsidRPr="007E4DA1">
        <w:t>6.</w:t>
      </w:r>
      <w:r w:rsidRPr="007E4DA1">
        <w:tab/>
      </w:r>
      <w:r w:rsidR="004F402D" w:rsidRPr="007E4DA1">
        <w:t>Zawartość opakowania i i</w:t>
      </w:r>
      <w:r w:rsidRPr="007E4DA1">
        <w:t>nne informacje</w:t>
      </w:r>
    </w:p>
    <w:p w14:paraId="4A13D051" w14:textId="77777777" w:rsidR="005B4BC8" w:rsidRPr="007E4DA1" w:rsidRDefault="005B4BC8" w:rsidP="00DE1596"/>
    <w:p w14:paraId="752B8193" w14:textId="77777777" w:rsidR="005B4BC8" w:rsidRPr="007E4DA1" w:rsidRDefault="005B4BC8" w:rsidP="00DE1596"/>
    <w:p w14:paraId="2D1AC927" w14:textId="77777777" w:rsidR="00041A08" w:rsidRPr="00041A08" w:rsidRDefault="005B4BC8" w:rsidP="00DE1596">
      <w:pPr>
        <w:keepNext/>
      </w:pPr>
      <w:r w:rsidRPr="007E4DA1">
        <w:rPr>
          <w:b/>
        </w:rPr>
        <w:t>1.</w:t>
      </w:r>
      <w:r w:rsidRPr="007E4DA1">
        <w:rPr>
          <w:b/>
        </w:rPr>
        <w:tab/>
      </w:r>
      <w:r w:rsidR="004F402D" w:rsidRPr="007E4DA1">
        <w:rPr>
          <w:b/>
        </w:rPr>
        <w:t>Co to jest lek Revolade i w jakim celu się go stosuje</w:t>
      </w:r>
    </w:p>
    <w:p w14:paraId="0325247A" w14:textId="2697EAE3" w:rsidR="005B4BC8" w:rsidRPr="007E4DA1" w:rsidRDefault="005B4BC8" w:rsidP="00DE1596">
      <w:pPr>
        <w:keepNext/>
      </w:pPr>
    </w:p>
    <w:p w14:paraId="42F4FE0A" w14:textId="77777777" w:rsidR="00EF1DA4" w:rsidRPr="007E4DA1" w:rsidRDefault="00344DE6" w:rsidP="00DE1596">
      <w:pPr>
        <w:ind w:left="0" w:firstLine="0"/>
      </w:pPr>
      <w:r w:rsidRPr="007E4DA1">
        <w:t>Lek Revolade zawiera e</w:t>
      </w:r>
      <w:r w:rsidR="00157D12" w:rsidRPr="007E4DA1">
        <w:t>ltrombopag,</w:t>
      </w:r>
      <w:r w:rsidR="00EF1DA4" w:rsidRPr="007E4DA1">
        <w:t xml:space="preserve"> </w:t>
      </w:r>
      <w:r w:rsidRPr="007E4DA1">
        <w:t xml:space="preserve">który </w:t>
      </w:r>
      <w:r w:rsidR="00EF1DA4" w:rsidRPr="007E4DA1">
        <w:t>n</w:t>
      </w:r>
      <w:r w:rsidR="0002064B" w:rsidRPr="007E4DA1">
        <w:t>a</w:t>
      </w:r>
      <w:r w:rsidR="00EF1DA4" w:rsidRPr="007E4DA1">
        <w:t>leży do grupy leków zwanych agonistami receptora trombopoetyn</w:t>
      </w:r>
      <w:r w:rsidR="00E204ED" w:rsidRPr="007E4DA1">
        <w:t>y</w:t>
      </w:r>
      <w:r w:rsidR="00EF1DA4" w:rsidRPr="007E4DA1">
        <w:t>. Lek s</w:t>
      </w:r>
      <w:r w:rsidR="00725B95" w:rsidRPr="007E4DA1">
        <w:t>tos</w:t>
      </w:r>
      <w:r w:rsidR="00EF1DA4" w:rsidRPr="007E4DA1">
        <w:t xml:space="preserve">owany jest w celu zwiększenia liczby płytek we krwi pacjenta. Płytki </w:t>
      </w:r>
      <w:r w:rsidR="00725B95" w:rsidRPr="007E4DA1">
        <w:t xml:space="preserve">krwi są to </w:t>
      </w:r>
      <w:r w:rsidR="0002064B" w:rsidRPr="007E4DA1">
        <w:t xml:space="preserve">składniki </w:t>
      </w:r>
      <w:r w:rsidR="005D76F8" w:rsidRPr="007E4DA1">
        <w:t>krwi</w:t>
      </w:r>
      <w:r w:rsidR="00EF1DA4" w:rsidRPr="007E4DA1">
        <w:t>, które pozwalają zmniejszyć ryzyko krwawienia lub jemu zapobiec.</w:t>
      </w:r>
    </w:p>
    <w:p w14:paraId="4BC2956F" w14:textId="77777777" w:rsidR="00EF1DA4" w:rsidRPr="007E4DA1" w:rsidRDefault="00EF1DA4" w:rsidP="00DE1596"/>
    <w:p w14:paraId="02EB9EF7" w14:textId="77777777" w:rsidR="005242D0" w:rsidRPr="007E4DA1" w:rsidRDefault="004049CD" w:rsidP="00DE1596">
      <w:pPr>
        <w:numPr>
          <w:ilvl w:val="0"/>
          <w:numId w:val="15"/>
        </w:numPr>
        <w:tabs>
          <w:tab w:val="clear" w:pos="720"/>
        </w:tabs>
        <w:ind w:left="567" w:hanging="567"/>
      </w:pPr>
      <w:r w:rsidRPr="007E4DA1">
        <w:t xml:space="preserve">Lek </w:t>
      </w:r>
      <w:r w:rsidR="00EF1DA4" w:rsidRPr="007E4DA1">
        <w:t xml:space="preserve">Revolade </w:t>
      </w:r>
      <w:r w:rsidR="00D17119" w:rsidRPr="007E4DA1">
        <w:t>jest</w:t>
      </w:r>
      <w:r w:rsidR="00851B42" w:rsidRPr="007E4DA1">
        <w:t xml:space="preserve"> </w:t>
      </w:r>
      <w:r w:rsidR="00EF1DA4" w:rsidRPr="007E4DA1">
        <w:t xml:space="preserve">stosowany </w:t>
      </w:r>
      <w:r w:rsidR="00725B95" w:rsidRPr="007E4DA1">
        <w:t xml:space="preserve">w leczeniu </w:t>
      </w:r>
      <w:r w:rsidR="007E05A2" w:rsidRPr="007E4DA1">
        <w:t xml:space="preserve">zaburzenia krzepliwości krwi zwanego </w:t>
      </w:r>
      <w:r w:rsidR="006F3435" w:rsidRPr="007E4DA1">
        <w:t>małopłytkowością immunologiczną</w:t>
      </w:r>
      <w:r w:rsidR="00E204ED" w:rsidRPr="007E4DA1">
        <w:t xml:space="preserve"> </w:t>
      </w:r>
      <w:r w:rsidR="00DF3447" w:rsidRPr="007E4DA1">
        <w:t xml:space="preserve">(pierwotną) </w:t>
      </w:r>
      <w:r w:rsidR="00E204ED" w:rsidRPr="007E4DA1">
        <w:t xml:space="preserve">u pacjentów w wieku </w:t>
      </w:r>
      <w:r w:rsidR="00D17119" w:rsidRPr="007E4DA1">
        <w:t>powyżej 1 roku</w:t>
      </w:r>
      <w:r w:rsidR="003423EA" w:rsidRPr="007E4DA1">
        <w:t>,</w:t>
      </w:r>
      <w:r w:rsidR="00E204ED" w:rsidRPr="007E4DA1">
        <w:t xml:space="preserve"> którzy byli </w:t>
      </w:r>
      <w:r w:rsidR="00D17119" w:rsidRPr="007E4DA1">
        <w:t xml:space="preserve">już </w:t>
      </w:r>
      <w:r w:rsidR="00E204ED" w:rsidRPr="007E4DA1">
        <w:t xml:space="preserve">leczeni </w:t>
      </w:r>
      <w:r w:rsidR="00D17119" w:rsidRPr="007E4DA1">
        <w:t>innymi lekami (</w:t>
      </w:r>
      <w:r w:rsidR="00E204ED" w:rsidRPr="007E4DA1">
        <w:t>kortkosteroidami lub immunoglobulinami</w:t>
      </w:r>
      <w:r w:rsidR="00D17119" w:rsidRPr="007E4DA1">
        <w:t>)</w:t>
      </w:r>
      <w:r w:rsidR="007E05A2" w:rsidRPr="007E4DA1">
        <w:t>,</w:t>
      </w:r>
      <w:r w:rsidR="00E204ED" w:rsidRPr="007E4DA1">
        <w:t xml:space="preserve"> i u których te leki nie zadziałały.</w:t>
      </w:r>
    </w:p>
    <w:p w14:paraId="243E22D4" w14:textId="77777777" w:rsidR="005242D0" w:rsidRPr="007E4DA1" w:rsidRDefault="005242D0" w:rsidP="00DE1596">
      <w:pPr>
        <w:ind w:left="0" w:firstLine="0"/>
        <w:rPr>
          <w:szCs w:val="22"/>
        </w:rPr>
      </w:pPr>
    </w:p>
    <w:p w14:paraId="7ECAE23A" w14:textId="77777777" w:rsidR="00EF1DA4" w:rsidRPr="007E4DA1" w:rsidRDefault="005242D0" w:rsidP="00DE1596">
      <w:pPr>
        <w:ind w:firstLine="0"/>
      </w:pPr>
      <w:r w:rsidRPr="007E4DA1">
        <w:rPr>
          <w:szCs w:val="22"/>
        </w:rPr>
        <w:t>Małopłytkowość immunologiczna jest spowodowana małą liczbą płytek krwi (</w:t>
      </w:r>
      <w:r w:rsidR="002A7DD9" w:rsidRPr="007E4DA1">
        <w:rPr>
          <w:szCs w:val="22"/>
        </w:rPr>
        <w:t>małopłytkowośc</w:t>
      </w:r>
      <w:r w:rsidRPr="007E4DA1">
        <w:rPr>
          <w:szCs w:val="22"/>
        </w:rPr>
        <w:t xml:space="preserve">ią). Osoby z małopłytkowością immunologiczną </w:t>
      </w:r>
      <w:r w:rsidR="002A7DD9" w:rsidRPr="007E4DA1">
        <w:rPr>
          <w:szCs w:val="22"/>
        </w:rPr>
        <w:t>są bardziej narażone na</w:t>
      </w:r>
      <w:r w:rsidRPr="007E4DA1">
        <w:rPr>
          <w:szCs w:val="22"/>
        </w:rPr>
        <w:t xml:space="preserve"> krwawienia. Do objawów, jakie pacjenci z małopłytkowością immunologiczną mogą u siebie zauważyć należą wybroczyny (punkcikowate, płaskie, czerwone okrągłe plamki pod skórą), wylewy podskórne, krwawienie z nosa, krwawienie z dziąseł i brak możliwości zatamowania krwawienia w razie skaleczenia lub urazu.</w:t>
      </w:r>
    </w:p>
    <w:p w14:paraId="4855B94A" w14:textId="77777777" w:rsidR="00EF1DA4" w:rsidRPr="007E4DA1" w:rsidRDefault="00EF1DA4" w:rsidP="00DE1596">
      <w:pPr>
        <w:ind w:left="0" w:firstLine="0"/>
        <w:rPr>
          <w:caps/>
        </w:rPr>
      </w:pPr>
    </w:p>
    <w:p w14:paraId="1BB22D38" w14:textId="77777777" w:rsidR="00234666" w:rsidRPr="007E4DA1" w:rsidRDefault="00851B42" w:rsidP="00DE1596">
      <w:pPr>
        <w:numPr>
          <w:ilvl w:val="0"/>
          <w:numId w:val="15"/>
        </w:numPr>
        <w:tabs>
          <w:tab w:val="clear" w:pos="720"/>
        </w:tabs>
        <w:ind w:left="567" w:hanging="567"/>
      </w:pPr>
      <w:r w:rsidRPr="007E4DA1">
        <w:t>Lek Revolade moż</w:t>
      </w:r>
      <w:r w:rsidR="005242D0" w:rsidRPr="007E4DA1">
        <w:t>e</w:t>
      </w:r>
      <w:r w:rsidRPr="007E4DA1">
        <w:t xml:space="preserve"> </w:t>
      </w:r>
      <w:r w:rsidR="005242D0" w:rsidRPr="007E4DA1">
        <w:t xml:space="preserve">być </w:t>
      </w:r>
      <w:r w:rsidRPr="007E4DA1">
        <w:t>również stosowa</w:t>
      </w:r>
      <w:r w:rsidR="005242D0" w:rsidRPr="007E4DA1">
        <w:t>ny</w:t>
      </w:r>
      <w:r w:rsidRPr="007E4DA1">
        <w:t xml:space="preserve"> w leczeniu małej liczby płytek krwi (małopłytkowości) u</w:t>
      </w:r>
      <w:r w:rsidR="003501C4" w:rsidRPr="007E4DA1">
        <w:t> </w:t>
      </w:r>
      <w:r w:rsidRPr="007E4DA1">
        <w:t>dorosłych z zakażeniem wirusem zapalenia wątroby typu C (WZW C), u</w:t>
      </w:r>
      <w:r w:rsidR="003501C4" w:rsidRPr="007E4DA1">
        <w:t> </w:t>
      </w:r>
      <w:r w:rsidRPr="007E4DA1">
        <w:t xml:space="preserve">których </w:t>
      </w:r>
      <w:r w:rsidR="005242D0" w:rsidRPr="007E4DA1">
        <w:rPr>
          <w:szCs w:val="22"/>
        </w:rPr>
        <w:t xml:space="preserve">wystąpiły </w:t>
      </w:r>
      <w:r w:rsidR="002A7DD9" w:rsidRPr="007E4DA1">
        <w:rPr>
          <w:szCs w:val="22"/>
        </w:rPr>
        <w:t>trudności</w:t>
      </w:r>
      <w:r w:rsidR="005242D0" w:rsidRPr="007E4DA1">
        <w:rPr>
          <w:szCs w:val="22"/>
        </w:rPr>
        <w:t xml:space="preserve"> z powodu działań niepożądanych podczas leczenia interferonem</w:t>
      </w:r>
      <w:r w:rsidR="005242D0" w:rsidRPr="007E4DA1">
        <w:t xml:space="preserve">. U wielu osób </w:t>
      </w:r>
      <w:r w:rsidR="005242D0" w:rsidRPr="007E4DA1">
        <w:rPr>
          <w:szCs w:val="22"/>
        </w:rPr>
        <w:t>z zapaleniem wątroby</w:t>
      </w:r>
      <w:r w:rsidR="005242D0" w:rsidRPr="007E4DA1">
        <w:t xml:space="preserve"> </w:t>
      </w:r>
      <w:r w:rsidR="00F978C3" w:rsidRPr="007E4DA1">
        <w:t xml:space="preserve">typu C </w:t>
      </w:r>
      <w:r w:rsidR="005242D0" w:rsidRPr="007E4DA1">
        <w:t xml:space="preserve">występuje </w:t>
      </w:r>
      <w:r w:rsidRPr="007E4DA1">
        <w:t>mał</w:t>
      </w:r>
      <w:r w:rsidR="005242D0" w:rsidRPr="007E4DA1">
        <w:t>a</w:t>
      </w:r>
      <w:r w:rsidRPr="007E4DA1">
        <w:t xml:space="preserve"> liczb</w:t>
      </w:r>
      <w:r w:rsidR="005242D0" w:rsidRPr="007E4DA1">
        <w:t>a</w:t>
      </w:r>
      <w:r w:rsidR="00145322" w:rsidRPr="007E4DA1">
        <w:t xml:space="preserve"> płytek krwi</w:t>
      </w:r>
      <w:r w:rsidR="005242D0" w:rsidRPr="007E4DA1">
        <w:t>,</w:t>
      </w:r>
      <w:r w:rsidR="00145322" w:rsidRPr="007E4DA1">
        <w:t xml:space="preserve"> nie tylko z powodu choroby, ale również w wyniku działania niektórych leków przeciwwirusowych stosowanych w leczeniu.</w:t>
      </w:r>
      <w:r w:rsidR="005242D0" w:rsidRPr="007E4DA1">
        <w:t xml:space="preserve"> </w:t>
      </w:r>
      <w:r w:rsidR="005242D0" w:rsidRPr="007E4DA1">
        <w:rPr>
          <w:szCs w:val="22"/>
        </w:rPr>
        <w:t>Przyjmowanie leku Revolade może ułatwić pacjentom ukończenie pełnej kuracji lekiem przeciwwirusowym (peginterferonem i rybawiryną)</w:t>
      </w:r>
      <w:r w:rsidR="00730932" w:rsidRPr="007E4DA1">
        <w:rPr>
          <w:szCs w:val="22"/>
        </w:rPr>
        <w:t>.</w:t>
      </w:r>
    </w:p>
    <w:p w14:paraId="1D7D6EF3" w14:textId="77777777" w:rsidR="007337AA" w:rsidRPr="007E4DA1" w:rsidRDefault="007337AA" w:rsidP="00DE1596">
      <w:pPr>
        <w:ind w:left="0" w:firstLine="0"/>
      </w:pPr>
    </w:p>
    <w:p w14:paraId="70161D31" w14:textId="77777777" w:rsidR="00851B42" w:rsidRPr="007E4DA1" w:rsidRDefault="007337AA" w:rsidP="00620070">
      <w:pPr>
        <w:numPr>
          <w:ilvl w:val="0"/>
          <w:numId w:val="15"/>
        </w:numPr>
        <w:tabs>
          <w:tab w:val="clear" w:pos="720"/>
          <w:tab w:val="num" w:pos="567"/>
        </w:tabs>
        <w:ind w:left="567" w:hanging="567"/>
      </w:pPr>
      <w:r w:rsidRPr="007E4DA1">
        <w:t>Lek Revolade można również stosować w leczeniu dorosłych pacjentów z małą liczbą krwinek spowodowaną ciężką niedokrwistością aplastyczną (SAA).</w:t>
      </w:r>
      <w:r w:rsidR="00F05F5B" w:rsidRPr="007E4DA1">
        <w:t xml:space="preserve"> SAA to choroba, w której szpik kostny jest uszkodzony, </w:t>
      </w:r>
      <w:r w:rsidR="00816B10" w:rsidRPr="007E4DA1">
        <w:t xml:space="preserve">co </w:t>
      </w:r>
      <w:r w:rsidR="00F05F5B" w:rsidRPr="007E4DA1">
        <w:t>powoduj</w:t>
      </w:r>
      <w:r w:rsidR="00816B10" w:rsidRPr="007E4DA1">
        <w:t>e</w:t>
      </w:r>
      <w:r w:rsidR="00F05F5B" w:rsidRPr="007E4DA1">
        <w:t xml:space="preserve"> niedobór krwinek czerwonych (niedokrwistość), krwinek białych (leukopenię) i płytek krwi (małopłytkowość).</w:t>
      </w:r>
    </w:p>
    <w:p w14:paraId="1B6AD47E" w14:textId="77777777" w:rsidR="007337AA" w:rsidRPr="007E4DA1" w:rsidRDefault="007337AA" w:rsidP="00DE1596">
      <w:pPr>
        <w:ind w:left="0" w:firstLine="0"/>
      </w:pPr>
    </w:p>
    <w:p w14:paraId="6C66AAA1" w14:textId="77777777" w:rsidR="00E12419" w:rsidRPr="007E4DA1" w:rsidRDefault="00E12419" w:rsidP="00DE1596">
      <w:pPr>
        <w:ind w:left="0" w:firstLine="0"/>
        <w:rPr>
          <w:caps/>
        </w:rPr>
      </w:pPr>
    </w:p>
    <w:p w14:paraId="5E75AC0C" w14:textId="77777777" w:rsidR="00041A08" w:rsidRPr="00041A08" w:rsidRDefault="005B4BC8" w:rsidP="00DE1596">
      <w:pPr>
        <w:keepNext/>
        <w:rPr>
          <w:caps/>
        </w:rPr>
      </w:pPr>
      <w:r w:rsidRPr="007E4DA1">
        <w:rPr>
          <w:b/>
          <w:caps/>
        </w:rPr>
        <w:t>2.</w:t>
      </w:r>
      <w:r w:rsidRPr="007E4DA1">
        <w:rPr>
          <w:b/>
          <w:caps/>
        </w:rPr>
        <w:tab/>
      </w:r>
      <w:r w:rsidR="004F402D" w:rsidRPr="007E4DA1">
        <w:rPr>
          <w:b/>
          <w:bCs/>
        </w:rPr>
        <w:t>Informacje wa</w:t>
      </w:r>
      <w:r w:rsidR="004F402D" w:rsidRPr="007E4DA1">
        <w:rPr>
          <w:b/>
        </w:rPr>
        <w:t>ż</w:t>
      </w:r>
      <w:r w:rsidR="004F402D" w:rsidRPr="007E4DA1">
        <w:rPr>
          <w:b/>
          <w:bCs/>
        </w:rPr>
        <w:t xml:space="preserve">ne przed zastosowaniem </w:t>
      </w:r>
      <w:r w:rsidR="004F402D" w:rsidRPr="007E4DA1">
        <w:rPr>
          <w:b/>
        </w:rPr>
        <w:t xml:space="preserve">leku </w:t>
      </w:r>
      <w:r w:rsidR="004F402D" w:rsidRPr="007E4DA1">
        <w:rPr>
          <w:b/>
          <w:bCs/>
        </w:rPr>
        <w:t>Revolade</w:t>
      </w:r>
    </w:p>
    <w:p w14:paraId="381716E9" w14:textId="77A3B578" w:rsidR="005B4BC8" w:rsidRPr="007E4DA1" w:rsidRDefault="005B4BC8" w:rsidP="00DE1596">
      <w:pPr>
        <w:keepNext/>
      </w:pPr>
    </w:p>
    <w:p w14:paraId="7E64626A" w14:textId="77777777" w:rsidR="00041A08" w:rsidRPr="00041A08" w:rsidRDefault="005B4BC8" w:rsidP="00DE1596">
      <w:pPr>
        <w:keepNext/>
      </w:pPr>
      <w:r w:rsidRPr="007E4DA1">
        <w:rPr>
          <w:b/>
        </w:rPr>
        <w:t xml:space="preserve">Kiedy nie stosować leku </w:t>
      </w:r>
      <w:r w:rsidR="002B1EE3" w:rsidRPr="007E4DA1">
        <w:rPr>
          <w:b/>
        </w:rPr>
        <w:t>Revolade</w:t>
      </w:r>
    </w:p>
    <w:p w14:paraId="01F49FAF" w14:textId="77777777" w:rsidR="00041A08" w:rsidRPr="00041A08" w:rsidRDefault="005B4BC8" w:rsidP="00DE1596">
      <w:pPr>
        <w:keepNext/>
        <w:numPr>
          <w:ilvl w:val="0"/>
          <w:numId w:val="16"/>
        </w:numPr>
        <w:tabs>
          <w:tab w:val="clear" w:pos="417"/>
        </w:tabs>
        <w:ind w:left="567" w:hanging="567"/>
      </w:pPr>
      <w:r w:rsidRPr="007E4DA1">
        <w:rPr>
          <w:b/>
        </w:rPr>
        <w:t xml:space="preserve">jeśli pacjent </w:t>
      </w:r>
      <w:r w:rsidR="004F402D" w:rsidRPr="007E4DA1">
        <w:rPr>
          <w:b/>
        </w:rPr>
        <w:t xml:space="preserve">ma </w:t>
      </w:r>
      <w:r w:rsidRPr="007E4DA1">
        <w:rPr>
          <w:b/>
        </w:rPr>
        <w:t>uczulenie</w:t>
      </w:r>
      <w:r w:rsidRPr="007E4DA1">
        <w:t xml:space="preserve"> na </w:t>
      </w:r>
      <w:r w:rsidR="002B1EE3" w:rsidRPr="007E4DA1">
        <w:t>eltrombopag</w:t>
      </w:r>
      <w:r w:rsidRPr="007E4DA1">
        <w:t xml:space="preserve"> lub którykolwiek z pozostałych składników </w:t>
      </w:r>
      <w:r w:rsidR="004F402D" w:rsidRPr="007E4DA1">
        <w:t xml:space="preserve">tego </w:t>
      </w:r>
      <w:r w:rsidRPr="007E4DA1">
        <w:t xml:space="preserve">leku </w:t>
      </w:r>
      <w:r w:rsidR="002B1EE3" w:rsidRPr="007E4DA1">
        <w:t>(wymienion</w:t>
      </w:r>
      <w:r w:rsidR="00F654F3" w:rsidRPr="007E4DA1">
        <w:t>ych</w:t>
      </w:r>
      <w:r w:rsidR="002B1EE3" w:rsidRPr="007E4DA1">
        <w:t xml:space="preserve"> w punkcie</w:t>
      </w:r>
      <w:r w:rsidR="00ED0E6C" w:rsidRPr="007E4DA1">
        <w:t> </w:t>
      </w:r>
      <w:r w:rsidR="002B1EE3" w:rsidRPr="007E4DA1">
        <w:t>6</w:t>
      </w:r>
      <w:r w:rsidR="00405688" w:rsidRPr="007E4DA1">
        <w:t xml:space="preserve"> pod „</w:t>
      </w:r>
      <w:r w:rsidR="00405688" w:rsidRPr="007E4DA1">
        <w:rPr>
          <w:b/>
          <w:i/>
        </w:rPr>
        <w:t>Co zawiera lek Revolade</w:t>
      </w:r>
      <w:r w:rsidR="00405688" w:rsidRPr="007E4DA1">
        <w:t>”</w:t>
      </w:r>
      <w:r w:rsidR="002B1EE3" w:rsidRPr="007E4DA1">
        <w:t>)</w:t>
      </w:r>
      <w:r w:rsidRPr="007E4DA1">
        <w:t>.</w:t>
      </w:r>
    </w:p>
    <w:p w14:paraId="1DA817F5" w14:textId="2B47F0FB" w:rsidR="002B1EE3" w:rsidRPr="007E4DA1" w:rsidRDefault="002B1EE3" w:rsidP="00DE1596">
      <w:pPr>
        <w:numPr>
          <w:ilvl w:val="12"/>
          <w:numId w:val="0"/>
        </w:numPr>
        <w:tabs>
          <w:tab w:val="left" w:pos="284"/>
        </w:tabs>
        <w:ind w:left="567"/>
      </w:pPr>
      <w:r w:rsidRPr="007E4DA1">
        <w:rPr>
          <w:rFonts w:ascii="Wingdings 3" w:hAnsi="Wingdings 3"/>
          <w:b/>
        </w:rPr>
        <w:t></w:t>
      </w:r>
      <w:r w:rsidRPr="007E4DA1">
        <w:rPr>
          <w:rFonts w:ascii="Wingdings 3" w:hAnsi="Wingdings 3"/>
          <w:b/>
        </w:rPr>
        <w:t></w:t>
      </w:r>
      <w:r w:rsidRPr="007E4DA1">
        <w:rPr>
          <w:b/>
        </w:rPr>
        <w:t>Na</w:t>
      </w:r>
      <w:r w:rsidR="00BB43D4" w:rsidRPr="007E4DA1">
        <w:rPr>
          <w:b/>
        </w:rPr>
        <w:t>l</w:t>
      </w:r>
      <w:r w:rsidRPr="007E4DA1">
        <w:rPr>
          <w:b/>
        </w:rPr>
        <w:t>eży skonsultować się z lekarzem,</w:t>
      </w:r>
      <w:r w:rsidRPr="007E4DA1">
        <w:t xml:space="preserve"> jeśli pacjent uważa, że </w:t>
      </w:r>
      <w:r w:rsidR="00C7219F" w:rsidRPr="007E4DA1">
        <w:t>występuje u niego opisany powyżej stan</w:t>
      </w:r>
      <w:r w:rsidRPr="007E4DA1">
        <w:t>.</w:t>
      </w:r>
    </w:p>
    <w:p w14:paraId="54ABD211" w14:textId="77777777" w:rsidR="005B4BC8" w:rsidRPr="007E4DA1" w:rsidRDefault="005B4BC8" w:rsidP="00DE1596"/>
    <w:p w14:paraId="3523A674" w14:textId="77777777" w:rsidR="00041A08" w:rsidRPr="00041A08" w:rsidRDefault="00405688" w:rsidP="00DE1596">
      <w:pPr>
        <w:keepNext/>
      </w:pPr>
      <w:r w:rsidRPr="007E4DA1">
        <w:rPr>
          <w:b/>
        </w:rPr>
        <w:t>Ostrzeżenia i środki ostrożności</w:t>
      </w:r>
    </w:p>
    <w:p w14:paraId="3D78E714" w14:textId="6C207B36" w:rsidR="006E4B02" w:rsidRPr="007E4DA1" w:rsidRDefault="00B00C6B" w:rsidP="00DE1596">
      <w:pPr>
        <w:keepNext/>
        <w:numPr>
          <w:ilvl w:val="12"/>
          <w:numId w:val="0"/>
        </w:numPr>
        <w:ind w:right="-2"/>
      </w:pPr>
      <w:r w:rsidRPr="007E4DA1">
        <w:t xml:space="preserve">Przed </w:t>
      </w:r>
      <w:r w:rsidR="00F654F3" w:rsidRPr="007E4DA1">
        <w:t xml:space="preserve">rozpoczęciem </w:t>
      </w:r>
      <w:r w:rsidRPr="007E4DA1">
        <w:t>sto</w:t>
      </w:r>
      <w:r w:rsidR="00E12419" w:rsidRPr="007E4DA1">
        <w:t>so</w:t>
      </w:r>
      <w:r w:rsidRPr="007E4DA1">
        <w:t>wani</w:t>
      </w:r>
      <w:r w:rsidR="00F654F3" w:rsidRPr="007E4DA1">
        <w:t>a</w:t>
      </w:r>
      <w:r w:rsidRPr="007E4DA1">
        <w:t xml:space="preserve"> leku </w:t>
      </w:r>
      <w:r w:rsidR="006E4B02" w:rsidRPr="007E4DA1">
        <w:t>Revolade</w:t>
      </w:r>
      <w:r w:rsidRPr="007E4DA1">
        <w:t xml:space="preserve"> należy </w:t>
      </w:r>
      <w:r w:rsidR="00F654F3" w:rsidRPr="007E4DA1">
        <w:t>omówić to z</w:t>
      </w:r>
      <w:r w:rsidRPr="007E4DA1">
        <w:t xml:space="preserve"> lekarz</w:t>
      </w:r>
      <w:r w:rsidR="00F654F3" w:rsidRPr="007E4DA1">
        <w:t>em</w:t>
      </w:r>
      <w:r w:rsidR="006E4B02" w:rsidRPr="007E4DA1">
        <w:t>:</w:t>
      </w:r>
    </w:p>
    <w:p w14:paraId="6245D111" w14:textId="77777777" w:rsidR="00405688" w:rsidRPr="007E4DA1" w:rsidRDefault="00B00C6B" w:rsidP="00DE1596">
      <w:pPr>
        <w:pStyle w:val="listdashnospace"/>
        <w:numPr>
          <w:ilvl w:val="0"/>
          <w:numId w:val="17"/>
        </w:numPr>
        <w:tabs>
          <w:tab w:val="clear" w:pos="747"/>
          <w:tab w:val="num" w:pos="567"/>
        </w:tabs>
        <w:ind w:left="567"/>
        <w:rPr>
          <w:sz w:val="22"/>
          <w:szCs w:val="22"/>
          <w:lang w:val="pl-PL"/>
        </w:rPr>
      </w:pPr>
      <w:r w:rsidRPr="007E4DA1">
        <w:rPr>
          <w:sz w:val="22"/>
          <w:szCs w:val="22"/>
          <w:lang w:val="pl-PL"/>
        </w:rPr>
        <w:t xml:space="preserve">jeśli pacjent </w:t>
      </w:r>
      <w:r w:rsidR="00B33205" w:rsidRPr="007E4DA1">
        <w:rPr>
          <w:sz w:val="22"/>
          <w:szCs w:val="22"/>
          <w:lang w:val="pl-PL"/>
        </w:rPr>
        <w:t xml:space="preserve">ma </w:t>
      </w:r>
      <w:r w:rsidR="00CD7AFF" w:rsidRPr="007E4DA1">
        <w:rPr>
          <w:b/>
          <w:sz w:val="22"/>
          <w:szCs w:val="22"/>
          <w:lang w:val="pl-PL"/>
        </w:rPr>
        <w:t>chorą</w:t>
      </w:r>
      <w:r w:rsidRPr="007E4DA1">
        <w:rPr>
          <w:b/>
          <w:sz w:val="22"/>
          <w:szCs w:val="22"/>
          <w:lang w:val="pl-PL"/>
        </w:rPr>
        <w:t xml:space="preserve"> wątrob</w:t>
      </w:r>
      <w:r w:rsidR="00CD7AFF" w:rsidRPr="007E4DA1">
        <w:rPr>
          <w:b/>
          <w:sz w:val="22"/>
          <w:szCs w:val="22"/>
          <w:lang w:val="pl-PL"/>
        </w:rPr>
        <w:t>ę</w:t>
      </w:r>
      <w:r w:rsidR="009838A4" w:rsidRPr="007E4DA1">
        <w:rPr>
          <w:sz w:val="22"/>
          <w:szCs w:val="22"/>
          <w:lang w:val="pl-PL"/>
        </w:rPr>
        <w:t>.</w:t>
      </w:r>
      <w:r w:rsidR="00F654F3" w:rsidRPr="007E4DA1">
        <w:rPr>
          <w:sz w:val="22"/>
          <w:szCs w:val="22"/>
          <w:lang w:val="pl-PL"/>
        </w:rPr>
        <w:t xml:space="preserve"> Osoby z małą liczbą płytek krwi, a także zaawansowaną (długotrwałą) chorobą wątroby podlegają większemu ryzyku wystąpienia działań niepożądanych, w tym zagrażającego życiu uszkodzenia wątroby i zakrzepów krwi. Jeśli lekarz uzna, że korzyści z przyjmowania leku Revolade przewyższają ryzyko, pacjent będzie ściśle monitorowany podczas leczenia</w:t>
      </w:r>
      <w:r w:rsidR="002A7DD9" w:rsidRPr="007E4DA1">
        <w:rPr>
          <w:sz w:val="22"/>
          <w:szCs w:val="22"/>
          <w:lang w:val="pl-PL"/>
        </w:rPr>
        <w:t>;</w:t>
      </w:r>
    </w:p>
    <w:p w14:paraId="2B725B1C" w14:textId="77777777" w:rsidR="00EB1602" w:rsidRPr="007E4DA1" w:rsidRDefault="00B00C6B" w:rsidP="00DE1596">
      <w:pPr>
        <w:pStyle w:val="listdashnospace"/>
        <w:numPr>
          <w:ilvl w:val="0"/>
          <w:numId w:val="17"/>
        </w:numPr>
        <w:tabs>
          <w:tab w:val="clear" w:pos="747"/>
        </w:tabs>
        <w:ind w:left="567"/>
        <w:rPr>
          <w:sz w:val="22"/>
          <w:szCs w:val="22"/>
          <w:lang w:val="pl-PL"/>
        </w:rPr>
      </w:pPr>
      <w:r w:rsidRPr="007E4DA1">
        <w:rPr>
          <w:sz w:val="22"/>
          <w:szCs w:val="22"/>
          <w:lang w:val="pl-PL"/>
        </w:rPr>
        <w:t xml:space="preserve">jeśli u pacjenta istnieje </w:t>
      </w:r>
      <w:r w:rsidRPr="007E4DA1">
        <w:rPr>
          <w:b/>
          <w:sz w:val="22"/>
          <w:szCs w:val="22"/>
          <w:lang w:val="pl-PL"/>
        </w:rPr>
        <w:t>ryzyko zakrzepów w żyłach lub tętnicach</w:t>
      </w:r>
      <w:r w:rsidRPr="007E4DA1">
        <w:rPr>
          <w:sz w:val="22"/>
          <w:szCs w:val="22"/>
          <w:lang w:val="pl-PL"/>
        </w:rPr>
        <w:t xml:space="preserve">, lub jeśli w rodzinie </w:t>
      </w:r>
      <w:r w:rsidR="00E12419" w:rsidRPr="007E4DA1">
        <w:rPr>
          <w:sz w:val="22"/>
          <w:szCs w:val="22"/>
          <w:lang w:val="pl-PL"/>
        </w:rPr>
        <w:t>występowały</w:t>
      </w:r>
      <w:r w:rsidRPr="007E4DA1">
        <w:rPr>
          <w:sz w:val="22"/>
          <w:szCs w:val="22"/>
          <w:lang w:val="pl-PL"/>
        </w:rPr>
        <w:t xml:space="preserve"> przypadki zakrzepów</w:t>
      </w:r>
      <w:r w:rsidR="00E12419" w:rsidRPr="007E4DA1">
        <w:rPr>
          <w:sz w:val="22"/>
          <w:szCs w:val="22"/>
          <w:lang w:val="pl-PL"/>
        </w:rPr>
        <w:t>.</w:t>
      </w:r>
    </w:p>
    <w:p w14:paraId="5D1E0428" w14:textId="77777777" w:rsidR="00EB1602" w:rsidRPr="007E4DA1" w:rsidRDefault="00E12419" w:rsidP="008E0138">
      <w:pPr>
        <w:pStyle w:val="listdashnospace"/>
        <w:keepNext/>
        <w:numPr>
          <w:ilvl w:val="0"/>
          <w:numId w:val="0"/>
        </w:numPr>
        <w:ind w:left="567"/>
        <w:rPr>
          <w:sz w:val="22"/>
          <w:szCs w:val="22"/>
          <w:lang w:val="pl-PL"/>
        </w:rPr>
      </w:pPr>
      <w:r w:rsidRPr="007E4DA1">
        <w:rPr>
          <w:b/>
          <w:sz w:val="22"/>
          <w:szCs w:val="22"/>
          <w:lang w:val="pl-PL"/>
        </w:rPr>
        <w:t xml:space="preserve">Ryzyko zakrzepów może być </w:t>
      </w:r>
      <w:r w:rsidR="00E4544F" w:rsidRPr="007E4DA1">
        <w:rPr>
          <w:b/>
          <w:sz w:val="22"/>
          <w:szCs w:val="22"/>
          <w:lang w:val="pl-PL"/>
        </w:rPr>
        <w:t>zwiększone</w:t>
      </w:r>
      <w:r w:rsidR="00EB1602" w:rsidRPr="007E4DA1">
        <w:rPr>
          <w:b/>
          <w:sz w:val="22"/>
          <w:szCs w:val="22"/>
          <w:lang w:val="pl-PL"/>
        </w:rPr>
        <w:t>:</w:t>
      </w:r>
    </w:p>
    <w:p w14:paraId="63925B34" w14:textId="77777777" w:rsidR="00EB1602" w:rsidRPr="007E4DA1" w:rsidRDefault="00E12419" w:rsidP="00DE1596">
      <w:pPr>
        <w:pStyle w:val="listdashnospace"/>
        <w:tabs>
          <w:tab w:val="clear" w:pos="747"/>
          <w:tab w:val="left" w:pos="1134"/>
        </w:tabs>
        <w:ind w:left="1134"/>
        <w:rPr>
          <w:sz w:val="22"/>
          <w:szCs w:val="22"/>
          <w:lang w:val="pl-PL"/>
        </w:rPr>
      </w:pPr>
      <w:r w:rsidRPr="007E4DA1">
        <w:rPr>
          <w:sz w:val="22"/>
          <w:szCs w:val="22"/>
          <w:lang w:val="pl-PL"/>
        </w:rPr>
        <w:t>jeśli pacjent jest w podeszłym wieku</w:t>
      </w:r>
    </w:p>
    <w:p w14:paraId="00C1D095" w14:textId="77777777" w:rsidR="00246FEA" w:rsidRPr="007E4DA1" w:rsidRDefault="00E12419" w:rsidP="00DE1596">
      <w:pPr>
        <w:pStyle w:val="listdashnospace"/>
        <w:tabs>
          <w:tab w:val="clear" w:pos="747"/>
          <w:tab w:val="left" w:pos="1134"/>
        </w:tabs>
        <w:ind w:left="1134"/>
        <w:rPr>
          <w:sz w:val="22"/>
          <w:szCs w:val="22"/>
          <w:lang w:val="pl-PL"/>
        </w:rPr>
      </w:pPr>
      <w:r w:rsidRPr="007E4DA1">
        <w:rPr>
          <w:sz w:val="22"/>
          <w:szCs w:val="22"/>
          <w:lang w:val="pl-PL"/>
        </w:rPr>
        <w:t>jeśli pacjent był unieruchomiony przez dłuższy czas</w:t>
      </w:r>
    </w:p>
    <w:p w14:paraId="266B8CD1" w14:textId="77777777" w:rsidR="00246FEA" w:rsidRPr="007E4DA1" w:rsidRDefault="00E12419" w:rsidP="00DE1596">
      <w:pPr>
        <w:pStyle w:val="listdashnospace"/>
        <w:tabs>
          <w:tab w:val="clear" w:pos="747"/>
          <w:tab w:val="left" w:pos="1134"/>
        </w:tabs>
        <w:ind w:left="1134"/>
        <w:rPr>
          <w:sz w:val="22"/>
          <w:szCs w:val="22"/>
          <w:lang w:val="pl-PL"/>
        </w:rPr>
      </w:pPr>
      <w:r w:rsidRPr="007E4DA1">
        <w:rPr>
          <w:sz w:val="22"/>
          <w:szCs w:val="22"/>
          <w:lang w:val="pl-PL"/>
        </w:rPr>
        <w:t>jeśli pacjent ma nowotwór złośliwy</w:t>
      </w:r>
    </w:p>
    <w:p w14:paraId="0705F99C" w14:textId="77777777" w:rsidR="00246FEA" w:rsidRPr="007E4DA1" w:rsidRDefault="00E12419" w:rsidP="00DE1596">
      <w:pPr>
        <w:pStyle w:val="listdashnospace"/>
        <w:tabs>
          <w:tab w:val="clear" w:pos="747"/>
          <w:tab w:val="left" w:pos="1134"/>
        </w:tabs>
        <w:ind w:left="1134"/>
        <w:rPr>
          <w:sz w:val="22"/>
          <w:szCs w:val="22"/>
          <w:lang w:val="pl-PL"/>
        </w:rPr>
      </w:pPr>
      <w:r w:rsidRPr="007E4DA1">
        <w:rPr>
          <w:sz w:val="22"/>
          <w:szCs w:val="22"/>
          <w:lang w:val="pl-PL"/>
        </w:rPr>
        <w:t xml:space="preserve">jeśli pacjentka stosuje </w:t>
      </w:r>
      <w:r w:rsidR="002C22C9" w:rsidRPr="007E4DA1">
        <w:rPr>
          <w:sz w:val="22"/>
          <w:szCs w:val="22"/>
          <w:lang w:val="pl-PL"/>
        </w:rPr>
        <w:t xml:space="preserve">tabletki </w:t>
      </w:r>
      <w:r w:rsidR="00160652" w:rsidRPr="007E4DA1">
        <w:rPr>
          <w:sz w:val="22"/>
          <w:szCs w:val="22"/>
          <w:lang w:val="pl-PL"/>
        </w:rPr>
        <w:t>antykoncepcyjne lub hormonalną</w:t>
      </w:r>
      <w:r w:rsidRPr="007E4DA1">
        <w:rPr>
          <w:sz w:val="22"/>
          <w:szCs w:val="22"/>
          <w:lang w:val="pl-PL"/>
        </w:rPr>
        <w:t xml:space="preserve"> terapię </w:t>
      </w:r>
      <w:r w:rsidR="00E4544F" w:rsidRPr="007E4DA1">
        <w:rPr>
          <w:sz w:val="22"/>
          <w:szCs w:val="22"/>
          <w:lang w:val="pl-PL"/>
        </w:rPr>
        <w:t>zastępczą</w:t>
      </w:r>
    </w:p>
    <w:p w14:paraId="0B457FD3" w14:textId="77777777" w:rsidR="00246FEA" w:rsidRPr="007E4DA1" w:rsidRDefault="00E12419" w:rsidP="00DE1596">
      <w:pPr>
        <w:pStyle w:val="listdashnospace"/>
        <w:tabs>
          <w:tab w:val="clear" w:pos="747"/>
          <w:tab w:val="left" w:pos="1134"/>
        </w:tabs>
        <w:ind w:left="1134"/>
        <w:rPr>
          <w:sz w:val="22"/>
          <w:szCs w:val="22"/>
          <w:lang w:val="pl-PL"/>
        </w:rPr>
      </w:pPr>
      <w:r w:rsidRPr="007E4DA1">
        <w:rPr>
          <w:sz w:val="22"/>
          <w:szCs w:val="22"/>
          <w:lang w:val="pl-PL"/>
        </w:rPr>
        <w:t>jeśli pacjent w ostatnim czasie był p</w:t>
      </w:r>
      <w:r w:rsidR="005D76F8" w:rsidRPr="007E4DA1">
        <w:rPr>
          <w:sz w:val="22"/>
          <w:szCs w:val="22"/>
          <w:lang w:val="pl-PL"/>
        </w:rPr>
        <w:t>o</w:t>
      </w:r>
      <w:r w:rsidRPr="007E4DA1">
        <w:rPr>
          <w:sz w:val="22"/>
          <w:szCs w:val="22"/>
          <w:lang w:val="pl-PL"/>
        </w:rPr>
        <w:t xml:space="preserve">ddany zabiegowi chirurgicznemu lub </w:t>
      </w:r>
      <w:r w:rsidR="00976FC3" w:rsidRPr="007E4DA1">
        <w:rPr>
          <w:sz w:val="22"/>
          <w:szCs w:val="22"/>
          <w:lang w:val="pl-PL"/>
        </w:rPr>
        <w:t xml:space="preserve">przeszedł </w:t>
      </w:r>
      <w:r w:rsidRPr="007E4DA1">
        <w:rPr>
          <w:sz w:val="22"/>
          <w:szCs w:val="22"/>
          <w:lang w:val="pl-PL"/>
        </w:rPr>
        <w:t>uraz</w:t>
      </w:r>
    </w:p>
    <w:p w14:paraId="04456895" w14:textId="77777777" w:rsidR="00246FEA" w:rsidRPr="007E4DA1" w:rsidRDefault="00E4544F" w:rsidP="00DE1596">
      <w:pPr>
        <w:pStyle w:val="listdashnospace"/>
        <w:tabs>
          <w:tab w:val="clear" w:pos="747"/>
          <w:tab w:val="left" w:pos="1134"/>
        </w:tabs>
        <w:ind w:left="1134"/>
        <w:rPr>
          <w:sz w:val="22"/>
          <w:szCs w:val="22"/>
          <w:lang w:val="pl-PL"/>
        </w:rPr>
      </w:pPr>
      <w:r w:rsidRPr="007E4DA1">
        <w:rPr>
          <w:sz w:val="22"/>
          <w:szCs w:val="22"/>
          <w:lang w:val="pl-PL"/>
        </w:rPr>
        <w:t>jeśli</w:t>
      </w:r>
      <w:r w:rsidR="00E12419" w:rsidRPr="007E4DA1">
        <w:rPr>
          <w:sz w:val="22"/>
          <w:szCs w:val="22"/>
          <w:lang w:val="pl-PL"/>
        </w:rPr>
        <w:t xml:space="preserve"> </w:t>
      </w:r>
      <w:r w:rsidRPr="007E4DA1">
        <w:rPr>
          <w:sz w:val="22"/>
          <w:szCs w:val="22"/>
          <w:lang w:val="pl-PL"/>
        </w:rPr>
        <w:t>pacjent</w:t>
      </w:r>
      <w:r w:rsidR="00E12419" w:rsidRPr="007E4DA1">
        <w:rPr>
          <w:sz w:val="22"/>
          <w:szCs w:val="22"/>
          <w:lang w:val="pl-PL"/>
        </w:rPr>
        <w:t xml:space="preserve"> ma nadwagę</w:t>
      </w:r>
    </w:p>
    <w:p w14:paraId="75C9CA52" w14:textId="77777777" w:rsidR="006E4B02" w:rsidRPr="007E4DA1" w:rsidRDefault="00E12419" w:rsidP="00DE1596">
      <w:pPr>
        <w:pStyle w:val="listdashnospace"/>
        <w:tabs>
          <w:tab w:val="clear" w:pos="747"/>
          <w:tab w:val="left" w:pos="1134"/>
        </w:tabs>
        <w:ind w:left="1134"/>
        <w:rPr>
          <w:sz w:val="22"/>
          <w:szCs w:val="22"/>
          <w:lang w:val="pl-PL"/>
        </w:rPr>
      </w:pPr>
      <w:r w:rsidRPr="007E4DA1">
        <w:rPr>
          <w:sz w:val="22"/>
          <w:szCs w:val="22"/>
          <w:lang w:val="pl-PL"/>
        </w:rPr>
        <w:t xml:space="preserve">jeśli pacjent </w:t>
      </w:r>
      <w:r w:rsidR="00976FC3" w:rsidRPr="007E4DA1">
        <w:rPr>
          <w:sz w:val="22"/>
          <w:szCs w:val="22"/>
          <w:lang w:val="pl-PL"/>
        </w:rPr>
        <w:t xml:space="preserve">pali </w:t>
      </w:r>
      <w:r w:rsidRPr="007E4DA1">
        <w:rPr>
          <w:sz w:val="22"/>
          <w:szCs w:val="22"/>
          <w:lang w:val="pl-PL"/>
        </w:rPr>
        <w:t>tyto</w:t>
      </w:r>
      <w:r w:rsidR="00976FC3" w:rsidRPr="007E4DA1">
        <w:rPr>
          <w:sz w:val="22"/>
          <w:szCs w:val="22"/>
          <w:lang w:val="pl-PL"/>
        </w:rPr>
        <w:t>ń</w:t>
      </w:r>
    </w:p>
    <w:p w14:paraId="59639819" w14:textId="77777777" w:rsidR="00734780" w:rsidRPr="007E4DA1" w:rsidRDefault="00F9533A" w:rsidP="00DE1596">
      <w:pPr>
        <w:pStyle w:val="listdashnospace"/>
        <w:tabs>
          <w:tab w:val="clear" w:pos="747"/>
          <w:tab w:val="left" w:pos="1134"/>
        </w:tabs>
        <w:ind w:left="1134"/>
        <w:rPr>
          <w:sz w:val="22"/>
          <w:szCs w:val="22"/>
          <w:lang w:val="pl-PL"/>
        </w:rPr>
      </w:pPr>
      <w:r w:rsidRPr="007E4DA1">
        <w:rPr>
          <w:sz w:val="22"/>
          <w:szCs w:val="22"/>
          <w:lang w:val="pl-PL"/>
        </w:rPr>
        <w:t>j</w:t>
      </w:r>
      <w:r w:rsidR="00734780" w:rsidRPr="007E4DA1">
        <w:rPr>
          <w:sz w:val="22"/>
          <w:szCs w:val="22"/>
          <w:lang w:val="pl-PL"/>
        </w:rPr>
        <w:t>eśli pacjent ma zaawansowaną przewlekłą chorobę wątroby</w:t>
      </w:r>
    </w:p>
    <w:p w14:paraId="5CCED351" w14:textId="77777777" w:rsidR="00E4544F" w:rsidRPr="007E4DA1" w:rsidRDefault="00E4544F" w:rsidP="00DE1596">
      <w:pPr>
        <w:pStyle w:val="listdashnospace"/>
        <w:numPr>
          <w:ilvl w:val="1"/>
          <w:numId w:val="12"/>
        </w:numPr>
        <w:tabs>
          <w:tab w:val="clear" w:pos="1440"/>
        </w:tabs>
        <w:ind w:left="1134" w:hanging="567"/>
        <w:rPr>
          <w:sz w:val="22"/>
          <w:szCs w:val="22"/>
          <w:lang w:val="pl-PL"/>
        </w:rPr>
      </w:pPr>
      <w:r w:rsidRPr="007E4DA1">
        <w:rPr>
          <w:b/>
          <w:sz w:val="22"/>
          <w:szCs w:val="22"/>
          <w:lang w:val="pl-PL"/>
        </w:rPr>
        <w:t>Należy poinformować lekarza</w:t>
      </w:r>
      <w:r w:rsidRPr="007E4DA1">
        <w:rPr>
          <w:sz w:val="22"/>
          <w:szCs w:val="22"/>
          <w:lang w:val="pl-PL"/>
        </w:rPr>
        <w:t xml:space="preserve"> przed rozpoczęciem </w:t>
      </w:r>
      <w:r w:rsidR="004868E7" w:rsidRPr="007E4DA1">
        <w:rPr>
          <w:sz w:val="22"/>
          <w:szCs w:val="22"/>
          <w:lang w:val="pl-PL"/>
        </w:rPr>
        <w:t>leczenia</w:t>
      </w:r>
      <w:r w:rsidRPr="007E4DA1">
        <w:rPr>
          <w:sz w:val="22"/>
          <w:szCs w:val="22"/>
          <w:lang w:val="pl-PL"/>
        </w:rPr>
        <w:t>, jeśli którykolwiek z powyższych stanów występuje u pacjenta.</w:t>
      </w:r>
      <w:r w:rsidR="00246FEA" w:rsidRPr="007E4DA1">
        <w:rPr>
          <w:sz w:val="22"/>
          <w:szCs w:val="22"/>
          <w:lang w:val="pl-PL"/>
        </w:rPr>
        <w:t xml:space="preserve"> Nie należy przyjmować leku Revolade, chyba że lekarz uzna, że spodziewane korzyści przeważają nad ryzykiem zakrzepów.</w:t>
      </w:r>
    </w:p>
    <w:p w14:paraId="058DBB46" w14:textId="77777777" w:rsidR="006E4B02" w:rsidRPr="007E4DA1" w:rsidRDefault="00B00C6B" w:rsidP="00DE1596">
      <w:pPr>
        <w:pStyle w:val="listdashnospace"/>
        <w:numPr>
          <w:ilvl w:val="0"/>
          <w:numId w:val="18"/>
        </w:numPr>
        <w:tabs>
          <w:tab w:val="clear" w:pos="747"/>
          <w:tab w:val="num" w:pos="-3828"/>
        </w:tabs>
        <w:ind w:left="567"/>
        <w:rPr>
          <w:sz w:val="22"/>
          <w:szCs w:val="22"/>
          <w:lang w:val="pl-PL"/>
        </w:rPr>
      </w:pPr>
      <w:r w:rsidRPr="007E4DA1">
        <w:rPr>
          <w:sz w:val="22"/>
          <w:szCs w:val="22"/>
          <w:lang w:val="pl-PL"/>
        </w:rPr>
        <w:t xml:space="preserve">jeśli pacjent </w:t>
      </w:r>
      <w:r w:rsidR="00B33205" w:rsidRPr="007E4DA1">
        <w:rPr>
          <w:sz w:val="22"/>
          <w:szCs w:val="22"/>
          <w:lang w:val="pl-PL"/>
        </w:rPr>
        <w:t xml:space="preserve">ma </w:t>
      </w:r>
      <w:r w:rsidRPr="007E4DA1">
        <w:rPr>
          <w:b/>
          <w:sz w:val="22"/>
          <w:szCs w:val="22"/>
          <w:lang w:val="pl-PL"/>
        </w:rPr>
        <w:t>zaćm</w:t>
      </w:r>
      <w:r w:rsidR="00246FEA" w:rsidRPr="007E4DA1">
        <w:rPr>
          <w:b/>
          <w:sz w:val="22"/>
          <w:szCs w:val="22"/>
          <w:lang w:val="pl-PL"/>
        </w:rPr>
        <w:t>ę</w:t>
      </w:r>
      <w:r w:rsidRPr="007E4DA1">
        <w:rPr>
          <w:sz w:val="22"/>
          <w:szCs w:val="22"/>
          <w:lang w:val="pl-PL"/>
        </w:rPr>
        <w:t xml:space="preserve"> (zmętnienie soczewki oka)</w:t>
      </w:r>
    </w:p>
    <w:p w14:paraId="29560EAC" w14:textId="77777777" w:rsidR="00246FEA" w:rsidRPr="007E4DA1" w:rsidRDefault="00246FEA" w:rsidP="008E0138">
      <w:pPr>
        <w:pStyle w:val="listdashnospace"/>
        <w:keepNext/>
        <w:numPr>
          <w:ilvl w:val="0"/>
          <w:numId w:val="18"/>
        </w:numPr>
        <w:tabs>
          <w:tab w:val="clear" w:pos="747"/>
          <w:tab w:val="num" w:pos="-3828"/>
        </w:tabs>
        <w:ind w:left="567"/>
        <w:rPr>
          <w:sz w:val="22"/>
          <w:szCs w:val="22"/>
          <w:lang w:val="pl-PL"/>
        </w:rPr>
      </w:pPr>
      <w:r w:rsidRPr="007E4DA1">
        <w:rPr>
          <w:sz w:val="22"/>
          <w:szCs w:val="22"/>
          <w:lang w:val="pl-PL"/>
        </w:rPr>
        <w:t xml:space="preserve">jeśli </w:t>
      </w:r>
      <w:r w:rsidR="00B33205" w:rsidRPr="007E4DA1">
        <w:rPr>
          <w:sz w:val="22"/>
          <w:szCs w:val="22"/>
          <w:lang w:val="pl-PL"/>
        </w:rPr>
        <w:t xml:space="preserve">pacjent ma inne </w:t>
      </w:r>
      <w:r w:rsidR="00B33205" w:rsidRPr="007E4DA1">
        <w:rPr>
          <w:b/>
          <w:sz w:val="22"/>
          <w:szCs w:val="22"/>
          <w:lang w:val="pl-PL"/>
        </w:rPr>
        <w:t>choroby krwi</w:t>
      </w:r>
      <w:r w:rsidR="00B33205" w:rsidRPr="007E4DA1">
        <w:rPr>
          <w:sz w:val="22"/>
          <w:szCs w:val="22"/>
          <w:lang w:val="pl-PL"/>
        </w:rPr>
        <w:t>, takie jak zespół mielodysplastyczny (</w:t>
      </w:r>
      <w:r w:rsidR="00B33205" w:rsidRPr="007E4DA1">
        <w:rPr>
          <w:i/>
          <w:sz w:val="22"/>
          <w:szCs w:val="22"/>
          <w:lang w:val="pl-PL"/>
        </w:rPr>
        <w:t>ang.</w:t>
      </w:r>
      <w:r w:rsidR="00B33205" w:rsidRPr="007E4DA1">
        <w:rPr>
          <w:sz w:val="22"/>
          <w:szCs w:val="22"/>
          <w:lang w:val="pl-PL"/>
        </w:rPr>
        <w:t xml:space="preserve"> </w:t>
      </w:r>
      <w:r w:rsidR="00B33205" w:rsidRPr="007E4DA1">
        <w:rPr>
          <w:i/>
          <w:sz w:val="22"/>
          <w:szCs w:val="22"/>
          <w:lang w:val="pl-PL"/>
        </w:rPr>
        <w:t>Myelodysplastic Syndrome</w:t>
      </w:r>
      <w:r w:rsidR="00B33205" w:rsidRPr="007E4DA1">
        <w:rPr>
          <w:sz w:val="22"/>
          <w:szCs w:val="22"/>
          <w:lang w:val="pl-PL"/>
        </w:rPr>
        <w:t xml:space="preserve">, </w:t>
      </w:r>
      <w:r w:rsidR="00B33205" w:rsidRPr="007E4DA1">
        <w:rPr>
          <w:i/>
          <w:sz w:val="22"/>
          <w:szCs w:val="22"/>
          <w:lang w:val="pl-PL"/>
        </w:rPr>
        <w:t>MDS</w:t>
      </w:r>
      <w:r w:rsidR="00B33205" w:rsidRPr="007E4DA1">
        <w:rPr>
          <w:sz w:val="22"/>
          <w:szCs w:val="22"/>
          <w:lang w:val="pl-PL"/>
        </w:rPr>
        <w:t xml:space="preserve">). Przed rozpoczęciem stosowania leku Revolade, lekarz przeprowadzi badania w celu wykluczenia tej choroby. </w:t>
      </w:r>
      <w:r w:rsidR="00723457" w:rsidRPr="007E4DA1">
        <w:rPr>
          <w:sz w:val="22"/>
          <w:szCs w:val="22"/>
          <w:lang w:val="pl-PL"/>
        </w:rPr>
        <w:t>Jeśli pacjent ma MDS i przyjmuje Revolade, MDS może się nasilić.</w:t>
      </w:r>
    </w:p>
    <w:p w14:paraId="657DB6B2" w14:textId="77777777" w:rsidR="006E4B02" w:rsidRPr="007E4DA1" w:rsidRDefault="00B00C6B" w:rsidP="00DE1596">
      <w:pPr>
        <w:numPr>
          <w:ilvl w:val="0"/>
          <w:numId w:val="13"/>
        </w:numPr>
        <w:ind w:left="1134" w:hanging="567"/>
        <w:rPr>
          <w:bCs/>
        </w:rPr>
      </w:pPr>
      <w:r w:rsidRPr="007E4DA1">
        <w:t>Należy poinformować lekarza</w:t>
      </w:r>
      <w:r w:rsidR="00E12419" w:rsidRPr="007E4DA1">
        <w:t>,</w:t>
      </w:r>
      <w:r w:rsidRPr="007E4DA1">
        <w:t xml:space="preserve"> jeśli którakolwiek z powyższych sytuacji odnosi si</w:t>
      </w:r>
      <w:r w:rsidR="00E12419" w:rsidRPr="007E4DA1">
        <w:t>ę</w:t>
      </w:r>
      <w:r w:rsidRPr="007E4DA1">
        <w:t xml:space="preserve"> do pacjenta.</w:t>
      </w:r>
    </w:p>
    <w:p w14:paraId="22D6BF2E" w14:textId="77777777" w:rsidR="005B4BC8" w:rsidRPr="007E4DA1" w:rsidRDefault="005B4BC8" w:rsidP="00DE1596"/>
    <w:p w14:paraId="5292E0DC" w14:textId="77777777" w:rsidR="00041A08" w:rsidRPr="00041A08" w:rsidRDefault="001969AF" w:rsidP="00DE1596">
      <w:pPr>
        <w:pStyle w:val="listdashnospace"/>
        <w:keepNext/>
        <w:numPr>
          <w:ilvl w:val="0"/>
          <w:numId w:val="0"/>
        </w:numPr>
        <w:rPr>
          <w:sz w:val="22"/>
          <w:szCs w:val="22"/>
          <w:lang w:val="pl-PL"/>
        </w:rPr>
      </w:pPr>
      <w:r w:rsidRPr="007E4DA1">
        <w:rPr>
          <w:b/>
          <w:sz w:val="22"/>
          <w:szCs w:val="22"/>
          <w:lang w:val="pl-PL"/>
        </w:rPr>
        <w:t>Badanie okulistyczne</w:t>
      </w:r>
    </w:p>
    <w:p w14:paraId="42F9343C" w14:textId="33B56FE8" w:rsidR="001969AF" w:rsidRPr="007E4DA1" w:rsidRDefault="001969AF" w:rsidP="00DE1596">
      <w:pPr>
        <w:ind w:left="0" w:firstLine="0"/>
        <w:rPr>
          <w:szCs w:val="22"/>
        </w:rPr>
      </w:pPr>
      <w:r w:rsidRPr="007E4DA1">
        <w:rPr>
          <w:szCs w:val="22"/>
        </w:rPr>
        <w:t xml:space="preserve">Lekarz prowadzący zaleci </w:t>
      </w:r>
      <w:r w:rsidR="00315069" w:rsidRPr="007E4DA1">
        <w:rPr>
          <w:szCs w:val="22"/>
        </w:rPr>
        <w:t>kontrolę w cel</w:t>
      </w:r>
      <w:r w:rsidR="00E11B58" w:rsidRPr="007E4DA1">
        <w:rPr>
          <w:szCs w:val="22"/>
        </w:rPr>
        <w:t>u</w:t>
      </w:r>
      <w:r w:rsidR="00315069" w:rsidRPr="007E4DA1">
        <w:rPr>
          <w:szCs w:val="22"/>
        </w:rPr>
        <w:t xml:space="preserve"> wykrycia zaćmy.</w:t>
      </w:r>
      <w:r w:rsidR="008A4AA1" w:rsidRPr="007E4DA1">
        <w:rPr>
          <w:szCs w:val="22"/>
        </w:rPr>
        <w:t xml:space="preserve"> Jeśli pacjent nie przechodzi rutynowych badań okulistycznych, lekarz powinien zlecić regularne badania. </w:t>
      </w:r>
      <w:r w:rsidR="005D0D97" w:rsidRPr="007E4DA1">
        <w:rPr>
          <w:szCs w:val="22"/>
        </w:rPr>
        <w:t>Badane może być także wystąpienie jakichkolwiek krwawień</w:t>
      </w:r>
      <w:r w:rsidR="00BB65C7" w:rsidRPr="007E4DA1">
        <w:rPr>
          <w:szCs w:val="22"/>
        </w:rPr>
        <w:t xml:space="preserve"> w</w:t>
      </w:r>
      <w:r w:rsidR="005D0D97" w:rsidRPr="007E4DA1">
        <w:rPr>
          <w:szCs w:val="22"/>
        </w:rPr>
        <w:t xml:space="preserve"> siatków</w:t>
      </w:r>
      <w:r w:rsidR="00BB65C7" w:rsidRPr="007E4DA1">
        <w:rPr>
          <w:szCs w:val="22"/>
        </w:rPr>
        <w:t>ce</w:t>
      </w:r>
      <w:r w:rsidR="005D0D97" w:rsidRPr="007E4DA1">
        <w:rPr>
          <w:szCs w:val="22"/>
        </w:rPr>
        <w:t xml:space="preserve"> (warstwa komórek światłoczułych umiejscowiona z tyłu oka) lub w jej pobliżu.</w:t>
      </w:r>
    </w:p>
    <w:p w14:paraId="6D55C24D" w14:textId="77777777" w:rsidR="001969AF" w:rsidRPr="007E4DA1" w:rsidRDefault="001969AF" w:rsidP="00DE1596">
      <w:pPr>
        <w:numPr>
          <w:ilvl w:val="12"/>
          <w:numId w:val="0"/>
        </w:numPr>
        <w:rPr>
          <w:szCs w:val="22"/>
        </w:rPr>
      </w:pPr>
    </w:p>
    <w:p w14:paraId="2EA8FEF1" w14:textId="77777777" w:rsidR="00041A08" w:rsidRPr="00041A08" w:rsidRDefault="00315069" w:rsidP="00DE1596">
      <w:pPr>
        <w:keepNext/>
        <w:numPr>
          <w:ilvl w:val="12"/>
          <w:numId w:val="0"/>
        </w:numPr>
        <w:rPr>
          <w:szCs w:val="22"/>
        </w:rPr>
      </w:pPr>
      <w:r w:rsidRPr="007E4DA1">
        <w:rPr>
          <w:b/>
          <w:szCs w:val="22"/>
        </w:rPr>
        <w:t>Konieczne będzie wykonywanie regularnych badań</w:t>
      </w:r>
    </w:p>
    <w:p w14:paraId="7DC40732" w14:textId="67C93FFF" w:rsidR="001969AF" w:rsidRPr="007E4DA1" w:rsidRDefault="00E11B58" w:rsidP="00DE1596">
      <w:pPr>
        <w:numPr>
          <w:ilvl w:val="12"/>
          <w:numId w:val="0"/>
        </w:numPr>
        <w:ind w:right="-2"/>
      </w:pPr>
      <w:r w:rsidRPr="007E4DA1">
        <w:t>Przed rozpoczęciem stosowania leku Revolade lekarz przeprowadzi badania krwi w celu oceny komórek krwi</w:t>
      </w:r>
      <w:r w:rsidR="008E6328" w:rsidRPr="007E4DA1">
        <w:t>,</w:t>
      </w:r>
      <w:r w:rsidRPr="007E4DA1">
        <w:t xml:space="preserve"> w tym płytek krwi. Podczas stosowania leku</w:t>
      </w:r>
      <w:r w:rsidR="00160652" w:rsidRPr="007E4DA1">
        <w:t>,</w:t>
      </w:r>
      <w:r w:rsidRPr="007E4DA1">
        <w:t xml:space="preserve"> badania te będą powtarzane co pewien czas.</w:t>
      </w:r>
    </w:p>
    <w:p w14:paraId="6454FFB3" w14:textId="77777777" w:rsidR="001969AF" w:rsidRPr="007E4DA1" w:rsidRDefault="001969AF" w:rsidP="00DE1596">
      <w:pPr>
        <w:numPr>
          <w:ilvl w:val="12"/>
          <w:numId w:val="0"/>
        </w:numPr>
        <w:ind w:right="-2"/>
      </w:pPr>
    </w:p>
    <w:p w14:paraId="265812F0" w14:textId="77777777" w:rsidR="00041A08" w:rsidRPr="00041A08" w:rsidRDefault="009838A4" w:rsidP="00DE1596">
      <w:pPr>
        <w:keepNext/>
        <w:numPr>
          <w:ilvl w:val="12"/>
          <w:numId w:val="0"/>
        </w:numPr>
        <w:ind w:right="-2"/>
      </w:pPr>
      <w:r w:rsidRPr="007E4DA1">
        <w:rPr>
          <w:b/>
        </w:rPr>
        <w:t xml:space="preserve">Badania </w:t>
      </w:r>
      <w:r w:rsidR="00BB65C7" w:rsidRPr="007E4DA1">
        <w:rPr>
          <w:b/>
        </w:rPr>
        <w:t xml:space="preserve">krwi w kierunku </w:t>
      </w:r>
      <w:r w:rsidRPr="007E4DA1">
        <w:rPr>
          <w:b/>
        </w:rPr>
        <w:t>czynności wątroby</w:t>
      </w:r>
    </w:p>
    <w:p w14:paraId="262FB187" w14:textId="24492D35" w:rsidR="00467037" w:rsidRPr="007E4DA1" w:rsidRDefault="00976FC3" w:rsidP="00DE1596">
      <w:pPr>
        <w:ind w:left="0" w:firstLine="0"/>
      </w:pPr>
      <w:r w:rsidRPr="007E4DA1">
        <w:t xml:space="preserve">Lek </w:t>
      </w:r>
      <w:r w:rsidR="001969AF" w:rsidRPr="007E4DA1">
        <w:t xml:space="preserve">Revolade </w:t>
      </w:r>
      <w:r w:rsidR="00E11B58" w:rsidRPr="007E4DA1">
        <w:t xml:space="preserve">może </w:t>
      </w:r>
      <w:r w:rsidR="00BB65C7" w:rsidRPr="007E4DA1">
        <w:rPr>
          <w:szCs w:val="22"/>
        </w:rPr>
        <w:t xml:space="preserve">być przyczyną wyników badań krwi mogących świadczyć o uszkodzeniu wątroby - </w:t>
      </w:r>
      <w:r w:rsidR="00BB43D4" w:rsidRPr="007E4DA1">
        <w:t xml:space="preserve">zwiększenie </w:t>
      </w:r>
      <w:r w:rsidR="00830E02" w:rsidRPr="007E4DA1">
        <w:t xml:space="preserve">aktywności </w:t>
      </w:r>
      <w:r w:rsidR="00376697" w:rsidRPr="007E4DA1">
        <w:t xml:space="preserve">niektórych </w:t>
      </w:r>
      <w:r w:rsidR="00830E02" w:rsidRPr="007E4DA1">
        <w:t>enzymów wątrobowych</w:t>
      </w:r>
      <w:r w:rsidR="005D76F8" w:rsidRPr="007E4DA1">
        <w:t xml:space="preserve">, </w:t>
      </w:r>
      <w:r w:rsidR="00830E02" w:rsidRPr="007E4DA1">
        <w:t xml:space="preserve">w szczególności bilirubiny </w:t>
      </w:r>
      <w:r w:rsidR="00EF1652" w:rsidRPr="007E4DA1">
        <w:t>oraz</w:t>
      </w:r>
      <w:r w:rsidR="00830E02" w:rsidRPr="007E4DA1">
        <w:t xml:space="preserve"> transaminaz</w:t>
      </w:r>
      <w:r w:rsidR="00EF1652" w:rsidRPr="007E4DA1">
        <w:t>y</w:t>
      </w:r>
      <w:r w:rsidR="00830E02" w:rsidRPr="007E4DA1">
        <w:t xml:space="preserve"> alaninowej i asparaginianowej.</w:t>
      </w:r>
      <w:r w:rsidR="00E11B58" w:rsidRPr="007E4DA1">
        <w:t xml:space="preserve"> </w:t>
      </w:r>
      <w:r w:rsidR="007611B1" w:rsidRPr="007E4DA1">
        <w:t>Jeśli</w:t>
      </w:r>
      <w:r w:rsidR="00467037" w:rsidRPr="007E4DA1">
        <w:t xml:space="preserve"> pacjent stosuje leczenie </w:t>
      </w:r>
      <w:r w:rsidR="00BB65C7" w:rsidRPr="007E4DA1">
        <w:t>oparte na</w:t>
      </w:r>
      <w:r w:rsidR="00467037" w:rsidRPr="007E4DA1">
        <w:t xml:space="preserve"> interferon</w:t>
      </w:r>
      <w:r w:rsidR="00BB65C7" w:rsidRPr="007E4DA1">
        <w:t>ie</w:t>
      </w:r>
      <w:r w:rsidR="00467037" w:rsidRPr="007E4DA1">
        <w:t xml:space="preserve"> jednocześnie z lekiem Revolade w leczeniu małej ilości płytek krwi związanej z zapaleni</w:t>
      </w:r>
      <w:r w:rsidR="00BB65C7" w:rsidRPr="007E4DA1">
        <w:t>em</w:t>
      </w:r>
      <w:r w:rsidR="00467037" w:rsidRPr="007E4DA1">
        <w:t xml:space="preserve"> wątroby typu C, niektóre </w:t>
      </w:r>
      <w:r w:rsidR="00CD7AFF" w:rsidRPr="007E4DA1">
        <w:t>choroby</w:t>
      </w:r>
      <w:r w:rsidR="00467037" w:rsidRPr="007E4DA1">
        <w:t xml:space="preserve"> wątrob</w:t>
      </w:r>
      <w:r w:rsidR="00CD7AFF" w:rsidRPr="007E4DA1">
        <w:t>y</w:t>
      </w:r>
      <w:r w:rsidR="009838A4" w:rsidRPr="007E4DA1">
        <w:t xml:space="preserve"> mogą ulec nasileniu.</w:t>
      </w:r>
    </w:p>
    <w:p w14:paraId="0EBA4410" w14:textId="77777777" w:rsidR="00467037" w:rsidRPr="007E4DA1" w:rsidRDefault="00467037" w:rsidP="00DE1596">
      <w:pPr>
        <w:ind w:left="0" w:firstLine="0"/>
      </w:pPr>
    </w:p>
    <w:p w14:paraId="1AD1E03F" w14:textId="77777777" w:rsidR="001969AF" w:rsidRPr="007E4DA1" w:rsidRDefault="00E11B58" w:rsidP="00DE1596">
      <w:pPr>
        <w:ind w:left="0" w:firstLine="0"/>
      </w:pPr>
      <w:r w:rsidRPr="007E4DA1">
        <w:t>Przed rozpoczęciem stosowania leku Revolade i co pewien czas w trakcie leczenia będą przeprowadzane u pacjenta badania krwi oceniające czynność wątroby. Może być konieczne przerwanie stosowania leku Revolade</w:t>
      </w:r>
      <w:r w:rsidR="00B43A2E" w:rsidRPr="007E4DA1">
        <w:t>,</w:t>
      </w:r>
      <w:r w:rsidRPr="007E4DA1">
        <w:t xml:space="preserve"> jeśli ilość tych substancji zwiększy się </w:t>
      </w:r>
      <w:r w:rsidR="00B43A2E" w:rsidRPr="007E4DA1">
        <w:t>do zbyt dużych wartości</w:t>
      </w:r>
      <w:r w:rsidR="00523B86" w:rsidRPr="007E4DA1">
        <w:t xml:space="preserve"> </w:t>
      </w:r>
      <w:r w:rsidRPr="007E4DA1">
        <w:t xml:space="preserve">lub jeśli wystąpią </w:t>
      </w:r>
      <w:r w:rsidR="00BB65C7" w:rsidRPr="007E4DA1">
        <w:t xml:space="preserve">inne </w:t>
      </w:r>
      <w:r w:rsidR="001A399F" w:rsidRPr="007E4DA1">
        <w:t>objawy uszkodzenia wątroby.</w:t>
      </w:r>
    </w:p>
    <w:p w14:paraId="4499E2C1" w14:textId="77777777" w:rsidR="00041A08" w:rsidRPr="00041A08" w:rsidRDefault="00467037" w:rsidP="00DE1596">
      <w:pPr>
        <w:pStyle w:val="Bulletindent"/>
        <w:numPr>
          <w:ilvl w:val="0"/>
          <w:numId w:val="13"/>
        </w:numPr>
        <w:tabs>
          <w:tab w:val="clear" w:pos="567"/>
          <w:tab w:val="clear" w:pos="851"/>
        </w:tabs>
        <w:spacing w:before="0" w:line="240" w:lineRule="auto"/>
        <w:ind w:left="567" w:hanging="567"/>
        <w:rPr>
          <w:lang w:val="pl-PL"/>
        </w:rPr>
      </w:pPr>
      <w:r w:rsidRPr="007E4DA1">
        <w:rPr>
          <w:b/>
          <w:lang w:val="pl-PL"/>
        </w:rPr>
        <w:t>Należy zapoznać się z informacj</w:t>
      </w:r>
      <w:r w:rsidR="003501C4" w:rsidRPr="007E4DA1">
        <w:rPr>
          <w:b/>
          <w:lang w:val="pl-PL"/>
        </w:rPr>
        <w:t>a</w:t>
      </w:r>
      <w:r w:rsidRPr="007E4DA1">
        <w:rPr>
          <w:b/>
          <w:lang w:val="pl-PL"/>
        </w:rPr>
        <w:t>m</w:t>
      </w:r>
      <w:r w:rsidR="00152C73" w:rsidRPr="007E4DA1">
        <w:rPr>
          <w:b/>
          <w:lang w:val="pl-PL"/>
        </w:rPr>
        <w:t>i w punkcie</w:t>
      </w:r>
      <w:r w:rsidR="00E10279" w:rsidRPr="007E4DA1">
        <w:rPr>
          <w:b/>
          <w:lang w:val="pl-PL"/>
        </w:rPr>
        <w:t> </w:t>
      </w:r>
      <w:r w:rsidR="00152C73" w:rsidRPr="007E4DA1">
        <w:rPr>
          <w:b/>
          <w:lang w:val="pl-PL"/>
        </w:rPr>
        <w:t xml:space="preserve">4 </w:t>
      </w:r>
      <w:r w:rsidR="00376697" w:rsidRPr="007E4DA1">
        <w:rPr>
          <w:b/>
          <w:lang w:val="pl-PL"/>
        </w:rPr>
        <w:t xml:space="preserve">tej ulotki </w:t>
      </w:r>
      <w:r w:rsidR="00152C73" w:rsidRPr="007E4DA1">
        <w:rPr>
          <w:b/>
          <w:lang w:val="pl-PL"/>
        </w:rPr>
        <w:t>„</w:t>
      </w:r>
      <w:r w:rsidR="00152C73" w:rsidRPr="007E4DA1">
        <w:rPr>
          <w:b/>
          <w:i/>
          <w:lang w:val="pl-PL"/>
        </w:rPr>
        <w:t>Zaburzenia wątroby</w:t>
      </w:r>
      <w:r w:rsidRPr="007E4DA1">
        <w:rPr>
          <w:b/>
          <w:lang w:val="pl-PL"/>
        </w:rPr>
        <w:t>”</w:t>
      </w:r>
      <w:r w:rsidR="00BB65C7" w:rsidRPr="007E4DA1">
        <w:rPr>
          <w:b/>
          <w:lang w:val="pl-PL"/>
        </w:rPr>
        <w:t>.</w:t>
      </w:r>
    </w:p>
    <w:p w14:paraId="60EB0450" w14:textId="1BDB3C02" w:rsidR="00467037" w:rsidRPr="007E4DA1" w:rsidRDefault="00467037" w:rsidP="00DE1596">
      <w:pPr>
        <w:pStyle w:val="Bulletindent"/>
        <w:numPr>
          <w:ilvl w:val="0"/>
          <w:numId w:val="0"/>
        </w:numPr>
        <w:spacing w:before="0" w:line="240" w:lineRule="auto"/>
        <w:rPr>
          <w:lang w:val="pl-PL"/>
        </w:rPr>
      </w:pPr>
    </w:p>
    <w:p w14:paraId="33115159" w14:textId="77777777" w:rsidR="001969AF" w:rsidRPr="007E4DA1" w:rsidRDefault="00467037" w:rsidP="00DE1596">
      <w:pPr>
        <w:pStyle w:val="Bulletindent"/>
        <w:keepNext/>
        <w:numPr>
          <w:ilvl w:val="0"/>
          <w:numId w:val="0"/>
        </w:numPr>
        <w:spacing w:before="0" w:line="240" w:lineRule="auto"/>
        <w:rPr>
          <w:noProof w:val="0"/>
          <w:lang w:val="pl-PL"/>
        </w:rPr>
      </w:pPr>
      <w:r w:rsidRPr="007E4DA1">
        <w:rPr>
          <w:b/>
          <w:lang w:val="pl-PL"/>
        </w:rPr>
        <w:t>Badanie liczby płytek krwi</w:t>
      </w:r>
    </w:p>
    <w:p w14:paraId="3A6A91EF" w14:textId="77777777" w:rsidR="001969AF" w:rsidRPr="007E4DA1" w:rsidRDefault="00BB43D4" w:rsidP="00DE1596">
      <w:pPr>
        <w:pStyle w:val="Default"/>
        <w:rPr>
          <w:sz w:val="22"/>
          <w:szCs w:val="22"/>
          <w:lang w:val="pl-PL"/>
        </w:rPr>
      </w:pPr>
      <w:r w:rsidRPr="007E4DA1">
        <w:rPr>
          <w:sz w:val="22"/>
          <w:szCs w:val="22"/>
          <w:lang w:val="pl-PL"/>
        </w:rPr>
        <w:t>Jeśli</w:t>
      </w:r>
      <w:r w:rsidR="00CC7383" w:rsidRPr="007E4DA1">
        <w:rPr>
          <w:sz w:val="22"/>
          <w:szCs w:val="22"/>
          <w:lang w:val="pl-PL"/>
        </w:rPr>
        <w:t xml:space="preserve"> pacjent przerwie stosowanie leku Revola</w:t>
      </w:r>
      <w:r w:rsidR="00890B52" w:rsidRPr="007E4DA1">
        <w:rPr>
          <w:sz w:val="22"/>
          <w:szCs w:val="22"/>
          <w:lang w:val="pl-PL"/>
        </w:rPr>
        <w:t>d</w:t>
      </w:r>
      <w:r w:rsidR="00CC7383" w:rsidRPr="007E4DA1">
        <w:rPr>
          <w:sz w:val="22"/>
          <w:szCs w:val="22"/>
          <w:lang w:val="pl-PL"/>
        </w:rPr>
        <w:t>e, istnieje prawdopodobieństwo nawrotu małej liczby płytek krwi</w:t>
      </w:r>
      <w:r w:rsidR="00126582" w:rsidRPr="007E4DA1">
        <w:rPr>
          <w:sz w:val="22"/>
          <w:szCs w:val="22"/>
          <w:lang w:val="pl-PL"/>
        </w:rPr>
        <w:t xml:space="preserve"> w ciągu kilku dni.</w:t>
      </w:r>
      <w:r w:rsidR="00CC7383" w:rsidRPr="007E4DA1">
        <w:rPr>
          <w:sz w:val="22"/>
          <w:szCs w:val="22"/>
          <w:lang w:val="pl-PL"/>
        </w:rPr>
        <w:t xml:space="preserve"> </w:t>
      </w:r>
      <w:r w:rsidR="00126582" w:rsidRPr="007E4DA1">
        <w:rPr>
          <w:sz w:val="22"/>
          <w:szCs w:val="22"/>
          <w:lang w:val="pl-PL"/>
        </w:rPr>
        <w:t>Liczba płytek krwi będzie</w:t>
      </w:r>
      <w:r w:rsidR="00890B52" w:rsidRPr="007E4DA1">
        <w:rPr>
          <w:sz w:val="22"/>
          <w:szCs w:val="22"/>
          <w:lang w:val="pl-PL"/>
        </w:rPr>
        <w:t xml:space="preserve"> kontrolowan</w:t>
      </w:r>
      <w:r w:rsidR="00126582" w:rsidRPr="007E4DA1">
        <w:rPr>
          <w:sz w:val="22"/>
          <w:szCs w:val="22"/>
          <w:lang w:val="pl-PL"/>
        </w:rPr>
        <w:t>a, a</w:t>
      </w:r>
      <w:r w:rsidR="00890B52" w:rsidRPr="007E4DA1">
        <w:rPr>
          <w:sz w:val="22"/>
          <w:szCs w:val="22"/>
          <w:lang w:val="pl-PL"/>
        </w:rPr>
        <w:t xml:space="preserve"> </w:t>
      </w:r>
      <w:r w:rsidR="00126582" w:rsidRPr="007E4DA1">
        <w:rPr>
          <w:sz w:val="22"/>
          <w:szCs w:val="22"/>
          <w:lang w:val="pl-PL"/>
        </w:rPr>
        <w:t>l</w:t>
      </w:r>
      <w:r w:rsidR="00890B52" w:rsidRPr="007E4DA1">
        <w:rPr>
          <w:sz w:val="22"/>
          <w:szCs w:val="22"/>
          <w:lang w:val="pl-PL"/>
        </w:rPr>
        <w:t>ekarz prowadzący omówi z pacjentem odpowiednie środki ostrożności.</w:t>
      </w:r>
    </w:p>
    <w:p w14:paraId="256D460F" w14:textId="77777777" w:rsidR="001969AF" w:rsidRPr="007E4DA1" w:rsidRDefault="001969AF" w:rsidP="00DE1596">
      <w:pPr>
        <w:pStyle w:val="Default"/>
        <w:rPr>
          <w:lang w:val="pl-PL"/>
        </w:rPr>
      </w:pPr>
    </w:p>
    <w:p w14:paraId="6C2564D2" w14:textId="77777777" w:rsidR="008B6D86" w:rsidRPr="007E4DA1" w:rsidRDefault="001C54CD" w:rsidP="00DE1596">
      <w:pPr>
        <w:pStyle w:val="Default"/>
        <w:rPr>
          <w:sz w:val="22"/>
          <w:szCs w:val="22"/>
          <w:lang w:val="pl-PL"/>
        </w:rPr>
      </w:pPr>
      <w:r w:rsidRPr="007E4DA1">
        <w:rPr>
          <w:sz w:val="22"/>
          <w:szCs w:val="22"/>
          <w:lang w:val="pl-PL"/>
        </w:rPr>
        <w:t xml:space="preserve">Bardzo duża </w:t>
      </w:r>
      <w:r w:rsidR="008B6D86" w:rsidRPr="007E4DA1">
        <w:rPr>
          <w:sz w:val="22"/>
          <w:szCs w:val="22"/>
          <w:lang w:val="pl-PL"/>
        </w:rPr>
        <w:t xml:space="preserve">liczba płytek krwi może </w:t>
      </w:r>
      <w:r w:rsidR="000C40B0" w:rsidRPr="007E4DA1">
        <w:rPr>
          <w:sz w:val="22"/>
          <w:szCs w:val="22"/>
          <w:lang w:val="pl-PL"/>
        </w:rPr>
        <w:t>zwiększyć</w:t>
      </w:r>
      <w:r w:rsidR="004F4E57" w:rsidRPr="007E4DA1">
        <w:rPr>
          <w:sz w:val="22"/>
          <w:szCs w:val="22"/>
          <w:lang w:val="pl-PL"/>
        </w:rPr>
        <w:t xml:space="preserve"> ryzyko zakrzepów</w:t>
      </w:r>
      <w:r w:rsidR="00126582" w:rsidRPr="007E4DA1">
        <w:rPr>
          <w:sz w:val="22"/>
          <w:szCs w:val="22"/>
          <w:lang w:val="pl-PL"/>
        </w:rPr>
        <w:t>.</w:t>
      </w:r>
      <w:r w:rsidR="004F4E57" w:rsidRPr="007E4DA1">
        <w:rPr>
          <w:sz w:val="22"/>
          <w:szCs w:val="22"/>
          <w:lang w:val="pl-PL"/>
        </w:rPr>
        <w:t xml:space="preserve"> </w:t>
      </w:r>
      <w:r w:rsidR="00126582" w:rsidRPr="007E4DA1">
        <w:rPr>
          <w:sz w:val="22"/>
          <w:szCs w:val="22"/>
          <w:lang w:val="pl-PL"/>
        </w:rPr>
        <w:t xml:space="preserve">Jednakże, </w:t>
      </w:r>
      <w:r w:rsidR="004F4E57" w:rsidRPr="007E4DA1">
        <w:rPr>
          <w:sz w:val="22"/>
          <w:szCs w:val="22"/>
          <w:lang w:val="pl-PL"/>
        </w:rPr>
        <w:t xml:space="preserve">zakrzepy mogą </w:t>
      </w:r>
      <w:r w:rsidRPr="007E4DA1">
        <w:rPr>
          <w:sz w:val="22"/>
          <w:szCs w:val="22"/>
          <w:lang w:val="pl-PL"/>
        </w:rPr>
        <w:t xml:space="preserve">także </w:t>
      </w:r>
      <w:r w:rsidR="004F4E57" w:rsidRPr="007E4DA1">
        <w:rPr>
          <w:sz w:val="22"/>
          <w:szCs w:val="22"/>
          <w:lang w:val="pl-PL"/>
        </w:rPr>
        <w:t xml:space="preserve">wystąpić również </w:t>
      </w:r>
      <w:r w:rsidR="002D07B0" w:rsidRPr="007E4DA1">
        <w:rPr>
          <w:sz w:val="22"/>
          <w:szCs w:val="22"/>
          <w:lang w:val="pl-PL"/>
        </w:rPr>
        <w:t>wtedy, gdy</w:t>
      </w:r>
      <w:r w:rsidR="004F4E57" w:rsidRPr="007E4DA1">
        <w:rPr>
          <w:sz w:val="22"/>
          <w:szCs w:val="22"/>
          <w:lang w:val="pl-PL"/>
        </w:rPr>
        <w:t xml:space="preserve"> liczba płytek krwi jest prawidłowa lub zbyt mała.</w:t>
      </w:r>
      <w:r w:rsidR="008B6D86" w:rsidRPr="007E4DA1">
        <w:rPr>
          <w:sz w:val="22"/>
          <w:szCs w:val="22"/>
          <w:lang w:val="pl-PL"/>
        </w:rPr>
        <w:t xml:space="preserve"> Lekarz prowadzący dostosuje dawkę leku Revolade</w:t>
      </w:r>
      <w:r w:rsidR="008E6328" w:rsidRPr="007E4DA1">
        <w:rPr>
          <w:sz w:val="22"/>
          <w:szCs w:val="22"/>
          <w:lang w:val="pl-PL"/>
        </w:rPr>
        <w:t xml:space="preserve"> </w:t>
      </w:r>
      <w:r w:rsidR="00063336" w:rsidRPr="007E4DA1">
        <w:rPr>
          <w:sz w:val="22"/>
          <w:szCs w:val="22"/>
          <w:lang w:val="pl-PL"/>
        </w:rPr>
        <w:t>dla pacjenta</w:t>
      </w:r>
      <w:r w:rsidR="008B6D86" w:rsidRPr="007E4DA1">
        <w:rPr>
          <w:sz w:val="22"/>
          <w:szCs w:val="22"/>
          <w:lang w:val="pl-PL"/>
        </w:rPr>
        <w:t xml:space="preserve">, aby </w:t>
      </w:r>
      <w:r w:rsidR="00063336" w:rsidRPr="007E4DA1">
        <w:rPr>
          <w:sz w:val="22"/>
          <w:szCs w:val="22"/>
          <w:lang w:val="pl-PL"/>
        </w:rPr>
        <w:t xml:space="preserve">nie dopuścić do zbytniego zwiększenia liczby </w:t>
      </w:r>
      <w:r w:rsidR="008B6D86" w:rsidRPr="007E4DA1">
        <w:rPr>
          <w:sz w:val="22"/>
          <w:szCs w:val="22"/>
          <w:lang w:val="pl-PL"/>
        </w:rPr>
        <w:t xml:space="preserve">płytek </w:t>
      </w:r>
      <w:r w:rsidR="00063336" w:rsidRPr="007E4DA1">
        <w:rPr>
          <w:sz w:val="22"/>
          <w:szCs w:val="22"/>
          <w:lang w:val="pl-PL"/>
        </w:rPr>
        <w:t>krwi</w:t>
      </w:r>
      <w:r w:rsidR="008B6D86" w:rsidRPr="007E4DA1">
        <w:rPr>
          <w:sz w:val="22"/>
          <w:szCs w:val="22"/>
          <w:lang w:val="pl-PL"/>
        </w:rPr>
        <w:t>.</w:t>
      </w:r>
    </w:p>
    <w:p w14:paraId="7199AF0B" w14:textId="77777777" w:rsidR="001969AF" w:rsidRPr="007E4DA1" w:rsidRDefault="001969AF" w:rsidP="00DE1596"/>
    <w:p w14:paraId="2FDD226C" w14:textId="77777777" w:rsidR="004F4E57" w:rsidRPr="007E4DA1" w:rsidRDefault="00665357" w:rsidP="00DE1596">
      <w:pPr>
        <w:pStyle w:val="Action"/>
        <w:keepNext/>
        <w:numPr>
          <w:ilvl w:val="0"/>
          <w:numId w:val="0"/>
        </w:numPr>
        <w:tabs>
          <w:tab w:val="clear" w:pos="851"/>
        </w:tabs>
        <w:spacing w:before="0"/>
        <w:rPr>
          <w:lang w:val="pl-PL"/>
        </w:rPr>
      </w:pPr>
      <w:r w:rsidRPr="007E4DA1">
        <w:rPr>
          <w:b/>
          <w:noProof/>
          <w:lang w:val="en-US" w:eastAsia="en-US"/>
        </w:rPr>
        <w:drawing>
          <wp:inline distT="0" distB="0" distL="0" distR="0" wp14:anchorId="60B90FBA" wp14:editId="369D3B65">
            <wp:extent cx="238760" cy="246380"/>
            <wp:effectExtent l="0" t="0" r="0" b="0"/>
            <wp:docPr id="1" name="Picture 13"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4B3C17" w:rsidRPr="007E4DA1">
        <w:rPr>
          <w:b/>
          <w:noProof/>
          <w:lang w:val="pl-PL" w:eastAsia="en-US"/>
        </w:rPr>
        <w:t xml:space="preserve"> </w:t>
      </w:r>
      <w:r w:rsidR="004F4E57" w:rsidRPr="007E4DA1">
        <w:rPr>
          <w:b/>
          <w:lang w:val="pl-PL"/>
        </w:rPr>
        <w:t xml:space="preserve">Należy </w:t>
      </w:r>
      <w:r w:rsidR="00126582" w:rsidRPr="007E4DA1">
        <w:rPr>
          <w:b/>
          <w:lang w:val="pl-PL"/>
        </w:rPr>
        <w:t xml:space="preserve">uzyskać </w:t>
      </w:r>
      <w:r w:rsidR="004F4E57" w:rsidRPr="007E4DA1">
        <w:rPr>
          <w:b/>
          <w:lang w:val="pl-PL"/>
        </w:rPr>
        <w:t>natychmiast</w:t>
      </w:r>
      <w:r w:rsidR="00126582" w:rsidRPr="007E4DA1">
        <w:rPr>
          <w:b/>
          <w:lang w:val="pl-PL"/>
        </w:rPr>
        <w:t>ową</w:t>
      </w:r>
      <w:r w:rsidR="004F4E57" w:rsidRPr="007E4DA1">
        <w:rPr>
          <w:b/>
          <w:lang w:val="pl-PL"/>
        </w:rPr>
        <w:t xml:space="preserve"> </w:t>
      </w:r>
      <w:r w:rsidR="00904AE3" w:rsidRPr="007E4DA1">
        <w:rPr>
          <w:b/>
          <w:lang w:val="pl-PL"/>
        </w:rPr>
        <w:t>pomoc le</w:t>
      </w:r>
      <w:r w:rsidR="00126582" w:rsidRPr="007E4DA1">
        <w:rPr>
          <w:b/>
          <w:lang w:val="pl-PL"/>
        </w:rPr>
        <w:t>karską</w:t>
      </w:r>
      <w:r w:rsidR="004F4E57" w:rsidRPr="007E4DA1">
        <w:rPr>
          <w:b/>
          <w:lang w:val="pl-PL"/>
        </w:rPr>
        <w:t xml:space="preserve">, </w:t>
      </w:r>
      <w:r w:rsidR="004F4E57" w:rsidRPr="007E4DA1">
        <w:rPr>
          <w:lang w:val="pl-PL"/>
        </w:rPr>
        <w:t xml:space="preserve">jeśli u pacjenta wystąpią którekolwiek z wymienionych objawów </w:t>
      </w:r>
      <w:r w:rsidR="004F4E57" w:rsidRPr="007E4DA1">
        <w:rPr>
          <w:b/>
          <w:lang w:val="pl-PL"/>
        </w:rPr>
        <w:t>zakrzepu</w:t>
      </w:r>
      <w:r w:rsidR="004F4E57" w:rsidRPr="007E4DA1">
        <w:rPr>
          <w:lang w:val="pl-PL"/>
        </w:rPr>
        <w:t>:</w:t>
      </w:r>
    </w:p>
    <w:p w14:paraId="517E5297" w14:textId="77777777" w:rsidR="004F4E57" w:rsidRPr="007E4DA1" w:rsidRDefault="004F4E57" w:rsidP="00DE1596">
      <w:pPr>
        <w:pStyle w:val="Bulletindent"/>
        <w:keepNext/>
        <w:numPr>
          <w:ilvl w:val="0"/>
          <w:numId w:val="19"/>
        </w:numPr>
        <w:tabs>
          <w:tab w:val="clear" w:pos="567"/>
          <w:tab w:val="clear" w:pos="851"/>
        </w:tabs>
        <w:spacing w:before="0" w:line="240" w:lineRule="auto"/>
        <w:ind w:left="567" w:hanging="567"/>
        <w:rPr>
          <w:noProof w:val="0"/>
          <w:lang w:val="pl-PL"/>
        </w:rPr>
      </w:pPr>
      <w:r w:rsidRPr="007E4DA1">
        <w:rPr>
          <w:b/>
          <w:noProof w:val="0"/>
          <w:lang w:val="pl-PL"/>
        </w:rPr>
        <w:t>obrzęk, ból</w:t>
      </w:r>
      <w:r w:rsidRPr="007E4DA1">
        <w:rPr>
          <w:noProof w:val="0"/>
          <w:lang w:val="pl-PL"/>
        </w:rPr>
        <w:t xml:space="preserve"> lub bolesność uciskowa </w:t>
      </w:r>
      <w:r w:rsidR="008F5EEE" w:rsidRPr="007E4DA1">
        <w:rPr>
          <w:b/>
          <w:noProof w:val="0"/>
          <w:lang w:val="pl-PL"/>
        </w:rPr>
        <w:t xml:space="preserve">jednej </w:t>
      </w:r>
      <w:r w:rsidRPr="007E4DA1">
        <w:rPr>
          <w:b/>
          <w:noProof w:val="0"/>
          <w:lang w:val="pl-PL"/>
        </w:rPr>
        <w:t>nogi</w:t>
      </w:r>
    </w:p>
    <w:p w14:paraId="76333E06" w14:textId="77777777" w:rsidR="004868E7" w:rsidRPr="007E4DA1" w:rsidRDefault="004868E7" w:rsidP="00DE1596">
      <w:pPr>
        <w:pStyle w:val="Bulletindent"/>
        <w:keepNext/>
        <w:numPr>
          <w:ilvl w:val="0"/>
          <w:numId w:val="19"/>
        </w:numPr>
        <w:tabs>
          <w:tab w:val="clear" w:pos="567"/>
          <w:tab w:val="clear" w:pos="851"/>
        </w:tabs>
        <w:spacing w:before="0" w:line="240" w:lineRule="auto"/>
        <w:ind w:left="567" w:hanging="567"/>
        <w:rPr>
          <w:noProof w:val="0"/>
          <w:lang w:val="pl-PL"/>
        </w:rPr>
      </w:pPr>
      <w:r w:rsidRPr="007E4DA1">
        <w:rPr>
          <w:b/>
          <w:noProof w:val="0"/>
          <w:lang w:val="pl-PL"/>
        </w:rPr>
        <w:t>nagłe skrócenie oddechu</w:t>
      </w:r>
      <w:r w:rsidRPr="007E4DA1">
        <w:rPr>
          <w:noProof w:val="0"/>
          <w:lang w:val="pl-PL"/>
        </w:rPr>
        <w:t>, szczególnie z ostrym bólem w klatce piersiowej lub przyspieszeniem oddechu</w:t>
      </w:r>
    </w:p>
    <w:p w14:paraId="26DF5DD9" w14:textId="77777777" w:rsidR="007611B1" w:rsidRPr="007E4DA1" w:rsidRDefault="004868E7" w:rsidP="00DE1596">
      <w:pPr>
        <w:pStyle w:val="Bulletindent"/>
        <w:numPr>
          <w:ilvl w:val="0"/>
          <w:numId w:val="19"/>
        </w:numPr>
        <w:tabs>
          <w:tab w:val="clear" w:pos="567"/>
          <w:tab w:val="clear" w:pos="851"/>
        </w:tabs>
        <w:spacing w:before="0" w:line="240" w:lineRule="auto"/>
        <w:ind w:left="567" w:hanging="567"/>
        <w:rPr>
          <w:noProof w:val="0"/>
          <w:lang w:val="pl-PL"/>
        </w:rPr>
      </w:pPr>
      <w:r w:rsidRPr="007E4DA1">
        <w:rPr>
          <w:noProof w:val="0"/>
          <w:lang w:val="pl-PL"/>
        </w:rPr>
        <w:t>ból brzucha</w:t>
      </w:r>
      <w:r w:rsidR="00245EEA" w:rsidRPr="007E4DA1">
        <w:rPr>
          <w:noProof w:val="0"/>
          <w:lang w:val="pl-PL"/>
        </w:rPr>
        <w:t xml:space="preserve"> (żołądka)</w:t>
      </w:r>
      <w:r w:rsidRPr="007E4DA1">
        <w:rPr>
          <w:noProof w:val="0"/>
          <w:lang w:val="pl-PL"/>
        </w:rPr>
        <w:t>, powiększenie brzucha, krew w stolcu</w:t>
      </w:r>
    </w:p>
    <w:p w14:paraId="62201670" w14:textId="77777777" w:rsidR="007611B1" w:rsidRPr="007E4DA1" w:rsidRDefault="007611B1" w:rsidP="00DE1596">
      <w:pPr>
        <w:pStyle w:val="Bulletindent"/>
        <w:numPr>
          <w:ilvl w:val="0"/>
          <w:numId w:val="0"/>
        </w:numPr>
        <w:tabs>
          <w:tab w:val="clear" w:pos="567"/>
          <w:tab w:val="clear" w:pos="851"/>
        </w:tabs>
        <w:spacing w:before="0" w:line="240" w:lineRule="auto"/>
        <w:rPr>
          <w:noProof w:val="0"/>
          <w:lang w:val="pl-PL"/>
        </w:rPr>
      </w:pPr>
    </w:p>
    <w:p w14:paraId="45EEC6CB" w14:textId="77777777" w:rsidR="00041A08" w:rsidRPr="00041A08" w:rsidRDefault="007611B1" w:rsidP="00DE1596">
      <w:pPr>
        <w:pStyle w:val="Bulletindent"/>
        <w:keepNext/>
        <w:numPr>
          <w:ilvl w:val="0"/>
          <w:numId w:val="0"/>
        </w:numPr>
        <w:tabs>
          <w:tab w:val="clear" w:pos="567"/>
          <w:tab w:val="clear" w:pos="851"/>
        </w:tabs>
        <w:spacing w:before="0" w:line="240" w:lineRule="auto"/>
        <w:rPr>
          <w:noProof w:val="0"/>
          <w:lang w:val="pl-PL"/>
        </w:rPr>
      </w:pPr>
      <w:r w:rsidRPr="007E4DA1">
        <w:rPr>
          <w:b/>
          <w:noProof w:val="0"/>
          <w:lang w:val="pl-PL"/>
        </w:rPr>
        <w:t>Badania szpiku kostnego</w:t>
      </w:r>
    </w:p>
    <w:p w14:paraId="006E8C13" w14:textId="5E9CF1A2" w:rsidR="004F4E57" w:rsidRPr="007E4DA1" w:rsidRDefault="00943836" w:rsidP="00DE1596">
      <w:pPr>
        <w:ind w:left="0" w:firstLine="0"/>
      </w:pPr>
      <w:r w:rsidRPr="007E4DA1">
        <w:t>U</w:t>
      </w:r>
      <w:r w:rsidR="007611B1" w:rsidRPr="007E4DA1">
        <w:t xml:space="preserve"> pacjen</w:t>
      </w:r>
      <w:r w:rsidRPr="007E4DA1">
        <w:t>tów, którzy</w:t>
      </w:r>
      <w:r w:rsidR="007611B1" w:rsidRPr="007E4DA1">
        <w:t xml:space="preserve"> </w:t>
      </w:r>
      <w:r w:rsidRPr="007E4DA1">
        <w:t>mają</w:t>
      </w:r>
      <w:r w:rsidR="007611B1" w:rsidRPr="007E4DA1">
        <w:t xml:space="preserve"> </w:t>
      </w:r>
      <w:r w:rsidR="00CD7AFF" w:rsidRPr="007E4DA1">
        <w:t>zaburzenia dotyczące</w:t>
      </w:r>
      <w:r w:rsidR="007611B1" w:rsidRPr="007E4DA1">
        <w:t xml:space="preserve"> szpik</w:t>
      </w:r>
      <w:r w:rsidR="00CD7AFF" w:rsidRPr="007E4DA1">
        <w:t>u</w:t>
      </w:r>
      <w:r w:rsidR="007611B1" w:rsidRPr="007E4DA1">
        <w:t xml:space="preserve"> kostn</w:t>
      </w:r>
      <w:r w:rsidR="00CD7AFF" w:rsidRPr="007E4DA1">
        <w:t>ego</w:t>
      </w:r>
      <w:r w:rsidRPr="007E4DA1">
        <w:t>, l</w:t>
      </w:r>
      <w:r w:rsidR="007611B1" w:rsidRPr="007E4DA1">
        <w:t>eki takie jak Revolade mogą t</w:t>
      </w:r>
      <w:r w:rsidRPr="007E4DA1">
        <w:t xml:space="preserve">e </w:t>
      </w:r>
      <w:r w:rsidR="00AF6956" w:rsidRPr="007E4DA1">
        <w:t>zaburzenia</w:t>
      </w:r>
      <w:r w:rsidR="007611B1" w:rsidRPr="007E4DA1">
        <w:t xml:space="preserve"> nasilić. Zmiany w szpiku kostnym mogą objawiać się nieprawidłowymi wynikami badań krwi. Lekarz prowadzący może zlecić </w:t>
      </w:r>
      <w:r w:rsidR="00CD4879" w:rsidRPr="007E4DA1">
        <w:t xml:space="preserve">bezpośrednie </w:t>
      </w:r>
      <w:r w:rsidR="007611B1" w:rsidRPr="007E4DA1">
        <w:t xml:space="preserve">badania szpiku kostnego w trakcie </w:t>
      </w:r>
      <w:r w:rsidR="00CD7AFF" w:rsidRPr="007E4DA1">
        <w:t>stosowa</w:t>
      </w:r>
      <w:r w:rsidR="007611B1" w:rsidRPr="007E4DA1">
        <w:t>nia lek</w:t>
      </w:r>
      <w:r w:rsidR="00CD7AFF" w:rsidRPr="007E4DA1">
        <w:t>u</w:t>
      </w:r>
      <w:r w:rsidR="007611B1" w:rsidRPr="007E4DA1">
        <w:t xml:space="preserve"> Revolade.</w:t>
      </w:r>
    </w:p>
    <w:p w14:paraId="2C005353" w14:textId="77777777" w:rsidR="007611B1" w:rsidRPr="007E4DA1" w:rsidRDefault="007611B1" w:rsidP="00DE1596">
      <w:pPr>
        <w:ind w:left="0" w:firstLine="0"/>
      </w:pPr>
    </w:p>
    <w:p w14:paraId="4EAA2B38" w14:textId="77777777" w:rsidR="00041A08" w:rsidRPr="00041A08" w:rsidRDefault="007611B1" w:rsidP="00DE1596">
      <w:pPr>
        <w:keepNext/>
        <w:ind w:left="0" w:firstLine="0"/>
      </w:pPr>
      <w:r w:rsidRPr="007E4DA1">
        <w:rPr>
          <w:b/>
        </w:rPr>
        <w:t>Badania wykrywające krwawienia z przewodu pokarmowego</w:t>
      </w:r>
    </w:p>
    <w:p w14:paraId="694AEE42" w14:textId="744D25A5" w:rsidR="007611B1" w:rsidRPr="007E4DA1" w:rsidRDefault="007611B1" w:rsidP="00DE1596">
      <w:pPr>
        <w:ind w:left="0" w:firstLine="0"/>
      </w:pPr>
      <w:r w:rsidRPr="007E4DA1">
        <w:t xml:space="preserve">Jeśli pacjent stosuje leczenie </w:t>
      </w:r>
      <w:r w:rsidR="00943836" w:rsidRPr="007E4DA1">
        <w:t>operte na</w:t>
      </w:r>
      <w:r w:rsidR="006577AE" w:rsidRPr="007E4DA1">
        <w:t xml:space="preserve"> interferon</w:t>
      </w:r>
      <w:r w:rsidR="00943836" w:rsidRPr="007E4DA1">
        <w:t>ie</w:t>
      </w:r>
      <w:r w:rsidR="006577AE" w:rsidRPr="007E4DA1">
        <w:t xml:space="preserve"> jednocześnie z lekiem Revolade, będzie obserwowany w celu wykrycia objawów krwawienia z </w:t>
      </w:r>
      <w:r w:rsidR="00943836" w:rsidRPr="007E4DA1">
        <w:t>żołądka lub jelit</w:t>
      </w:r>
      <w:r w:rsidR="006577AE" w:rsidRPr="007E4DA1">
        <w:t xml:space="preserve"> po zakończeniu leczenia lekiem Revolade.</w:t>
      </w:r>
    </w:p>
    <w:p w14:paraId="7AA340AA" w14:textId="77777777" w:rsidR="006577AE" w:rsidRPr="007E4DA1" w:rsidRDefault="006577AE" w:rsidP="00DE1596">
      <w:pPr>
        <w:ind w:left="0" w:firstLine="0"/>
      </w:pPr>
    </w:p>
    <w:p w14:paraId="132C27D1" w14:textId="77777777" w:rsidR="00041A08" w:rsidRPr="00041A08" w:rsidRDefault="006577AE" w:rsidP="00DE1596">
      <w:pPr>
        <w:keepNext/>
        <w:ind w:left="0" w:firstLine="0"/>
      </w:pPr>
      <w:r w:rsidRPr="007E4DA1">
        <w:rPr>
          <w:b/>
        </w:rPr>
        <w:t>Badania serca</w:t>
      </w:r>
    </w:p>
    <w:p w14:paraId="3B55E928" w14:textId="7148DBFB" w:rsidR="007611B1" w:rsidRPr="007E4DA1" w:rsidRDefault="006577AE" w:rsidP="00DE1596">
      <w:pPr>
        <w:ind w:left="0" w:firstLine="0"/>
      </w:pPr>
      <w:r w:rsidRPr="007E4DA1">
        <w:t xml:space="preserve">Lekarz prowadzący może stwierdzić potrzebę badania serca pacjenta w trakcie leczenia lekiem Revolade i </w:t>
      </w:r>
      <w:r w:rsidR="00F9168A" w:rsidRPr="007E4DA1">
        <w:t>przeprowadzić</w:t>
      </w:r>
      <w:r w:rsidRPr="007E4DA1">
        <w:t xml:space="preserve"> badanie elektrokardiograficzne</w:t>
      </w:r>
      <w:r w:rsidR="00F9168A" w:rsidRPr="007E4DA1">
        <w:t xml:space="preserve"> (EKG)</w:t>
      </w:r>
      <w:r w:rsidRPr="007E4DA1">
        <w:t>.</w:t>
      </w:r>
    </w:p>
    <w:p w14:paraId="69DE7666" w14:textId="77777777" w:rsidR="006577AE" w:rsidRPr="007E4DA1" w:rsidRDefault="006577AE" w:rsidP="00DE1596">
      <w:pPr>
        <w:ind w:left="0" w:firstLine="0"/>
      </w:pPr>
    </w:p>
    <w:p w14:paraId="46640204" w14:textId="77777777" w:rsidR="00041A08" w:rsidRPr="00041A08" w:rsidRDefault="00F05F5B" w:rsidP="00DE1596">
      <w:pPr>
        <w:keepNext/>
        <w:ind w:left="0" w:firstLine="0"/>
      </w:pPr>
      <w:r w:rsidRPr="007E4DA1">
        <w:rPr>
          <w:b/>
        </w:rPr>
        <w:t>Osoby w podeszłym wieku (65 lat i starsze)</w:t>
      </w:r>
    </w:p>
    <w:p w14:paraId="0D60A7A3" w14:textId="20004BAD" w:rsidR="00F05F5B" w:rsidRPr="007E4DA1" w:rsidRDefault="00F05F5B" w:rsidP="00DE1596">
      <w:pPr>
        <w:ind w:left="0" w:firstLine="0"/>
      </w:pPr>
      <w:r w:rsidRPr="007E4DA1">
        <w:t>Istnieją ograniczone dane dotyczące stosowania leku Revolade u pacjentów w wieku 65</w:t>
      </w:r>
      <w:r w:rsidR="00307CA2" w:rsidRPr="007E4DA1">
        <w:t> </w:t>
      </w:r>
      <w:r w:rsidRPr="007E4DA1">
        <w:t>lat i starszych. Należy zachować ostrożność stosując lek Revolade u pacjentów w wieku 65</w:t>
      </w:r>
      <w:r w:rsidR="00307CA2" w:rsidRPr="007E4DA1">
        <w:t> </w:t>
      </w:r>
      <w:r w:rsidRPr="007E4DA1">
        <w:t>lat i starszych.</w:t>
      </w:r>
    </w:p>
    <w:p w14:paraId="500BC399" w14:textId="77777777" w:rsidR="00F05F5B" w:rsidRPr="007E4DA1" w:rsidRDefault="00F05F5B" w:rsidP="00DE1596">
      <w:pPr>
        <w:ind w:left="0" w:firstLine="0"/>
      </w:pPr>
    </w:p>
    <w:p w14:paraId="0565AF6C" w14:textId="77777777" w:rsidR="00041A08" w:rsidRPr="00041A08" w:rsidRDefault="006577AE" w:rsidP="00DE1596">
      <w:pPr>
        <w:keepNext/>
        <w:ind w:left="0" w:firstLine="0"/>
      </w:pPr>
      <w:r w:rsidRPr="007E4DA1">
        <w:rPr>
          <w:b/>
        </w:rPr>
        <w:t>Dzieci i młodzież</w:t>
      </w:r>
    </w:p>
    <w:p w14:paraId="4CD37BA8" w14:textId="05AE28F3" w:rsidR="006577AE" w:rsidRPr="007E4DA1" w:rsidRDefault="006577AE" w:rsidP="00DE1596">
      <w:pPr>
        <w:ind w:left="0" w:firstLine="0"/>
      </w:pPr>
      <w:r w:rsidRPr="007E4DA1">
        <w:t xml:space="preserve">Lek Revolade nie jest zalecany u </w:t>
      </w:r>
      <w:r w:rsidR="00F9168A" w:rsidRPr="007E4DA1">
        <w:t>dzieci</w:t>
      </w:r>
      <w:r w:rsidRPr="007E4DA1">
        <w:t xml:space="preserve"> </w:t>
      </w:r>
      <w:r w:rsidR="00CD7AFF" w:rsidRPr="007E4DA1">
        <w:t xml:space="preserve">w wieku </w:t>
      </w:r>
      <w:r w:rsidRPr="007E4DA1">
        <w:t>poniżej 1</w:t>
      </w:r>
      <w:r w:rsidR="003501C4" w:rsidRPr="007E4DA1">
        <w:t> </w:t>
      </w:r>
      <w:r w:rsidR="00F9168A" w:rsidRPr="007E4DA1">
        <w:t xml:space="preserve">roku </w:t>
      </w:r>
      <w:r w:rsidR="00AF6956" w:rsidRPr="007E4DA1">
        <w:t>z</w:t>
      </w:r>
      <w:r w:rsidR="00F9168A" w:rsidRPr="007E4DA1">
        <w:t xml:space="preserve"> małopłytkowoś</w:t>
      </w:r>
      <w:r w:rsidR="00AF6956" w:rsidRPr="007E4DA1">
        <w:t>cią</w:t>
      </w:r>
      <w:r w:rsidR="00F9168A" w:rsidRPr="007E4DA1">
        <w:t xml:space="preserve"> immunologiczną. Lek nie jest również zalecany u osób w wieku poniżej 18</w:t>
      </w:r>
      <w:r w:rsidR="00E10279" w:rsidRPr="007E4DA1">
        <w:t> </w:t>
      </w:r>
      <w:r w:rsidR="00F9168A" w:rsidRPr="007E4DA1">
        <w:t>lat z małą liczbą płytek krwi spowodowaną wirusowym zapaleniem wątroby typu C lub ciężką postacią niedokrwistości aplastycznej.</w:t>
      </w:r>
    </w:p>
    <w:p w14:paraId="683BA83B" w14:textId="77777777" w:rsidR="006577AE" w:rsidRPr="007E4DA1" w:rsidRDefault="006577AE" w:rsidP="00DE1596"/>
    <w:p w14:paraId="1F7D8A4F" w14:textId="77777777" w:rsidR="00041A08" w:rsidRPr="00041A08" w:rsidRDefault="007F5B50" w:rsidP="00DE1596">
      <w:pPr>
        <w:keepNext/>
      </w:pPr>
      <w:r w:rsidRPr="007E4DA1">
        <w:rPr>
          <w:b/>
        </w:rPr>
        <w:t xml:space="preserve">Lek </w:t>
      </w:r>
      <w:r w:rsidR="004F402D" w:rsidRPr="007E4DA1">
        <w:rPr>
          <w:b/>
        </w:rPr>
        <w:t>Revolade</w:t>
      </w:r>
      <w:r w:rsidRPr="007E4DA1">
        <w:rPr>
          <w:b/>
        </w:rPr>
        <w:t xml:space="preserve"> a inne leki</w:t>
      </w:r>
    </w:p>
    <w:p w14:paraId="684DB3DC" w14:textId="29077E1B" w:rsidR="005B4BC8" w:rsidRPr="007E4DA1" w:rsidRDefault="005B4BC8" w:rsidP="00DE1596">
      <w:pPr>
        <w:ind w:left="0" w:firstLine="0"/>
      </w:pPr>
      <w:r w:rsidRPr="007E4DA1">
        <w:t xml:space="preserve">Należy powiedzieć lekarzowi </w:t>
      </w:r>
      <w:r w:rsidR="009474F2" w:rsidRPr="007E4DA1">
        <w:t xml:space="preserve">lub farmaceucie </w:t>
      </w:r>
      <w:r w:rsidRPr="007E4DA1">
        <w:t xml:space="preserve">o wszystkich </w:t>
      </w:r>
      <w:r w:rsidR="004F402D" w:rsidRPr="007E4DA1">
        <w:t xml:space="preserve">lekach </w:t>
      </w:r>
      <w:r w:rsidRPr="007E4DA1">
        <w:t xml:space="preserve">przyjmowanych </w:t>
      </w:r>
      <w:r w:rsidR="006577AE" w:rsidRPr="007E4DA1">
        <w:t xml:space="preserve">przez pacjenta </w:t>
      </w:r>
      <w:r w:rsidR="004F402D" w:rsidRPr="007E4DA1">
        <w:t xml:space="preserve">obecnie lub </w:t>
      </w:r>
      <w:r w:rsidRPr="007E4DA1">
        <w:t xml:space="preserve">ostatnio, </w:t>
      </w:r>
      <w:r w:rsidR="009474F2" w:rsidRPr="007E4DA1">
        <w:t xml:space="preserve">a także o </w:t>
      </w:r>
      <w:r w:rsidR="004F402D" w:rsidRPr="007E4DA1">
        <w:t>lekach, które pacjent planuje prz</w:t>
      </w:r>
      <w:r w:rsidR="00D728FE" w:rsidRPr="007E4DA1">
        <w:t>y</w:t>
      </w:r>
      <w:r w:rsidR="004F402D" w:rsidRPr="007E4DA1">
        <w:t>jmować</w:t>
      </w:r>
      <w:r w:rsidR="009474F2" w:rsidRPr="007E4DA1">
        <w:t>.</w:t>
      </w:r>
      <w:r w:rsidR="00F05F5B" w:rsidRPr="007E4DA1">
        <w:t xml:space="preserve"> Dotyczy to także leków otrzymywanych bez recepty i witamin.</w:t>
      </w:r>
    </w:p>
    <w:p w14:paraId="07F9FC0E" w14:textId="77777777" w:rsidR="005B4BC8" w:rsidRPr="007E4DA1" w:rsidRDefault="005B4BC8" w:rsidP="00DE1596">
      <w:pPr>
        <w:ind w:left="0" w:firstLine="0"/>
      </w:pPr>
    </w:p>
    <w:p w14:paraId="1C47659A" w14:textId="77777777" w:rsidR="00A32B5F" w:rsidRPr="007E4DA1" w:rsidRDefault="000C40B0" w:rsidP="00DE1596">
      <w:pPr>
        <w:keepNext/>
        <w:ind w:left="0" w:firstLine="0"/>
        <w:rPr>
          <w:szCs w:val="22"/>
        </w:rPr>
      </w:pPr>
      <w:r w:rsidRPr="007E4DA1">
        <w:rPr>
          <w:b/>
          <w:szCs w:val="22"/>
        </w:rPr>
        <w:t xml:space="preserve">Niektóre powszechnie stosowane leki oddziałują z lekiem Revolade – </w:t>
      </w:r>
      <w:r w:rsidRPr="007E4DA1">
        <w:rPr>
          <w:szCs w:val="22"/>
        </w:rPr>
        <w:t>w tym zarówno leki wydawane na receptę, jak i bez recepty oraz preparaty mineralne. Należą do nich:</w:t>
      </w:r>
    </w:p>
    <w:p w14:paraId="7A11877A" w14:textId="77777777" w:rsidR="00A32B5F" w:rsidRPr="007E4DA1" w:rsidRDefault="000C40B0" w:rsidP="008E0138">
      <w:pPr>
        <w:pStyle w:val="listdashnospace"/>
        <w:numPr>
          <w:ilvl w:val="0"/>
          <w:numId w:val="20"/>
        </w:numPr>
        <w:tabs>
          <w:tab w:val="clear" w:pos="747"/>
        </w:tabs>
        <w:ind w:left="567"/>
        <w:rPr>
          <w:sz w:val="22"/>
          <w:szCs w:val="22"/>
          <w:lang w:val="pl-PL"/>
        </w:rPr>
      </w:pPr>
      <w:r w:rsidRPr="007E4DA1">
        <w:rPr>
          <w:sz w:val="22"/>
          <w:szCs w:val="22"/>
          <w:lang w:val="pl-PL"/>
        </w:rPr>
        <w:t xml:space="preserve">leki </w:t>
      </w:r>
      <w:r w:rsidR="008E6328" w:rsidRPr="007E4DA1">
        <w:rPr>
          <w:sz w:val="22"/>
          <w:szCs w:val="22"/>
          <w:lang w:val="pl-PL"/>
        </w:rPr>
        <w:t>zobojętniające</w:t>
      </w:r>
      <w:r w:rsidRPr="007E4DA1">
        <w:rPr>
          <w:sz w:val="22"/>
          <w:szCs w:val="22"/>
          <w:lang w:val="pl-PL"/>
        </w:rPr>
        <w:t xml:space="preserve"> kwas żołądkowy stosowane w leczeniu </w:t>
      </w:r>
      <w:r w:rsidRPr="007E4DA1">
        <w:rPr>
          <w:b/>
          <w:sz w:val="22"/>
          <w:szCs w:val="22"/>
          <w:lang w:val="pl-PL"/>
        </w:rPr>
        <w:t>niestrawności, zgagi, wrzodów żołądka</w:t>
      </w:r>
      <w:r w:rsidR="006577AE" w:rsidRPr="007E4DA1">
        <w:rPr>
          <w:sz w:val="22"/>
          <w:szCs w:val="22"/>
          <w:lang w:val="pl-PL"/>
        </w:rPr>
        <w:t xml:space="preserve"> (patrz</w:t>
      </w:r>
      <w:r w:rsidR="00DB4AD1" w:rsidRPr="007E4DA1">
        <w:rPr>
          <w:sz w:val="22"/>
          <w:szCs w:val="22"/>
          <w:lang w:val="pl-PL"/>
        </w:rPr>
        <w:t xml:space="preserve"> także</w:t>
      </w:r>
      <w:r w:rsidR="006577AE" w:rsidRPr="007E4DA1">
        <w:rPr>
          <w:sz w:val="22"/>
          <w:szCs w:val="22"/>
          <w:lang w:val="pl-PL"/>
        </w:rPr>
        <w:t xml:space="preserve"> </w:t>
      </w:r>
      <w:r w:rsidR="00DB4AD1" w:rsidRPr="007E4DA1">
        <w:rPr>
          <w:sz w:val="22"/>
          <w:szCs w:val="22"/>
          <w:lang w:val="pl-PL"/>
        </w:rPr>
        <w:t>„</w:t>
      </w:r>
      <w:r w:rsidR="00DB4AD1" w:rsidRPr="007E4DA1">
        <w:rPr>
          <w:b/>
          <w:i/>
          <w:sz w:val="22"/>
          <w:szCs w:val="22"/>
          <w:lang w:val="pl-PL"/>
        </w:rPr>
        <w:t>Kiedy przyjmować lek</w:t>
      </w:r>
      <w:r w:rsidR="00DB4AD1" w:rsidRPr="007E4DA1">
        <w:rPr>
          <w:b/>
          <w:sz w:val="22"/>
          <w:szCs w:val="22"/>
          <w:lang w:val="pl-PL"/>
        </w:rPr>
        <w:t>”</w:t>
      </w:r>
      <w:r w:rsidR="00DB4AD1" w:rsidRPr="007E4DA1">
        <w:rPr>
          <w:sz w:val="22"/>
          <w:szCs w:val="22"/>
          <w:lang w:val="pl-PL"/>
        </w:rPr>
        <w:t xml:space="preserve"> w punkcie</w:t>
      </w:r>
      <w:r w:rsidR="004B3C17" w:rsidRPr="007E4DA1">
        <w:rPr>
          <w:sz w:val="22"/>
          <w:szCs w:val="22"/>
          <w:lang w:val="pl-PL"/>
        </w:rPr>
        <w:t> </w:t>
      </w:r>
      <w:r w:rsidR="00DB4AD1" w:rsidRPr="007E4DA1">
        <w:rPr>
          <w:sz w:val="22"/>
          <w:szCs w:val="22"/>
          <w:lang w:val="pl-PL"/>
        </w:rPr>
        <w:t>3</w:t>
      </w:r>
      <w:r w:rsidR="002F044F" w:rsidRPr="007E4DA1">
        <w:rPr>
          <w:sz w:val="22"/>
          <w:szCs w:val="22"/>
          <w:lang w:val="pl-PL"/>
        </w:rPr>
        <w:t>)</w:t>
      </w:r>
    </w:p>
    <w:p w14:paraId="0D875EEA" w14:textId="77777777" w:rsidR="002F044F" w:rsidRPr="007E4DA1" w:rsidRDefault="000C40B0" w:rsidP="008E0138">
      <w:pPr>
        <w:pStyle w:val="listdashnospace"/>
        <w:numPr>
          <w:ilvl w:val="0"/>
          <w:numId w:val="20"/>
        </w:numPr>
        <w:tabs>
          <w:tab w:val="clear" w:pos="747"/>
        </w:tabs>
        <w:ind w:left="567"/>
        <w:rPr>
          <w:sz w:val="22"/>
          <w:szCs w:val="22"/>
          <w:lang w:val="pl-PL"/>
        </w:rPr>
      </w:pPr>
      <w:r w:rsidRPr="007E4DA1">
        <w:rPr>
          <w:sz w:val="22"/>
          <w:szCs w:val="22"/>
          <w:lang w:val="pl-PL"/>
        </w:rPr>
        <w:t xml:space="preserve">leki zwane statynami, </w:t>
      </w:r>
      <w:r w:rsidRPr="007E4DA1">
        <w:rPr>
          <w:b/>
          <w:sz w:val="22"/>
          <w:szCs w:val="22"/>
          <w:lang w:val="pl-PL"/>
        </w:rPr>
        <w:t>zmniejsz</w:t>
      </w:r>
      <w:r w:rsidR="002F044F" w:rsidRPr="007E4DA1">
        <w:rPr>
          <w:b/>
          <w:sz w:val="22"/>
          <w:szCs w:val="22"/>
          <w:lang w:val="pl-PL"/>
        </w:rPr>
        <w:t>ające</w:t>
      </w:r>
      <w:r w:rsidRPr="007E4DA1">
        <w:rPr>
          <w:b/>
          <w:sz w:val="22"/>
          <w:szCs w:val="22"/>
          <w:lang w:val="pl-PL"/>
        </w:rPr>
        <w:t xml:space="preserve"> stężeni</w:t>
      </w:r>
      <w:r w:rsidR="002F044F" w:rsidRPr="007E4DA1">
        <w:rPr>
          <w:b/>
          <w:sz w:val="22"/>
          <w:szCs w:val="22"/>
          <w:lang w:val="pl-PL"/>
        </w:rPr>
        <w:t>e</w:t>
      </w:r>
      <w:r w:rsidRPr="007E4DA1">
        <w:rPr>
          <w:b/>
          <w:sz w:val="22"/>
          <w:szCs w:val="22"/>
          <w:lang w:val="pl-PL"/>
        </w:rPr>
        <w:t xml:space="preserve"> cholesterolu</w:t>
      </w:r>
    </w:p>
    <w:p w14:paraId="1D50F9C5" w14:textId="77777777" w:rsidR="00A32B5F" w:rsidRPr="007E4DA1" w:rsidRDefault="002F044F" w:rsidP="008E0138">
      <w:pPr>
        <w:pStyle w:val="listdashnospace"/>
        <w:numPr>
          <w:ilvl w:val="0"/>
          <w:numId w:val="20"/>
        </w:numPr>
        <w:tabs>
          <w:tab w:val="clear" w:pos="747"/>
        </w:tabs>
        <w:ind w:left="567"/>
        <w:rPr>
          <w:sz w:val="22"/>
          <w:szCs w:val="22"/>
          <w:lang w:val="pl-PL"/>
        </w:rPr>
      </w:pPr>
      <w:r w:rsidRPr="007E4DA1">
        <w:rPr>
          <w:sz w:val="22"/>
          <w:szCs w:val="22"/>
          <w:lang w:val="pl-PL"/>
        </w:rPr>
        <w:t xml:space="preserve">niektóre leki stosowane w leczeniu </w:t>
      </w:r>
      <w:r w:rsidRPr="007E4DA1">
        <w:rPr>
          <w:b/>
          <w:sz w:val="22"/>
          <w:szCs w:val="22"/>
          <w:lang w:val="pl-PL"/>
        </w:rPr>
        <w:t>zakażenia HIV</w:t>
      </w:r>
      <w:r w:rsidRPr="007E4DA1">
        <w:rPr>
          <w:sz w:val="22"/>
          <w:szCs w:val="22"/>
          <w:lang w:val="pl-PL"/>
        </w:rPr>
        <w:t xml:space="preserve"> takie jak lopinawir </w:t>
      </w:r>
      <w:r w:rsidR="00DB4AD1" w:rsidRPr="007E4DA1">
        <w:rPr>
          <w:sz w:val="22"/>
          <w:szCs w:val="22"/>
          <w:lang w:val="pl-PL"/>
        </w:rPr>
        <w:t>i (</w:t>
      </w:r>
      <w:r w:rsidRPr="007E4DA1">
        <w:rPr>
          <w:sz w:val="22"/>
          <w:szCs w:val="22"/>
          <w:lang w:val="pl-PL"/>
        </w:rPr>
        <w:t>lub</w:t>
      </w:r>
      <w:r w:rsidR="00DB4AD1" w:rsidRPr="007E4DA1">
        <w:rPr>
          <w:sz w:val="22"/>
          <w:szCs w:val="22"/>
          <w:lang w:val="pl-PL"/>
        </w:rPr>
        <w:t>)</w:t>
      </w:r>
      <w:r w:rsidRPr="007E4DA1">
        <w:rPr>
          <w:sz w:val="22"/>
          <w:szCs w:val="22"/>
          <w:lang w:val="pl-PL"/>
        </w:rPr>
        <w:t xml:space="preserve"> rytonawir</w:t>
      </w:r>
    </w:p>
    <w:p w14:paraId="468ACE56" w14:textId="77777777" w:rsidR="00D70D82" w:rsidRPr="007E4DA1" w:rsidRDefault="00D70D82" w:rsidP="008E0138">
      <w:pPr>
        <w:pStyle w:val="listdashnospace"/>
        <w:numPr>
          <w:ilvl w:val="0"/>
          <w:numId w:val="20"/>
        </w:numPr>
        <w:tabs>
          <w:tab w:val="clear" w:pos="747"/>
          <w:tab w:val="num" w:pos="567"/>
        </w:tabs>
        <w:ind w:left="567"/>
        <w:rPr>
          <w:sz w:val="22"/>
          <w:szCs w:val="22"/>
          <w:lang w:val="pl-PL"/>
        </w:rPr>
      </w:pPr>
      <w:r w:rsidRPr="007E4DA1">
        <w:rPr>
          <w:sz w:val="22"/>
          <w:szCs w:val="22"/>
          <w:lang w:val="pl-PL"/>
        </w:rPr>
        <w:t xml:space="preserve">cyklosporyna stosowana w przypadku </w:t>
      </w:r>
      <w:r w:rsidRPr="007E4DA1">
        <w:rPr>
          <w:b/>
          <w:sz w:val="22"/>
          <w:szCs w:val="22"/>
          <w:lang w:val="pl-PL"/>
        </w:rPr>
        <w:t>przeszczepów</w:t>
      </w:r>
      <w:r w:rsidRPr="007E4DA1">
        <w:rPr>
          <w:sz w:val="22"/>
          <w:szCs w:val="22"/>
          <w:lang w:val="pl-PL"/>
        </w:rPr>
        <w:t xml:space="preserve"> lub w </w:t>
      </w:r>
      <w:r w:rsidRPr="007E4DA1">
        <w:rPr>
          <w:b/>
          <w:sz w:val="22"/>
          <w:szCs w:val="22"/>
          <w:lang w:val="pl-PL"/>
        </w:rPr>
        <w:t>chorobach immunologicznych</w:t>
      </w:r>
    </w:p>
    <w:p w14:paraId="561A95ED" w14:textId="77777777" w:rsidR="00A32B5F" w:rsidRPr="007E4DA1" w:rsidRDefault="00976FC3" w:rsidP="008E0138">
      <w:pPr>
        <w:pStyle w:val="listdashnospace"/>
        <w:numPr>
          <w:ilvl w:val="0"/>
          <w:numId w:val="20"/>
        </w:numPr>
        <w:tabs>
          <w:tab w:val="clear" w:pos="747"/>
        </w:tabs>
        <w:ind w:left="567"/>
        <w:rPr>
          <w:sz w:val="22"/>
          <w:szCs w:val="22"/>
          <w:lang w:val="pl-PL"/>
        </w:rPr>
      </w:pPr>
      <w:r w:rsidRPr="007E4DA1">
        <w:rPr>
          <w:sz w:val="22"/>
          <w:szCs w:val="22"/>
          <w:lang w:val="pl-PL"/>
        </w:rPr>
        <w:t>produkty mineralne</w:t>
      </w:r>
      <w:r w:rsidR="000C40B0" w:rsidRPr="007E4DA1">
        <w:rPr>
          <w:sz w:val="22"/>
          <w:szCs w:val="22"/>
          <w:lang w:val="pl-PL"/>
        </w:rPr>
        <w:t xml:space="preserve">, takie jak żelazo, wapń, magnez, glin, selen i cynk, które </w:t>
      </w:r>
      <w:r w:rsidR="00094AB9" w:rsidRPr="007E4DA1">
        <w:rPr>
          <w:sz w:val="22"/>
          <w:szCs w:val="22"/>
          <w:lang w:val="pl-PL"/>
        </w:rPr>
        <w:t xml:space="preserve">mogą </w:t>
      </w:r>
      <w:r w:rsidR="000C40B0" w:rsidRPr="007E4DA1">
        <w:rPr>
          <w:sz w:val="22"/>
          <w:szCs w:val="22"/>
          <w:lang w:val="pl-PL"/>
        </w:rPr>
        <w:t xml:space="preserve">być składnikami </w:t>
      </w:r>
      <w:r w:rsidR="00097408" w:rsidRPr="007E4DA1">
        <w:rPr>
          <w:b/>
          <w:sz w:val="22"/>
          <w:szCs w:val="22"/>
          <w:lang w:val="pl-PL"/>
        </w:rPr>
        <w:t>suplementów</w:t>
      </w:r>
      <w:r w:rsidR="000C40B0" w:rsidRPr="007E4DA1">
        <w:rPr>
          <w:b/>
          <w:sz w:val="22"/>
          <w:szCs w:val="22"/>
          <w:lang w:val="pl-PL"/>
        </w:rPr>
        <w:t xml:space="preserve"> witaminowo-mineralnych</w:t>
      </w:r>
      <w:r w:rsidR="008B1719" w:rsidRPr="007E4DA1">
        <w:rPr>
          <w:b/>
          <w:sz w:val="22"/>
          <w:szCs w:val="22"/>
          <w:lang w:val="pl-PL"/>
        </w:rPr>
        <w:t xml:space="preserve"> </w:t>
      </w:r>
      <w:r w:rsidR="008B1719" w:rsidRPr="007E4DA1">
        <w:rPr>
          <w:sz w:val="22"/>
          <w:szCs w:val="22"/>
          <w:lang w:val="pl-PL"/>
        </w:rPr>
        <w:t xml:space="preserve">(patrz </w:t>
      </w:r>
      <w:r w:rsidR="00DB4AD1" w:rsidRPr="007E4DA1">
        <w:rPr>
          <w:sz w:val="22"/>
          <w:szCs w:val="22"/>
          <w:lang w:val="pl-PL"/>
        </w:rPr>
        <w:t>także „</w:t>
      </w:r>
      <w:r w:rsidR="00DB4AD1" w:rsidRPr="007E4DA1">
        <w:rPr>
          <w:b/>
          <w:i/>
          <w:sz w:val="22"/>
          <w:szCs w:val="22"/>
          <w:lang w:val="pl-PL"/>
        </w:rPr>
        <w:t>Kiedy przyjmować lek</w:t>
      </w:r>
      <w:r w:rsidR="00DB4AD1" w:rsidRPr="007E4DA1">
        <w:rPr>
          <w:b/>
          <w:sz w:val="22"/>
          <w:szCs w:val="22"/>
          <w:lang w:val="pl-PL"/>
        </w:rPr>
        <w:t>”</w:t>
      </w:r>
      <w:r w:rsidR="00DB4AD1" w:rsidRPr="007E4DA1">
        <w:rPr>
          <w:sz w:val="22"/>
          <w:szCs w:val="22"/>
          <w:lang w:val="pl-PL"/>
        </w:rPr>
        <w:t xml:space="preserve"> w punkcie</w:t>
      </w:r>
      <w:r w:rsidR="004B3C17" w:rsidRPr="007E4DA1">
        <w:rPr>
          <w:sz w:val="22"/>
          <w:szCs w:val="22"/>
          <w:lang w:val="pl-PL"/>
        </w:rPr>
        <w:t> </w:t>
      </w:r>
      <w:r w:rsidR="00DB4AD1" w:rsidRPr="007E4DA1">
        <w:rPr>
          <w:sz w:val="22"/>
          <w:szCs w:val="22"/>
          <w:lang w:val="pl-PL"/>
        </w:rPr>
        <w:t>3</w:t>
      </w:r>
      <w:r w:rsidR="008B1719" w:rsidRPr="007E4DA1">
        <w:rPr>
          <w:sz w:val="22"/>
          <w:szCs w:val="22"/>
          <w:lang w:val="pl-PL"/>
        </w:rPr>
        <w:t>)</w:t>
      </w:r>
    </w:p>
    <w:p w14:paraId="54F69963" w14:textId="77777777" w:rsidR="00A32B5F" w:rsidRPr="007E4DA1" w:rsidRDefault="000C40B0" w:rsidP="008E0138">
      <w:pPr>
        <w:pStyle w:val="listdashnospace"/>
        <w:numPr>
          <w:ilvl w:val="0"/>
          <w:numId w:val="20"/>
        </w:numPr>
        <w:tabs>
          <w:tab w:val="clear" w:pos="747"/>
        </w:tabs>
        <w:ind w:left="567"/>
        <w:rPr>
          <w:sz w:val="22"/>
          <w:szCs w:val="22"/>
          <w:lang w:val="pl-PL"/>
        </w:rPr>
      </w:pPr>
      <w:r w:rsidRPr="007E4DA1">
        <w:rPr>
          <w:sz w:val="22"/>
          <w:szCs w:val="22"/>
          <w:lang w:val="pl-PL"/>
        </w:rPr>
        <w:t xml:space="preserve">leki takie jak metotreksat i topotekan, stosowane w leczeniu </w:t>
      </w:r>
      <w:r w:rsidRPr="007E4DA1">
        <w:rPr>
          <w:b/>
          <w:sz w:val="22"/>
          <w:szCs w:val="22"/>
          <w:lang w:val="pl-PL"/>
        </w:rPr>
        <w:t>nowotworów</w:t>
      </w:r>
    </w:p>
    <w:p w14:paraId="13674136" w14:textId="77777777" w:rsidR="00A32B5F" w:rsidRPr="007E4DA1" w:rsidRDefault="00C6259E" w:rsidP="00DE1596">
      <w:pPr>
        <w:numPr>
          <w:ilvl w:val="0"/>
          <w:numId w:val="13"/>
        </w:numPr>
        <w:ind w:left="567" w:hanging="567"/>
      </w:pPr>
      <w:r w:rsidRPr="007E4DA1">
        <w:rPr>
          <w:b/>
        </w:rPr>
        <w:t xml:space="preserve">Należy zasięgnąć porady lekarza, </w:t>
      </w:r>
      <w:r w:rsidRPr="007E4DA1">
        <w:t>jeśli pacjent stosuje którykolwiek z wymienionych powyżej leków.</w:t>
      </w:r>
      <w:r w:rsidR="00A32B5F" w:rsidRPr="007E4DA1">
        <w:t xml:space="preserve"> </w:t>
      </w:r>
      <w:r w:rsidRPr="007E4DA1">
        <w:t xml:space="preserve">Niektórych z nich nie wolno stosować podczas </w:t>
      </w:r>
      <w:r w:rsidR="00976FC3" w:rsidRPr="007E4DA1">
        <w:t xml:space="preserve">przyjmowania leku </w:t>
      </w:r>
      <w:r w:rsidRPr="007E4DA1">
        <w:t>Revolade</w:t>
      </w:r>
      <w:r w:rsidR="00E450B9" w:rsidRPr="007E4DA1">
        <w:t>, w przypadku innych</w:t>
      </w:r>
      <w:r w:rsidR="008E6328" w:rsidRPr="007E4DA1">
        <w:t xml:space="preserve"> </w:t>
      </w:r>
      <w:r w:rsidRPr="007E4DA1">
        <w:t xml:space="preserve">wymagane jest dostosowanie dawki </w:t>
      </w:r>
      <w:r w:rsidR="008E6328" w:rsidRPr="007E4DA1">
        <w:t xml:space="preserve">albo </w:t>
      </w:r>
      <w:r w:rsidRPr="007E4DA1">
        <w:t>odpowiednie dostosowanie czasu przyjmowania poszczególnych leków. Lekarz prowadzący dokona przeglądu przy</w:t>
      </w:r>
      <w:r w:rsidR="008E6328" w:rsidRPr="007E4DA1">
        <w:t>j</w:t>
      </w:r>
      <w:r w:rsidRPr="007E4DA1">
        <w:t xml:space="preserve">mowanych przez pacjenta leków i zaleci </w:t>
      </w:r>
      <w:r w:rsidR="008E6328" w:rsidRPr="007E4DA1">
        <w:t xml:space="preserve">zmianę </w:t>
      </w:r>
      <w:r w:rsidRPr="007E4DA1">
        <w:t>leczenia, jeśli b</w:t>
      </w:r>
      <w:r w:rsidR="00E46B1E" w:rsidRPr="007E4DA1">
        <w:t>ę</w:t>
      </w:r>
      <w:r w:rsidRPr="007E4DA1">
        <w:t>dzie to konieczne.</w:t>
      </w:r>
    </w:p>
    <w:p w14:paraId="7B3D6AB6" w14:textId="77777777" w:rsidR="00A32B5F" w:rsidRPr="007E4DA1" w:rsidRDefault="00A32B5F" w:rsidP="00DE1596"/>
    <w:p w14:paraId="7E33CDDC" w14:textId="77777777" w:rsidR="00A32B5F" w:rsidRPr="007E4DA1" w:rsidRDefault="00A6496C" w:rsidP="00DE1596">
      <w:pPr>
        <w:pStyle w:val="Default"/>
        <w:rPr>
          <w:sz w:val="22"/>
          <w:szCs w:val="22"/>
          <w:lang w:val="pl-PL"/>
        </w:rPr>
      </w:pPr>
      <w:r w:rsidRPr="007E4DA1">
        <w:rPr>
          <w:sz w:val="22"/>
          <w:szCs w:val="22"/>
          <w:lang w:val="pl-PL"/>
        </w:rPr>
        <w:t xml:space="preserve">Jeśli pacjent stosuje jednocześnie </w:t>
      </w:r>
      <w:r w:rsidR="00CB3CD4" w:rsidRPr="007E4DA1">
        <w:rPr>
          <w:sz w:val="22"/>
          <w:szCs w:val="22"/>
          <w:lang w:val="pl-PL"/>
        </w:rPr>
        <w:t xml:space="preserve">leki zapobiegające </w:t>
      </w:r>
      <w:r w:rsidR="00097408" w:rsidRPr="007E4DA1">
        <w:rPr>
          <w:sz w:val="22"/>
          <w:szCs w:val="22"/>
          <w:lang w:val="pl-PL"/>
        </w:rPr>
        <w:t>powstawaniu zakrzepów</w:t>
      </w:r>
      <w:r w:rsidR="00CB3CD4" w:rsidRPr="007E4DA1">
        <w:rPr>
          <w:sz w:val="22"/>
          <w:szCs w:val="22"/>
          <w:lang w:val="pl-PL"/>
        </w:rPr>
        <w:t xml:space="preserve">, istnieje zwiększone ryzyko krwawienia. Lekarz prowadzący omówi tę </w:t>
      </w:r>
      <w:r w:rsidR="00976FC3" w:rsidRPr="007E4DA1">
        <w:rPr>
          <w:sz w:val="22"/>
          <w:szCs w:val="22"/>
          <w:lang w:val="pl-PL"/>
        </w:rPr>
        <w:t xml:space="preserve">sprawę </w:t>
      </w:r>
      <w:r w:rsidR="00CB3CD4" w:rsidRPr="007E4DA1">
        <w:rPr>
          <w:sz w:val="22"/>
          <w:szCs w:val="22"/>
          <w:lang w:val="pl-PL"/>
        </w:rPr>
        <w:t>z pacjentem.</w:t>
      </w:r>
    </w:p>
    <w:p w14:paraId="246D79F8" w14:textId="77777777" w:rsidR="008B1719" w:rsidRPr="007E4DA1" w:rsidRDefault="008B1719" w:rsidP="00DE1596">
      <w:pPr>
        <w:pStyle w:val="ListEnd"/>
        <w:rPr>
          <w:sz w:val="22"/>
          <w:szCs w:val="22"/>
          <w:lang w:val="pl-PL"/>
        </w:rPr>
      </w:pPr>
    </w:p>
    <w:p w14:paraId="16ECDB1D" w14:textId="77777777" w:rsidR="00A32B5F" w:rsidRPr="007E4DA1" w:rsidRDefault="00B52349" w:rsidP="00DE1596">
      <w:pPr>
        <w:pStyle w:val="ListEnd"/>
        <w:rPr>
          <w:sz w:val="22"/>
          <w:szCs w:val="22"/>
          <w:lang w:val="pl-PL"/>
        </w:rPr>
      </w:pPr>
      <w:r w:rsidRPr="007E4DA1">
        <w:rPr>
          <w:sz w:val="22"/>
          <w:szCs w:val="22"/>
          <w:lang w:val="pl-PL"/>
        </w:rPr>
        <w:t>Jeśli pacjent przyjmuje</w:t>
      </w:r>
      <w:r w:rsidRPr="007E4DA1">
        <w:rPr>
          <w:b/>
          <w:sz w:val="22"/>
          <w:szCs w:val="22"/>
          <w:lang w:val="pl-PL"/>
        </w:rPr>
        <w:t xml:space="preserve"> kortykosteroidy, danazol </w:t>
      </w:r>
      <w:r w:rsidRPr="007E4DA1">
        <w:rPr>
          <w:sz w:val="22"/>
          <w:szCs w:val="22"/>
          <w:lang w:val="pl-PL"/>
        </w:rPr>
        <w:t>i</w:t>
      </w:r>
      <w:r w:rsidR="00063336" w:rsidRPr="007E4DA1">
        <w:rPr>
          <w:sz w:val="22"/>
          <w:szCs w:val="22"/>
          <w:lang w:val="pl-PL"/>
        </w:rPr>
        <w:t xml:space="preserve"> </w:t>
      </w:r>
      <w:r w:rsidRPr="007E4DA1">
        <w:rPr>
          <w:sz w:val="22"/>
          <w:szCs w:val="22"/>
          <w:lang w:val="pl-PL"/>
        </w:rPr>
        <w:t>(lub)</w:t>
      </w:r>
      <w:r w:rsidRPr="007E4DA1">
        <w:rPr>
          <w:b/>
          <w:sz w:val="22"/>
          <w:szCs w:val="22"/>
          <w:lang w:val="pl-PL"/>
        </w:rPr>
        <w:t xml:space="preserve"> azatioprynę</w:t>
      </w:r>
      <w:r w:rsidRPr="007E4DA1">
        <w:rPr>
          <w:sz w:val="22"/>
          <w:szCs w:val="22"/>
          <w:lang w:val="pl-PL"/>
        </w:rPr>
        <w:t xml:space="preserve">, </w:t>
      </w:r>
      <w:r w:rsidR="007F5B50" w:rsidRPr="007E4DA1">
        <w:rPr>
          <w:sz w:val="22"/>
          <w:szCs w:val="22"/>
          <w:lang w:val="pl-PL"/>
        </w:rPr>
        <w:t xml:space="preserve">dawki tych leków mogą zostać zmniejszone albo ich stosowanie może być przerwane </w:t>
      </w:r>
      <w:r w:rsidRPr="007E4DA1">
        <w:rPr>
          <w:sz w:val="22"/>
          <w:szCs w:val="22"/>
          <w:lang w:val="pl-PL"/>
        </w:rPr>
        <w:t>podczas jednoczesnego stosowania leku Revolade.</w:t>
      </w:r>
    </w:p>
    <w:p w14:paraId="179EADF8" w14:textId="77777777" w:rsidR="00A32B5F" w:rsidRPr="007E4DA1" w:rsidRDefault="00A32B5F" w:rsidP="00DE1596"/>
    <w:p w14:paraId="75ADCEDD" w14:textId="77777777" w:rsidR="00041A08" w:rsidRPr="00041A08" w:rsidRDefault="005447EC" w:rsidP="00DE1596">
      <w:pPr>
        <w:keepNext/>
      </w:pPr>
      <w:r w:rsidRPr="007E4DA1">
        <w:rPr>
          <w:b/>
        </w:rPr>
        <w:t>Stosowanie</w:t>
      </w:r>
      <w:r w:rsidR="007F5B50" w:rsidRPr="007E4DA1">
        <w:rPr>
          <w:b/>
        </w:rPr>
        <w:t xml:space="preserve"> </w:t>
      </w:r>
      <w:r w:rsidR="005B4BC8" w:rsidRPr="007E4DA1">
        <w:rPr>
          <w:b/>
        </w:rPr>
        <w:t xml:space="preserve">leku </w:t>
      </w:r>
      <w:r w:rsidR="00063336" w:rsidRPr="007E4DA1">
        <w:rPr>
          <w:b/>
        </w:rPr>
        <w:t xml:space="preserve">Revolade </w:t>
      </w:r>
      <w:r w:rsidR="005B4BC8" w:rsidRPr="007E4DA1">
        <w:rPr>
          <w:b/>
        </w:rPr>
        <w:t>z jedzeniem i piciem</w:t>
      </w:r>
    </w:p>
    <w:p w14:paraId="2BA11F92" w14:textId="2E2FAA87" w:rsidR="0071126A" w:rsidRPr="007E4DA1" w:rsidRDefault="0071126A" w:rsidP="00DE1596">
      <w:pPr>
        <w:pStyle w:val="listdashnospace"/>
        <w:numPr>
          <w:ilvl w:val="0"/>
          <w:numId w:val="0"/>
        </w:numPr>
        <w:rPr>
          <w:sz w:val="22"/>
          <w:szCs w:val="22"/>
          <w:lang w:val="pl-PL"/>
        </w:rPr>
      </w:pPr>
      <w:r w:rsidRPr="007E4DA1">
        <w:rPr>
          <w:sz w:val="22"/>
          <w:szCs w:val="22"/>
          <w:lang w:val="pl-PL"/>
        </w:rPr>
        <w:t xml:space="preserve">Leku Revolade nie wolno przyjmować z produktami i napojami mlecznymi, ponieważ wapń obecny w produktach mlecznych wpływa na wchłanianie leku. Dalsze informacje, patrz </w:t>
      </w:r>
      <w:r w:rsidR="005447EC" w:rsidRPr="007E4DA1">
        <w:rPr>
          <w:sz w:val="22"/>
          <w:szCs w:val="22"/>
          <w:lang w:val="pl-PL"/>
        </w:rPr>
        <w:t>„</w:t>
      </w:r>
      <w:r w:rsidR="005447EC" w:rsidRPr="007E4DA1">
        <w:rPr>
          <w:b/>
          <w:i/>
          <w:sz w:val="22"/>
          <w:szCs w:val="22"/>
          <w:lang w:val="pl-PL"/>
        </w:rPr>
        <w:t>Kiedy przyjmować lek</w:t>
      </w:r>
      <w:r w:rsidR="005447EC" w:rsidRPr="007E4DA1">
        <w:rPr>
          <w:b/>
          <w:sz w:val="22"/>
          <w:szCs w:val="22"/>
          <w:lang w:val="pl-PL"/>
        </w:rPr>
        <w:t>”</w:t>
      </w:r>
      <w:r w:rsidR="005447EC" w:rsidRPr="007E4DA1">
        <w:rPr>
          <w:sz w:val="22"/>
          <w:szCs w:val="22"/>
          <w:lang w:val="pl-PL"/>
        </w:rPr>
        <w:t xml:space="preserve"> w punkcie</w:t>
      </w:r>
      <w:r w:rsidR="00E10279" w:rsidRPr="007E4DA1">
        <w:rPr>
          <w:sz w:val="22"/>
          <w:szCs w:val="22"/>
          <w:lang w:val="pl-PL"/>
        </w:rPr>
        <w:t> </w:t>
      </w:r>
      <w:r w:rsidRPr="007E4DA1">
        <w:rPr>
          <w:sz w:val="22"/>
          <w:szCs w:val="22"/>
          <w:lang w:val="pl-PL"/>
        </w:rPr>
        <w:t>3</w:t>
      </w:r>
      <w:r w:rsidR="009838A4" w:rsidRPr="007E4DA1">
        <w:rPr>
          <w:sz w:val="22"/>
          <w:szCs w:val="22"/>
          <w:lang w:val="pl-PL"/>
        </w:rPr>
        <w:t>.</w:t>
      </w:r>
    </w:p>
    <w:p w14:paraId="5F44DDF5" w14:textId="77777777" w:rsidR="0071126A" w:rsidRPr="007E4DA1" w:rsidRDefault="0071126A" w:rsidP="00DE1596"/>
    <w:p w14:paraId="3826DC18" w14:textId="77777777" w:rsidR="00041A08" w:rsidRPr="00041A08" w:rsidRDefault="005B4BC8" w:rsidP="00DE1596">
      <w:pPr>
        <w:keepNext/>
      </w:pPr>
      <w:r w:rsidRPr="007E4DA1">
        <w:rPr>
          <w:b/>
        </w:rPr>
        <w:t>Ciąża i karmienie piersią</w:t>
      </w:r>
    </w:p>
    <w:p w14:paraId="6121CA1C" w14:textId="27E5DB9D" w:rsidR="00916E35" w:rsidRPr="007E4DA1" w:rsidRDefault="00916E35" w:rsidP="00DE1596">
      <w:pPr>
        <w:keepNext/>
        <w:numPr>
          <w:ilvl w:val="12"/>
          <w:numId w:val="0"/>
        </w:numPr>
      </w:pPr>
      <w:r w:rsidRPr="007E4DA1">
        <w:rPr>
          <w:b/>
          <w:bCs/>
        </w:rPr>
        <w:t xml:space="preserve">Nie stosować leku Revolade podczas ciąży, </w:t>
      </w:r>
      <w:r w:rsidR="002D07B0" w:rsidRPr="007E4DA1">
        <w:rPr>
          <w:bCs/>
        </w:rPr>
        <w:t>chyba</w:t>
      </w:r>
      <w:r w:rsidRPr="007E4DA1">
        <w:rPr>
          <w:bCs/>
        </w:rPr>
        <w:t xml:space="preserve"> że lekarz zaleci takie stosowanie. Wpływ leku Revolade stosowanego podczas ciąży jest nieznany.</w:t>
      </w:r>
    </w:p>
    <w:p w14:paraId="685382B0" w14:textId="77777777" w:rsidR="00916E35" w:rsidRPr="007E4DA1" w:rsidRDefault="00916E35" w:rsidP="008E0138">
      <w:pPr>
        <w:pStyle w:val="listdashnospace"/>
        <w:numPr>
          <w:ilvl w:val="0"/>
          <w:numId w:val="21"/>
        </w:numPr>
        <w:tabs>
          <w:tab w:val="clear" w:pos="747"/>
          <w:tab w:val="num" w:pos="-2410"/>
        </w:tabs>
        <w:ind w:left="567"/>
        <w:rPr>
          <w:sz w:val="22"/>
          <w:szCs w:val="22"/>
          <w:lang w:val="pl-PL"/>
        </w:rPr>
      </w:pPr>
      <w:r w:rsidRPr="007E4DA1">
        <w:rPr>
          <w:b/>
          <w:bCs/>
          <w:sz w:val="22"/>
          <w:szCs w:val="22"/>
          <w:lang w:val="pl-PL"/>
        </w:rPr>
        <w:t>Należy poinformować lekarza, jeśli pacjentka jest w ciąży</w:t>
      </w:r>
      <w:r w:rsidR="007F582C" w:rsidRPr="007E4DA1">
        <w:rPr>
          <w:bCs/>
          <w:sz w:val="22"/>
          <w:szCs w:val="22"/>
          <w:lang w:val="pl-PL"/>
        </w:rPr>
        <w:t xml:space="preserve">, przypuszcza, że </w:t>
      </w:r>
      <w:r w:rsidR="005447EC" w:rsidRPr="007E4DA1">
        <w:rPr>
          <w:bCs/>
          <w:sz w:val="22"/>
          <w:szCs w:val="22"/>
          <w:lang w:val="pl-PL"/>
        </w:rPr>
        <w:t>może być</w:t>
      </w:r>
      <w:r w:rsidR="007F582C" w:rsidRPr="007E4DA1">
        <w:rPr>
          <w:bCs/>
          <w:sz w:val="22"/>
          <w:szCs w:val="22"/>
          <w:lang w:val="pl-PL"/>
        </w:rPr>
        <w:t xml:space="preserve"> w ciąży</w:t>
      </w:r>
      <w:r w:rsidRPr="007E4DA1">
        <w:rPr>
          <w:b/>
          <w:bCs/>
          <w:sz w:val="22"/>
          <w:szCs w:val="22"/>
          <w:lang w:val="pl-PL"/>
        </w:rPr>
        <w:t xml:space="preserve"> </w:t>
      </w:r>
      <w:r w:rsidRPr="007E4DA1">
        <w:rPr>
          <w:bCs/>
          <w:sz w:val="22"/>
          <w:szCs w:val="22"/>
          <w:lang w:val="pl-PL"/>
        </w:rPr>
        <w:t xml:space="preserve">lub </w:t>
      </w:r>
      <w:r w:rsidR="005447EC" w:rsidRPr="007E4DA1">
        <w:rPr>
          <w:bCs/>
          <w:sz w:val="22"/>
          <w:szCs w:val="22"/>
          <w:lang w:val="pl-PL"/>
        </w:rPr>
        <w:t xml:space="preserve">gdy </w:t>
      </w:r>
      <w:r w:rsidRPr="007E4DA1">
        <w:rPr>
          <w:bCs/>
          <w:sz w:val="22"/>
          <w:szCs w:val="22"/>
          <w:lang w:val="pl-PL"/>
        </w:rPr>
        <w:t xml:space="preserve">planuje </w:t>
      </w:r>
      <w:r w:rsidR="00107147" w:rsidRPr="007E4DA1">
        <w:rPr>
          <w:bCs/>
          <w:sz w:val="22"/>
          <w:szCs w:val="22"/>
          <w:lang w:val="pl-PL"/>
        </w:rPr>
        <w:t>mieć dziecko</w:t>
      </w:r>
      <w:r w:rsidRPr="007E4DA1">
        <w:rPr>
          <w:bCs/>
          <w:sz w:val="22"/>
          <w:szCs w:val="22"/>
          <w:lang w:val="pl-PL"/>
        </w:rPr>
        <w:t>.</w:t>
      </w:r>
    </w:p>
    <w:p w14:paraId="66C99711" w14:textId="77777777" w:rsidR="00916E35" w:rsidRPr="007E4DA1" w:rsidRDefault="00916E35" w:rsidP="008E0138">
      <w:pPr>
        <w:pStyle w:val="listdashnospace"/>
        <w:numPr>
          <w:ilvl w:val="0"/>
          <w:numId w:val="21"/>
        </w:numPr>
        <w:tabs>
          <w:tab w:val="clear" w:pos="747"/>
          <w:tab w:val="num" w:pos="-2410"/>
        </w:tabs>
        <w:ind w:left="567"/>
        <w:rPr>
          <w:sz w:val="22"/>
          <w:szCs w:val="22"/>
          <w:lang w:val="pl-PL"/>
        </w:rPr>
      </w:pPr>
      <w:r w:rsidRPr="007E4DA1">
        <w:rPr>
          <w:b/>
          <w:bCs/>
          <w:sz w:val="22"/>
          <w:szCs w:val="22"/>
          <w:lang w:val="pl-PL"/>
        </w:rPr>
        <w:t xml:space="preserve">Podczas </w:t>
      </w:r>
      <w:r w:rsidR="00976FC3" w:rsidRPr="007E4DA1">
        <w:rPr>
          <w:b/>
          <w:bCs/>
          <w:sz w:val="22"/>
          <w:szCs w:val="22"/>
          <w:lang w:val="pl-PL"/>
        </w:rPr>
        <w:t>przyjmowa</w:t>
      </w:r>
      <w:r w:rsidRPr="007E4DA1">
        <w:rPr>
          <w:b/>
          <w:bCs/>
          <w:sz w:val="22"/>
          <w:szCs w:val="22"/>
          <w:lang w:val="pl-PL"/>
        </w:rPr>
        <w:t xml:space="preserve">nia </w:t>
      </w:r>
      <w:r w:rsidR="00976FC3" w:rsidRPr="007E4DA1">
        <w:rPr>
          <w:b/>
          <w:bCs/>
          <w:sz w:val="22"/>
          <w:szCs w:val="22"/>
          <w:lang w:val="pl-PL"/>
        </w:rPr>
        <w:t xml:space="preserve">leku </w:t>
      </w:r>
      <w:r w:rsidRPr="007E4DA1">
        <w:rPr>
          <w:b/>
          <w:bCs/>
          <w:sz w:val="22"/>
          <w:szCs w:val="22"/>
          <w:lang w:val="pl-PL"/>
        </w:rPr>
        <w:t xml:space="preserve">Revolade należy stosować odpowiednią metodę antykoncepcji </w:t>
      </w:r>
      <w:r w:rsidRPr="007E4DA1">
        <w:rPr>
          <w:bCs/>
          <w:sz w:val="22"/>
          <w:szCs w:val="22"/>
          <w:lang w:val="pl-PL"/>
        </w:rPr>
        <w:t>w celu zapobiegania ciąży.</w:t>
      </w:r>
    </w:p>
    <w:p w14:paraId="5EB54E0D" w14:textId="77777777" w:rsidR="00916E35" w:rsidRPr="007E4DA1" w:rsidRDefault="00561862" w:rsidP="00DE1596">
      <w:pPr>
        <w:pStyle w:val="listdashnospace"/>
        <w:numPr>
          <w:ilvl w:val="0"/>
          <w:numId w:val="21"/>
        </w:numPr>
        <w:tabs>
          <w:tab w:val="clear" w:pos="747"/>
          <w:tab w:val="num" w:pos="-2410"/>
        </w:tabs>
        <w:ind w:left="567"/>
        <w:rPr>
          <w:sz w:val="22"/>
          <w:szCs w:val="22"/>
          <w:lang w:val="pl-PL"/>
        </w:rPr>
      </w:pPr>
      <w:r w:rsidRPr="007E4DA1">
        <w:rPr>
          <w:bCs/>
          <w:sz w:val="22"/>
          <w:szCs w:val="22"/>
          <w:lang w:val="pl-PL"/>
        </w:rPr>
        <w:t>Należy poinformować lekarza,</w:t>
      </w:r>
      <w:r w:rsidRPr="007E4DA1">
        <w:rPr>
          <w:b/>
          <w:bCs/>
          <w:sz w:val="22"/>
          <w:szCs w:val="22"/>
          <w:lang w:val="pl-PL"/>
        </w:rPr>
        <w:t xml:space="preserve"> jeśli pacjentka zajdzie w ciążę podczas stosowania leku </w:t>
      </w:r>
      <w:r w:rsidRPr="007E4DA1">
        <w:rPr>
          <w:bCs/>
          <w:sz w:val="22"/>
          <w:szCs w:val="22"/>
          <w:lang w:val="pl-PL"/>
        </w:rPr>
        <w:t>Revolade</w:t>
      </w:r>
      <w:r w:rsidR="00916E35" w:rsidRPr="007E4DA1">
        <w:rPr>
          <w:sz w:val="22"/>
          <w:szCs w:val="22"/>
          <w:lang w:val="pl-PL"/>
        </w:rPr>
        <w:t>.</w:t>
      </w:r>
    </w:p>
    <w:p w14:paraId="6C80319F" w14:textId="77777777" w:rsidR="00916E35" w:rsidRPr="007E4DA1" w:rsidRDefault="00916E35" w:rsidP="00DE1596"/>
    <w:p w14:paraId="0CFC85FE" w14:textId="77777777" w:rsidR="00916E35" w:rsidRPr="007E4DA1" w:rsidRDefault="00561862" w:rsidP="00DE1596">
      <w:pPr>
        <w:keepNext/>
        <w:ind w:left="0" w:firstLine="0"/>
      </w:pPr>
      <w:r w:rsidRPr="007E4DA1">
        <w:rPr>
          <w:b/>
        </w:rPr>
        <w:t>Nie należy karmi</w:t>
      </w:r>
      <w:r w:rsidR="0045712C" w:rsidRPr="007E4DA1">
        <w:rPr>
          <w:b/>
        </w:rPr>
        <w:t>ć</w:t>
      </w:r>
      <w:r w:rsidRPr="007E4DA1">
        <w:rPr>
          <w:b/>
        </w:rPr>
        <w:t xml:space="preserve"> piersi</w:t>
      </w:r>
      <w:r w:rsidR="0045712C" w:rsidRPr="007E4DA1">
        <w:rPr>
          <w:b/>
        </w:rPr>
        <w:t>ą</w:t>
      </w:r>
      <w:r w:rsidRPr="007E4DA1">
        <w:rPr>
          <w:b/>
        </w:rPr>
        <w:t xml:space="preserve"> podczas stosowania leku Revolade. </w:t>
      </w:r>
      <w:r w:rsidRPr="007E4DA1">
        <w:t>Nie</w:t>
      </w:r>
      <w:r w:rsidRPr="007E4DA1">
        <w:rPr>
          <w:b/>
        </w:rPr>
        <w:t xml:space="preserve"> </w:t>
      </w:r>
      <w:r w:rsidRPr="007E4DA1">
        <w:t>wiadomo</w:t>
      </w:r>
      <w:r w:rsidR="00D53EDC" w:rsidRPr="007E4DA1">
        <w:t>,</w:t>
      </w:r>
      <w:r w:rsidRPr="007E4DA1">
        <w:t xml:space="preserve"> czy </w:t>
      </w:r>
      <w:r w:rsidR="00976FC3" w:rsidRPr="007E4DA1">
        <w:t xml:space="preserve">lek </w:t>
      </w:r>
      <w:r w:rsidRPr="007E4DA1">
        <w:t>Revolade przenika do mleka.</w:t>
      </w:r>
    </w:p>
    <w:p w14:paraId="4EAD2409" w14:textId="77777777" w:rsidR="00916E35" w:rsidRPr="007E4DA1" w:rsidRDefault="001F4FDF" w:rsidP="00DE1596">
      <w:pPr>
        <w:pStyle w:val="listdashnospace"/>
        <w:numPr>
          <w:ilvl w:val="0"/>
          <w:numId w:val="22"/>
        </w:numPr>
        <w:tabs>
          <w:tab w:val="clear" w:pos="747"/>
        </w:tabs>
        <w:ind w:left="567"/>
        <w:rPr>
          <w:bCs/>
          <w:sz w:val="22"/>
          <w:szCs w:val="22"/>
          <w:lang w:val="pl-PL"/>
        </w:rPr>
      </w:pPr>
      <w:r w:rsidRPr="007E4DA1">
        <w:rPr>
          <w:bCs/>
          <w:sz w:val="22"/>
          <w:szCs w:val="22"/>
          <w:lang w:val="pl-PL"/>
        </w:rPr>
        <w:t>Należy poinformować lekarza,</w:t>
      </w:r>
      <w:r w:rsidRPr="007E4DA1">
        <w:rPr>
          <w:b/>
          <w:bCs/>
          <w:sz w:val="22"/>
          <w:szCs w:val="22"/>
          <w:lang w:val="pl-PL"/>
        </w:rPr>
        <w:t xml:space="preserve"> jeśli pacjentka karmi piersią</w:t>
      </w:r>
      <w:r w:rsidRPr="007E4DA1">
        <w:rPr>
          <w:bCs/>
          <w:sz w:val="22"/>
          <w:szCs w:val="22"/>
          <w:lang w:val="pl-PL"/>
        </w:rPr>
        <w:t xml:space="preserve"> lub planuje </w:t>
      </w:r>
      <w:r w:rsidR="00976FC3" w:rsidRPr="007E4DA1">
        <w:rPr>
          <w:bCs/>
          <w:sz w:val="22"/>
          <w:szCs w:val="22"/>
          <w:lang w:val="pl-PL"/>
        </w:rPr>
        <w:t xml:space="preserve">karmienie </w:t>
      </w:r>
      <w:r w:rsidRPr="007E4DA1">
        <w:rPr>
          <w:bCs/>
          <w:sz w:val="22"/>
          <w:szCs w:val="22"/>
          <w:lang w:val="pl-PL"/>
        </w:rPr>
        <w:t>piersią.</w:t>
      </w:r>
    </w:p>
    <w:p w14:paraId="634C410A" w14:textId="77777777" w:rsidR="00916E35" w:rsidRPr="007E4DA1" w:rsidRDefault="00916E35" w:rsidP="00DE1596"/>
    <w:p w14:paraId="4B02109D" w14:textId="77777777" w:rsidR="00041A08" w:rsidRPr="00041A08" w:rsidRDefault="005B4BC8" w:rsidP="00DE1596">
      <w:pPr>
        <w:keepNext/>
      </w:pPr>
      <w:r w:rsidRPr="007E4DA1">
        <w:rPr>
          <w:b/>
        </w:rPr>
        <w:t>Prowadzenie pojazdów i obsług</w:t>
      </w:r>
      <w:r w:rsidR="00107147" w:rsidRPr="007E4DA1">
        <w:rPr>
          <w:b/>
        </w:rPr>
        <w:t>iw</w:t>
      </w:r>
      <w:r w:rsidRPr="007E4DA1">
        <w:rPr>
          <w:b/>
        </w:rPr>
        <w:t>a</w:t>
      </w:r>
      <w:r w:rsidR="00107147" w:rsidRPr="007E4DA1">
        <w:rPr>
          <w:b/>
        </w:rPr>
        <w:t>nie</w:t>
      </w:r>
      <w:r w:rsidRPr="007E4DA1">
        <w:rPr>
          <w:b/>
        </w:rPr>
        <w:t xml:space="preserve"> maszyn</w:t>
      </w:r>
    </w:p>
    <w:p w14:paraId="52D48CB7" w14:textId="45D65830" w:rsidR="005B4BC8" w:rsidRPr="007E4DA1" w:rsidRDefault="00107147" w:rsidP="00DE1596">
      <w:pPr>
        <w:keepNext/>
      </w:pPr>
      <w:r w:rsidRPr="007E4DA1">
        <w:rPr>
          <w:b/>
        </w:rPr>
        <w:t xml:space="preserve">Revolade może powodować zawroty głowy </w:t>
      </w:r>
      <w:r w:rsidRPr="007E4DA1">
        <w:t>oraz inne działania niepożądane</w:t>
      </w:r>
      <w:r w:rsidRPr="007E4DA1">
        <w:rPr>
          <w:b/>
        </w:rPr>
        <w:t xml:space="preserve"> </w:t>
      </w:r>
      <w:r w:rsidRPr="007E4DA1">
        <w:t>zmniejszające uwagę.</w:t>
      </w:r>
    </w:p>
    <w:p w14:paraId="38C32B29" w14:textId="77777777" w:rsidR="00041A08" w:rsidRPr="00041A08" w:rsidRDefault="00107147" w:rsidP="00DE1596">
      <w:pPr>
        <w:numPr>
          <w:ilvl w:val="0"/>
          <w:numId w:val="13"/>
        </w:numPr>
        <w:ind w:left="567" w:hanging="567"/>
      </w:pPr>
      <w:r w:rsidRPr="007E4DA1">
        <w:rPr>
          <w:b/>
        </w:rPr>
        <w:t>Nie należy prowadzić pojazdów ani obsługiwać maszyn</w:t>
      </w:r>
      <w:r w:rsidRPr="007E4DA1">
        <w:t>, chyba że pacjent jest pewny, że te objawy u niego nie występują.</w:t>
      </w:r>
    </w:p>
    <w:p w14:paraId="5AD27BAB" w14:textId="29443572" w:rsidR="00107147" w:rsidRPr="007E4DA1" w:rsidRDefault="00107147" w:rsidP="00DE1596">
      <w:pPr>
        <w:ind w:left="0" w:firstLine="0"/>
      </w:pPr>
    </w:p>
    <w:p w14:paraId="57DF2E81" w14:textId="77777777" w:rsidR="00752851" w:rsidRPr="007E4DA1" w:rsidRDefault="00752851" w:rsidP="00DE1596">
      <w:pPr>
        <w:keepNext/>
        <w:keepLines/>
        <w:ind w:left="0" w:firstLine="0"/>
      </w:pPr>
      <w:r w:rsidRPr="007E4DA1">
        <w:rPr>
          <w:b/>
        </w:rPr>
        <w:t>Lek Revolade zawiera sód</w:t>
      </w:r>
    </w:p>
    <w:p w14:paraId="2807ED78" w14:textId="77777777" w:rsidR="00752851" w:rsidRPr="007E4DA1" w:rsidRDefault="00752851" w:rsidP="00DE1596">
      <w:pPr>
        <w:ind w:left="0" w:firstLine="0"/>
      </w:pPr>
      <w:r w:rsidRPr="007E4DA1">
        <w:rPr>
          <w:color w:val="000000"/>
          <w:szCs w:val="22"/>
        </w:rPr>
        <w:t>Lek zawiera mniej niż 1 mmol (23 mg) sodu na tabletkę powlekaną, to znaczy lek uznaje się za „wolny od sodu”.</w:t>
      </w:r>
    </w:p>
    <w:p w14:paraId="532DEFEE" w14:textId="77777777" w:rsidR="009838A4" w:rsidRPr="007E4DA1" w:rsidRDefault="009838A4" w:rsidP="00DE1596">
      <w:pPr>
        <w:ind w:left="0" w:firstLine="0"/>
      </w:pPr>
    </w:p>
    <w:p w14:paraId="7C804C57" w14:textId="77777777" w:rsidR="00041A08" w:rsidRPr="00041A08" w:rsidRDefault="005B4BC8" w:rsidP="00DE1596">
      <w:pPr>
        <w:keepNext/>
      </w:pPr>
      <w:r w:rsidRPr="007E4DA1">
        <w:rPr>
          <w:b/>
        </w:rPr>
        <w:t>3.</w:t>
      </w:r>
      <w:r w:rsidRPr="007E4DA1">
        <w:rPr>
          <w:b/>
        </w:rPr>
        <w:tab/>
        <w:t>J</w:t>
      </w:r>
      <w:r w:rsidR="004F402D" w:rsidRPr="007E4DA1">
        <w:rPr>
          <w:b/>
        </w:rPr>
        <w:t>ak stosować lek Revolade</w:t>
      </w:r>
    </w:p>
    <w:p w14:paraId="3B3DFAD7" w14:textId="325B8815" w:rsidR="005B4BC8" w:rsidRPr="007E4DA1" w:rsidRDefault="005B4BC8" w:rsidP="00DE1596">
      <w:pPr>
        <w:keepNext/>
      </w:pPr>
    </w:p>
    <w:p w14:paraId="53CCDFD3" w14:textId="77777777" w:rsidR="005B4BC8" w:rsidRPr="007E4DA1" w:rsidRDefault="00107147" w:rsidP="00DE1596">
      <w:pPr>
        <w:ind w:left="0" w:firstLine="0"/>
      </w:pPr>
      <w:r w:rsidRPr="007E4DA1">
        <w:t>Ten l</w:t>
      </w:r>
      <w:r w:rsidR="005B4BC8" w:rsidRPr="007E4DA1">
        <w:t xml:space="preserve">ek należy zawsze stosować zgodnie z zaleceniami lekarza. W </w:t>
      </w:r>
      <w:r w:rsidRPr="007E4DA1">
        <w:t xml:space="preserve">razie </w:t>
      </w:r>
      <w:r w:rsidR="005B4BC8" w:rsidRPr="007E4DA1">
        <w:t>wątpliwości</w:t>
      </w:r>
      <w:r w:rsidR="00D551A9" w:rsidRPr="007E4DA1">
        <w:t>,</w:t>
      </w:r>
      <w:r w:rsidR="005B4BC8" w:rsidRPr="007E4DA1">
        <w:t xml:space="preserve"> należy </w:t>
      </w:r>
      <w:r w:rsidRPr="007E4DA1">
        <w:t>zwrócić się do lekarza</w:t>
      </w:r>
      <w:r w:rsidR="005447EC" w:rsidRPr="007E4DA1">
        <w:t xml:space="preserve"> lub farmaceuty</w:t>
      </w:r>
      <w:r w:rsidR="005B4BC8" w:rsidRPr="007E4DA1">
        <w:t xml:space="preserve">. </w:t>
      </w:r>
      <w:r w:rsidR="003C0D73" w:rsidRPr="007E4DA1">
        <w:t xml:space="preserve">Nie wolno zmieniać dawki </w:t>
      </w:r>
      <w:r w:rsidR="00EF1652" w:rsidRPr="007E4DA1">
        <w:t>ani</w:t>
      </w:r>
      <w:r w:rsidR="003C0D73" w:rsidRPr="007E4DA1">
        <w:t xml:space="preserve"> schematu dawkowania leku Revolade, chyba że zaleci to lekarz lub farmaceuta. </w:t>
      </w:r>
      <w:r w:rsidR="00CB33CF" w:rsidRPr="007E4DA1">
        <w:t>Podczas</w:t>
      </w:r>
      <w:r w:rsidRPr="007E4DA1">
        <w:t xml:space="preserve"> stosowania leku Revolade pacjent </w:t>
      </w:r>
      <w:r w:rsidR="00CB33CF" w:rsidRPr="007E4DA1">
        <w:t>będzie pozostawał</w:t>
      </w:r>
      <w:r w:rsidRPr="007E4DA1">
        <w:t xml:space="preserve"> pod </w:t>
      </w:r>
      <w:r w:rsidR="00CB33CF" w:rsidRPr="007E4DA1">
        <w:t xml:space="preserve">opieką </w:t>
      </w:r>
      <w:r w:rsidRPr="007E4DA1">
        <w:t xml:space="preserve">lekarza </w:t>
      </w:r>
      <w:r w:rsidR="00CB33CF" w:rsidRPr="007E4DA1">
        <w:t xml:space="preserve">posiadającego </w:t>
      </w:r>
      <w:r w:rsidRPr="007E4DA1">
        <w:t>doświadcz</w:t>
      </w:r>
      <w:r w:rsidR="00CB33CF" w:rsidRPr="007E4DA1">
        <w:t>enie</w:t>
      </w:r>
      <w:r w:rsidRPr="007E4DA1">
        <w:t xml:space="preserve"> w leczeniu </w:t>
      </w:r>
      <w:r w:rsidR="00CB33CF" w:rsidRPr="007E4DA1">
        <w:t xml:space="preserve">choroby </w:t>
      </w:r>
      <w:r w:rsidR="005447EC" w:rsidRPr="007E4DA1">
        <w:t>występując</w:t>
      </w:r>
      <w:r w:rsidR="00CB33CF" w:rsidRPr="007E4DA1">
        <w:t>ej</w:t>
      </w:r>
      <w:r w:rsidR="005447EC" w:rsidRPr="007E4DA1">
        <w:t xml:space="preserve"> u pacjenta</w:t>
      </w:r>
      <w:r w:rsidR="00B1407D" w:rsidRPr="007E4DA1">
        <w:t>.</w:t>
      </w:r>
    </w:p>
    <w:p w14:paraId="75B373B2" w14:textId="77777777" w:rsidR="00B1407D" w:rsidRPr="007E4DA1" w:rsidRDefault="00B1407D" w:rsidP="00DE1596">
      <w:pPr>
        <w:ind w:left="0" w:firstLine="0"/>
      </w:pPr>
    </w:p>
    <w:p w14:paraId="7DFFA5AB" w14:textId="77777777" w:rsidR="00041A08" w:rsidRPr="00041A08" w:rsidRDefault="0077584A" w:rsidP="00DE1596">
      <w:pPr>
        <w:keepNext/>
        <w:numPr>
          <w:ilvl w:val="12"/>
          <w:numId w:val="0"/>
        </w:numPr>
      </w:pPr>
      <w:r w:rsidRPr="007E4DA1">
        <w:rPr>
          <w:b/>
        </w:rPr>
        <w:t>Ile leku należy przyj</w:t>
      </w:r>
      <w:r w:rsidR="003F08A3" w:rsidRPr="007E4DA1">
        <w:rPr>
          <w:b/>
        </w:rPr>
        <w:t>ą</w:t>
      </w:r>
      <w:r w:rsidRPr="007E4DA1">
        <w:rPr>
          <w:b/>
        </w:rPr>
        <w:t>ć</w:t>
      </w:r>
    </w:p>
    <w:p w14:paraId="0E538454" w14:textId="60FDA714" w:rsidR="00B1407D" w:rsidRPr="007E4DA1" w:rsidRDefault="003939E5" w:rsidP="00DE1596">
      <w:pPr>
        <w:keepNext/>
        <w:numPr>
          <w:ilvl w:val="12"/>
          <w:numId w:val="0"/>
        </w:numPr>
      </w:pPr>
      <w:r w:rsidRPr="007E4DA1">
        <w:rPr>
          <w:b/>
        </w:rPr>
        <w:t>W przypadku pierwotnej małopłytkowości immunologicznej</w:t>
      </w:r>
    </w:p>
    <w:p w14:paraId="35083FB8" w14:textId="7ACF8544" w:rsidR="0077584A" w:rsidRPr="007E4DA1" w:rsidRDefault="003939E5" w:rsidP="00DE1596">
      <w:pPr>
        <w:ind w:left="0" w:firstLine="0"/>
      </w:pPr>
      <w:r w:rsidRPr="007E4DA1">
        <w:rPr>
          <w:b/>
        </w:rPr>
        <w:t>Dorośli</w:t>
      </w:r>
      <w:r w:rsidRPr="007E4DA1">
        <w:t xml:space="preserve"> i </w:t>
      </w:r>
      <w:r w:rsidRPr="007E4DA1">
        <w:rPr>
          <w:b/>
        </w:rPr>
        <w:t xml:space="preserve">dzieci </w:t>
      </w:r>
      <w:r w:rsidRPr="007E4DA1">
        <w:t>(w wieku od 6 do 17</w:t>
      </w:r>
      <w:r w:rsidR="008C75A7" w:rsidRPr="007E4DA1">
        <w:t> </w:t>
      </w:r>
      <w:r w:rsidRPr="007E4DA1">
        <w:t>lat) - z</w:t>
      </w:r>
      <w:r w:rsidR="0077584A" w:rsidRPr="007E4DA1">
        <w:t xml:space="preserve">azwyczaj stosowana </w:t>
      </w:r>
      <w:r w:rsidR="00B1407D" w:rsidRPr="007E4DA1">
        <w:t xml:space="preserve">dawka </w:t>
      </w:r>
      <w:r w:rsidR="00976FC3" w:rsidRPr="007E4DA1">
        <w:t>początkowa</w:t>
      </w:r>
      <w:r w:rsidR="00B1407D" w:rsidRPr="007E4DA1">
        <w:t xml:space="preserve"> </w:t>
      </w:r>
      <w:r w:rsidRPr="007E4DA1">
        <w:t>w</w:t>
      </w:r>
      <w:r w:rsidR="00B1407D" w:rsidRPr="007E4DA1">
        <w:t xml:space="preserve"> pierwotn</w:t>
      </w:r>
      <w:r w:rsidRPr="007E4DA1">
        <w:t>ej</w:t>
      </w:r>
      <w:r w:rsidR="00B1407D" w:rsidRPr="007E4DA1">
        <w:t xml:space="preserve"> małopłytkowości immunologiczn</w:t>
      </w:r>
      <w:r w:rsidRPr="007E4DA1">
        <w:t xml:space="preserve">ej </w:t>
      </w:r>
      <w:r w:rsidR="0077584A" w:rsidRPr="007E4DA1">
        <w:t xml:space="preserve">to </w:t>
      </w:r>
      <w:r w:rsidR="0077584A" w:rsidRPr="007E4DA1">
        <w:rPr>
          <w:b/>
        </w:rPr>
        <w:t>jedna tabletka 50</w:t>
      </w:r>
      <w:r w:rsidR="00F326B0" w:rsidRPr="007E4DA1">
        <w:rPr>
          <w:b/>
        </w:rPr>
        <w:t> </w:t>
      </w:r>
      <w:r w:rsidR="0077584A" w:rsidRPr="007E4DA1">
        <w:rPr>
          <w:b/>
        </w:rPr>
        <w:t>mg</w:t>
      </w:r>
      <w:r w:rsidR="0077584A" w:rsidRPr="007E4DA1">
        <w:t xml:space="preserve"> </w:t>
      </w:r>
      <w:r w:rsidR="00B1407D" w:rsidRPr="007E4DA1">
        <w:t xml:space="preserve">leku Revolade </w:t>
      </w:r>
      <w:r w:rsidR="0077584A" w:rsidRPr="007E4DA1">
        <w:t xml:space="preserve">na dobę. </w:t>
      </w:r>
      <w:r w:rsidR="00484CD7" w:rsidRPr="007E4DA1">
        <w:t>P</w:t>
      </w:r>
      <w:r w:rsidR="0077584A" w:rsidRPr="007E4DA1">
        <w:t>acjen</w:t>
      </w:r>
      <w:r w:rsidR="00484CD7" w:rsidRPr="007E4DA1">
        <w:t>ci</w:t>
      </w:r>
      <w:r w:rsidR="0077584A" w:rsidRPr="007E4DA1">
        <w:t xml:space="preserve"> pochodzeni</w:t>
      </w:r>
      <w:r w:rsidR="00976FC3" w:rsidRPr="007E4DA1">
        <w:t>a</w:t>
      </w:r>
      <w:r w:rsidR="0077584A" w:rsidRPr="007E4DA1">
        <w:t xml:space="preserve"> </w:t>
      </w:r>
      <w:r w:rsidR="00752851" w:rsidRPr="007E4DA1">
        <w:t>wschodnio-/południowo-wschodnio</w:t>
      </w:r>
      <w:r w:rsidR="0077584A" w:rsidRPr="007E4DA1">
        <w:t>azjatycki</w:t>
      </w:r>
      <w:r w:rsidR="00976FC3" w:rsidRPr="007E4DA1">
        <w:t>ego</w:t>
      </w:r>
      <w:r w:rsidR="0077584A" w:rsidRPr="007E4DA1">
        <w:t xml:space="preserve"> mo</w:t>
      </w:r>
      <w:r w:rsidR="00484CD7" w:rsidRPr="007E4DA1">
        <w:t>gą wymagać rozpoczęcia leczenia</w:t>
      </w:r>
      <w:r w:rsidR="0077584A" w:rsidRPr="007E4DA1">
        <w:t xml:space="preserve"> </w:t>
      </w:r>
      <w:r w:rsidR="0077584A" w:rsidRPr="007E4DA1">
        <w:rPr>
          <w:b/>
        </w:rPr>
        <w:t>mniejsz</w:t>
      </w:r>
      <w:r w:rsidR="00484CD7" w:rsidRPr="007E4DA1">
        <w:rPr>
          <w:b/>
        </w:rPr>
        <w:t>ą</w:t>
      </w:r>
      <w:r w:rsidR="0077584A" w:rsidRPr="007E4DA1">
        <w:rPr>
          <w:b/>
        </w:rPr>
        <w:t xml:space="preserve"> dawk</w:t>
      </w:r>
      <w:r w:rsidR="00484CD7" w:rsidRPr="007E4DA1">
        <w:rPr>
          <w:b/>
        </w:rPr>
        <w:t xml:space="preserve">ą wynoszącą </w:t>
      </w:r>
      <w:r w:rsidR="0077584A" w:rsidRPr="007E4DA1">
        <w:rPr>
          <w:b/>
        </w:rPr>
        <w:t>25</w:t>
      </w:r>
      <w:r w:rsidR="006574FF" w:rsidRPr="007E4DA1">
        <w:rPr>
          <w:b/>
        </w:rPr>
        <w:t> </w:t>
      </w:r>
      <w:r w:rsidR="0077584A" w:rsidRPr="007E4DA1">
        <w:rPr>
          <w:b/>
        </w:rPr>
        <w:t>mg</w:t>
      </w:r>
      <w:r w:rsidR="00F326B0" w:rsidRPr="007E4DA1">
        <w:t>.</w:t>
      </w:r>
    </w:p>
    <w:p w14:paraId="1881337A" w14:textId="77777777" w:rsidR="0077584A" w:rsidRPr="007E4DA1" w:rsidRDefault="0077584A" w:rsidP="00DE1596"/>
    <w:p w14:paraId="2FA07EF0" w14:textId="77777777" w:rsidR="003939E5" w:rsidRPr="007E4DA1" w:rsidRDefault="003939E5" w:rsidP="00DE1596">
      <w:pPr>
        <w:ind w:left="0" w:firstLine="0"/>
      </w:pPr>
      <w:r w:rsidRPr="007E4DA1">
        <w:rPr>
          <w:b/>
        </w:rPr>
        <w:t xml:space="preserve">Dzieci </w:t>
      </w:r>
      <w:r w:rsidRPr="007E4DA1">
        <w:t>(w wieku od 1 do 5</w:t>
      </w:r>
      <w:r w:rsidR="008C75A7" w:rsidRPr="007E4DA1">
        <w:t> </w:t>
      </w:r>
      <w:r w:rsidRPr="007E4DA1">
        <w:t xml:space="preserve">lat) - zazwyczaj stosowana dawka początkowa w pierwotnej małopłytkowości immunologicznej to </w:t>
      </w:r>
      <w:r w:rsidRPr="007E4DA1">
        <w:rPr>
          <w:b/>
        </w:rPr>
        <w:t>jedna tabletka 25 mg</w:t>
      </w:r>
      <w:r w:rsidRPr="007E4DA1">
        <w:t xml:space="preserve"> leku Revolade na dobę.</w:t>
      </w:r>
    </w:p>
    <w:p w14:paraId="3B329471" w14:textId="77777777" w:rsidR="003939E5" w:rsidRPr="007E4DA1" w:rsidRDefault="003939E5" w:rsidP="00DE1596"/>
    <w:p w14:paraId="7A59843D" w14:textId="77777777" w:rsidR="00041A08" w:rsidRPr="00041A08" w:rsidRDefault="003939E5" w:rsidP="00DE1596">
      <w:pPr>
        <w:keepNext/>
        <w:ind w:left="0" w:firstLine="0"/>
      </w:pPr>
      <w:r w:rsidRPr="007E4DA1">
        <w:rPr>
          <w:b/>
        </w:rPr>
        <w:t>W przypadku zapalenia wątroby typu C</w:t>
      </w:r>
    </w:p>
    <w:p w14:paraId="1EC9071B" w14:textId="5383978B" w:rsidR="00855B04" w:rsidRPr="007E4DA1" w:rsidRDefault="003939E5" w:rsidP="00DE1596">
      <w:pPr>
        <w:ind w:left="0" w:firstLine="0"/>
      </w:pPr>
      <w:r w:rsidRPr="007E4DA1">
        <w:rPr>
          <w:b/>
        </w:rPr>
        <w:t xml:space="preserve">Dorośli </w:t>
      </w:r>
      <w:r w:rsidRPr="007E4DA1">
        <w:t>- z</w:t>
      </w:r>
      <w:r w:rsidR="00855B04" w:rsidRPr="007E4DA1">
        <w:t xml:space="preserve">azwyczaj stosowana dawka początkowa </w:t>
      </w:r>
      <w:r w:rsidRPr="007E4DA1">
        <w:t>w</w:t>
      </w:r>
      <w:r w:rsidR="00855B04" w:rsidRPr="007E4DA1">
        <w:t xml:space="preserve"> zapaleni</w:t>
      </w:r>
      <w:r w:rsidRPr="007E4DA1">
        <w:t>u</w:t>
      </w:r>
      <w:r w:rsidR="00855B04" w:rsidRPr="007E4DA1">
        <w:t xml:space="preserve"> wątroby typu C to </w:t>
      </w:r>
      <w:r w:rsidR="00855B04" w:rsidRPr="007E4DA1">
        <w:rPr>
          <w:b/>
        </w:rPr>
        <w:t>jedna tabletka 25</w:t>
      </w:r>
      <w:r w:rsidR="006574FF" w:rsidRPr="007E4DA1">
        <w:rPr>
          <w:b/>
        </w:rPr>
        <w:t> </w:t>
      </w:r>
      <w:r w:rsidR="00855B04" w:rsidRPr="007E4DA1">
        <w:rPr>
          <w:b/>
        </w:rPr>
        <w:t>mg</w:t>
      </w:r>
      <w:r w:rsidR="00855B04" w:rsidRPr="007E4DA1">
        <w:t xml:space="preserve"> leku Revolade na dobę. </w:t>
      </w:r>
      <w:r w:rsidR="00E3093A" w:rsidRPr="007E4DA1">
        <w:t>U p</w:t>
      </w:r>
      <w:r w:rsidR="00855B04" w:rsidRPr="007E4DA1">
        <w:t>acjen</w:t>
      </w:r>
      <w:r w:rsidR="00E3093A" w:rsidRPr="007E4DA1">
        <w:t>tów</w:t>
      </w:r>
      <w:r w:rsidR="00855B04" w:rsidRPr="007E4DA1">
        <w:t xml:space="preserve"> pochodzenia </w:t>
      </w:r>
      <w:r w:rsidR="00752851" w:rsidRPr="007E4DA1">
        <w:t>wschodnio-</w:t>
      </w:r>
      <w:r w:rsidR="00347B71" w:rsidRPr="007E4DA1">
        <w:t>/</w:t>
      </w:r>
      <w:r w:rsidR="00752851" w:rsidRPr="007E4DA1">
        <w:t>południowo-wschodnio</w:t>
      </w:r>
      <w:r w:rsidR="00855B04" w:rsidRPr="007E4DA1">
        <w:t xml:space="preserve">azjatyckiego należy </w:t>
      </w:r>
      <w:r w:rsidR="00484CD7" w:rsidRPr="007E4DA1">
        <w:t>rozpocząć leczenie tą</w:t>
      </w:r>
      <w:r w:rsidR="00855B04" w:rsidRPr="007E4DA1">
        <w:rPr>
          <w:b/>
        </w:rPr>
        <w:t xml:space="preserve"> samą</w:t>
      </w:r>
      <w:r w:rsidR="00855B04" w:rsidRPr="007E4DA1">
        <w:t xml:space="preserve"> </w:t>
      </w:r>
      <w:r w:rsidR="00855B04" w:rsidRPr="007E4DA1">
        <w:rPr>
          <w:b/>
        </w:rPr>
        <w:t>dawk</w:t>
      </w:r>
      <w:r w:rsidR="00484CD7" w:rsidRPr="007E4DA1">
        <w:rPr>
          <w:b/>
        </w:rPr>
        <w:t>ą wynoszącą</w:t>
      </w:r>
      <w:r w:rsidR="00855B04" w:rsidRPr="007E4DA1">
        <w:rPr>
          <w:b/>
        </w:rPr>
        <w:t xml:space="preserve"> 25</w:t>
      </w:r>
      <w:r w:rsidR="006574FF" w:rsidRPr="007E4DA1">
        <w:rPr>
          <w:b/>
        </w:rPr>
        <w:t> </w:t>
      </w:r>
      <w:r w:rsidR="00855B04" w:rsidRPr="007E4DA1">
        <w:rPr>
          <w:b/>
        </w:rPr>
        <w:t>mg</w:t>
      </w:r>
      <w:r w:rsidR="00855B04" w:rsidRPr="007E4DA1">
        <w:t>.</w:t>
      </w:r>
    </w:p>
    <w:p w14:paraId="212267CF" w14:textId="77777777" w:rsidR="003C0D73" w:rsidRPr="007E4DA1" w:rsidRDefault="003C0D73" w:rsidP="00DE1596">
      <w:pPr>
        <w:ind w:left="0" w:firstLine="0"/>
      </w:pPr>
    </w:p>
    <w:p w14:paraId="5AFBBEFB" w14:textId="77777777" w:rsidR="00041A08" w:rsidRPr="00041A08" w:rsidRDefault="003939E5" w:rsidP="00DE1596">
      <w:pPr>
        <w:keepNext/>
        <w:rPr>
          <w:szCs w:val="22"/>
        </w:rPr>
      </w:pPr>
      <w:r w:rsidRPr="007E4DA1">
        <w:rPr>
          <w:b/>
          <w:szCs w:val="22"/>
        </w:rPr>
        <w:t>W przypadku SAA</w:t>
      </w:r>
    </w:p>
    <w:p w14:paraId="0942A69A" w14:textId="77777777" w:rsidR="00041A08" w:rsidRPr="00041A08" w:rsidRDefault="003939E5" w:rsidP="00DE1596">
      <w:pPr>
        <w:ind w:left="0" w:firstLine="0"/>
        <w:rPr>
          <w:szCs w:val="22"/>
        </w:rPr>
      </w:pPr>
      <w:r w:rsidRPr="007E4DA1">
        <w:rPr>
          <w:b/>
          <w:szCs w:val="22"/>
        </w:rPr>
        <w:t xml:space="preserve">Dorośli </w:t>
      </w:r>
      <w:r w:rsidRPr="007E4DA1">
        <w:rPr>
          <w:szCs w:val="22"/>
        </w:rPr>
        <w:t xml:space="preserve">– zazwyczaj stosowana dawka początkowa w SAA to </w:t>
      </w:r>
      <w:r w:rsidRPr="007E4DA1">
        <w:rPr>
          <w:b/>
          <w:szCs w:val="22"/>
        </w:rPr>
        <w:t xml:space="preserve">jedna tabletka 50 mg </w:t>
      </w:r>
      <w:r w:rsidRPr="007E4DA1">
        <w:rPr>
          <w:szCs w:val="22"/>
        </w:rPr>
        <w:t xml:space="preserve">leku Revolade </w:t>
      </w:r>
      <w:r w:rsidR="00484CD7" w:rsidRPr="007E4DA1">
        <w:rPr>
          <w:szCs w:val="22"/>
        </w:rPr>
        <w:t>na dobę</w:t>
      </w:r>
      <w:r w:rsidRPr="007E4DA1">
        <w:rPr>
          <w:szCs w:val="22"/>
        </w:rPr>
        <w:t>. Pacjenci pochodzenia</w:t>
      </w:r>
      <w:r w:rsidRPr="007E4DA1">
        <w:rPr>
          <w:b/>
          <w:szCs w:val="22"/>
        </w:rPr>
        <w:t xml:space="preserve"> </w:t>
      </w:r>
      <w:r w:rsidR="00752851" w:rsidRPr="007E4DA1">
        <w:rPr>
          <w:szCs w:val="22"/>
        </w:rPr>
        <w:t>wschodnio-/południowo-wschodnio</w:t>
      </w:r>
      <w:r w:rsidRPr="007E4DA1">
        <w:rPr>
          <w:szCs w:val="22"/>
        </w:rPr>
        <w:t xml:space="preserve">azjatyckiego mogą wymagać rozpoczęcia leczenia </w:t>
      </w:r>
      <w:r w:rsidRPr="007E4DA1">
        <w:rPr>
          <w:b/>
          <w:szCs w:val="22"/>
        </w:rPr>
        <w:t>mniejszą dawką wynoszącą 25 mg.</w:t>
      </w:r>
    </w:p>
    <w:p w14:paraId="7F8026EA" w14:textId="06DA8C3D" w:rsidR="003939E5" w:rsidRPr="007E4DA1" w:rsidRDefault="003939E5" w:rsidP="00DE1596">
      <w:pPr>
        <w:ind w:left="0" w:firstLine="0"/>
      </w:pPr>
    </w:p>
    <w:p w14:paraId="7261CAAD" w14:textId="77777777" w:rsidR="00484CD7" w:rsidRPr="007E4DA1" w:rsidRDefault="00484CD7" w:rsidP="00DE1596">
      <w:pPr>
        <w:ind w:left="0" w:firstLine="0"/>
        <w:rPr>
          <w:szCs w:val="22"/>
        </w:rPr>
      </w:pPr>
      <w:r w:rsidRPr="007E4DA1">
        <w:rPr>
          <w:szCs w:val="22"/>
        </w:rPr>
        <w:t>Początek działania leku Revolade może nastąpić po 1 do 2</w:t>
      </w:r>
      <w:r w:rsidR="008C75A7" w:rsidRPr="007E4DA1">
        <w:rPr>
          <w:szCs w:val="22"/>
        </w:rPr>
        <w:t> </w:t>
      </w:r>
      <w:r w:rsidRPr="007E4DA1">
        <w:rPr>
          <w:szCs w:val="22"/>
        </w:rPr>
        <w:t>tygodniach. W zależności od odpowiedzi pacjenta na leczenie lekiem Revolade lekarz może zalecić zmianę dawki dobowej.</w:t>
      </w:r>
    </w:p>
    <w:p w14:paraId="2CA94FCD" w14:textId="77777777" w:rsidR="00855B04" w:rsidRPr="007E4DA1" w:rsidRDefault="00855B04" w:rsidP="00DE1596"/>
    <w:p w14:paraId="1B93F5E2" w14:textId="77777777" w:rsidR="00041A08" w:rsidRPr="00041A08" w:rsidRDefault="00DA632D" w:rsidP="00DE1596">
      <w:pPr>
        <w:keepNext/>
      </w:pPr>
      <w:r w:rsidRPr="007E4DA1">
        <w:rPr>
          <w:b/>
        </w:rPr>
        <w:t>Jak przyjmować tabletki</w:t>
      </w:r>
    </w:p>
    <w:p w14:paraId="709639DB" w14:textId="5CFE1C63" w:rsidR="0077584A" w:rsidRPr="007E4DA1" w:rsidRDefault="0077584A" w:rsidP="00DE1596">
      <w:r w:rsidRPr="007E4DA1">
        <w:t>Tabletk</w:t>
      </w:r>
      <w:r w:rsidR="008F5EEE" w:rsidRPr="007E4DA1">
        <w:t>i</w:t>
      </w:r>
      <w:r w:rsidRPr="007E4DA1">
        <w:t xml:space="preserve"> należy połykać w całości, popijając wodą.</w:t>
      </w:r>
    </w:p>
    <w:p w14:paraId="4E367AC6" w14:textId="77777777" w:rsidR="0077584A" w:rsidRPr="007E4DA1" w:rsidRDefault="0077584A" w:rsidP="00DE1596"/>
    <w:p w14:paraId="129D2992" w14:textId="77777777" w:rsidR="00041A08" w:rsidRPr="00041A08" w:rsidRDefault="00DF48B4" w:rsidP="00DE1596">
      <w:pPr>
        <w:keepNext/>
        <w:numPr>
          <w:ilvl w:val="12"/>
          <w:numId w:val="0"/>
        </w:numPr>
        <w:ind w:right="-2"/>
      </w:pPr>
      <w:r w:rsidRPr="007E4DA1">
        <w:rPr>
          <w:b/>
        </w:rPr>
        <w:t xml:space="preserve">Kiedy </w:t>
      </w:r>
      <w:r w:rsidR="00855B04" w:rsidRPr="007E4DA1">
        <w:rPr>
          <w:b/>
        </w:rPr>
        <w:t xml:space="preserve">przyjmować </w:t>
      </w:r>
      <w:r w:rsidRPr="007E4DA1">
        <w:rPr>
          <w:b/>
        </w:rPr>
        <w:t>lek</w:t>
      </w:r>
    </w:p>
    <w:p w14:paraId="6EA00457" w14:textId="164C9281" w:rsidR="00855B04" w:rsidRPr="007E4DA1" w:rsidRDefault="00855B04" w:rsidP="00DE1596">
      <w:pPr>
        <w:keepNext/>
        <w:numPr>
          <w:ilvl w:val="12"/>
          <w:numId w:val="0"/>
        </w:numPr>
        <w:ind w:right="-2"/>
      </w:pPr>
    </w:p>
    <w:p w14:paraId="0BD37EDC" w14:textId="77777777" w:rsidR="00DA632D" w:rsidRPr="007E4DA1" w:rsidRDefault="00DA632D" w:rsidP="008E0138">
      <w:pPr>
        <w:keepNext/>
      </w:pPr>
      <w:r w:rsidRPr="007E4DA1">
        <w:t xml:space="preserve">Należy upewnić się, że </w:t>
      </w:r>
      <w:r w:rsidRPr="007E4DA1">
        <w:rPr>
          <w:szCs w:val="22"/>
        </w:rPr>
        <w:t>–</w:t>
      </w:r>
    </w:p>
    <w:p w14:paraId="4BB67E23" w14:textId="77777777" w:rsidR="00DA632D" w:rsidRPr="007E4DA1" w:rsidRDefault="00DA632D" w:rsidP="00DE1596">
      <w:pPr>
        <w:numPr>
          <w:ilvl w:val="0"/>
          <w:numId w:val="42"/>
        </w:numPr>
        <w:tabs>
          <w:tab w:val="left" w:pos="567"/>
        </w:tabs>
        <w:ind w:left="567" w:hanging="425"/>
      </w:pPr>
      <w:r w:rsidRPr="007E4DA1">
        <w:t xml:space="preserve">w ciągu </w:t>
      </w:r>
      <w:r w:rsidRPr="007E4DA1">
        <w:rPr>
          <w:b/>
        </w:rPr>
        <w:t>4</w:t>
      </w:r>
      <w:r w:rsidR="00E10279" w:rsidRPr="007E4DA1">
        <w:rPr>
          <w:b/>
        </w:rPr>
        <w:t> </w:t>
      </w:r>
      <w:r w:rsidRPr="007E4DA1">
        <w:rPr>
          <w:b/>
        </w:rPr>
        <w:t>godzin przed</w:t>
      </w:r>
      <w:r w:rsidRPr="007E4DA1">
        <w:t xml:space="preserve"> przyjęciem leku Revolade</w:t>
      </w:r>
    </w:p>
    <w:p w14:paraId="3311D1BE" w14:textId="77777777" w:rsidR="00DA632D" w:rsidRPr="007E4DA1" w:rsidRDefault="00DA632D" w:rsidP="00DE1596">
      <w:pPr>
        <w:numPr>
          <w:ilvl w:val="0"/>
          <w:numId w:val="42"/>
        </w:numPr>
        <w:tabs>
          <w:tab w:val="left" w:pos="567"/>
        </w:tabs>
        <w:ind w:left="567" w:hanging="425"/>
      </w:pPr>
      <w:r w:rsidRPr="007E4DA1">
        <w:t xml:space="preserve">i w ciągu </w:t>
      </w:r>
      <w:r w:rsidRPr="007E4DA1">
        <w:rPr>
          <w:b/>
        </w:rPr>
        <w:t>2</w:t>
      </w:r>
      <w:r w:rsidR="00E10279" w:rsidRPr="007E4DA1">
        <w:rPr>
          <w:b/>
        </w:rPr>
        <w:t> </w:t>
      </w:r>
      <w:r w:rsidRPr="007E4DA1">
        <w:rPr>
          <w:b/>
        </w:rPr>
        <w:t>godzin po</w:t>
      </w:r>
      <w:r w:rsidRPr="007E4DA1">
        <w:t xml:space="preserve"> przyjęciu leku Revolade</w:t>
      </w:r>
    </w:p>
    <w:p w14:paraId="4DA8355F" w14:textId="77777777" w:rsidR="00DA632D" w:rsidRPr="007E4DA1" w:rsidRDefault="00DA632D" w:rsidP="00DE1596"/>
    <w:p w14:paraId="54DF6849" w14:textId="77777777" w:rsidR="00041A08" w:rsidRPr="00041A08" w:rsidRDefault="00DA632D" w:rsidP="00DE1596">
      <w:pPr>
        <w:keepNext/>
        <w:rPr>
          <w:szCs w:val="22"/>
        </w:rPr>
      </w:pPr>
      <w:r w:rsidRPr="007E4DA1">
        <w:rPr>
          <w:b/>
        </w:rPr>
        <w:t>pacjent nie będzie</w:t>
      </w:r>
      <w:r w:rsidRPr="007E4DA1">
        <w:t xml:space="preserve"> spożywał następujących pokarmów:</w:t>
      </w:r>
    </w:p>
    <w:p w14:paraId="2E75F1B4" w14:textId="32507D30" w:rsidR="00DF48B4" w:rsidRPr="007E4DA1" w:rsidRDefault="00DA632D" w:rsidP="008E0138">
      <w:pPr>
        <w:pStyle w:val="listdashnospace"/>
        <w:numPr>
          <w:ilvl w:val="0"/>
          <w:numId w:val="23"/>
        </w:numPr>
        <w:tabs>
          <w:tab w:val="clear" w:pos="747"/>
        </w:tabs>
        <w:ind w:left="567"/>
        <w:rPr>
          <w:sz w:val="22"/>
          <w:szCs w:val="22"/>
          <w:lang w:val="pl-PL"/>
        </w:rPr>
      </w:pPr>
      <w:r w:rsidRPr="007E4DA1">
        <w:rPr>
          <w:b/>
          <w:sz w:val="22"/>
          <w:szCs w:val="22"/>
          <w:lang w:val="pl-PL"/>
        </w:rPr>
        <w:t xml:space="preserve">produktów </w:t>
      </w:r>
      <w:r w:rsidR="00FF6E69" w:rsidRPr="007E4DA1">
        <w:rPr>
          <w:b/>
          <w:sz w:val="22"/>
          <w:szCs w:val="22"/>
          <w:lang w:val="pl-PL"/>
        </w:rPr>
        <w:t>mlecznych,</w:t>
      </w:r>
      <w:r w:rsidR="00FF6E69" w:rsidRPr="007E4DA1">
        <w:rPr>
          <w:sz w:val="22"/>
          <w:szCs w:val="22"/>
          <w:lang w:val="pl-PL"/>
        </w:rPr>
        <w:t xml:space="preserve"> takich jak</w:t>
      </w:r>
      <w:r w:rsidR="00DF48B4" w:rsidRPr="007E4DA1">
        <w:rPr>
          <w:sz w:val="22"/>
          <w:szCs w:val="22"/>
          <w:lang w:val="pl-PL"/>
        </w:rPr>
        <w:t xml:space="preserve"> </w:t>
      </w:r>
      <w:r w:rsidR="00FF6E69" w:rsidRPr="007E4DA1">
        <w:rPr>
          <w:sz w:val="22"/>
          <w:szCs w:val="22"/>
          <w:lang w:val="pl-PL"/>
        </w:rPr>
        <w:t>ser, masło, jogurt, lody</w:t>
      </w:r>
    </w:p>
    <w:p w14:paraId="7DC64687" w14:textId="77777777" w:rsidR="00DF48B4" w:rsidRPr="007E4DA1" w:rsidRDefault="00FF6E69" w:rsidP="00DE1596">
      <w:pPr>
        <w:pStyle w:val="listdashnospace"/>
        <w:numPr>
          <w:ilvl w:val="0"/>
          <w:numId w:val="23"/>
        </w:numPr>
        <w:tabs>
          <w:tab w:val="clear" w:pos="747"/>
        </w:tabs>
        <w:ind w:left="567"/>
        <w:rPr>
          <w:sz w:val="22"/>
          <w:szCs w:val="22"/>
          <w:lang w:val="pl-PL"/>
        </w:rPr>
      </w:pPr>
      <w:r w:rsidRPr="007E4DA1">
        <w:rPr>
          <w:b/>
          <w:sz w:val="22"/>
          <w:szCs w:val="22"/>
          <w:lang w:val="pl-PL"/>
        </w:rPr>
        <w:t xml:space="preserve">mleka </w:t>
      </w:r>
      <w:r w:rsidRPr="007E4DA1">
        <w:rPr>
          <w:sz w:val="22"/>
          <w:szCs w:val="22"/>
          <w:lang w:val="pl-PL"/>
        </w:rPr>
        <w:t xml:space="preserve">lub napojów zawierających mleko, </w:t>
      </w:r>
      <w:r w:rsidR="006279D2" w:rsidRPr="007E4DA1">
        <w:rPr>
          <w:sz w:val="22"/>
          <w:szCs w:val="22"/>
          <w:lang w:val="pl-PL"/>
        </w:rPr>
        <w:t>jogurt</w:t>
      </w:r>
      <w:r w:rsidR="00DA632D" w:rsidRPr="007E4DA1">
        <w:rPr>
          <w:sz w:val="22"/>
          <w:szCs w:val="22"/>
          <w:lang w:val="pl-PL"/>
        </w:rPr>
        <w:t>ów</w:t>
      </w:r>
      <w:r w:rsidRPr="007E4DA1">
        <w:rPr>
          <w:sz w:val="22"/>
          <w:szCs w:val="22"/>
          <w:lang w:val="pl-PL"/>
        </w:rPr>
        <w:t xml:space="preserve"> lub śmietank</w:t>
      </w:r>
      <w:r w:rsidR="00DA632D" w:rsidRPr="007E4DA1">
        <w:rPr>
          <w:sz w:val="22"/>
          <w:szCs w:val="22"/>
          <w:lang w:val="pl-PL"/>
        </w:rPr>
        <w:t>i</w:t>
      </w:r>
    </w:p>
    <w:p w14:paraId="3A8C9577" w14:textId="77777777" w:rsidR="00DF48B4" w:rsidRPr="007E4DA1" w:rsidRDefault="00FF6E69" w:rsidP="00DE1596">
      <w:pPr>
        <w:pStyle w:val="listdashnospace"/>
        <w:numPr>
          <w:ilvl w:val="0"/>
          <w:numId w:val="23"/>
        </w:numPr>
        <w:tabs>
          <w:tab w:val="clear" w:pos="747"/>
        </w:tabs>
        <w:ind w:left="567"/>
        <w:rPr>
          <w:sz w:val="22"/>
          <w:szCs w:val="22"/>
          <w:lang w:val="pl-PL"/>
        </w:rPr>
      </w:pPr>
      <w:r w:rsidRPr="007E4DA1">
        <w:rPr>
          <w:b/>
          <w:sz w:val="22"/>
          <w:szCs w:val="22"/>
          <w:lang w:val="pl-PL"/>
        </w:rPr>
        <w:t xml:space="preserve">leków zobojętniających kwas żołądkowy, </w:t>
      </w:r>
      <w:r w:rsidRPr="007E4DA1">
        <w:rPr>
          <w:sz w:val="22"/>
          <w:szCs w:val="22"/>
          <w:lang w:val="pl-PL"/>
        </w:rPr>
        <w:t xml:space="preserve">stosowanych w leczeniu </w:t>
      </w:r>
      <w:r w:rsidRPr="007E4DA1">
        <w:rPr>
          <w:b/>
          <w:sz w:val="22"/>
          <w:szCs w:val="22"/>
          <w:lang w:val="pl-PL"/>
        </w:rPr>
        <w:t xml:space="preserve">niestrawności </w:t>
      </w:r>
      <w:r w:rsidR="00855B04" w:rsidRPr="007E4DA1">
        <w:rPr>
          <w:b/>
          <w:sz w:val="22"/>
          <w:szCs w:val="22"/>
          <w:lang w:val="pl-PL"/>
        </w:rPr>
        <w:t>i zgagi</w:t>
      </w:r>
    </w:p>
    <w:p w14:paraId="3E4EC9C7" w14:textId="77777777" w:rsidR="00DF48B4" w:rsidRPr="007E4DA1" w:rsidRDefault="006279D2" w:rsidP="00DE1596">
      <w:pPr>
        <w:pStyle w:val="listdashnospace"/>
        <w:numPr>
          <w:ilvl w:val="0"/>
          <w:numId w:val="23"/>
        </w:numPr>
        <w:tabs>
          <w:tab w:val="clear" w:pos="747"/>
        </w:tabs>
        <w:ind w:left="567"/>
        <w:rPr>
          <w:sz w:val="22"/>
          <w:szCs w:val="22"/>
          <w:lang w:val="pl-PL"/>
        </w:rPr>
      </w:pPr>
      <w:r w:rsidRPr="007E4DA1">
        <w:rPr>
          <w:b/>
          <w:sz w:val="22"/>
          <w:szCs w:val="22"/>
          <w:lang w:val="pl-PL"/>
        </w:rPr>
        <w:t>suplementów</w:t>
      </w:r>
      <w:r w:rsidR="00094AB9" w:rsidRPr="007E4DA1">
        <w:rPr>
          <w:b/>
          <w:sz w:val="22"/>
          <w:szCs w:val="22"/>
          <w:lang w:val="pl-PL"/>
        </w:rPr>
        <w:t xml:space="preserve"> witaminowo-mineralnych</w:t>
      </w:r>
      <w:r w:rsidR="00094AB9" w:rsidRPr="007E4DA1">
        <w:rPr>
          <w:sz w:val="22"/>
          <w:szCs w:val="22"/>
          <w:lang w:val="pl-PL"/>
        </w:rPr>
        <w:t xml:space="preserve"> zawierających żelazo, wapń, magnez, glin, selen, cynk</w:t>
      </w:r>
    </w:p>
    <w:p w14:paraId="6F9F9F12" w14:textId="77777777" w:rsidR="00DA632D" w:rsidRPr="007E4DA1" w:rsidRDefault="00DA632D" w:rsidP="00DE1596">
      <w:pPr>
        <w:ind w:left="0" w:firstLine="0"/>
        <w:rPr>
          <w:szCs w:val="22"/>
        </w:rPr>
      </w:pPr>
    </w:p>
    <w:p w14:paraId="59A67631" w14:textId="77777777" w:rsidR="00DF48B4" w:rsidRPr="007E4DA1" w:rsidRDefault="00094AB9" w:rsidP="00DE1596">
      <w:pPr>
        <w:ind w:left="0" w:firstLine="0"/>
        <w:rPr>
          <w:szCs w:val="22"/>
        </w:rPr>
      </w:pPr>
      <w:r w:rsidRPr="007E4DA1">
        <w:rPr>
          <w:szCs w:val="22"/>
        </w:rPr>
        <w:t xml:space="preserve">W </w:t>
      </w:r>
      <w:r w:rsidR="00CC7D68" w:rsidRPr="007E4DA1">
        <w:rPr>
          <w:szCs w:val="22"/>
        </w:rPr>
        <w:t xml:space="preserve">razie </w:t>
      </w:r>
      <w:r w:rsidRPr="007E4DA1">
        <w:rPr>
          <w:szCs w:val="22"/>
        </w:rPr>
        <w:t>nieprzestrzegania powyższych zaleceń</w:t>
      </w:r>
      <w:r w:rsidR="00EA46C3" w:rsidRPr="007E4DA1">
        <w:rPr>
          <w:szCs w:val="22"/>
        </w:rPr>
        <w:t>,</w:t>
      </w:r>
      <w:r w:rsidRPr="007E4DA1">
        <w:rPr>
          <w:szCs w:val="22"/>
        </w:rPr>
        <w:t xml:space="preserve"> lek Revolade nie jest właściwie wchłaniany przez organizm.</w:t>
      </w:r>
    </w:p>
    <w:p w14:paraId="62110AFE" w14:textId="77777777" w:rsidR="00F12AFF" w:rsidRPr="007E4DA1" w:rsidRDefault="00665357" w:rsidP="00DE1596">
      <w:pPr>
        <w:tabs>
          <w:tab w:val="left" w:pos="567"/>
        </w:tabs>
        <w:ind w:left="0" w:firstLine="0"/>
        <w:rPr>
          <w:szCs w:val="22"/>
          <w:lang w:eastAsia="en-US"/>
        </w:rPr>
      </w:pPr>
      <w:r w:rsidRPr="007E4DA1">
        <w:rPr>
          <w:noProof/>
          <w:szCs w:val="20"/>
          <w:lang w:val="en-US" w:eastAsia="en-US"/>
        </w:rPr>
        <mc:AlternateContent>
          <mc:Choice Requires="wps">
            <w:drawing>
              <wp:anchor distT="0" distB="0" distL="114300" distR="114300" simplePos="0" relativeHeight="251661312" behindDoc="0" locked="0" layoutInCell="1" allowOverlap="1" wp14:anchorId="48FC6FF3" wp14:editId="40DE5E62">
                <wp:simplePos x="0" y="0"/>
                <wp:positionH relativeFrom="column">
                  <wp:posOffset>636270</wp:posOffset>
                </wp:positionH>
                <wp:positionV relativeFrom="paragraph">
                  <wp:posOffset>107950</wp:posOffset>
                </wp:positionV>
                <wp:extent cx="1485265" cy="144000"/>
                <wp:effectExtent l="0" t="0" r="635" b="8890"/>
                <wp:wrapNone/>
                <wp:docPr id="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265"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54495" w14:textId="77777777" w:rsidR="00041A08" w:rsidRPr="00041A08" w:rsidRDefault="00BF6901" w:rsidP="00F12AFF">
                            <w:pPr>
                              <w:shd w:val="clear" w:color="auto" w:fill="FFFFFF"/>
                              <w:textAlignment w:val="baseline"/>
                              <w:rPr>
                                <w:rFonts w:ascii="Arial" w:eastAsia="+mn-ea" w:hAnsi="Arial" w:cs="+mn-cs"/>
                                <w:color w:val="7030A0"/>
                                <w:kern w:val="24"/>
                                <w:sz w:val="18"/>
                                <w:szCs w:val="18"/>
                              </w:rPr>
                            </w:pPr>
                            <w:r>
                              <w:rPr>
                                <w:rFonts w:ascii="Arial" w:eastAsia="+mn-ea" w:hAnsi="Arial" w:cs="+mn-cs"/>
                                <w:b/>
                                <w:bCs/>
                                <w:color w:val="7030A0"/>
                                <w:kern w:val="24"/>
                                <w:sz w:val="18"/>
                                <w:szCs w:val="18"/>
                              </w:rPr>
                              <w:t>Przyj</w:t>
                            </w:r>
                            <w:r w:rsidRPr="00E73533">
                              <w:rPr>
                                <w:rFonts w:ascii="Arial" w:eastAsia="+mn-ea" w:hAnsi="Arial" w:cs="+mn-cs"/>
                                <w:b/>
                                <w:bCs/>
                                <w:color w:val="7030A0"/>
                                <w:kern w:val="24"/>
                                <w:sz w:val="18"/>
                                <w:szCs w:val="18"/>
                              </w:rPr>
                              <w:t>ę</w:t>
                            </w:r>
                            <w:r>
                              <w:rPr>
                                <w:rFonts w:ascii="Arial" w:eastAsia="+mn-ea" w:hAnsi="Arial" w:cs="+mn-cs"/>
                                <w:b/>
                                <w:bCs/>
                                <w:color w:val="7030A0"/>
                                <w:kern w:val="24"/>
                                <w:sz w:val="18"/>
                                <w:szCs w:val="18"/>
                              </w:rPr>
                              <w:t>cie leku 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C6FF3" id="Rectangle 7" o:spid="_x0000_s1026" style="position:absolute;margin-left:50.1pt;margin-top:8.5pt;width:116.9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" filled="f" stroked="f">
                <v:textbox inset="0,0,0,0">
                  <w:txbxContent>
                    <w:p w14:paraId="30D54495" w14:textId="77777777" w:rsidR="00041A08" w:rsidRPr="00041A08" w:rsidRDefault="00BF6901" w:rsidP="00F12AFF">
                      <w:pPr>
                        <w:shd w:val="clear" w:color="auto" w:fill="FFFFFF"/>
                        <w:textAlignment w:val="baseline"/>
                        <w:rPr>
                          <w:rFonts w:ascii="Arial" w:eastAsia="+mn-ea" w:hAnsi="Arial" w:cs="+mn-cs"/>
                          <w:color w:val="7030A0"/>
                          <w:kern w:val="24"/>
                          <w:sz w:val="18"/>
                          <w:szCs w:val="18"/>
                        </w:rPr>
                      </w:pPr>
                      <w:r>
                        <w:rPr>
                          <w:rFonts w:ascii="Arial" w:eastAsia="+mn-ea" w:hAnsi="Arial" w:cs="+mn-cs"/>
                          <w:b/>
                          <w:bCs/>
                          <w:color w:val="7030A0"/>
                          <w:kern w:val="24"/>
                          <w:sz w:val="18"/>
                          <w:szCs w:val="18"/>
                        </w:rPr>
                        <w:t>Przyj</w:t>
                      </w:r>
                      <w:r w:rsidRPr="00E73533">
                        <w:rPr>
                          <w:rFonts w:ascii="Arial" w:eastAsia="+mn-ea" w:hAnsi="Arial" w:cs="+mn-cs"/>
                          <w:b/>
                          <w:bCs/>
                          <w:color w:val="7030A0"/>
                          <w:kern w:val="24"/>
                          <w:sz w:val="18"/>
                          <w:szCs w:val="18"/>
                        </w:rPr>
                        <w:t>ę</w:t>
                      </w:r>
                      <w:r>
                        <w:rPr>
                          <w:rFonts w:ascii="Arial" w:eastAsia="+mn-ea" w:hAnsi="Arial" w:cs="+mn-cs"/>
                          <w:b/>
                          <w:bCs/>
                          <w:color w:val="7030A0"/>
                          <w:kern w:val="24"/>
                          <w:sz w:val="18"/>
                          <w:szCs w:val="18"/>
                        </w:rPr>
                        <w:t>cie leku Revolade</w:t>
                      </w:r>
                    </w:p>
                  </w:txbxContent>
                </v:textbox>
              </v:rect>
            </w:pict>
          </mc:Fallback>
        </mc:AlternateContent>
      </w:r>
    </w:p>
    <w:p w14:paraId="2A16151E" w14:textId="77777777" w:rsidR="00041A08" w:rsidRPr="00041A08" w:rsidRDefault="00665357" w:rsidP="00DE1596">
      <w:pPr>
        <w:ind w:left="0" w:firstLine="0"/>
        <w:rPr>
          <w:noProof/>
          <w:szCs w:val="22"/>
          <w:lang w:val="en-US" w:eastAsia="en-US"/>
        </w:rPr>
      </w:pPr>
      <w:r w:rsidRPr="007E4DA1">
        <w:rPr>
          <w:b/>
          <w:noProof/>
          <w:szCs w:val="22"/>
          <w:lang w:val="en-US" w:eastAsia="en-US"/>
        </w:rPr>
        <mc:AlternateContent>
          <mc:Choice Requires="wps">
            <w:drawing>
              <wp:anchor distT="0" distB="0" distL="114300" distR="114300" simplePos="0" relativeHeight="251663360" behindDoc="0" locked="0" layoutInCell="1" allowOverlap="1" wp14:anchorId="4C1ACA34" wp14:editId="3FFA5F17">
                <wp:simplePos x="0" y="0"/>
                <wp:positionH relativeFrom="column">
                  <wp:posOffset>1417320</wp:posOffset>
                </wp:positionH>
                <wp:positionV relativeFrom="paragraph">
                  <wp:posOffset>257175</wp:posOffset>
                </wp:positionV>
                <wp:extent cx="1236345" cy="300355"/>
                <wp:effectExtent l="0" t="0" r="0" b="0"/>
                <wp:wrapNone/>
                <wp:docPr id="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4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4D83B" w14:textId="77777777" w:rsidR="00041A08" w:rsidRPr="00041A08" w:rsidRDefault="00BF6901" w:rsidP="00F12AFF">
                            <w:pPr>
                              <w:pStyle w:val="Header"/>
                              <w:shd w:val="clear" w:color="auto" w:fill="FFFFFF"/>
                              <w:tabs>
                                <w:tab w:val="clear" w:pos="4153"/>
                                <w:tab w:val="clear" w:pos="8306"/>
                              </w:tabs>
                              <w:textAlignment w:val="baseline"/>
                              <w:rPr>
                                <w:rFonts w:ascii="Arial" w:eastAsia="+mn-ea" w:hAnsi="Arial" w:cs="+mn-cs"/>
                                <w:color w:val="FF0000"/>
                                <w:kern w:val="24"/>
                                <w:sz w:val="16"/>
                                <w:szCs w:val="16"/>
                                <w:lang w:val="pl-PL"/>
                              </w:rPr>
                            </w:pPr>
                            <w:r w:rsidRPr="006D6424">
                              <w:rPr>
                                <w:rFonts w:ascii="Arial" w:eastAsia="+mn-ea" w:hAnsi="Arial" w:cs="+mn-cs"/>
                                <w:b/>
                                <w:bCs/>
                                <w:color w:val="FF0000"/>
                                <w:kern w:val="24"/>
                                <w:sz w:val="16"/>
                                <w:szCs w:val="16"/>
                                <w:lang w:val="pl-PL"/>
                              </w:rPr>
                              <w:t>... i przez 2 godziny po przyjęciu leku Revolade</w:t>
                            </w:r>
                          </w:p>
                          <w:p w14:paraId="02BB1BE5" w14:textId="77777777" w:rsidR="00BF6901" w:rsidRPr="006D6424" w:rsidRDefault="00BF6901" w:rsidP="00F12AFF">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pl-P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ACA34" id="Rectangle 6" o:spid="_x0000_s1027" style="position:absolute;margin-left:111.6pt;margin-top:20.25pt;width:97.35pt;height:2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" filled="f" stroked="f">
                <v:textbox inset="0,0,0,0">
                  <w:txbxContent>
                    <w:p w14:paraId="00B4D83B" w14:textId="77777777" w:rsidR="00041A08" w:rsidRPr="00041A08" w:rsidRDefault="00BF6901" w:rsidP="00F12AFF">
                      <w:pPr>
                        <w:pStyle w:val="Header"/>
                        <w:shd w:val="clear" w:color="auto" w:fill="FFFFFF"/>
                        <w:tabs>
                          <w:tab w:val="clear" w:pos="4153"/>
                          <w:tab w:val="clear" w:pos="8306"/>
                        </w:tabs>
                        <w:textAlignment w:val="baseline"/>
                        <w:rPr>
                          <w:rFonts w:ascii="Arial" w:eastAsia="+mn-ea" w:hAnsi="Arial" w:cs="+mn-cs"/>
                          <w:color w:val="FF0000"/>
                          <w:kern w:val="24"/>
                          <w:sz w:val="16"/>
                          <w:szCs w:val="16"/>
                          <w:lang w:val="pl-PL"/>
                        </w:rPr>
                      </w:pPr>
                      <w:r w:rsidRPr="006D6424">
                        <w:rPr>
                          <w:rFonts w:ascii="Arial" w:eastAsia="+mn-ea" w:hAnsi="Arial" w:cs="+mn-cs"/>
                          <w:b/>
                          <w:bCs/>
                          <w:color w:val="FF0000"/>
                          <w:kern w:val="24"/>
                          <w:sz w:val="16"/>
                          <w:szCs w:val="16"/>
                          <w:lang w:val="pl-PL"/>
                        </w:rPr>
                        <w:t>... i przez 2 godziny po przyjęciu leku Revolade</w:t>
                      </w:r>
                    </w:p>
                    <w:p w14:paraId="02BB1BE5" w14:textId="77777777" w:rsidR="00BF6901" w:rsidRPr="006D6424" w:rsidRDefault="00BF6901" w:rsidP="00F12AFF">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pl-PL"/>
                        </w:rPr>
                      </w:pPr>
                    </w:p>
                  </w:txbxContent>
                </v:textbox>
              </v:rect>
            </w:pict>
          </mc:Fallback>
        </mc:AlternateContent>
      </w:r>
      <w:r w:rsidRPr="007E4DA1">
        <w:rPr>
          <w:b/>
          <w:noProof/>
          <w:szCs w:val="22"/>
          <w:lang w:val="en-US" w:eastAsia="en-US"/>
        </w:rPr>
        <mc:AlternateContent>
          <mc:Choice Requires="wps">
            <w:drawing>
              <wp:anchor distT="0" distB="0" distL="114300" distR="114300" simplePos="0" relativeHeight="251662336" behindDoc="0" locked="0" layoutInCell="1" allowOverlap="1" wp14:anchorId="41BD7380" wp14:editId="0F723449">
                <wp:simplePos x="0" y="0"/>
                <wp:positionH relativeFrom="column">
                  <wp:posOffset>-158750</wp:posOffset>
                </wp:positionH>
                <wp:positionV relativeFrom="paragraph">
                  <wp:posOffset>255905</wp:posOffset>
                </wp:positionV>
                <wp:extent cx="768350" cy="529590"/>
                <wp:effectExtent l="0" t="0" r="0" b="0"/>
                <wp:wrapNone/>
                <wp:docPr id="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44ACE" w14:textId="77777777" w:rsidR="00041A08" w:rsidRPr="00041A08" w:rsidRDefault="00BF6901" w:rsidP="00F12AFF">
                            <w:pPr>
                              <w:shd w:val="clear" w:color="auto" w:fill="FFFFFF"/>
                              <w:textAlignment w:val="baseline"/>
                              <w:rPr>
                                <w:rFonts w:ascii="Arial" w:eastAsia="+mn-ea" w:hAnsi="Arial" w:cs="+mn-cs"/>
                                <w:color w:val="FF0000"/>
                                <w:kern w:val="24"/>
                                <w:sz w:val="16"/>
                                <w:szCs w:val="16"/>
                              </w:rPr>
                            </w:pPr>
                            <w:r>
                              <w:rPr>
                                <w:rFonts w:ascii="Arial" w:eastAsia="+mn-ea" w:hAnsi="Arial" w:cs="+mn-cs"/>
                                <w:b/>
                                <w:bCs/>
                                <w:color w:val="FF0000"/>
                                <w:kern w:val="24"/>
                                <w:sz w:val="16"/>
                                <w:szCs w:val="16"/>
                              </w:rPr>
                              <w:t>Przez 4 godziny</w:t>
                            </w:r>
                          </w:p>
                          <w:p w14:paraId="5CE6B696" w14:textId="77777777" w:rsidR="00041A08" w:rsidRPr="00041A08" w:rsidRDefault="00BF6901" w:rsidP="00F12AFF">
                            <w:pPr>
                              <w:pStyle w:val="NormalWeb"/>
                              <w:shd w:val="clear" w:color="auto" w:fill="FFFFFF"/>
                              <w:spacing w:line="240" w:lineRule="auto"/>
                              <w:textAlignment w:val="baseline"/>
                              <w:rPr>
                                <w:rFonts w:ascii="Arial" w:eastAsia="+mn-ea" w:hAnsi="Arial" w:cs="+mn-cs"/>
                                <w:color w:val="FF0000"/>
                                <w:kern w:val="24"/>
                                <w:sz w:val="16"/>
                                <w:szCs w:val="16"/>
                                <w:lang w:val="pl-PL" w:eastAsia="pl-PL"/>
                              </w:rPr>
                            </w:pPr>
                            <w:r w:rsidRPr="006D6424">
                              <w:rPr>
                                <w:rFonts w:ascii="Arial" w:eastAsia="+mn-ea" w:hAnsi="Arial" w:cs="+mn-cs"/>
                                <w:b/>
                                <w:bCs/>
                                <w:color w:val="FF0000"/>
                                <w:kern w:val="24"/>
                                <w:sz w:val="16"/>
                                <w:szCs w:val="16"/>
                                <w:lang w:val="pl-PL"/>
                              </w:rPr>
                              <w:t xml:space="preserve">przed </w:t>
                            </w:r>
                            <w:r w:rsidRPr="00E73533">
                              <w:rPr>
                                <w:rFonts w:ascii="Arial" w:eastAsia="+mn-ea" w:hAnsi="Arial" w:cs="+mn-cs"/>
                                <w:b/>
                                <w:bCs/>
                                <w:color w:val="FF0000"/>
                                <w:kern w:val="24"/>
                                <w:sz w:val="16"/>
                                <w:szCs w:val="16"/>
                                <w:lang w:val="pl-PL" w:eastAsia="pl-PL"/>
                              </w:rPr>
                              <w:t>przyjęciem leku Revolade</w:t>
                            </w:r>
                            <w:r>
                              <w:rPr>
                                <w:rFonts w:ascii="Arial" w:eastAsia="+mn-ea" w:hAnsi="Arial" w:cs="+mn-cs"/>
                                <w:b/>
                                <w:bCs/>
                                <w:color w:val="FF0000"/>
                                <w:kern w:val="24"/>
                                <w:sz w:val="16"/>
                                <w:szCs w:val="16"/>
                                <w:lang w:val="pl-PL" w:eastAsia="pl-PL"/>
                              </w:rPr>
                              <w:t>...</w:t>
                            </w:r>
                          </w:p>
                          <w:p w14:paraId="662949B9" w14:textId="34D80994" w:rsidR="00BF6901" w:rsidRPr="00E73533" w:rsidRDefault="00BF6901" w:rsidP="00F12AFF">
                            <w:pPr>
                              <w:pStyle w:val="NormalWeb"/>
                              <w:shd w:val="clear" w:color="auto" w:fill="FFFFFF"/>
                              <w:spacing w:line="240" w:lineRule="auto"/>
                              <w:textAlignment w:val="baseline"/>
                              <w:rPr>
                                <w:rFonts w:ascii="Arial" w:eastAsia="+mn-ea" w:hAnsi="Arial" w:cs="+mn-cs"/>
                                <w:b/>
                                <w:bCs/>
                                <w:color w:val="FF0000"/>
                                <w:kern w:val="24"/>
                                <w:sz w:val="16"/>
                                <w:szCs w:val="16"/>
                                <w:lang w:val="pl-PL" w:eastAsia="pl-P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D7380" id="_x0000_s1028" style="position:absolute;margin-left:-12.5pt;margin-top:20.15pt;width:60.5pt;height:4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" filled="f" stroked="f">
                <v:textbox inset="0,0,0,0">
                  <w:txbxContent>
                    <w:p w14:paraId="5EF44ACE" w14:textId="77777777" w:rsidR="00041A08" w:rsidRPr="00041A08" w:rsidRDefault="00BF6901" w:rsidP="00F12AFF">
                      <w:pPr>
                        <w:shd w:val="clear" w:color="auto" w:fill="FFFFFF"/>
                        <w:textAlignment w:val="baseline"/>
                        <w:rPr>
                          <w:rFonts w:ascii="Arial" w:eastAsia="+mn-ea" w:hAnsi="Arial" w:cs="+mn-cs"/>
                          <w:color w:val="FF0000"/>
                          <w:kern w:val="24"/>
                          <w:sz w:val="16"/>
                          <w:szCs w:val="16"/>
                        </w:rPr>
                      </w:pPr>
                      <w:r>
                        <w:rPr>
                          <w:rFonts w:ascii="Arial" w:eastAsia="+mn-ea" w:hAnsi="Arial" w:cs="+mn-cs"/>
                          <w:b/>
                          <w:bCs/>
                          <w:color w:val="FF0000"/>
                          <w:kern w:val="24"/>
                          <w:sz w:val="16"/>
                          <w:szCs w:val="16"/>
                        </w:rPr>
                        <w:t>Przez 4 godziny</w:t>
                      </w:r>
                    </w:p>
                    <w:p w14:paraId="5CE6B696" w14:textId="77777777" w:rsidR="00041A08" w:rsidRPr="00041A08" w:rsidRDefault="00BF6901" w:rsidP="00F12AFF">
                      <w:pPr>
                        <w:pStyle w:val="NormalWeb"/>
                        <w:shd w:val="clear" w:color="auto" w:fill="FFFFFF"/>
                        <w:spacing w:line="240" w:lineRule="auto"/>
                        <w:textAlignment w:val="baseline"/>
                        <w:rPr>
                          <w:rFonts w:ascii="Arial" w:eastAsia="+mn-ea" w:hAnsi="Arial" w:cs="+mn-cs"/>
                          <w:color w:val="FF0000"/>
                          <w:kern w:val="24"/>
                          <w:sz w:val="16"/>
                          <w:szCs w:val="16"/>
                          <w:lang w:val="pl-PL" w:eastAsia="pl-PL"/>
                        </w:rPr>
                      </w:pPr>
                      <w:r w:rsidRPr="006D6424">
                        <w:rPr>
                          <w:rFonts w:ascii="Arial" w:eastAsia="+mn-ea" w:hAnsi="Arial" w:cs="+mn-cs"/>
                          <w:b/>
                          <w:bCs/>
                          <w:color w:val="FF0000"/>
                          <w:kern w:val="24"/>
                          <w:sz w:val="16"/>
                          <w:szCs w:val="16"/>
                          <w:lang w:val="pl-PL"/>
                        </w:rPr>
                        <w:t xml:space="preserve">przed </w:t>
                      </w:r>
                      <w:r w:rsidRPr="00E73533">
                        <w:rPr>
                          <w:rFonts w:ascii="Arial" w:eastAsia="+mn-ea" w:hAnsi="Arial" w:cs="+mn-cs"/>
                          <w:b/>
                          <w:bCs/>
                          <w:color w:val="FF0000"/>
                          <w:kern w:val="24"/>
                          <w:sz w:val="16"/>
                          <w:szCs w:val="16"/>
                          <w:lang w:val="pl-PL" w:eastAsia="pl-PL"/>
                        </w:rPr>
                        <w:t>przyjęciem leku Revolade</w:t>
                      </w:r>
                      <w:r>
                        <w:rPr>
                          <w:rFonts w:ascii="Arial" w:eastAsia="+mn-ea" w:hAnsi="Arial" w:cs="+mn-cs"/>
                          <w:b/>
                          <w:bCs/>
                          <w:color w:val="FF0000"/>
                          <w:kern w:val="24"/>
                          <w:sz w:val="16"/>
                          <w:szCs w:val="16"/>
                          <w:lang w:val="pl-PL" w:eastAsia="pl-PL"/>
                        </w:rPr>
                        <w:t>...</w:t>
                      </w:r>
                    </w:p>
                    <w:p w14:paraId="662949B9" w14:textId="34D80994" w:rsidR="00BF6901" w:rsidRPr="00E73533" w:rsidRDefault="00BF6901" w:rsidP="00F12AFF">
                      <w:pPr>
                        <w:pStyle w:val="NormalWeb"/>
                        <w:shd w:val="clear" w:color="auto" w:fill="FFFFFF"/>
                        <w:spacing w:line="240" w:lineRule="auto"/>
                        <w:textAlignment w:val="baseline"/>
                        <w:rPr>
                          <w:rFonts w:ascii="Arial" w:eastAsia="+mn-ea" w:hAnsi="Arial" w:cs="+mn-cs"/>
                          <w:b/>
                          <w:bCs/>
                          <w:color w:val="FF0000"/>
                          <w:kern w:val="24"/>
                          <w:sz w:val="16"/>
                          <w:szCs w:val="16"/>
                          <w:lang w:val="pl-PL" w:eastAsia="pl-PL"/>
                        </w:rPr>
                      </w:pPr>
                    </w:p>
                  </w:txbxContent>
                </v:textbox>
              </v:rect>
            </w:pict>
          </mc:Fallback>
        </mc:AlternateContent>
      </w:r>
      <w:r w:rsidRPr="007E4DA1">
        <w:rPr>
          <w:b/>
          <w:noProof/>
          <w:szCs w:val="22"/>
          <w:lang w:val="en-US" w:eastAsia="en-US"/>
        </w:rPr>
        <mc:AlternateContent>
          <mc:Choice Requires="wps">
            <w:drawing>
              <wp:anchor distT="0" distB="0" distL="114300" distR="114300" simplePos="0" relativeHeight="251660288" behindDoc="0" locked="0" layoutInCell="1" allowOverlap="1" wp14:anchorId="7F4851A3" wp14:editId="1470D207">
                <wp:simplePos x="0" y="0"/>
                <wp:positionH relativeFrom="column">
                  <wp:posOffset>-12065</wp:posOffset>
                </wp:positionH>
                <wp:positionV relativeFrom="paragraph">
                  <wp:posOffset>1278255</wp:posOffset>
                </wp:positionV>
                <wp:extent cx="1469390" cy="584200"/>
                <wp:effectExtent l="0" t="0" r="0" b="0"/>
                <wp:wrapNone/>
                <wp:docPr id="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584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F00A65" w14:textId="093CB75F" w:rsidR="00BF6901" w:rsidRPr="006D6424" w:rsidRDefault="00BF6901" w:rsidP="00F12AFF">
                            <w:pPr>
                              <w:pStyle w:val="NormalWeb"/>
                              <w:spacing w:line="240" w:lineRule="auto"/>
                              <w:textAlignment w:val="baseline"/>
                              <w:rPr>
                                <w:sz w:val="16"/>
                                <w:szCs w:val="16"/>
                                <w:lang w:val="pl-PL"/>
                              </w:rPr>
                            </w:pPr>
                            <w:r w:rsidRPr="006D6424">
                              <w:rPr>
                                <w:rFonts w:ascii="Arial" w:eastAsia="+mn-ea" w:hAnsi="Arial" w:cs="+mn-cs"/>
                                <w:b/>
                                <w:bCs/>
                                <w:color w:val="FF0000"/>
                                <w:kern w:val="24"/>
                                <w:sz w:val="16"/>
                                <w:szCs w:val="16"/>
                                <w:lang w:val="pl-PL"/>
                              </w:rPr>
                              <w:t xml:space="preserve">NIE spożywać produktów </w:t>
                            </w:r>
                            <w:r w:rsidRPr="00E828A3">
                              <w:rPr>
                                <w:rFonts w:ascii="Arial" w:eastAsia="+mn-ea" w:hAnsi="Arial" w:cs="+mn-cs"/>
                                <w:b/>
                                <w:bCs/>
                                <w:color w:val="FF0000"/>
                                <w:kern w:val="24"/>
                                <w:sz w:val="16"/>
                                <w:szCs w:val="16"/>
                                <w:lang w:val="pl-PL"/>
                              </w:rPr>
                              <w:t>mlecznych, leków zoboj</w:t>
                            </w:r>
                            <w:r w:rsidRPr="00E828A3">
                              <w:rPr>
                                <w:rFonts w:ascii="Arial" w:eastAsia="+mn-ea" w:hAnsi="Arial" w:cs="+mn-cs"/>
                                <w:b/>
                                <w:bCs/>
                                <w:color w:val="FF0000"/>
                                <w:kern w:val="24"/>
                                <w:sz w:val="16"/>
                                <w:szCs w:val="16"/>
                                <w:lang w:val="pl-PL" w:eastAsia="pl-PL"/>
                              </w:rPr>
                              <w:t>ętniających sok</w:t>
                            </w:r>
                            <w:r>
                              <w:rPr>
                                <w:rFonts w:ascii="Arial" w:eastAsia="+mn-ea" w:hAnsi="Arial" w:cs="+mn-cs"/>
                                <w:b/>
                                <w:bCs/>
                                <w:color w:val="FF0000"/>
                                <w:kern w:val="24"/>
                                <w:sz w:val="16"/>
                                <w:szCs w:val="16"/>
                                <w:lang w:val="pl-PL" w:eastAsia="pl-PL"/>
                              </w:rPr>
                              <w:t xml:space="preserve"> </w:t>
                            </w:r>
                            <w:r w:rsidRPr="006D6424">
                              <w:rPr>
                                <w:rFonts w:ascii="Arial" w:eastAsia="+mn-ea" w:hAnsi="Arial" w:cs="+mn-cs"/>
                                <w:b/>
                                <w:bCs/>
                                <w:color w:val="FF0000"/>
                                <w:kern w:val="24"/>
                                <w:sz w:val="16"/>
                                <w:szCs w:val="16"/>
                                <w:lang w:val="pl-PL"/>
                              </w:rPr>
                              <w:t>żo</w:t>
                            </w:r>
                            <w:r w:rsidRPr="000570DF">
                              <w:rPr>
                                <w:rFonts w:ascii="Arial" w:eastAsia="+mn-ea" w:hAnsi="Arial" w:cs="+mn-cs"/>
                                <w:b/>
                                <w:bCs/>
                                <w:color w:val="FF0000"/>
                                <w:kern w:val="24"/>
                                <w:sz w:val="16"/>
                                <w:szCs w:val="16"/>
                                <w:lang w:val="pl-PL" w:eastAsia="pl-PL"/>
                              </w:rPr>
                              <w:t>łą</w:t>
                            </w:r>
                            <w:r>
                              <w:rPr>
                                <w:rFonts w:ascii="Arial" w:eastAsia="+mn-ea" w:hAnsi="Arial" w:cs="+mn-cs"/>
                                <w:b/>
                                <w:bCs/>
                                <w:color w:val="FF0000"/>
                                <w:kern w:val="24"/>
                                <w:sz w:val="16"/>
                                <w:szCs w:val="16"/>
                                <w:lang w:val="pl-PL" w:eastAsia="pl-PL"/>
                              </w:rPr>
                              <w:t>dkowy lub suplement</w:t>
                            </w:r>
                            <w:r w:rsidRPr="006D6424">
                              <w:rPr>
                                <w:rFonts w:ascii="Arial" w:eastAsia="+mn-ea" w:hAnsi="Arial" w:cs="+mn-cs"/>
                                <w:b/>
                                <w:bCs/>
                                <w:color w:val="FF0000"/>
                                <w:kern w:val="24"/>
                                <w:sz w:val="16"/>
                                <w:szCs w:val="16"/>
                                <w:lang w:val="pl-PL"/>
                              </w:rPr>
                              <w:t>ów mineralnych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F4851A3" id="Rectangle 9" o:spid="_x0000_s1029" style="position:absolute;margin-left:-.95pt;margin-top:100.65pt;width:115.7pt;height: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" stroked="f">
                <v:textbox style="mso-fit-shape-to-text:t" inset="0,0,0,0">
                  <w:txbxContent>
                    <w:p w14:paraId="27F00A65" w14:textId="093CB75F" w:rsidR="00BF6901" w:rsidRPr="006D6424" w:rsidRDefault="00BF6901" w:rsidP="00F12AFF">
                      <w:pPr>
                        <w:pStyle w:val="NormalWeb"/>
                        <w:spacing w:line="240" w:lineRule="auto"/>
                        <w:textAlignment w:val="baseline"/>
                        <w:rPr>
                          <w:sz w:val="16"/>
                          <w:szCs w:val="16"/>
                          <w:lang w:val="pl-PL"/>
                        </w:rPr>
                      </w:pPr>
                      <w:r w:rsidRPr="006D6424">
                        <w:rPr>
                          <w:rFonts w:ascii="Arial" w:eastAsia="+mn-ea" w:hAnsi="Arial" w:cs="+mn-cs"/>
                          <w:b/>
                          <w:bCs/>
                          <w:color w:val="FF0000"/>
                          <w:kern w:val="24"/>
                          <w:sz w:val="16"/>
                          <w:szCs w:val="16"/>
                          <w:lang w:val="pl-PL"/>
                        </w:rPr>
                        <w:t xml:space="preserve">NIE spożywać produktów </w:t>
                      </w:r>
                      <w:r w:rsidRPr="00E828A3">
                        <w:rPr>
                          <w:rFonts w:ascii="Arial" w:eastAsia="+mn-ea" w:hAnsi="Arial" w:cs="+mn-cs"/>
                          <w:b/>
                          <w:bCs/>
                          <w:color w:val="FF0000"/>
                          <w:kern w:val="24"/>
                          <w:sz w:val="16"/>
                          <w:szCs w:val="16"/>
                          <w:lang w:val="pl-PL"/>
                        </w:rPr>
                        <w:t>mlecznych, leków zoboj</w:t>
                      </w:r>
                      <w:r w:rsidRPr="00E828A3">
                        <w:rPr>
                          <w:rFonts w:ascii="Arial" w:eastAsia="+mn-ea" w:hAnsi="Arial" w:cs="+mn-cs"/>
                          <w:b/>
                          <w:bCs/>
                          <w:color w:val="FF0000"/>
                          <w:kern w:val="24"/>
                          <w:sz w:val="16"/>
                          <w:szCs w:val="16"/>
                          <w:lang w:val="pl-PL" w:eastAsia="pl-PL"/>
                        </w:rPr>
                        <w:t>ętniających sok</w:t>
                      </w:r>
                      <w:r>
                        <w:rPr>
                          <w:rFonts w:ascii="Arial" w:eastAsia="+mn-ea" w:hAnsi="Arial" w:cs="+mn-cs"/>
                          <w:b/>
                          <w:bCs/>
                          <w:color w:val="FF0000"/>
                          <w:kern w:val="24"/>
                          <w:sz w:val="16"/>
                          <w:szCs w:val="16"/>
                          <w:lang w:val="pl-PL" w:eastAsia="pl-PL"/>
                        </w:rPr>
                        <w:t xml:space="preserve"> </w:t>
                      </w:r>
                      <w:r w:rsidRPr="006D6424">
                        <w:rPr>
                          <w:rFonts w:ascii="Arial" w:eastAsia="+mn-ea" w:hAnsi="Arial" w:cs="+mn-cs"/>
                          <w:b/>
                          <w:bCs/>
                          <w:color w:val="FF0000"/>
                          <w:kern w:val="24"/>
                          <w:sz w:val="16"/>
                          <w:szCs w:val="16"/>
                          <w:lang w:val="pl-PL"/>
                        </w:rPr>
                        <w:t>żo</w:t>
                      </w:r>
                      <w:r w:rsidRPr="000570DF">
                        <w:rPr>
                          <w:rFonts w:ascii="Arial" w:eastAsia="+mn-ea" w:hAnsi="Arial" w:cs="+mn-cs"/>
                          <w:b/>
                          <w:bCs/>
                          <w:color w:val="FF0000"/>
                          <w:kern w:val="24"/>
                          <w:sz w:val="16"/>
                          <w:szCs w:val="16"/>
                          <w:lang w:val="pl-PL" w:eastAsia="pl-PL"/>
                        </w:rPr>
                        <w:t>łą</w:t>
                      </w:r>
                      <w:r>
                        <w:rPr>
                          <w:rFonts w:ascii="Arial" w:eastAsia="+mn-ea" w:hAnsi="Arial" w:cs="+mn-cs"/>
                          <w:b/>
                          <w:bCs/>
                          <w:color w:val="FF0000"/>
                          <w:kern w:val="24"/>
                          <w:sz w:val="16"/>
                          <w:szCs w:val="16"/>
                          <w:lang w:val="pl-PL" w:eastAsia="pl-PL"/>
                        </w:rPr>
                        <w:t>dkowy lub suplement</w:t>
                      </w:r>
                      <w:r w:rsidRPr="006D6424">
                        <w:rPr>
                          <w:rFonts w:ascii="Arial" w:eastAsia="+mn-ea" w:hAnsi="Arial" w:cs="+mn-cs"/>
                          <w:b/>
                          <w:bCs/>
                          <w:color w:val="FF0000"/>
                          <w:kern w:val="24"/>
                          <w:sz w:val="16"/>
                          <w:szCs w:val="16"/>
                          <w:lang w:val="pl-PL"/>
                        </w:rPr>
                        <w:t>ów mineralnych</w:t>
                      </w:r>
                    </w:p>
                  </w:txbxContent>
                </v:textbox>
              </v:rect>
            </w:pict>
          </mc:Fallback>
        </mc:AlternateContent>
      </w:r>
      <w:r w:rsidRPr="007E4DA1">
        <w:rPr>
          <w:b/>
          <w:noProof/>
          <w:szCs w:val="22"/>
          <w:lang w:val="en-US" w:eastAsia="en-US"/>
        </w:rPr>
        <w:drawing>
          <wp:inline distT="0" distB="0" distL="0" distR="0" wp14:anchorId="47361B1A" wp14:editId="01BA9602">
            <wp:extent cx="2170430" cy="1637665"/>
            <wp:effectExtent l="0" t="0" r="0" b="0"/>
            <wp:docPr id="2" name="Picture 16" descr="2+4-hour_FCT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4-hour_FCT_ENG+re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0430" cy="1637665"/>
                    </a:xfrm>
                    <a:prstGeom prst="rect">
                      <a:avLst/>
                    </a:prstGeom>
                    <a:noFill/>
                    <a:ln>
                      <a:noFill/>
                    </a:ln>
                  </pic:spPr>
                </pic:pic>
              </a:graphicData>
            </a:graphic>
          </wp:inline>
        </w:drawing>
      </w:r>
    </w:p>
    <w:p w14:paraId="1814436C" w14:textId="19B0AE29" w:rsidR="00F12AFF" w:rsidRPr="007E4DA1" w:rsidRDefault="00F12AFF" w:rsidP="00DE1596">
      <w:pPr>
        <w:ind w:left="0" w:firstLine="0"/>
        <w:rPr>
          <w:noProof/>
          <w:szCs w:val="22"/>
          <w:lang w:val="en-GB" w:eastAsia="en-GB"/>
        </w:rPr>
      </w:pPr>
    </w:p>
    <w:p w14:paraId="5C6B3D3B" w14:textId="77777777" w:rsidR="00F12AFF" w:rsidRPr="007E4DA1" w:rsidRDefault="00F12AFF" w:rsidP="00DE1596">
      <w:pPr>
        <w:ind w:left="0" w:firstLine="0"/>
      </w:pPr>
    </w:p>
    <w:p w14:paraId="1918E6B7" w14:textId="77777777" w:rsidR="00F12AFF" w:rsidRPr="007E4DA1" w:rsidRDefault="00F12AFF" w:rsidP="00DE1596">
      <w:pPr>
        <w:ind w:left="0" w:firstLine="0"/>
      </w:pPr>
    </w:p>
    <w:p w14:paraId="026432A1" w14:textId="77777777" w:rsidR="00041A08" w:rsidRPr="00041A08" w:rsidRDefault="00205C1C" w:rsidP="00DE1596">
      <w:pPr>
        <w:ind w:left="0" w:firstLine="0"/>
      </w:pPr>
      <w:r w:rsidRPr="007E4DA1">
        <w:rPr>
          <w:b/>
        </w:rPr>
        <w:t>Należy zasięgnąć porady lekarza aby uzyskać więcej informacji odnośnie odpowiednich pokarmów</w:t>
      </w:r>
      <w:r w:rsidR="00CC71EE" w:rsidRPr="007E4DA1">
        <w:rPr>
          <w:b/>
        </w:rPr>
        <w:t xml:space="preserve"> i napojów</w:t>
      </w:r>
      <w:r w:rsidRPr="007E4DA1">
        <w:rPr>
          <w:b/>
        </w:rPr>
        <w:t>.</w:t>
      </w:r>
    </w:p>
    <w:p w14:paraId="1D6045B0" w14:textId="2C34D88C" w:rsidR="00205C1C" w:rsidRPr="007E4DA1" w:rsidRDefault="00205C1C" w:rsidP="00DE1596"/>
    <w:p w14:paraId="1409FA79" w14:textId="77777777" w:rsidR="00041A08" w:rsidRPr="00041A08" w:rsidRDefault="00205C1C" w:rsidP="00DE1596">
      <w:pPr>
        <w:keepNext/>
      </w:pPr>
      <w:r w:rsidRPr="007E4DA1">
        <w:rPr>
          <w:b/>
        </w:rPr>
        <w:t>Zastosowanie większej niż zalecana dawki leku Revolade</w:t>
      </w:r>
    </w:p>
    <w:p w14:paraId="657F32F8" w14:textId="58F6EDB4" w:rsidR="00205C1C" w:rsidRPr="007E4DA1" w:rsidRDefault="002F1214" w:rsidP="00DE1596">
      <w:pPr>
        <w:numPr>
          <w:ilvl w:val="12"/>
          <w:numId w:val="0"/>
        </w:numPr>
        <w:ind w:right="-2"/>
      </w:pPr>
      <w:r w:rsidRPr="007E4DA1">
        <w:rPr>
          <w:b/>
        </w:rPr>
        <w:t xml:space="preserve">Należy natychmiast skontaktować się z lekarzem lub farmaceutą. </w:t>
      </w:r>
      <w:r w:rsidRPr="007E4DA1">
        <w:t xml:space="preserve">Jeśli to możliwe, należy </w:t>
      </w:r>
      <w:r w:rsidR="006279D2" w:rsidRPr="007E4DA1">
        <w:t>pokazać</w:t>
      </w:r>
      <w:r w:rsidRPr="007E4DA1">
        <w:t xml:space="preserve"> im opakowanie leku lub tę ulotkę.</w:t>
      </w:r>
    </w:p>
    <w:p w14:paraId="5BD33C2B" w14:textId="77777777" w:rsidR="00205C1C" w:rsidRPr="007E4DA1" w:rsidRDefault="001771F8" w:rsidP="00DE1596">
      <w:pPr>
        <w:numPr>
          <w:ilvl w:val="12"/>
          <w:numId w:val="0"/>
        </w:numPr>
        <w:ind w:right="-2"/>
        <w:rPr>
          <w:color w:val="000000"/>
        </w:rPr>
      </w:pPr>
      <w:r w:rsidRPr="007E4DA1">
        <w:rPr>
          <w:color w:val="000000"/>
          <w:szCs w:val="22"/>
        </w:rPr>
        <w:t>S</w:t>
      </w:r>
      <w:r w:rsidR="00EA46C3" w:rsidRPr="007E4DA1">
        <w:rPr>
          <w:color w:val="000000"/>
          <w:szCs w:val="22"/>
        </w:rPr>
        <w:t>tan</w:t>
      </w:r>
      <w:r w:rsidRPr="007E4DA1">
        <w:rPr>
          <w:color w:val="000000"/>
          <w:szCs w:val="22"/>
        </w:rPr>
        <w:t xml:space="preserve"> pacjenta będzie </w:t>
      </w:r>
      <w:r w:rsidR="002F1214" w:rsidRPr="007E4DA1">
        <w:rPr>
          <w:color w:val="000000"/>
          <w:szCs w:val="22"/>
        </w:rPr>
        <w:t>kontrolowan</w:t>
      </w:r>
      <w:r w:rsidRPr="007E4DA1">
        <w:rPr>
          <w:color w:val="000000"/>
          <w:szCs w:val="22"/>
        </w:rPr>
        <w:t>y</w:t>
      </w:r>
      <w:r w:rsidR="002F1214" w:rsidRPr="007E4DA1">
        <w:rPr>
          <w:color w:val="000000"/>
          <w:szCs w:val="22"/>
        </w:rPr>
        <w:t xml:space="preserve"> w celu wykrycia ewentualnych działań niepożądanych i niezwłocznego zasto</w:t>
      </w:r>
      <w:r w:rsidR="00F326B0" w:rsidRPr="007E4DA1">
        <w:rPr>
          <w:color w:val="000000"/>
          <w:szCs w:val="22"/>
        </w:rPr>
        <w:t>sowania odpowiedniego leczenia.</w:t>
      </w:r>
    </w:p>
    <w:p w14:paraId="51B822EC" w14:textId="77777777" w:rsidR="00205C1C" w:rsidRPr="007E4DA1" w:rsidRDefault="00205C1C" w:rsidP="00DE1596">
      <w:pPr>
        <w:numPr>
          <w:ilvl w:val="12"/>
          <w:numId w:val="0"/>
        </w:numPr>
      </w:pPr>
    </w:p>
    <w:p w14:paraId="27C0A5B9" w14:textId="77777777" w:rsidR="00041A08" w:rsidRPr="00041A08" w:rsidRDefault="002F1214" w:rsidP="00DE1596">
      <w:pPr>
        <w:keepNext/>
        <w:numPr>
          <w:ilvl w:val="12"/>
          <w:numId w:val="0"/>
        </w:numPr>
      </w:pPr>
      <w:r w:rsidRPr="007E4DA1">
        <w:rPr>
          <w:b/>
        </w:rPr>
        <w:t xml:space="preserve">Pominięcie zastosowania leku </w:t>
      </w:r>
      <w:r w:rsidR="00205C1C" w:rsidRPr="007E4DA1">
        <w:rPr>
          <w:b/>
        </w:rPr>
        <w:t>Revolade</w:t>
      </w:r>
    </w:p>
    <w:p w14:paraId="1FD05FCC" w14:textId="5DDAA389" w:rsidR="00205C1C" w:rsidRPr="007E4DA1" w:rsidRDefault="00C62632" w:rsidP="00DE1596">
      <w:pPr>
        <w:numPr>
          <w:ilvl w:val="12"/>
          <w:numId w:val="0"/>
        </w:numPr>
        <w:ind w:right="-2"/>
      </w:pPr>
      <w:r w:rsidRPr="007E4DA1">
        <w:t xml:space="preserve">Należy </w:t>
      </w:r>
      <w:r w:rsidR="003C0D73" w:rsidRPr="007E4DA1">
        <w:t>przyjąć kolejną dawkę</w:t>
      </w:r>
      <w:r w:rsidRPr="007E4DA1">
        <w:t xml:space="preserve"> o zwykłej porze</w:t>
      </w:r>
      <w:r w:rsidR="003C0D73" w:rsidRPr="007E4DA1">
        <w:t>. Nie wolno przyjmować wi</w:t>
      </w:r>
      <w:r w:rsidR="00F4626E" w:rsidRPr="007E4DA1">
        <w:t>ę</w:t>
      </w:r>
      <w:r w:rsidR="003C0D73" w:rsidRPr="007E4DA1">
        <w:t>cej niż jedn</w:t>
      </w:r>
      <w:r w:rsidR="006574FF" w:rsidRPr="007E4DA1">
        <w:t>ą</w:t>
      </w:r>
      <w:r w:rsidR="003C0D73" w:rsidRPr="007E4DA1">
        <w:t xml:space="preserve"> dawkę </w:t>
      </w:r>
      <w:r w:rsidR="00F4626E" w:rsidRPr="007E4DA1">
        <w:t xml:space="preserve">leku Revolade </w:t>
      </w:r>
      <w:r w:rsidR="003C0D73" w:rsidRPr="007E4DA1">
        <w:t>na dobę.</w:t>
      </w:r>
    </w:p>
    <w:p w14:paraId="17F7CFEE" w14:textId="77777777" w:rsidR="00205C1C" w:rsidRPr="007E4DA1" w:rsidRDefault="00205C1C" w:rsidP="00DE1596">
      <w:pPr>
        <w:numPr>
          <w:ilvl w:val="12"/>
          <w:numId w:val="0"/>
        </w:numPr>
        <w:ind w:right="-2"/>
      </w:pPr>
    </w:p>
    <w:p w14:paraId="073DEE3A" w14:textId="77777777" w:rsidR="00041A08" w:rsidRPr="00041A08" w:rsidRDefault="006279D2" w:rsidP="00DE1596">
      <w:pPr>
        <w:keepNext/>
        <w:numPr>
          <w:ilvl w:val="12"/>
          <w:numId w:val="0"/>
        </w:numPr>
      </w:pPr>
      <w:r w:rsidRPr="007E4DA1">
        <w:rPr>
          <w:b/>
        </w:rPr>
        <w:t>Przerwanie</w:t>
      </w:r>
      <w:r w:rsidR="002A3C64" w:rsidRPr="007E4DA1">
        <w:rPr>
          <w:b/>
        </w:rPr>
        <w:t xml:space="preserve"> stosowania leku</w:t>
      </w:r>
      <w:r w:rsidR="00205C1C" w:rsidRPr="007E4DA1">
        <w:rPr>
          <w:b/>
        </w:rPr>
        <w:t xml:space="preserve"> Revolade</w:t>
      </w:r>
    </w:p>
    <w:p w14:paraId="635651EE" w14:textId="24A273B7" w:rsidR="00205C1C" w:rsidRPr="007E4DA1" w:rsidRDefault="002A3C64" w:rsidP="00DE1596">
      <w:pPr>
        <w:numPr>
          <w:ilvl w:val="12"/>
          <w:numId w:val="0"/>
        </w:numPr>
        <w:ind w:right="-2"/>
      </w:pPr>
      <w:r w:rsidRPr="007E4DA1">
        <w:t>Nie należy przerywać stosowania leku Revolade bez konsultacji z lekarzem. Jeśli lekarz zaleci przerwanie leczenia, liczba płytek krwi</w:t>
      </w:r>
      <w:r w:rsidR="00205C1C" w:rsidRPr="007E4DA1">
        <w:t xml:space="preserve"> </w:t>
      </w:r>
      <w:r w:rsidRPr="007E4DA1">
        <w:t>u pacjenta będzie kontrolowana co tydzień przez cztery tygodnie.</w:t>
      </w:r>
      <w:r w:rsidR="00C62632" w:rsidRPr="007E4DA1">
        <w:t xml:space="preserve"> Patrz także „</w:t>
      </w:r>
      <w:r w:rsidR="00C62632" w:rsidRPr="007E4DA1">
        <w:rPr>
          <w:b/>
          <w:i/>
        </w:rPr>
        <w:t>Krwawienie lub siniaczenie po przerwaniu leczenia”</w:t>
      </w:r>
      <w:r w:rsidR="00C62632" w:rsidRPr="007E4DA1">
        <w:t xml:space="preserve"> w punkcie</w:t>
      </w:r>
      <w:r w:rsidR="008C75A7" w:rsidRPr="007E4DA1">
        <w:t> </w:t>
      </w:r>
      <w:r w:rsidR="00C62632" w:rsidRPr="007E4DA1">
        <w:t>4.</w:t>
      </w:r>
    </w:p>
    <w:p w14:paraId="01920A68" w14:textId="77777777" w:rsidR="005B4BC8" w:rsidRPr="007E4DA1" w:rsidRDefault="005B4BC8" w:rsidP="00DE1596"/>
    <w:p w14:paraId="5AA5DD52" w14:textId="77777777" w:rsidR="00F4626E" w:rsidRPr="007E4DA1" w:rsidRDefault="00F4626E" w:rsidP="00DE1596">
      <w:pPr>
        <w:ind w:left="0" w:firstLine="0"/>
        <w:rPr>
          <w:noProof/>
          <w:szCs w:val="22"/>
        </w:rPr>
      </w:pPr>
      <w:r w:rsidRPr="007E4DA1">
        <w:rPr>
          <w:noProof/>
          <w:szCs w:val="22"/>
        </w:rPr>
        <w:t>W razie jakichkolwiek dalszych wątpliwości związanych ze stosowaniem tego leku, należy zwrócić się do lekarza lub farmaceuty.</w:t>
      </w:r>
    </w:p>
    <w:p w14:paraId="28286CB5" w14:textId="77777777" w:rsidR="005B4BC8" w:rsidRPr="007E4DA1" w:rsidRDefault="005B4BC8" w:rsidP="00DE1596"/>
    <w:p w14:paraId="31DF197F" w14:textId="77777777" w:rsidR="00F4626E" w:rsidRPr="007E4DA1" w:rsidRDefault="00F4626E" w:rsidP="00DE1596"/>
    <w:p w14:paraId="1B6AE3A2" w14:textId="77777777" w:rsidR="00041A08" w:rsidRPr="00041A08" w:rsidRDefault="005B4BC8" w:rsidP="00DE1596">
      <w:pPr>
        <w:keepNext/>
      </w:pPr>
      <w:r w:rsidRPr="007E4DA1">
        <w:rPr>
          <w:b/>
        </w:rPr>
        <w:t>4.</w:t>
      </w:r>
      <w:r w:rsidRPr="007E4DA1">
        <w:rPr>
          <w:b/>
        </w:rPr>
        <w:tab/>
        <w:t>M</w:t>
      </w:r>
      <w:r w:rsidR="00F326B0" w:rsidRPr="007E4DA1">
        <w:rPr>
          <w:b/>
        </w:rPr>
        <w:t>ożliwe działania niepożądane</w:t>
      </w:r>
    </w:p>
    <w:p w14:paraId="209EAF87" w14:textId="77777777" w:rsidR="00041A08" w:rsidRPr="00041A08" w:rsidRDefault="00041A08" w:rsidP="00DE1596">
      <w:pPr>
        <w:keepNext/>
      </w:pPr>
    </w:p>
    <w:p w14:paraId="28E68B89" w14:textId="77777777" w:rsidR="005B4BC8" w:rsidRPr="007E4DA1" w:rsidRDefault="005B4BC8" w:rsidP="00DE1596">
      <w:pPr>
        <w:ind w:left="0" w:firstLine="0"/>
      </w:pPr>
      <w:r w:rsidRPr="007E4DA1">
        <w:t xml:space="preserve">Jak każdy lek, </w:t>
      </w:r>
      <w:r w:rsidR="004F402D" w:rsidRPr="007E4DA1">
        <w:t xml:space="preserve">lek ten </w:t>
      </w:r>
      <w:r w:rsidRPr="007E4DA1">
        <w:t>może powodować działania niepożądane, chociaż nie u każdego one wystąpią.</w:t>
      </w:r>
    </w:p>
    <w:p w14:paraId="2F83BC6B" w14:textId="77777777" w:rsidR="005B4BC8" w:rsidRPr="007E4DA1" w:rsidRDefault="005B4BC8" w:rsidP="00DE1596"/>
    <w:p w14:paraId="45E1CA40" w14:textId="77777777" w:rsidR="00041A08" w:rsidRPr="00041A08" w:rsidRDefault="001771F8" w:rsidP="00DE1596">
      <w:pPr>
        <w:keepNext/>
      </w:pPr>
      <w:r w:rsidRPr="007E4DA1">
        <w:rPr>
          <w:b/>
        </w:rPr>
        <w:t>Objawy, na które trzeba zwrócić uwagę: należy udać się do lekarza</w:t>
      </w:r>
    </w:p>
    <w:p w14:paraId="12BD4A2C" w14:textId="6EAB8A33" w:rsidR="001771F8" w:rsidRPr="007E4DA1" w:rsidRDefault="001771F8" w:rsidP="00DE1596">
      <w:pPr>
        <w:ind w:left="0" w:firstLine="0"/>
      </w:pPr>
      <w:r w:rsidRPr="007E4DA1">
        <w:t xml:space="preserve">U pacjentów przyjmujących lek Revolade w leczeniu pierwotnej małopłytkowości immunologicznej lub </w:t>
      </w:r>
      <w:r w:rsidR="00F4626E" w:rsidRPr="007E4DA1">
        <w:t xml:space="preserve">małej ilości płytek krwi związanej z </w:t>
      </w:r>
      <w:r w:rsidRPr="007E4DA1">
        <w:t>zapaleni</w:t>
      </w:r>
      <w:r w:rsidR="009F568A" w:rsidRPr="007E4DA1">
        <w:t>em</w:t>
      </w:r>
      <w:r w:rsidRPr="007E4DA1">
        <w:t xml:space="preserve"> wątroby typu C</w:t>
      </w:r>
      <w:r w:rsidR="00904AE3" w:rsidRPr="007E4DA1">
        <w:t xml:space="preserve"> mogą wystąpić objawy ciężkich działań niepożądanych. </w:t>
      </w:r>
      <w:r w:rsidR="00904AE3" w:rsidRPr="007E4DA1">
        <w:rPr>
          <w:b/>
        </w:rPr>
        <w:t xml:space="preserve">Ważne jest, aby </w:t>
      </w:r>
      <w:r w:rsidR="003A4E6D" w:rsidRPr="007E4DA1">
        <w:rPr>
          <w:b/>
        </w:rPr>
        <w:t>poinformować lekarza o wystąpieniu</w:t>
      </w:r>
      <w:r w:rsidR="00904AE3" w:rsidRPr="007E4DA1">
        <w:rPr>
          <w:b/>
        </w:rPr>
        <w:t xml:space="preserve"> </w:t>
      </w:r>
      <w:r w:rsidR="009F568A" w:rsidRPr="007E4DA1">
        <w:rPr>
          <w:b/>
        </w:rPr>
        <w:t>tych</w:t>
      </w:r>
      <w:r w:rsidR="00F4626E" w:rsidRPr="007E4DA1">
        <w:rPr>
          <w:b/>
        </w:rPr>
        <w:t xml:space="preserve"> </w:t>
      </w:r>
      <w:r w:rsidR="00904AE3" w:rsidRPr="007E4DA1">
        <w:rPr>
          <w:b/>
        </w:rPr>
        <w:t>objawów.</w:t>
      </w:r>
    </w:p>
    <w:p w14:paraId="02D32CDD" w14:textId="77777777" w:rsidR="001771F8" w:rsidRPr="007E4DA1" w:rsidRDefault="001771F8" w:rsidP="00DE1596"/>
    <w:p w14:paraId="0F49D54E" w14:textId="77777777" w:rsidR="00041A08" w:rsidRPr="00041A08" w:rsidRDefault="00CD4879" w:rsidP="00DE1596">
      <w:pPr>
        <w:keepNext/>
      </w:pPr>
      <w:r w:rsidRPr="007E4DA1">
        <w:rPr>
          <w:b/>
        </w:rPr>
        <w:t>Zwiększone ryzyko zakrzepów</w:t>
      </w:r>
    </w:p>
    <w:p w14:paraId="3D0A0D66" w14:textId="0218DFAE" w:rsidR="00904AE3" w:rsidRPr="007E4DA1" w:rsidRDefault="00904AE3" w:rsidP="00DE1596">
      <w:pPr>
        <w:ind w:left="0" w:firstLine="0"/>
      </w:pPr>
      <w:r w:rsidRPr="007E4DA1">
        <w:t>U niektórych pacjentów może wystąpić zwiększone ryzyko zakrzepów, a leki takie jak Revolade mogą to nasilić.</w:t>
      </w:r>
      <w:r w:rsidR="00F4626E" w:rsidRPr="007E4DA1">
        <w:t xml:space="preserve"> Nagłe </w:t>
      </w:r>
      <w:r w:rsidR="00BB782D" w:rsidRPr="007E4DA1">
        <w:t>zablokowanie naczynia krwionośnego</w:t>
      </w:r>
      <w:r w:rsidR="00F4626E" w:rsidRPr="007E4DA1">
        <w:t xml:space="preserve"> przez zakrzep jest niezbyt częstym działaniem niepożądanym i może wys</w:t>
      </w:r>
      <w:r w:rsidR="00F326B0" w:rsidRPr="007E4DA1">
        <w:t>tąpić u nie więcej niż 1 na 100 </w:t>
      </w:r>
      <w:r w:rsidR="00F4626E" w:rsidRPr="007E4DA1">
        <w:t>pacjentów.</w:t>
      </w:r>
    </w:p>
    <w:p w14:paraId="45B0E449" w14:textId="77777777" w:rsidR="00904AE3" w:rsidRPr="007E4DA1" w:rsidRDefault="00904AE3" w:rsidP="00DE1596">
      <w:pPr>
        <w:ind w:left="0" w:firstLine="0"/>
      </w:pPr>
    </w:p>
    <w:p w14:paraId="2E32A361" w14:textId="77777777" w:rsidR="00904AE3" w:rsidRPr="007E4DA1" w:rsidRDefault="00665357" w:rsidP="00DE1596">
      <w:pPr>
        <w:keepNext/>
        <w:ind w:left="0" w:firstLine="0"/>
      </w:pPr>
      <w:r w:rsidRPr="007E4DA1">
        <w:rPr>
          <w:b/>
          <w:noProof/>
          <w:lang w:val="en-US" w:eastAsia="en-US"/>
        </w:rPr>
        <w:drawing>
          <wp:inline distT="0" distB="0" distL="0" distR="0" wp14:anchorId="6E196ADE" wp14:editId="6025C3EE">
            <wp:extent cx="238760" cy="246380"/>
            <wp:effectExtent l="0" t="0" r="0" b="0"/>
            <wp:docPr id="3" name="Picture 15"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triangl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9F568A" w:rsidRPr="007E4DA1">
        <w:rPr>
          <w:b/>
        </w:rPr>
        <w:t xml:space="preserve"> Należy uzyskać natychmiastową pomoc lekarską, j</w:t>
      </w:r>
      <w:r w:rsidR="00904AE3" w:rsidRPr="007E4DA1">
        <w:rPr>
          <w:b/>
        </w:rPr>
        <w:t>eśli u pacjenta wystąpią objawy zakrzepu takie jak:</w:t>
      </w:r>
    </w:p>
    <w:p w14:paraId="67B2986D" w14:textId="77777777" w:rsidR="00904AE3" w:rsidRPr="007E4DA1" w:rsidRDefault="00904AE3" w:rsidP="00DE1596">
      <w:pPr>
        <w:pStyle w:val="Bulletindent"/>
        <w:keepNext/>
        <w:numPr>
          <w:ilvl w:val="0"/>
          <w:numId w:val="24"/>
        </w:numPr>
        <w:tabs>
          <w:tab w:val="clear" w:pos="567"/>
          <w:tab w:val="clear" w:pos="851"/>
        </w:tabs>
        <w:spacing w:before="0" w:line="240" w:lineRule="auto"/>
        <w:ind w:left="567" w:hanging="567"/>
        <w:rPr>
          <w:noProof w:val="0"/>
          <w:lang w:val="pl-PL"/>
        </w:rPr>
      </w:pPr>
      <w:r w:rsidRPr="007E4DA1">
        <w:rPr>
          <w:b/>
          <w:noProof w:val="0"/>
          <w:lang w:val="pl-PL"/>
        </w:rPr>
        <w:t>obrzęk, ból</w:t>
      </w:r>
      <w:r w:rsidR="00242147" w:rsidRPr="007E4DA1">
        <w:rPr>
          <w:b/>
          <w:noProof w:val="0"/>
          <w:lang w:val="pl-PL"/>
        </w:rPr>
        <w:t>, uczucie gorąca, zaczerwienienie</w:t>
      </w:r>
      <w:r w:rsidRPr="007E4DA1">
        <w:rPr>
          <w:noProof w:val="0"/>
          <w:lang w:val="pl-PL"/>
        </w:rPr>
        <w:t xml:space="preserve"> lub bolesność uciskowa </w:t>
      </w:r>
      <w:r w:rsidRPr="007E4DA1">
        <w:rPr>
          <w:b/>
          <w:noProof w:val="0"/>
          <w:lang w:val="pl-PL"/>
        </w:rPr>
        <w:t>jednej nogi</w:t>
      </w:r>
    </w:p>
    <w:p w14:paraId="498E85C8" w14:textId="77777777" w:rsidR="00904AE3" w:rsidRPr="007E4DA1" w:rsidRDefault="00904AE3" w:rsidP="00DE1596">
      <w:pPr>
        <w:pStyle w:val="Bulletindent"/>
        <w:keepNext/>
        <w:numPr>
          <w:ilvl w:val="0"/>
          <w:numId w:val="24"/>
        </w:numPr>
        <w:tabs>
          <w:tab w:val="clear" w:pos="567"/>
          <w:tab w:val="clear" w:pos="851"/>
        </w:tabs>
        <w:spacing w:before="0" w:line="240" w:lineRule="auto"/>
        <w:ind w:left="567" w:hanging="567"/>
        <w:rPr>
          <w:noProof w:val="0"/>
          <w:lang w:val="pl-PL"/>
        </w:rPr>
      </w:pPr>
      <w:r w:rsidRPr="007E4DA1">
        <w:rPr>
          <w:b/>
          <w:noProof w:val="0"/>
          <w:lang w:val="pl-PL"/>
        </w:rPr>
        <w:t>nagłe skrócenie oddechu</w:t>
      </w:r>
      <w:r w:rsidRPr="007E4DA1">
        <w:rPr>
          <w:noProof w:val="0"/>
          <w:lang w:val="pl-PL"/>
        </w:rPr>
        <w:t>, szczególnie z ostrym bólem w klatce piersio</w:t>
      </w:r>
      <w:r w:rsidR="00F326B0" w:rsidRPr="007E4DA1">
        <w:rPr>
          <w:noProof w:val="0"/>
          <w:lang w:val="pl-PL"/>
        </w:rPr>
        <w:t>wej lub przyspieszeniem oddechu</w:t>
      </w:r>
    </w:p>
    <w:p w14:paraId="7BAF30FB" w14:textId="77777777" w:rsidR="00904AE3" w:rsidRPr="007E4DA1" w:rsidRDefault="00904AE3" w:rsidP="00DE1596">
      <w:pPr>
        <w:pStyle w:val="Bulletindent"/>
        <w:numPr>
          <w:ilvl w:val="0"/>
          <w:numId w:val="24"/>
        </w:numPr>
        <w:tabs>
          <w:tab w:val="clear" w:pos="567"/>
          <w:tab w:val="clear" w:pos="851"/>
        </w:tabs>
        <w:spacing w:before="0" w:line="240" w:lineRule="auto"/>
        <w:ind w:left="567" w:hanging="567"/>
        <w:rPr>
          <w:noProof w:val="0"/>
          <w:lang w:val="pl-PL"/>
        </w:rPr>
      </w:pPr>
      <w:r w:rsidRPr="007E4DA1">
        <w:rPr>
          <w:noProof w:val="0"/>
          <w:lang w:val="pl-PL"/>
        </w:rPr>
        <w:t>ból brzucha (żołądka), powiększenie brzucha, krew w stolcu</w:t>
      </w:r>
      <w:r w:rsidR="00242147" w:rsidRPr="007E4DA1">
        <w:rPr>
          <w:noProof w:val="0"/>
          <w:lang w:val="pl-PL"/>
        </w:rPr>
        <w:t>.</w:t>
      </w:r>
    </w:p>
    <w:p w14:paraId="0AF6F989" w14:textId="77777777" w:rsidR="00157D12" w:rsidRPr="007E4DA1" w:rsidRDefault="00157D12" w:rsidP="00DE1596">
      <w:pPr>
        <w:ind w:left="0" w:firstLine="0"/>
      </w:pPr>
    </w:p>
    <w:p w14:paraId="7F9D0C1D" w14:textId="77777777" w:rsidR="00041A08" w:rsidRPr="00041A08" w:rsidRDefault="002C6893" w:rsidP="00DE1596">
      <w:pPr>
        <w:keepNext/>
        <w:ind w:left="0" w:firstLine="0"/>
      </w:pPr>
      <w:r w:rsidRPr="007E4DA1">
        <w:rPr>
          <w:b/>
        </w:rPr>
        <w:t>Zaburzenia</w:t>
      </w:r>
      <w:r w:rsidR="00622447" w:rsidRPr="007E4DA1">
        <w:rPr>
          <w:b/>
        </w:rPr>
        <w:t xml:space="preserve"> wątrob</w:t>
      </w:r>
      <w:r w:rsidRPr="007E4DA1">
        <w:rPr>
          <w:b/>
        </w:rPr>
        <w:t>y</w:t>
      </w:r>
    </w:p>
    <w:p w14:paraId="1BAF4953" w14:textId="1E88C292" w:rsidR="00622447" w:rsidRPr="007E4DA1" w:rsidRDefault="00622447" w:rsidP="00DE1596">
      <w:pPr>
        <w:keepNext/>
        <w:ind w:left="0" w:firstLine="0"/>
      </w:pPr>
      <w:r w:rsidRPr="007E4DA1">
        <w:t>Lek Revolade może wywołać zmiany, widoczne w wynikach badań krwi, które mogą być objawami uszkodzenia wątroby.</w:t>
      </w:r>
      <w:r w:rsidR="0066449B" w:rsidRPr="007E4DA1">
        <w:t xml:space="preserve"> </w:t>
      </w:r>
      <w:r w:rsidR="00EF1652" w:rsidRPr="007E4DA1">
        <w:t>Zaburzenia</w:t>
      </w:r>
      <w:r w:rsidR="0066449B" w:rsidRPr="007E4DA1">
        <w:t xml:space="preserve"> wątrob</w:t>
      </w:r>
      <w:r w:rsidR="00EF1652" w:rsidRPr="007E4DA1">
        <w:t>y</w:t>
      </w:r>
      <w:r w:rsidR="0066449B" w:rsidRPr="007E4DA1">
        <w:t xml:space="preserve"> </w:t>
      </w:r>
      <w:r w:rsidR="00242147" w:rsidRPr="007E4DA1">
        <w:t xml:space="preserve">(zwiększenie </w:t>
      </w:r>
      <w:r w:rsidR="00AF6956" w:rsidRPr="007E4DA1">
        <w:t>aktywności</w:t>
      </w:r>
      <w:r w:rsidR="00242147" w:rsidRPr="007E4DA1">
        <w:t xml:space="preserve"> enzymów w wynikach badań krwi) są</w:t>
      </w:r>
      <w:r w:rsidR="0066449B" w:rsidRPr="007E4DA1">
        <w:t xml:space="preserve"> częst</w:t>
      </w:r>
      <w:r w:rsidR="00242147" w:rsidRPr="007E4DA1">
        <w:t>e</w:t>
      </w:r>
      <w:r w:rsidR="0066449B" w:rsidRPr="007E4DA1">
        <w:t xml:space="preserve"> i mogą dotyczyć nie więcej niż 1 na 10</w:t>
      </w:r>
      <w:r w:rsidR="006574FF" w:rsidRPr="007E4DA1">
        <w:t> </w:t>
      </w:r>
      <w:r w:rsidR="0066449B" w:rsidRPr="007E4DA1">
        <w:t xml:space="preserve">pacjentów. </w:t>
      </w:r>
      <w:r w:rsidR="004B5A0A" w:rsidRPr="007E4DA1">
        <w:t>Inne p</w:t>
      </w:r>
      <w:r w:rsidR="0066449B" w:rsidRPr="007E4DA1">
        <w:t xml:space="preserve">roblemy z wątrobą </w:t>
      </w:r>
      <w:r w:rsidR="004B5A0A" w:rsidRPr="007E4DA1">
        <w:t>są</w:t>
      </w:r>
      <w:r w:rsidR="0066449B" w:rsidRPr="007E4DA1">
        <w:t xml:space="preserve"> niezbyt częst</w:t>
      </w:r>
      <w:r w:rsidR="004B5A0A" w:rsidRPr="007E4DA1">
        <w:t>e</w:t>
      </w:r>
      <w:r w:rsidR="0066449B" w:rsidRPr="007E4DA1">
        <w:t xml:space="preserve"> i mogą dotyczyć </w:t>
      </w:r>
      <w:r w:rsidR="00BB782D" w:rsidRPr="007E4DA1">
        <w:t>nie więcej niż 1 na 100</w:t>
      </w:r>
      <w:r w:rsidR="006574FF" w:rsidRPr="007E4DA1">
        <w:t> </w:t>
      </w:r>
      <w:r w:rsidR="00BB782D" w:rsidRPr="007E4DA1">
        <w:t>pacjentów.</w:t>
      </w:r>
    </w:p>
    <w:p w14:paraId="2E9CA495" w14:textId="77777777" w:rsidR="00377D82" w:rsidRPr="007E4DA1" w:rsidRDefault="00377D82" w:rsidP="00DE1596"/>
    <w:p w14:paraId="4A62C125" w14:textId="77777777" w:rsidR="005736ED" w:rsidRPr="007E4DA1" w:rsidRDefault="00377D82" w:rsidP="00DE1596">
      <w:pPr>
        <w:keepNext/>
      </w:pPr>
      <w:r w:rsidRPr="007E4DA1">
        <w:t>J</w:t>
      </w:r>
      <w:r w:rsidR="005736ED" w:rsidRPr="007E4DA1">
        <w:t xml:space="preserve">eśli wystąpią </w:t>
      </w:r>
      <w:r w:rsidRPr="007E4DA1">
        <w:t>które</w:t>
      </w:r>
      <w:r w:rsidR="005736ED" w:rsidRPr="007E4DA1">
        <w:t xml:space="preserve">kolwiek </w:t>
      </w:r>
      <w:r w:rsidRPr="007E4DA1">
        <w:t xml:space="preserve">z wymienionych </w:t>
      </w:r>
      <w:r w:rsidR="005736ED" w:rsidRPr="007E4DA1">
        <w:t>objaw</w:t>
      </w:r>
      <w:r w:rsidRPr="007E4DA1">
        <w:t>ów</w:t>
      </w:r>
      <w:r w:rsidR="005736ED" w:rsidRPr="007E4DA1">
        <w:t xml:space="preserve"> zaburzeń wątroby:</w:t>
      </w:r>
    </w:p>
    <w:p w14:paraId="49987A30" w14:textId="4DACC3CD" w:rsidR="00622447" w:rsidRPr="007E4DA1" w:rsidRDefault="00EF1652" w:rsidP="00DE1596">
      <w:pPr>
        <w:keepNext/>
        <w:numPr>
          <w:ilvl w:val="0"/>
          <w:numId w:val="25"/>
        </w:numPr>
        <w:ind w:left="567" w:hanging="567"/>
      </w:pPr>
      <w:r w:rsidRPr="007E4DA1">
        <w:rPr>
          <w:b/>
        </w:rPr>
        <w:t xml:space="preserve">zażółcenie </w:t>
      </w:r>
      <w:r w:rsidR="005736ED" w:rsidRPr="007E4DA1">
        <w:t>skóry lub białk</w:t>
      </w:r>
      <w:r w:rsidR="007E0DD4" w:rsidRPr="007E4DA1">
        <w:t>ówek</w:t>
      </w:r>
      <w:r w:rsidR="005736ED" w:rsidRPr="007E4DA1">
        <w:t xml:space="preserve"> oczu (żółtaczka)</w:t>
      </w:r>
    </w:p>
    <w:p w14:paraId="799463CB" w14:textId="77777777" w:rsidR="00377D82" w:rsidRPr="007E4DA1" w:rsidRDefault="00377D82" w:rsidP="00DE1596">
      <w:pPr>
        <w:numPr>
          <w:ilvl w:val="0"/>
          <w:numId w:val="25"/>
        </w:numPr>
        <w:tabs>
          <w:tab w:val="left" w:pos="567"/>
        </w:tabs>
        <w:ind w:left="0" w:firstLine="0"/>
      </w:pPr>
      <w:r w:rsidRPr="007E4DA1">
        <w:t xml:space="preserve">nieprawidłowo </w:t>
      </w:r>
      <w:r w:rsidR="00EF1652" w:rsidRPr="007E4DA1">
        <w:rPr>
          <w:b/>
        </w:rPr>
        <w:t>ciemn</w:t>
      </w:r>
      <w:r w:rsidRPr="007E4DA1">
        <w:rPr>
          <w:b/>
        </w:rPr>
        <w:t>e</w:t>
      </w:r>
      <w:r w:rsidR="005736ED" w:rsidRPr="007E4DA1">
        <w:rPr>
          <w:b/>
        </w:rPr>
        <w:t xml:space="preserve"> zabarwienie moczu</w:t>
      </w:r>
    </w:p>
    <w:p w14:paraId="4CC55337" w14:textId="77777777" w:rsidR="00904AE3" w:rsidRPr="007E4DA1" w:rsidRDefault="00377D82" w:rsidP="00DE1596">
      <w:pPr>
        <w:numPr>
          <w:ilvl w:val="0"/>
          <w:numId w:val="13"/>
        </w:numPr>
        <w:ind w:left="567" w:hanging="567"/>
      </w:pPr>
      <w:r w:rsidRPr="007E4DA1">
        <w:rPr>
          <w:b/>
        </w:rPr>
        <w:t>należy natychmiast powiedzieć lekarzowi</w:t>
      </w:r>
      <w:r w:rsidRPr="007E4DA1">
        <w:t>.</w:t>
      </w:r>
    </w:p>
    <w:p w14:paraId="4916312F" w14:textId="77777777" w:rsidR="00377D82" w:rsidRPr="007E4DA1" w:rsidRDefault="00377D82" w:rsidP="00DE1596">
      <w:pPr>
        <w:ind w:left="0" w:firstLine="0"/>
      </w:pPr>
    </w:p>
    <w:p w14:paraId="1B8B2A2A" w14:textId="77777777" w:rsidR="00041A08" w:rsidRPr="00041A08" w:rsidRDefault="0053311F" w:rsidP="00DE1596">
      <w:pPr>
        <w:keepNext/>
      </w:pPr>
      <w:r w:rsidRPr="007E4DA1">
        <w:rPr>
          <w:b/>
        </w:rPr>
        <w:t xml:space="preserve">Krwawienie </w:t>
      </w:r>
      <w:r w:rsidR="005736ED" w:rsidRPr="007E4DA1">
        <w:rPr>
          <w:b/>
        </w:rPr>
        <w:t xml:space="preserve">lub siniaczenie </w:t>
      </w:r>
      <w:r w:rsidRPr="007E4DA1">
        <w:rPr>
          <w:b/>
        </w:rPr>
        <w:t>po przerwaniu leczenia</w:t>
      </w:r>
    </w:p>
    <w:p w14:paraId="374BA1A8" w14:textId="46E6B3C3" w:rsidR="0053311F" w:rsidRPr="007E4DA1" w:rsidRDefault="0053311F" w:rsidP="00DE1596">
      <w:pPr>
        <w:ind w:left="0" w:firstLine="0"/>
      </w:pPr>
      <w:r w:rsidRPr="007E4DA1">
        <w:t xml:space="preserve">Zazwyczaj w ciągu dwóch tygodni od przerwania </w:t>
      </w:r>
      <w:r w:rsidR="00655109" w:rsidRPr="007E4DA1">
        <w:t xml:space="preserve">stosowania </w:t>
      </w:r>
      <w:r w:rsidRPr="007E4DA1">
        <w:t>lek</w:t>
      </w:r>
      <w:r w:rsidR="00655109" w:rsidRPr="007E4DA1">
        <w:t>u</w:t>
      </w:r>
      <w:r w:rsidRPr="007E4DA1">
        <w:t xml:space="preserve"> Revolade </w:t>
      </w:r>
      <w:r w:rsidR="009F07F5" w:rsidRPr="007E4DA1">
        <w:t xml:space="preserve">liczba płytek krwi u pacjenta zmniejsza się do poziomu sprzed rozpoczęcia stosowania leku Revolade. Mała liczba płytek krwi może </w:t>
      </w:r>
      <w:r w:rsidR="0077584A" w:rsidRPr="007E4DA1">
        <w:t>zwiększyć</w:t>
      </w:r>
      <w:r w:rsidR="000A0438" w:rsidRPr="007E4DA1">
        <w:t xml:space="preserve"> ryzyko krwawienia</w:t>
      </w:r>
      <w:r w:rsidR="005736ED" w:rsidRPr="007E4DA1">
        <w:t xml:space="preserve"> lub siniaczenia</w:t>
      </w:r>
      <w:r w:rsidR="000A0438" w:rsidRPr="007E4DA1">
        <w:t>. Lekarz będzie kontrolował liczbę płytek krwi u pacjenta przez co najmniej 4</w:t>
      </w:r>
      <w:r w:rsidR="00E10279" w:rsidRPr="007E4DA1">
        <w:t> </w:t>
      </w:r>
      <w:r w:rsidR="000A0438" w:rsidRPr="007E4DA1">
        <w:t>tygodnie po przerwaniu stosowania leku Revolade.</w:t>
      </w:r>
    </w:p>
    <w:p w14:paraId="6B8580DF" w14:textId="77777777" w:rsidR="00962847" w:rsidRPr="007E4DA1" w:rsidRDefault="00962847" w:rsidP="00DE1596">
      <w:pPr>
        <w:numPr>
          <w:ilvl w:val="0"/>
          <w:numId w:val="5"/>
        </w:numPr>
        <w:tabs>
          <w:tab w:val="clear" w:pos="720"/>
        </w:tabs>
        <w:ind w:left="567" w:hanging="567"/>
      </w:pPr>
      <w:r w:rsidRPr="007E4DA1">
        <w:rPr>
          <w:b/>
          <w:szCs w:val="22"/>
        </w:rPr>
        <w:t xml:space="preserve">Należy poinformować lekarza, </w:t>
      </w:r>
      <w:r w:rsidRPr="007E4DA1">
        <w:rPr>
          <w:szCs w:val="22"/>
        </w:rPr>
        <w:t>jeśli po przerwaniu stosowania leku Revolade wystąpią u pacjenta siniaki lub krwawienie.</w:t>
      </w:r>
    </w:p>
    <w:p w14:paraId="7BADD8DA" w14:textId="77777777" w:rsidR="00B4617A" w:rsidRPr="007E4DA1" w:rsidRDefault="00B4617A" w:rsidP="00DE1596">
      <w:pPr>
        <w:ind w:left="0" w:firstLine="0"/>
      </w:pPr>
    </w:p>
    <w:p w14:paraId="57652E7C" w14:textId="77777777" w:rsidR="005846A5" w:rsidRPr="007E4DA1" w:rsidRDefault="00B30A9A" w:rsidP="00DE1596">
      <w:pPr>
        <w:keepNext/>
        <w:ind w:left="0" w:firstLine="0"/>
      </w:pPr>
      <w:r w:rsidRPr="007E4DA1">
        <w:t>U niektórych pacjentów wyst</w:t>
      </w:r>
      <w:r w:rsidR="00514474" w:rsidRPr="007E4DA1">
        <w:t>ę</w:t>
      </w:r>
      <w:r w:rsidRPr="007E4DA1">
        <w:t>p</w:t>
      </w:r>
      <w:r w:rsidR="00514474" w:rsidRPr="007E4DA1">
        <w:t>ują</w:t>
      </w:r>
      <w:r w:rsidRPr="007E4DA1">
        <w:t xml:space="preserve"> </w:t>
      </w:r>
      <w:r w:rsidRPr="007E4DA1">
        <w:rPr>
          <w:b/>
        </w:rPr>
        <w:t>krwawieni</w:t>
      </w:r>
      <w:r w:rsidR="00514474" w:rsidRPr="007E4DA1">
        <w:rPr>
          <w:b/>
        </w:rPr>
        <w:t>a</w:t>
      </w:r>
      <w:r w:rsidRPr="007E4DA1">
        <w:rPr>
          <w:b/>
        </w:rPr>
        <w:t xml:space="preserve"> z przew</w:t>
      </w:r>
      <w:r w:rsidR="005846A5" w:rsidRPr="007E4DA1">
        <w:rPr>
          <w:b/>
        </w:rPr>
        <w:t>odu pokarmowego</w:t>
      </w:r>
      <w:r w:rsidR="005846A5" w:rsidRPr="007E4DA1">
        <w:t xml:space="preserve"> po zaprzestaniu stosowania peginterferonu, rybawiryny i leku Revolade. </w:t>
      </w:r>
      <w:r w:rsidR="00514474" w:rsidRPr="007E4DA1">
        <w:t>Objawami są</w:t>
      </w:r>
      <w:r w:rsidR="005846A5" w:rsidRPr="007E4DA1">
        <w:t>:</w:t>
      </w:r>
    </w:p>
    <w:p w14:paraId="5FB53EA9" w14:textId="77777777" w:rsidR="00B30A9A" w:rsidRPr="007E4DA1" w:rsidRDefault="005846A5" w:rsidP="00DE1596">
      <w:pPr>
        <w:keepNext/>
        <w:numPr>
          <w:ilvl w:val="0"/>
          <w:numId w:val="26"/>
        </w:numPr>
        <w:ind w:left="567" w:hanging="567"/>
      </w:pPr>
      <w:r w:rsidRPr="007E4DA1">
        <w:t>czarne, smoliste stolce (</w:t>
      </w:r>
      <w:r w:rsidR="00CF4CA9" w:rsidRPr="007E4DA1">
        <w:t>zmian</w:t>
      </w:r>
      <w:r w:rsidR="00514474" w:rsidRPr="007E4DA1">
        <w:t>y</w:t>
      </w:r>
      <w:r w:rsidR="00CF4CA9" w:rsidRPr="007E4DA1">
        <w:t xml:space="preserve"> zabarwienia stolca </w:t>
      </w:r>
      <w:r w:rsidR="00514474" w:rsidRPr="007E4DA1">
        <w:t>są</w:t>
      </w:r>
      <w:r w:rsidR="00CF4CA9" w:rsidRPr="007E4DA1">
        <w:t xml:space="preserve"> niezbyt częstym działaniem niepożądanym</w:t>
      </w:r>
      <w:r w:rsidR="00514474" w:rsidRPr="007E4DA1">
        <w:t>, który m</w:t>
      </w:r>
      <w:r w:rsidR="00CF4CA9" w:rsidRPr="007E4DA1">
        <w:t>o</w:t>
      </w:r>
      <w:r w:rsidR="00EF1652" w:rsidRPr="007E4DA1">
        <w:t>że</w:t>
      </w:r>
      <w:r w:rsidR="00CF4CA9" w:rsidRPr="007E4DA1">
        <w:t xml:space="preserve"> dotyczyć nie więcej niż 1 na 100</w:t>
      </w:r>
      <w:r w:rsidR="00E10279" w:rsidRPr="007E4DA1">
        <w:t> </w:t>
      </w:r>
      <w:r w:rsidR="00CF4CA9" w:rsidRPr="007E4DA1">
        <w:t>pacjentów)</w:t>
      </w:r>
    </w:p>
    <w:p w14:paraId="4731BDA6" w14:textId="77777777" w:rsidR="005846A5" w:rsidRPr="007E4DA1" w:rsidRDefault="005846A5" w:rsidP="00DE1596">
      <w:pPr>
        <w:keepNext/>
        <w:numPr>
          <w:ilvl w:val="0"/>
          <w:numId w:val="26"/>
        </w:numPr>
        <w:ind w:left="567" w:hanging="567"/>
      </w:pPr>
      <w:r w:rsidRPr="007E4DA1">
        <w:t>krew w stolcu</w:t>
      </w:r>
    </w:p>
    <w:p w14:paraId="5A45647E" w14:textId="77777777" w:rsidR="00CD4879" w:rsidRPr="007E4DA1" w:rsidRDefault="00CD4879" w:rsidP="00DE1596">
      <w:pPr>
        <w:keepNext/>
        <w:numPr>
          <w:ilvl w:val="0"/>
          <w:numId w:val="26"/>
        </w:numPr>
        <w:ind w:left="567" w:hanging="567"/>
      </w:pPr>
      <w:r w:rsidRPr="007E4DA1">
        <w:t>wymiot</w:t>
      </w:r>
      <w:r w:rsidR="00514474" w:rsidRPr="007E4DA1">
        <w:t>y</w:t>
      </w:r>
      <w:r w:rsidRPr="007E4DA1">
        <w:t xml:space="preserve"> krwią lub treścią przypominającą fusy kawowe</w:t>
      </w:r>
    </w:p>
    <w:p w14:paraId="332D11C9" w14:textId="77777777" w:rsidR="00514474" w:rsidRPr="007E4DA1" w:rsidRDefault="00514474" w:rsidP="00DE1596">
      <w:pPr>
        <w:numPr>
          <w:ilvl w:val="0"/>
          <w:numId w:val="5"/>
        </w:numPr>
        <w:tabs>
          <w:tab w:val="clear" w:pos="720"/>
          <w:tab w:val="num" w:pos="567"/>
        </w:tabs>
        <w:ind w:left="567" w:hanging="567"/>
      </w:pPr>
      <w:r w:rsidRPr="007E4DA1">
        <w:rPr>
          <w:b/>
        </w:rPr>
        <w:t xml:space="preserve">Należy natychmiast powiedzieć lekarzowi, </w:t>
      </w:r>
      <w:r w:rsidRPr="007E4DA1">
        <w:t>jeśli wystąpią jakiekolwiek z wymienionych objawów.</w:t>
      </w:r>
    </w:p>
    <w:p w14:paraId="631027F4" w14:textId="77777777" w:rsidR="00CD4879" w:rsidRPr="007E4DA1" w:rsidRDefault="00CD4879" w:rsidP="00DE1596">
      <w:pPr>
        <w:ind w:left="0" w:firstLine="0"/>
      </w:pPr>
    </w:p>
    <w:p w14:paraId="7B562C6F" w14:textId="77777777" w:rsidR="00041A08" w:rsidRPr="00041A08" w:rsidRDefault="00D578FB" w:rsidP="00DE1596">
      <w:pPr>
        <w:keepNext/>
        <w:ind w:left="0" w:firstLine="0"/>
      </w:pPr>
      <w:r w:rsidRPr="007E4DA1">
        <w:rPr>
          <w:b/>
        </w:rPr>
        <w:t>Następujące działania niepożądane były zgłaszane jako związane z leczeniem lekiem Revolade</w:t>
      </w:r>
      <w:r w:rsidR="00072B47" w:rsidRPr="007E4DA1">
        <w:rPr>
          <w:b/>
        </w:rPr>
        <w:t xml:space="preserve"> </w:t>
      </w:r>
      <w:r w:rsidR="000C54AB" w:rsidRPr="007E4DA1">
        <w:rPr>
          <w:b/>
        </w:rPr>
        <w:t>u</w:t>
      </w:r>
      <w:r w:rsidR="001D7908" w:rsidRPr="007E4DA1">
        <w:rPr>
          <w:b/>
        </w:rPr>
        <w:t xml:space="preserve"> dorosłych</w:t>
      </w:r>
      <w:r w:rsidR="000C54AB" w:rsidRPr="007E4DA1">
        <w:rPr>
          <w:b/>
        </w:rPr>
        <w:t xml:space="preserve"> </w:t>
      </w:r>
      <w:r w:rsidRPr="007E4DA1">
        <w:rPr>
          <w:b/>
        </w:rPr>
        <w:t xml:space="preserve">pacjentów </w:t>
      </w:r>
      <w:r w:rsidR="000C54AB" w:rsidRPr="007E4DA1">
        <w:rPr>
          <w:b/>
        </w:rPr>
        <w:t>z pierwotną małopłytkowością immunologiczną</w:t>
      </w:r>
      <w:r w:rsidRPr="007E4DA1">
        <w:rPr>
          <w:b/>
        </w:rPr>
        <w:t>:</w:t>
      </w:r>
    </w:p>
    <w:p w14:paraId="244D478C" w14:textId="44DD5D6E" w:rsidR="00E90CEA" w:rsidRPr="007E4DA1" w:rsidRDefault="00E90CEA" w:rsidP="00DE1596">
      <w:pPr>
        <w:keepNext/>
        <w:ind w:left="0" w:firstLine="0"/>
      </w:pPr>
    </w:p>
    <w:p w14:paraId="23325CEF" w14:textId="77777777" w:rsidR="00041A08" w:rsidRPr="00041A08" w:rsidRDefault="009C2AB3" w:rsidP="00DE1596">
      <w:pPr>
        <w:keepNext/>
        <w:rPr>
          <w:szCs w:val="22"/>
        </w:rPr>
      </w:pPr>
      <w:r w:rsidRPr="007E4DA1">
        <w:rPr>
          <w:b/>
          <w:szCs w:val="22"/>
        </w:rPr>
        <w:t>Bardzo częste działania niepożądane</w:t>
      </w:r>
    </w:p>
    <w:p w14:paraId="02D92984" w14:textId="33F3989C" w:rsidR="009C2AB3" w:rsidRPr="007E4DA1" w:rsidRDefault="009C2AB3" w:rsidP="00DE1596">
      <w:pPr>
        <w:keepNext/>
        <w:rPr>
          <w:szCs w:val="22"/>
        </w:rPr>
      </w:pPr>
      <w:r w:rsidRPr="007E4DA1">
        <w:rPr>
          <w:szCs w:val="22"/>
        </w:rPr>
        <w:t xml:space="preserve">Mogą wystąpić </w:t>
      </w:r>
      <w:r w:rsidRPr="007E4DA1">
        <w:rPr>
          <w:b/>
          <w:szCs w:val="22"/>
        </w:rPr>
        <w:t>częściej niż u 1 na 10 </w:t>
      </w:r>
      <w:r w:rsidRPr="007E4DA1">
        <w:rPr>
          <w:szCs w:val="22"/>
        </w:rPr>
        <w:t>pacjentów:</w:t>
      </w:r>
    </w:p>
    <w:p w14:paraId="601A4CF2"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przeziębienie</w:t>
      </w:r>
    </w:p>
    <w:p w14:paraId="6C06CF42"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nudności</w:t>
      </w:r>
    </w:p>
    <w:p w14:paraId="5C4A04AC"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biegunka</w:t>
      </w:r>
    </w:p>
    <w:p w14:paraId="1EA21154" w14:textId="77777777" w:rsidR="009C2AB3" w:rsidRPr="007E4DA1" w:rsidRDefault="009C2AB3" w:rsidP="00DE1596">
      <w:pPr>
        <w:pStyle w:val="listdashnospace"/>
        <w:numPr>
          <w:ilvl w:val="0"/>
          <w:numId w:val="65"/>
        </w:numPr>
        <w:tabs>
          <w:tab w:val="clear" w:pos="709"/>
          <w:tab w:val="num" w:pos="540"/>
        </w:tabs>
        <w:ind w:left="567"/>
        <w:rPr>
          <w:sz w:val="22"/>
          <w:szCs w:val="22"/>
          <w:lang w:val="pl-PL"/>
        </w:rPr>
      </w:pPr>
      <w:r w:rsidRPr="007E4DA1">
        <w:rPr>
          <w:sz w:val="22"/>
          <w:szCs w:val="22"/>
          <w:lang w:val="pl-PL"/>
        </w:rPr>
        <w:t>kaszel</w:t>
      </w:r>
    </w:p>
    <w:p w14:paraId="4A7F8AFF" w14:textId="77E06929"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zakażenie nosa, zatok, gardła i górnych dróg oddechowych (zakażenie górnych dróg oddechowych)</w:t>
      </w:r>
    </w:p>
    <w:p w14:paraId="1A043D6B" w14:textId="77777777" w:rsidR="00752851" w:rsidRPr="007E4DA1" w:rsidRDefault="00752851" w:rsidP="00DE1596">
      <w:pPr>
        <w:pStyle w:val="listdashnospace"/>
        <w:numPr>
          <w:ilvl w:val="0"/>
          <w:numId w:val="65"/>
        </w:numPr>
        <w:tabs>
          <w:tab w:val="clear" w:pos="709"/>
        </w:tabs>
        <w:ind w:left="567"/>
        <w:rPr>
          <w:sz w:val="22"/>
          <w:szCs w:val="22"/>
          <w:lang w:val="pl-PL"/>
        </w:rPr>
      </w:pPr>
      <w:r w:rsidRPr="007E4DA1">
        <w:rPr>
          <w:sz w:val="22"/>
          <w:szCs w:val="22"/>
          <w:lang w:val="pl-PL"/>
        </w:rPr>
        <w:t>ból pleców</w:t>
      </w:r>
    </w:p>
    <w:p w14:paraId="2FB4F11D" w14:textId="77777777" w:rsidR="009C2AB3" w:rsidRPr="007E4DA1" w:rsidRDefault="009C2AB3" w:rsidP="00DE1596">
      <w:pPr>
        <w:pStyle w:val="listdashnospace"/>
        <w:numPr>
          <w:ilvl w:val="0"/>
          <w:numId w:val="0"/>
        </w:numPr>
        <w:rPr>
          <w:sz w:val="22"/>
          <w:szCs w:val="22"/>
          <w:lang w:val="pl-PL"/>
        </w:rPr>
      </w:pPr>
    </w:p>
    <w:p w14:paraId="26810C38" w14:textId="77777777" w:rsidR="00041A08" w:rsidRPr="00041A08" w:rsidRDefault="009C2AB3" w:rsidP="00DE1596">
      <w:pPr>
        <w:pStyle w:val="listdashnospace"/>
        <w:keepNext/>
        <w:numPr>
          <w:ilvl w:val="0"/>
          <w:numId w:val="0"/>
        </w:numPr>
        <w:rPr>
          <w:sz w:val="22"/>
          <w:szCs w:val="22"/>
          <w:lang w:val="pl-PL"/>
        </w:rPr>
      </w:pPr>
      <w:r w:rsidRPr="007E4DA1">
        <w:rPr>
          <w:b/>
          <w:sz w:val="22"/>
          <w:szCs w:val="22"/>
          <w:lang w:val="pl-PL"/>
        </w:rPr>
        <w:t>Bardzo częste działania niepożądane, które mogą ujawnić się w badaniach krwi:</w:t>
      </w:r>
    </w:p>
    <w:p w14:paraId="53C54596" w14:textId="6B52C2AC" w:rsidR="009C2AB3" w:rsidRPr="007E4DA1" w:rsidRDefault="009C2AB3" w:rsidP="00DE1596">
      <w:pPr>
        <w:pStyle w:val="listdashnospace"/>
        <w:numPr>
          <w:ilvl w:val="0"/>
          <w:numId w:val="75"/>
        </w:numPr>
        <w:ind w:left="567" w:hanging="567"/>
        <w:rPr>
          <w:sz w:val="22"/>
          <w:szCs w:val="22"/>
          <w:lang w:val="pl-PL"/>
        </w:rPr>
      </w:pPr>
      <w:r w:rsidRPr="007E4DA1">
        <w:rPr>
          <w:sz w:val="22"/>
          <w:szCs w:val="22"/>
          <w:lang w:val="pl-PL"/>
        </w:rPr>
        <w:t>zwiększenie aktywności enzym</w:t>
      </w:r>
      <w:r w:rsidR="004D3758">
        <w:rPr>
          <w:sz w:val="22"/>
          <w:szCs w:val="22"/>
          <w:lang w:val="pl-PL"/>
        </w:rPr>
        <w:t>u</w:t>
      </w:r>
      <w:r w:rsidRPr="007E4DA1">
        <w:rPr>
          <w:sz w:val="22"/>
          <w:szCs w:val="22"/>
          <w:lang w:val="pl-PL"/>
        </w:rPr>
        <w:t xml:space="preserve"> wątrobow</w:t>
      </w:r>
      <w:r w:rsidR="004D3758">
        <w:rPr>
          <w:sz w:val="22"/>
          <w:szCs w:val="22"/>
          <w:lang w:val="pl-PL"/>
        </w:rPr>
        <w:t>ego</w:t>
      </w:r>
      <w:r w:rsidRPr="007E4DA1">
        <w:rPr>
          <w:sz w:val="22"/>
          <w:szCs w:val="22"/>
          <w:lang w:val="pl-PL"/>
        </w:rPr>
        <w:t xml:space="preserve"> aminotransferazy alaninowej (AlAT)</w:t>
      </w:r>
    </w:p>
    <w:p w14:paraId="520B6E2C" w14:textId="77777777" w:rsidR="009C2AB3" w:rsidRPr="007E4DA1" w:rsidRDefault="009C2AB3" w:rsidP="00DE1596">
      <w:pPr>
        <w:rPr>
          <w:szCs w:val="22"/>
        </w:rPr>
      </w:pPr>
    </w:p>
    <w:p w14:paraId="0D843661" w14:textId="77777777" w:rsidR="00041A08" w:rsidRPr="00041A08" w:rsidRDefault="009C2AB3" w:rsidP="00DE1596">
      <w:pPr>
        <w:keepNext/>
        <w:rPr>
          <w:szCs w:val="22"/>
        </w:rPr>
      </w:pPr>
      <w:r w:rsidRPr="007E4DA1">
        <w:rPr>
          <w:b/>
          <w:szCs w:val="22"/>
        </w:rPr>
        <w:t>Częste działania niepożądane</w:t>
      </w:r>
    </w:p>
    <w:p w14:paraId="4276ACB6" w14:textId="3FBE95C3" w:rsidR="009C2AB3" w:rsidRPr="007E4DA1" w:rsidRDefault="009C2AB3" w:rsidP="00DE1596">
      <w:pPr>
        <w:keepNext/>
        <w:rPr>
          <w:szCs w:val="22"/>
        </w:rPr>
      </w:pPr>
      <w:r w:rsidRPr="007E4DA1">
        <w:rPr>
          <w:szCs w:val="22"/>
        </w:rPr>
        <w:t xml:space="preserve">Mogą wystąpić </w:t>
      </w:r>
      <w:r w:rsidRPr="007E4DA1">
        <w:rPr>
          <w:b/>
          <w:szCs w:val="22"/>
        </w:rPr>
        <w:t>nie częściej niż u 1 na 10 </w:t>
      </w:r>
      <w:r w:rsidRPr="007E4DA1">
        <w:rPr>
          <w:szCs w:val="22"/>
        </w:rPr>
        <w:t>pacjentów:</w:t>
      </w:r>
    </w:p>
    <w:p w14:paraId="5DCC962F"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ból mięśni, skurcze mięśni, osłabienie mięśni</w:t>
      </w:r>
    </w:p>
    <w:p w14:paraId="043C07A9"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ból kości</w:t>
      </w:r>
    </w:p>
    <w:p w14:paraId="0DFE8FC7"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obfite krwawienie miesiączkowe</w:t>
      </w:r>
    </w:p>
    <w:p w14:paraId="79DE6D4D"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 xml:space="preserve">ból gardła </w:t>
      </w:r>
      <w:r w:rsidR="005E4F61" w:rsidRPr="007E4DA1">
        <w:rPr>
          <w:sz w:val="22"/>
          <w:szCs w:val="22"/>
          <w:lang w:val="pl-PL"/>
        </w:rPr>
        <w:t>i</w:t>
      </w:r>
      <w:r w:rsidRPr="007E4DA1">
        <w:rPr>
          <w:sz w:val="22"/>
          <w:szCs w:val="22"/>
          <w:lang w:val="pl-PL"/>
        </w:rPr>
        <w:t xml:space="preserve"> uczucie dyskomfortu przy przełykaniu </w:t>
      </w:r>
    </w:p>
    <w:p w14:paraId="65142306"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z</w:t>
      </w:r>
      <w:r w:rsidR="00816B10" w:rsidRPr="007E4DA1">
        <w:rPr>
          <w:sz w:val="22"/>
          <w:szCs w:val="22"/>
          <w:lang w:val="pl-PL"/>
        </w:rPr>
        <w:t>aburzenia</w:t>
      </w:r>
      <w:r w:rsidRPr="007E4DA1">
        <w:rPr>
          <w:sz w:val="22"/>
          <w:szCs w:val="22"/>
          <w:lang w:val="pl-PL"/>
        </w:rPr>
        <w:t xml:space="preserve"> ocz</w:t>
      </w:r>
      <w:r w:rsidR="00816B10" w:rsidRPr="007E4DA1">
        <w:rPr>
          <w:sz w:val="22"/>
          <w:szCs w:val="22"/>
          <w:lang w:val="pl-PL"/>
        </w:rPr>
        <w:t>u</w:t>
      </w:r>
      <w:r w:rsidRPr="007E4DA1">
        <w:rPr>
          <w:sz w:val="22"/>
          <w:szCs w:val="22"/>
          <w:lang w:val="pl-PL"/>
        </w:rPr>
        <w:t>, w tym nieprawidłowe wyniki bada</w:t>
      </w:r>
      <w:r w:rsidR="00816B10" w:rsidRPr="007E4DA1">
        <w:rPr>
          <w:sz w:val="22"/>
          <w:szCs w:val="22"/>
          <w:lang w:val="pl-PL"/>
        </w:rPr>
        <w:t>ń</w:t>
      </w:r>
      <w:r w:rsidRPr="007E4DA1">
        <w:rPr>
          <w:sz w:val="22"/>
          <w:szCs w:val="22"/>
          <w:lang w:val="pl-PL"/>
        </w:rPr>
        <w:t xml:space="preserve"> oczu, suchość oczu, ból oka </w:t>
      </w:r>
      <w:r w:rsidR="005E4F61" w:rsidRPr="007E4DA1">
        <w:rPr>
          <w:sz w:val="22"/>
          <w:szCs w:val="22"/>
          <w:lang w:val="pl-PL"/>
        </w:rPr>
        <w:t xml:space="preserve">i </w:t>
      </w:r>
      <w:r w:rsidRPr="007E4DA1">
        <w:rPr>
          <w:sz w:val="22"/>
          <w:szCs w:val="22"/>
          <w:lang w:val="pl-PL"/>
        </w:rPr>
        <w:t>niewyraźne widzenie</w:t>
      </w:r>
    </w:p>
    <w:p w14:paraId="5090875A"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wymioty</w:t>
      </w:r>
    </w:p>
    <w:p w14:paraId="53A5704B"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grypa</w:t>
      </w:r>
    </w:p>
    <w:p w14:paraId="0CD1DCF8"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opryszczka wargowa</w:t>
      </w:r>
    </w:p>
    <w:p w14:paraId="6A16C2E6"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zapalenie płuc</w:t>
      </w:r>
    </w:p>
    <w:p w14:paraId="063FE33A"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podrażnienie i zapalenie (obrzęk) zatok</w:t>
      </w:r>
    </w:p>
    <w:p w14:paraId="5BFCCA3C" w14:textId="77777777" w:rsidR="00752851"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 xml:space="preserve">zapalenie (obrzęk) i zakażenie migdałków, </w:t>
      </w:r>
    </w:p>
    <w:p w14:paraId="0BE75969" w14:textId="68EA78E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zakażenie płuc, zatok, nosa i gardła</w:t>
      </w:r>
    </w:p>
    <w:p w14:paraId="455DBD0D"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zapalenie tkanki dziąseł</w:t>
      </w:r>
    </w:p>
    <w:p w14:paraId="382A867F"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utrata apetytu</w:t>
      </w:r>
    </w:p>
    <w:p w14:paraId="527689C2"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uczucie mrowienia, kłucia lub drętwienia</w:t>
      </w:r>
    </w:p>
    <w:p w14:paraId="288FA63A" w14:textId="77777777" w:rsidR="00752851" w:rsidRPr="007E4DA1" w:rsidRDefault="00752851" w:rsidP="00DE1596">
      <w:pPr>
        <w:pStyle w:val="listdashnospace"/>
        <w:numPr>
          <w:ilvl w:val="0"/>
          <w:numId w:val="65"/>
        </w:numPr>
        <w:tabs>
          <w:tab w:val="clear" w:pos="709"/>
        </w:tabs>
        <w:ind w:left="567"/>
        <w:rPr>
          <w:sz w:val="22"/>
          <w:szCs w:val="22"/>
          <w:lang w:val="pl-PL"/>
        </w:rPr>
      </w:pPr>
      <w:r w:rsidRPr="007E4DA1">
        <w:rPr>
          <w:sz w:val="22"/>
          <w:szCs w:val="22"/>
          <w:lang w:val="pl-PL"/>
        </w:rPr>
        <w:t>osłabione czucie skórne</w:t>
      </w:r>
    </w:p>
    <w:p w14:paraId="29E8D53D"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senność</w:t>
      </w:r>
    </w:p>
    <w:p w14:paraId="64495AA7"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ból ucha</w:t>
      </w:r>
    </w:p>
    <w:p w14:paraId="6D279C2C"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 xml:space="preserve">ból, obrzęk i </w:t>
      </w:r>
      <w:r w:rsidR="005E4F61" w:rsidRPr="007E4DA1">
        <w:rPr>
          <w:sz w:val="22"/>
          <w:szCs w:val="22"/>
          <w:lang w:val="pl-PL"/>
        </w:rPr>
        <w:t>tkliwość jednej z nóg</w:t>
      </w:r>
      <w:r w:rsidRPr="007E4DA1">
        <w:rPr>
          <w:sz w:val="22"/>
          <w:szCs w:val="22"/>
          <w:lang w:val="pl-PL"/>
        </w:rPr>
        <w:t xml:space="preserve"> (zazwyczaj łyd</w:t>
      </w:r>
      <w:r w:rsidR="005E4F61" w:rsidRPr="007E4DA1">
        <w:rPr>
          <w:sz w:val="22"/>
          <w:szCs w:val="22"/>
          <w:lang w:val="pl-PL"/>
        </w:rPr>
        <w:t>ki</w:t>
      </w:r>
      <w:r w:rsidRPr="007E4DA1">
        <w:rPr>
          <w:sz w:val="22"/>
          <w:szCs w:val="22"/>
          <w:lang w:val="pl-PL"/>
        </w:rPr>
        <w:t xml:space="preserve"> z uciepleniem skóry w zmienionym miejscu (objawy </w:t>
      </w:r>
      <w:r w:rsidR="00701A87" w:rsidRPr="007E4DA1">
        <w:rPr>
          <w:sz w:val="22"/>
          <w:szCs w:val="22"/>
          <w:lang w:val="pl-PL"/>
        </w:rPr>
        <w:t>za</w:t>
      </w:r>
      <w:r w:rsidRPr="007E4DA1">
        <w:rPr>
          <w:sz w:val="22"/>
          <w:szCs w:val="22"/>
          <w:lang w:val="pl-PL"/>
        </w:rPr>
        <w:t>krzepu w żyle głębokiej)</w:t>
      </w:r>
    </w:p>
    <w:p w14:paraId="239F2638"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miejscowe obrzmienie wypełnione krwią z uszkodzonego naczynia krwionośnego (krwiak)</w:t>
      </w:r>
    </w:p>
    <w:p w14:paraId="2B89EAEB" w14:textId="3DC9D221" w:rsidR="00752851" w:rsidRPr="007E4DA1" w:rsidRDefault="00752851" w:rsidP="00DE1596">
      <w:pPr>
        <w:pStyle w:val="listdashnospace"/>
        <w:numPr>
          <w:ilvl w:val="0"/>
          <w:numId w:val="65"/>
        </w:numPr>
        <w:tabs>
          <w:tab w:val="clear" w:pos="709"/>
        </w:tabs>
        <w:ind w:left="567"/>
        <w:rPr>
          <w:sz w:val="22"/>
          <w:szCs w:val="22"/>
          <w:lang w:val="pl-PL"/>
        </w:rPr>
      </w:pPr>
      <w:r w:rsidRPr="007E4DA1">
        <w:rPr>
          <w:sz w:val="22"/>
          <w:szCs w:val="22"/>
          <w:lang w:val="pl-PL"/>
        </w:rPr>
        <w:t>uderzenia gorąca</w:t>
      </w:r>
    </w:p>
    <w:p w14:paraId="6505F22A"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 xml:space="preserve">zaburzenia w obrębie jamy ustnej, w tym </w:t>
      </w:r>
      <w:r w:rsidR="002224D7" w:rsidRPr="007E4DA1">
        <w:rPr>
          <w:sz w:val="22"/>
          <w:szCs w:val="22"/>
          <w:lang w:val="pl-PL"/>
        </w:rPr>
        <w:t>suchość w ustach, ból w ustach</w:t>
      </w:r>
      <w:r w:rsidRPr="007E4DA1">
        <w:rPr>
          <w:sz w:val="22"/>
          <w:szCs w:val="22"/>
          <w:lang w:val="pl-PL"/>
        </w:rPr>
        <w:t>, nadwrażliwość języka, krwawienie z dziąseł, wrzody w jamie ustnej</w:t>
      </w:r>
    </w:p>
    <w:p w14:paraId="30282953"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wodnista wydzielina z nosa</w:t>
      </w:r>
    </w:p>
    <w:p w14:paraId="0FC6167E"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ból zęb</w:t>
      </w:r>
      <w:r w:rsidR="002224D7" w:rsidRPr="007E4DA1">
        <w:rPr>
          <w:sz w:val="22"/>
          <w:szCs w:val="22"/>
          <w:lang w:val="pl-PL"/>
        </w:rPr>
        <w:t>a</w:t>
      </w:r>
    </w:p>
    <w:p w14:paraId="3D59A23C" w14:textId="0DAAAA25" w:rsidR="009C2AB3" w:rsidRPr="007E4DA1" w:rsidRDefault="00752851" w:rsidP="00DE1596">
      <w:pPr>
        <w:pStyle w:val="listdashnospace"/>
        <w:numPr>
          <w:ilvl w:val="0"/>
          <w:numId w:val="65"/>
        </w:numPr>
        <w:tabs>
          <w:tab w:val="clear" w:pos="709"/>
        </w:tabs>
        <w:ind w:left="567"/>
        <w:rPr>
          <w:sz w:val="22"/>
          <w:szCs w:val="22"/>
          <w:lang w:val="pl-PL"/>
        </w:rPr>
      </w:pPr>
      <w:r w:rsidRPr="007E4DA1">
        <w:rPr>
          <w:sz w:val="22"/>
          <w:szCs w:val="22"/>
          <w:lang w:val="pl-PL"/>
        </w:rPr>
        <w:t>ból brzucha</w:t>
      </w:r>
    </w:p>
    <w:p w14:paraId="32B1B60F" w14:textId="0F84F70D" w:rsidR="009C2AB3" w:rsidRPr="007E4DA1" w:rsidRDefault="007E0DD4" w:rsidP="00DE1596">
      <w:pPr>
        <w:pStyle w:val="listdashnospace"/>
        <w:numPr>
          <w:ilvl w:val="0"/>
          <w:numId w:val="65"/>
        </w:numPr>
        <w:tabs>
          <w:tab w:val="clear" w:pos="709"/>
        </w:tabs>
        <w:ind w:left="567"/>
        <w:rPr>
          <w:sz w:val="22"/>
          <w:szCs w:val="22"/>
          <w:lang w:val="pl-PL"/>
        </w:rPr>
      </w:pPr>
      <w:r w:rsidRPr="007E4DA1">
        <w:rPr>
          <w:sz w:val="22"/>
          <w:szCs w:val="22"/>
          <w:lang w:val="pl-PL"/>
        </w:rPr>
        <w:t>nieprawidłowa</w:t>
      </w:r>
      <w:r w:rsidR="00265DFC" w:rsidRPr="007E4DA1">
        <w:rPr>
          <w:sz w:val="22"/>
          <w:szCs w:val="22"/>
          <w:lang w:val="pl-PL"/>
        </w:rPr>
        <w:t xml:space="preserve"> czynnoś</w:t>
      </w:r>
      <w:r w:rsidRPr="007E4DA1">
        <w:rPr>
          <w:sz w:val="22"/>
          <w:szCs w:val="22"/>
          <w:lang w:val="pl-PL"/>
        </w:rPr>
        <w:t>ć</w:t>
      </w:r>
      <w:r w:rsidR="00752851" w:rsidRPr="007E4DA1">
        <w:rPr>
          <w:sz w:val="22"/>
          <w:szCs w:val="22"/>
          <w:lang w:val="pl-PL"/>
        </w:rPr>
        <w:t xml:space="preserve"> wątroby</w:t>
      </w:r>
    </w:p>
    <w:p w14:paraId="66A22441"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zmiany skórne obejmujące: nadmierne pocenie się, wypukłą swędzącą wysypkę, czerwone plamki, zmiany wyglądu skóry</w:t>
      </w:r>
    </w:p>
    <w:p w14:paraId="7555C467"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wypadanie włosów</w:t>
      </w:r>
    </w:p>
    <w:p w14:paraId="765C87BE"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oddawanie spienionego moczu z obecnością pęcherzyków powietrza (objawy obecności białka w moczu)</w:t>
      </w:r>
    </w:p>
    <w:p w14:paraId="56D08C9E" w14:textId="7B0667F0"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wysoka temperatura ciała, uczucie gorąca</w:t>
      </w:r>
    </w:p>
    <w:p w14:paraId="19AF6856"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ból w klatce piersiowej</w:t>
      </w:r>
    </w:p>
    <w:p w14:paraId="79426409" w14:textId="77777777" w:rsidR="006B24B4" w:rsidRPr="007E4DA1" w:rsidRDefault="006B24B4" w:rsidP="00DE1596">
      <w:pPr>
        <w:pStyle w:val="listdashnospace"/>
        <w:numPr>
          <w:ilvl w:val="0"/>
          <w:numId w:val="65"/>
        </w:numPr>
        <w:tabs>
          <w:tab w:val="clear" w:pos="709"/>
        </w:tabs>
        <w:ind w:left="567"/>
        <w:rPr>
          <w:sz w:val="22"/>
          <w:szCs w:val="22"/>
          <w:lang w:val="pl-PL"/>
        </w:rPr>
      </w:pPr>
      <w:r w:rsidRPr="007E4DA1">
        <w:rPr>
          <w:sz w:val="22"/>
          <w:szCs w:val="22"/>
          <w:lang w:val="pl-PL"/>
        </w:rPr>
        <w:t>uczucie osłabienia</w:t>
      </w:r>
    </w:p>
    <w:p w14:paraId="0304A156" w14:textId="77777777" w:rsidR="009C2AB3" w:rsidRPr="007E4DA1" w:rsidRDefault="009845D2" w:rsidP="00DE1596">
      <w:pPr>
        <w:pStyle w:val="listdashnospace"/>
        <w:numPr>
          <w:ilvl w:val="0"/>
          <w:numId w:val="65"/>
        </w:numPr>
        <w:tabs>
          <w:tab w:val="clear" w:pos="709"/>
        </w:tabs>
        <w:ind w:left="567"/>
        <w:rPr>
          <w:sz w:val="22"/>
          <w:szCs w:val="22"/>
          <w:lang w:val="pl-PL"/>
        </w:rPr>
      </w:pPr>
      <w:r w:rsidRPr="007E4DA1">
        <w:rPr>
          <w:sz w:val="22"/>
          <w:szCs w:val="22"/>
          <w:lang w:val="pl-PL"/>
        </w:rPr>
        <w:t>trudności</w:t>
      </w:r>
      <w:r w:rsidR="009C2AB3" w:rsidRPr="007E4DA1">
        <w:rPr>
          <w:sz w:val="22"/>
          <w:szCs w:val="22"/>
          <w:lang w:val="pl-PL"/>
        </w:rPr>
        <w:t xml:space="preserve"> ze snem, depresja</w:t>
      </w:r>
    </w:p>
    <w:p w14:paraId="63AE21A7"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migrena</w:t>
      </w:r>
    </w:p>
    <w:p w14:paraId="2A4DF377"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osłabienie widzenia</w:t>
      </w:r>
    </w:p>
    <w:p w14:paraId="0B81E703"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uczucie wirowania (zawroty głowy)</w:t>
      </w:r>
    </w:p>
    <w:p w14:paraId="11881C35"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wiatry</w:t>
      </w:r>
    </w:p>
    <w:p w14:paraId="2DAEE6FC" w14:textId="77777777" w:rsidR="009C2AB3" w:rsidRPr="007E4DA1" w:rsidRDefault="009C2AB3" w:rsidP="00DE1596">
      <w:pPr>
        <w:pStyle w:val="listdashnospace"/>
        <w:numPr>
          <w:ilvl w:val="0"/>
          <w:numId w:val="0"/>
        </w:numPr>
        <w:rPr>
          <w:sz w:val="22"/>
          <w:szCs w:val="22"/>
          <w:lang w:val="pl-PL"/>
        </w:rPr>
      </w:pPr>
    </w:p>
    <w:p w14:paraId="03817A8F" w14:textId="77777777" w:rsidR="00041A08" w:rsidRPr="00041A08" w:rsidRDefault="009C2AB3" w:rsidP="00DE1596">
      <w:pPr>
        <w:pStyle w:val="listdashnospace"/>
        <w:keepNext/>
        <w:numPr>
          <w:ilvl w:val="0"/>
          <w:numId w:val="0"/>
        </w:numPr>
        <w:rPr>
          <w:sz w:val="22"/>
          <w:szCs w:val="22"/>
          <w:lang w:val="pl-PL"/>
        </w:rPr>
      </w:pPr>
      <w:r w:rsidRPr="007E4DA1">
        <w:rPr>
          <w:b/>
          <w:sz w:val="22"/>
          <w:szCs w:val="22"/>
          <w:lang w:val="pl-PL"/>
        </w:rPr>
        <w:t>Częste działania niepożądane, które mogą ujawnić się w badaniach krwi:</w:t>
      </w:r>
    </w:p>
    <w:p w14:paraId="1666583A" w14:textId="2426E73B"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zmniejszenie liczby krwinek czerwonych (niedokrwistość)</w:t>
      </w:r>
    </w:p>
    <w:p w14:paraId="6F537379"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zmniejszenie liczby płytek krwi (małopłytkowość)</w:t>
      </w:r>
    </w:p>
    <w:p w14:paraId="6F81D0F4"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zmniejszenie liczby krwinek białych</w:t>
      </w:r>
    </w:p>
    <w:p w14:paraId="623A2556"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zmniejszenie stężenia hemoglobiny</w:t>
      </w:r>
    </w:p>
    <w:p w14:paraId="6BB74874" w14:textId="3FCE678F" w:rsidR="009C2AB3" w:rsidRPr="007E4DA1" w:rsidRDefault="006B24B4" w:rsidP="00DE1596">
      <w:pPr>
        <w:pStyle w:val="listdashnospace"/>
        <w:numPr>
          <w:ilvl w:val="0"/>
          <w:numId w:val="65"/>
        </w:numPr>
        <w:tabs>
          <w:tab w:val="clear" w:pos="709"/>
        </w:tabs>
        <w:ind w:left="567"/>
        <w:rPr>
          <w:sz w:val="22"/>
          <w:szCs w:val="22"/>
          <w:lang w:val="pl-PL"/>
        </w:rPr>
      </w:pPr>
      <w:r w:rsidRPr="007E4DA1">
        <w:rPr>
          <w:sz w:val="22"/>
          <w:szCs w:val="22"/>
          <w:lang w:val="pl-PL"/>
        </w:rPr>
        <w:t xml:space="preserve">zwiększenie </w:t>
      </w:r>
      <w:r w:rsidR="009C2AB3" w:rsidRPr="007E4DA1">
        <w:rPr>
          <w:sz w:val="22"/>
          <w:szCs w:val="22"/>
          <w:lang w:val="pl-PL"/>
        </w:rPr>
        <w:t>liczby eozynofili</w:t>
      </w:r>
    </w:p>
    <w:p w14:paraId="71637FC6"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zwiększenie liczby białych krwinek (leukocytoza)</w:t>
      </w:r>
    </w:p>
    <w:p w14:paraId="1129D607"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zwiększenie stężenia kwasu moczowego</w:t>
      </w:r>
    </w:p>
    <w:p w14:paraId="0D049134"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zmniejszenie stężenia potasu</w:t>
      </w:r>
    </w:p>
    <w:p w14:paraId="03433663"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zwiększenie stężenia kreatyniny</w:t>
      </w:r>
    </w:p>
    <w:p w14:paraId="448A13CF"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zwiększenie aktywności fosfatazy alkalicznej</w:t>
      </w:r>
    </w:p>
    <w:p w14:paraId="0026CD9D" w14:textId="258DEF62" w:rsidR="009C2AB3" w:rsidRPr="007E4DA1" w:rsidRDefault="009C2AB3" w:rsidP="00DE1596">
      <w:pPr>
        <w:pStyle w:val="listdashnospace"/>
        <w:numPr>
          <w:ilvl w:val="0"/>
          <w:numId w:val="66"/>
        </w:numPr>
        <w:tabs>
          <w:tab w:val="clear" w:pos="709"/>
          <w:tab w:val="left" w:pos="-6946"/>
        </w:tabs>
        <w:ind w:left="567"/>
        <w:rPr>
          <w:sz w:val="22"/>
          <w:szCs w:val="22"/>
          <w:lang w:val="pl-PL"/>
        </w:rPr>
      </w:pPr>
      <w:r w:rsidRPr="007E4DA1">
        <w:rPr>
          <w:sz w:val="22"/>
          <w:szCs w:val="22"/>
          <w:lang w:val="pl-PL"/>
        </w:rPr>
        <w:t>zwiększenie aktywności enzym</w:t>
      </w:r>
      <w:r w:rsidR="004D3758">
        <w:rPr>
          <w:sz w:val="22"/>
          <w:szCs w:val="22"/>
          <w:lang w:val="pl-PL"/>
        </w:rPr>
        <w:t>u</w:t>
      </w:r>
      <w:r w:rsidRPr="007E4DA1">
        <w:rPr>
          <w:sz w:val="22"/>
          <w:szCs w:val="22"/>
          <w:lang w:val="pl-PL"/>
        </w:rPr>
        <w:t xml:space="preserve"> wątrobow</w:t>
      </w:r>
      <w:r w:rsidR="004D3758">
        <w:rPr>
          <w:sz w:val="22"/>
          <w:szCs w:val="22"/>
          <w:lang w:val="pl-PL"/>
        </w:rPr>
        <w:t>ego</w:t>
      </w:r>
      <w:r w:rsidRPr="007E4DA1">
        <w:rPr>
          <w:sz w:val="22"/>
          <w:szCs w:val="22"/>
          <w:lang w:val="pl-PL"/>
        </w:rPr>
        <w:t xml:space="preserve"> aminotransferazy asparaginianowej (AspAT)</w:t>
      </w:r>
    </w:p>
    <w:p w14:paraId="6BAAA93E" w14:textId="77777777" w:rsidR="009C2AB3" w:rsidRPr="007E4DA1" w:rsidRDefault="009C2AB3" w:rsidP="00DE1596">
      <w:pPr>
        <w:pStyle w:val="listdashnospace"/>
        <w:numPr>
          <w:ilvl w:val="0"/>
          <w:numId w:val="66"/>
        </w:numPr>
        <w:tabs>
          <w:tab w:val="clear" w:pos="709"/>
          <w:tab w:val="left" w:pos="-6946"/>
        </w:tabs>
        <w:ind w:left="567"/>
        <w:rPr>
          <w:sz w:val="22"/>
          <w:szCs w:val="22"/>
          <w:lang w:val="pl-PL"/>
        </w:rPr>
      </w:pPr>
      <w:r w:rsidRPr="007E4DA1">
        <w:rPr>
          <w:sz w:val="22"/>
          <w:szCs w:val="22"/>
          <w:lang w:val="pl-PL"/>
        </w:rPr>
        <w:t>zwiększenie stężenia bilirubiny</w:t>
      </w:r>
      <w:r w:rsidR="006B24B4" w:rsidRPr="007E4DA1">
        <w:rPr>
          <w:sz w:val="22"/>
          <w:szCs w:val="22"/>
          <w:lang w:val="pl-PL"/>
        </w:rPr>
        <w:t xml:space="preserve"> we krwi</w:t>
      </w:r>
      <w:r w:rsidRPr="007E4DA1">
        <w:rPr>
          <w:sz w:val="22"/>
          <w:szCs w:val="22"/>
          <w:lang w:val="pl-PL"/>
        </w:rPr>
        <w:t xml:space="preserve"> (substancji wytwarzanej przez wątrobę)</w:t>
      </w:r>
    </w:p>
    <w:p w14:paraId="0D2BABFC" w14:textId="77777777" w:rsidR="009C2AB3" w:rsidRPr="007E4DA1" w:rsidRDefault="009C2AB3" w:rsidP="00DE1596">
      <w:pPr>
        <w:pStyle w:val="listdashnospace"/>
        <w:numPr>
          <w:ilvl w:val="0"/>
          <w:numId w:val="66"/>
        </w:numPr>
        <w:tabs>
          <w:tab w:val="clear" w:pos="709"/>
          <w:tab w:val="left" w:pos="-6946"/>
        </w:tabs>
        <w:ind w:left="567"/>
        <w:rPr>
          <w:sz w:val="22"/>
          <w:szCs w:val="22"/>
          <w:lang w:val="pl-PL"/>
        </w:rPr>
      </w:pPr>
      <w:r w:rsidRPr="007E4DA1">
        <w:rPr>
          <w:sz w:val="22"/>
          <w:szCs w:val="22"/>
          <w:lang w:val="pl-PL"/>
        </w:rPr>
        <w:t>zwiększenie stężenia pewnych białek</w:t>
      </w:r>
    </w:p>
    <w:p w14:paraId="5F71992B" w14:textId="77777777" w:rsidR="009C2AB3" w:rsidRPr="007E4DA1" w:rsidRDefault="009C2AB3" w:rsidP="00DE1596">
      <w:pPr>
        <w:pStyle w:val="listdashnospace"/>
        <w:numPr>
          <w:ilvl w:val="0"/>
          <w:numId w:val="0"/>
        </w:numPr>
        <w:rPr>
          <w:sz w:val="22"/>
          <w:szCs w:val="22"/>
          <w:lang w:val="pl-PL"/>
        </w:rPr>
      </w:pPr>
    </w:p>
    <w:p w14:paraId="656BCB09" w14:textId="77777777" w:rsidR="00041A08" w:rsidRPr="00041A08" w:rsidRDefault="009C2AB3" w:rsidP="00DE1596">
      <w:pPr>
        <w:keepNext/>
        <w:rPr>
          <w:szCs w:val="22"/>
        </w:rPr>
      </w:pPr>
      <w:r w:rsidRPr="007E4DA1">
        <w:rPr>
          <w:b/>
          <w:szCs w:val="22"/>
        </w:rPr>
        <w:t>Niezbyt częste działania niepożądane</w:t>
      </w:r>
    </w:p>
    <w:p w14:paraId="45CD24FE" w14:textId="1947754D" w:rsidR="009C2AB3" w:rsidRPr="007E4DA1" w:rsidRDefault="009C2AB3" w:rsidP="00DE1596">
      <w:pPr>
        <w:keepNext/>
        <w:rPr>
          <w:szCs w:val="22"/>
        </w:rPr>
      </w:pPr>
      <w:r w:rsidRPr="007E4DA1">
        <w:rPr>
          <w:szCs w:val="22"/>
        </w:rPr>
        <w:t xml:space="preserve">Mogą wystąpić </w:t>
      </w:r>
      <w:r w:rsidRPr="007E4DA1">
        <w:rPr>
          <w:b/>
          <w:szCs w:val="22"/>
        </w:rPr>
        <w:t>nie częściej niż u 1 na 100 </w:t>
      </w:r>
      <w:r w:rsidRPr="007E4DA1">
        <w:rPr>
          <w:szCs w:val="22"/>
        </w:rPr>
        <w:t>pacjentów:</w:t>
      </w:r>
    </w:p>
    <w:p w14:paraId="6A11023B" w14:textId="77777777" w:rsidR="006B24B4" w:rsidRPr="007E4DA1" w:rsidRDefault="006B24B4" w:rsidP="00DE1596">
      <w:pPr>
        <w:pStyle w:val="listdashnospace"/>
        <w:numPr>
          <w:ilvl w:val="0"/>
          <w:numId w:val="67"/>
        </w:numPr>
        <w:ind w:left="567" w:hanging="567"/>
        <w:rPr>
          <w:sz w:val="22"/>
          <w:szCs w:val="22"/>
          <w:lang w:val="pl-PL"/>
        </w:rPr>
      </w:pPr>
      <w:r w:rsidRPr="007E4DA1">
        <w:rPr>
          <w:sz w:val="22"/>
          <w:szCs w:val="22"/>
          <w:lang w:val="pl-PL"/>
        </w:rPr>
        <w:t>reakcja alergiczna</w:t>
      </w:r>
    </w:p>
    <w:p w14:paraId="298F8919" w14:textId="77777777" w:rsidR="009C2AB3" w:rsidRPr="007E4DA1" w:rsidRDefault="009C2AB3" w:rsidP="00DE1596">
      <w:pPr>
        <w:pStyle w:val="listdashnospace"/>
        <w:numPr>
          <w:ilvl w:val="0"/>
          <w:numId w:val="67"/>
        </w:numPr>
        <w:ind w:left="567" w:hanging="567"/>
        <w:rPr>
          <w:sz w:val="22"/>
          <w:szCs w:val="22"/>
          <w:lang w:val="pl-PL"/>
        </w:rPr>
      </w:pPr>
      <w:r w:rsidRPr="007E4DA1">
        <w:rPr>
          <w:sz w:val="22"/>
          <w:szCs w:val="22"/>
          <w:lang w:val="pl-PL"/>
        </w:rPr>
        <w:t>przerwanie dopływu krwi do fragmentu serca</w:t>
      </w:r>
    </w:p>
    <w:p w14:paraId="028B3AA2" w14:textId="77777777" w:rsidR="009C2AB3" w:rsidRPr="007E4DA1" w:rsidRDefault="009C2AB3" w:rsidP="00DE1596">
      <w:pPr>
        <w:pStyle w:val="listdashnospace"/>
        <w:numPr>
          <w:ilvl w:val="0"/>
          <w:numId w:val="67"/>
        </w:numPr>
        <w:ind w:left="567" w:hanging="567"/>
        <w:rPr>
          <w:sz w:val="22"/>
          <w:szCs w:val="22"/>
          <w:lang w:val="pl-PL"/>
        </w:rPr>
      </w:pPr>
      <w:r w:rsidRPr="007E4DA1">
        <w:rPr>
          <w:sz w:val="22"/>
          <w:szCs w:val="22"/>
          <w:lang w:val="pl-PL"/>
        </w:rPr>
        <w:t>nagłe skrócenie oddechu, szczególnie w połączeniu z ostrym bólem w klatce piersiowej i (lub) przyspieszeniem oddechu, które mogą być objawem zakrzepu w płucach (patrz „</w:t>
      </w:r>
      <w:r w:rsidRPr="007E4DA1">
        <w:rPr>
          <w:b/>
          <w:i/>
          <w:sz w:val="22"/>
          <w:szCs w:val="22"/>
          <w:lang w:val="pl-PL"/>
        </w:rPr>
        <w:t>Zwiększone ryzyko zakrzepów</w:t>
      </w:r>
      <w:r w:rsidRPr="00EE3105">
        <w:rPr>
          <w:bCs/>
          <w:sz w:val="22"/>
          <w:szCs w:val="22"/>
          <w:lang w:val="pl-PL"/>
        </w:rPr>
        <w:t>”</w:t>
      </w:r>
      <w:r w:rsidRPr="007E4DA1">
        <w:rPr>
          <w:sz w:val="22"/>
          <w:szCs w:val="22"/>
          <w:lang w:val="pl-PL"/>
        </w:rPr>
        <w:t xml:space="preserve"> wyżej w punkcie 4)</w:t>
      </w:r>
    </w:p>
    <w:p w14:paraId="32551552" w14:textId="77777777" w:rsidR="009C2AB3" w:rsidRPr="007E4DA1" w:rsidRDefault="009C2AB3" w:rsidP="00DE1596">
      <w:pPr>
        <w:pStyle w:val="listdashnospace"/>
        <w:numPr>
          <w:ilvl w:val="0"/>
          <w:numId w:val="67"/>
        </w:numPr>
        <w:ind w:left="567" w:hanging="567"/>
        <w:rPr>
          <w:sz w:val="22"/>
          <w:szCs w:val="22"/>
          <w:lang w:val="pl-PL"/>
        </w:rPr>
      </w:pPr>
      <w:r w:rsidRPr="007E4DA1">
        <w:rPr>
          <w:sz w:val="22"/>
          <w:szCs w:val="22"/>
          <w:lang w:val="pl-PL"/>
        </w:rPr>
        <w:t>utrata czynności fragmentu płuca spowodowana zablokowaniem tętnicy płucnej</w:t>
      </w:r>
    </w:p>
    <w:p w14:paraId="051FB4AD" w14:textId="77777777" w:rsidR="006B24B4" w:rsidRPr="007E4DA1" w:rsidRDefault="006B24B4" w:rsidP="00DE1596">
      <w:pPr>
        <w:pStyle w:val="listdashnospace"/>
        <w:numPr>
          <w:ilvl w:val="0"/>
          <w:numId w:val="67"/>
        </w:numPr>
        <w:ind w:left="567" w:hanging="567"/>
        <w:rPr>
          <w:sz w:val="22"/>
          <w:szCs w:val="22"/>
          <w:lang w:val="pl-PL"/>
        </w:rPr>
      </w:pPr>
      <w:r w:rsidRPr="007E4DA1">
        <w:rPr>
          <w:sz w:val="22"/>
          <w:szCs w:val="22"/>
          <w:lang w:val="pl-PL"/>
        </w:rPr>
        <w:t>możliwy ból, obrzęk i (lub) zaczerwienienie wokół żyły, które mo</w:t>
      </w:r>
      <w:r w:rsidR="008E5C30" w:rsidRPr="007E4DA1">
        <w:rPr>
          <w:sz w:val="22"/>
          <w:szCs w:val="22"/>
          <w:lang w:val="pl-PL"/>
        </w:rPr>
        <w:t>gą być objawami</w:t>
      </w:r>
      <w:r w:rsidRPr="007E4DA1">
        <w:rPr>
          <w:sz w:val="22"/>
          <w:szCs w:val="22"/>
          <w:lang w:val="pl-PL"/>
        </w:rPr>
        <w:t xml:space="preserve"> zakrzepu w żyle</w:t>
      </w:r>
    </w:p>
    <w:p w14:paraId="6BEC29DE" w14:textId="6948AA8A" w:rsidR="009C2AB3" w:rsidRPr="007E4DA1" w:rsidRDefault="006B24B4" w:rsidP="00DE1596">
      <w:pPr>
        <w:pStyle w:val="listdashnospace"/>
        <w:numPr>
          <w:ilvl w:val="0"/>
          <w:numId w:val="67"/>
        </w:numPr>
        <w:ind w:left="567" w:hanging="567"/>
        <w:rPr>
          <w:sz w:val="22"/>
          <w:szCs w:val="22"/>
          <w:lang w:val="pl-PL"/>
        </w:rPr>
      </w:pPr>
      <w:r w:rsidRPr="007E4DA1">
        <w:rPr>
          <w:sz w:val="22"/>
          <w:szCs w:val="22"/>
          <w:lang w:val="pl-PL"/>
        </w:rPr>
        <w:t>zażółcenie skóry i (lub) ból brzucha, które mogą być objawami niedrożności przewodu żółciowego, zmian</w:t>
      </w:r>
      <w:r w:rsidR="00347B71" w:rsidRPr="007E4DA1">
        <w:rPr>
          <w:sz w:val="22"/>
          <w:szCs w:val="22"/>
          <w:lang w:val="pl-PL"/>
        </w:rPr>
        <w:t>y</w:t>
      </w:r>
      <w:r w:rsidRPr="007E4DA1">
        <w:rPr>
          <w:sz w:val="22"/>
          <w:szCs w:val="22"/>
          <w:lang w:val="pl-PL"/>
        </w:rPr>
        <w:t xml:space="preserve"> </w:t>
      </w:r>
      <w:r w:rsidR="009B40A7" w:rsidRPr="007E4DA1">
        <w:rPr>
          <w:sz w:val="22"/>
          <w:szCs w:val="22"/>
          <w:lang w:val="pl-PL"/>
        </w:rPr>
        <w:t>chorobow</w:t>
      </w:r>
      <w:r w:rsidR="00347B71" w:rsidRPr="007E4DA1">
        <w:rPr>
          <w:sz w:val="22"/>
          <w:szCs w:val="22"/>
          <w:lang w:val="pl-PL"/>
        </w:rPr>
        <w:t>e</w:t>
      </w:r>
      <w:r w:rsidR="007F2126" w:rsidRPr="007E4DA1">
        <w:rPr>
          <w:sz w:val="22"/>
          <w:szCs w:val="22"/>
          <w:lang w:val="pl-PL"/>
        </w:rPr>
        <w:t>j</w:t>
      </w:r>
      <w:r w:rsidR="009B40A7" w:rsidRPr="007E4DA1">
        <w:rPr>
          <w:sz w:val="22"/>
          <w:szCs w:val="22"/>
          <w:lang w:val="pl-PL"/>
        </w:rPr>
        <w:t xml:space="preserve"> </w:t>
      </w:r>
      <w:r w:rsidR="007E0DD4" w:rsidRPr="007E4DA1">
        <w:rPr>
          <w:sz w:val="22"/>
          <w:szCs w:val="22"/>
          <w:lang w:val="pl-PL"/>
        </w:rPr>
        <w:t>dotyczącej wątroby</w:t>
      </w:r>
      <w:r w:rsidRPr="007E4DA1">
        <w:rPr>
          <w:sz w:val="22"/>
          <w:szCs w:val="22"/>
          <w:lang w:val="pl-PL"/>
        </w:rPr>
        <w:t>, uszkodzeni</w:t>
      </w:r>
      <w:r w:rsidR="00347B71" w:rsidRPr="007E4DA1">
        <w:rPr>
          <w:sz w:val="22"/>
          <w:szCs w:val="22"/>
          <w:lang w:val="pl-PL"/>
        </w:rPr>
        <w:t>a</w:t>
      </w:r>
      <w:r w:rsidRPr="007E4DA1">
        <w:rPr>
          <w:sz w:val="22"/>
          <w:szCs w:val="22"/>
          <w:lang w:val="pl-PL"/>
        </w:rPr>
        <w:t xml:space="preserve"> wątroby spowodowane</w:t>
      </w:r>
      <w:r w:rsidR="00467E47" w:rsidRPr="007E4DA1">
        <w:rPr>
          <w:sz w:val="22"/>
          <w:szCs w:val="22"/>
          <w:lang w:val="pl-PL"/>
        </w:rPr>
        <w:t xml:space="preserve"> </w:t>
      </w:r>
      <w:r w:rsidRPr="007E4DA1">
        <w:rPr>
          <w:sz w:val="22"/>
          <w:szCs w:val="22"/>
          <w:lang w:val="pl-PL"/>
        </w:rPr>
        <w:t>zapaleniem</w:t>
      </w:r>
      <w:r w:rsidR="009C2AB3" w:rsidRPr="007E4DA1">
        <w:rPr>
          <w:sz w:val="22"/>
          <w:szCs w:val="22"/>
          <w:lang w:val="pl-PL"/>
        </w:rPr>
        <w:t xml:space="preserve"> (patrz „</w:t>
      </w:r>
      <w:r w:rsidR="009C2AB3" w:rsidRPr="007E4DA1">
        <w:rPr>
          <w:b/>
          <w:i/>
          <w:sz w:val="22"/>
          <w:szCs w:val="22"/>
          <w:lang w:val="pl-PL"/>
        </w:rPr>
        <w:t>Zaburzenia wątroby</w:t>
      </w:r>
      <w:r w:rsidR="009C2AB3" w:rsidRPr="007E4DA1">
        <w:rPr>
          <w:sz w:val="22"/>
          <w:szCs w:val="22"/>
          <w:lang w:val="pl-PL"/>
        </w:rPr>
        <w:t>” wyżej w punkcie 4)</w:t>
      </w:r>
    </w:p>
    <w:p w14:paraId="5E0F1BFD" w14:textId="77777777" w:rsidR="009C2AB3" w:rsidRPr="007E4DA1" w:rsidRDefault="009C2AB3" w:rsidP="00DE1596">
      <w:pPr>
        <w:numPr>
          <w:ilvl w:val="0"/>
          <w:numId w:val="67"/>
        </w:numPr>
        <w:ind w:left="567" w:hanging="567"/>
        <w:rPr>
          <w:szCs w:val="22"/>
        </w:rPr>
      </w:pPr>
      <w:r w:rsidRPr="007E4DA1">
        <w:rPr>
          <w:szCs w:val="22"/>
        </w:rPr>
        <w:t>uszkodzenie wątroby spowodowane lekiem</w:t>
      </w:r>
    </w:p>
    <w:p w14:paraId="04B199F2" w14:textId="77777777" w:rsidR="009C2AB3" w:rsidRPr="007E4DA1" w:rsidRDefault="009C2AB3" w:rsidP="00DE1596">
      <w:pPr>
        <w:pStyle w:val="listdashnospace"/>
        <w:numPr>
          <w:ilvl w:val="0"/>
          <w:numId w:val="67"/>
        </w:numPr>
        <w:ind w:left="567" w:hanging="567"/>
        <w:rPr>
          <w:sz w:val="22"/>
          <w:szCs w:val="22"/>
          <w:lang w:val="pl-PL"/>
        </w:rPr>
      </w:pPr>
      <w:r w:rsidRPr="007E4DA1">
        <w:rPr>
          <w:sz w:val="22"/>
          <w:szCs w:val="22"/>
          <w:lang w:val="pl-PL"/>
        </w:rPr>
        <w:t>przyspieszone bicie serca, nieregularne bicie serca, sine zabarwienie skóry</w:t>
      </w:r>
      <w:r w:rsidR="006B24B4" w:rsidRPr="007E4DA1">
        <w:rPr>
          <w:sz w:val="22"/>
          <w:szCs w:val="22"/>
          <w:lang w:val="pl-PL"/>
        </w:rPr>
        <w:t>, zaburzenia rytmu serca (wydłużenie odstępu QT), które mogą być objawami zaburzenia serca i naczyń krwionośnych</w:t>
      </w:r>
    </w:p>
    <w:p w14:paraId="36403B21" w14:textId="77777777" w:rsidR="009C2AB3" w:rsidRPr="007E4DA1" w:rsidRDefault="002224D7" w:rsidP="00DE1596">
      <w:pPr>
        <w:pStyle w:val="listdashnospace"/>
        <w:numPr>
          <w:ilvl w:val="0"/>
          <w:numId w:val="67"/>
        </w:numPr>
        <w:ind w:left="567" w:hanging="567"/>
        <w:rPr>
          <w:sz w:val="22"/>
          <w:szCs w:val="22"/>
          <w:lang w:val="pl-PL"/>
        </w:rPr>
      </w:pPr>
      <w:r w:rsidRPr="007E4DA1">
        <w:rPr>
          <w:sz w:val="22"/>
          <w:szCs w:val="22"/>
          <w:lang w:val="pl-PL"/>
        </w:rPr>
        <w:t>za</w:t>
      </w:r>
      <w:r w:rsidR="009C2AB3" w:rsidRPr="007E4DA1">
        <w:rPr>
          <w:sz w:val="22"/>
          <w:szCs w:val="22"/>
          <w:lang w:val="pl-PL"/>
        </w:rPr>
        <w:t>krzep krwi</w:t>
      </w:r>
    </w:p>
    <w:p w14:paraId="59292CD1" w14:textId="2E49DFBC" w:rsidR="006B24B4" w:rsidRPr="007E4DA1" w:rsidRDefault="006B24B4" w:rsidP="00DE1596">
      <w:pPr>
        <w:pStyle w:val="listdashnospace"/>
        <w:numPr>
          <w:ilvl w:val="0"/>
          <w:numId w:val="67"/>
        </w:numPr>
        <w:ind w:left="567" w:hanging="567"/>
        <w:rPr>
          <w:sz w:val="22"/>
          <w:szCs w:val="22"/>
          <w:lang w:val="pl-PL"/>
        </w:rPr>
      </w:pPr>
      <w:r w:rsidRPr="007E4DA1">
        <w:rPr>
          <w:sz w:val="22"/>
          <w:szCs w:val="22"/>
          <w:lang w:val="pl-PL"/>
        </w:rPr>
        <w:t>zaczerwienienie</w:t>
      </w:r>
    </w:p>
    <w:p w14:paraId="1BA920E0" w14:textId="77777777" w:rsidR="009C2AB3" w:rsidRPr="007E4DA1" w:rsidRDefault="009C2AB3" w:rsidP="00DE1596">
      <w:pPr>
        <w:pStyle w:val="listdashnospace"/>
        <w:numPr>
          <w:ilvl w:val="0"/>
          <w:numId w:val="67"/>
        </w:numPr>
        <w:ind w:left="567" w:hanging="567"/>
        <w:rPr>
          <w:sz w:val="22"/>
          <w:szCs w:val="22"/>
          <w:lang w:val="pl-PL"/>
        </w:rPr>
      </w:pPr>
      <w:r w:rsidRPr="007E4DA1">
        <w:rPr>
          <w:sz w:val="22"/>
          <w:szCs w:val="22"/>
          <w:lang w:val="pl-PL"/>
        </w:rPr>
        <w:t>bolesne obrzęki stawów spowodowane przez kwas moczowy (dna moczanowa)</w:t>
      </w:r>
    </w:p>
    <w:p w14:paraId="425EE7C6" w14:textId="77777777" w:rsidR="009C2AB3" w:rsidRPr="007E4DA1" w:rsidRDefault="009C2AB3" w:rsidP="00DE1596">
      <w:pPr>
        <w:pStyle w:val="listdashnospace"/>
        <w:numPr>
          <w:ilvl w:val="0"/>
          <w:numId w:val="67"/>
        </w:numPr>
        <w:ind w:left="567" w:hanging="567"/>
        <w:rPr>
          <w:sz w:val="22"/>
          <w:szCs w:val="22"/>
          <w:lang w:val="pl-PL"/>
        </w:rPr>
      </w:pPr>
      <w:r w:rsidRPr="007E4DA1">
        <w:rPr>
          <w:sz w:val="22"/>
          <w:szCs w:val="22"/>
          <w:lang w:val="pl-PL"/>
        </w:rPr>
        <w:t>brak zainteresowania, zmiany nastroju</w:t>
      </w:r>
      <w:r w:rsidR="006B24B4" w:rsidRPr="007E4DA1">
        <w:rPr>
          <w:sz w:val="22"/>
          <w:szCs w:val="22"/>
          <w:lang w:val="pl-PL"/>
        </w:rPr>
        <w:t>, płacz, który jest trudny do opanowania lub występuje niespodziewanie</w:t>
      </w:r>
    </w:p>
    <w:p w14:paraId="4DEE6BD3" w14:textId="77777777" w:rsidR="009C2AB3" w:rsidRPr="007E4DA1" w:rsidRDefault="009C2AB3" w:rsidP="00DE1596">
      <w:pPr>
        <w:pStyle w:val="listdashnospace"/>
        <w:numPr>
          <w:ilvl w:val="0"/>
          <w:numId w:val="67"/>
        </w:numPr>
        <w:ind w:left="567" w:hanging="567"/>
        <w:rPr>
          <w:sz w:val="22"/>
          <w:szCs w:val="22"/>
          <w:lang w:val="pl-PL"/>
        </w:rPr>
      </w:pPr>
      <w:r w:rsidRPr="007E4DA1">
        <w:rPr>
          <w:sz w:val="22"/>
          <w:szCs w:val="22"/>
          <w:lang w:val="pl-PL"/>
        </w:rPr>
        <w:t>zaburzenia równowagi, mowy i czynności nerwów, drżenia</w:t>
      </w:r>
    </w:p>
    <w:p w14:paraId="4EAB4FC6" w14:textId="77777777" w:rsidR="006B24B4" w:rsidRPr="007E4DA1" w:rsidRDefault="006B24B4" w:rsidP="00DE1596">
      <w:pPr>
        <w:pStyle w:val="listdashnospace"/>
        <w:numPr>
          <w:ilvl w:val="0"/>
          <w:numId w:val="67"/>
        </w:numPr>
        <w:ind w:left="567" w:hanging="567"/>
        <w:rPr>
          <w:sz w:val="22"/>
          <w:szCs w:val="22"/>
          <w:lang w:val="pl-PL"/>
        </w:rPr>
      </w:pPr>
      <w:r w:rsidRPr="007E4DA1">
        <w:rPr>
          <w:sz w:val="22"/>
          <w:szCs w:val="22"/>
          <w:lang w:val="pl-PL"/>
        </w:rPr>
        <w:t>bolesne lub nieprawidłowe odczucia skórne</w:t>
      </w:r>
    </w:p>
    <w:p w14:paraId="1D203BC5" w14:textId="77777777" w:rsidR="006B24B4" w:rsidRPr="007E4DA1" w:rsidRDefault="006B24B4" w:rsidP="00DE1596">
      <w:pPr>
        <w:pStyle w:val="listdashnospace"/>
        <w:numPr>
          <w:ilvl w:val="0"/>
          <w:numId w:val="67"/>
        </w:numPr>
        <w:ind w:left="567" w:hanging="567"/>
        <w:rPr>
          <w:sz w:val="22"/>
          <w:szCs w:val="22"/>
          <w:lang w:val="pl-PL"/>
        </w:rPr>
      </w:pPr>
      <w:r w:rsidRPr="007E4DA1">
        <w:rPr>
          <w:sz w:val="22"/>
          <w:szCs w:val="22"/>
          <w:lang w:val="pl-PL"/>
        </w:rPr>
        <w:t>porażenie jednej strony ciała</w:t>
      </w:r>
    </w:p>
    <w:p w14:paraId="78A1AA10" w14:textId="77777777" w:rsidR="006B24B4" w:rsidRPr="007E4DA1" w:rsidRDefault="006B24B4" w:rsidP="00DE1596">
      <w:pPr>
        <w:pStyle w:val="listdashnospace"/>
        <w:numPr>
          <w:ilvl w:val="0"/>
          <w:numId w:val="67"/>
        </w:numPr>
        <w:ind w:left="567" w:hanging="567"/>
        <w:rPr>
          <w:sz w:val="22"/>
          <w:szCs w:val="22"/>
          <w:lang w:val="pl-PL"/>
        </w:rPr>
      </w:pPr>
      <w:r w:rsidRPr="007E4DA1">
        <w:rPr>
          <w:sz w:val="22"/>
          <w:szCs w:val="22"/>
          <w:lang w:val="pl-PL"/>
        </w:rPr>
        <w:t xml:space="preserve">migrena z </w:t>
      </w:r>
      <w:r w:rsidR="008E5C30" w:rsidRPr="007E4DA1">
        <w:rPr>
          <w:sz w:val="22"/>
          <w:szCs w:val="22"/>
          <w:lang w:val="pl-PL"/>
        </w:rPr>
        <w:t xml:space="preserve">towarzyszącą jej </w:t>
      </w:r>
      <w:r w:rsidRPr="007E4DA1">
        <w:rPr>
          <w:sz w:val="22"/>
          <w:szCs w:val="22"/>
          <w:lang w:val="pl-PL"/>
        </w:rPr>
        <w:t>aurą</w:t>
      </w:r>
    </w:p>
    <w:p w14:paraId="6D061C2C" w14:textId="77777777" w:rsidR="006B24B4" w:rsidRPr="007E4DA1" w:rsidRDefault="006B24B4" w:rsidP="00DE1596">
      <w:pPr>
        <w:pStyle w:val="listdashnospace"/>
        <w:numPr>
          <w:ilvl w:val="0"/>
          <w:numId w:val="67"/>
        </w:numPr>
        <w:ind w:left="567" w:hanging="567"/>
        <w:rPr>
          <w:sz w:val="22"/>
          <w:szCs w:val="22"/>
          <w:lang w:val="pl-PL"/>
        </w:rPr>
      </w:pPr>
      <w:r w:rsidRPr="007E4DA1">
        <w:rPr>
          <w:sz w:val="22"/>
          <w:szCs w:val="22"/>
          <w:lang w:val="pl-PL"/>
        </w:rPr>
        <w:t>uszkodzenie nerwów</w:t>
      </w:r>
    </w:p>
    <w:p w14:paraId="1E73C7A3" w14:textId="77777777" w:rsidR="006B24B4" w:rsidRPr="007E4DA1" w:rsidRDefault="006B24B4" w:rsidP="00DE1596">
      <w:pPr>
        <w:pStyle w:val="listdashnospace"/>
        <w:numPr>
          <w:ilvl w:val="0"/>
          <w:numId w:val="67"/>
        </w:numPr>
        <w:ind w:left="567" w:hanging="567"/>
        <w:rPr>
          <w:sz w:val="22"/>
          <w:szCs w:val="22"/>
          <w:lang w:val="pl-PL"/>
        </w:rPr>
      </w:pPr>
      <w:r w:rsidRPr="007E4DA1">
        <w:rPr>
          <w:sz w:val="22"/>
          <w:szCs w:val="22"/>
          <w:lang w:val="pl-PL"/>
        </w:rPr>
        <w:t>rozszerzenie lub obrzęk naczyń krwionośnych powodujące ból głowy</w:t>
      </w:r>
    </w:p>
    <w:p w14:paraId="5ABE713C" w14:textId="77777777" w:rsidR="009C2AB3" w:rsidRPr="007E4DA1" w:rsidRDefault="009845D2" w:rsidP="00DE1596">
      <w:pPr>
        <w:pStyle w:val="listdashnospace"/>
        <w:numPr>
          <w:ilvl w:val="0"/>
          <w:numId w:val="67"/>
        </w:numPr>
        <w:ind w:left="567" w:hanging="567"/>
        <w:rPr>
          <w:sz w:val="22"/>
          <w:szCs w:val="22"/>
          <w:lang w:val="pl-PL"/>
        </w:rPr>
      </w:pPr>
      <w:r w:rsidRPr="007E4DA1">
        <w:rPr>
          <w:sz w:val="22"/>
          <w:szCs w:val="22"/>
          <w:lang w:val="pl-PL"/>
        </w:rPr>
        <w:t>zaburzenia</w:t>
      </w:r>
      <w:r w:rsidR="006B24B4" w:rsidRPr="007E4DA1">
        <w:rPr>
          <w:sz w:val="22"/>
          <w:szCs w:val="22"/>
          <w:lang w:val="pl-PL"/>
        </w:rPr>
        <w:t xml:space="preserve"> </w:t>
      </w:r>
      <w:r w:rsidR="009C2AB3" w:rsidRPr="007E4DA1">
        <w:rPr>
          <w:sz w:val="22"/>
          <w:szCs w:val="22"/>
          <w:lang w:val="pl-PL"/>
        </w:rPr>
        <w:t>ocz</w:t>
      </w:r>
      <w:r w:rsidRPr="007E4DA1">
        <w:rPr>
          <w:sz w:val="22"/>
          <w:szCs w:val="22"/>
          <w:lang w:val="pl-PL"/>
        </w:rPr>
        <w:t>u</w:t>
      </w:r>
      <w:r w:rsidR="009C2AB3" w:rsidRPr="007E4DA1">
        <w:rPr>
          <w:sz w:val="22"/>
          <w:szCs w:val="22"/>
          <w:lang w:val="pl-PL"/>
        </w:rPr>
        <w:t>, w tym nasilone łzawienie, zmętnienie soczewki oka (zaćma), krwawienie do siatkówki</w:t>
      </w:r>
      <w:r w:rsidR="006B24B4" w:rsidRPr="007E4DA1">
        <w:rPr>
          <w:sz w:val="22"/>
          <w:szCs w:val="22"/>
          <w:lang w:val="pl-PL"/>
        </w:rPr>
        <w:t>, suchoś</w:t>
      </w:r>
      <w:r w:rsidR="008E5C30" w:rsidRPr="007E4DA1">
        <w:rPr>
          <w:sz w:val="22"/>
          <w:szCs w:val="22"/>
          <w:lang w:val="pl-PL"/>
        </w:rPr>
        <w:t>ć</w:t>
      </w:r>
      <w:r w:rsidR="006B24B4" w:rsidRPr="007E4DA1">
        <w:rPr>
          <w:sz w:val="22"/>
          <w:szCs w:val="22"/>
          <w:lang w:val="pl-PL"/>
        </w:rPr>
        <w:t xml:space="preserve"> oczu</w:t>
      </w:r>
    </w:p>
    <w:p w14:paraId="570AED67" w14:textId="77777777" w:rsidR="009C2AB3" w:rsidRPr="007E4DA1" w:rsidRDefault="009C2AB3" w:rsidP="00DE1596">
      <w:pPr>
        <w:pStyle w:val="listdashnospace"/>
        <w:numPr>
          <w:ilvl w:val="0"/>
          <w:numId w:val="67"/>
        </w:numPr>
        <w:ind w:left="567" w:hanging="567"/>
        <w:rPr>
          <w:sz w:val="22"/>
          <w:szCs w:val="22"/>
          <w:lang w:val="pl-PL"/>
        </w:rPr>
      </w:pPr>
      <w:r w:rsidRPr="007E4DA1">
        <w:rPr>
          <w:sz w:val="22"/>
          <w:szCs w:val="22"/>
          <w:lang w:val="pl-PL"/>
        </w:rPr>
        <w:t>choroby nosa, gardła i zatok, zaburzenia oddychania w czasie snu</w:t>
      </w:r>
    </w:p>
    <w:p w14:paraId="594263C1" w14:textId="214339D3" w:rsidR="006B24B4" w:rsidRPr="007E4DA1" w:rsidRDefault="006B24B4" w:rsidP="00DE1596">
      <w:pPr>
        <w:pStyle w:val="listdashnospace"/>
        <w:numPr>
          <w:ilvl w:val="0"/>
          <w:numId w:val="67"/>
        </w:numPr>
        <w:ind w:left="567" w:hanging="567"/>
        <w:rPr>
          <w:sz w:val="22"/>
          <w:szCs w:val="22"/>
          <w:lang w:val="pl-PL"/>
        </w:rPr>
      </w:pPr>
      <w:r w:rsidRPr="007E4DA1">
        <w:rPr>
          <w:sz w:val="22"/>
          <w:szCs w:val="22"/>
          <w:lang w:val="pl-PL"/>
        </w:rPr>
        <w:t>pęcherze</w:t>
      </w:r>
      <w:r w:rsidR="00467E47" w:rsidRPr="007E4DA1">
        <w:rPr>
          <w:sz w:val="22"/>
          <w:szCs w:val="22"/>
          <w:lang w:val="pl-PL"/>
        </w:rPr>
        <w:t xml:space="preserve"> lub </w:t>
      </w:r>
      <w:r w:rsidRPr="007E4DA1">
        <w:rPr>
          <w:sz w:val="22"/>
          <w:szCs w:val="22"/>
          <w:lang w:val="pl-PL"/>
        </w:rPr>
        <w:t>owrzodzenia jamy ustnej i gardła</w:t>
      </w:r>
    </w:p>
    <w:p w14:paraId="62F9CD0F" w14:textId="77777777" w:rsidR="006B24B4" w:rsidRPr="007E4DA1" w:rsidRDefault="006B24B4" w:rsidP="00DE1596">
      <w:pPr>
        <w:pStyle w:val="listdashnospace"/>
        <w:numPr>
          <w:ilvl w:val="0"/>
          <w:numId w:val="67"/>
        </w:numPr>
        <w:ind w:left="567" w:hanging="567"/>
        <w:rPr>
          <w:sz w:val="22"/>
          <w:szCs w:val="22"/>
          <w:lang w:val="pl-PL"/>
        </w:rPr>
      </w:pPr>
      <w:r w:rsidRPr="007E4DA1">
        <w:rPr>
          <w:sz w:val="22"/>
          <w:szCs w:val="22"/>
          <w:lang w:val="pl-PL"/>
        </w:rPr>
        <w:t>utrata apetytu</w:t>
      </w:r>
    </w:p>
    <w:p w14:paraId="243CB282" w14:textId="77777777" w:rsidR="009C2AB3" w:rsidRPr="007E4DA1" w:rsidRDefault="009C2AB3" w:rsidP="00DE1596">
      <w:pPr>
        <w:pStyle w:val="listdashnospace"/>
        <w:numPr>
          <w:ilvl w:val="0"/>
          <w:numId w:val="67"/>
        </w:numPr>
        <w:ind w:left="567" w:hanging="567"/>
        <w:rPr>
          <w:sz w:val="22"/>
          <w:szCs w:val="22"/>
          <w:lang w:val="pl-PL"/>
        </w:rPr>
      </w:pPr>
      <w:r w:rsidRPr="007E4DA1">
        <w:rPr>
          <w:sz w:val="22"/>
          <w:szCs w:val="22"/>
          <w:lang w:val="pl-PL"/>
        </w:rPr>
        <w:t>zaburzenia układu trawiennego obejmujące częste oddawanie stolca, zatruci</w:t>
      </w:r>
      <w:r w:rsidR="002224D7" w:rsidRPr="007E4DA1">
        <w:rPr>
          <w:sz w:val="22"/>
          <w:szCs w:val="22"/>
          <w:lang w:val="pl-PL"/>
        </w:rPr>
        <w:t xml:space="preserve">e </w:t>
      </w:r>
      <w:r w:rsidRPr="007E4DA1">
        <w:rPr>
          <w:sz w:val="22"/>
          <w:szCs w:val="22"/>
          <w:lang w:val="pl-PL"/>
        </w:rPr>
        <w:t>pokarmowe, obecność krwi w stolcu</w:t>
      </w:r>
      <w:r w:rsidR="006B24B4" w:rsidRPr="007E4DA1">
        <w:rPr>
          <w:sz w:val="22"/>
          <w:szCs w:val="22"/>
          <w:lang w:val="pl-PL"/>
        </w:rPr>
        <w:t>, krwawe wymioty</w:t>
      </w:r>
    </w:p>
    <w:p w14:paraId="4798FAF2" w14:textId="2B0E1B96" w:rsidR="009C2AB3" w:rsidRPr="007E4DA1" w:rsidRDefault="009C2AB3" w:rsidP="00DE1596">
      <w:pPr>
        <w:pStyle w:val="listdashnospace"/>
        <w:numPr>
          <w:ilvl w:val="0"/>
          <w:numId w:val="67"/>
        </w:numPr>
        <w:ind w:left="567" w:hanging="567"/>
        <w:rPr>
          <w:sz w:val="22"/>
          <w:szCs w:val="22"/>
          <w:lang w:val="pl-PL"/>
        </w:rPr>
      </w:pPr>
      <w:r w:rsidRPr="007E4DA1">
        <w:rPr>
          <w:sz w:val="22"/>
          <w:szCs w:val="22"/>
          <w:lang w:val="pl-PL"/>
        </w:rPr>
        <w:t xml:space="preserve">krwawienie z odbytu, </w:t>
      </w:r>
      <w:r w:rsidR="006B24B4" w:rsidRPr="007E4DA1">
        <w:rPr>
          <w:sz w:val="22"/>
          <w:szCs w:val="22"/>
          <w:lang w:val="pl-PL"/>
        </w:rPr>
        <w:t>zmiana koloru stolca</w:t>
      </w:r>
      <w:r w:rsidRPr="007E4DA1">
        <w:rPr>
          <w:sz w:val="22"/>
          <w:szCs w:val="22"/>
          <w:lang w:val="pl-PL"/>
        </w:rPr>
        <w:t>, wzdęcie brzucha, zaparcie</w:t>
      </w:r>
    </w:p>
    <w:p w14:paraId="52DFE7F6" w14:textId="57450B5A" w:rsidR="009C2AB3" w:rsidRPr="007E4DA1" w:rsidRDefault="009C2AB3" w:rsidP="00DE1596">
      <w:pPr>
        <w:pStyle w:val="listdashnospace"/>
        <w:numPr>
          <w:ilvl w:val="0"/>
          <w:numId w:val="67"/>
        </w:numPr>
        <w:ind w:left="567" w:hanging="567"/>
        <w:rPr>
          <w:sz w:val="22"/>
          <w:szCs w:val="22"/>
          <w:lang w:val="pl-PL"/>
        </w:rPr>
      </w:pPr>
      <w:r w:rsidRPr="007E4DA1">
        <w:rPr>
          <w:sz w:val="22"/>
          <w:szCs w:val="22"/>
          <w:lang w:val="pl-PL"/>
        </w:rPr>
        <w:t xml:space="preserve">zaburzenia w obrębie jamy ustnej, w tym suchość </w:t>
      </w:r>
      <w:r w:rsidR="002224D7" w:rsidRPr="007E4DA1">
        <w:rPr>
          <w:sz w:val="22"/>
          <w:szCs w:val="22"/>
          <w:lang w:val="pl-PL"/>
        </w:rPr>
        <w:t>lub ból w ustach</w:t>
      </w:r>
      <w:r w:rsidRPr="007E4DA1">
        <w:rPr>
          <w:sz w:val="22"/>
          <w:szCs w:val="22"/>
          <w:lang w:val="pl-PL"/>
        </w:rPr>
        <w:t xml:space="preserve">, </w:t>
      </w:r>
      <w:r w:rsidR="006B24B4" w:rsidRPr="007E4DA1">
        <w:rPr>
          <w:sz w:val="22"/>
          <w:szCs w:val="22"/>
          <w:lang w:val="pl-PL"/>
        </w:rPr>
        <w:t>ból</w:t>
      </w:r>
      <w:r w:rsidRPr="007E4DA1">
        <w:rPr>
          <w:sz w:val="22"/>
          <w:szCs w:val="22"/>
          <w:lang w:val="pl-PL"/>
        </w:rPr>
        <w:t xml:space="preserve"> języka, krwawienie z dziąseł</w:t>
      </w:r>
      <w:r w:rsidR="006B24B4" w:rsidRPr="007E4DA1">
        <w:rPr>
          <w:sz w:val="22"/>
          <w:szCs w:val="22"/>
          <w:lang w:val="pl-PL"/>
        </w:rPr>
        <w:t>, dyskomfort w jamie ustnej</w:t>
      </w:r>
    </w:p>
    <w:p w14:paraId="72D29E3B" w14:textId="77777777" w:rsidR="009C2AB3" w:rsidRPr="007E4DA1" w:rsidRDefault="009C2AB3" w:rsidP="00DE1596">
      <w:pPr>
        <w:pStyle w:val="listdashnospace"/>
        <w:numPr>
          <w:ilvl w:val="0"/>
          <w:numId w:val="67"/>
        </w:numPr>
        <w:ind w:left="567" w:hanging="567"/>
        <w:rPr>
          <w:sz w:val="22"/>
          <w:szCs w:val="22"/>
          <w:lang w:val="pl-PL"/>
        </w:rPr>
      </w:pPr>
      <w:r w:rsidRPr="007E4DA1">
        <w:rPr>
          <w:sz w:val="22"/>
          <w:szCs w:val="22"/>
          <w:lang w:val="pl-PL"/>
        </w:rPr>
        <w:t>oparzenie słoneczne</w:t>
      </w:r>
    </w:p>
    <w:p w14:paraId="150D43C8" w14:textId="77777777" w:rsidR="006B24B4" w:rsidRPr="007E4DA1" w:rsidRDefault="006B24B4" w:rsidP="00DE1596">
      <w:pPr>
        <w:pStyle w:val="listdashnospace"/>
        <w:numPr>
          <w:ilvl w:val="0"/>
          <w:numId w:val="67"/>
        </w:numPr>
        <w:ind w:left="567" w:hanging="567"/>
        <w:rPr>
          <w:sz w:val="22"/>
          <w:szCs w:val="22"/>
          <w:lang w:val="pl-PL"/>
        </w:rPr>
      </w:pPr>
      <w:r w:rsidRPr="007E4DA1">
        <w:rPr>
          <w:sz w:val="22"/>
          <w:szCs w:val="22"/>
          <w:lang w:val="pl-PL"/>
        </w:rPr>
        <w:t>uczucie gorąca, uczucie niepokoju</w:t>
      </w:r>
    </w:p>
    <w:p w14:paraId="5FD3FE0A" w14:textId="0ED16EF0" w:rsidR="00347B71" w:rsidRPr="007E4DA1" w:rsidRDefault="009C2AB3" w:rsidP="00DE1596">
      <w:pPr>
        <w:pStyle w:val="listdashnospace"/>
        <w:numPr>
          <w:ilvl w:val="0"/>
          <w:numId w:val="67"/>
        </w:numPr>
        <w:ind w:left="567" w:hanging="567"/>
        <w:rPr>
          <w:sz w:val="22"/>
          <w:szCs w:val="22"/>
          <w:lang w:val="pl-PL"/>
        </w:rPr>
      </w:pPr>
      <w:r w:rsidRPr="007E4DA1">
        <w:rPr>
          <w:sz w:val="22"/>
          <w:szCs w:val="22"/>
          <w:lang w:val="pl-PL"/>
        </w:rPr>
        <w:t>zaczerwienienie lub obrzęk w okolic</w:t>
      </w:r>
      <w:r w:rsidR="00255717" w:rsidRPr="007E4DA1">
        <w:rPr>
          <w:sz w:val="22"/>
          <w:szCs w:val="22"/>
          <w:lang w:val="pl-PL"/>
        </w:rPr>
        <w:t>y</w:t>
      </w:r>
      <w:r w:rsidRPr="007E4DA1">
        <w:rPr>
          <w:sz w:val="22"/>
          <w:szCs w:val="22"/>
          <w:lang w:val="pl-PL"/>
        </w:rPr>
        <w:t xml:space="preserve"> ran</w:t>
      </w:r>
      <w:r w:rsidR="00255717" w:rsidRPr="007E4DA1">
        <w:rPr>
          <w:sz w:val="22"/>
          <w:szCs w:val="22"/>
          <w:lang w:val="pl-PL"/>
        </w:rPr>
        <w:t>y</w:t>
      </w:r>
      <w:r w:rsidRPr="007E4DA1">
        <w:rPr>
          <w:sz w:val="22"/>
          <w:szCs w:val="22"/>
          <w:lang w:val="pl-PL"/>
        </w:rPr>
        <w:t xml:space="preserve"> </w:t>
      </w:r>
    </w:p>
    <w:p w14:paraId="7F129FC1" w14:textId="1399AE9A" w:rsidR="00347B71" w:rsidRPr="007E4DA1" w:rsidRDefault="009C2AB3" w:rsidP="00DE1596">
      <w:pPr>
        <w:pStyle w:val="listdashnospace"/>
        <w:numPr>
          <w:ilvl w:val="0"/>
          <w:numId w:val="67"/>
        </w:numPr>
        <w:ind w:left="567" w:hanging="567"/>
        <w:rPr>
          <w:sz w:val="22"/>
          <w:szCs w:val="22"/>
          <w:lang w:val="pl-PL"/>
        </w:rPr>
      </w:pPr>
      <w:r w:rsidRPr="007E4DA1">
        <w:rPr>
          <w:sz w:val="22"/>
          <w:szCs w:val="22"/>
          <w:lang w:val="pl-PL"/>
        </w:rPr>
        <w:t xml:space="preserve">krwawienie wokół cewnika (jeżeli obecny) do skóry </w:t>
      </w:r>
    </w:p>
    <w:p w14:paraId="38EE1D5C" w14:textId="3DA1B111" w:rsidR="009C2AB3" w:rsidRPr="007E4DA1" w:rsidRDefault="009C2AB3" w:rsidP="00DE1596">
      <w:pPr>
        <w:pStyle w:val="listdashnospace"/>
        <w:numPr>
          <w:ilvl w:val="0"/>
          <w:numId w:val="67"/>
        </w:numPr>
        <w:ind w:left="567" w:hanging="567"/>
        <w:rPr>
          <w:sz w:val="22"/>
          <w:szCs w:val="22"/>
          <w:lang w:val="pl-PL"/>
        </w:rPr>
      </w:pPr>
      <w:r w:rsidRPr="007E4DA1">
        <w:rPr>
          <w:sz w:val="22"/>
          <w:szCs w:val="22"/>
          <w:lang w:val="pl-PL"/>
        </w:rPr>
        <w:t>uczucie obecności ciała obcego</w:t>
      </w:r>
    </w:p>
    <w:p w14:paraId="21E913C3" w14:textId="77777777" w:rsidR="009C2AB3" w:rsidRPr="007E4DA1" w:rsidRDefault="009C2AB3" w:rsidP="00DE1596">
      <w:pPr>
        <w:pStyle w:val="listdashnospace"/>
        <w:numPr>
          <w:ilvl w:val="0"/>
          <w:numId w:val="67"/>
        </w:numPr>
        <w:ind w:left="567" w:hanging="567"/>
        <w:rPr>
          <w:sz w:val="22"/>
          <w:szCs w:val="22"/>
          <w:lang w:val="pl-PL"/>
        </w:rPr>
      </w:pPr>
      <w:r w:rsidRPr="007E4DA1">
        <w:rPr>
          <w:sz w:val="22"/>
          <w:szCs w:val="22"/>
          <w:lang w:val="pl-PL"/>
        </w:rPr>
        <w:t>choroby nerek obejmujące: zapalenie nerek, nadmierne wydalanie moczu w nocy, niewydolność nerek, obecność białych krwinek w moczu</w:t>
      </w:r>
    </w:p>
    <w:p w14:paraId="05A7E24E" w14:textId="77777777" w:rsidR="009C2AB3" w:rsidRPr="007E4DA1" w:rsidRDefault="00255717" w:rsidP="00DE1596">
      <w:pPr>
        <w:pStyle w:val="listdashnospace"/>
        <w:numPr>
          <w:ilvl w:val="0"/>
          <w:numId w:val="67"/>
        </w:numPr>
        <w:ind w:left="567" w:hanging="567"/>
        <w:rPr>
          <w:sz w:val="22"/>
          <w:szCs w:val="22"/>
          <w:lang w:val="pl-PL"/>
        </w:rPr>
      </w:pPr>
      <w:r w:rsidRPr="007E4DA1">
        <w:rPr>
          <w:sz w:val="22"/>
          <w:szCs w:val="22"/>
          <w:lang w:val="pl-PL"/>
        </w:rPr>
        <w:t>zimne</w:t>
      </w:r>
      <w:r w:rsidR="009C2AB3" w:rsidRPr="007E4DA1">
        <w:rPr>
          <w:sz w:val="22"/>
          <w:szCs w:val="22"/>
          <w:lang w:val="pl-PL"/>
        </w:rPr>
        <w:t xml:space="preserve"> poty</w:t>
      </w:r>
    </w:p>
    <w:p w14:paraId="14A1823C" w14:textId="09CC1361" w:rsidR="006B24B4" w:rsidRPr="007E4DA1" w:rsidRDefault="00467E47" w:rsidP="00DE1596">
      <w:pPr>
        <w:pStyle w:val="listdashnospace"/>
        <w:numPr>
          <w:ilvl w:val="0"/>
          <w:numId w:val="67"/>
        </w:numPr>
        <w:ind w:left="567" w:hanging="567"/>
        <w:rPr>
          <w:sz w:val="22"/>
          <w:szCs w:val="22"/>
          <w:lang w:val="pl-PL"/>
        </w:rPr>
      </w:pPr>
      <w:r w:rsidRPr="007E4DA1">
        <w:rPr>
          <w:sz w:val="22"/>
          <w:szCs w:val="22"/>
          <w:lang w:val="pl-PL"/>
        </w:rPr>
        <w:t xml:space="preserve">ogólne </w:t>
      </w:r>
      <w:r w:rsidR="006B24B4" w:rsidRPr="007E4DA1">
        <w:rPr>
          <w:sz w:val="22"/>
          <w:szCs w:val="22"/>
          <w:lang w:val="pl-PL"/>
        </w:rPr>
        <w:t xml:space="preserve">złe samopoczucie </w:t>
      </w:r>
    </w:p>
    <w:p w14:paraId="130DFE9B" w14:textId="77777777" w:rsidR="009C2AB3" w:rsidRPr="007E4DA1" w:rsidRDefault="009C2AB3" w:rsidP="00DE1596">
      <w:pPr>
        <w:pStyle w:val="listdashnospace"/>
        <w:numPr>
          <w:ilvl w:val="0"/>
          <w:numId w:val="67"/>
        </w:numPr>
        <w:ind w:left="567" w:hanging="567"/>
        <w:rPr>
          <w:sz w:val="22"/>
          <w:szCs w:val="22"/>
          <w:lang w:val="pl-PL"/>
        </w:rPr>
      </w:pPr>
      <w:r w:rsidRPr="007E4DA1">
        <w:rPr>
          <w:sz w:val="22"/>
          <w:szCs w:val="22"/>
          <w:lang w:val="pl-PL"/>
        </w:rPr>
        <w:t>zakażenie skóry</w:t>
      </w:r>
    </w:p>
    <w:p w14:paraId="1AED4CBD" w14:textId="074274A4" w:rsidR="009C2AB3" w:rsidRPr="007E4DA1" w:rsidRDefault="009C2AB3" w:rsidP="00DE1596">
      <w:pPr>
        <w:pStyle w:val="listdashnospace"/>
        <w:numPr>
          <w:ilvl w:val="0"/>
          <w:numId w:val="67"/>
        </w:numPr>
        <w:ind w:left="567" w:hanging="567"/>
        <w:rPr>
          <w:sz w:val="22"/>
          <w:szCs w:val="22"/>
          <w:lang w:val="pl-PL"/>
        </w:rPr>
      </w:pPr>
      <w:r w:rsidRPr="007E4DA1">
        <w:rPr>
          <w:sz w:val="22"/>
          <w:szCs w:val="22"/>
          <w:lang w:val="pl-PL"/>
        </w:rPr>
        <w:t xml:space="preserve">zmiany skórne, w tym </w:t>
      </w:r>
      <w:r w:rsidR="006B24B4" w:rsidRPr="007E4DA1">
        <w:rPr>
          <w:sz w:val="22"/>
          <w:szCs w:val="22"/>
          <w:lang w:val="pl-PL"/>
        </w:rPr>
        <w:t>przebarwienia skóry</w:t>
      </w:r>
      <w:r w:rsidRPr="007E4DA1">
        <w:rPr>
          <w:sz w:val="22"/>
          <w:szCs w:val="22"/>
          <w:lang w:val="pl-PL"/>
        </w:rPr>
        <w:t xml:space="preserve">, złuszczanie, zaczerwienienie, swędzenie </w:t>
      </w:r>
      <w:r w:rsidR="00255717" w:rsidRPr="007E4DA1">
        <w:rPr>
          <w:sz w:val="22"/>
          <w:szCs w:val="22"/>
          <w:lang w:val="pl-PL"/>
        </w:rPr>
        <w:t>i</w:t>
      </w:r>
      <w:r w:rsidRPr="007E4DA1">
        <w:rPr>
          <w:sz w:val="22"/>
          <w:szCs w:val="22"/>
          <w:lang w:val="pl-PL"/>
        </w:rPr>
        <w:t xml:space="preserve"> </w:t>
      </w:r>
      <w:r w:rsidR="00347B71" w:rsidRPr="007E4DA1">
        <w:rPr>
          <w:sz w:val="22"/>
          <w:szCs w:val="22"/>
          <w:lang w:val="pl-PL"/>
        </w:rPr>
        <w:t>pocenie</w:t>
      </w:r>
    </w:p>
    <w:p w14:paraId="1CA5ACA1" w14:textId="77777777" w:rsidR="006B24B4" w:rsidRPr="007E4DA1" w:rsidRDefault="006B24B4" w:rsidP="00DE1596">
      <w:pPr>
        <w:pStyle w:val="listdashnospace"/>
        <w:numPr>
          <w:ilvl w:val="0"/>
          <w:numId w:val="67"/>
        </w:numPr>
        <w:ind w:left="567" w:hanging="567"/>
        <w:rPr>
          <w:sz w:val="22"/>
          <w:szCs w:val="22"/>
          <w:lang w:val="pl-PL"/>
        </w:rPr>
      </w:pPr>
      <w:r w:rsidRPr="007E4DA1">
        <w:rPr>
          <w:sz w:val="22"/>
          <w:szCs w:val="22"/>
          <w:lang w:val="pl-PL"/>
        </w:rPr>
        <w:t>osłabienie mięśni</w:t>
      </w:r>
    </w:p>
    <w:p w14:paraId="1ADC5849" w14:textId="77777777" w:rsidR="006B24B4" w:rsidRPr="007E4DA1" w:rsidRDefault="006B24B4" w:rsidP="00DE1596">
      <w:pPr>
        <w:pStyle w:val="listdashnospace"/>
        <w:numPr>
          <w:ilvl w:val="0"/>
          <w:numId w:val="67"/>
        </w:numPr>
        <w:ind w:left="567" w:hanging="567"/>
        <w:rPr>
          <w:sz w:val="22"/>
          <w:szCs w:val="22"/>
          <w:lang w:val="pl-PL"/>
        </w:rPr>
      </w:pPr>
      <w:r w:rsidRPr="007E4DA1">
        <w:rPr>
          <w:sz w:val="22"/>
          <w:szCs w:val="22"/>
          <w:lang w:val="pl-PL"/>
        </w:rPr>
        <w:t>rak odbytu i okrężnicy</w:t>
      </w:r>
    </w:p>
    <w:p w14:paraId="12339A0D" w14:textId="77777777" w:rsidR="009C2AB3" w:rsidRPr="007E4DA1" w:rsidRDefault="009C2AB3" w:rsidP="00DE1596">
      <w:pPr>
        <w:pStyle w:val="listdashnospace"/>
        <w:numPr>
          <w:ilvl w:val="0"/>
          <w:numId w:val="0"/>
        </w:numPr>
        <w:rPr>
          <w:sz w:val="22"/>
          <w:szCs w:val="22"/>
          <w:lang w:val="pl-PL"/>
        </w:rPr>
      </w:pPr>
    </w:p>
    <w:p w14:paraId="380A79CD" w14:textId="77777777" w:rsidR="00041A08" w:rsidRPr="00041A08" w:rsidRDefault="009C2AB3" w:rsidP="00DE1596">
      <w:pPr>
        <w:pStyle w:val="listdashnospace"/>
        <w:keepNext/>
        <w:numPr>
          <w:ilvl w:val="0"/>
          <w:numId w:val="0"/>
        </w:numPr>
        <w:rPr>
          <w:sz w:val="22"/>
          <w:szCs w:val="22"/>
          <w:lang w:val="pl-PL"/>
        </w:rPr>
      </w:pPr>
      <w:r w:rsidRPr="007E4DA1">
        <w:rPr>
          <w:b/>
          <w:sz w:val="22"/>
          <w:szCs w:val="22"/>
          <w:lang w:val="pl-PL"/>
        </w:rPr>
        <w:t>Niezbyt częste działania niepożądane, które mogą ujawnić się w badaniach laboratoryjnych:</w:t>
      </w:r>
    </w:p>
    <w:p w14:paraId="659F89EE" w14:textId="7358FDB8" w:rsidR="009C2AB3" w:rsidRPr="007E4DA1" w:rsidRDefault="009C2AB3" w:rsidP="00DE1596">
      <w:pPr>
        <w:pStyle w:val="listdashnospace"/>
        <w:keepNext/>
        <w:numPr>
          <w:ilvl w:val="0"/>
          <w:numId w:val="68"/>
        </w:numPr>
        <w:tabs>
          <w:tab w:val="clear" w:pos="709"/>
        </w:tabs>
        <w:ind w:left="567"/>
        <w:rPr>
          <w:sz w:val="22"/>
          <w:szCs w:val="22"/>
          <w:lang w:val="pl-PL"/>
        </w:rPr>
      </w:pPr>
      <w:r w:rsidRPr="007E4DA1">
        <w:rPr>
          <w:sz w:val="22"/>
          <w:szCs w:val="22"/>
          <w:lang w:val="pl-PL"/>
        </w:rPr>
        <w:t>zmiany w kształcie czerwonych krwinek</w:t>
      </w:r>
    </w:p>
    <w:p w14:paraId="347B5A4F" w14:textId="77777777" w:rsidR="006B24B4" w:rsidRPr="007E4DA1" w:rsidRDefault="006B24B4" w:rsidP="008E0138">
      <w:pPr>
        <w:pStyle w:val="listdashnospace"/>
        <w:numPr>
          <w:ilvl w:val="0"/>
          <w:numId w:val="68"/>
        </w:numPr>
        <w:tabs>
          <w:tab w:val="clear" w:pos="709"/>
        </w:tabs>
        <w:ind w:left="567"/>
        <w:rPr>
          <w:sz w:val="22"/>
          <w:szCs w:val="22"/>
          <w:lang w:val="pl-PL"/>
        </w:rPr>
      </w:pPr>
      <w:r w:rsidRPr="007E4DA1">
        <w:rPr>
          <w:sz w:val="22"/>
          <w:szCs w:val="22"/>
          <w:lang w:val="pl-PL"/>
        </w:rPr>
        <w:t>obecność rozwijających się krwinek białych, która może wskazywać na występowanie pewnych chorób</w:t>
      </w:r>
    </w:p>
    <w:p w14:paraId="7B446349" w14:textId="77777777" w:rsidR="009C2AB3" w:rsidRPr="007E4DA1" w:rsidRDefault="009C2AB3" w:rsidP="00DE1596">
      <w:pPr>
        <w:pStyle w:val="listdashnospace"/>
        <w:numPr>
          <w:ilvl w:val="0"/>
          <w:numId w:val="68"/>
        </w:numPr>
        <w:tabs>
          <w:tab w:val="clear" w:pos="709"/>
          <w:tab w:val="num" w:pos="540"/>
        </w:tabs>
        <w:ind w:left="567"/>
        <w:rPr>
          <w:sz w:val="22"/>
          <w:szCs w:val="22"/>
          <w:lang w:val="pl-PL"/>
        </w:rPr>
      </w:pPr>
      <w:r w:rsidRPr="007E4DA1">
        <w:rPr>
          <w:sz w:val="22"/>
          <w:szCs w:val="22"/>
          <w:lang w:val="pl-PL"/>
        </w:rPr>
        <w:t>zwiększenie liczby płytek krwi</w:t>
      </w:r>
    </w:p>
    <w:p w14:paraId="09A1D884" w14:textId="77777777" w:rsidR="009C2AB3" w:rsidRPr="007E4DA1" w:rsidRDefault="009C2AB3" w:rsidP="00DE1596">
      <w:pPr>
        <w:pStyle w:val="listdashnospace"/>
        <w:numPr>
          <w:ilvl w:val="0"/>
          <w:numId w:val="68"/>
        </w:numPr>
        <w:tabs>
          <w:tab w:val="clear" w:pos="709"/>
        </w:tabs>
        <w:ind w:left="567"/>
        <w:rPr>
          <w:sz w:val="22"/>
          <w:szCs w:val="22"/>
          <w:lang w:val="pl-PL"/>
        </w:rPr>
      </w:pPr>
      <w:r w:rsidRPr="007E4DA1">
        <w:rPr>
          <w:sz w:val="22"/>
          <w:szCs w:val="22"/>
          <w:lang w:val="pl-PL"/>
        </w:rPr>
        <w:t>zmniejszenie stężenia wapnia</w:t>
      </w:r>
    </w:p>
    <w:p w14:paraId="20FBF022" w14:textId="77777777" w:rsidR="009C2AB3" w:rsidRPr="007E4DA1" w:rsidRDefault="009C2AB3" w:rsidP="00DE1596">
      <w:pPr>
        <w:pStyle w:val="listdashnospace"/>
        <w:numPr>
          <w:ilvl w:val="0"/>
          <w:numId w:val="68"/>
        </w:numPr>
        <w:tabs>
          <w:tab w:val="clear" w:pos="709"/>
        </w:tabs>
        <w:ind w:left="567"/>
        <w:rPr>
          <w:sz w:val="22"/>
          <w:szCs w:val="22"/>
          <w:lang w:val="pl-PL"/>
        </w:rPr>
      </w:pPr>
      <w:r w:rsidRPr="007E4DA1">
        <w:rPr>
          <w:sz w:val="22"/>
          <w:szCs w:val="22"/>
          <w:lang w:val="pl-PL"/>
        </w:rPr>
        <w:t>zmniejszenie liczby czerwonych krwinek (niedokrwistość) spowodowane przez nadmierne niszczenie czerwonych krwinek (niedokrwistość hemolityczna)</w:t>
      </w:r>
    </w:p>
    <w:p w14:paraId="7C381A52" w14:textId="77777777" w:rsidR="009C2AB3" w:rsidRPr="007E4DA1" w:rsidRDefault="009C2AB3" w:rsidP="00DE1596">
      <w:pPr>
        <w:pStyle w:val="listdashnospace"/>
        <w:numPr>
          <w:ilvl w:val="0"/>
          <w:numId w:val="68"/>
        </w:numPr>
        <w:tabs>
          <w:tab w:val="clear" w:pos="709"/>
        </w:tabs>
        <w:ind w:left="567"/>
        <w:rPr>
          <w:sz w:val="22"/>
          <w:szCs w:val="22"/>
          <w:lang w:val="pl-PL"/>
        </w:rPr>
      </w:pPr>
      <w:r w:rsidRPr="007E4DA1">
        <w:rPr>
          <w:sz w:val="22"/>
          <w:szCs w:val="22"/>
          <w:lang w:val="pl-PL"/>
        </w:rPr>
        <w:t>zwiększenie liczby mielocytów</w:t>
      </w:r>
    </w:p>
    <w:p w14:paraId="0F56B10E" w14:textId="77777777" w:rsidR="009C2AB3" w:rsidRPr="007E4DA1" w:rsidRDefault="009C2AB3" w:rsidP="00DE1596">
      <w:pPr>
        <w:pStyle w:val="listdashnospace"/>
        <w:numPr>
          <w:ilvl w:val="0"/>
          <w:numId w:val="68"/>
        </w:numPr>
        <w:tabs>
          <w:tab w:val="clear" w:pos="709"/>
        </w:tabs>
        <w:ind w:left="567"/>
        <w:rPr>
          <w:sz w:val="22"/>
          <w:szCs w:val="22"/>
          <w:lang w:val="pl-PL"/>
        </w:rPr>
      </w:pPr>
      <w:r w:rsidRPr="007E4DA1">
        <w:rPr>
          <w:sz w:val="22"/>
          <w:szCs w:val="22"/>
          <w:lang w:val="pl-PL"/>
        </w:rPr>
        <w:t>zwiększenie liczby pałeczkowatych granulocytów obojętnochłonnych</w:t>
      </w:r>
    </w:p>
    <w:p w14:paraId="0BD323E8" w14:textId="77777777" w:rsidR="009C2AB3" w:rsidRPr="007E4DA1" w:rsidRDefault="009C2AB3" w:rsidP="00DE1596">
      <w:pPr>
        <w:pStyle w:val="listdashnospace"/>
        <w:numPr>
          <w:ilvl w:val="0"/>
          <w:numId w:val="68"/>
        </w:numPr>
        <w:tabs>
          <w:tab w:val="clear" w:pos="709"/>
        </w:tabs>
        <w:ind w:left="567"/>
        <w:rPr>
          <w:sz w:val="22"/>
          <w:szCs w:val="22"/>
          <w:lang w:val="pl-PL"/>
        </w:rPr>
      </w:pPr>
      <w:r w:rsidRPr="007E4DA1">
        <w:rPr>
          <w:sz w:val="22"/>
          <w:szCs w:val="22"/>
          <w:lang w:val="pl-PL"/>
        </w:rPr>
        <w:t>zwiększenie stężenia mocznika we krwi</w:t>
      </w:r>
    </w:p>
    <w:p w14:paraId="3E152923" w14:textId="77777777" w:rsidR="00001352" w:rsidRPr="007E4DA1" w:rsidRDefault="00001352" w:rsidP="00DE1596">
      <w:pPr>
        <w:pStyle w:val="listdashnospace"/>
        <w:numPr>
          <w:ilvl w:val="0"/>
          <w:numId w:val="68"/>
        </w:numPr>
        <w:tabs>
          <w:tab w:val="clear" w:pos="709"/>
        </w:tabs>
        <w:ind w:left="567"/>
        <w:rPr>
          <w:sz w:val="22"/>
          <w:szCs w:val="22"/>
          <w:lang w:val="pl-PL"/>
        </w:rPr>
      </w:pPr>
      <w:r w:rsidRPr="007E4DA1">
        <w:rPr>
          <w:sz w:val="22"/>
          <w:szCs w:val="22"/>
          <w:lang w:val="pl-PL"/>
        </w:rPr>
        <w:t>zwiększenie stężenia białka w moczu</w:t>
      </w:r>
    </w:p>
    <w:p w14:paraId="4CD803D9" w14:textId="77777777" w:rsidR="009C2AB3" w:rsidRPr="007E4DA1" w:rsidRDefault="009C2AB3" w:rsidP="00DE1596">
      <w:pPr>
        <w:pStyle w:val="listdashnospace"/>
        <w:numPr>
          <w:ilvl w:val="0"/>
          <w:numId w:val="68"/>
        </w:numPr>
        <w:tabs>
          <w:tab w:val="clear" w:pos="709"/>
        </w:tabs>
        <w:ind w:left="567"/>
        <w:rPr>
          <w:sz w:val="22"/>
          <w:szCs w:val="22"/>
          <w:lang w:val="pl-PL"/>
        </w:rPr>
      </w:pPr>
      <w:r w:rsidRPr="007E4DA1">
        <w:rPr>
          <w:sz w:val="22"/>
          <w:szCs w:val="22"/>
          <w:lang w:val="pl-PL"/>
        </w:rPr>
        <w:t>zwiększenie stężenia albumin we krwi</w:t>
      </w:r>
    </w:p>
    <w:p w14:paraId="16187766" w14:textId="77777777" w:rsidR="009C2AB3" w:rsidRPr="007E4DA1" w:rsidRDefault="009C2AB3" w:rsidP="00DE1596">
      <w:pPr>
        <w:pStyle w:val="listdashnospace"/>
        <w:numPr>
          <w:ilvl w:val="0"/>
          <w:numId w:val="68"/>
        </w:numPr>
        <w:tabs>
          <w:tab w:val="clear" w:pos="709"/>
        </w:tabs>
        <w:ind w:left="567"/>
        <w:rPr>
          <w:sz w:val="22"/>
          <w:szCs w:val="22"/>
          <w:lang w:val="pl-PL"/>
        </w:rPr>
      </w:pPr>
      <w:r w:rsidRPr="007E4DA1">
        <w:rPr>
          <w:sz w:val="22"/>
          <w:szCs w:val="22"/>
          <w:lang w:val="pl-PL"/>
        </w:rPr>
        <w:t>zwiększenie stężenia białka całkowitego</w:t>
      </w:r>
    </w:p>
    <w:p w14:paraId="43A9362F" w14:textId="77777777" w:rsidR="009C2AB3" w:rsidRPr="007E4DA1" w:rsidRDefault="009C2AB3" w:rsidP="00DE1596">
      <w:pPr>
        <w:pStyle w:val="listdashnospace"/>
        <w:numPr>
          <w:ilvl w:val="0"/>
          <w:numId w:val="68"/>
        </w:numPr>
        <w:tabs>
          <w:tab w:val="clear" w:pos="709"/>
        </w:tabs>
        <w:ind w:left="567"/>
        <w:rPr>
          <w:sz w:val="22"/>
          <w:szCs w:val="22"/>
          <w:lang w:val="pl-PL"/>
        </w:rPr>
      </w:pPr>
      <w:r w:rsidRPr="007E4DA1">
        <w:rPr>
          <w:sz w:val="22"/>
          <w:szCs w:val="22"/>
          <w:lang w:val="pl-PL"/>
        </w:rPr>
        <w:t>zmniejszenie stężenia albumin we krwi</w:t>
      </w:r>
    </w:p>
    <w:p w14:paraId="4D907068" w14:textId="77777777" w:rsidR="009C2AB3" w:rsidRPr="007E4DA1" w:rsidRDefault="009C2AB3" w:rsidP="00DE1596">
      <w:pPr>
        <w:pStyle w:val="listdashnospace"/>
        <w:numPr>
          <w:ilvl w:val="0"/>
          <w:numId w:val="68"/>
        </w:numPr>
        <w:tabs>
          <w:tab w:val="clear" w:pos="709"/>
        </w:tabs>
        <w:ind w:left="567"/>
        <w:rPr>
          <w:sz w:val="22"/>
          <w:szCs w:val="22"/>
          <w:lang w:val="pl-PL"/>
        </w:rPr>
      </w:pPr>
      <w:r w:rsidRPr="007E4DA1">
        <w:rPr>
          <w:sz w:val="22"/>
          <w:szCs w:val="22"/>
          <w:lang w:val="pl-PL"/>
        </w:rPr>
        <w:t>zwiększenie pH moczu</w:t>
      </w:r>
    </w:p>
    <w:p w14:paraId="39351CA0" w14:textId="77777777" w:rsidR="009C2AB3" w:rsidRPr="007E4DA1" w:rsidRDefault="009C2AB3" w:rsidP="00DE1596">
      <w:pPr>
        <w:pStyle w:val="listdashnospace"/>
        <w:numPr>
          <w:ilvl w:val="0"/>
          <w:numId w:val="68"/>
        </w:numPr>
        <w:tabs>
          <w:tab w:val="clear" w:pos="709"/>
        </w:tabs>
        <w:ind w:left="567"/>
        <w:rPr>
          <w:sz w:val="22"/>
          <w:szCs w:val="22"/>
          <w:lang w:val="pl-PL"/>
        </w:rPr>
      </w:pPr>
      <w:r w:rsidRPr="007E4DA1">
        <w:rPr>
          <w:sz w:val="22"/>
          <w:szCs w:val="22"/>
          <w:lang w:val="pl-PL"/>
        </w:rPr>
        <w:t>zwiększenie stężenia hemoglobiny</w:t>
      </w:r>
    </w:p>
    <w:p w14:paraId="4597ED9B" w14:textId="77777777" w:rsidR="009C2AB3" w:rsidRPr="007E4DA1" w:rsidRDefault="009C2AB3" w:rsidP="00DE1596">
      <w:pPr>
        <w:pStyle w:val="Nottoc-headings"/>
        <w:keepNext w:val="0"/>
        <w:keepLines w:val="0"/>
        <w:spacing w:before="0" w:after="0"/>
        <w:rPr>
          <w:rFonts w:ascii="Times New Roman" w:hAnsi="Times New Roman" w:cs="Times New Roman"/>
          <w:b w:val="0"/>
          <w:sz w:val="22"/>
          <w:szCs w:val="22"/>
          <w:lang w:val="pl-PL" w:eastAsia="en-GB"/>
        </w:rPr>
      </w:pPr>
    </w:p>
    <w:p w14:paraId="705B4572" w14:textId="77777777" w:rsidR="00041A08" w:rsidRPr="00041A08" w:rsidRDefault="009C2AB3" w:rsidP="00DE1596">
      <w:pPr>
        <w:pStyle w:val="Nottoc-headings"/>
        <w:spacing w:before="0" w:after="0"/>
        <w:rPr>
          <w:rFonts w:ascii="Times New Roman" w:hAnsi="Times New Roman" w:cs="Times New Roman"/>
          <w:b w:val="0"/>
          <w:sz w:val="22"/>
          <w:szCs w:val="22"/>
          <w:lang w:val="pl-PL" w:eastAsia="en-GB"/>
        </w:rPr>
      </w:pPr>
      <w:r w:rsidRPr="007E4DA1">
        <w:rPr>
          <w:rFonts w:ascii="Times New Roman" w:hAnsi="Times New Roman" w:cs="Times New Roman"/>
          <w:sz w:val="22"/>
          <w:szCs w:val="22"/>
          <w:lang w:val="pl-PL" w:eastAsia="en-GB"/>
        </w:rPr>
        <w:t>Podane niżej dodatkowe działania niepożądane były zgłaszane jako związane z leczeniem lekiem Revolade u dzieci (w wieku od 1 do 17 lat) z ITP:</w:t>
      </w:r>
    </w:p>
    <w:p w14:paraId="750B8998" w14:textId="04EF6DFD" w:rsidR="009C2AB3" w:rsidRPr="007E4DA1" w:rsidRDefault="009C2AB3" w:rsidP="00DE1596">
      <w:pPr>
        <w:pStyle w:val="Text"/>
        <w:keepNext/>
        <w:spacing w:before="0"/>
        <w:jc w:val="left"/>
        <w:rPr>
          <w:sz w:val="22"/>
          <w:szCs w:val="22"/>
          <w:lang w:val="pl-PL"/>
        </w:rPr>
      </w:pPr>
      <w:r w:rsidRPr="007E4DA1">
        <w:rPr>
          <w:sz w:val="22"/>
          <w:szCs w:val="22"/>
          <w:lang w:val="pl-PL"/>
        </w:rPr>
        <w:t>Jeśli te działania niepożądane nasilą się, należy powiedzieć o tym lekarzowi prowadzącemu, farmaceucie lub pielęgniarce.</w:t>
      </w:r>
    </w:p>
    <w:p w14:paraId="56AA71BF" w14:textId="77777777" w:rsidR="009C2AB3" w:rsidRPr="007E4DA1" w:rsidRDefault="009C2AB3" w:rsidP="00DE1596">
      <w:pPr>
        <w:pStyle w:val="Text"/>
        <w:keepNext/>
        <w:spacing w:before="0"/>
        <w:jc w:val="left"/>
        <w:rPr>
          <w:sz w:val="22"/>
          <w:szCs w:val="22"/>
          <w:lang w:val="pl-PL" w:eastAsia="en-GB"/>
        </w:rPr>
      </w:pPr>
    </w:p>
    <w:p w14:paraId="7CBF7BB3" w14:textId="77777777" w:rsidR="00041A08" w:rsidRPr="00041A08" w:rsidRDefault="009C2AB3" w:rsidP="00DE1596">
      <w:pPr>
        <w:keepNext/>
        <w:rPr>
          <w:szCs w:val="22"/>
        </w:rPr>
      </w:pPr>
      <w:r w:rsidRPr="007E4DA1">
        <w:rPr>
          <w:b/>
          <w:szCs w:val="22"/>
        </w:rPr>
        <w:t>Bardzo częste działania niepożądane</w:t>
      </w:r>
    </w:p>
    <w:p w14:paraId="52142877" w14:textId="78840BA4" w:rsidR="009C2AB3" w:rsidRPr="007E4DA1" w:rsidRDefault="009C2AB3" w:rsidP="00DE1596">
      <w:pPr>
        <w:keepNext/>
        <w:rPr>
          <w:szCs w:val="22"/>
        </w:rPr>
      </w:pPr>
      <w:r w:rsidRPr="007E4DA1">
        <w:rPr>
          <w:szCs w:val="22"/>
        </w:rPr>
        <w:t xml:space="preserve">Mogą wystąpić u </w:t>
      </w:r>
      <w:r w:rsidRPr="007E4DA1">
        <w:rPr>
          <w:b/>
          <w:szCs w:val="22"/>
        </w:rPr>
        <w:t>więcej niż 1 na 10</w:t>
      </w:r>
      <w:r w:rsidRPr="007E4DA1">
        <w:rPr>
          <w:szCs w:val="22"/>
        </w:rPr>
        <w:t> dzieci:</w:t>
      </w:r>
    </w:p>
    <w:p w14:paraId="6A613B6A" w14:textId="77777777" w:rsidR="009C2AB3" w:rsidRPr="007E4DA1" w:rsidRDefault="009C2AB3" w:rsidP="00DE1596">
      <w:pPr>
        <w:pStyle w:val="listdashnospace"/>
        <w:numPr>
          <w:ilvl w:val="0"/>
          <w:numId w:val="43"/>
        </w:numPr>
        <w:tabs>
          <w:tab w:val="clear" w:pos="709"/>
        </w:tabs>
        <w:ind w:left="567"/>
        <w:rPr>
          <w:sz w:val="22"/>
          <w:szCs w:val="22"/>
          <w:lang w:val="pl-PL"/>
        </w:rPr>
      </w:pPr>
      <w:r w:rsidRPr="007E4DA1">
        <w:rPr>
          <w:sz w:val="22"/>
          <w:szCs w:val="22"/>
          <w:lang w:val="pl-PL"/>
        </w:rPr>
        <w:t>zakażenie nosa, zatok, gardła i górnych dróg oddechowych, przeziębienie (zakażenie górnych dróg oddechowych)</w:t>
      </w:r>
    </w:p>
    <w:p w14:paraId="2F3137B6" w14:textId="77777777" w:rsidR="009C2AB3" w:rsidRPr="007E4DA1" w:rsidRDefault="009C2AB3" w:rsidP="00DE1596">
      <w:pPr>
        <w:pStyle w:val="listdashnospace"/>
        <w:numPr>
          <w:ilvl w:val="0"/>
          <w:numId w:val="43"/>
        </w:numPr>
        <w:tabs>
          <w:tab w:val="clear" w:pos="709"/>
        </w:tabs>
        <w:ind w:left="567"/>
        <w:rPr>
          <w:sz w:val="22"/>
          <w:szCs w:val="22"/>
          <w:lang w:val="pl-PL"/>
        </w:rPr>
      </w:pPr>
      <w:r w:rsidRPr="007E4DA1">
        <w:rPr>
          <w:sz w:val="22"/>
          <w:szCs w:val="22"/>
          <w:lang w:val="pl-PL"/>
        </w:rPr>
        <w:t>biegunka</w:t>
      </w:r>
    </w:p>
    <w:p w14:paraId="0E3311AB" w14:textId="77777777" w:rsidR="009C2AB3" w:rsidRPr="007E4DA1" w:rsidRDefault="009C2AB3" w:rsidP="00DE1596">
      <w:pPr>
        <w:pStyle w:val="listdashnospace"/>
        <w:numPr>
          <w:ilvl w:val="0"/>
          <w:numId w:val="43"/>
        </w:numPr>
        <w:tabs>
          <w:tab w:val="clear" w:pos="709"/>
        </w:tabs>
        <w:ind w:left="567"/>
        <w:rPr>
          <w:sz w:val="22"/>
          <w:szCs w:val="22"/>
          <w:lang w:val="pl-PL"/>
        </w:rPr>
      </w:pPr>
      <w:r w:rsidRPr="007E4DA1">
        <w:rPr>
          <w:sz w:val="22"/>
          <w:szCs w:val="22"/>
          <w:lang w:val="pl-PL"/>
        </w:rPr>
        <w:t>ból brzucha</w:t>
      </w:r>
    </w:p>
    <w:p w14:paraId="58398AB6" w14:textId="77777777" w:rsidR="009C2AB3" w:rsidRPr="007E4DA1" w:rsidRDefault="009C2AB3" w:rsidP="00DE1596">
      <w:pPr>
        <w:pStyle w:val="listdashnospace"/>
        <w:numPr>
          <w:ilvl w:val="0"/>
          <w:numId w:val="43"/>
        </w:numPr>
        <w:tabs>
          <w:tab w:val="clear" w:pos="709"/>
        </w:tabs>
        <w:ind w:left="567"/>
        <w:rPr>
          <w:sz w:val="22"/>
          <w:szCs w:val="22"/>
          <w:lang w:val="pl-PL"/>
        </w:rPr>
      </w:pPr>
      <w:r w:rsidRPr="007E4DA1">
        <w:rPr>
          <w:sz w:val="22"/>
          <w:szCs w:val="22"/>
          <w:lang w:val="pl-PL"/>
        </w:rPr>
        <w:t>kaszel</w:t>
      </w:r>
    </w:p>
    <w:p w14:paraId="328B4DCC" w14:textId="77777777" w:rsidR="009C2AB3" w:rsidRPr="007E4DA1" w:rsidRDefault="009C2AB3" w:rsidP="00DE1596">
      <w:pPr>
        <w:pStyle w:val="listdashnospace"/>
        <w:numPr>
          <w:ilvl w:val="0"/>
          <w:numId w:val="43"/>
        </w:numPr>
        <w:tabs>
          <w:tab w:val="clear" w:pos="709"/>
        </w:tabs>
        <w:ind w:left="567"/>
        <w:rPr>
          <w:sz w:val="22"/>
          <w:szCs w:val="22"/>
          <w:lang w:val="pl-PL"/>
        </w:rPr>
      </w:pPr>
      <w:r w:rsidRPr="007E4DA1">
        <w:rPr>
          <w:sz w:val="22"/>
          <w:szCs w:val="22"/>
          <w:lang w:val="pl-PL"/>
        </w:rPr>
        <w:t>wysoka temperatura ciała</w:t>
      </w:r>
    </w:p>
    <w:p w14:paraId="2534513F" w14:textId="77777777" w:rsidR="009C2AB3" w:rsidRPr="007E4DA1" w:rsidRDefault="009C2AB3" w:rsidP="00DE1596">
      <w:pPr>
        <w:pStyle w:val="listdashnospace"/>
        <w:numPr>
          <w:ilvl w:val="0"/>
          <w:numId w:val="43"/>
        </w:numPr>
        <w:tabs>
          <w:tab w:val="clear" w:pos="709"/>
        </w:tabs>
        <w:ind w:left="567"/>
        <w:rPr>
          <w:sz w:val="22"/>
          <w:szCs w:val="22"/>
          <w:lang w:val="pl-PL"/>
        </w:rPr>
      </w:pPr>
      <w:r w:rsidRPr="007E4DA1">
        <w:rPr>
          <w:sz w:val="22"/>
          <w:szCs w:val="22"/>
          <w:lang w:val="pl-PL"/>
        </w:rPr>
        <w:t>nudności</w:t>
      </w:r>
    </w:p>
    <w:p w14:paraId="631D91F6" w14:textId="77777777" w:rsidR="009C2AB3" w:rsidRPr="007E4DA1" w:rsidRDefault="009C2AB3" w:rsidP="00DE1596">
      <w:pPr>
        <w:rPr>
          <w:szCs w:val="22"/>
        </w:rPr>
      </w:pPr>
    </w:p>
    <w:p w14:paraId="761FED86" w14:textId="77777777" w:rsidR="00041A08" w:rsidRPr="00041A08" w:rsidRDefault="009C2AB3" w:rsidP="00DE1596">
      <w:pPr>
        <w:keepNext/>
        <w:rPr>
          <w:szCs w:val="22"/>
        </w:rPr>
      </w:pPr>
      <w:r w:rsidRPr="007E4DA1">
        <w:rPr>
          <w:b/>
          <w:szCs w:val="22"/>
        </w:rPr>
        <w:t>Częste działania niepożądane</w:t>
      </w:r>
    </w:p>
    <w:p w14:paraId="33F3A705" w14:textId="58F97C3C" w:rsidR="009C2AB3" w:rsidRPr="007E4DA1" w:rsidRDefault="009C2AB3" w:rsidP="00DE1596">
      <w:pPr>
        <w:keepNext/>
        <w:ind w:left="0" w:firstLine="0"/>
        <w:rPr>
          <w:szCs w:val="22"/>
        </w:rPr>
      </w:pPr>
      <w:r w:rsidRPr="007E4DA1">
        <w:rPr>
          <w:szCs w:val="22"/>
        </w:rPr>
        <w:t xml:space="preserve">Mogą wystąpić u </w:t>
      </w:r>
      <w:r w:rsidRPr="007E4DA1">
        <w:rPr>
          <w:b/>
          <w:szCs w:val="22"/>
        </w:rPr>
        <w:t>nie więcej niż 1 na 10</w:t>
      </w:r>
      <w:r w:rsidRPr="007E4DA1">
        <w:rPr>
          <w:szCs w:val="22"/>
        </w:rPr>
        <w:t> dzieci:</w:t>
      </w:r>
    </w:p>
    <w:p w14:paraId="255B3C0B" w14:textId="77777777" w:rsidR="009C2AB3" w:rsidRPr="007E4DA1" w:rsidRDefault="009C2AB3" w:rsidP="00DE1596">
      <w:pPr>
        <w:pStyle w:val="listdashnospace"/>
        <w:numPr>
          <w:ilvl w:val="0"/>
          <w:numId w:val="44"/>
        </w:numPr>
        <w:tabs>
          <w:tab w:val="clear" w:pos="709"/>
        </w:tabs>
        <w:ind w:left="567"/>
        <w:rPr>
          <w:sz w:val="22"/>
          <w:szCs w:val="22"/>
          <w:lang w:val="pl-PL"/>
        </w:rPr>
      </w:pPr>
      <w:r w:rsidRPr="007E4DA1">
        <w:rPr>
          <w:sz w:val="22"/>
          <w:szCs w:val="22"/>
          <w:lang w:val="pl-PL"/>
        </w:rPr>
        <w:t>trudności z zasypianiem (bezsenność)</w:t>
      </w:r>
    </w:p>
    <w:p w14:paraId="381B2D14" w14:textId="77777777" w:rsidR="009C2AB3" w:rsidRPr="007E4DA1" w:rsidRDefault="009C2AB3" w:rsidP="00DE1596">
      <w:pPr>
        <w:pStyle w:val="listdashnospace"/>
        <w:numPr>
          <w:ilvl w:val="0"/>
          <w:numId w:val="44"/>
        </w:numPr>
        <w:tabs>
          <w:tab w:val="clear" w:pos="709"/>
        </w:tabs>
        <w:ind w:left="567"/>
        <w:rPr>
          <w:sz w:val="22"/>
          <w:szCs w:val="22"/>
          <w:lang w:val="pl-PL"/>
        </w:rPr>
      </w:pPr>
      <w:r w:rsidRPr="007E4DA1">
        <w:rPr>
          <w:sz w:val="22"/>
          <w:szCs w:val="22"/>
          <w:lang w:val="pl-PL"/>
        </w:rPr>
        <w:t>ból zęb</w:t>
      </w:r>
      <w:r w:rsidR="00255717" w:rsidRPr="007E4DA1">
        <w:rPr>
          <w:sz w:val="22"/>
          <w:szCs w:val="22"/>
          <w:lang w:val="pl-PL"/>
        </w:rPr>
        <w:t>a</w:t>
      </w:r>
    </w:p>
    <w:p w14:paraId="059D2782" w14:textId="77777777" w:rsidR="009C2AB3" w:rsidRPr="007E4DA1" w:rsidRDefault="009C2AB3" w:rsidP="00DE1596">
      <w:pPr>
        <w:pStyle w:val="listdashnospace"/>
        <w:numPr>
          <w:ilvl w:val="0"/>
          <w:numId w:val="44"/>
        </w:numPr>
        <w:tabs>
          <w:tab w:val="clear" w:pos="709"/>
        </w:tabs>
        <w:ind w:left="567"/>
        <w:rPr>
          <w:sz w:val="22"/>
          <w:szCs w:val="22"/>
          <w:lang w:val="pl-PL"/>
        </w:rPr>
      </w:pPr>
      <w:r w:rsidRPr="007E4DA1">
        <w:rPr>
          <w:sz w:val="22"/>
          <w:szCs w:val="22"/>
          <w:lang w:val="pl-PL"/>
        </w:rPr>
        <w:t>ból nosa i gardła</w:t>
      </w:r>
    </w:p>
    <w:p w14:paraId="790149BD" w14:textId="77777777" w:rsidR="009C2AB3" w:rsidRPr="007E4DA1" w:rsidRDefault="009C2AB3" w:rsidP="00DE1596">
      <w:pPr>
        <w:pStyle w:val="listdashnospace"/>
        <w:numPr>
          <w:ilvl w:val="0"/>
          <w:numId w:val="44"/>
        </w:numPr>
        <w:tabs>
          <w:tab w:val="clear" w:pos="709"/>
        </w:tabs>
        <w:ind w:left="567"/>
        <w:rPr>
          <w:sz w:val="22"/>
          <w:szCs w:val="22"/>
          <w:lang w:val="pl-PL"/>
        </w:rPr>
      </w:pPr>
      <w:r w:rsidRPr="007E4DA1">
        <w:rPr>
          <w:sz w:val="22"/>
          <w:szCs w:val="22"/>
          <w:lang w:val="pl-PL"/>
        </w:rPr>
        <w:t>swędzenie nosa, katar lub niedrożność nosa</w:t>
      </w:r>
    </w:p>
    <w:p w14:paraId="4176DB9C" w14:textId="77777777" w:rsidR="009C2AB3" w:rsidRPr="007E4DA1" w:rsidRDefault="009C2AB3" w:rsidP="00DE1596">
      <w:pPr>
        <w:pStyle w:val="listdashnospace"/>
        <w:numPr>
          <w:ilvl w:val="0"/>
          <w:numId w:val="44"/>
        </w:numPr>
        <w:tabs>
          <w:tab w:val="clear" w:pos="709"/>
        </w:tabs>
        <w:ind w:left="567"/>
        <w:rPr>
          <w:sz w:val="22"/>
          <w:szCs w:val="22"/>
          <w:lang w:val="pl-PL"/>
        </w:rPr>
      </w:pPr>
      <w:r w:rsidRPr="007E4DA1">
        <w:rPr>
          <w:sz w:val="22"/>
          <w:szCs w:val="22"/>
          <w:lang w:val="pl-PL"/>
        </w:rPr>
        <w:t>ból gardła, katar, przekrwienie błony śluzowej nosa i kichanie</w:t>
      </w:r>
    </w:p>
    <w:p w14:paraId="07D3C492" w14:textId="77777777" w:rsidR="009C2AB3" w:rsidRPr="007E4DA1" w:rsidRDefault="009C2AB3" w:rsidP="00DE1596">
      <w:pPr>
        <w:pStyle w:val="listdashnospace"/>
        <w:numPr>
          <w:ilvl w:val="0"/>
          <w:numId w:val="44"/>
        </w:numPr>
        <w:tabs>
          <w:tab w:val="clear" w:pos="709"/>
        </w:tabs>
        <w:ind w:left="567"/>
        <w:rPr>
          <w:sz w:val="22"/>
          <w:szCs w:val="22"/>
          <w:lang w:val="pl-PL"/>
        </w:rPr>
      </w:pPr>
      <w:r w:rsidRPr="007E4DA1">
        <w:rPr>
          <w:sz w:val="22"/>
          <w:szCs w:val="22"/>
          <w:lang w:val="pl-PL"/>
        </w:rPr>
        <w:t>zaburzenia jamy ustnej, w tym suchość w jamie ustnej, bolesność w jamie ustnej, wrażliwość języka, krwawienie z dziąseł, wrzody w jamie ustnej</w:t>
      </w:r>
    </w:p>
    <w:p w14:paraId="6228C0CC" w14:textId="77777777" w:rsidR="009C2AB3" w:rsidRPr="007E4DA1" w:rsidRDefault="009C2AB3" w:rsidP="00DE1596">
      <w:pPr>
        <w:pStyle w:val="listdashnospace"/>
        <w:numPr>
          <w:ilvl w:val="0"/>
          <w:numId w:val="0"/>
        </w:numPr>
        <w:rPr>
          <w:sz w:val="22"/>
          <w:szCs w:val="22"/>
          <w:lang w:val="pl-PL"/>
        </w:rPr>
      </w:pPr>
    </w:p>
    <w:p w14:paraId="01D93893" w14:textId="77777777" w:rsidR="00041A08" w:rsidRPr="00041A08" w:rsidRDefault="009C2AB3" w:rsidP="00DE1596">
      <w:pPr>
        <w:pStyle w:val="Nottoc-headings"/>
        <w:spacing w:before="0" w:after="0"/>
        <w:rPr>
          <w:rFonts w:ascii="Times New Roman" w:hAnsi="Times New Roman" w:cs="Times New Roman"/>
          <w:b w:val="0"/>
          <w:sz w:val="22"/>
          <w:szCs w:val="22"/>
          <w:lang w:val="pl-PL" w:eastAsia="en-GB"/>
        </w:rPr>
      </w:pPr>
      <w:r w:rsidRPr="007E4DA1">
        <w:rPr>
          <w:rFonts w:ascii="Times New Roman" w:hAnsi="Times New Roman" w:cs="Times New Roman"/>
          <w:sz w:val="22"/>
          <w:szCs w:val="22"/>
          <w:lang w:val="pl-PL" w:eastAsia="en-GB"/>
        </w:rPr>
        <w:t>Podane niżej działania niepożądane były zgłaszane jako związane z leczeniem lekiem Revolade w skojarzeniu z peginterferonem i rybawiryną u pacjentów z WZW C:</w:t>
      </w:r>
    </w:p>
    <w:p w14:paraId="540AD5C6" w14:textId="41E824D1" w:rsidR="009C2AB3" w:rsidRPr="007E4DA1" w:rsidRDefault="009C2AB3" w:rsidP="00DE1596">
      <w:pPr>
        <w:pStyle w:val="Text"/>
        <w:keepNext/>
        <w:spacing w:before="0"/>
        <w:rPr>
          <w:sz w:val="22"/>
          <w:szCs w:val="22"/>
          <w:lang w:val="pl-PL" w:eastAsia="en-GB"/>
        </w:rPr>
      </w:pPr>
    </w:p>
    <w:p w14:paraId="3A4F9C44" w14:textId="77777777" w:rsidR="00041A08" w:rsidRPr="00041A08" w:rsidRDefault="009C2AB3" w:rsidP="00DE1596">
      <w:pPr>
        <w:keepNext/>
        <w:rPr>
          <w:szCs w:val="22"/>
        </w:rPr>
      </w:pPr>
      <w:r w:rsidRPr="007E4DA1">
        <w:rPr>
          <w:b/>
          <w:szCs w:val="22"/>
        </w:rPr>
        <w:t>Bardzo częste działania niepożądane</w:t>
      </w:r>
    </w:p>
    <w:p w14:paraId="34167775" w14:textId="055C204B" w:rsidR="009C2AB3" w:rsidRPr="007E4DA1" w:rsidRDefault="009C2AB3" w:rsidP="00DE1596">
      <w:pPr>
        <w:keepNext/>
        <w:rPr>
          <w:szCs w:val="22"/>
        </w:rPr>
      </w:pPr>
      <w:r w:rsidRPr="007E4DA1">
        <w:rPr>
          <w:szCs w:val="22"/>
        </w:rPr>
        <w:t xml:space="preserve">Mogą wystąpić u </w:t>
      </w:r>
      <w:r w:rsidRPr="007E4DA1">
        <w:rPr>
          <w:b/>
          <w:szCs w:val="22"/>
        </w:rPr>
        <w:t>więcej niż 1 na 10 </w:t>
      </w:r>
      <w:r w:rsidRPr="007E4DA1">
        <w:rPr>
          <w:szCs w:val="22"/>
        </w:rPr>
        <w:t>pacjentów:</w:t>
      </w:r>
    </w:p>
    <w:p w14:paraId="5CF19BD8" w14:textId="77777777" w:rsidR="009C2AB3" w:rsidRPr="007E4DA1" w:rsidRDefault="009C2AB3" w:rsidP="00DE1596">
      <w:pPr>
        <w:pStyle w:val="listdashnospace"/>
        <w:numPr>
          <w:ilvl w:val="0"/>
          <w:numId w:val="69"/>
        </w:numPr>
        <w:tabs>
          <w:tab w:val="clear" w:pos="709"/>
        </w:tabs>
        <w:ind w:left="567"/>
        <w:rPr>
          <w:sz w:val="22"/>
          <w:szCs w:val="22"/>
          <w:lang w:val="pl-PL"/>
        </w:rPr>
      </w:pPr>
      <w:r w:rsidRPr="007E4DA1">
        <w:rPr>
          <w:sz w:val="22"/>
          <w:szCs w:val="22"/>
          <w:lang w:val="pl-PL"/>
        </w:rPr>
        <w:t>ból głowy</w:t>
      </w:r>
    </w:p>
    <w:p w14:paraId="3BF48D3A" w14:textId="1B815A46" w:rsidR="009C2AB3" w:rsidRPr="007E4DA1" w:rsidRDefault="00001352" w:rsidP="00DE1596">
      <w:pPr>
        <w:pStyle w:val="listdashnospace"/>
        <w:numPr>
          <w:ilvl w:val="0"/>
          <w:numId w:val="69"/>
        </w:numPr>
        <w:tabs>
          <w:tab w:val="clear" w:pos="709"/>
        </w:tabs>
        <w:ind w:left="567"/>
        <w:rPr>
          <w:sz w:val="22"/>
          <w:szCs w:val="22"/>
          <w:lang w:val="pl-PL"/>
        </w:rPr>
      </w:pPr>
      <w:r w:rsidRPr="007E4DA1">
        <w:rPr>
          <w:sz w:val="22"/>
          <w:szCs w:val="22"/>
          <w:lang w:val="pl-PL"/>
        </w:rPr>
        <w:t>utrata</w:t>
      </w:r>
      <w:r w:rsidR="009C2AB3" w:rsidRPr="007E4DA1">
        <w:rPr>
          <w:sz w:val="22"/>
          <w:szCs w:val="22"/>
          <w:lang w:val="pl-PL"/>
        </w:rPr>
        <w:t xml:space="preserve"> apetytu</w:t>
      </w:r>
    </w:p>
    <w:p w14:paraId="2FDAC928" w14:textId="77777777" w:rsidR="009C2AB3" w:rsidRPr="007E4DA1" w:rsidRDefault="009C2AB3" w:rsidP="00DE1596">
      <w:pPr>
        <w:pStyle w:val="listdashnospace"/>
        <w:numPr>
          <w:ilvl w:val="0"/>
          <w:numId w:val="69"/>
        </w:numPr>
        <w:tabs>
          <w:tab w:val="clear" w:pos="709"/>
        </w:tabs>
        <w:ind w:left="567"/>
        <w:rPr>
          <w:sz w:val="22"/>
          <w:szCs w:val="22"/>
          <w:lang w:val="pl-PL"/>
        </w:rPr>
      </w:pPr>
      <w:r w:rsidRPr="007E4DA1">
        <w:rPr>
          <w:sz w:val="22"/>
          <w:szCs w:val="22"/>
          <w:lang w:val="pl-PL"/>
        </w:rPr>
        <w:t>kaszel</w:t>
      </w:r>
    </w:p>
    <w:p w14:paraId="7763CA43" w14:textId="77777777" w:rsidR="009C2AB3" w:rsidRPr="007E4DA1" w:rsidRDefault="009C2AB3" w:rsidP="00DE1596">
      <w:pPr>
        <w:pStyle w:val="listdashnospace"/>
        <w:numPr>
          <w:ilvl w:val="0"/>
          <w:numId w:val="69"/>
        </w:numPr>
        <w:tabs>
          <w:tab w:val="clear" w:pos="709"/>
        </w:tabs>
        <w:ind w:left="567"/>
        <w:rPr>
          <w:sz w:val="22"/>
          <w:szCs w:val="22"/>
          <w:lang w:val="pl-PL"/>
        </w:rPr>
      </w:pPr>
      <w:r w:rsidRPr="007E4DA1">
        <w:rPr>
          <w:sz w:val="22"/>
          <w:szCs w:val="22"/>
          <w:lang w:val="pl-PL"/>
        </w:rPr>
        <w:t>nudności, biegunka</w:t>
      </w:r>
    </w:p>
    <w:p w14:paraId="4A535829" w14:textId="77777777" w:rsidR="009C2AB3" w:rsidRPr="007E4DA1" w:rsidRDefault="009C2AB3" w:rsidP="00DE1596">
      <w:pPr>
        <w:pStyle w:val="listdashnospace"/>
        <w:numPr>
          <w:ilvl w:val="0"/>
          <w:numId w:val="69"/>
        </w:numPr>
        <w:tabs>
          <w:tab w:val="clear" w:pos="709"/>
        </w:tabs>
        <w:ind w:left="567"/>
        <w:rPr>
          <w:sz w:val="22"/>
          <w:szCs w:val="22"/>
          <w:lang w:val="pl-PL"/>
        </w:rPr>
      </w:pPr>
      <w:r w:rsidRPr="007E4DA1">
        <w:rPr>
          <w:sz w:val="22"/>
          <w:szCs w:val="22"/>
          <w:lang w:val="pl-PL"/>
        </w:rPr>
        <w:t>ból mięśni, osłabienie mięśni</w:t>
      </w:r>
    </w:p>
    <w:p w14:paraId="7A6A056B" w14:textId="77777777" w:rsidR="009C2AB3" w:rsidRPr="007E4DA1" w:rsidRDefault="009C2AB3" w:rsidP="00DE1596">
      <w:pPr>
        <w:pStyle w:val="listdashnospace"/>
        <w:numPr>
          <w:ilvl w:val="0"/>
          <w:numId w:val="69"/>
        </w:numPr>
        <w:tabs>
          <w:tab w:val="clear" w:pos="709"/>
        </w:tabs>
        <w:ind w:left="567"/>
        <w:rPr>
          <w:sz w:val="22"/>
          <w:szCs w:val="22"/>
          <w:lang w:val="pl-PL"/>
        </w:rPr>
      </w:pPr>
      <w:r w:rsidRPr="007E4DA1">
        <w:rPr>
          <w:sz w:val="22"/>
          <w:szCs w:val="22"/>
          <w:lang w:val="pl-PL"/>
        </w:rPr>
        <w:t>swędzenie</w:t>
      </w:r>
    </w:p>
    <w:p w14:paraId="505EC29F" w14:textId="4C70E6BA" w:rsidR="009C2AB3" w:rsidRPr="007E4DA1" w:rsidRDefault="00001352" w:rsidP="00DE1596">
      <w:pPr>
        <w:pStyle w:val="listdashnospace"/>
        <w:numPr>
          <w:ilvl w:val="0"/>
          <w:numId w:val="69"/>
        </w:numPr>
        <w:tabs>
          <w:tab w:val="clear" w:pos="709"/>
        </w:tabs>
        <w:ind w:left="567"/>
        <w:rPr>
          <w:sz w:val="22"/>
          <w:szCs w:val="22"/>
          <w:lang w:val="pl-PL"/>
        </w:rPr>
      </w:pPr>
      <w:r w:rsidRPr="007E4DA1">
        <w:rPr>
          <w:sz w:val="22"/>
          <w:szCs w:val="22"/>
          <w:lang w:val="pl-PL"/>
        </w:rPr>
        <w:t>uczucie zmęczenia</w:t>
      </w:r>
    </w:p>
    <w:p w14:paraId="5E5D2534" w14:textId="2250495C" w:rsidR="009C2AB3" w:rsidRPr="007E4DA1" w:rsidRDefault="00001352" w:rsidP="00DE1596">
      <w:pPr>
        <w:pStyle w:val="listdashnospace"/>
        <w:numPr>
          <w:ilvl w:val="0"/>
          <w:numId w:val="69"/>
        </w:numPr>
        <w:tabs>
          <w:tab w:val="clear" w:pos="709"/>
        </w:tabs>
        <w:ind w:left="567"/>
        <w:rPr>
          <w:sz w:val="22"/>
          <w:szCs w:val="22"/>
          <w:lang w:val="pl-PL"/>
        </w:rPr>
      </w:pPr>
      <w:r w:rsidRPr="007E4DA1">
        <w:rPr>
          <w:sz w:val="22"/>
          <w:szCs w:val="22"/>
          <w:lang w:val="pl-PL"/>
        </w:rPr>
        <w:t>gorączka</w:t>
      </w:r>
    </w:p>
    <w:p w14:paraId="366914C2" w14:textId="77777777" w:rsidR="009C2AB3" w:rsidRPr="007E4DA1" w:rsidRDefault="009C2AB3" w:rsidP="00DE1596">
      <w:pPr>
        <w:pStyle w:val="listdashnospace"/>
        <w:numPr>
          <w:ilvl w:val="0"/>
          <w:numId w:val="69"/>
        </w:numPr>
        <w:tabs>
          <w:tab w:val="clear" w:pos="709"/>
        </w:tabs>
        <w:ind w:left="567"/>
        <w:rPr>
          <w:sz w:val="22"/>
          <w:szCs w:val="22"/>
          <w:lang w:val="pl-PL"/>
        </w:rPr>
      </w:pPr>
      <w:r w:rsidRPr="007E4DA1">
        <w:rPr>
          <w:sz w:val="22"/>
          <w:szCs w:val="22"/>
          <w:lang w:val="pl-PL"/>
        </w:rPr>
        <w:t>nietypowe wypadanie włosów</w:t>
      </w:r>
    </w:p>
    <w:p w14:paraId="784E1A49" w14:textId="77777777" w:rsidR="009C2AB3" w:rsidRPr="007E4DA1" w:rsidRDefault="009C2AB3" w:rsidP="00DE1596">
      <w:pPr>
        <w:pStyle w:val="listdashnospace"/>
        <w:numPr>
          <w:ilvl w:val="0"/>
          <w:numId w:val="69"/>
        </w:numPr>
        <w:tabs>
          <w:tab w:val="clear" w:pos="709"/>
        </w:tabs>
        <w:ind w:left="567"/>
        <w:rPr>
          <w:sz w:val="22"/>
          <w:szCs w:val="22"/>
          <w:lang w:val="pl-PL"/>
        </w:rPr>
      </w:pPr>
      <w:r w:rsidRPr="007E4DA1">
        <w:rPr>
          <w:sz w:val="22"/>
          <w:szCs w:val="22"/>
          <w:lang w:val="pl-PL"/>
        </w:rPr>
        <w:t>osłabienie</w:t>
      </w:r>
    </w:p>
    <w:p w14:paraId="67534B1E" w14:textId="77777777" w:rsidR="009C2AB3" w:rsidRPr="007E4DA1" w:rsidRDefault="009C2AB3" w:rsidP="00DE1596">
      <w:pPr>
        <w:pStyle w:val="listdashnospace"/>
        <w:numPr>
          <w:ilvl w:val="0"/>
          <w:numId w:val="69"/>
        </w:numPr>
        <w:tabs>
          <w:tab w:val="clear" w:pos="709"/>
        </w:tabs>
        <w:ind w:left="567"/>
        <w:rPr>
          <w:sz w:val="22"/>
          <w:szCs w:val="22"/>
          <w:lang w:val="pl-PL"/>
        </w:rPr>
      </w:pPr>
      <w:r w:rsidRPr="007E4DA1">
        <w:rPr>
          <w:sz w:val="22"/>
          <w:szCs w:val="22"/>
          <w:lang w:val="pl-PL"/>
        </w:rPr>
        <w:t>choroba grypopodobna</w:t>
      </w:r>
    </w:p>
    <w:p w14:paraId="0175AD9F" w14:textId="77777777" w:rsidR="009C2AB3" w:rsidRPr="007E4DA1" w:rsidRDefault="009C2AB3" w:rsidP="00DE1596">
      <w:pPr>
        <w:pStyle w:val="listdashnospace"/>
        <w:numPr>
          <w:ilvl w:val="0"/>
          <w:numId w:val="69"/>
        </w:numPr>
        <w:tabs>
          <w:tab w:val="clear" w:pos="709"/>
        </w:tabs>
        <w:ind w:left="567"/>
        <w:rPr>
          <w:sz w:val="22"/>
          <w:szCs w:val="22"/>
          <w:lang w:val="pl-PL"/>
        </w:rPr>
      </w:pPr>
      <w:r w:rsidRPr="007E4DA1">
        <w:rPr>
          <w:sz w:val="22"/>
          <w:szCs w:val="22"/>
          <w:lang w:val="pl-PL"/>
        </w:rPr>
        <w:t>obrzęk dłoni lub stóp</w:t>
      </w:r>
    </w:p>
    <w:p w14:paraId="1A925992" w14:textId="77777777" w:rsidR="009C2AB3" w:rsidRPr="007E4DA1" w:rsidRDefault="009C2AB3" w:rsidP="00DE1596">
      <w:pPr>
        <w:pStyle w:val="listdashnospace"/>
        <w:numPr>
          <w:ilvl w:val="0"/>
          <w:numId w:val="69"/>
        </w:numPr>
        <w:tabs>
          <w:tab w:val="clear" w:pos="709"/>
        </w:tabs>
        <w:ind w:left="567"/>
        <w:rPr>
          <w:sz w:val="22"/>
          <w:szCs w:val="22"/>
          <w:lang w:val="pl-PL"/>
        </w:rPr>
      </w:pPr>
      <w:r w:rsidRPr="007E4DA1">
        <w:rPr>
          <w:sz w:val="22"/>
          <w:szCs w:val="22"/>
          <w:lang w:val="pl-PL"/>
        </w:rPr>
        <w:t>dreszcze</w:t>
      </w:r>
    </w:p>
    <w:p w14:paraId="7B830157" w14:textId="77777777" w:rsidR="009C2AB3" w:rsidRPr="007E4DA1" w:rsidRDefault="009C2AB3" w:rsidP="00DE1596">
      <w:pPr>
        <w:pStyle w:val="listdashnospace"/>
        <w:numPr>
          <w:ilvl w:val="0"/>
          <w:numId w:val="0"/>
        </w:numPr>
        <w:rPr>
          <w:sz w:val="22"/>
          <w:szCs w:val="22"/>
          <w:lang w:val="pl-PL"/>
        </w:rPr>
      </w:pPr>
    </w:p>
    <w:p w14:paraId="4CFA9293" w14:textId="77777777" w:rsidR="00041A08" w:rsidRPr="00041A08" w:rsidRDefault="009C2AB3" w:rsidP="00DE1596">
      <w:pPr>
        <w:pStyle w:val="listdashnospace"/>
        <w:keepNext/>
        <w:numPr>
          <w:ilvl w:val="0"/>
          <w:numId w:val="0"/>
        </w:numPr>
        <w:rPr>
          <w:sz w:val="22"/>
          <w:szCs w:val="22"/>
          <w:lang w:val="pl-PL"/>
        </w:rPr>
      </w:pPr>
      <w:r w:rsidRPr="007E4DA1">
        <w:rPr>
          <w:b/>
          <w:sz w:val="22"/>
          <w:szCs w:val="22"/>
          <w:lang w:val="pl-PL"/>
        </w:rPr>
        <w:t>Bardzo częste działania niepożądane, które mogą ujawnić się w badaniach krwi:</w:t>
      </w:r>
    </w:p>
    <w:p w14:paraId="40B11EEE" w14:textId="1B2A9DF5" w:rsidR="009C2AB3" w:rsidRPr="007E4DA1" w:rsidRDefault="009C2AB3" w:rsidP="00DE1596">
      <w:pPr>
        <w:pStyle w:val="listdashnospace"/>
        <w:numPr>
          <w:ilvl w:val="0"/>
          <w:numId w:val="69"/>
        </w:numPr>
        <w:tabs>
          <w:tab w:val="clear" w:pos="709"/>
          <w:tab w:val="num" w:pos="-5103"/>
        </w:tabs>
        <w:ind w:left="567"/>
        <w:rPr>
          <w:sz w:val="22"/>
          <w:szCs w:val="22"/>
          <w:lang w:val="pl-PL"/>
        </w:rPr>
      </w:pPr>
      <w:r w:rsidRPr="007E4DA1">
        <w:rPr>
          <w:sz w:val="22"/>
          <w:szCs w:val="22"/>
          <w:lang w:val="pl-PL"/>
        </w:rPr>
        <w:t>zmniejszenie liczby czerwonych krwinek (niedokrwistość)</w:t>
      </w:r>
    </w:p>
    <w:p w14:paraId="65FC79E2" w14:textId="77777777" w:rsidR="009C2AB3" w:rsidRPr="007E4DA1" w:rsidRDefault="009C2AB3" w:rsidP="00DE1596">
      <w:pPr>
        <w:rPr>
          <w:szCs w:val="22"/>
        </w:rPr>
      </w:pPr>
    </w:p>
    <w:p w14:paraId="01A5B014" w14:textId="77777777" w:rsidR="00041A08" w:rsidRPr="00041A08" w:rsidRDefault="009C2AB3" w:rsidP="00DE1596">
      <w:pPr>
        <w:keepNext/>
        <w:rPr>
          <w:szCs w:val="22"/>
        </w:rPr>
      </w:pPr>
      <w:r w:rsidRPr="007E4DA1">
        <w:rPr>
          <w:b/>
          <w:szCs w:val="22"/>
        </w:rPr>
        <w:t>Częste działania niepożądane</w:t>
      </w:r>
    </w:p>
    <w:p w14:paraId="2D27E597" w14:textId="43D5F1AF" w:rsidR="009C2AB3" w:rsidRPr="007E4DA1" w:rsidRDefault="009C2AB3" w:rsidP="00DE1596">
      <w:pPr>
        <w:keepNext/>
        <w:rPr>
          <w:szCs w:val="22"/>
        </w:rPr>
      </w:pPr>
      <w:r w:rsidRPr="007E4DA1">
        <w:rPr>
          <w:szCs w:val="22"/>
        </w:rPr>
        <w:t xml:space="preserve">Mogą wystąpić </w:t>
      </w:r>
      <w:r w:rsidRPr="007E4DA1">
        <w:rPr>
          <w:b/>
          <w:szCs w:val="22"/>
        </w:rPr>
        <w:t>nie częściej niż u 1 na 10 </w:t>
      </w:r>
      <w:r w:rsidRPr="007E4DA1">
        <w:rPr>
          <w:szCs w:val="22"/>
        </w:rPr>
        <w:t>pacjentów:</w:t>
      </w:r>
    </w:p>
    <w:p w14:paraId="6E9FA147" w14:textId="77777777"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zakażenia układu moczowego</w:t>
      </w:r>
    </w:p>
    <w:p w14:paraId="7CFB0F4F" w14:textId="77777777"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zapalenie przewodów nosowych, gardła, jamy ustnej, objawy grypopodobne, suchość w jamie ustnej, ból lub zapalenie jamy ustnej, ból zęba</w:t>
      </w:r>
    </w:p>
    <w:p w14:paraId="468746E8" w14:textId="77777777"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utrata masy ciała</w:t>
      </w:r>
    </w:p>
    <w:p w14:paraId="4EB7F9D6" w14:textId="77777777"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 xml:space="preserve">zaburzenia snu, </w:t>
      </w:r>
      <w:r w:rsidR="00255717" w:rsidRPr="007E4DA1">
        <w:rPr>
          <w:sz w:val="22"/>
          <w:szCs w:val="22"/>
          <w:lang w:val="pl-PL"/>
        </w:rPr>
        <w:t>nieprawidłowa</w:t>
      </w:r>
      <w:r w:rsidRPr="007E4DA1">
        <w:rPr>
          <w:sz w:val="22"/>
          <w:szCs w:val="22"/>
          <w:lang w:val="pl-PL"/>
        </w:rPr>
        <w:t xml:space="preserve"> senność, depresja, lęk</w:t>
      </w:r>
    </w:p>
    <w:p w14:paraId="02F8727E" w14:textId="77777777"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zawroty głowy, zaburzenia koncentracji i pamięci, zmiany nastroju</w:t>
      </w:r>
    </w:p>
    <w:p w14:paraId="104D06E5" w14:textId="0B1EDF1D" w:rsidR="00001352" w:rsidRPr="007E4DA1" w:rsidRDefault="00E00BFF"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zaburzona czynność</w:t>
      </w:r>
      <w:r w:rsidR="00001352" w:rsidRPr="007E4DA1">
        <w:rPr>
          <w:sz w:val="22"/>
          <w:szCs w:val="22"/>
          <w:lang w:val="pl-PL"/>
        </w:rPr>
        <w:t xml:space="preserve"> mózgu </w:t>
      </w:r>
      <w:r w:rsidR="007E0DD4" w:rsidRPr="007E4DA1">
        <w:rPr>
          <w:sz w:val="22"/>
          <w:szCs w:val="22"/>
          <w:lang w:val="pl-PL"/>
        </w:rPr>
        <w:t xml:space="preserve">spowodowana </w:t>
      </w:r>
      <w:r w:rsidR="00001352" w:rsidRPr="007E4DA1">
        <w:rPr>
          <w:sz w:val="22"/>
          <w:szCs w:val="22"/>
          <w:lang w:val="pl-PL"/>
        </w:rPr>
        <w:t>uszkodzeni</w:t>
      </w:r>
      <w:r w:rsidR="007E0DD4" w:rsidRPr="007E4DA1">
        <w:rPr>
          <w:sz w:val="22"/>
          <w:szCs w:val="22"/>
          <w:lang w:val="pl-PL"/>
        </w:rPr>
        <w:t>em</w:t>
      </w:r>
      <w:r w:rsidR="00001352" w:rsidRPr="007E4DA1">
        <w:rPr>
          <w:sz w:val="22"/>
          <w:szCs w:val="22"/>
          <w:lang w:val="pl-PL"/>
        </w:rPr>
        <w:t xml:space="preserve"> wątroby</w:t>
      </w:r>
    </w:p>
    <w:p w14:paraId="760E3EBB" w14:textId="77777777"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mrowienia lub drętwienia rąk lub stóp</w:t>
      </w:r>
    </w:p>
    <w:p w14:paraId="1B897DFA" w14:textId="77777777"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gorączka, ból głowy</w:t>
      </w:r>
    </w:p>
    <w:p w14:paraId="04B2A4FC" w14:textId="3A620F76"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zaburzenia wzroku, w tym: zmętnienie soczewki oka (zaćma), zespó</w:t>
      </w:r>
      <w:r w:rsidR="006A53E8" w:rsidRPr="007E4DA1">
        <w:rPr>
          <w:sz w:val="22"/>
          <w:szCs w:val="22"/>
          <w:lang w:val="pl-PL"/>
        </w:rPr>
        <w:t>ł</w:t>
      </w:r>
      <w:r w:rsidRPr="007E4DA1">
        <w:rPr>
          <w:sz w:val="22"/>
          <w:szCs w:val="22"/>
          <w:lang w:val="pl-PL"/>
        </w:rPr>
        <w:t xml:space="preserve"> suchego oka, niewielkie żółte złogi na siatkówce oka, zażółcenie białek oczu</w:t>
      </w:r>
    </w:p>
    <w:p w14:paraId="546FFDC2" w14:textId="77777777"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krwawienie do siatkówki</w:t>
      </w:r>
    </w:p>
    <w:p w14:paraId="6766EDBD" w14:textId="77777777"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uczucie wirowania (zawroty głowy)</w:t>
      </w:r>
    </w:p>
    <w:p w14:paraId="72BB6BEF" w14:textId="77777777"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przyspieszone lub nieregularne bicie serca (kołatanie), skrócenie oddechu</w:t>
      </w:r>
    </w:p>
    <w:p w14:paraId="1B28AED5"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kaszel z odkrztuszaniem, katar, grypa, opryszczka wargowa, ból gardła i uczucie dyskomfortu przy przełykaniu</w:t>
      </w:r>
    </w:p>
    <w:p w14:paraId="02C7D05D" w14:textId="2D14BFE0"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 xml:space="preserve">zaburzenia układu trawiennego obejmujące: wymioty, ból brzucha, niestrawność, zaparcia, wzdęcie brzucha, zaburzenia smaku, hemoroidy, </w:t>
      </w:r>
      <w:r w:rsidR="00173FA8" w:rsidRPr="007E4DA1">
        <w:rPr>
          <w:sz w:val="22"/>
          <w:szCs w:val="22"/>
          <w:lang w:val="pl-PL"/>
        </w:rPr>
        <w:t>ból</w:t>
      </w:r>
      <w:r w:rsidR="00E00BFF" w:rsidRPr="007E4DA1">
        <w:rPr>
          <w:sz w:val="22"/>
          <w:szCs w:val="22"/>
          <w:lang w:val="pl-PL"/>
        </w:rPr>
        <w:t xml:space="preserve"> lub </w:t>
      </w:r>
      <w:r w:rsidR="00173FA8" w:rsidRPr="007E4DA1">
        <w:rPr>
          <w:sz w:val="22"/>
          <w:szCs w:val="22"/>
          <w:lang w:val="pl-PL"/>
        </w:rPr>
        <w:t>dyskomfort żołądka, obrzęk naczyń krwionośnych oraz krwawienie w przełyku</w:t>
      </w:r>
    </w:p>
    <w:p w14:paraId="46912EFD" w14:textId="77777777"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ból zęb</w:t>
      </w:r>
      <w:r w:rsidR="00255717" w:rsidRPr="007E4DA1">
        <w:rPr>
          <w:sz w:val="22"/>
          <w:szCs w:val="22"/>
          <w:lang w:val="pl-PL"/>
        </w:rPr>
        <w:t>a</w:t>
      </w:r>
    </w:p>
    <w:p w14:paraId="4AC48A63" w14:textId="1699A039"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problem z wątrobą w tym guz wątroby</w:t>
      </w:r>
      <w:r w:rsidR="00173FA8" w:rsidRPr="007E4DA1">
        <w:rPr>
          <w:sz w:val="22"/>
          <w:szCs w:val="22"/>
          <w:lang w:val="pl-PL"/>
        </w:rPr>
        <w:t>, zażółcenie białk</w:t>
      </w:r>
      <w:r w:rsidR="00E00BFF" w:rsidRPr="007E4DA1">
        <w:rPr>
          <w:sz w:val="22"/>
          <w:szCs w:val="22"/>
          <w:lang w:val="pl-PL"/>
        </w:rPr>
        <w:t>ówek</w:t>
      </w:r>
      <w:r w:rsidR="00173FA8" w:rsidRPr="007E4DA1">
        <w:rPr>
          <w:sz w:val="22"/>
          <w:szCs w:val="22"/>
          <w:lang w:val="pl-PL"/>
        </w:rPr>
        <w:t xml:space="preserve"> oczu lub skóry (żółtaczka), uszkodzenie wątroby spowodowane przyjmowaniem leku</w:t>
      </w:r>
      <w:r w:rsidRPr="007E4DA1">
        <w:rPr>
          <w:sz w:val="22"/>
          <w:szCs w:val="22"/>
          <w:lang w:val="pl-PL"/>
        </w:rPr>
        <w:t xml:space="preserve"> (patrz wyżej</w:t>
      </w:r>
      <w:r w:rsidRPr="007E4DA1">
        <w:rPr>
          <w:i/>
          <w:sz w:val="22"/>
          <w:szCs w:val="22"/>
          <w:lang w:val="pl-PL"/>
        </w:rPr>
        <w:t xml:space="preserve"> </w:t>
      </w:r>
      <w:r w:rsidRPr="007E4DA1">
        <w:rPr>
          <w:b/>
          <w:i/>
          <w:sz w:val="22"/>
          <w:szCs w:val="22"/>
          <w:lang w:val="pl-PL"/>
        </w:rPr>
        <w:t xml:space="preserve">„Zaburzenia wątroby” </w:t>
      </w:r>
      <w:r w:rsidRPr="007E4DA1">
        <w:rPr>
          <w:sz w:val="22"/>
          <w:szCs w:val="22"/>
          <w:lang w:val="pl-PL"/>
        </w:rPr>
        <w:t>w punkcie 4)</w:t>
      </w:r>
    </w:p>
    <w:p w14:paraId="70FDC6B6" w14:textId="77777777"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zmiany skórne, w tym: wysypka, suchość skóry, wyprysk, zaczerwienienie skóry, swędzenie, nadmierna potliwość, narośla na skórze</w:t>
      </w:r>
      <w:r w:rsidR="00173FA8" w:rsidRPr="007E4DA1">
        <w:rPr>
          <w:sz w:val="22"/>
          <w:szCs w:val="22"/>
          <w:lang w:val="pl-PL"/>
        </w:rPr>
        <w:t>, wypadanie włosów</w:t>
      </w:r>
    </w:p>
    <w:p w14:paraId="52BD30A6" w14:textId="77777777"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 xml:space="preserve">ból stawów, ból pleców, ból kości, ból </w:t>
      </w:r>
      <w:r w:rsidR="00173FA8" w:rsidRPr="007E4DA1">
        <w:rPr>
          <w:sz w:val="22"/>
          <w:szCs w:val="22"/>
          <w:lang w:val="pl-PL"/>
        </w:rPr>
        <w:t xml:space="preserve">kończyn (nóg, ramion, </w:t>
      </w:r>
      <w:r w:rsidRPr="007E4DA1">
        <w:rPr>
          <w:sz w:val="22"/>
          <w:szCs w:val="22"/>
          <w:lang w:val="pl-PL"/>
        </w:rPr>
        <w:t>rąk lub stóp</w:t>
      </w:r>
      <w:r w:rsidR="00173FA8" w:rsidRPr="007E4DA1">
        <w:rPr>
          <w:sz w:val="22"/>
          <w:szCs w:val="22"/>
          <w:lang w:val="pl-PL"/>
        </w:rPr>
        <w:t>)</w:t>
      </w:r>
      <w:r w:rsidRPr="007E4DA1">
        <w:rPr>
          <w:sz w:val="22"/>
          <w:szCs w:val="22"/>
          <w:lang w:val="pl-PL"/>
        </w:rPr>
        <w:t>, skurcze mięśni</w:t>
      </w:r>
    </w:p>
    <w:p w14:paraId="3F0025F3" w14:textId="77777777"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 xml:space="preserve">drażliwość, złe samopoczucie ogólne, </w:t>
      </w:r>
      <w:r w:rsidR="00173FA8" w:rsidRPr="007E4DA1">
        <w:rPr>
          <w:sz w:val="22"/>
          <w:szCs w:val="22"/>
          <w:lang w:val="pl-PL"/>
        </w:rPr>
        <w:t xml:space="preserve">reakcja skórna, taka jak zaczerwienienie lub obrzęk i ból w miejscu wstrzyknięcia, </w:t>
      </w:r>
      <w:r w:rsidRPr="007E4DA1">
        <w:rPr>
          <w:sz w:val="22"/>
          <w:szCs w:val="22"/>
          <w:lang w:val="pl-PL"/>
        </w:rPr>
        <w:t>ból w klatce piersiowej i uczucie dyskomfortu</w:t>
      </w:r>
      <w:r w:rsidR="00173FA8" w:rsidRPr="007E4DA1">
        <w:rPr>
          <w:sz w:val="22"/>
          <w:szCs w:val="22"/>
          <w:lang w:val="pl-PL"/>
        </w:rPr>
        <w:t>, nagromadzenie się płynu w organizmie lub kończynach po</w:t>
      </w:r>
      <w:r w:rsidR="008E5C30" w:rsidRPr="007E4DA1">
        <w:rPr>
          <w:sz w:val="22"/>
          <w:szCs w:val="22"/>
          <w:lang w:val="pl-PL"/>
        </w:rPr>
        <w:t>w</w:t>
      </w:r>
      <w:r w:rsidR="00173FA8" w:rsidRPr="007E4DA1">
        <w:rPr>
          <w:sz w:val="22"/>
          <w:szCs w:val="22"/>
          <w:lang w:val="pl-PL"/>
        </w:rPr>
        <w:t>odujące obrzęk</w:t>
      </w:r>
    </w:p>
    <w:p w14:paraId="03BCA65C" w14:textId="77777777"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zakażenie nosa, zatok, gardła i górnych dróg oddechowych, przeziębienie (zakażenie górnych dróg oddechowych)</w:t>
      </w:r>
      <w:r w:rsidR="00173FA8" w:rsidRPr="007E4DA1">
        <w:rPr>
          <w:sz w:val="22"/>
          <w:szCs w:val="22"/>
          <w:lang w:val="pl-PL"/>
        </w:rPr>
        <w:t>, zapalenie błony śluzowej wyściełającej oskrzela</w:t>
      </w:r>
    </w:p>
    <w:p w14:paraId="7746CB0B" w14:textId="1EA47078"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depresja, l</w:t>
      </w:r>
      <w:r w:rsidR="006A53E8" w:rsidRPr="007E4DA1">
        <w:rPr>
          <w:sz w:val="22"/>
          <w:szCs w:val="22"/>
          <w:lang w:val="pl-PL"/>
        </w:rPr>
        <w:t>ę</w:t>
      </w:r>
      <w:r w:rsidRPr="007E4DA1">
        <w:rPr>
          <w:sz w:val="22"/>
          <w:szCs w:val="22"/>
          <w:lang w:val="pl-PL"/>
        </w:rPr>
        <w:t>k, zaburzenia snu, nerwowość</w:t>
      </w:r>
    </w:p>
    <w:p w14:paraId="71E86AF7" w14:textId="77777777" w:rsidR="009C2AB3" w:rsidRPr="007E4DA1" w:rsidRDefault="009C2AB3" w:rsidP="00DE1596">
      <w:pPr>
        <w:pStyle w:val="listdashnospace"/>
        <w:numPr>
          <w:ilvl w:val="0"/>
          <w:numId w:val="0"/>
        </w:numPr>
        <w:rPr>
          <w:sz w:val="22"/>
          <w:szCs w:val="22"/>
          <w:lang w:val="pl-PL"/>
        </w:rPr>
      </w:pPr>
    </w:p>
    <w:p w14:paraId="30E03540" w14:textId="77777777" w:rsidR="00041A08" w:rsidRPr="00041A08" w:rsidRDefault="009C2AB3" w:rsidP="00DE1596">
      <w:pPr>
        <w:pStyle w:val="listdashnospace"/>
        <w:keepNext/>
        <w:numPr>
          <w:ilvl w:val="0"/>
          <w:numId w:val="0"/>
        </w:numPr>
        <w:rPr>
          <w:sz w:val="22"/>
          <w:szCs w:val="22"/>
          <w:lang w:val="pl-PL"/>
        </w:rPr>
      </w:pPr>
      <w:r w:rsidRPr="007E4DA1">
        <w:rPr>
          <w:b/>
          <w:sz w:val="22"/>
          <w:szCs w:val="22"/>
          <w:lang w:val="pl-PL"/>
        </w:rPr>
        <w:t>Częste działania niepożądane, które mogą ujawnić się w badaniach krwi:</w:t>
      </w:r>
    </w:p>
    <w:p w14:paraId="033D8294" w14:textId="4C609926" w:rsidR="009C2AB3" w:rsidRPr="007E4DA1" w:rsidRDefault="009C2AB3" w:rsidP="00DE1596">
      <w:pPr>
        <w:pStyle w:val="listdashnospace"/>
        <w:numPr>
          <w:ilvl w:val="0"/>
          <w:numId w:val="69"/>
        </w:numPr>
        <w:tabs>
          <w:tab w:val="clear" w:pos="709"/>
        </w:tabs>
        <w:ind w:left="567"/>
        <w:rPr>
          <w:sz w:val="22"/>
          <w:szCs w:val="22"/>
          <w:lang w:val="pl-PL"/>
        </w:rPr>
      </w:pPr>
      <w:r w:rsidRPr="007E4DA1">
        <w:rPr>
          <w:sz w:val="22"/>
          <w:szCs w:val="22"/>
          <w:lang w:val="pl-PL"/>
        </w:rPr>
        <w:t>zwiększenie stężenia cukru (glukozy) we krwi</w:t>
      </w:r>
    </w:p>
    <w:p w14:paraId="69C70D27" w14:textId="77777777" w:rsidR="009C2AB3" w:rsidRPr="007E4DA1" w:rsidRDefault="009C2AB3" w:rsidP="00DE1596">
      <w:pPr>
        <w:pStyle w:val="listdashnospace"/>
        <w:numPr>
          <w:ilvl w:val="0"/>
          <w:numId w:val="69"/>
        </w:numPr>
        <w:tabs>
          <w:tab w:val="clear" w:pos="709"/>
        </w:tabs>
        <w:ind w:left="567"/>
        <w:rPr>
          <w:sz w:val="22"/>
          <w:szCs w:val="22"/>
          <w:lang w:val="pl-PL"/>
        </w:rPr>
      </w:pPr>
      <w:r w:rsidRPr="007E4DA1">
        <w:rPr>
          <w:sz w:val="22"/>
          <w:szCs w:val="22"/>
          <w:lang w:val="pl-PL"/>
        </w:rPr>
        <w:t>zmniejszenie liczby białych krwinek</w:t>
      </w:r>
    </w:p>
    <w:p w14:paraId="14508384" w14:textId="77777777" w:rsidR="00D90837" w:rsidRPr="007E4DA1" w:rsidRDefault="00D90837" w:rsidP="00DE1596">
      <w:pPr>
        <w:pStyle w:val="listdashnospace"/>
        <w:numPr>
          <w:ilvl w:val="0"/>
          <w:numId w:val="69"/>
        </w:numPr>
        <w:tabs>
          <w:tab w:val="clear" w:pos="709"/>
        </w:tabs>
        <w:ind w:left="567"/>
        <w:rPr>
          <w:sz w:val="22"/>
          <w:szCs w:val="22"/>
          <w:lang w:val="pl-PL"/>
        </w:rPr>
      </w:pPr>
      <w:r w:rsidRPr="007E4DA1">
        <w:rPr>
          <w:sz w:val="22"/>
          <w:szCs w:val="22"/>
          <w:lang w:val="pl-PL"/>
        </w:rPr>
        <w:t>zmniejszenie liczby granulocytów obojętnochłonnych</w:t>
      </w:r>
    </w:p>
    <w:p w14:paraId="6FD20A1C" w14:textId="257B6331" w:rsidR="009C2AB3" w:rsidRPr="007E4DA1" w:rsidRDefault="009C2AB3" w:rsidP="00DE1596">
      <w:pPr>
        <w:pStyle w:val="listdashnospace"/>
        <w:numPr>
          <w:ilvl w:val="0"/>
          <w:numId w:val="69"/>
        </w:numPr>
        <w:tabs>
          <w:tab w:val="clear" w:pos="709"/>
          <w:tab w:val="num" w:pos="0"/>
        </w:tabs>
        <w:ind w:left="567"/>
        <w:rPr>
          <w:sz w:val="22"/>
          <w:szCs w:val="22"/>
          <w:lang w:val="pl-PL"/>
        </w:rPr>
      </w:pPr>
      <w:r w:rsidRPr="007E4DA1">
        <w:rPr>
          <w:sz w:val="22"/>
          <w:szCs w:val="22"/>
          <w:lang w:val="pl-PL"/>
        </w:rPr>
        <w:t xml:space="preserve">zmniejszenie </w:t>
      </w:r>
      <w:r w:rsidR="00255717" w:rsidRPr="007E4DA1">
        <w:rPr>
          <w:sz w:val="22"/>
          <w:szCs w:val="22"/>
          <w:lang w:val="pl-PL"/>
        </w:rPr>
        <w:t>stężenia</w:t>
      </w:r>
      <w:r w:rsidRPr="007E4DA1">
        <w:rPr>
          <w:sz w:val="22"/>
          <w:szCs w:val="22"/>
          <w:lang w:val="pl-PL"/>
        </w:rPr>
        <w:t xml:space="preserve"> </w:t>
      </w:r>
      <w:r w:rsidR="00D90837" w:rsidRPr="007E4DA1">
        <w:rPr>
          <w:sz w:val="22"/>
          <w:szCs w:val="22"/>
          <w:lang w:val="pl-PL"/>
        </w:rPr>
        <w:t>albuminy</w:t>
      </w:r>
      <w:r w:rsidRPr="007E4DA1">
        <w:rPr>
          <w:sz w:val="22"/>
          <w:szCs w:val="22"/>
          <w:lang w:val="pl-PL"/>
        </w:rPr>
        <w:t xml:space="preserve"> we krwi</w:t>
      </w:r>
    </w:p>
    <w:p w14:paraId="67DAC5FC" w14:textId="77777777" w:rsidR="00D90837" w:rsidRPr="007E4DA1" w:rsidRDefault="00D90837" w:rsidP="00DE1596">
      <w:pPr>
        <w:pStyle w:val="listdashnospace"/>
        <w:numPr>
          <w:ilvl w:val="0"/>
          <w:numId w:val="69"/>
        </w:numPr>
        <w:tabs>
          <w:tab w:val="clear" w:pos="709"/>
          <w:tab w:val="num" w:pos="0"/>
        </w:tabs>
        <w:ind w:left="567"/>
        <w:rPr>
          <w:sz w:val="22"/>
          <w:szCs w:val="22"/>
          <w:lang w:val="pl-PL"/>
        </w:rPr>
      </w:pPr>
      <w:r w:rsidRPr="007E4DA1">
        <w:rPr>
          <w:sz w:val="22"/>
          <w:szCs w:val="22"/>
          <w:lang w:val="pl-PL"/>
        </w:rPr>
        <w:t>zmniejszenie stężenia hemoglobiny</w:t>
      </w:r>
    </w:p>
    <w:p w14:paraId="4EEA5174" w14:textId="77777777" w:rsidR="009C2AB3" w:rsidRPr="007E4DA1" w:rsidRDefault="009C2AB3" w:rsidP="00DE1596">
      <w:pPr>
        <w:pStyle w:val="listdashnospace"/>
        <w:numPr>
          <w:ilvl w:val="0"/>
          <w:numId w:val="69"/>
        </w:numPr>
        <w:tabs>
          <w:tab w:val="clear" w:pos="709"/>
        </w:tabs>
        <w:ind w:left="567"/>
        <w:rPr>
          <w:sz w:val="22"/>
          <w:szCs w:val="22"/>
          <w:lang w:val="pl-PL"/>
        </w:rPr>
      </w:pPr>
      <w:r w:rsidRPr="007E4DA1">
        <w:rPr>
          <w:sz w:val="22"/>
          <w:szCs w:val="22"/>
          <w:lang w:val="pl-PL"/>
        </w:rPr>
        <w:t>zwiększenie stężenia bilirubiny we krwi (substancji wytwarzanej w wątrobie)</w:t>
      </w:r>
    </w:p>
    <w:p w14:paraId="0E43A11E" w14:textId="77777777" w:rsidR="009C2AB3" w:rsidRPr="007E4DA1" w:rsidRDefault="009C2AB3" w:rsidP="00DE1596">
      <w:pPr>
        <w:pStyle w:val="listdashnospace"/>
        <w:numPr>
          <w:ilvl w:val="0"/>
          <w:numId w:val="69"/>
        </w:numPr>
        <w:tabs>
          <w:tab w:val="clear" w:pos="709"/>
        </w:tabs>
        <w:ind w:left="567"/>
        <w:rPr>
          <w:sz w:val="22"/>
          <w:szCs w:val="22"/>
          <w:lang w:val="pl-PL"/>
        </w:rPr>
      </w:pPr>
      <w:r w:rsidRPr="007E4DA1">
        <w:rPr>
          <w:sz w:val="22"/>
          <w:szCs w:val="22"/>
          <w:lang w:val="pl-PL"/>
        </w:rPr>
        <w:t>zmiany enzymów kontrolujących krzepnięcie krwi</w:t>
      </w:r>
    </w:p>
    <w:p w14:paraId="5388A46F" w14:textId="77777777" w:rsidR="009C2AB3" w:rsidRPr="007E4DA1" w:rsidRDefault="009C2AB3" w:rsidP="00DE1596">
      <w:pPr>
        <w:pStyle w:val="listdashnospace"/>
        <w:numPr>
          <w:ilvl w:val="0"/>
          <w:numId w:val="0"/>
        </w:numPr>
        <w:rPr>
          <w:sz w:val="22"/>
          <w:szCs w:val="22"/>
          <w:lang w:val="pl-PL"/>
        </w:rPr>
      </w:pPr>
    </w:p>
    <w:p w14:paraId="395E8B92" w14:textId="77777777" w:rsidR="00041A08" w:rsidRPr="00041A08" w:rsidRDefault="009C2AB3" w:rsidP="00DE1596">
      <w:pPr>
        <w:keepNext/>
        <w:rPr>
          <w:szCs w:val="22"/>
        </w:rPr>
      </w:pPr>
      <w:r w:rsidRPr="007E4DA1">
        <w:rPr>
          <w:b/>
          <w:szCs w:val="22"/>
        </w:rPr>
        <w:t>Niezbyt częste działania niepożądane</w:t>
      </w:r>
    </w:p>
    <w:p w14:paraId="2A17BB37" w14:textId="2467B384" w:rsidR="009C2AB3" w:rsidRPr="007E4DA1" w:rsidRDefault="009C2AB3" w:rsidP="00DE1596">
      <w:pPr>
        <w:keepNext/>
        <w:rPr>
          <w:szCs w:val="22"/>
        </w:rPr>
      </w:pPr>
      <w:r w:rsidRPr="007E4DA1">
        <w:rPr>
          <w:szCs w:val="22"/>
        </w:rPr>
        <w:t xml:space="preserve">Mogą wystąpić </w:t>
      </w:r>
      <w:r w:rsidRPr="007E4DA1">
        <w:rPr>
          <w:b/>
          <w:szCs w:val="22"/>
        </w:rPr>
        <w:t>nie częściej niż u 1 na 100 </w:t>
      </w:r>
      <w:r w:rsidRPr="007E4DA1">
        <w:rPr>
          <w:szCs w:val="22"/>
        </w:rPr>
        <w:t>pacjentów:</w:t>
      </w:r>
    </w:p>
    <w:p w14:paraId="6B75EADE" w14:textId="77777777" w:rsidR="009C2AB3" w:rsidRPr="007E4DA1" w:rsidRDefault="009C2AB3" w:rsidP="00DE1596">
      <w:pPr>
        <w:pStyle w:val="listdashnospace"/>
        <w:numPr>
          <w:ilvl w:val="0"/>
          <w:numId w:val="70"/>
        </w:numPr>
        <w:tabs>
          <w:tab w:val="clear" w:pos="709"/>
        </w:tabs>
        <w:ind w:left="567"/>
        <w:rPr>
          <w:sz w:val="22"/>
          <w:szCs w:val="22"/>
          <w:lang w:val="pl-PL"/>
        </w:rPr>
      </w:pPr>
      <w:r w:rsidRPr="007E4DA1">
        <w:rPr>
          <w:sz w:val="22"/>
          <w:szCs w:val="22"/>
          <w:lang w:val="pl-PL"/>
        </w:rPr>
        <w:t>ból w czasie oddawania moczu</w:t>
      </w:r>
    </w:p>
    <w:p w14:paraId="25C04834" w14:textId="77777777" w:rsidR="009C2AB3" w:rsidRPr="007E4DA1" w:rsidRDefault="009C2AB3" w:rsidP="00DE1596">
      <w:pPr>
        <w:pStyle w:val="listdashnospace"/>
        <w:numPr>
          <w:ilvl w:val="0"/>
          <w:numId w:val="70"/>
        </w:numPr>
        <w:tabs>
          <w:tab w:val="clear" w:pos="709"/>
        </w:tabs>
        <w:ind w:left="567"/>
        <w:rPr>
          <w:sz w:val="22"/>
          <w:szCs w:val="22"/>
          <w:lang w:val="pl-PL"/>
        </w:rPr>
      </w:pPr>
      <w:r w:rsidRPr="007E4DA1">
        <w:rPr>
          <w:sz w:val="22"/>
          <w:szCs w:val="22"/>
          <w:lang w:val="pl-PL"/>
        </w:rPr>
        <w:t>zaburzenia rytmu serca (wydłużenie odstępu QT)</w:t>
      </w:r>
    </w:p>
    <w:p w14:paraId="5C9EA89D" w14:textId="77777777" w:rsidR="009C2AB3" w:rsidRPr="007E4DA1" w:rsidRDefault="009C2AB3" w:rsidP="00DE1596">
      <w:pPr>
        <w:pStyle w:val="listdashnospace"/>
        <w:numPr>
          <w:ilvl w:val="0"/>
          <w:numId w:val="70"/>
        </w:numPr>
        <w:tabs>
          <w:tab w:val="clear" w:pos="709"/>
        </w:tabs>
        <w:ind w:left="567"/>
        <w:rPr>
          <w:sz w:val="22"/>
          <w:szCs w:val="22"/>
          <w:lang w:val="pl-PL"/>
        </w:rPr>
      </w:pPr>
      <w:r w:rsidRPr="007E4DA1">
        <w:rPr>
          <w:sz w:val="22"/>
          <w:szCs w:val="22"/>
          <w:lang w:val="pl-PL"/>
        </w:rPr>
        <w:t>grypa żołądkowa (zapalenie żołądka i jelit)</w:t>
      </w:r>
      <w:r w:rsidR="00D90837" w:rsidRPr="007E4DA1">
        <w:rPr>
          <w:sz w:val="22"/>
          <w:szCs w:val="22"/>
          <w:lang w:val="pl-PL"/>
        </w:rPr>
        <w:t>, ból gardła</w:t>
      </w:r>
    </w:p>
    <w:p w14:paraId="4DB771F1" w14:textId="0999201A" w:rsidR="00D90837" w:rsidRPr="007E4DA1" w:rsidRDefault="00D90837" w:rsidP="00DE1596">
      <w:pPr>
        <w:pStyle w:val="listdashnospace"/>
        <w:numPr>
          <w:ilvl w:val="0"/>
          <w:numId w:val="70"/>
        </w:numPr>
        <w:tabs>
          <w:tab w:val="clear" w:pos="709"/>
        </w:tabs>
        <w:ind w:left="567"/>
        <w:rPr>
          <w:sz w:val="22"/>
          <w:szCs w:val="22"/>
          <w:lang w:val="pl-PL"/>
        </w:rPr>
      </w:pPr>
      <w:r w:rsidRPr="007E4DA1">
        <w:rPr>
          <w:sz w:val="22"/>
          <w:szCs w:val="22"/>
          <w:lang w:val="pl-PL"/>
        </w:rPr>
        <w:t>pęcherze</w:t>
      </w:r>
      <w:r w:rsidR="00E00BFF" w:rsidRPr="007E4DA1">
        <w:rPr>
          <w:sz w:val="22"/>
          <w:szCs w:val="22"/>
          <w:lang w:val="pl-PL"/>
        </w:rPr>
        <w:t xml:space="preserve"> lub </w:t>
      </w:r>
      <w:r w:rsidRPr="007E4DA1">
        <w:rPr>
          <w:sz w:val="22"/>
          <w:szCs w:val="22"/>
          <w:lang w:val="pl-PL"/>
        </w:rPr>
        <w:t>owrzodzenia jamy ustnej, zapalenie żołądka</w:t>
      </w:r>
    </w:p>
    <w:p w14:paraId="119AFB67" w14:textId="5D17621A" w:rsidR="009C2AB3" w:rsidRPr="007E4DA1" w:rsidRDefault="009C2AB3" w:rsidP="00DE1596">
      <w:pPr>
        <w:pStyle w:val="listdashnospace"/>
        <w:numPr>
          <w:ilvl w:val="0"/>
          <w:numId w:val="70"/>
        </w:numPr>
        <w:tabs>
          <w:tab w:val="clear" w:pos="709"/>
        </w:tabs>
        <w:ind w:left="567"/>
        <w:rPr>
          <w:sz w:val="22"/>
          <w:szCs w:val="22"/>
          <w:lang w:val="pl-PL"/>
        </w:rPr>
      </w:pPr>
      <w:r w:rsidRPr="007E4DA1">
        <w:rPr>
          <w:sz w:val="22"/>
          <w:szCs w:val="22"/>
          <w:lang w:val="pl-PL"/>
        </w:rPr>
        <w:t>zmiany skórne, w tym zmiana zabarwienia, łuszczenie, zaczerwienienie, swędzenie</w:t>
      </w:r>
      <w:r w:rsidR="00D90837" w:rsidRPr="007E4DA1">
        <w:rPr>
          <w:sz w:val="22"/>
          <w:szCs w:val="22"/>
          <w:lang w:val="pl-PL"/>
        </w:rPr>
        <w:t>, zmian</w:t>
      </w:r>
      <w:r w:rsidR="008E5C30" w:rsidRPr="007E4DA1">
        <w:rPr>
          <w:sz w:val="22"/>
          <w:szCs w:val="22"/>
          <w:lang w:val="pl-PL"/>
        </w:rPr>
        <w:t>a chorobowa</w:t>
      </w:r>
      <w:r w:rsidRPr="007E4DA1">
        <w:rPr>
          <w:sz w:val="22"/>
          <w:szCs w:val="22"/>
          <w:lang w:val="pl-PL"/>
        </w:rPr>
        <w:t xml:space="preserve"> i </w:t>
      </w:r>
      <w:r w:rsidR="00D90837" w:rsidRPr="007E4DA1">
        <w:rPr>
          <w:sz w:val="22"/>
          <w:szCs w:val="22"/>
          <w:lang w:val="pl-PL"/>
        </w:rPr>
        <w:t xml:space="preserve">nocne </w:t>
      </w:r>
      <w:r w:rsidRPr="007E4DA1">
        <w:rPr>
          <w:sz w:val="22"/>
          <w:szCs w:val="22"/>
          <w:lang w:val="pl-PL"/>
        </w:rPr>
        <w:t>pot</w:t>
      </w:r>
      <w:r w:rsidR="00D90837" w:rsidRPr="007E4DA1">
        <w:rPr>
          <w:sz w:val="22"/>
          <w:szCs w:val="22"/>
          <w:lang w:val="pl-PL"/>
        </w:rPr>
        <w:t>y</w:t>
      </w:r>
    </w:p>
    <w:p w14:paraId="0C48D93A" w14:textId="77777777" w:rsidR="00D90837" w:rsidRPr="007E4DA1" w:rsidRDefault="00D90837" w:rsidP="00DE1596">
      <w:pPr>
        <w:pStyle w:val="listdashnospace"/>
        <w:numPr>
          <w:ilvl w:val="0"/>
          <w:numId w:val="70"/>
        </w:numPr>
        <w:tabs>
          <w:tab w:val="clear" w:pos="709"/>
        </w:tabs>
        <w:ind w:left="567"/>
        <w:rPr>
          <w:sz w:val="22"/>
          <w:szCs w:val="22"/>
          <w:lang w:val="pl-PL"/>
        </w:rPr>
      </w:pPr>
      <w:r w:rsidRPr="007E4DA1">
        <w:rPr>
          <w:sz w:val="22"/>
          <w:szCs w:val="22"/>
          <w:lang w:val="pl-PL"/>
        </w:rPr>
        <w:t>zakrzepy krwi w żyle doprowadzającej krew do wątroby (możliwe uszkodzenie wątroby i (lub) układu trawiennego)</w:t>
      </w:r>
    </w:p>
    <w:p w14:paraId="61C2430F" w14:textId="0AC3AEA8" w:rsidR="00D90837" w:rsidRPr="007E4DA1" w:rsidRDefault="00D90837" w:rsidP="00DE1596">
      <w:pPr>
        <w:pStyle w:val="listdashnospace"/>
        <w:numPr>
          <w:ilvl w:val="0"/>
          <w:numId w:val="70"/>
        </w:numPr>
        <w:tabs>
          <w:tab w:val="clear" w:pos="709"/>
        </w:tabs>
        <w:ind w:left="567"/>
        <w:rPr>
          <w:sz w:val="22"/>
          <w:szCs w:val="22"/>
          <w:lang w:val="pl-PL"/>
        </w:rPr>
      </w:pPr>
      <w:r w:rsidRPr="007E4DA1">
        <w:rPr>
          <w:sz w:val="22"/>
          <w:szCs w:val="22"/>
          <w:lang w:val="pl-PL"/>
        </w:rPr>
        <w:t xml:space="preserve">nieprawidłowe </w:t>
      </w:r>
      <w:r w:rsidR="00E00BFF" w:rsidRPr="007E4DA1">
        <w:rPr>
          <w:sz w:val="22"/>
          <w:szCs w:val="22"/>
          <w:lang w:val="pl-PL"/>
        </w:rPr>
        <w:t>krzepnięcie</w:t>
      </w:r>
      <w:r w:rsidRPr="007E4DA1">
        <w:rPr>
          <w:sz w:val="22"/>
          <w:szCs w:val="22"/>
          <w:lang w:val="pl-PL"/>
        </w:rPr>
        <w:t xml:space="preserve"> krwi w małych naczyniach krwionośnych z niewydolnością nerek </w:t>
      </w:r>
    </w:p>
    <w:p w14:paraId="7493911B" w14:textId="77777777" w:rsidR="009C2AB3" w:rsidRPr="007E4DA1" w:rsidRDefault="009C2AB3" w:rsidP="00DE1596">
      <w:pPr>
        <w:pStyle w:val="listdashnospace"/>
        <w:numPr>
          <w:ilvl w:val="0"/>
          <w:numId w:val="70"/>
        </w:numPr>
        <w:tabs>
          <w:tab w:val="clear" w:pos="709"/>
        </w:tabs>
        <w:ind w:left="567"/>
        <w:rPr>
          <w:sz w:val="22"/>
          <w:szCs w:val="22"/>
          <w:lang w:val="pl-PL"/>
        </w:rPr>
      </w:pPr>
      <w:r w:rsidRPr="007E4DA1">
        <w:rPr>
          <w:sz w:val="22"/>
          <w:szCs w:val="22"/>
          <w:lang w:val="pl-PL"/>
        </w:rPr>
        <w:t>wysypka, powstawanie siniaków w miejscu wstrzyknięcia</w:t>
      </w:r>
      <w:r w:rsidR="00D90837" w:rsidRPr="007E4DA1">
        <w:rPr>
          <w:sz w:val="22"/>
          <w:szCs w:val="22"/>
          <w:lang w:val="pl-PL"/>
        </w:rPr>
        <w:t>, dyskomfort w klatce piersiowej</w:t>
      </w:r>
    </w:p>
    <w:p w14:paraId="5C329FE9" w14:textId="77777777" w:rsidR="009C2AB3" w:rsidRPr="007E4DA1" w:rsidRDefault="009C2AB3" w:rsidP="00DE1596">
      <w:pPr>
        <w:pStyle w:val="listdashnospace"/>
        <w:numPr>
          <w:ilvl w:val="0"/>
          <w:numId w:val="70"/>
        </w:numPr>
        <w:tabs>
          <w:tab w:val="clear" w:pos="709"/>
        </w:tabs>
        <w:ind w:left="567"/>
        <w:rPr>
          <w:sz w:val="22"/>
          <w:szCs w:val="22"/>
          <w:lang w:val="pl-PL"/>
        </w:rPr>
      </w:pPr>
      <w:r w:rsidRPr="007E4DA1">
        <w:rPr>
          <w:sz w:val="22"/>
          <w:szCs w:val="22"/>
          <w:lang w:val="pl-PL"/>
        </w:rPr>
        <w:t>zmniejszenie liczby czerwonych krwinek (niedokrwistość) spowodowana nadmiernym niszczeniem czerwonych krwinek (niedokrwistość hemolityczna)</w:t>
      </w:r>
    </w:p>
    <w:p w14:paraId="1D2D8517" w14:textId="77777777" w:rsidR="009C2AB3" w:rsidRPr="007E4DA1" w:rsidRDefault="009C2AB3" w:rsidP="00DE1596">
      <w:pPr>
        <w:pStyle w:val="listdashnospace"/>
        <w:numPr>
          <w:ilvl w:val="0"/>
          <w:numId w:val="70"/>
        </w:numPr>
        <w:tabs>
          <w:tab w:val="clear" w:pos="709"/>
        </w:tabs>
        <w:ind w:left="567"/>
        <w:rPr>
          <w:sz w:val="22"/>
          <w:szCs w:val="22"/>
          <w:lang w:val="pl-PL"/>
        </w:rPr>
      </w:pPr>
      <w:r w:rsidRPr="007E4DA1">
        <w:rPr>
          <w:sz w:val="22"/>
          <w:szCs w:val="22"/>
          <w:lang w:val="pl-PL"/>
        </w:rPr>
        <w:t>splątanie, pobudzenie</w:t>
      </w:r>
    </w:p>
    <w:p w14:paraId="765775DB" w14:textId="77777777" w:rsidR="00D90837" w:rsidRPr="007E4DA1" w:rsidRDefault="00D90837" w:rsidP="00DE1596">
      <w:pPr>
        <w:pStyle w:val="listdashnospace"/>
        <w:numPr>
          <w:ilvl w:val="0"/>
          <w:numId w:val="70"/>
        </w:numPr>
        <w:tabs>
          <w:tab w:val="clear" w:pos="709"/>
        </w:tabs>
        <w:ind w:left="567"/>
        <w:rPr>
          <w:sz w:val="22"/>
          <w:szCs w:val="22"/>
          <w:lang w:val="pl-PL"/>
        </w:rPr>
      </w:pPr>
      <w:r w:rsidRPr="007E4DA1">
        <w:rPr>
          <w:sz w:val="22"/>
          <w:szCs w:val="22"/>
          <w:lang w:val="pl-PL"/>
        </w:rPr>
        <w:t>niewydolność wątroby</w:t>
      </w:r>
    </w:p>
    <w:p w14:paraId="5ECD59E8" w14:textId="77777777" w:rsidR="00041A08" w:rsidRPr="00041A08" w:rsidRDefault="00041A08" w:rsidP="00DE1596">
      <w:pPr>
        <w:numPr>
          <w:ilvl w:val="12"/>
          <w:numId w:val="0"/>
        </w:numPr>
        <w:ind w:right="-2"/>
        <w:rPr>
          <w:szCs w:val="22"/>
        </w:rPr>
      </w:pPr>
    </w:p>
    <w:p w14:paraId="2AF4A1E7" w14:textId="77777777" w:rsidR="00041A08" w:rsidRPr="00041A08" w:rsidRDefault="009C2AB3" w:rsidP="00DE1596">
      <w:pPr>
        <w:keepNext/>
        <w:numPr>
          <w:ilvl w:val="12"/>
          <w:numId w:val="0"/>
        </w:numPr>
        <w:rPr>
          <w:szCs w:val="22"/>
        </w:rPr>
      </w:pPr>
      <w:r w:rsidRPr="007E4DA1">
        <w:rPr>
          <w:b/>
          <w:szCs w:val="22"/>
        </w:rPr>
        <w:t>Podane niżej działania niepożądane były zgłaszane jako związane z leczeniem lekiem Revolade u pacjentów z ciężką postacią niedokrwistości aplastycznej (SAA):</w:t>
      </w:r>
    </w:p>
    <w:p w14:paraId="43C77FB0" w14:textId="7B1D37DA" w:rsidR="009C2AB3" w:rsidRPr="007E4DA1" w:rsidRDefault="009C2AB3" w:rsidP="00DE1596">
      <w:pPr>
        <w:pStyle w:val="Text"/>
        <w:keepNext/>
        <w:spacing w:before="0"/>
        <w:jc w:val="left"/>
        <w:rPr>
          <w:sz w:val="22"/>
          <w:szCs w:val="22"/>
          <w:lang w:val="pl-PL"/>
        </w:rPr>
      </w:pPr>
      <w:r w:rsidRPr="007E4DA1">
        <w:rPr>
          <w:sz w:val="22"/>
          <w:szCs w:val="22"/>
          <w:lang w:val="pl-PL"/>
        </w:rPr>
        <w:t>Jeśli te działania niepożądane nasilą się, należy powiedzieć o tym lekarzowi prowadzącemu, farmaceucie lub pielęgniarce.</w:t>
      </w:r>
    </w:p>
    <w:p w14:paraId="577A4E9D" w14:textId="77777777" w:rsidR="009C2AB3" w:rsidRPr="007E4DA1" w:rsidRDefault="009C2AB3" w:rsidP="00DE1596">
      <w:pPr>
        <w:pStyle w:val="Text"/>
        <w:keepNext/>
        <w:spacing w:before="0"/>
        <w:jc w:val="left"/>
        <w:rPr>
          <w:sz w:val="22"/>
          <w:szCs w:val="22"/>
          <w:lang w:val="pl-PL"/>
        </w:rPr>
      </w:pPr>
    </w:p>
    <w:p w14:paraId="7A608F63" w14:textId="77777777" w:rsidR="00041A08" w:rsidRPr="00041A08" w:rsidRDefault="009C2AB3" w:rsidP="00DE1596">
      <w:pPr>
        <w:keepNext/>
        <w:numPr>
          <w:ilvl w:val="12"/>
          <w:numId w:val="0"/>
        </w:numPr>
        <w:rPr>
          <w:szCs w:val="22"/>
        </w:rPr>
      </w:pPr>
      <w:r w:rsidRPr="007E4DA1">
        <w:rPr>
          <w:b/>
          <w:szCs w:val="22"/>
        </w:rPr>
        <w:t>Bardzo częste działania niepożądane</w:t>
      </w:r>
    </w:p>
    <w:p w14:paraId="0CE322CA" w14:textId="05F3F091" w:rsidR="009C2AB3" w:rsidRPr="007E4DA1" w:rsidRDefault="009C2AB3" w:rsidP="00DE1596">
      <w:pPr>
        <w:keepNext/>
        <w:numPr>
          <w:ilvl w:val="12"/>
          <w:numId w:val="0"/>
        </w:numPr>
        <w:rPr>
          <w:szCs w:val="22"/>
        </w:rPr>
      </w:pPr>
      <w:r w:rsidRPr="007E4DA1">
        <w:rPr>
          <w:szCs w:val="22"/>
        </w:rPr>
        <w:t xml:space="preserve">Mogą wystąpić u </w:t>
      </w:r>
      <w:r w:rsidRPr="007E4DA1">
        <w:rPr>
          <w:b/>
          <w:szCs w:val="22"/>
        </w:rPr>
        <w:t>więcej niż 1 na 10</w:t>
      </w:r>
      <w:r w:rsidRPr="007E4DA1">
        <w:rPr>
          <w:szCs w:val="22"/>
        </w:rPr>
        <w:t> pacjentów.</w:t>
      </w:r>
    </w:p>
    <w:p w14:paraId="00BA4D2B" w14:textId="77777777" w:rsidR="009C2AB3" w:rsidRPr="007E4DA1" w:rsidRDefault="009C2AB3" w:rsidP="00DE1596">
      <w:pPr>
        <w:numPr>
          <w:ilvl w:val="0"/>
          <w:numId w:val="73"/>
        </w:numPr>
        <w:tabs>
          <w:tab w:val="clear" w:pos="720"/>
        </w:tabs>
        <w:ind w:left="567" w:right="-2" w:hanging="567"/>
        <w:rPr>
          <w:szCs w:val="22"/>
        </w:rPr>
      </w:pPr>
      <w:r w:rsidRPr="007E4DA1">
        <w:rPr>
          <w:szCs w:val="22"/>
        </w:rPr>
        <w:t>kaszel</w:t>
      </w:r>
    </w:p>
    <w:p w14:paraId="062F1D6D" w14:textId="77777777" w:rsidR="009C2AB3" w:rsidRPr="007E4DA1" w:rsidRDefault="009C2AB3" w:rsidP="00DE1596">
      <w:pPr>
        <w:numPr>
          <w:ilvl w:val="0"/>
          <w:numId w:val="73"/>
        </w:numPr>
        <w:tabs>
          <w:tab w:val="clear" w:pos="720"/>
        </w:tabs>
        <w:ind w:left="567" w:right="-2" w:hanging="567"/>
        <w:rPr>
          <w:szCs w:val="22"/>
        </w:rPr>
      </w:pPr>
      <w:r w:rsidRPr="007E4DA1">
        <w:rPr>
          <w:szCs w:val="22"/>
        </w:rPr>
        <w:t>ból głowy</w:t>
      </w:r>
    </w:p>
    <w:p w14:paraId="588897EB" w14:textId="554D5E9D" w:rsidR="009C2AB3" w:rsidRPr="007E4DA1" w:rsidRDefault="00D90837" w:rsidP="00DE1596">
      <w:pPr>
        <w:numPr>
          <w:ilvl w:val="0"/>
          <w:numId w:val="73"/>
        </w:numPr>
        <w:tabs>
          <w:tab w:val="clear" w:pos="720"/>
        </w:tabs>
        <w:ind w:left="567" w:right="-2" w:hanging="567"/>
        <w:rPr>
          <w:szCs w:val="22"/>
        </w:rPr>
      </w:pPr>
      <w:r w:rsidRPr="007E4DA1">
        <w:rPr>
          <w:szCs w:val="22"/>
        </w:rPr>
        <w:t>ból jamy ustnej i gardła</w:t>
      </w:r>
    </w:p>
    <w:p w14:paraId="0B38F5FD" w14:textId="77777777" w:rsidR="009C2AB3" w:rsidRPr="007E4DA1" w:rsidRDefault="009C2AB3" w:rsidP="00DE1596">
      <w:pPr>
        <w:numPr>
          <w:ilvl w:val="0"/>
          <w:numId w:val="73"/>
        </w:numPr>
        <w:tabs>
          <w:tab w:val="clear" w:pos="720"/>
        </w:tabs>
        <w:ind w:left="567" w:right="-2" w:hanging="567"/>
        <w:rPr>
          <w:szCs w:val="22"/>
        </w:rPr>
      </w:pPr>
      <w:r w:rsidRPr="007E4DA1">
        <w:rPr>
          <w:szCs w:val="22"/>
        </w:rPr>
        <w:t>biegunka</w:t>
      </w:r>
    </w:p>
    <w:p w14:paraId="23419672" w14:textId="77777777" w:rsidR="009C2AB3" w:rsidRPr="007E4DA1" w:rsidRDefault="009C2AB3" w:rsidP="00DE1596">
      <w:pPr>
        <w:numPr>
          <w:ilvl w:val="0"/>
          <w:numId w:val="73"/>
        </w:numPr>
        <w:tabs>
          <w:tab w:val="clear" w:pos="720"/>
        </w:tabs>
        <w:ind w:left="567" w:right="-2" w:hanging="567"/>
        <w:rPr>
          <w:szCs w:val="22"/>
        </w:rPr>
      </w:pPr>
      <w:r w:rsidRPr="007E4DA1">
        <w:rPr>
          <w:szCs w:val="22"/>
        </w:rPr>
        <w:t>nudności</w:t>
      </w:r>
    </w:p>
    <w:p w14:paraId="26355B59" w14:textId="77777777" w:rsidR="009C2AB3" w:rsidRPr="007E4DA1" w:rsidRDefault="009C2AB3" w:rsidP="00DE1596">
      <w:pPr>
        <w:numPr>
          <w:ilvl w:val="0"/>
          <w:numId w:val="73"/>
        </w:numPr>
        <w:tabs>
          <w:tab w:val="clear" w:pos="720"/>
        </w:tabs>
        <w:ind w:left="567" w:right="-2" w:hanging="567"/>
        <w:rPr>
          <w:szCs w:val="22"/>
        </w:rPr>
      </w:pPr>
      <w:r w:rsidRPr="007E4DA1">
        <w:rPr>
          <w:szCs w:val="22"/>
        </w:rPr>
        <w:t>ból staw</w:t>
      </w:r>
      <w:r w:rsidR="00255717" w:rsidRPr="007E4DA1">
        <w:rPr>
          <w:szCs w:val="22"/>
        </w:rPr>
        <w:t>u</w:t>
      </w:r>
    </w:p>
    <w:p w14:paraId="67FE2731" w14:textId="77777777" w:rsidR="009C2AB3" w:rsidRPr="007E4DA1" w:rsidRDefault="009C2AB3" w:rsidP="00DE1596">
      <w:pPr>
        <w:numPr>
          <w:ilvl w:val="0"/>
          <w:numId w:val="73"/>
        </w:numPr>
        <w:tabs>
          <w:tab w:val="clear" w:pos="720"/>
        </w:tabs>
        <w:ind w:left="567" w:right="-2" w:hanging="567"/>
        <w:rPr>
          <w:szCs w:val="22"/>
        </w:rPr>
      </w:pPr>
      <w:r w:rsidRPr="007E4DA1">
        <w:rPr>
          <w:szCs w:val="22"/>
        </w:rPr>
        <w:t>bóle kończyn (ramion, nóg, dłoni i stóp)</w:t>
      </w:r>
    </w:p>
    <w:p w14:paraId="1C32760B" w14:textId="77777777" w:rsidR="009C2AB3" w:rsidRPr="007E4DA1" w:rsidRDefault="009C2AB3" w:rsidP="00DE1596">
      <w:pPr>
        <w:numPr>
          <w:ilvl w:val="0"/>
          <w:numId w:val="73"/>
        </w:numPr>
        <w:tabs>
          <w:tab w:val="clear" w:pos="720"/>
        </w:tabs>
        <w:ind w:left="567" w:right="-2" w:hanging="567"/>
        <w:rPr>
          <w:szCs w:val="22"/>
        </w:rPr>
      </w:pPr>
      <w:r w:rsidRPr="007E4DA1">
        <w:rPr>
          <w:szCs w:val="22"/>
        </w:rPr>
        <w:t>zawroty głowy</w:t>
      </w:r>
    </w:p>
    <w:p w14:paraId="56E74568" w14:textId="77777777" w:rsidR="009C2AB3" w:rsidRPr="007E4DA1" w:rsidRDefault="009C2AB3" w:rsidP="00DE1596">
      <w:pPr>
        <w:numPr>
          <w:ilvl w:val="0"/>
          <w:numId w:val="73"/>
        </w:numPr>
        <w:tabs>
          <w:tab w:val="clear" w:pos="720"/>
        </w:tabs>
        <w:ind w:left="567" w:right="-2" w:hanging="567"/>
        <w:rPr>
          <w:szCs w:val="22"/>
        </w:rPr>
      </w:pPr>
      <w:r w:rsidRPr="007E4DA1">
        <w:rPr>
          <w:szCs w:val="22"/>
        </w:rPr>
        <w:t>uczucie dużego zmęczenia</w:t>
      </w:r>
    </w:p>
    <w:p w14:paraId="015E9694" w14:textId="77777777" w:rsidR="009C2AB3" w:rsidRPr="007E4DA1" w:rsidRDefault="009C2AB3" w:rsidP="00DE1596">
      <w:pPr>
        <w:numPr>
          <w:ilvl w:val="0"/>
          <w:numId w:val="73"/>
        </w:numPr>
        <w:tabs>
          <w:tab w:val="clear" w:pos="720"/>
        </w:tabs>
        <w:ind w:left="567" w:right="-2" w:hanging="567"/>
        <w:rPr>
          <w:szCs w:val="22"/>
        </w:rPr>
      </w:pPr>
      <w:r w:rsidRPr="007E4DA1">
        <w:rPr>
          <w:szCs w:val="22"/>
        </w:rPr>
        <w:t>gorączka</w:t>
      </w:r>
    </w:p>
    <w:p w14:paraId="24C35F8B" w14:textId="77777777" w:rsidR="009C2AB3" w:rsidRPr="007E4DA1" w:rsidRDefault="009C2AB3" w:rsidP="00DE1596">
      <w:pPr>
        <w:numPr>
          <w:ilvl w:val="0"/>
          <w:numId w:val="73"/>
        </w:numPr>
        <w:tabs>
          <w:tab w:val="clear" w:pos="720"/>
        </w:tabs>
        <w:ind w:left="567" w:right="-2" w:hanging="567"/>
        <w:rPr>
          <w:szCs w:val="22"/>
        </w:rPr>
      </w:pPr>
      <w:r w:rsidRPr="007E4DA1">
        <w:rPr>
          <w:szCs w:val="22"/>
        </w:rPr>
        <w:t>dreszcze</w:t>
      </w:r>
    </w:p>
    <w:p w14:paraId="76351EAD" w14:textId="77777777" w:rsidR="009C2AB3" w:rsidRPr="007E4DA1" w:rsidRDefault="009C2AB3" w:rsidP="00DE1596">
      <w:pPr>
        <w:numPr>
          <w:ilvl w:val="0"/>
          <w:numId w:val="73"/>
        </w:numPr>
        <w:tabs>
          <w:tab w:val="clear" w:pos="720"/>
        </w:tabs>
        <w:ind w:left="567" w:right="-2" w:hanging="567"/>
        <w:rPr>
          <w:szCs w:val="22"/>
        </w:rPr>
      </w:pPr>
      <w:r w:rsidRPr="007E4DA1">
        <w:rPr>
          <w:szCs w:val="22"/>
        </w:rPr>
        <w:t>swędzenie oczu</w:t>
      </w:r>
    </w:p>
    <w:p w14:paraId="6EE6CD9D" w14:textId="77777777" w:rsidR="009C2AB3" w:rsidRPr="007E4DA1" w:rsidRDefault="009C2AB3" w:rsidP="00DE1596">
      <w:pPr>
        <w:numPr>
          <w:ilvl w:val="0"/>
          <w:numId w:val="73"/>
        </w:numPr>
        <w:tabs>
          <w:tab w:val="clear" w:pos="720"/>
        </w:tabs>
        <w:ind w:left="567" w:right="-2" w:hanging="567"/>
        <w:rPr>
          <w:szCs w:val="22"/>
        </w:rPr>
      </w:pPr>
      <w:r w:rsidRPr="007E4DA1">
        <w:rPr>
          <w:szCs w:val="22"/>
        </w:rPr>
        <w:t>pęcherze w jamie ustnej</w:t>
      </w:r>
    </w:p>
    <w:p w14:paraId="4FA72DE3" w14:textId="77777777" w:rsidR="009C2AB3" w:rsidRPr="007E4DA1" w:rsidRDefault="009C2AB3" w:rsidP="00DE1596">
      <w:pPr>
        <w:numPr>
          <w:ilvl w:val="0"/>
          <w:numId w:val="73"/>
        </w:numPr>
        <w:tabs>
          <w:tab w:val="clear" w:pos="720"/>
        </w:tabs>
        <w:ind w:left="567" w:right="-2" w:hanging="567"/>
        <w:rPr>
          <w:szCs w:val="22"/>
        </w:rPr>
      </w:pPr>
      <w:r w:rsidRPr="007E4DA1">
        <w:rPr>
          <w:szCs w:val="22"/>
        </w:rPr>
        <w:t>ból brzucha</w:t>
      </w:r>
    </w:p>
    <w:p w14:paraId="5B984ADC" w14:textId="77777777" w:rsidR="009C2AB3" w:rsidRPr="007E4DA1" w:rsidRDefault="009C2AB3" w:rsidP="00DE1596">
      <w:pPr>
        <w:numPr>
          <w:ilvl w:val="0"/>
          <w:numId w:val="73"/>
        </w:numPr>
        <w:tabs>
          <w:tab w:val="clear" w:pos="720"/>
        </w:tabs>
        <w:ind w:left="567" w:right="-2" w:hanging="567"/>
        <w:rPr>
          <w:szCs w:val="22"/>
        </w:rPr>
      </w:pPr>
      <w:r w:rsidRPr="007E4DA1">
        <w:rPr>
          <w:szCs w:val="22"/>
        </w:rPr>
        <w:t>skurcze mięśni</w:t>
      </w:r>
    </w:p>
    <w:p w14:paraId="7C7CBB40" w14:textId="77777777" w:rsidR="009C2AB3" w:rsidRPr="007E4DA1" w:rsidRDefault="009C2AB3" w:rsidP="00DE1596">
      <w:pPr>
        <w:numPr>
          <w:ilvl w:val="12"/>
          <w:numId w:val="0"/>
        </w:numPr>
        <w:ind w:right="-2"/>
        <w:rPr>
          <w:szCs w:val="22"/>
        </w:rPr>
      </w:pPr>
    </w:p>
    <w:p w14:paraId="265D081C" w14:textId="77777777" w:rsidR="00041A08" w:rsidRPr="00041A08" w:rsidRDefault="009C2AB3" w:rsidP="00DE1596">
      <w:pPr>
        <w:keepNext/>
        <w:numPr>
          <w:ilvl w:val="12"/>
          <w:numId w:val="0"/>
        </w:numPr>
        <w:rPr>
          <w:szCs w:val="22"/>
        </w:rPr>
      </w:pPr>
      <w:r w:rsidRPr="007E4DA1">
        <w:rPr>
          <w:b/>
          <w:szCs w:val="22"/>
        </w:rPr>
        <w:t>Bardzo częste działania niepożądane mogące objawiać się w wynikach badań krwi</w:t>
      </w:r>
    </w:p>
    <w:p w14:paraId="25730533" w14:textId="6569C951" w:rsidR="009C2AB3" w:rsidRPr="007E4DA1" w:rsidRDefault="009C2AB3" w:rsidP="00DE1596">
      <w:pPr>
        <w:numPr>
          <w:ilvl w:val="0"/>
          <w:numId w:val="71"/>
        </w:numPr>
        <w:tabs>
          <w:tab w:val="clear" w:pos="720"/>
          <w:tab w:val="num" w:pos="-5103"/>
        </w:tabs>
        <w:ind w:left="567" w:right="-2" w:hanging="567"/>
        <w:rPr>
          <w:szCs w:val="22"/>
        </w:rPr>
      </w:pPr>
      <w:r w:rsidRPr="007E4DA1">
        <w:rPr>
          <w:szCs w:val="22"/>
        </w:rPr>
        <w:t>nieprawidłowe zmiany w komórkach szpiku kostnego</w:t>
      </w:r>
    </w:p>
    <w:p w14:paraId="489B2A6D" w14:textId="4A318582" w:rsidR="00D90837" w:rsidRPr="007E4DA1" w:rsidRDefault="00D90837" w:rsidP="00DE1596">
      <w:pPr>
        <w:numPr>
          <w:ilvl w:val="0"/>
          <w:numId w:val="71"/>
        </w:numPr>
        <w:tabs>
          <w:tab w:val="clear" w:pos="720"/>
          <w:tab w:val="num" w:pos="-5103"/>
        </w:tabs>
        <w:ind w:left="567" w:right="-2" w:hanging="567"/>
        <w:rPr>
          <w:szCs w:val="22"/>
        </w:rPr>
      </w:pPr>
      <w:r w:rsidRPr="007E4DA1">
        <w:rPr>
          <w:szCs w:val="22"/>
        </w:rPr>
        <w:t>zwiększona aktywność enzym</w:t>
      </w:r>
      <w:r w:rsidR="004D3758">
        <w:rPr>
          <w:szCs w:val="22"/>
        </w:rPr>
        <w:t>u</w:t>
      </w:r>
      <w:r w:rsidRPr="007E4DA1">
        <w:rPr>
          <w:szCs w:val="22"/>
        </w:rPr>
        <w:t xml:space="preserve"> wątrobow</w:t>
      </w:r>
      <w:r w:rsidR="004D3758">
        <w:rPr>
          <w:szCs w:val="22"/>
        </w:rPr>
        <w:t>ego</w:t>
      </w:r>
      <w:r w:rsidRPr="007E4DA1">
        <w:rPr>
          <w:szCs w:val="22"/>
        </w:rPr>
        <w:t xml:space="preserve"> aminotransferazy </w:t>
      </w:r>
      <w:r w:rsidR="0032696C" w:rsidRPr="007E4DA1">
        <w:rPr>
          <w:szCs w:val="22"/>
        </w:rPr>
        <w:t>asparaginianowej</w:t>
      </w:r>
      <w:r w:rsidRPr="007E4DA1">
        <w:rPr>
          <w:szCs w:val="22"/>
        </w:rPr>
        <w:t xml:space="preserve"> (AspAT)</w:t>
      </w:r>
    </w:p>
    <w:p w14:paraId="03B77A95" w14:textId="77777777" w:rsidR="009C2AB3" w:rsidRPr="007E4DA1" w:rsidRDefault="009C2AB3" w:rsidP="00DE1596">
      <w:pPr>
        <w:numPr>
          <w:ilvl w:val="12"/>
          <w:numId w:val="0"/>
        </w:numPr>
        <w:rPr>
          <w:szCs w:val="22"/>
        </w:rPr>
      </w:pPr>
    </w:p>
    <w:p w14:paraId="3DB7CBBD" w14:textId="77777777" w:rsidR="00041A08" w:rsidRPr="00041A08" w:rsidRDefault="009C2AB3" w:rsidP="00DE1596">
      <w:pPr>
        <w:keepNext/>
        <w:numPr>
          <w:ilvl w:val="12"/>
          <w:numId w:val="0"/>
        </w:numPr>
        <w:rPr>
          <w:szCs w:val="22"/>
        </w:rPr>
      </w:pPr>
      <w:r w:rsidRPr="007E4DA1">
        <w:rPr>
          <w:b/>
          <w:szCs w:val="22"/>
        </w:rPr>
        <w:t>Częste działania niepożądane</w:t>
      </w:r>
    </w:p>
    <w:p w14:paraId="0FBAC47A" w14:textId="5A0CF249" w:rsidR="009C2AB3" w:rsidRPr="007E4DA1" w:rsidRDefault="009C2AB3" w:rsidP="00DE1596">
      <w:pPr>
        <w:keepNext/>
        <w:numPr>
          <w:ilvl w:val="12"/>
          <w:numId w:val="0"/>
        </w:numPr>
        <w:rPr>
          <w:szCs w:val="22"/>
        </w:rPr>
      </w:pPr>
      <w:r w:rsidRPr="007E4DA1">
        <w:rPr>
          <w:szCs w:val="22"/>
        </w:rPr>
        <w:t xml:space="preserve">Mogą wystąpić u nie więcej niż </w:t>
      </w:r>
      <w:r w:rsidRPr="007E4DA1">
        <w:rPr>
          <w:b/>
          <w:szCs w:val="22"/>
        </w:rPr>
        <w:t>1 na 10</w:t>
      </w:r>
      <w:r w:rsidRPr="007E4DA1">
        <w:rPr>
          <w:szCs w:val="22"/>
        </w:rPr>
        <w:t> pacjentów.</w:t>
      </w:r>
    </w:p>
    <w:p w14:paraId="0B102B87" w14:textId="77777777" w:rsidR="009C2AB3" w:rsidRPr="007E4DA1" w:rsidRDefault="009C2AB3" w:rsidP="00DE1596">
      <w:pPr>
        <w:numPr>
          <w:ilvl w:val="0"/>
          <w:numId w:val="72"/>
        </w:numPr>
        <w:tabs>
          <w:tab w:val="clear" w:pos="720"/>
        </w:tabs>
        <w:ind w:left="567" w:right="-2" w:hanging="567"/>
        <w:rPr>
          <w:szCs w:val="22"/>
        </w:rPr>
      </w:pPr>
      <w:r w:rsidRPr="007E4DA1">
        <w:rPr>
          <w:szCs w:val="22"/>
        </w:rPr>
        <w:t>lęk</w:t>
      </w:r>
    </w:p>
    <w:p w14:paraId="06629E28" w14:textId="77777777" w:rsidR="009C2AB3" w:rsidRPr="007E4DA1" w:rsidRDefault="009C2AB3" w:rsidP="00DE1596">
      <w:pPr>
        <w:numPr>
          <w:ilvl w:val="0"/>
          <w:numId w:val="72"/>
        </w:numPr>
        <w:tabs>
          <w:tab w:val="clear" w:pos="720"/>
        </w:tabs>
        <w:ind w:left="567" w:right="-2" w:hanging="567"/>
        <w:rPr>
          <w:szCs w:val="22"/>
        </w:rPr>
      </w:pPr>
      <w:r w:rsidRPr="007E4DA1">
        <w:rPr>
          <w:szCs w:val="22"/>
        </w:rPr>
        <w:t>depresja</w:t>
      </w:r>
    </w:p>
    <w:p w14:paraId="105A1C48" w14:textId="77777777" w:rsidR="009C2AB3" w:rsidRPr="007E4DA1" w:rsidRDefault="009C2AB3" w:rsidP="00DE1596">
      <w:pPr>
        <w:numPr>
          <w:ilvl w:val="0"/>
          <w:numId w:val="72"/>
        </w:numPr>
        <w:tabs>
          <w:tab w:val="clear" w:pos="720"/>
        </w:tabs>
        <w:ind w:left="567" w:right="-2" w:hanging="567"/>
        <w:rPr>
          <w:szCs w:val="22"/>
        </w:rPr>
      </w:pPr>
      <w:r w:rsidRPr="007E4DA1">
        <w:rPr>
          <w:szCs w:val="22"/>
        </w:rPr>
        <w:t>uczucie zimna</w:t>
      </w:r>
    </w:p>
    <w:p w14:paraId="6BFBAF06" w14:textId="77777777" w:rsidR="009C2AB3" w:rsidRPr="007E4DA1" w:rsidRDefault="009C2AB3" w:rsidP="00DE1596">
      <w:pPr>
        <w:numPr>
          <w:ilvl w:val="0"/>
          <w:numId w:val="72"/>
        </w:numPr>
        <w:tabs>
          <w:tab w:val="clear" w:pos="720"/>
        </w:tabs>
        <w:ind w:left="567" w:right="-2" w:hanging="567"/>
        <w:rPr>
          <w:szCs w:val="22"/>
        </w:rPr>
      </w:pPr>
      <w:r w:rsidRPr="007E4DA1">
        <w:rPr>
          <w:szCs w:val="22"/>
        </w:rPr>
        <w:t>złe samopoczucie</w:t>
      </w:r>
      <w:r w:rsidR="00D90837" w:rsidRPr="007E4DA1">
        <w:rPr>
          <w:szCs w:val="22"/>
        </w:rPr>
        <w:t xml:space="preserve"> ogólne</w:t>
      </w:r>
    </w:p>
    <w:p w14:paraId="31767437" w14:textId="77777777" w:rsidR="009C2AB3" w:rsidRPr="007E4DA1" w:rsidRDefault="009C2AB3" w:rsidP="00DE1596">
      <w:pPr>
        <w:numPr>
          <w:ilvl w:val="0"/>
          <w:numId w:val="72"/>
        </w:numPr>
        <w:tabs>
          <w:tab w:val="clear" w:pos="720"/>
        </w:tabs>
        <w:ind w:left="567" w:right="-2" w:hanging="567"/>
        <w:rPr>
          <w:szCs w:val="22"/>
        </w:rPr>
      </w:pPr>
      <w:r w:rsidRPr="007E4DA1">
        <w:rPr>
          <w:szCs w:val="22"/>
        </w:rPr>
        <w:t xml:space="preserve">zaburzenia oka, w tym </w:t>
      </w:r>
      <w:r w:rsidR="00D90837" w:rsidRPr="007E4DA1">
        <w:rPr>
          <w:szCs w:val="22"/>
        </w:rPr>
        <w:t xml:space="preserve">zaburzenia widzenia, </w:t>
      </w:r>
      <w:r w:rsidR="006670D0" w:rsidRPr="007E4DA1">
        <w:rPr>
          <w:szCs w:val="22"/>
        </w:rPr>
        <w:t>niewyraźne</w:t>
      </w:r>
      <w:r w:rsidRPr="007E4DA1">
        <w:rPr>
          <w:szCs w:val="22"/>
        </w:rPr>
        <w:t xml:space="preserve"> widzenie, zmętnienie soczewki oka (zaćma), plamki lub złogi w oku (męty w ciele szklistym), suchość o</w:t>
      </w:r>
      <w:r w:rsidR="006670D0" w:rsidRPr="007E4DA1">
        <w:rPr>
          <w:szCs w:val="22"/>
        </w:rPr>
        <w:t>ka</w:t>
      </w:r>
      <w:r w:rsidRPr="007E4DA1">
        <w:rPr>
          <w:szCs w:val="22"/>
        </w:rPr>
        <w:t xml:space="preserve">, swędzenie </w:t>
      </w:r>
      <w:r w:rsidR="006670D0" w:rsidRPr="007E4DA1">
        <w:rPr>
          <w:szCs w:val="22"/>
        </w:rPr>
        <w:t>oka</w:t>
      </w:r>
      <w:r w:rsidRPr="007E4DA1">
        <w:rPr>
          <w:szCs w:val="22"/>
        </w:rPr>
        <w:t>, zażółcenie białek oczu lub skóry</w:t>
      </w:r>
    </w:p>
    <w:p w14:paraId="28551F59" w14:textId="77777777" w:rsidR="009C2AB3" w:rsidRPr="007E4DA1" w:rsidRDefault="009C2AB3" w:rsidP="00DE1596">
      <w:pPr>
        <w:numPr>
          <w:ilvl w:val="0"/>
          <w:numId w:val="72"/>
        </w:numPr>
        <w:tabs>
          <w:tab w:val="clear" w:pos="720"/>
        </w:tabs>
        <w:ind w:left="567" w:right="-2" w:hanging="567"/>
        <w:rPr>
          <w:szCs w:val="22"/>
        </w:rPr>
      </w:pPr>
      <w:r w:rsidRPr="007E4DA1">
        <w:rPr>
          <w:szCs w:val="22"/>
        </w:rPr>
        <w:t>krwawienie z nosa</w:t>
      </w:r>
    </w:p>
    <w:p w14:paraId="7913604D" w14:textId="45EC29B0" w:rsidR="009C2AB3" w:rsidRPr="007E4DA1" w:rsidRDefault="009845D2" w:rsidP="00DE1596">
      <w:pPr>
        <w:numPr>
          <w:ilvl w:val="0"/>
          <w:numId w:val="72"/>
        </w:numPr>
        <w:tabs>
          <w:tab w:val="clear" w:pos="720"/>
        </w:tabs>
        <w:ind w:left="567" w:right="-2" w:hanging="567"/>
        <w:rPr>
          <w:szCs w:val="22"/>
        </w:rPr>
      </w:pPr>
      <w:r w:rsidRPr="007E4DA1">
        <w:rPr>
          <w:szCs w:val="22"/>
        </w:rPr>
        <w:t>zaburzenia</w:t>
      </w:r>
      <w:r w:rsidR="009C2AB3" w:rsidRPr="007E4DA1">
        <w:rPr>
          <w:szCs w:val="22"/>
        </w:rPr>
        <w:t xml:space="preserve"> przewodu pokarmowego, w tym: </w:t>
      </w:r>
      <w:r w:rsidR="00D90837" w:rsidRPr="007E4DA1">
        <w:rPr>
          <w:szCs w:val="22"/>
        </w:rPr>
        <w:t xml:space="preserve">trudności z przełykaniem, ból jamy ustnej, obrzęk języka, </w:t>
      </w:r>
      <w:r w:rsidR="009C2AB3" w:rsidRPr="007E4DA1">
        <w:rPr>
          <w:szCs w:val="22"/>
        </w:rPr>
        <w:t xml:space="preserve">wymioty, </w:t>
      </w:r>
      <w:r w:rsidR="00D90837" w:rsidRPr="007E4DA1">
        <w:rPr>
          <w:szCs w:val="22"/>
        </w:rPr>
        <w:t>utrata</w:t>
      </w:r>
      <w:r w:rsidR="009C2AB3" w:rsidRPr="007E4DA1">
        <w:rPr>
          <w:szCs w:val="22"/>
        </w:rPr>
        <w:t xml:space="preserve"> apetytu, ból</w:t>
      </w:r>
      <w:r w:rsidR="00EE6F49" w:rsidRPr="007E4DA1">
        <w:rPr>
          <w:szCs w:val="22"/>
        </w:rPr>
        <w:t xml:space="preserve"> lub </w:t>
      </w:r>
      <w:r w:rsidR="009C2AB3" w:rsidRPr="007E4DA1">
        <w:rPr>
          <w:szCs w:val="22"/>
        </w:rPr>
        <w:t xml:space="preserve">dyskomfort w żołądku, </w:t>
      </w:r>
      <w:r w:rsidR="006670D0" w:rsidRPr="007E4DA1">
        <w:rPr>
          <w:szCs w:val="22"/>
        </w:rPr>
        <w:t>wzdęcie brzucha</w:t>
      </w:r>
      <w:r w:rsidR="009C2AB3" w:rsidRPr="007E4DA1">
        <w:rPr>
          <w:szCs w:val="22"/>
        </w:rPr>
        <w:t>, gazy</w:t>
      </w:r>
      <w:r w:rsidR="009B40A7" w:rsidRPr="007E4DA1">
        <w:rPr>
          <w:szCs w:val="22"/>
        </w:rPr>
        <w:t xml:space="preserve"> w układzie trawiennym</w:t>
      </w:r>
      <w:r w:rsidR="009C2AB3" w:rsidRPr="007E4DA1">
        <w:rPr>
          <w:szCs w:val="22"/>
        </w:rPr>
        <w:t xml:space="preserve">, </w:t>
      </w:r>
      <w:r w:rsidR="0089225F" w:rsidRPr="007E4DA1">
        <w:rPr>
          <w:szCs w:val="22"/>
        </w:rPr>
        <w:t>zaparcie, zaburzenia perystaltyki</w:t>
      </w:r>
      <w:r w:rsidR="00D90837" w:rsidRPr="007E4DA1">
        <w:rPr>
          <w:szCs w:val="22"/>
        </w:rPr>
        <w:t xml:space="preserve"> jelit</w:t>
      </w:r>
      <w:r w:rsidR="0089225F" w:rsidRPr="007E4DA1">
        <w:rPr>
          <w:szCs w:val="22"/>
        </w:rPr>
        <w:t>, co może</w:t>
      </w:r>
      <w:r w:rsidR="009B40A7" w:rsidRPr="007E4DA1">
        <w:rPr>
          <w:szCs w:val="22"/>
        </w:rPr>
        <w:t xml:space="preserve"> powodować zaparcie, </w:t>
      </w:r>
      <w:r w:rsidR="0089225F" w:rsidRPr="007E4DA1">
        <w:rPr>
          <w:szCs w:val="22"/>
        </w:rPr>
        <w:t>wzdęcia</w:t>
      </w:r>
      <w:r w:rsidR="009B40A7" w:rsidRPr="007E4DA1">
        <w:rPr>
          <w:szCs w:val="22"/>
        </w:rPr>
        <w:t>,</w:t>
      </w:r>
      <w:r w:rsidR="00D90837" w:rsidRPr="007E4DA1">
        <w:rPr>
          <w:szCs w:val="22"/>
        </w:rPr>
        <w:t xml:space="preserve"> biegunkę i (lub) wyżej wymienione objawy, </w:t>
      </w:r>
      <w:r w:rsidR="009C2AB3" w:rsidRPr="007E4DA1">
        <w:rPr>
          <w:szCs w:val="22"/>
        </w:rPr>
        <w:t>zmiana koloru stolca</w:t>
      </w:r>
    </w:p>
    <w:p w14:paraId="776269A6" w14:textId="77777777" w:rsidR="009C2AB3" w:rsidRPr="007E4DA1" w:rsidRDefault="009C2AB3" w:rsidP="00DE1596">
      <w:pPr>
        <w:numPr>
          <w:ilvl w:val="0"/>
          <w:numId w:val="72"/>
        </w:numPr>
        <w:tabs>
          <w:tab w:val="clear" w:pos="720"/>
        </w:tabs>
        <w:ind w:left="567" w:right="-2" w:hanging="567"/>
        <w:rPr>
          <w:szCs w:val="22"/>
        </w:rPr>
      </w:pPr>
      <w:r w:rsidRPr="007E4DA1">
        <w:rPr>
          <w:szCs w:val="22"/>
        </w:rPr>
        <w:t>omdlenie</w:t>
      </w:r>
    </w:p>
    <w:p w14:paraId="157BF2ED" w14:textId="77777777" w:rsidR="009C2AB3" w:rsidRDefault="009C2AB3" w:rsidP="00DE1596">
      <w:pPr>
        <w:numPr>
          <w:ilvl w:val="0"/>
          <w:numId w:val="72"/>
        </w:numPr>
        <w:tabs>
          <w:tab w:val="clear" w:pos="720"/>
        </w:tabs>
        <w:ind w:left="567" w:right="-2" w:hanging="567"/>
        <w:rPr>
          <w:szCs w:val="22"/>
        </w:rPr>
      </w:pPr>
      <w:r w:rsidRPr="007E4DA1">
        <w:rPr>
          <w:szCs w:val="22"/>
        </w:rPr>
        <w:t xml:space="preserve">zaburzenia skórne, w tym: małe czerwone lub fioletowe plamki spowodowane krwawieniem do skóry (wybroczyny), wysypka, swędzenie, </w:t>
      </w:r>
      <w:r w:rsidR="00D90837" w:rsidRPr="007E4DA1">
        <w:rPr>
          <w:szCs w:val="22"/>
        </w:rPr>
        <w:t xml:space="preserve">pokrzywka, </w:t>
      </w:r>
      <w:r w:rsidRPr="007E4DA1">
        <w:rPr>
          <w:szCs w:val="22"/>
        </w:rPr>
        <w:t>zmiany skórne</w:t>
      </w:r>
    </w:p>
    <w:p w14:paraId="0EBB7A74" w14:textId="6ECFD140" w:rsidR="004D3758" w:rsidRPr="007E4DA1" w:rsidRDefault="004D3758" w:rsidP="00DE1596">
      <w:pPr>
        <w:numPr>
          <w:ilvl w:val="0"/>
          <w:numId w:val="72"/>
        </w:numPr>
        <w:tabs>
          <w:tab w:val="clear" w:pos="720"/>
        </w:tabs>
        <w:ind w:left="567" w:right="-2" w:hanging="567"/>
        <w:rPr>
          <w:szCs w:val="22"/>
        </w:rPr>
      </w:pPr>
      <w:r>
        <w:rPr>
          <w:szCs w:val="22"/>
        </w:rPr>
        <w:t>krwawienie z dziąseł</w:t>
      </w:r>
    </w:p>
    <w:p w14:paraId="4F233E0C" w14:textId="77777777" w:rsidR="009C2AB3" w:rsidRPr="007E4DA1" w:rsidRDefault="009C2AB3" w:rsidP="00DE1596">
      <w:pPr>
        <w:numPr>
          <w:ilvl w:val="0"/>
          <w:numId w:val="72"/>
        </w:numPr>
        <w:tabs>
          <w:tab w:val="clear" w:pos="720"/>
        </w:tabs>
        <w:ind w:left="567" w:right="-2" w:hanging="567"/>
        <w:rPr>
          <w:szCs w:val="22"/>
        </w:rPr>
      </w:pPr>
      <w:r w:rsidRPr="007E4DA1">
        <w:rPr>
          <w:szCs w:val="22"/>
        </w:rPr>
        <w:t>ból pleców</w:t>
      </w:r>
    </w:p>
    <w:p w14:paraId="161024EF" w14:textId="77777777" w:rsidR="009C2AB3" w:rsidRPr="007E4DA1" w:rsidRDefault="009C2AB3" w:rsidP="00DE1596">
      <w:pPr>
        <w:numPr>
          <w:ilvl w:val="0"/>
          <w:numId w:val="72"/>
        </w:numPr>
        <w:tabs>
          <w:tab w:val="clear" w:pos="720"/>
        </w:tabs>
        <w:ind w:left="567" w:right="-2" w:hanging="567"/>
        <w:rPr>
          <w:szCs w:val="22"/>
        </w:rPr>
      </w:pPr>
      <w:r w:rsidRPr="007E4DA1">
        <w:rPr>
          <w:szCs w:val="22"/>
        </w:rPr>
        <w:t>ból mięśni</w:t>
      </w:r>
    </w:p>
    <w:p w14:paraId="04659EBF" w14:textId="77777777" w:rsidR="009C2AB3" w:rsidRPr="007E4DA1" w:rsidRDefault="009C2AB3" w:rsidP="00DE1596">
      <w:pPr>
        <w:numPr>
          <w:ilvl w:val="0"/>
          <w:numId w:val="72"/>
        </w:numPr>
        <w:tabs>
          <w:tab w:val="clear" w:pos="720"/>
        </w:tabs>
        <w:ind w:left="567" w:right="-2" w:hanging="567"/>
        <w:rPr>
          <w:szCs w:val="22"/>
        </w:rPr>
      </w:pPr>
      <w:r w:rsidRPr="007E4DA1">
        <w:rPr>
          <w:szCs w:val="22"/>
        </w:rPr>
        <w:t>ból kości</w:t>
      </w:r>
    </w:p>
    <w:p w14:paraId="4987C886" w14:textId="77777777" w:rsidR="009C2AB3" w:rsidRPr="007E4DA1" w:rsidRDefault="009C2AB3" w:rsidP="00DE1596">
      <w:pPr>
        <w:numPr>
          <w:ilvl w:val="0"/>
          <w:numId w:val="72"/>
        </w:numPr>
        <w:tabs>
          <w:tab w:val="clear" w:pos="720"/>
        </w:tabs>
        <w:ind w:left="567" w:right="-2" w:hanging="567"/>
        <w:rPr>
          <w:szCs w:val="22"/>
        </w:rPr>
      </w:pPr>
      <w:r w:rsidRPr="007E4DA1">
        <w:rPr>
          <w:szCs w:val="22"/>
        </w:rPr>
        <w:t>osłabienie</w:t>
      </w:r>
    </w:p>
    <w:p w14:paraId="79248CED" w14:textId="77777777" w:rsidR="009C2AB3" w:rsidRPr="007E4DA1" w:rsidRDefault="009C2AB3" w:rsidP="00DE1596">
      <w:pPr>
        <w:numPr>
          <w:ilvl w:val="0"/>
          <w:numId w:val="72"/>
        </w:numPr>
        <w:tabs>
          <w:tab w:val="clear" w:pos="720"/>
        </w:tabs>
        <w:ind w:left="567" w:right="-2" w:hanging="567"/>
        <w:rPr>
          <w:szCs w:val="22"/>
        </w:rPr>
      </w:pPr>
      <w:r w:rsidRPr="007E4DA1">
        <w:rPr>
          <w:szCs w:val="22"/>
        </w:rPr>
        <w:t>obrzęk kończyn dolnych spowodowany gromadzeniem się płynów</w:t>
      </w:r>
    </w:p>
    <w:p w14:paraId="0A3F4E8C" w14:textId="77777777" w:rsidR="009C2AB3" w:rsidRPr="007E4DA1" w:rsidRDefault="009C2AB3" w:rsidP="00DE1596">
      <w:pPr>
        <w:numPr>
          <w:ilvl w:val="0"/>
          <w:numId w:val="72"/>
        </w:numPr>
        <w:tabs>
          <w:tab w:val="clear" w:pos="720"/>
        </w:tabs>
        <w:ind w:left="567" w:right="-2" w:hanging="567"/>
        <w:rPr>
          <w:szCs w:val="22"/>
        </w:rPr>
      </w:pPr>
      <w:r w:rsidRPr="007E4DA1">
        <w:rPr>
          <w:szCs w:val="22"/>
        </w:rPr>
        <w:t>nieprawidłowe zabarwienie moczu</w:t>
      </w:r>
    </w:p>
    <w:p w14:paraId="39B4FA72" w14:textId="77777777" w:rsidR="009C2AB3" w:rsidRPr="007E4DA1" w:rsidRDefault="009C2AB3" w:rsidP="00DE1596">
      <w:pPr>
        <w:numPr>
          <w:ilvl w:val="0"/>
          <w:numId w:val="72"/>
        </w:numPr>
        <w:tabs>
          <w:tab w:val="clear" w:pos="720"/>
        </w:tabs>
        <w:ind w:left="567" w:right="-2" w:hanging="567"/>
        <w:rPr>
          <w:szCs w:val="22"/>
        </w:rPr>
      </w:pPr>
      <w:r w:rsidRPr="007E4DA1">
        <w:rPr>
          <w:szCs w:val="22"/>
        </w:rPr>
        <w:t>przerwa w dopływie krwi do śledziony (zawał śledziony)</w:t>
      </w:r>
    </w:p>
    <w:p w14:paraId="6EF8B9FC" w14:textId="77777777" w:rsidR="009C2AB3" w:rsidRPr="007E4DA1" w:rsidRDefault="009C2AB3" w:rsidP="00DE1596">
      <w:pPr>
        <w:numPr>
          <w:ilvl w:val="0"/>
          <w:numId w:val="72"/>
        </w:numPr>
        <w:tabs>
          <w:tab w:val="clear" w:pos="720"/>
        </w:tabs>
        <w:ind w:left="567" w:right="-2" w:hanging="567"/>
        <w:rPr>
          <w:szCs w:val="22"/>
        </w:rPr>
      </w:pPr>
      <w:r w:rsidRPr="007E4DA1">
        <w:rPr>
          <w:szCs w:val="22"/>
        </w:rPr>
        <w:t>katar</w:t>
      </w:r>
    </w:p>
    <w:p w14:paraId="5703D8D4" w14:textId="77777777" w:rsidR="009C2AB3" w:rsidRPr="007E4DA1" w:rsidRDefault="009C2AB3" w:rsidP="00DE1596">
      <w:pPr>
        <w:numPr>
          <w:ilvl w:val="12"/>
          <w:numId w:val="0"/>
        </w:numPr>
        <w:ind w:right="-2"/>
        <w:rPr>
          <w:szCs w:val="22"/>
        </w:rPr>
      </w:pPr>
    </w:p>
    <w:p w14:paraId="2DAE22FF" w14:textId="77777777" w:rsidR="00041A08" w:rsidRPr="00041A08" w:rsidRDefault="009C2AB3" w:rsidP="00DE1596">
      <w:pPr>
        <w:keepNext/>
        <w:numPr>
          <w:ilvl w:val="12"/>
          <w:numId w:val="0"/>
        </w:numPr>
        <w:rPr>
          <w:szCs w:val="22"/>
        </w:rPr>
      </w:pPr>
      <w:r w:rsidRPr="007E4DA1">
        <w:rPr>
          <w:b/>
          <w:szCs w:val="22"/>
        </w:rPr>
        <w:t>Częste działania niepożądane mogące objawiać się w wynikach badań krwi</w:t>
      </w:r>
    </w:p>
    <w:p w14:paraId="6CAF4612" w14:textId="4F0FD6BE" w:rsidR="009C2AB3" w:rsidRPr="007E4DA1" w:rsidRDefault="009C2AB3" w:rsidP="00DE1596">
      <w:pPr>
        <w:numPr>
          <w:ilvl w:val="0"/>
          <w:numId w:val="72"/>
        </w:numPr>
        <w:tabs>
          <w:tab w:val="clear" w:pos="720"/>
        </w:tabs>
        <w:ind w:left="567" w:right="-2" w:hanging="567"/>
        <w:rPr>
          <w:szCs w:val="22"/>
        </w:rPr>
      </w:pPr>
      <w:r w:rsidRPr="007E4DA1">
        <w:rPr>
          <w:szCs w:val="22"/>
        </w:rPr>
        <w:t>zwiększenie aktywności enzymów spowodowany rozpadem mięśni (fosfokinaza kreatynowa</w:t>
      </w:r>
      <w:r w:rsidRPr="007E4DA1">
        <w:rPr>
          <w:i/>
          <w:szCs w:val="22"/>
        </w:rPr>
        <w:t>)</w:t>
      </w:r>
    </w:p>
    <w:p w14:paraId="1B200ADD" w14:textId="77777777" w:rsidR="009C2AB3" w:rsidRPr="007E4DA1" w:rsidRDefault="009C2AB3" w:rsidP="00DE1596">
      <w:pPr>
        <w:numPr>
          <w:ilvl w:val="0"/>
          <w:numId w:val="72"/>
        </w:numPr>
        <w:tabs>
          <w:tab w:val="clear" w:pos="720"/>
        </w:tabs>
        <w:ind w:left="567" w:right="-2" w:hanging="567"/>
        <w:rPr>
          <w:szCs w:val="22"/>
        </w:rPr>
      </w:pPr>
      <w:r w:rsidRPr="007E4DA1">
        <w:rPr>
          <w:szCs w:val="22"/>
        </w:rPr>
        <w:t>gromadzenie żelaza w organizmie (nadmierne obciążenie żelazem)</w:t>
      </w:r>
    </w:p>
    <w:p w14:paraId="374D9089" w14:textId="77777777" w:rsidR="009C2AB3" w:rsidRPr="007E4DA1" w:rsidRDefault="009C2AB3" w:rsidP="00DE1596">
      <w:pPr>
        <w:numPr>
          <w:ilvl w:val="0"/>
          <w:numId w:val="72"/>
        </w:numPr>
        <w:tabs>
          <w:tab w:val="clear" w:pos="720"/>
        </w:tabs>
        <w:ind w:left="567" w:right="-2" w:hanging="567"/>
        <w:rPr>
          <w:szCs w:val="22"/>
        </w:rPr>
      </w:pPr>
      <w:r w:rsidRPr="007E4DA1">
        <w:rPr>
          <w:szCs w:val="22"/>
        </w:rPr>
        <w:t>zmniejszenie stężenia cukru we krwi (hipoglikemia)</w:t>
      </w:r>
    </w:p>
    <w:p w14:paraId="35AE9FDA" w14:textId="77777777" w:rsidR="009C2AB3" w:rsidRPr="007E4DA1" w:rsidRDefault="009C2AB3" w:rsidP="00DE1596">
      <w:pPr>
        <w:pStyle w:val="listdashnospace"/>
        <w:numPr>
          <w:ilvl w:val="0"/>
          <w:numId w:val="72"/>
        </w:numPr>
        <w:tabs>
          <w:tab w:val="clear" w:pos="720"/>
        </w:tabs>
        <w:ind w:left="567" w:hanging="567"/>
        <w:rPr>
          <w:sz w:val="22"/>
          <w:szCs w:val="22"/>
          <w:lang w:val="pl-PL"/>
        </w:rPr>
      </w:pPr>
      <w:r w:rsidRPr="007E4DA1">
        <w:rPr>
          <w:sz w:val="22"/>
          <w:szCs w:val="22"/>
          <w:lang w:val="pl-PL"/>
        </w:rPr>
        <w:t xml:space="preserve">zwiększenie stężenia bilirubiny </w:t>
      </w:r>
      <w:r w:rsidR="00D90837" w:rsidRPr="007E4DA1">
        <w:rPr>
          <w:sz w:val="22"/>
          <w:szCs w:val="22"/>
          <w:lang w:val="pl-PL"/>
        </w:rPr>
        <w:t xml:space="preserve">we krwi </w:t>
      </w:r>
      <w:r w:rsidRPr="007E4DA1">
        <w:rPr>
          <w:sz w:val="22"/>
          <w:szCs w:val="22"/>
          <w:lang w:val="pl-PL"/>
        </w:rPr>
        <w:t>(substancji wytwarzanej przez wątrobę)</w:t>
      </w:r>
    </w:p>
    <w:p w14:paraId="6D522445" w14:textId="77777777" w:rsidR="009C2AB3" w:rsidRPr="007E4DA1" w:rsidRDefault="009C2AB3" w:rsidP="00DE1596">
      <w:pPr>
        <w:pStyle w:val="listdashnospace"/>
        <w:numPr>
          <w:ilvl w:val="0"/>
          <w:numId w:val="72"/>
        </w:numPr>
        <w:tabs>
          <w:tab w:val="clear" w:pos="720"/>
        </w:tabs>
        <w:ind w:left="567" w:hanging="567"/>
        <w:rPr>
          <w:sz w:val="22"/>
          <w:szCs w:val="22"/>
          <w:lang w:val="pl-PL"/>
        </w:rPr>
      </w:pPr>
      <w:r w:rsidRPr="007E4DA1">
        <w:rPr>
          <w:sz w:val="22"/>
          <w:szCs w:val="22"/>
          <w:lang w:val="pl-PL"/>
        </w:rPr>
        <w:t xml:space="preserve">zmniejszenie liczby krwinek białych </w:t>
      </w:r>
    </w:p>
    <w:p w14:paraId="03465398" w14:textId="77777777" w:rsidR="009C2AB3" w:rsidRPr="007E4DA1" w:rsidRDefault="009C2AB3" w:rsidP="00DE1596">
      <w:pPr>
        <w:numPr>
          <w:ilvl w:val="12"/>
          <w:numId w:val="0"/>
        </w:numPr>
        <w:rPr>
          <w:szCs w:val="22"/>
        </w:rPr>
      </w:pPr>
    </w:p>
    <w:p w14:paraId="5A660CEF" w14:textId="77777777" w:rsidR="00041A08" w:rsidRPr="00041A08" w:rsidRDefault="009C2AB3" w:rsidP="00DE1596">
      <w:pPr>
        <w:keepNext/>
        <w:numPr>
          <w:ilvl w:val="12"/>
          <w:numId w:val="0"/>
        </w:numPr>
        <w:rPr>
          <w:szCs w:val="22"/>
        </w:rPr>
      </w:pPr>
      <w:r w:rsidRPr="007E4DA1">
        <w:rPr>
          <w:b/>
          <w:szCs w:val="22"/>
        </w:rPr>
        <w:t>Działania niepożądane o częstości nieznanej</w:t>
      </w:r>
    </w:p>
    <w:p w14:paraId="27E3E17A" w14:textId="0C8160AA" w:rsidR="009C2AB3" w:rsidRPr="007E4DA1" w:rsidRDefault="009C2AB3" w:rsidP="00DE1596">
      <w:pPr>
        <w:keepNext/>
        <w:numPr>
          <w:ilvl w:val="12"/>
          <w:numId w:val="0"/>
        </w:numPr>
        <w:rPr>
          <w:szCs w:val="22"/>
        </w:rPr>
      </w:pPr>
      <w:r w:rsidRPr="007E4DA1">
        <w:rPr>
          <w:bCs/>
          <w:szCs w:val="22"/>
        </w:rPr>
        <w:t>Częstość nie może być określona na podstawie dostępnych danych</w:t>
      </w:r>
    </w:p>
    <w:p w14:paraId="6C4DBCC4" w14:textId="77777777" w:rsidR="009C2AB3" w:rsidRPr="007E4DA1" w:rsidRDefault="006670D0" w:rsidP="00DE1596">
      <w:pPr>
        <w:numPr>
          <w:ilvl w:val="0"/>
          <w:numId w:val="74"/>
        </w:numPr>
        <w:tabs>
          <w:tab w:val="clear" w:pos="720"/>
          <w:tab w:val="num" w:pos="-6946"/>
        </w:tabs>
        <w:ind w:left="567" w:right="-2" w:hanging="567"/>
        <w:rPr>
          <w:szCs w:val="22"/>
        </w:rPr>
      </w:pPr>
      <w:r w:rsidRPr="007E4DA1">
        <w:rPr>
          <w:szCs w:val="22"/>
        </w:rPr>
        <w:t>odbarwienie</w:t>
      </w:r>
      <w:r w:rsidR="009C2AB3" w:rsidRPr="007E4DA1">
        <w:rPr>
          <w:szCs w:val="22"/>
        </w:rPr>
        <w:t xml:space="preserve"> skóry</w:t>
      </w:r>
    </w:p>
    <w:p w14:paraId="7D4F94EC" w14:textId="77777777" w:rsidR="009C2AB3" w:rsidRPr="007E4DA1" w:rsidRDefault="009C2AB3" w:rsidP="00DE1596">
      <w:pPr>
        <w:numPr>
          <w:ilvl w:val="0"/>
          <w:numId w:val="74"/>
        </w:numPr>
        <w:tabs>
          <w:tab w:val="clear" w:pos="720"/>
          <w:tab w:val="num" w:pos="-6946"/>
        </w:tabs>
        <w:ind w:left="567" w:right="-2" w:hanging="567"/>
        <w:rPr>
          <w:szCs w:val="22"/>
        </w:rPr>
      </w:pPr>
      <w:r w:rsidRPr="007E4DA1">
        <w:rPr>
          <w:szCs w:val="22"/>
        </w:rPr>
        <w:t>ciemniejsze zabarwienie skóry</w:t>
      </w:r>
    </w:p>
    <w:p w14:paraId="71112D53" w14:textId="143F9C6F" w:rsidR="009C2AB3" w:rsidRPr="007E4DA1" w:rsidRDefault="00D90837" w:rsidP="00DE1596">
      <w:pPr>
        <w:numPr>
          <w:ilvl w:val="0"/>
          <w:numId w:val="74"/>
        </w:numPr>
        <w:tabs>
          <w:tab w:val="clear" w:pos="720"/>
          <w:tab w:val="num" w:pos="-6946"/>
        </w:tabs>
        <w:ind w:left="567" w:right="-2" w:hanging="567"/>
        <w:rPr>
          <w:szCs w:val="22"/>
        </w:rPr>
      </w:pPr>
      <w:r w:rsidRPr="007E4DA1">
        <w:rPr>
          <w:szCs w:val="22"/>
        </w:rPr>
        <w:t>uszkodzenie wątroby spowodowane prz</w:t>
      </w:r>
      <w:r w:rsidR="00EE6F49" w:rsidRPr="007E4DA1">
        <w:rPr>
          <w:szCs w:val="22"/>
        </w:rPr>
        <w:t>yjmowaniem</w:t>
      </w:r>
      <w:r w:rsidR="009B40A7" w:rsidRPr="007E4DA1">
        <w:rPr>
          <w:szCs w:val="22"/>
        </w:rPr>
        <w:t xml:space="preserve"> </w:t>
      </w:r>
      <w:r w:rsidRPr="007E4DA1">
        <w:rPr>
          <w:szCs w:val="22"/>
        </w:rPr>
        <w:t>lek</w:t>
      </w:r>
      <w:r w:rsidR="00EE6F49" w:rsidRPr="007E4DA1">
        <w:rPr>
          <w:szCs w:val="22"/>
        </w:rPr>
        <w:t>u</w:t>
      </w:r>
    </w:p>
    <w:p w14:paraId="3B04B247" w14:textId="77777777" w:rsidR="00E147B1" w:rsidRPr="007E4DA1" w:rsidRDefault="00E147B1" w:rsidP="00DE1596">
      <w:pPr>
        <w:ind w:left="0" w:firstLine="0"/>
        <w:rPr>
          <w:noProof/>
          <w:szCs w:val="22"/>
        </w:rPr>
      </w:pPr>
    </w:p>
    <w:p w14:paraId="7A64956B" w14:textId="77777777" w:rsidR="00041A08" w:rsidRPr="00041A08" w:rsidRDefault="00A86949" w:rsidP="00DE1596">
      <w:pPr>
        <w:keepNext/>
        <w:ind w:left="0" w:firstLine="0"/>
        <w:rPr>
          <w:noProof/>
          <w:szCs w:val="22"/>
        </w:rPr>
      </w:pPr>
      <w:r w:rsidRPr="007E4DA1">
        <w:rPr>
          <w:b/>
          <w:noProof/>
          <w:szCs w:val="22"/>
        </w:rPr>
        <w:t>Zgłaszanie działań niepożądanych</w:t>
      </w:r>
    </w:p>
    <w:p w14:paraId="0A6F4DE0" w14:textId="180B08FD" w:rsidR="00A86949" w:rsidRPr="007E4DA1" w:rsidRDefault="00A86949" w:rsidP="00DE1596">
      <w:pPr>
        <w:tabs>
          <w:tab w:val="left" w:pos="540"/>
        </w:tabs>
        <w:ind w:left="0" w:firstLine="0"/>
        <w:rPr>
          <w:noProof/>
          <w:szCs w:val="22"/>
        </w:rPr>
      </w:pPr>
      <w:r w:rsidRPr="007E4DA1">
        <w:rPr>
          <w:noProof/>
          <w:szCs w:val="22"/>
        </w:rPr>
        <w:t xml:space="preserve">Jeśli wystąpią jakiekolwiek objawy niepożądane, w tym wszelkie objawy niepożądane niewymienione w </w:t>
      </w:r>
      <w:r w:rsidR="009035D0" w:rsidRPr="007E4DA1">
        <w:rPr>
          <w:noProof/>
          <w:szCs w:val="22"/>
        </w:rPr>
        <w:t xml:space="preserve">tej </w:t>
      </w:r>
      <w:r w:rsidRPr="007E4DA1">
        <w:rPr>
          <w:noProof/>
          <w:szCs w:val="22"/>
        </w:rPr>
        <w:t>ulotce, należy powiedzieć o tym lekarzowi</w:t>
      </w:r>
      <w:r w:rsidR="00FA5CCC" w:rsidRPr="007E4DA1">
        <w:rPr>
          <w:noProof/>
          <w:szCs w:val="22"/>
        </w:rPr>
        <w:t>,</w:t>
      </w:r>
      <w:r w:rsidRPr="007E4DA1">
        <w:rPr>
          <w:noProof/>
          <w:szCs w:val="22"/>
        </w:rPr>
        <w:t xml:space="preserve"> farmaceucie</w:t>
      </w:r>
      <w:r w:rsidR="00FA5CCC" w:rsidRPr="007E4DA1">
        <w:rPr>
          <w:noProof/>
          <w:szCs w:val="22"/>
        </w:rPr>
        <w:t xml:space="preserve"> lub pielęgniarce</w:t>
      </w:r>
      <w:r w:rsidRPr="007E4DA1">
        <w:rPr>
          <w:noProof/>
          <w:szCs w:val="22"/>
        </w:rPr>
        <w:t xml:space="preserve">. Działania niepożądane można zgłaszać bezpośrednio </w:t>
      </w:r>
      <w:r w:rsidRPr="007E4DA1">
        <w:rPr>
          <w:szCs w:val="22"/>
        </w:rPr>
        <w:t xml:space="preserve">do </w:t>
      </w:r>
      <w:r w:rsidRPr="007E4DA1">
        <w:rPr>
          <w:szCs w:val="22"/>
          <w:shd w:val="pct15" w:color="auto" w:fill="auto"/>
        </w:rPr>
        <w:t xml:space="preserve">„krajowego systemu zgłaszania” wymienionego w </w:t>
      </w:r>
      <w:r>
        <w:fldChar w:fldCharType="begin"/>
      </w:r>
      <w:r>
        <w:instrText>HYPERLINK "https://www.ema.europa.eu/documents/template-form/qrd-appendix-v-adverse-drug-reaction-reporting-details_en.docx"</w:instrText>
      </w:r>
      <w:r>
        <w:fldChar w:fldCharType="separate"/>
      </w:r>
      <w:r w:rsidRPr="007E4DA1">
        <w:rPr>
          <w:rStyle w:val="Hyperlink"/>
          <w:shd w:val="pct15" w:color="auto" w:fill="auto"/>
        </w:rPr>
        <w:t>załączniku V</w:t>
      </w:r>
      <w:r>
        <w:fldChar w:fldCharType="end"/>
      </w:r>
      <w:r w:rsidRPr="007E4DA1">
        <w:rPr>
          <w:noProof/>
          <w:szCs w:val="22"/>
        </w:rPr>
        <w:t>. Dzięki zgłaszaniu działań niepożądanych można będzie zgromadzić więcej informacji na temat bezpieczeństwa stosowania leku.</w:t>
      </w:r>
    </w:p>
    <w:p w14:paraId="6B0B2DD0" w14:textId="77777777" w:rsidR="00A86949" w:rsidRPr="007E4DA1" w:rsidRDefault="00A86949" w:rsidP="00DE1596">
      <w:pPr>
        <w:pStyle w:val="listdashnospace"/>
        <w:numPr>
          <w:ilvl w:val="0"/>
          <w:numId w:val="0"/>
        </w:numPr>
        <w:rPr>
          <w:lang w:val="pl-PL"/>
        </w:rPr>
      </w:pPr>
    </w:p>
    <w:p w14:paraId="26E9818B" w14:textId="77777777" w:rsidR="00A86949" w:rsidRPr="007E4DA1" w:rsidRDefault="00A86949" w:rsidP="00DE1596">
      <w:pPr>
        <w:pStyle w:val="listdashnospace"/>
        <w:numPr>
          <w:ilvl w:val="0"/>
          <w:numId w:val="0"/>
        </w:numPr>
        <w:rPr>
          <w:lang w:val="pl-PL"/>
        </w:rPr>
      </w:pPr>
    </w:p>
    <w:p w14:paraId="47F4E335" w14:textId="77777777" w:rsidR="00041A08" w:rsidRPr="00041A08" w:rsidRDefault="005B4BC8" w:rsidP="00DE1596">
      <w:pPr>
        <w:keepNext/>
        <w:rPr>
          <w:caps/>
        </w:rPr>
      </w:pPr>
      <w:r w:rsidRPr="007E4DA1">
        <w:rPr>
          <w:b/>
          <w:caps/>
        </w:rPr>
        <w:t>5.</w:t>
      </w:r>
      <w:r w:rsidRPr="007E4DA1">
        <w:rPr>
          <w:b/>
          <w:caps/>
        </w:rPr>
        <w:tab/>
      </w:r>
      <w:r w:rsidRPr="007E4DA1">
        <w:rPr>
          <w:b/>
        </w:rPr>
        <w:t>J</w:t>
      </w:r>
      <w:r w:rsidR="0092672A" w:rsidRPr="007E4DA1">
        <w:rPr>
          <w:b/>
        </w:rPr>
        <w:t>ak przechowywać lek Revolade</w:t>
      </w:r>
    </w:p>
    <w:p w14:paraId="269AB578" w14:textId="7FC51CF5" w:rsidR="00B62876" w:rsidRPr="007E4DA1" w:rsidRDefault="00B62876" w:rsidP="00DE1596">
      <w:pPr>
        <w:keepNext/>
        <w:ind w:left="0" w:firstLine="0"/>
      </w:pPr>
    </w:p>
    <w:p w14:paraId="18307AB6" w14:textId="77777777" w:rsidR="005B4BC8" w:rsidRPr="007E4DA1" w:rsidRDefault="0092672A" w:rsidP="00DE1596">
      <w:pPr>
        <w:ind w:left="0" w:firstLine="0"/>
      </w:pPr>
      <w:r w:rsidRPr="007E4DA1">
        <w:t>Lek należy p</w:t>
      </w:r>
      <w:r w:rsidR="005B4BC8" w:rsidRPr="007E4DA1">
        <w:t xml:space="preserve">rzechowywać w miejscu </w:t>
      </w:r>
      <w:r w:rsidRPr="007E4DA1">
        <w:t xml:space="preserve">niewidocznym i </w:t>
      </w:r>
      <w:r w:rsidR="005B4BC8" w:rsidRPr="007E4DA1">
        <w:t>niedostępnym dla dzieci.</w:t>
      </w:r>
    </w:p>
    <w:p w14:paraId="16E061D9" w14:textId="77777777" w:rsidR="005B4BC8" w:rsidRPr="007E4DA1" w:rsidRDefault="005B4BC8" w:rsidP="00DE1596">
      <w:pPr>
        <w:ind w:left="0" w:firstLine="0"/>
      </w:pPr>
    </w:p>
    <w:p w14:paraId="3916917B" w14:textId="05855C3F" w:rsidR="005B4BC8" w:rsidRPr="007E4DA1" w:rsidRDefault="005B4BC8" w:rsidP="00DE1596">
      <w:pPr>
        <w:ind w:left="0" w:firstLine="0"/>
      </w:pPr>
      <w:r w:rsidRPr="007E4DA1">
        <w:t xml:space="preserve">Nie stosować </w:t>
      </w:r>
      <w:r w:rsidR="00FA5CCC" w:rsidRPr="007E4DA1">
        <w:t xml:space="preserve">tego </w:t>
      </w:r>
      <w:r w:rsidRPr="007E4DA1">
        <w:t>leku</w:t>
      </w:r>
      <w:r w:rsidR="00B62876" w:rsidRPr="007E4DA1">
        <w:t xml:space="preserve"> </w:t>
      </w:r>
      <w:r w:rsidRPr="007E4DA1">
        <w:t xml:space="preserve">po upływie terminu ważności zamieszczonego na </w:t>
      </w:r>
      <w:r w:rsidR="003760A6" w:rsidRPr="007E4DA1">
        <w:t xml:space="preserve">pudełku </w:t>
      </w:r>
      <w:r w:rsidR="00B62876" w:rsidRPr="007E4DA1">
        <w:t>i blistrze</w:t>
      </w:r>
      <w:r w:rsidR="004D3758">
        <w:t xml:space="preserve"> po</w:t>
      </w:r>
      <w:r w:rsidR="00545228">
        <w:t>:</w:t>
      </w:r>
      <w:r w:rsidR="004D3758">
        <w:t xml:space="preserve"> EXP</w:t>
      </w:r>
      <w:r w:rsidRPr="007E4DA1">
        <w:t>.</w:t>
      </w:r>
    </w:p>
    <w:p w14:paraId="31D7F8BF" w14:textId="77777777" w:rsidR="005B4BC8" w:rsidRPr="007E4DA1" w:rsidRDefault="005B4BC8" w:rsidP="00DE1596">
      <w:pPr>
        <w:ind w:left="0" w:firstLine="0"/>
      </w:pPr>
    </w:p>
    <w:p w14:paraId="456E81CA" w14:textId="77777777" w:rsidR="00B62876" w:rsidRPr="007E4DA1" w:rsidRDefault="005C59ED" w:rsidP="00DE1596">
      <w:pPr>
        <w:numPr>
          <w:ilvl w:val="12"/>
          <w:numId w:val="0"/>
        </w:numPr>
        <w:ind w:right="-2"/>
      </w:pPr>
      <w:r w:rsidRPr="007E4DA1">
        <w:rPr>
          <w:noProof/>
          <w:szCs w:val="22"/>
        </w:rPr>
        <w:t>Brak specjalnych zaleceń dotyczących przechowywania leku</w:t>
      </w:r>
      <w:r w:rsidR="006A53E8" w:rsidRPr="007E4DA1">
        <w:rPr>
          <w:noProof/>
          <w:szCs w:val="22"/>
        </w:rPr>
        <w:t>.</w:t>
      </w:r>
    </w:p>
    <w:p w14:paraId="3B760A62" w14:textId="77777777" w:rsidR="005B4BC8" w:rsidRPr="007E4DA1" w:rsidRDefault="005B4BC8" w:rsidP="00DE1596"/>
    <w:p w14:paraId="3A792FF0" w14:textId="12F30017" w:rsidR="005B4BC8" w:rsidRPr="007E4DA1" w:rsidRDefault="005B4BC8" w:rsidP="00DE1596">
      <w:pPr>
        <w:numPr>
          <w:ilvl w:val="12"/>
          <w:numId w:val="0"/>
        </w:numPr>
        <w:ind w:right="-2"/>
      </w:pPr>
      <w:r w:rsidRPr="007E4DA1">
        <w:t>Leków nie należy wyrzucać do kanalizacji ani domowych pojemników na odpadki. Należy zapytać farmaceutę</w:t>
      </w:r>
      <w:r w:rsidR="001403EA" w:rsidRPr="007E4DA1">
        <w:t>, jak usunąć leki</w:t>
      </w:r>
      <w:r w:rsidRPr="007E4DA1">
        <w:t xml:space="preserve">, których </w:t>
      </w:r>
      <w:r w:rsidR="000542C8" w:rsidRPr="007E4DA1">
        <w:t xml:space="preserve">się </w:t>
      </w:r>
      <w:r w:rsidR="001403EA" w:rsidRPr="007E4DA1">
        <w:t>już</w:t>
      </w:r>
      <w:r w:rsidRPr="007E4DA1">
        <w:t xml:space="preserve"> nie </w:t>
      </w:r>
      <w:r w:rsidR="001403EA" w:rsidRPr="007E4DA1">
        <w:t>używa</w:t>
      </w:r>
      <w:r w:rsidRPr="007E4DA1">
        <w:t>. Takie postępowanie pomoże chronić środowisko.</w:t>
      </w:r>
    </w:p>
    <w:p w14:paraId="5630D7F6" w14:textId="77777777" w:rsidR="005B4BC8" w:rsidRPr="007E4DA1" w:rsidRDefault="005B4BC8" w:rsidP="00DE1596"/>
    <w:p w14:paraId="2AD9E70A" w14:textId="77777777" w:rsidR="005B4BC8" w:rsidRPr="007E4DA1" w:rsidRDefault="005B4BC8" w:rsidP="00DE1596"/>
    <w:p w14:paraId="2E66F25C" w14:textId="77777777" w:rsidR="00041A08" w:rsidRPr="00041A08" w:rsidRDefault="005B4BC8" w:rsidP="00DE1596">
      <w:pPr>
        <w:keepNext/>
        <w:rPr>
          <w:caps/>
        </w:rPr>
      </w:pPr>
      <w:r w:rsidRPr="007E4DA1">
        <w:rPr>
          <w:b/>
          <w:caps/>
        </w:rPr>
        <w:t>6.</w:t>
      </w:r>
      <w:r w:rsidRPr="007E4DA1">
        <w:rPr>
          <w:b/>
          <w:caps/>
        </w:rPr>
        <w:tab/>
      </w:r>
      <w:r w:rsidR="001403EA" w:rsidRPr="007E4DA1">
        <w:rPr>
          <w:b/>
        </w:rPr>
        <w:t>Zawartość opakowania i i</w:t>
      </w:r>
      <w:r w:rsidRPr="007E4DA1">
        <w:rPr>
          <w:b/>
        </w:rPr>
        <w:t>nne</w:t>
      </w:r>
      <w:r w:rsidR="001403EA" w:rsidRPr="007E4DA1">
        <w:rPr>
          <w:b/>
        </w:rPr>
        <w:t xml:space="preserve"> informacje</w:t>
      </w:r>
    </w:p>
    <w:p w14:paraId="02C0954E" w14:textId="77777777" w:rsidR="00041A08" w:rsidRPr="00041A08" w:rsidRDefault="00041A08" w:rsidP="00DE1596">
      <w:pPr>
        <w:keepNext/>
      </w:pPr>
    </w:p>
    <w:p w14:paraId="6318702B" w14:textId="77777777" w:rsidR="00041A08" w:rsidRPr="00041A08" w:rsidRDefault="005B4BC8" w:rsidP="00DE1596">
      <w:pPr>
        <w:keepNext/>
        <w:ind w:left="0" w:firstLine="0"/>
      </w:pPr>
      <w:r w:rsidRPr="007E4DA1">
        <w:rPr>
          <w:b/>
        </w:rPr>
        <w:t xml:space="preserve">Co zawiera lek </w:t>
      </w:r>
      <w:r w:rsidR="008A483C" w:rsidRPr="007E4DA1">
        <w:rPr>
          <w:b/>
        </w:rPr>
        <w:t>Revolade</w:t>
      </w:r>
    </w:p>
    <w:p w14:paraId="4B861F8C" w14:textId="3E6C7D87" w:rsidR="008A483C" w:rsidRPr="007E4DA1" w:rsidRDefault="00F978C3" w:rsidP="00DE1596">
      <w:pPr>
        <w:ind w:left="0" w:firstLine="0"/>
      </w:pPr>
      <w:r w:rsidRPr="007E4DA1">
        <w:t>Substancją czynną leku Revolade jest eltrombopag.</w:t>
      </w:r>
    </w:p>
    <w:p w14:paraId="7375240F" w14:textId="77777777" w:rsidR="00F978C3" w:rsidRPr="007E4DA1" w:rsidRDefault="00F978C3" w:rsidP="00DE1596">
      <w:pPr>
        <w:ind w:left="0" w:firstLine="0"/>
      </w:pPr>
    </w:p>
    <w:p w14:paraId="6FF54A5C" w14:textId="77777777" w:rsidR="00285D73" w:rsidRPr="007E4DA1" w:rsidRDefault="00285D73" w:rsidP="00DE1596">
      <w:pPr>
        <w:keepNext/>
        <w:ind w:left="0" w:firstLine="0"/>
      </w:pPr>
      <w:r w:rsidRPr="007E4DA1">
        <w:rPr>
          <w:b/>
        </w:rPr>
        <w:t>12,5 mg tabletki powlekane</w:t>
      </w:r>
    </w:p>
    <w:p w14:paraId="30328F74" w14:textId="77777777" w:rsidR="00285D73" w:rsidRPr="007E4DA1" w:rsidRDefault="00285D73" w:rsidP="00DE1596">
      <w:pPr>
        <w:ind w:left="0" w:firstLine="0"/>
      </w:pPr>
      <w:r w:rsidRPr="007E4DA1">
        <w:t xml:space="preserve">Każda tabletka powlekana zawiera eltrombopag z olaminą w ilości odpowiadającej </w:t>
      </w:r>
      <w:r w:rsidR="002122A4" w:rsidRPr="007E4DA1">
        <w:t>1</w:t>
      </w:r>
      <w:r w:rsidRPr="007E4DA1">
        <w:t>2</w:t>
      </w:r>
      <w:r w:rsidR="002122A4" w:rsidRPr="007E4DA1">
        <w:t>,</w:t>
      </w:r>
      <w:r w:rsidRPr="007E4DA1">
        <w:t>5 mg eltrombopagu.</w:t>
      </w:r>
    </w:p>
    <w:p w14:paraId="1EB61B80" w14:textId="77777777" w:rsidR="00285D73" w:rsidRPr="007E4DA1" w:rsidRDefault="00285D73" w:rsidP="00DE1596">
      <w:pPr>
        <w:ind w:left="0" w:firstLine="0"/>
      </w:pPr>
    </w:p>
    <w:p w14:paraId="3A478B54" w14:textId="77777777" w:rsidR="00041A08" w:rsidRPr="00041A08" w:rsidRDefault="00281328" w:rsidP="00DE1596">
      <w:pPr>
        <w:keepNext/>
        <w:ind w:left="0" w:firstLine="0"/>
      </w:pPr>
      <w:r w:rsidRPr="007E4DA1">
        <w:rPr>
          <w:b/>
        </w:rPr>
        <w:t>25 </w:t>
      </w:r>
      <w:r w:rsidR="008A483C" w:rsidRPr="007E4DA1">
        <w:rPr>
          <w:b/>
        </w:rPr>
        <w:t>mg tabletki powlekane</w:t>
      </w:r>
    </w:p>
    <w:p w14:paraId="68503360" w14:textId="3B941071" w:rsidR="005B4BC8" w:rsidRPr="007E4DA1" w:rsidRDefault="008A483C" w:rsidP="00DE1596">
      <w:pPr>
        <w:ind w:left="0" w:firstLine="0"/>
      </w:pPr>
      <w:r w:rsidRPr="007E4DA1">
        <w:t>Każda tabletka powlekana zawiera</w:t>
      </w:r>
      <w:r w:rsidR="00475AF0" w:rsidRPr="007E4DA1">
        <w:t xml:space="preserve"> </w:t>
      </w:r>
      <w:r w:rsidRPr="007E4DA1">
        <w:t>eltrombopag</w:t>
      </w:r>
      <w:r w:rsidR="00E46B1E" w:rsidRPr="007E4DA1">
        <w:t xml:space="preserve"> z olaminą</w:t>
      </w:r>
      <w:r w:rsidRPr="007E4DA1">
        <w:t xml:space="preserve"> w ilości odpowiadającej 25 mg eltrombopagu.</w:t>
      </w:r>
    </w:p>
    <w:p w14:paraId="67CFC9C8" w14:textId="77777777" w:rsidR="005B4BC8" w:rsidRPr="007E4DA1" w:rsidRDefault="005B4BC8" w:rsidP="00DE1596">
      <w:pPr>
        <w:ind w:left="0" w:firstLine="0"/>
      </w:pPr>
    </w:p>
    <w:p w14:paraId="023F0DAF" w14:textId="77777777" w:rsidR="00041A08" w:rsidRPr="00041A08" w:rsidRDefault="00281328" w:rsidP="00DE1596">
      <w:pPr>
        <w:keepNext/>
        <w:ind w:left="0" w:firstLine="0"/>
      </w:pPr>
      <w:r w:rsidRPr="007E4DA1">
        <w:rPr>
          <w:b/>
        </w:rPr>
        <w:t>50 mg tabletki powlekane</w:t>
      </w:r>
    </w:p>
    <w:p w14:paraId="3843D3B4" w14:textId="65B8EBE8" w:rsidR="00281328" w:rsidRPr="007E4DA1" w:rsidRDefault="00475AF0" w:rsidP="00DE1596">
      <w:pPr>
        <w:ind w:left="0" w:firstLine="0"/>
      </w:pPr>
      <w:r w:rsidRPr="007E4DA1">
        <w:t xml:space="preserve">Każda tabletka powlekana zawiera </w:t>
      </w:r>
      <w:r w:rsidR="00033003" w:rsidRPr="007E4DA1">
        <w:t>eltrombopag z olaminą</w:t>
      </w:r>
      <w:r w:rsidR="00281328" w:rsidRPr="007E4DA1">
        <w:t xml:space="preserve"> w ilości odpowiadającej 50 mg eltrombopagu.</w:t>
      </w:r>
    </w:p>
    <w:p w14:paraId="1D1D669A" w14:textId="77777777" w:rsidR="00281328" w:rsidRPr="007E4DA1" w:rsidRDefault="00281328" w:rsidP="00DE1596">
      <w:pPr>
        <w:ind w:left="0" w:firstLine="0"/>
      </w:pPr>
    </w:p>
    <w:p w14:paraId="4213970E" w14:textId="77777777" w:rsidR="00041A08" w:rsidRPr="00041A08" w:rsidRDefault="00A86949" w:rsidP="00DE1596">
      <w:pPr>
        <w:keepNext/>
        <w:ind w:left="0" w:firstLine="0"/>
      </w:pPr>
      <w:r w:rsidRPr="007E4DA1">
        <w:rPr>
          <w:b/>
        </w:rPr>
        <w:t>75 mg tabletki powlekane</w:t>
      </w:r>
    </w:p>
    <w:p w14:paraId="722BB4D7" w14:textId="47FCA35A" w:rsidR="00A86949" w:rsidRPr="007E4DA1" w:rsidRDefault="00A86949" w:rsidP="00DE1596">
      <w:pPr>
        <w:ind w:left="0" w:firstLine="0"/>
      </w:pPr>
      <w:r w:rsidRPr="007E4DA1">
        <w:t>Każda tabletka powlekana zawiera eltrombopag z olaminą w ilości odpowiadającej 75 mg eltrombopagu.</w:t>
      </w:r>
    </w:p>
    <w:p w14:paraId="11C5A1A1" w14:textId="77777777" w:rsidR="00A86949" w:rsidRPr="007E4DA1" w:rsidRDefault="00A86949" w:rsidP="00DE1596">
      <w:pPr>
        <w:ind w:left="0" w:firstLine="0"/>
      </w:pPr>
    </w:p>
    <w:p w14:paraId="65D66B56" w14:textId="77777777" w:rsidR="00A86949" w:rsidRPr="007E4DA1" w:rsidRDefault="00A86949" w:rsidP="00DE1596">
      <w:pPr>
        <w:ind w:left="0" w:firstLine="0"/>
        <w:rPr>
          <w:szCs w:val="22"/>
        </w:rPr>
      </w:pPr>
      <w:r w:rsidRPr="007E4DA1">
        <w:t>Pozostałe składniki to</w:t>
      </w:r>
      <w:r w:rsidR="009035D0" w:rsidRPr="007E4DA1">
        <w:t>:</w:t>
      </w:r>
      <w:r w:rsidRPr="007E4DA1">
        <w:rPr>
          <w:szCs w:val="22"/>
        </w:rPr>
        <w:t xml:space="preserve"> hypromeloza, makrogol 400, magnezu stearynian, mannitol (E</w:t>
      </w:r>
      <w:r w:rsidR="00CC77ED" w:rsidRPr="007E4DA1">
        <w:rPr>
          <w:szCs w:val="22"/>
        </w:rPr>
        <w:t xml:space="preserve"> </w:t>
      </w:r>
      <w:r w:rsidRPr="007E4DA1">
        <w:rPr>
          <w:szCs w:val="22"/>
        </w:rPr>
        <w:t>421), celuloza mikrokrystaliczna, powidon, karboksymetyloskrobia sodowa, tytanu dwutlenek (E</w:t>
      </w:r>
      <w:r w:rsidR="00CC77ED" w:rsidRPr="007E4DA1">
        <w:rPr>
          <w:szCs w:val="22"/>
        </w:rPr>
        <w:t xml:space="preserve"> </w:t>
      </w:r>
      <w:r w:rsidRPr="007E4DA1">
        <w:rPr>
          <w:szCs w:val="22"/>
        </w:rPr>
        <w:t>171).</w:t>
      </w:r>
    </w:p>
    <w:p w14:paraId="6DE0B7E1" w14:textId="77777777" w:rsidR="00A86949" w:rsidRPr="007E4DA1" w:rsidRDefault="00A86949" w:rsidP="00DE1596">
      <w:pPr>
        <w:ind w:left="0" w:firstLine="0"/>
      </w:pPr>
    </w:p>
    <w:p w14:paraId="60FB1352" w14:textId="77777777" w:rsidR="003B7E37" w:rsidRPr="007E4DA1" w:rsidRDefault="003B7E37" w:rsidP="00DE1596">
      <w:pPr>
        <w:ind w:left="0" w:firstLine="0"/>
      </w:pPr>
      <w:r w:rsidRPr="007E4DA1">
        <w:t>Lek Revolade</w:t>
      </w:r>
      <w:r w:rsidR="002914C0" w:rsidRPr="007E4DA1">
        <w:t xml:space="preserve"> 12,5</w:t>
      </w:r>
      <w:r w:rsidR="00FB2E78" w:rsidRPr="007E4DA1">
        <w:t> </w:t>
      </w:r>
      <w:r w:rsidR="002914C0" w:rsidRPr="007E4DA1">
        <w:t xml:space="preserve">mg </w:t>
      </w:r>
      <w:r w:rsidRPr="007E4DA1">
        <w:t>i 25</w:t>
      </w:r>
      <w:r w:rsidR="00FB2E78" w:rsidRPr="007E4DA1">
        <w:t> </w:t>
      </w:r>
      <w:r w:rsidRPr="007E4DA1">
        <w:t>mg tabletki powlekane zawiera także polisorbat 80 (E</w:t>
      </w:r>
      <w:r w:rsidR="00B4278F" w:rsidRPr="007E4DA1">
        <w:t xml:space="preserve"> </w:t>
      </w:r>
      <w:r w:rsidRPr="007E4DA1">
        <w:t>433).</w:t>
      </w:r>
    </w:p>
    <w:p w14:paraId="1B210FE0" w14:textId="77777777" w:rsidR="003B7E37" w:rsidRPr="007E4DA1" w:rsidRDefault="003B7E37" w:rsidP="00DE1596">
      <w:pPr>
        <w:ind w:left="0" w:firstLine="0"/>
      </w:pPr>
    </w:p>
    <w:p w14:paraId="5E6ACB1B" w14:textId="77777777" w:rsidR="00F978C3" w:rsidRPr="007E4DA1" w:rsidRDefault="00F978C3" w:rsidP="00DE1596">
      <w:pPr>
        <w:ind w:left="0" w:firstLine="0"/>
        <w:rPr>
          <w:szCs w:val="22"/>
        </w:rPr>
      </w:pPr>
      <w:r w:rsidRPr="007E4DA1">
        <w:t xml:space="preserve">Lek Revolade 50 mg tabletki powlekane zawiera także </w:t>
      </w:r>
      <w:r w:rsidRPr="007E4DA1">
        <w:rPr>
          <w:szCs w:val="22"/>
        </w:rPr>
        <w:t>żelaza tlenek czerwony (E</w:t>
      </w:r>
      <w:r w:rsidR="00CC77ED" w:rsidRPr="007E4DA1">
        <w:rPr>
          <w:szCs w:val="22"/>
        </w:rPr>
        <w:t xml:space="preserve"> </w:t>
      </w:r>
      <w:r w:rsidRPr="007E4DA1">
        <w:rPr>
          <w:szCs w:val="22"/>
        </w:rPr>
        <w:t>172) i żelaza tlenek żółty (E</w:t>
      </w:r>
      <w:r w:rsidR="00AF6956" w:rsidRPr="007E4DA1">
        <w:rPr>
          <w:szCs w:val="22"/>
        </w:rPr>
        <w:t xml:space="preserve"> </w:t>
      </w:r>
      <w:r w:rsidRPr="007E4DA1">
        <w:rPr>
          <w:szCs w:val="22"/>
        </w:rPr>
        <w:t>172).</w:t>
      </w:r>
    </w:p>
    <w:p w14:paraId="41FEB6A1" w14:textId="77777777" w:rsidR="00F978C3" w:rsidRPr="007E4DA1" w:rsidRDefault="00F978C3" w:rsidP="00DE1596">
      <w:pPr>
        <w:ind w:left="0" w:firstLine="0"/>
      </w:pPr>
    </w:p>
    <w:p w14:paraId="63B126F0" w14:textId="77777777" w:rsidR="00F978C3" w:rsidRPr="007E4DA1" w:rsidRDefault="00F978C3" w:rsidP="00DE1596">
      <w:pPr>
        <w:ind w:left="0" w:firstLine="0"/>
      </w:pPr>
      <w:r w:rsidRPr="007E4DA1">
        <w:t xml:space="preserve">Lek Revolade 75 mg tabletki powlekane zawiera także </w:t>
      </w:r>
      <w:r w:rsidRPr="007E4DA1">
        <w:rPr>
          <w:szCs w:val="22"/>
        </w:rPr>
        <w:t>żelaza tlenek czerwony (E</w:t>
      </w:r>
      <w:r w:rsidR="00CC77ED" w:rsidRPr="007E4DA1">
        <w:rPr>
          <w:szCs w:val="22"/>
        </w:rPr>
        <w:t xml:space="preserve"> </w:t>
      </w:r>
      <w:r w:rsidRPr="007E4DA1">
        <w:rPr>
          <w:szCs w:val="22"/>
        </w:rPr>
        <w:t>172) i żelaza tlenek czarny (E</w:t>
      </w:r>
      <w:r w:rsidR="00AF6956" w:rsidRPr="007E4DA1">
        <w:rPr>
          <w:szCs w:val="22"/>
        </w:rPr>
        <w:t xml:space="preserve"> </w:t>
      </w:r>
      <w:r w:rsidRPr="007E4DA1">
        <w:rPr>
          <w:szCs w:val="22"/>
        </w:rPr>
        <w:t>172).</w:t>
      </w:r>
    </w:p>
    <w:p w14:paraId="1E2FA6F9" w14:textId="77777777" w:rsidR="00F978C3" w:rsidRPr="007E4DA1" w:rsidRDefault="00F978C3" w:rsidP="00DE1596">
      <w:pPr>
        <w:ind w:left="0" w:firstLine="0"/>
      </w:pPr>
    </w:p>
    <w:p w14:paraId="2544D2DA" w14:textId="77777777" w:rsidR="00041A08" w:rsidRPr="00041A08" w:rsidRDefault="005B4BC8" w:rsidP="00DE1596">
      <w:pPr>
        <w:keepNext/>
        <w:ind w:left="0" w:firstLine="0"/>
      </w:pPr>
      <w:r w:rsidRPr="007E4DA1">
        <w:rPr>
          <w:b/>
        </w:rPr>
        <w:t xml:space="preserve">Jak wygląda lek </w:t>
      </w:r>
      <w:r w:rsidR="007C5D13" w:rsidRPr="007E4DA1">
        <w:rPr>
          <w:b/>
        </w:rPr>
        <w:t>Revolade</w:t>
      </w:r>
      <w:r w:rsidRPr="007E4DA1">
        <w:rPr>
          <w:b/>
        </w:rPr>
        <w:t xml:space="preserve"> i co zawiera opakowanie</w:t>
      </w:r>
    </w:p>
    <w:p w14:paraId="24016CC8" w14:textId="0496B906" w:rsidR="00CA2D3D" w:rsidRPr="007E4DA1" w:rsidRDefault="00CA2D3D" w:rsidP="00DE1596">
      <w:pPr>
        <w:numPr>
          <w:ilvl w:val="12"/>
          <w:numId w:val="0"/>
        </w:numPr>
        <w:ind w:right="-2"/>
      </w:pPr>
      <w:r w:rsidRPr="007E4DA1">
        <w:t xml:space="preserve">Revolade 12,5 mg tabletki powlekane: okrągłe, obustronnie wypukłe, białe tabletki z wytłoczonym </w:t>
      </w:r>
      <w:r w:rsidR="00CC77ED" w:rsidRPr="007E4DA1">
        <w:t>oznakowani</w:t>
      </w:r>
      <w:r w:rsidRPr="007E4DA1">
        <w:t>em „GS MZ1” i „12,5” po jednej stronie.</w:t>
      </w:r>
    </w:p>
    <w:p w14:paraId="65B7043A" w14:textId="77777777" w:rsidR="00CA2D3D" w:rsidRPr="007E4DA1" w:rsidRDefault="00CA2D3D" w:rsidP="00DE1596">
      <w:pPr>
        <w:numPr>
          <w:ilvl w:val="12"/>
          <w:numId w:val="0"/>
        </w:numPr>
        <w:ind w:right="-2"/>
      </w:pPr>
    </w:p>
    <w:p w14:paraId="392A2187" w14:textId="77777777" w:rsidR="007C5D13" w:rsidRPr="007E4DA1" w:rsidRDefault="007C5D13" w:rsidP="00DE1596">
      <w:pPr>
        <w:numPr>
          <w:ilvl w:val="12"/>
          <w:numId w:val="0"/>
        </w:numPr>
        <w:ind w:right="-2"/>
      </w:pPr>
      <w:r w:rsidRPr="007E4DA1">
        <w:t xml:space="preserve">Revolade 25 mg tabletki powlekane: okrągłe, </w:t>
      </w:r>
      <w:r w:rsidR="003760A6" w:rsidRPr="007E4DA1">
        <w:t>obustronnie wypukłe</w:t>
      </w:r>
      <w:r w:rsidRPr="007E4DA1">
        <w:t xml:space="preserve">, białe tabletki z wytłoczonym </w:t>
      </w:r>
      <w:r w:rsidR="00CC77ED" w:rsidRPr="007E4DA1">
        <w:t>oznakowani</w:t>
      </w:r>
      <w:r w:rsidRPr="007E4DA1">
        <w:t>em „GS</w:t>
      </w:r>
      <w:r w:rsidR="00BC0BEA" w:rsidRPr="007E4DA1">
        <w:t> </w:t>
      </w:r>
      <w:r w:rsidRPr="007E4DA1">
        <w:t>NX3</w:t>
      </w:r>
      <w:r w:rsidR="00BC0BEA" w:rsidRPr="007E4DA1">
        <w:t>” i „</w:t>
      </w:r>
      <w:r w:rsidRPr="007E4DA1">
        <w:t>25</w:t>
      </w:r>
      <w:r w:rsidR="00BC0BEA" w:rsidRPr="007E4DA1">
        <w:t xml:space="preserve">” </w:t>
      </w:r>
      <w:r w:rsidR="003760A6" w:rsidRPr="007E4DA1">
        <w:t xml:space="preserve">po </w:t>
      </w:r>
      <w:r w:rsidR="00BC0BEA" w:rsidRPr="007E4DA1">
        <w:t>jednej stronie</w:t>
      </w:r>
      <w:r w:rsidRPr="007E4DA1">
        <w:t>.</w:t>
      </w:r>
    </w:p>
    <w:p w14:paraId="20550692" w14:textId="77777777" w:rsidR="007C5D13" w:rsidRPr="007E4DA1" w:rsidRDefault="007C5D13" w:rsidP="00DE1596">
      <w:pPr>
        <w:rPr>
          <w:szCs w:val="22"/>
        </w:rPr>
      </w:pPr>
    </w:p>
    <w:p w14:paraId="78E9D04C" w14:textId="77777777" w:rsidR="007C5D13" w:rsidRPr="007E4DA1" w:rsidRDefault="00BC0BEA" w:rsidP="00DE1596">
      <w:pPr>
        <w:ind w:left="0" w:firstLine="0"/>
        <w:rPr>
          <w:szCs w:val="22"/>
        </w:rPr>
      </w:pPr>
      <w:r w:rsidRPr="007E4DA1">
        <w:t xml:space="preserve">Revolade 50 mg tabletki powlekane: okrągłe, </w:t>
      </w:r>
      <w:r w:rsidR="003760A6" w:rsidRPr="007E4DA1">
        <w:t>obustronnie wypukłe</w:t>
      </w:r>
      <w:r w:rsidRPr="007E4DA1">
        <w:t>,</w:t>
      </w:r>
      <w:r w:rsidR="007C5D13" w:rsidRPr="007E4DA1">
        <w:rPr>
          <w:szCs w:val="22"/>
        </w:rPr>
        <w:t xml:space="preserve"> br</w:t>
      </w:r>
      <w:r w:rsidRPr="007E4DA1">
        <w:rPr>
          <w:szCs w:val="22"/>
        </w:rPr>
        <w:t>ązowe</w:t>
      </w:r>
      <w:r w:rsidRPr="007E4DA1">
        <w:t xml:space="preserve"> tabletki z wytłoczonym </w:t>
      </w:r>
      <w:r w:rsidR="00CC77ED" w:rsidRPr="007E4DA1">
        <w:t>oznakowani</w:t>
      </w:r>
      <w:r w:rsidRPr="007E4DA1">
        <w:t>em</w:t>
      </w:r>
      <w:r w:rsidR="007C5D13" w:rsidRPr="007E4DA1">
        <w:rPr>
          <w:szCs w:val="22"/>
        </w:rPr>
        <w:t xml:space="preserve"> </w:t>
      </w:r>
      <w:r w:rsidRPr="007E4DA1">
        <w:rPr>
          <w:szCs w:val="22"/>
        </w:rPr>
        <w:t>„</w:t>
      </w:r>
      <w:r w:rsidR="007C5D13" w:rsidRPr="007E4DA1">
        <w:rPr>
          <w:szCs w:val="22"/>
        </w:rPr>
        <w:t>GS</w:t>
      </w:r>
      <w:r w:rsidRPr="007E4DA1">
        <w:rPr>
          <w:szCs w:val="22"/>
        </w:rPr>
        <w:t> </w:t>
      </w:r>
      <w:r w:rsidR="007C5D13" w:rsidRPr="007E4DA1">
        <w:rPr>
          <w:szCs w:val="22"/>
        </w:rPr>
        <w:t>UFU</w:t>
      </w:r>
      <w:r w:rsidRPr="007E4DA1">
        <w:rPr>
          <w:szCs w:val="22"/>
        </w:rPr>
        <w:t>”</w:t>
      </w:r>
      <w:r w:rsidR="007C5D13" w:rsidRPr="007E4DA1">
        <w:rPr>
          <w:szCs w:val="22"/>
        </w:rPr>
        <w:t xml:space="preserve"> </w:t>
      </w:r>
      <w:r w:rsidRPr="007E4DA1">
        <w:t xml:space="preserve">i „50” </w:t>
      </w:r>
      <w:r w:rsidR="003760A6" w:rsidRPr="007E4DA1">
        <w:t xml:space="preserve">po </w:t>
      </w:r>
      <w:r w:rsidRPr="007E4DA1">
        <w:t>jednej stronie.</w:t>
      </w:r>
    </w:p>
    <w:p w14:paraId="06FEFDC4" w14:textId="77777777" w:rsidR="00041A08" w:rsidRPr="00041A08" w:rsidRDefault="00041A08" w:rsidP="00DE1596">
      <w:pPr>
        <w:numPr>
          <w:ilvl w:val="12"/>
          <w:numId w:val="0"/>
        </w:numPr>
        <w:ind w:right="-2"/>
      </w:pPr>
    </w:p>
    <w:p w14:paraId="5111D68C" w14:textId="77777777" w:rsidR="00662C7F" w:rsidRPr="007E4DA1" w:rsidRDefault="00662C7F" w:rsidP="00DE1596">
      <w:pPr>
        <w:ind w:left="0" w:firstLine="0"/>
        <w:rPr>
          <w:szCs w:val="22"/>
        </w:rPr>
      </w:pPr>
      <w:r w:rsidRPr="007E4DA1">
        <w:t>Revolade 75 mg tabletki powlekane: okrągłe, obustronnie wypukłe,</w:t>
      </w:r>
      <w:r w:rsidRPr="007E4DA1">
        <w:rPr>
          <w:szCs w:val="22"/>
        </w:rPr>
        <w:t xml:space="preserve"> różowe</w:t>
      </w:r>
      <w:r w:rsidRPr="007E4DA1">
        <w:t xml:space="preserve"> tabletki z wytłoczonym </w:t>
      </w:r>
      <w:r w:rsidR="00CC77ED" w:rsidRPr="007E4DA1">
        <w:t>oznakowani</w:t>
      </w:r>
      <w:r w:rsidRPr="007E4DA1">
        <w:t>em</w:t>
      </w:r>
      <w:r w:rsidRPr="007E4DA1">
        <w:rPr>
          <w:szCs w:val="22"/>
        </w:rPr>
        <w:t xml:space="preserve"> „GS FFS” </w:t>
      </w:r>
      <w:r w:rsidRPr="007E4DA1">
        <w:t>i „75” po jednej stronie.</w:t>
      </w:r>
    </w:p>
    <w:p w14:paraId="7F59EB91" w14:textId="77777777" w:rsidR="00041A08" w:rsidRPr="00041A08" w:rsidRDefault="00041A08" w:rsidP="00DE1596">
      <w:pPr>
        <w:numPr>
          <w:ilvl w:val="12"/>
          <w:numId w:val="0"/>
        </w:numPr>
        <w:ind w:right="-2"/>
      </w:pPr>
    </w:p>
    <w:p w14:paraId="7716D823" w14:textId="77777777" w:rsidR="007C5D13" w:rsidRPr="007E4DA1" w:rsidRDefault="006A7F46" w:rsidP="00DE1596">
      <w:pPr>
        <w:ind w:left="0" w:firstLine="0"/>
      </w:pPr>
      <w:r w:rsidRPr="007E4DA1">
        <w:t>Tabletki</w:t>
      </w:r>
      <w:r w:rsidR="00BC0BEA" w:rsidRPr="007E4DA1">
        <w:t xml:space="preserve"> dostarczane są w aluminiowych blistrach zapakowanych w tekturowe pudełko zawierające 14 lub 28</w:t>
      </w:r>
      <w:r w:rsidR="00E10279" w:rsidRPr="007E4DA1">
        <w:t> </w:t>
      </w:r>
      <w:r w:rsidR="00BC0BEA" w:rsidRPr="007E4DA1">
        <w:t>tabletek powlekanych, albo w opakowania zbiorcze zawierające 84</w:t>
      </w:r>
      <w:r w:rsidR="00E0223F" w:rsidRPr="007E4DA1">
        <w:t> </w:t>
      </w:r>
      <w:r w:rsidR="00C0020B" w:rsidRPr="007E4DA1">
        <w:t xml:space="preserve">tabletki powlekane </w:t>
      </w:r>
      <w:r w:rsidR="00BC0BEA" w:rsidRPr="007E4DA1">
        <w:t>(3</w:t>
      </w:r>
      <w:r w:rsidR="00C0020B" w:rsidRPr="007E4DA1">
        <w:t> </w:t>
      </w:r>
      <w:r w:rsidR="00BC0BEA" w:rsidRPr="007E4DA1">
        <w:t>opakowania po 28).</w:t>
      </w:r>
    </w:p>
    <w:p w14:paraId="426EB066" w14:textId="77777777" w:rsidR="00BC0BEA" w:rsidRPr="007E4DA1" w:rsidRDefault="00BC0BEA" w:rsidP="00DE1596">
      <w:pPr>
        <w:ind w:left="0" w:firstLine="0"/>
      </w:pPr>
    </w:p>
    <w:p w14:paraId="2B72124C" w14:textId="77777777" w:rsidR="00BC0BEA" w:rsidRPr="007E4DA1" w:rsidRDefault="00BC0BEA" w:rsidP="00DE1596">
      <w:pPr>
        <w:ind w:left="0" w:firstLine="0"/>
      </w:pPr>
      <w:r w:rsidRPr="007E4DA1">
        <w:t>Nie wszystkie rodzaje opakowań m</w:t>
      </w:r>
      <w:r w:rsidR="00451324" w:rsidRPr="007E4DA1">
        <w:t>uszą</w:t>
      </w:r>
      <w:r w:rsidRPr="007E4DA1">
        <w:t xml:space="preserve"> </w:t>
      </w:r>
      <w:r w:rsidR="00C0020B" w:rsidRPr="007E4DA1">
        <w:t>być</w:t>
      </w:r>
      <w:r w:rsidRPr="007E4DA1">
        <w:t xml:space="preserve"> dostępne w danym kraju.</w:t>
      </w:r>
    </w:p>
    <w:p w14:paraId="5234ADE6" w14:textId="77777777" w:rsidR="007C5D13" w:rsidRPr="007E4DA1" w:rsidRDefault="007C5D13" w:rsidP="00DE1596">
      <w:pPr>
        <w:ind w:left="0" w:firstLine="0"/>
      </w:pPr>
    </w:p>
    <w:p w14:paraId="7C2C00A7" w14:textId="77777777" w:rsidR="00041A08" w:rsidRPr="00041A08" w:rsidRDefault="005B4BC8" w:rsidP="00DE1596">
      <w:pPr>
        <w:keepNext/>
        <w:ind w:left="0" w:firstLine="0"/>
        <w:rPr>
          <w:lang w:val="en-US"/>
        </w:rPr>
      </w:pPr>
      <w:proofErr w:type="spellStart"/>
      <w:r w:rsidRPr="007E4DA1">
        <w:rPr>
          <w:b/>
          <w:lang w:val="en-US"/>
        </w:rPr>
        <w:t>Podmiot</w:t>
      </w:r>
      <w:proofErr w:type="spellEnd"/>
      <w:r w:rsidRPr="007E4DA1">
        <w:rPr>
          <w:b/>
          <w:lang w:val="en-US"/>
        </w:rPr>
        <w:t xml:space="preserve"> </w:t>
      </w:r>
      <w:proofErr w:type="spellStart"/>
      <w:r w:rsidRPr="007E4DA1">
        <w:rPr>
          <w:b/>
          <w:lang w:val="en-US"/>
        </w:rPr>
        <w:t>odpowiedzialny</w:t>
      </w:r>
      <w:proofErr w:type="spellEnd"/>
    </w:p>
    <w:p w14:paraId="02870074" w14:textId="5C59CD76" w:rsidR="00EE79C2" w:rsidRPr="007E4DA1" w:rsidRDefault="00EE79C2" w:rsidP="00DE1596">
      <w:pPr>
        <w:keepNext/>
        <w:rPr>
          <w:lang w:val="en-US"/>
        </w:rPr>
      </w:pPr>
      <w:r w:rsidRPr="007E4DA1">
        <w:rPr>
          <w:lang w:val="en-US"/>
        </w:rPr>
        <w:t xml:space="preserve">Novartis </w:t>
      </w:r>
      <w:proofErr w:type="spellStart"/>
      <w:r w:rsidRPr="007E4DA1">
        <w:rPr>
          <w:lang w:val="en-US"/>
        </w:rPr>
        <w:t>Europharm</w:t>
      </w:r>
      <w:proofErr w:type="spellEnd"/>
      <w:r w:rsidRPr="007E4DA1">
        <w:rPr>
          <w:lang w:val="en-US"/>
        </w:rPr>
        <w:t xml:space="preserve"> Limited</w:t>
      </w:r>
    </w:p>
    <w:p w14:paraId="102923B5" w14:textId="77777777" w:rsidR="0091544F" w:rsidRPr="007E4DA1" w:rsidRDefault="0091544F" w:rsidP="00DE1596">
      <w:pPr>
        <w:keepNext/>
        <w:rPr>
          <w:color w:val="000000"/>
          <w:lang w:val="en-US"/>
        </w:rPr>
      </w:pPr>
      <w:r w:rsidRPr="007E4DA1">
        <w:rPr>
          <w:color w:val="000000"/>
          <w:lang w:val="en-US"/>
        </w:rPr>
        <w:t>Vista Building</w:t>
      </w:r>
    </w:p>
    <w:p w14:paraId="154B87C3" w14:textId="77777777" w:rsidR="0091544F" w:rsidRPr="007E4DA1" w:rsidRDefault="0091544F" w:rsidP="00DE1596">
      <w:pPr>
        <w:keepNext/>
        <w:rPr>
          <w:color w:val="000000"/>
          <w:lang w:val="en-US"/>
        </w:rPr>
      </w:pPr>
      <w:r w:rsidRPr="007E4DA1">
        <w:rPr>
          <w:color w:val="000000"/>
          <w:lang w:val="en-US"/>
        </w:rPr>
        <w:t>Elm Park, Merrion Road</w:t>
      </w:r>
    </w:p>
    <w:p w14:paraId="0DA40661" w14:textId="77777777" w:rsidR="0091544F" w:rsidRPr="007E4DA1" w:rsidRDefault="0091544F" w:rsidP="00DE1596">
      <w:pPr>
        <w:keepNext/>
        <w:rPr>
          <w:color w:val="000000"/>
        </w:rPr>
      </w:pPr>
      <w:r w:rsidRPr="007E4DA1">
        <w:rPr>
          <w:color w:val="000000"/>
        </w:rPr>
        <w:t>Dublin 4</w:t>
      </w:r>
    </w:p>
    <w:p w14:paraId="6895761A" w14:textId="77777777" w:rsidR="002A5DC5" w:rsidRPr="007E4DA1" w:rsidRDefault="0091544F" w:rsidP="00DE1596">
      <w:pPr>
        <w:rPr>
          <w:lang w:val="pt-BR"/>
        </w:rPr>
      </w:pPr>
      <w:r w:rsidRPr="007E4DA1">
        <w:rPr>
          <w:color w:val="000000"/>
          <w:lang w:val="pt-BR"/>
        </w:rPr>
        <w:t>Irlandia</w:t>
      </w:r>
    </w:p>
    <w:p w14:paraId="48E0AC7F" w14:textId="77777777" w:rsidR="005B4BC8" w:rsidRPr="007E4DA1" w:rsidRDefault="005B4BC8" w:rsidP="00DE1596">
      <w:pPr>
        <w:ind w:left="0" w:firstLine="0"/>
        <w:rPr>
          <w:lang w:val="pt-BR"/>
        </w:rPr>
      </w:pPr>
    </w:p>
    <w:p w14:paraId="6E4650F0" w14:textId="77777777" w:rsidR="002A5DC5" w:rsidRPr="007E4DA1" w:rsidRDefault="002A5DC5" w:rsidP="00DE1596">
      <w:pPr>
        <w:keepNext/>
        <w:numPr>
          <w:ilvl w:val="12"/>
          <w:numId w:val="0"/>
        </w:numPr>
        <w:rPr>
          <w:lang w:val="pt-BR"/>
        </w:rPr>
      </w:pPr>
      <w:r w:rsidRPr="007E4DA1">
        <w:rPr>
          <w:b/>
          <w:lang w:val="pt-BR"/>
        </w:rPr>
        <w:t>Wytwórca</w:t>
      </w:r>
    </w:p>
    <w:p w14:paraId="7655B37E" w14:textId="77777777" w:rsidR="00FA7996" w:rsidRPr="007E4DA1" w:rsidRDefault="00FA7996" w:rsidP="00DE1596">
      <w:pPr>
        <w:keepNext/>
        <w:rPr>
          <w:bCs/>
          <w:szCs w:val="22"/>
        </w:rPr>
      </w:pPr>
      <w:r w:rsidRPr="007E4DA1">
        <w:rPr>
          <w:bCs/>
          <w:szCs w:val="22"/>
        </w:rPr>
        <w:t>Lek d.d</w:t>
      </w:r>
    </w:p>
    <w:p w14:paraId="50D3E1C8" w14:textId="77777777" w:rsidR="00FA7996" w:rsidRPr="00416C42" w:rsidRDefault="00FA7996" w:rsidP="00DE1596">
      <w:pPr>
        <w:keepNext/>
        <w:rPr>
          <w:bCs/>
          <w:szCs w:val="22"/>
        </w:rPr>
      </w:pPr>
      <w:r w:rsidRPr="00416C42">
        <w:rPr>
          <w:bCs/>
          <w:szCs w:val="22"/>
        </w:rPr>
        <w:t>Verovskova Ulica 57</w:t>
      </w:r>
    </w:p>
    <w:p w14:paraId="6B899CFB" w14:textId="77777777" w:rsidR="00FA7996" w:rsidRPr="00416C42" w:rsidRDefault="00FA7996" w:rsidP="00DE1596">
      <w:pPr>
        <w:keepNext/>
        <w:rPr>
          <w:bCs/>
          <w:szCs w:val="22"/>
        </w:rPr>
      </w:pPr>
      <w:r w:rsidRPr="00416C42">
        <w:rPr>
          <w:bCs/>
          <w:szCs w:val="22"/>
        </w:rPr>
        <w:t>Ljubljana 1526</w:t>
      </w:r>
    </w:p>
    <w:p w14:paraId="19583588" w14:textId="77777777" w:rsidR="00FA7996" w:rsidRPr="00416C42" w:rsidRDefault="00FA7996" w:rsidP="00DE1596">
      <w:pPr>
        <w:rPr>
          <w:bCs/>
          <w:szCs w:val="22"/>
        </w:rPr>
      </w:pPr>
      <w:r w:rsidRPr="00416C42">
        <w:rPr>
          <w:bCs/>
          <w:szCs w:val="22"/>
        </w:rPr>
        <w:t>Słowenia</w:t>
      </w:r>
    </w:p>
    <w:p w14:paraId="24180031" w14:textId="77777777" w:rsidR="00074D4A" w:rsidRPr="00416C42" w:rsidRDefault="00074D4A" w:rsidP="00DE1596">
      <w:pPr>
        <w:rPr>
          <w:bCs/>
          <w:szCs w:val="22"/>
        </w:rPr>
      </w:pPr>
    </w:p>
    <w:p w14:paraId="47CC2799" w14:textId="77777777" w:rsidR="00074D4A" w:rsidRPr="00B62038" w:rsidRDefault="00074D4A" w:rsidP="00DE1596">
      <w:pPr>
        <w:keepNext/>
        <w:tabs>
          <w:tab w:val="left" w:pos="720"/>
        </w:tabs>
        <w:rPr>
          <w:bCs/>
          <w:szCs w:val="22"/>
          <w:shd w:val="pct15" w:color="auto" w:fill="auto"/>
          <w:lang w:val="es-ES"/>
        </w:rPr>
      </w:pPr>
      <w:r w:rsidRPr="00B62038">
        <w:rPr>
          <w:bCs/>
          <w:szCs w:val="22"/>
          <w:shd w:val="pct15" w:color="auto" w:fill="auto"/>
          <w:lang w:val="es-ES"/>
        </w:rPr>
        <w:t xml:space="preserve">Novartis </w:t>
      </w:r>
      <w:proofErr w:type="spellStart"/>
      <w:r w:rsidRPr="00B62038">
        <w:rPr>
          <w:bCs/>
          <w:szCs w:val="22"/>
          <w:shd w:val="pct15" w:color="auto" w:fill="auto"/>
          <w:lang w:val="es-ES"/>
        </w:rPr>
        <w:t>Pharmaceutical</w:t>
      </w:r>
      <w:proofErr w:type="spellEnd"/>
      <w:r w:rsidRPr="00B62038">
        <w:rPr>
          <w:bCs/>
          <w:szCs w:val="22"/>
          <w:shd w:val="pct15" w:color="auto" w:fill="auto"/>
          <w:lang w:val="es-ES"/>
        </w:rPr>
        <w:t xml:space="preserve"> </w:t>
      </w:r>
      <w:proofErr w:type="spellStart"/>
      <w:r w:rsidRPr="00B62038">
        <w:rPr>
          <w:bCs/>
          <w:szCs w:val="22"/>
          <w:shd w:val="pct15" w:color="auto" w:fill="auto"/>
          <w:lang w:val="es-ES"/>
        </w:rPr>
        <w:t>Manufacturing</w:t>
      </w:r>
      <w:proofErr w:type="spellEnd"/>
      <w:r w:rsidRPr="00B62038">
        <w:rPr>
          <w:bCs/>
          <w:szCs w:val="22"/>
          <w:shd w:val="pct15" w:color="auto" w:fill="auto"/>
          <w:lang w:val="es-ES"/>
        </w:rPr>
        <w:t xml:space="preserve"> LLC</w:t>
      </w:r>
    </w:p>
    <w:p w14:paraId="7E180393" w14:textId="77777777" w:rsidR="00074D4A" w:rsidRPr="00B62038" w:rsidRDefault="00074D4A" w:rsidP="00DE1596">
      <w:pPr>
        <w:keepNext/>
        <w:tabs>
          <w:tab w:val="left" w:pos="720"/>
        </w:tabs>
        <w:rPr>
          <w:bCs/>
          <w:szCs w:val="22"/>
          <w:shd w:val="pct15" w:color="auto" w:fill="auto"/>
          <w:lang w:val="es-ES"/>
        </w:rPr>
      </w:pPr>
      <w:proofErr w:type="spellStart"/>
      <w:r w:rsidRPr="00B62038">
        <w:rPr>
          <w:bCs/>
          <w:szCs w:val="22"/>
          <w:shd w:val="pct15" w:color="auto" w:fill="auto"/>
          <w:lang w:val="es-ES"/>
        </w:rPr>
        <w:t>Verovskova</w:t>
      </w:r>
      <w:proofErr w:type="spellEnd"/>
      <w:r w:rsidRPr="00B62038">
        <w:rPr>
          <w:bCs/>
          <w:szCs w:val="22"/>
          <w:shd w:val="pct15" w:color="auto" w:fill="auto"/>
          <w:lang w:val="es-ES"/>
        </w:rPr>
        <w:t xml:space="preserve"> </w:t>
      </w:r>
      <w:proofErr w:type="spellStart"/>
      <w:r w:rsidRPr="00B62038">
        <w:rPr>
          <w:bCs/>
          <w:szCs w:val="22"/>
          <w:shd w:val="pct15" w:color="auto" w:fill="auto"/>
          <w:lang w:val="es-ES"/>
        </w:rPr>
        <w:t>Ulica</w:t>
      </w:r>
      <w:proofErr w:type="spellEnd"/>
      <w:r w:rsidRPr="00B62038">
        <w:rPr>
          <w:bCs/>
          <w:szCs w:val="22"/>
          <w:shd w:val="pct15" w:color="auto" w:fill="auto"/>
          <w:lang w:val="es-ES"/>
        </w:rPr>
        <w:t xml:space="preserve"> 57</w:t>
      </w:r>
    </w:p>
    <w:p w14:paraId="7A4E2D4A" w14:textId="77777777" w:rsidR="00074D4A" w:rsidRPr="00B62038" w:rsidRDefault="00074D4A" w:rsidP="00DE1596">
      <w:pPr>
        <w:keepNext/>
        <w:tabs>
          <w:tab w:val="left" w:pos="720"/>
        </w:tabs>
        <w:rPr>
          <w:bCs/>
          <w:szCs w:val="22"/>
          <w:shd w:val="pct15" w:color="auto" w:fill="auto"/>
          <w:lang w:val="es-ES"/>
        </w:rPr>
      </w:pPr>
      <w:proofErr w:type="spellStart"/>
      <w:r w:rsidRPr="00B62038">
        <w:rPr>
          <w:bCs/>
          <w:szCs w:val="22"/>
          <w:shd w:val="pct15" w:color="auto" w:fill="auto"/>
          <w:lang w:val="es-ES"/>
        </w:rPr>
        <w:t>Ljubljana</w:t>
      </w:r>
      <w:proofErr w:type="spellEnd"/>
      <w:r w:rsidRPr="00B62038">
        <w:rPr>
          <w:bCs/>
          <w:szCs w:val="22"/>
          <w:shd w:val="pct15" w:color="auto" w:fill="auto"/>
          <w:lang w:val="es-ES"/>
        </w:rPr>
        <w:t xml:space="preserve"> 1000</w:t>
      </w:r>
    </w:p>
    <w:p w14:paraId="034AC5C0" w14:textId="77777777" w:rsidR="00F727F1" w:rsidRPr="00F727F1" w:rsidRDefault="00F727F1" w:rsidP="00DE1596">
      <w:pPr>
        <w:rPr>
          <w:bCs/>
          <w:szCs w:val="22"/>
          <w:shd w:val="pct15" w:color="auto" w:fill="auto"/>
        </w:rPr>
      </w:pPr>
      <w:r w:rsidRPr="00F727F1">
        <w:rPr>
          <w:bCs/>
          <w:szCs w:val="22"/>
          <w:shd w:val="pct15" w:color="auto" w:fill="auto"/>
        </w:rPr>
        <w:t>Słowenia</w:t>
      </w:r>
    </w:p>
    <w:p w14:paraId="680A6F0E" w14:textId="77777777" w:rsidR="00FA7996" w:rsidRPr="007E4DA1" w:rsidRDefault="00FA7996" w:rsidP="00DE1596">
      <w:pPr>
        <w:rPr>
          <w:bCs/>
          <w:szCs w:val="22"/>
        </w:rPr>
      </w:pPr>
    </w:p>
    <w:p w14:paraId="1A9BE7FF" w14:textId="77777777" w:rsidR="008B4CA4" w:rsidRPr="007E4DA1" w:rsidRDefault="008B4CA4" w:rsidP="00DE1596">
      <w:pPr>
        <w:keepNext/>
        <w:numPr>
          <w:ilvl w:val="12"/>
          <w:numId w:val="0"/>
        </w:numPr>
        <w:rPr>
          <w:szCs w:val="22"/>
          <w:shd w:val="pct15" w:color="auto" w:fill="auto"/>
          <w:lang w:val="pt-BR"/>
        </w:rPr>
      </w:pPr>
      <w:r w:rsidRPr="007E4DA1">
        <w:rPr>
          <w:szCs w:val="22"/>
          <w:shd w:val="pct15" w:color="auto" w:fill="auto"/>
          <w:lang w:val="pt-BR"/>
        </w:rPr>
        <w:t>Novartis Farmacéutica SA</w:t>
      </w:r>
    </w:p>
    <w:p w14:paraId="4568DDB2" w14:textId="77777777" w:rsidR="006D31E4" w:rsidRPr="007E4DA1" w:rsidRDefault="006D31E4" w:rsidP="00DE1596">
      <w:pPr>
        <w:keepNext/>
        <w:rPr>
          <w:bCs/>
          <w:szCs w:val="22"/>
          <w:shd w:val="pct15" w:color="auto" w:fill="auto"/>
          <w:lang w:val="es-ES"/>
        </w:rPr>
      </w:pPr>
      <w:r w:rsidRPr="007E4DA1">
        <w:rPr>
          <w:bCs/>
          <w:szCs w:val="22"/>
          <w:shd w:val="pct15" w:color="auto" w:fill="auto"/>
          <w:lang w:val="es-ES"/>
        </w:rPr>
        <w:t xml:space="preserve">Gran </w:t>
      </w:r>
      <w:proofErr w:type="spellStart"/>
      <w:r w:rsidRPr="007E4DA1">
        <w:rPr>
          <w:bCs/>
          <w:szCs w:val="22"/>
          <w:shd w:val="pct15" w:color="auto" w:fill="auto"/>
          <w:lang w:val="es-ES"/>
        </w:rPr>
        <w:t>Via</w:t>
      </w:r>
      <w:proofErr w:type="spellEnd"/>
      <w:r w:rsidRPr="007E4DA1">
        <w:rPr>
          <w:bCs/>
          <w:szCs w:val="22"/>
          <w:shd w:val="pct15" w:color="auto" w:fill="auto"/>
          <w:lang w:val="es-ES"/>
        </w:rPr>
        <w:t xml:space="preserve"> de les Corts Catalanes, 764</w:t>
      </w:r>
    </w:p>
    <w:p w14:paraId="630DD0DA" w14:textId="77777777" w:rsidR="006D31E4" w:rsidRPr="007E4DA1" w:rsidRDefault="006D31E4" w:rsidP="00DE1596">
      <w:pPr>
        <w:keepNext/>
        <w:rPr>
          <w:bCs/>
          <w:szCs w:val="22"/>
          <w:shd w:val="pct15" w:color="auto" w:fill="auto"/>
          <w:lang w:val="es-ES"/>
        </w:rPr>
      </w:pPr>
      <w:r w:rsidRPr="007E4DA1">
        <w:rPr>
          <w:bCs/>
          <w:szCs w:val="22"/>
          <w:shd w:val="pct15" w:color="auto" w:fill="auto"/>
          <w:lang w:val="es-ES"/>
        </w:rPr>
        <w:t>08013 Barcelona</w:t>
      </w:r>
    </w:p>
    <w:p w14:paraId="22843B99" w14:textId="77777777" w:rsidR="008B4CA4" w:rsidRPr="007E4DA1" w:rsidRDefault="008B4CA4" w:rsidP="00DE1596">
      <w:pPr>
        <w:numPr>
          <w:ilvl w:val="12"/>
          <w:numId w:val="0"/>
        </w:numPr>
        <w:rPr>
          <w:szCs w:val="22"/>
          <w:shd w:val="pct15" w:color="auto" w:fill="auto"/>
          <w:lang w:val="it-IT"/>
        </w:rPr>
      </w:pPr>
      <w:r w:rsidRPr="007E4DA1">
        <w:rPr>
          <w:szCs w:val="22"/>
          <w:shd w:val="pct15" w:color="auto" w:fill="auto"/>
          <w:lang w:val="it-IT"/>
        </w:rPr>
        <w:t>Hiszpania</w:t>
      </w:r>
    </w:p>
    <w:p w14:paraId="45EF13BB" w14:textId="77777777" w:rsidR="008B4CA4" w:rsidRPr="007E4DA1" w:rsidRDefault="008B4CA4" w:rsidP="00DE1596">
      <w:pPr>
        <w:numPr>
          <w:ilvl w:val="12"/>
          <w:numId w:val="0"/>
        </w:numPr>
        <w:rPr>
          <w:szCs w:val="22"/>
          <w:lang w:val="it-IT"/>
        </w:rPr>
      </w:pPr>
    </w:p>
    <w:p w14:paraId="7FD4BAC8" w14:textId="203C00FE" w:rsidR="008B4CA4" w:rsidRPr="007E4DA1" w:rsidDel="004C64BF" w:rsidRDefault="00C44A4D" w:rsidP="00DE1596">
      <w:pPr>
        <w:keepNext/>
        <w:numPr>
          <w:ilvl w:val="12"/>
          <w:numId w:val="0"/>
        </w:numPr>
        <w:ind w:right="-2"/>
        <w:rPr>
          <w:del w:id="35" w:author="Author"/>
          <w:rFonts w:eastAsia="Calibri"/>
          <w:noProof/>
          <w:color w:val="000000"/>
          <w:szCs w:val="22"/>
          <w:shd w:val="pct15" w:color="auto" w:fill="auto"/>
          <w:lang w:val="it-IT" w:eastAsia="en-US"/>
        </w:rPr>
      </w:pPr>
      <w:del w:id="36" w:author="Author">
        <w:r w:rsidRPr="007E4DA1" w:rsidDel="004C64BF">
          <w:rPr>
            <w:rFonts w:eastAsia="Calibri"/>
            <w:noProof/>
            <w:color w:val="000000"/>
            <w:szCs w:val="22"/>
            <w:shd w:val="pct15" w:color="auto" w:fill="auto"/>
            <w:lang w:val="it-IT" w:eastAsia="en-US"/>
          </w:rPr>
          <w:delText>Novartis Pharma GmbH</w:delText>
        </w:r>
      </w:del>
    </w:p>
    <w:p w14:paraId="1F0E804C" w14:textId="22BC3680" w:rsidR="008B4CA4" w:rsidRPr="007E4DA1" w:rsidDel="004C64BF" w:rsidRDefault="00C44A4D" w:rsidP="00DE1596">
      <w:pPr>
        <w:keepNext/>
        <w:numPr>
          <w:ilvl w:val="12"/>
          <w:numId w:val="0"/>
        </w:numPr>
        <w:ind w:right="-2"/>
        <w:rPr>
          <w:del w:id="37" w:author="Author"/>
          <w:rFonts w:eastAsia="Calibri"/>
          <w:noProof/>
          <w:color w:val="000000"/>
          <w:szCs w:val="22"/>
          <w:shd w:val="pct15" w:color="auto" w:fill="auto"/>
          <w:lang w:val="pt-BR" w:eastAsia="en-US"/>
        </w:rPr>
      </w:pPr>
      <w:del w:id="38" w:author="Author">
        <w:r w:rsidRPr="007E4DA1" w:rsidDel="004C64BF">
          <w:rPr>
            <w:rFonts w:eastAsia="Calibri"/>
            <w:noProof/>
            <w:color w:val="000000"/>
            <w:szCs w:val="22"/>
            <w:shd w:val="pct15" w:color="auto" w:fill="auto"/>
            <w:lang w:val="pt-BR" w:eastAsia="en-US"/>
          </w:rPr>
          <w:delText>Roonstraße 25</w:delText>
        </w:r>
      </w:del>
    </w:p>
    <w:p w14:paraId="0A5C9DFB" w14:textId="357B03DD" w:rsidR="008B4CA4" w:rsidRPr="007E4DA1" w:rsidDel="004C64BF" w:rsidRDefault="00C44A4D" w:rsidP="00DE1596">
      <w:pPr>
        <w:keepNext/>
        <w:numPr>
          <w:ilvl w:val="12"/>
          <w:numId w:val="0"/>
        </w:numPr>
        <w:ind w:right="-2"/>
        <w:rPr>
          <w:del w:id="39" w:author="Author"/>
          <w:rFonts w:eastAsia="Calibri"/>
          <w:noProof/>
          <w:color w:val="000000"/>
          <w:szCs w:val="22"/>
          <w:shd w:val="pct15" w:color="auto" w:fill="auto"/>
          <w:lang w:val="pt-BR" w:eastAsia="en-US"/>
        </w:rPr>
      </w:pPr>
      <w:del w:id="40" w:author="Author">
        <w:r w:rsidRPr="007E4DA1" w:rsidDel="004C64BF">
          <w:rPr>
            <w:rFonts w:eastAsia="Calibri"/>
            <w:noProof/>
            <w:color w:val="000000"/>
            <w:szCs w:val="22"/>
            <w:shd w:val="pct15" w:color="auto" w:fill="auto"/>
            <w:lang w:val="pt-BR" w:eastAsia="en-US"/>
          </w:rPr>
          <w:delText>D-90429 Norymberga</w:delText>
        </w:r>
      </w:del>
    </w:p>
    <w:p w14:paraId="1E256CC5" w14:textId="575E8772" w:rsidR="00C44A4D" w:rsidRPr="007E4DA1" w:rsidDel="004C64BF" w:rsidRDefault="00C44A4D" w:rsidP="00DE1596">
      <w:pPr>
        <w:numPr>
          <w:ilvl w:val="12"/>
          <w:numId w:val="0"/>
        </w:numPr>
        <w:ind w:right="-2"/>
        <w:rPr>
          <w:del w:id="41" w:author="Author"/>
          <w:color w:val="000000"/>
          <w:szCs w:val="22"/>
          <w:lang w:val="pt-BR"/>
        </w:rPr>
      </w:pPr>
      <w:del w:id="42" w:author="Author">
        <w:r w:rsidRPr="007E4DA1" w:rsidDel="004C64BF">
          <w:rPr>
            <w:rFonts w:eastAsia="Calibri"/>
            <w:noProof/>
            <w:color w:val="000000"/>
            <w:szCs w:val="22"/>
            <w:shd w:val="pct15" w:color="auto" w:fill="auto"/>
            <w:lang w:val="pt-BR" w:eastAsia="en-US"/>
          </w:rPr>
          <w:delText>Niemcy</w:delText>
        </w:r>
      </w:del>
    </w:p>
    <w:p w14:paraId="1CCA7917" w14:textId="607F0292" w:rsidR="002A5DC5" w:rsidRPr="007E4DA1" w:rsidDel="004C64BF" w:rsidRDefault="002A5DC5" w:rsidP="00DE1596">
      <w:pPr>
        <w:numPr>
          <w:ilvl w:val="12"/>
          <w:numId w:val="0"/>
        </w:numPr>
        <w:rPr>
          <w:del w:id="43" w:author="Author"/>
          <w:lang w:val="pt-BR"/>
        </w:rPr>
      </w:pPr>
    </w:p>
    <w:p w14:paraId="1E9431B0" w14:textId="77777777" w:rsidR="008B4CA4" w:rsidRPr="007E4DA1" w:rsidRDefault="008B4CA4" w:rsidP="00DE1596">
      <w:pPr>
        <w:keepNext/>
        <w:rPr>
          <w:bCs/>
          <w:szCs w:val="22"/>
          <w:shd w:val="pct15" w:color="auto" w:fill="auto"/>
          <w:lang w:val="pt-BR"/>
        </w:rPr>
      </w:pPr>
      <w:r w:rsidRPr="007E4DA1">
        <w:rPr>
          <w:bCs/>
          <w:szCs w:val="22"/>
          <w:shd w:val="pct15" w:color="auto" w:fill="auto"/>
          <w:lang w:val="pt-BR"/>
        </w:rPr>
        <w:t>Glaxo Wellcome S.A.</w:t>
      </w:r>
    </w:p>
    <w:p w14:paraId="3642E79B" w14:textId="77777777" w:rsidR="008B4CA4" w:rsidRPr="007E4DA1" w:rsidRDefault="008B4CA4" w:rsidP="00DE1596">
      <w:pPr>
        <w:keepNext/>
        <w:rPr>
          <w:shd w:val="pct15" w:color="auto" w:fill="auto"/>
          <w:lang w:val="pt-BR"/>
        </w:rPr>
      </w:pPr>
      <w:r w:rsidRPr="007E4DA1">
        <w:rPr>
          <w:shd w:val="pct15" w:color="auto" w:fill="auto"/>
          <w:lang w:val="pt-BR"/>
        </w:rPr>
        <w:t>Avenida de Extremadura 3</w:t>
      </w:r>
    </w:p>
    <w:p w14:paraId="3FBC07C4" w14:textId="77777777" w:rsidR="008B4CA4" w:rsidRPr="007E4DA1" w:rsidRDefault="008B4CA4" w:rsidP="00DE1596">
      <w:pPr>
        <w:keepNext/>
        <w:rPr>
          <w:shd w:val="pct15" w:color="auto" w:fill="auto"/>
          <w:lang w:val="it-IT"/>
        </w:rPr>
      </w:pPr>
      <w:r w:rsidRPr="007E4DA1">
        <w:rPr>
          <w:shd w:val="pct15" w:color="auto" w:fill="auto"/>
          <w:lang w:val="it-IT"/>
        </w:rPr>
        <w:t>09400 Aranda de Duero</w:t>
      </w:r>
    </w:p>
    <w:p w14:paraId="2B82B79B" w14:textId="77777777" w:rsidR="008B4CA4" w:rsidRPr="00416C42" w:rsidRDefault="008B4CA4" w:rsidP="00DE1596">
      <w:pPr>
        <w:keepNext/>
        <w:rPr>
          <w:shd w:val="pct15" w:color="auto" w:fill="auto"/>
        </w:rPr>
      </w:pPr>
      <w:r w:rsidRPr="00416C42">
        <w:rPr>
          <w:shd w:val="pct15" w:color="auto" w:fill="auto"/>
        </w:rPr>
        <w:t>Burgos</w:t>
      </w:r>
    </w:p>
    <w:p w14:paraId="50CA8123" w14:textId="77777777" w:rsidR="008B4CA4" w:rsidRPr="00416C42" w:rsidRDefault="008B4CA4" w:rsidP="00DE1596">
      <w:pPr>
        <w:rPr>
          <w:bCs/>
          <w:szCs w:val="22"/>
          <w:shd w:val="pct15" w:color="auto" w:fill="auto"/>
        </w:rPr>
      </w:pPr>
      <w:r w:rsidRPr="00416C42">
        <w:rPr>
          <w:bCs/>
          <w:szCs w:val="22"/>
          <w:shd w:val="pct15" w:color="auto" w:fill="auto"/>
        </w:rPr>
        <w:t>Hiszpania</w:t>
      </w:r>
    </w:p>
    <w:p w14:paraId="03C8EEAA" w14:textId="77777777" w:rsidR="008B4CA4" w:rsidRPr="00416C42" w:rsidRDefault="008B4CA4" w:rsidP="00DE1596">
      <w:pPr>
        <w:numPr>
          <w:ilvl w:val="12"/>
          <w:numId w:val="0"/>
        </w:numPr>
      </w:pPr>
    </w:p>
    <w:p w14:paraId="12E0EE65" w14:textId="77777777" w:rsidR="00F2699F" w:rsidRPr="00C60EE4" w:rsidRDefault="00F2699F" w:rsidP="00DE1596">
      <w:pPr>
        <w:keepNext/>
        <w:rPr>
          <w:rFonts w:eastAsia="Aptos"/>
          <w:szCs w:val="22"/>
          <w:shd w:val="pct15" w:color="auto" w:fill="auto"/>
          <w:lang w:val="de-CH" w:eastAsia="de-CH"/>
        </w:rPr>
      </w:pPr>
      <w:bookmarkStart w:id="44" w:name="_Hlk172709286"/>
      <w:r w:rsidRPr="00C60EE4">
        <w:rPr>
          <w:rFonts w:eastAsia="Aptos"/>
          <w:szCs w:val="22"/>
          <w:shd w:val="pct15" w:color="auto" w:fill="auto"/>
          <w:lang w:val="de-CH" w:eastAsia="de-CH"/>
        </w:rPr>
        <w:t>Novartis Pharma GmbH</w:t>
      </w:r>
    </w:p>
    <w:p w14:paraId="5A26541C" w14:textId="77777777" w:rsidR="00F2699F" w:rsidRPr="00C60EE4" w:rsidRDefault="00F2699F" w:rsidP="00DE1596">
      <w:pPr>
        <w:keepNext/>
        <w:rPr>
          <w:rFonts w:eastAsia="Aptos"/>
          <w:szCs w:val="22"/>
          <w:shd w:val="pct15" w:color="auto" w:fill="auto"/>
          <w:lang w:val="de-CH" w:eastAsia="de-CH"/>
        </w:rPr>
      </w:pPr>
      <w:r w:rsidRPr="00C60EE4">
        <w:rPr>
          <w:rFonts w:eastAsia="Aptos"/>
          <w:szCs w:val="22"/>
          <w:shd w:val="pct15" w:color="auto" w:fill="auto"/>
          <w:lang w:val="de-CH" w:eastAsia="de-CH"/>
        </w:rPr>
        <w:t>Sophie-Germain-Strasse 10</w:t>
      </w:r>
    </w:p>
    <w:p w14:paraId="0B759197" w14:textId="77777777" w:rsidR="00F2699F" w:rsidRPr="00C60EE4" w:rsidRDefault="00F2699F" w:rsidP="00DE1596">
      <w:pPr>
        <w:keepNext/>
        <w:rPr>
          <w:rFonts w:eastAsia="Aptos"/>
          <w:szCs w:val="22"/>
          <w:shd w:val="pct15" w:color="auto" w:fill="auto"/>
          <w:lang w:val="de-CH" w:eastAsia="de-CH"/>
        </w:rPr>
      </w:pPr>
      <w:r w:rsidRPr="00C60EE4">
        <w:rPr>
          <w:rFonts w:eastAsia="Aptos"/>
          <w:szCs w:val="22"/>
          <w:shd w:val="pct15" w:color="auto" w:fill="auto"/>
          <w:lang w:val="de-CH" w:eastAsia="de-CH"/>
        </w:rPr>
        <w:t>90443 Nürnberg</w:t>
      </w:r>
    </w:p>
    <w:p w14:paraId="77B0922F" w14:textId="385EF20C" w:rsidR="00F2699F" w:rsidRDefault="00F2699F" w:rsidP="00DE1596">
      <w:pPr>
        <w:numPr>
          <w:ilvl w:val="12"/>
          <w:numId w:val="0"/>
        </w:numPr>
      </w:pPr>
      <w:r w:rsidRPr="000E3ADA">
        <w:rPr>
          <w:szCs w:val="22"/>
          <w:shd w:val="pct15" w:color="auto" w:fill="auto"/>
          <w:lang w:val="de-CH"/>
        </w:rPr>
        <w:t>Niemcy</w:t>
      </w:r>
      <w:bookmarkEnd w:id="44"/>
    </w:p>
    <w:p w14:paraId="1E8F5082" w14:textId="77777777" w:rsidR="00F2699F" w:rsidRPr="007E4DA1" w:rsidRDefault="00F2699F" w:rsidP="00DE1596">
      <w:pPr>
        <w:numPr>
          <w:ilvl w:val="12"/>
          <w:numId w:val="0"/>
        </w:numPr>
      </w:pPr>
    </w:p>
    <w:p w14:paraId="4E78A628" w14:textId="3F2BC03E" w:rsidR="005B4BC8" w:rsidRPr="007E4DA1" w:rsidRDefault="005B4BC8" w:rsidP="00DE1596">
      <w:pPr>
        <w:keepNext/>
        <w:ind w:left="0" w:firstLine="0"/>
      </w:pPr>
      <w:r w:rsidRPr="007E4DA1">
        <w:t xml:space="preserve">W celu uzyskania bardziej szczegółowych informacji </w:t>
      </w:r>
      <w:r w:rsidR="00F542A5" w:rsidRPr="007E4DA1">
        <w:t xml:space="preserve">dotyczących tego leku </w:t>
      </w:r>
      <w:r w:rsidRPr="007E4DA1">
        <w:t xml:space="preserve">należy zwrócić się do </w:t>
      </w:r>
      <w:r w:rsidR="009A0FE4" w:rsidRPr="007E4DA1">
        <w:t xml:space="preserve">miejscowego </w:t>
      </w:r>
      <w:r w:rsidRPr="007E4DA1">
        <w:t>przedstawiciela podmiotu odpowiedzialnego:</w:t>
      </w:r>
    </w:p>
    <w:p w14:paraId="058B216E" w14:textId="77777777" w:rsidR="00EE79C2" w:rsidRPr="007E4DA1" w:rsidRDefault="00EE79C2" w:rsidP="00DE1596">
      <w:pPr>
        <w:keepNext/>
        <w:numPr>
          <w:ilvl w:val="12"/>
          <w:numId w:val="0"/>
        </w:numPr>
        <w:rPr>
          <w:noProof/>
          <w:szCs w:val="22"/>
        </w:rPr>
      </w:pPr>
    </w:p>
    <w:tbl>
      <w:tblPr>
        <w:tblW w:w="9356" w:type="dxa"/>
        <w:tblInd w:w="-34" w:type="dxa"/>
        <w:tblLayout w:type="fixed"/>
        <w:tblLook w:val="0000" w:firstRow="0" w:lastRow="0" w:firstColumn="0" w:lastColumn="0" w:noHBand="0" w:noVBand="0"/>
      </w:tblPr>
      <w:tblGrid>
        <w:gridCol w:w="4678"/>
        <w:gridCol w:w="4678"/>
      </w:tblGrid>
      <w:tr w:rsidR="00EE79C2" w:rsidRPr="007E4DA1" w14:paraId="684F477F" w14:textId="77777777" w:rsidTr="00291DF6">
        <w:trPr>
          <w:cantSplit/>
        </w:trPr>
        <w:tc>
          <w:tcPr>
            <w:tcW w:w="4678" w:type="dxa"/>
          </w:tcPr>
          <w:p w14:paraId="18D5BA85" w14:textId="77777777" w:rsidR="00041A08" w:rsidRPr="00041A08" w:rsidRDefault="00EE79C2" w:rsidP="00DE1596">
            <w:pPr>
              <w:rPr>
                <w:szCs w:val="22"/>
                <w:lang w:val="fr-BE"/>
              </w:rPr>
            </w:pPr>
            <w:proofErr w:type="spellStart"/>
            <w:r w:rsidRPr="007E4DA1">
              <w:rPr>
                <w:b/>
                <w:szCs w:val="22"/>
                <w:lang w:val="fr-BE"/>
              </w:rPr>
              <w:t>België</w:t>
            </w:r>
            <w:proofErr w:type="spellEnd"/>
            <w:r w:rsidRPr="007E4DA1">
              <w:rPr>
                <w:b/>
                <w:szCs w:val="22"/>
                <w:lang w:val="fr-BE"/>
              </w:rPr>
              <w:t>/Belgique/</w:t>
            </w:r>
            <w:proofErr w:type="spellStart"/>
            <w:r w:rsidRPr="007E4DA1">
              <w:rPr>
                <w:b/>
                <w:szCs w:val="22"/>
                <w:lang w:val="fr-BE"/>
              </w:rPr>
              <w:t>Belgien</w:t>
            </w:r>
            <w:proofErr w:type="spellEnd"/>
          </w:p>
          <w:p w14:paraId="792383AD" w14:textId="3F22103D" w:rsidR="00EE79C2" w:rsidRPr="007E4DA1" w:rsidRDefault="00EE79C2" w:rsidP="00DE1596">
            <w:pPr>
              <w:rPr>
                <w:szCs w:val="22"/>
                <w:lang w:val="fr-BE"/>
              </w:rPr>
            </w:pPr>
            <w:r w:rsidRPr="007E4DA1">
              <w:rPr>
                <w:szCs w:val="22"/>
                <w:lang w:val="fr-BE"/>
              </w:rPr>
              <w:t>Novartis Pharma N.V.</w:t>
            </w:r>
          </w:p>
          <w:p w14:paraId="627F8612" w14:textId="77777777" w:rsidR="00EE79C2" w:rsidRPr="007E4DA1" w:rsidRDefault="00EE79C2" w:rsidP="00DE1596">
            <w:pPr>
              <w:rPr>
                <w:szCs w:val="22"/>
                <w:lang w:val="fr-FR"/>
              </w:rPr>
            </w:pPr>
            <w:r w:rsidRPr="007E4DA1">
              <w:rPr>
                <w:szCs w:val="22"/>
                <w:lang w:val="fr-BE"/>
              </w:rPr>
              <w:t>Tél/Tel: +32 2 246 16 11</w:t>
            </w:r>
          </w:p>
          <w:p w14:paraId="5147550D" w14:textId="77777777" w:rsidR="00EE79C2" w:rsidRPr="007E4DA1" w:rsidRDefault="00EE79C2" w:rsidP="00DE1596">
            <w:pPr>
              <w:ind w:right="34"/>
              <w:rPr>
                <w:szCs w:val="22"/>
                <w:lang w:val="fr-FR"/>
              </w:rPr>
            </w:pPr>
          </w:p>
        </w:tc>
        <w:tc>
          <w:tcPr>
            <w:tcW w:w="4678" w:type="dxa"/>
          </w:tcPr>
          <w:p w14:paraId="6145BF4D" w14:textId="77777777" w:rsidR="00041A08" w:rsidRPr="00041A08" w:rsidRDefault="00EE79C2" w:rsidP="00DE1596">
            <w:pPr>
              <w:rPr>
                <w:szCs w:val="22"/>
                <w:lang w:val="lt-LT"/>
              </w:rPr>
            </w:pPr>
            <w:r w:rsidRPr="007E4DA1">
              <w:rPr>
                <w:b/>
                <w:szCs w:val="22"/>
                <w:lang w:val="lt-LT"/>
              </w:rPr>
              <w:t>Lietuva</w:t>
            </w:r>
          </w:p>
          <w:p w14:paraId="0A25411D" w14:textId="5A61494C" w:rsidR="00EE79C2" w:rsidRPr="007E4DA1" w:rsidRDefault="00FB2E78" w:rsidP="00DE1596">
            <w:pPr>
              <w:ind w:right="-449"/>
              <w:rPr>
                <w:szCs w:val="22"/>
                <w:lang w:val="lt-LT"/>
              </w:rPr>
            </w:pPr>
            <w:r w:rsidRPr="007E4DA1">
              <w:rPr>
                <w:szCs w:val="22"/>
                <w:lang w:val="et-EE"/>
              </w:rPr>
              <w:t>SIA Novartis Baltics Lietuvos filialas</w:t>
            </w:r>
          </w:p>
          <w:p w14:paraId="523FAFAE" w14:textId="77777777" w:rsidR="00EE79C2" w:rsidRPr="007E4DA1" w:rsidRDefault="00EE79C2" w:rsidP="00DE1596">
            <w:pPr>
              <w:ind w:right="-449"/>
              <w:rPr>
                <w:szCs w:val="22"/>
                <w:lang w:val="lt-LT"/>
              </w:rPr>
            </w:pPr>
            <w:r w:rsidRPr="007E4DA1">
              <w:rPr>
                <w:szCs w:val="22"/>
                <w:lang w:val="lt-LT"/>
              </w:rPr>
              <w:t>Tel: +370 5 269 16 50</w:t>
            </w:r>
          </w:p>
          <w:p w14:paraId="70437E40" w14:textId="77777777" w:rsidR="00EE79C2" w:rsidRPr="007E4DA1" w:rsidRDefault="00EE79C2" w:rsidP="00DE1596">
            <w:pPr>
              <w:rPr>
                <w:szCs w:val="22"/>
                <w:lang w:val="es-ES"/>
              </w:rPr>
            </w:pPr>
          </w:p>
        </w:tc>
      </w:tr>
      <w:tr w:rsidR="00EE79C2" w:rsidRPr="007E4DA1" w14:paraId="54CCEAD2" w14:textId="77777777" w:rsidTr="00291DF6">
        <w:trPr>
          <w:cantSplit/>
        </w:trPr>
        <w:tc>
          <w:tcPr>
            <w:tcW w:w="4678" w:type="dxa"/>
          </w:tcPr>
          <w:p w14:paraId="7168C0C2" w14:textId="77777777" w:rsidR="00041A08" w:rsidRPr="00041A08" w:rsidRDefault="00EE79C2" w:rsidP="00DE1596">
            <w:pPr>
              <w:rPr>
                <w:szCs w:val="22"/>
                <w:lang w:val="es-ES"/>
              </w:rPr>
            </w:pPr>
            <w:r w:rsidRPr="007E4DA1">
              <w:rPr>
                <w:b/>
                <w:szCs w:val="22"/>
                <w:lang w:val="bg-BG"/>
              </w:rPr>
              <w:t>България</w:t>
            </w:r>
          </w:p>
          <w:p w14:paraId="1B1E1EBB" w14:textId="4BC8CCE1" w:rsidR="00EE79C2" w:rsidRPr="007E4DA1" w:rsidRDefault="00EE79C2" w:rsidP="00DE1596">
            <w:pPr>
              <w:rPr>
                <w:szCs w:val="22"/>
                <w:lang w:val="es-ES"/>
              </w:rPr>
            </w:pPr>
            <w:r w:rsidRPr="007E4DA1">
              <w:rPr>
                <w:szCs w:val="22"/>
                <w:lang w:val="es-ES"/>
              </w:rPr>
              <w:t xml:space="preserve">Novartis </w:t>
            </w:r>
            <w:r w:rsidR="00792850" w:rsidRPr="007E4DA1">
              <w:rPr>
                <w:szCs w:val="22"/>
                <w:lang w:val="es-ES"/>
              </w:rPr>
              <w:t>Bulgaria EOOD</w:t>
            </w:r>
          </w:p>
          <w:p w14:paraId="6D8DB73C" w14:textId="77777777" w:rsidR="00EE79C2" w:rsidRPr="007E4DA1" w:rsidRDefault="00EE79C2" w:rsidP="00DE1596">
            <w:pPr>
              <w:rPr>
                <w:szCs w:val="22"/>
                <w:lang w:val="es-ES"/>
              </w:rPr>
            </w:pPr>
            <w:r w:rsidRPr="007E4DA1">
              <w:rPr>
                <w:szCs w:val="22"/>
                <w:lang w:val="bg-BG"/>
              </w:rPr>
              <w:t>Тел:</w:t>
            </w:r>
            <w:r w:rsidRPr="007E4DA1">
              <w:rPr>
                <w:szCs w:val="22"/>
                <w:lang w:val="es-ES"/>
              </w:rPr>
              <w:t xml:space="preserve"> +359 2 489 98 28</w:t>
            </w:r>
          </w:p>
          <w:p w14:paraId="70BB67B0" w14:textId="77777777" w:rsidR="00EE79C2" w:rsidRPr="007E4DA1" w:rsidRDefault="00EE79C2" w:rsidP="00DE1596">
            <w:pPr>
              <w:rPr>
                <w:b/>
                <w:szCs w:val="22"/>
                <w:lang w:val="nb-NO"/>
              </w:rPr>
            </w:pPr>
          </w:p>
        </w:tc>
        <w:tc>
          <w:tcPr>
            <w:tcW w:w="4678" w:type="dxa"/>
          </w:tcPr>
          <w:p w14:paraId="5500FE3C" w14:textId="77777777" w:rsidR="00041A08" w:rsidRPr="00041A08" w:rsidRDefault="00EE79C2" w:rsidP="00DE1596">
            <w:pPr>
              <w:rPr>
                <w:szCs w:val="22"/>
                <w:lang w:val="de-CH"/>
              </w:rPr>
            </w:pPr>
            <w:r w:rsidRPr="007E4DA1">
              <w:rPr>
                <w:b/>
                <w:szCs w:val="22"/>
                <w:lang w:val="de-CH"/>
              </w:rPr>
              <w:t>Luxembourg/Luxemburg</w:t>
            </w:r>
          </w:p>
          <w:p w14:paraId="06D20136" w14:textId="5AB7B754" w:rsidR="00EE79C2" w:rsidRPr="007E4DA1" w:rsidRDefault="00EE79C2" w:rsidP="00DE1596">
            <w:pPr>
              <w:rPr>
                <w:szCs w:val="22"/>
                <w:lang w:val="de-CH"/>
              </w:rPr>
            </w:pPr>
            <w:r w:rsidRPr="007E4DA1">
              <w:rPr>
                <w:szCs w:val="22"/>
                <w:lang w:val="de-CH"/>
              </w:rPr>
              <w:t>Novartis Pharma N.V.</w:t>
            </w:r>
          </w:p>
          <w:p w14:paraId="418519A2" w14:textId="77777777" w:rsidR="00EE79C2" w:rsidRPr="007E4DA1" w:rsidRDefault="00EE79C2" w:rsidP="00DE1596">
            <w:pPr>
              <w:rPr>
                <w:szCs w:val="22"/>
                <w:lang w:val="de-CH"/>
              </w:rPr>
            </w:pPr>
            <w:r w:rsidRPr="007E4DA1">
              <w:rPr>
                <w:szCs w:val="22"/>
                <w:lang w:val="fr-BE"/>
              </w:rPr>
              <w:t>Tél/Tel: +32 2 246 16 11</w:t>
            </w:r>
          </w:p>
          <w:p w14:paraId="2A352B5A" w14:textId="77777777" w:rsidR="00EE79C2" w:rsidRPr="007E4DA1" w:rsidRDefault="00EE79C2" w:rsidP="00DE1596">
            <w:pPr>
              <w:tabs>
                <w:tab w:val="left" w:pos="-720"/>
              </w:tabs>
              <w:suppressAutoHyphens/>
              <w:rPr>
                <w:szCs w:val="22"/>
                <w:lang w:val="nb-NO"/>
              </w:rPr>
            </w:pPr>
          </w:p>
        </w:tc>
      </w:tr>
      <w:tr w:rsidR="00EE79C2" w:rsidRPr="00545251" w14:paraId="6985209A" w14:textId="77777777" w:rsidTr="00291DF6">
        <w:trPr>
          <w:cantSplit/>
        </w:trPr>
        <w:tc>
          <w:tcPr>
            <w:tcW w:w="4678" w:type="dxa"/>
          </w:tcPr>
          <w:p w14:paraId="2E84C2C6" w14:textId="77777777" w:rsidR="00041A08" w:rsidRPr="00041A08" w:rsidRDefault="00EE79C2" w:rsidP="00DE1596">
            <w:pPr>
              <w:tabs>
                <w:tab w:val="left" w:pos="-720"/>
              </w:tabs>
              <w:suppressAutoHyphens/>
              <w:rPr>
                <w:szCs w:val="22"/>
                <w:lang w:val="sv-SE"/>
              </w:rPr>
            </w:pPr>
            <w:r w:rsidRPr="007E4DA1">
              <w:rPr>
                <w:b/>
                <w:szCs w:val="22"/>
                <w:lang w:val="sv-SE"/>
              </w:rPr>
              <w:t>Česká republika</w:t>
            </w:r>
          </w:p>
          <w:p w14:paraId="00E95414" w14:textId="22263324" w:rsidR="00EE79C2" w:rsidRPr="007E4DA1" w:rsidRDefault="00EE79C2" w:rsidP="00DE1596">
            <w:pPr>
              <w:tabs>
                <w:tab w:val="left" w:pos="-720"/>
              </w:tabs>
              <w:suppressAutoHyphens/>
              <w:rPr>
                <w:szCs w:val="22"/>
                <w:lang w:val="sv-SE"/>
              </w:rPr>
            </w:pPr>
            <w:r w:rsidRPr="007E4DA1">
              <w:rPr>
                <w:szCs w:val="22"/>
                <w:lang w:val="sv-SE"/>
              </w:rPr>
              <w:t>Novartis s.r.o.</w:t>
            </w:r>
          </w:p>
          <w:p w14:paraId="124B4249" w14:textId="77777777" w:rsidR="00EE79C2" w:rsidRPr="007E4DA1" w:rsidRDefault="00EE79C2" w:rsidP="00DE1596">
            <w:pPr>
              <w:rPr>
                <w:szCs w:val="22"/>
                <w:lang w:val="de-CH"/>
              </w:rPr>
            </w:pPr>
            <w:r w:rsidRPr="007E4DA1">
              <w:rPr>
                <w:szCs w:val="22"/>
                <w:lang w:val="de-CH"/>
              </w:rPr>
              <w:t>Tel: +420 225 775 111</w:t>
            </w:r>
          </w:p>
          <w:p w14:paraId="6C3A94C7" w14:textId="77777777" w:rsidR="00EE79C2" w:rsidRPr="007E4DA1" w:rsidRDefault="00EE79C2" w:rsidP="00DE1596">
            <w:pPr>
              <w:tabs>
                <w:tab w:val="left" w:pos="-720"/>
              </w:tabs>
              <w:suppressAutoHyphens/>
              <w:rPr>
                <w:szCs w:val="22"/>
                <w:lang w:val="de-CH"/>
              </w:rPr>
            </w:pPr>
          </w:p>
        </w:tc>
        <w:tc>
          <w:tcPr>
            <w:tcW w:w="4678" w:type="dxa"/>
          </w:tcPr>
          <w:p w14:paraId="0BFA11FB" w14:textId="77777777" w:rsidR="00041A08" w:rsidRPr="00041A08" w:rsidRDefault="00EE79C2" w:rsidP="00DE1596">
            <w:pPr>
              <w:rPr>
                <w:szCs w:val="22"/>
                <w:lang w:val="hu-HU"/>
              </w:rPr>
            </w:pPr>
            <w:r w:rsidRPr="007E4DA1">
              <w:rPr>
                <w:b/>
                <w:szCs w:val="22"/>
                <w:lang w:val="hu-HU"/>
              </w:rPr>
              <w:t>Magyarország</w:t>
            </w:r>
          </w:p>
          <w:p w14:paraId="78A538CB" w14:textId="3630DF7A" w:rsidR="00EE79C2" w:rsidRPr="007E4DA1" w:rsidRDefault="00EE79C2" w:rsidP="00DE1596">
            <w:pPr>
              <w:rPr>
                <w:szCs w:val="22"/>
                <w:lang w:val="hu-HU"/>
              </w:rPr>
            </w:pPr>
            <w:r w:rsidRPr="007E4DA1">
              <w:rPr>
                <w:szCs w:val="22"/>
                <w:lang w:val="hu-HU"/>
              </w:rPr>
              <w:t>Novartis Hungária Kft.</w:t>
            </w:r>
          </w:p>
          <w:p w14:paraId="7580CEA9" w14:textId="77777777" w:rsidR="00EE79C2" w:rsidRPr="007E4DA1" w:rsidRDefault="00EE79C2" w:rsidP="00DE1596">
            <w:pPr>
              <w:tabs>
                <w:tab w:val="left" w:pos="-720"/>
              </w:tabs>
              <w:suppressAutoHyphens/>
              <w:rPr>
                <w:szCs w:val="22"/>
                <w:lang w:val="mt-MT"/>
              </w:rPr>
            </w:pPr>
            <w:r w:rsidRPr="007E4DA1">
              <w:rPr>
                <w:szCs w:val="22"/>
                <w:lang w:val="hu-HU"/>
              </w:rPr>
              <w:t>Tel.: +36 1 457 65 00</w:t>
            </w:r>
          </w:p>
        </w:tc>
      </w:tr>
      <w:tr w:rsidR="00EE79C2" w:rsidRPr="007E4DA1" w14:paraId="0297FAD6" w14:textId="77777777" w:rsidTr="00291DF6">
        <w:trPr>
          <w:cantSplit/>
        </w:trPr>
        <w:tc>
          <w:tcPr>
            <w:tcW w:w="4678" w:type="dxa"/>
          </w:tcPr>
          <w:p w14:paraId="2AD81B0F" w14:textId="77777777" w:rsidR="00041A08" w:rsidRPr="00041A08" w:rsidRDefault="00EE79C2" w:rsidP="00DE1596">
            <w:pPr>
              <w:rPr>
                <w:szCs w:val="22"/>
                <w:lang w:val="en-US"/>
              </w:rPr>
            </w:pPr>
            <w:r w:rsidRPr="007E4DA1">
              <w:rPr>
                <w:b/>
                <w:szCs w:val="22"/>
                <w:lang w:val="en-US"/>
              </w:rPr>
              <w:t>Danmark</w:t>
            </w:r>
          </w:p>
          <w:p w14:paraId="544067FE" w14:textId="139088AD" w:rsidR="00EE79C2" w:rsidRPr="007E4DA1" w:rsidRDefault="00EE79C2" w:rsidP="00DE1596">
            <w:pPr>
              <w:rPr>
                <w:szCs w:val="22"/>
                <w:lang w:val="en-US"/>
              </w:rPr>
            </w:pPr>
            <w:r w:rsidRPr="007E4DA1">
              <w:rPr>
                <w:szCs w:val="22"/>
                <w:lang w:val="en-US"/>
              </w:rPr>
              <w:t>Novartis Healthcare A/S</w:t>
            </w:r>
          </w:p>
          <w:p w14:paraId="45E26526" w14:textId="3B87735C" w:rsidR="00EE79C2" w:rsidRPr="007E4DA1" w:rsidRDefault="00EE79C2" w:rsidP="00DE1596">
            <w:pPr>
              <w:rPr>
                <w:szCs w:val="22"/>
                <w:lang w:val="en-US"/>
              </w:rPr>
            </w:pPr>
            <w:proofErr w:type="spellStart"/>
            <w:r w:rsidRPr="007E4DA1">
              <w:rPr>
                <w:szCs w:val="22"/>
                <w:lang w:val="en-US"/>
              </w:rPr>
              <w:t>Tlf</w:t>
            </w:r>
            <w:proofErr w:type="spellEnd"/>
            <w:r w:rsidR="004D3758">
              <w:rPr>
                <w:szCs w:val="22"/>
                <w:lang w:val="en-US"/>
              </w:rPr>
              <w:t>.</w:t>
            </w:r>
            <w:r w:rsidRPr="007E4DA1">
              <w:rPr>
                <w:szCs w:val="22"/>
                <w:lang w:val="en-US"/>
              </w:rPr>
              <w:t>: +45 39 16 84 00</w:t>
            </w:r>
          </w:p>
          <w:p w14:paraId="194F2F89" w14:textId="77777777" w:rsidR="00EE79C2" w:rsidRPr="007E4DA1" w:rsidRDefault="00EE79C2" w:rsidP="00DE1596">
            <w:pPr>
              <w:tabs>
                <w:tab w:val="left" w:pos="-720"/>
              </w:tabs>
              <w:suppressAutoHyphens/>
              <w:rPr>
                <w:szCs w:val="22"/>
                <w:lang w:val="en-US"/>
              </w:rPr>
            </w:pPr>
          </w:p>
        </w:tc>
        <w:tc>
          <w:tcPr>
            <w:tcW w:w="4678" w:type="dxa"/>
          </w:tcPr>
          <w:p w14:paraId="7D48C5B4" w14:textId="77777777" w:rsidR="00041A08" w:rsidRPr="00041A08" w:rsidRDefault="00EE79C2" w:rsidP="00DE1596">
            <w:pPr>
              <w:tabs>
                <w:tab w:val="left" w:pos="-720"/>
                <w:tab w:val="left" w:pos="4536"/>
              </w:tabs>
              <w:suppressAutoHyphens/>
              <w:rPr>
                <w:szCs w:val="22"/>
                <w:lang w:val="mt-MT"/>
              </w:rPr>
            </w:pPr>
            <w:r w:rsidRPr="007E4DA1">
              <w:rPr>
                <w:b/>
                <w:szCs w:val="22"/>
                <w:lang w:val="mt-MT"/>
              </w:rPr>
              <w:t>Malta</w:t>
            </w:r>
          </w:p>
          <w:p w14:paraId="4AC9988F" w14:textId="3F92C97E" w:rsidR="00EE79C2" w:rsidRPr="007E4DA1" w:rsidRDefault="00EE79C2" w:rsidP="00DE1596">
            <w:pPr>
              <w:rPr>
                <w:szCs w:val="22"/>
                <w:lang w:val="mt-MT"/>
              </w:rPr>
            </w:pPr>
            <w:r w:rsidRPr="007E4DA1">
              <w:rPr>
                <w:szCs w:val="22"/>
                <w:lang w:val="mt-MT"/>
              </w:rPr>
              <w:t>Novartis Pharma Services Inc.</w:t>
            </w:r>
          </w:p>
          <w:p w14:paraId="32EE7F57" w14:textId="77777777" w:rsidR="00EE79C2" w:rsidRPr="007E4DA1" w:rsidRDefault="00EE79C2" w:rsidP="00DE1596">
            <w:pPr>
              <w:rPr>
                <w:szCs w:val="22"/>
              </w:rPr>
            </w:pPr>
            <w:r w:rsidRPr="007E4DA1">
              <w:rPr>
                <w:szCs w:val="22"/>
                <w:lang w:val="mt-MT"/>
              </w:rPr>
              <w:t>Tel: +</w:t>
            </w:r>
            <w:r w:rsidRPr="007E4DA1">
              <w:rPr>
                <w:szCs w:val="22"/>
                <w:lang w:val="en-US"/>
              </w:rPr>
              <w:t xml:space="preserve">356 </w:t>
            </w:r>
            <w:r w:rsidRPr="007E4DA1">
              <w:rPr>
                <w:szCs w:val="22"/>
                <w:lang w:val="fr-CH"/>
              </w:rPr>
              <w:t>2122 2872</w:t>
            </w:r>
          </w:p>
        </w:tc>
      </w:tr>
      <w:tr w:rsidR="00EE79C2" w:rsidRPr="007E4DA1" w14:paraId="731C1BBB" w14:textId="77777777" w:rsidTr="00291DF6">
        <w:trPr>
          <w:cantSplit/>
        </w:trPr>
        <w:tc>
          <w:tcPr>
            <w:tcW w:w="4678" w:type="dxa"/>
          </w:tcPr>
          <w:p w14:paraId="7AFED1DB" w14:textId="77777777" w:rsidR="00041A08" w:rsidRPr="00041A08" w:rsidRDefault="00EE79C2" w:rsidP="00DE1596">
            <w:pPr>
              <w:rPr>
                <w:szCs w:val="22"/>
                <w:lang w:val="de-DE"/>
              </w:rPr>
            </w:pPr>
            <w:r w:rsidRPr="007E4DA1">
              <w:rPr>
                <w:b/>
                <w:szCs w:val="22"/>
                <w:lang w:val="de-DE"/>
              </w:rPr>
              <w:t>Deutschland</w:t>
            </w:r>
          </w:p>
          <w:p w14:paraId="605FA954" w14:textId="6BD58FE9" w:rsidR="00EE79C2" w:rsidRPr="007E4DA1" w:rsidRDefault="00EE79C2" w:rsidP="00DE1596">
            <w:pPr>
              <w:rPr>
                <w:szCs w:val="22"/>
                <w:lang w:val="de-DE"/>
              </w:rPr>
            </w:pPr>
            <w:r w:rsidRPr="007E4DA1">
              <w:rPr>
                <w:szCs w:val="22"/>
                <w:lang w:val="de-DE"/>
              </w:rPr>
              <w:t>Novartis Pharma GmbH</w:t>
            </w:r>
          </w:p>
          <w:p w14:paraId="50EFF366" w14:textId="77777777" w:rsidR="00EE79C2" w:rsidRPr="007E4DA1" w:rsidRDefault="00EE79C2" w:rsidP="00DE1596">
            <w:pPr>
              <w:rPr>
                <w:szCs w:val="22"/>
                <w:lang w:val="de-DE"/>
              </w:rPr>
            </w:pPr>
            <w:r w:rsidRPr="007E4DA1">
              <w:rPr>
                <w:szCs w:val="22"/>
                <w:lang w:val="de-DE"/>
              </w:rPr>
              <w:t>Tel: +49 911 273 0</w:t>
            </w:r>
          </w:p>
          <w:p w14:paraId="205981DF" w14:textId="77777777" w:rsidR="00EE79C2" w:rsidRPr="007E4DA1" w:rsidRDefault="00EE79C2" w:rsidP="00DE1596">
            <w:pPr>
              <w:tabs>
                <w:tab w:val="left" w:pos="-720"/>
              </w:tabs>
              <w:suppressAutoHyphens/>
              <w:rPr>
                <w:szCs w:val="22"/>
                <w:lang w:val="de-DE"/>
              </w:rPr>
            </w:pPr>
          </w:p>
        </w:tc>
        <w:tc>
          <w:tcPr>
            <w:tcW w:w="4678" w:type="dxa"/>
          </w:tcPr>
          <w:p w14:paraId="67A1A2B1" w14:textId="77777777" w:rsidR="00041A08" w:rsidRPr="00041A08" w:rsidRDefault="00EE79C2" w:rsidP="00DE1596">
            <w:pPr>
              <w:suppressAutoHyphens/>
              <w:rPr>
                <w:szCs w:val="22"/>
                <w:lang w:val="nl-NL"/>
              </w:rPr>
            </w:pPr>
            <w:r w:rsidRPr="007E4DA1">
              <w:rPr>
                <w:b/>
                <w:szCs w:val="22"/>
                <w:lang w:val="nl-NL"/>
              </w:rPr>
              <w:t>Nederland</w:t>
            </w:r>
          </w:p>
          <w:p w14:paraId="12161FB1" w14:textId="1CC5B446" w:rsidR="00EE79C2" w:rsidRPr="007E4DA1" w:rsidRDefault="00EE79C2" w:rsidP="00DE1596">
            <w:pPr>
              <w:rPr>
                <w:iCs/>
                <w:szCs w:val="22"/>
                <w:lang w:val="nl-NL"/>
              </w:rPr>
            </w:pPr>
            <w:r w:rsidRPr="007E4DA1">
              <w:rPr>
                <w:iCs/>
                <w:szCs w:val="22"/>
                <w:lang w:val="nl-NL"/>
              </w:rPr>
              <w:t>Novartis Pharma B.V.</w:t>
            </w:r>
          </w:p>
          <w:p w14:paraId="75CA75F5" w14:textId="68DBAC82" w:rsidR="00EE79C2" w:rsidRPr="007E4DA1" w:rsidRDefault="00EE79C2" w:rsidP="00DE1596">
            <w:pPr>
              <w:rPr>
                <w:szCs w:val="22"/>
                <w:lang w:val="de-DE"/>
              </w:rPr>
            </w:pPr>
            <w:r w:rsidRPr="007E4DA1">
              <w:rPr>
                <w:szCs w:val="22"/>
                <w:lang w:val="nl-NL"/>
              </w:rPr>
              <w:t xml:space="preserve">Tel: +31 </w:t>
            </w:r>
            <w:r w:rsidR="009035D0" w:rsidRPr="007E4DA1">
              <w:rPr>
                <w:szCs w:val="22"/>
                <w:lang w:val="nl-NL"/>
              </w:rPr>
              <w:t xml:space="preserve">88 04 52 </w:t>
            </w:r>
            <w:r w:rsidR="004D3758">
              <w:rPr>
                <w:szCs w:val="22"/>
                <w:lang w:val="nl-NL"/>
              </w:rPr>
              <w:t>111</w:t>
            </w:r>
          </w:p>
        </w:tc>
      </w:tr>
      <w:tr w:rsidR="00EE79C2" w:rsidRPr="00545251" w14:paraId="372F77DD" w14:textId="77777777" w:rsidTr="00291DF6">
        <w:trPr>
          <w:cantSplit/>
        </w:trPr>
        <w:tc>
          <w:tcPr>
            <w:tcW w:w="4678" w:type="dxa"/>
          </w:tcPr>
          <w:p w14:paraId="6255DAE9" w14:textId="77777777" w:rsidR="00041A08" w:rsidRPr="00041A08" w:rsidRDefault="00EE79C2" w:rsidP="00DE1596">
            <w:pPr>
              <w:tabs>
                <w:tab w:val="left" w:pos="-720"/>
              </w:tabs>
              <w:suppressAutoHyphens/>
              <w:rPr>
                <w:szCs w:val="22"/>
                <w:lang w:val="et-EE"/>
              </w:rPr>
            </w:pPr>
            <w:r w:rsidRPr="007E4DA1">
              <w:rPr>
                <w:b/>
                <w:bCs/>
                <w:szCs w:val="22"/>
                <w:lang w:val="et-EE"/>
              </w:rPr>
              <w:t>Eesti</w:t>
            </w:r>
          </w:p>
          <w:p w14:paraId="548480FB" w14:textId="3EEB4228" w:rsidR="00EE79C2" w:rsidRPr="007E4DA1" w:rsidRDefault="00FB2E78" w:rsidP="00DE1596">
            <w:pPr>
              <w:tabs>
                <w:tab w:val="left" w:pos="-720"/>
              </w:tabs>
              <w:suppressAutoHyphens/>
              <w:rPr>
                <w:szCs w:val="22"/>
                <w:lang w:val="et-EE"/>
              </w:rPr>
            </w:pPr>
            <w:r w:rsidRPr="007E4DA1">
              <w:rPr>
                <w:szCs w:val="22"/>
                <w:lang w:val="et-EE"/>
              </w:rPr>
              <w:t>SIA Novartis Baltics Eesti filiaal</w:t>
            </w:r>
          </w:p>
          <w:p w14:paraId="7A54F958" w14:textId="77777777" w:rsidR="00EE79C2" w:rsidRPr="007E4DA1" w:rsidRDefault="00EE79C2" w:rsidP="00DE1596">
            <w:pPr>
              <w:tabs>
                <w:tab w:val="left" w:pos="-720"/>
              </w:tabs>
              <w:suppressAutoHyphens/>
              <w:rPr>
                <w:szCs w:val="22"/>
                <w:lang w:val="et-EE"/>
              </w:rPr>
            </w:pPr>
            <w:r w:rsidRPr="007E4DA1">
              <w:rPr>
                <w:szCs w:val="22"/>
                <w:lang w:val="et-EE"/>
              </w:rPr>
              <w:t xml:space="preserve">Tel: +372 </w:t>
            </w:r>
            <w:r w:rsidRPr="007E4DA1">
              <w:rPr>
                <w:szCs w:val="22"/>
                <w:lang w:val="it-IT"/>
              </w:rPr>
              <w:t>66 30 810</w:t>
            </w:r>
          </w:p>
          <w:p w14:paraId="28EE8ED8" w14:textId="77777777" w:rsidR="00EE79C2" w:rsidRPr="007E4DA1" w:rsidRDefault="00EE79C2" w:rsidP="00DE1596">
            <w:pPr>
              <w:tabs>
                <w:tab w:val="left" w:pos="-720"/>
              </w:tabs>
              <w:suppressAutoHyphens/>
              <w:rPr>
                <w:szCs w:val="22"/>
                <w:lang w:val="et-EE"/>
              </w:rPr>
            </w:pPr>
          </w:p>
        </w:tc>
        <w:tc>
          <w:tcPr>
            <w:tcW w:w="4678" w:type="dxa"/>
          </w:tcPr>
          <w:p w14:paraId="52C30400" w14:textId="77777777" w:rsidR="00041A08" w:rsidRPr="00041A08" w:rsidRDefault="00EE79C2" w:rsidP="00DE1596">
            <w:pPr>
              <w:rPr>
                <w:szCs w:val="22"/>
                <w:lang w:val="nb-NO"/>
              </w:rPr>
            </w:pPr>
            <w:r w:rsidRPr="007E4DA1">
              <w:rPr>
                <w:b/>
                <w:szCs w:val="22"/>
                <w:lang w:val="nb-NO"/>
              </w:rPr>
              <w:t>Norge</w:t>
            </w:r>
          </w:p>
          <w:p w14:paraId="630554DF" w14:textId="12BC0972" w:rsidR="00EE79C2" w:rsidRPr="007E4DA1" w:rsidRDefault="00EE79C2" w:rsidP="00DE1596">
            <w:pPr>
              <w:rPr>
                <w:szCs w:val="22"/>
                <w:lang w:val="nb-NO"/>
              </w:rPr>
            </w:pPr>
            <w:r w:rsidRPr="007E4DA1">
              <w:rPr>
                <w:szCs w:val="22"/>
                <w:lang w:val="nb-NO"/>
              </w:rPr>
              <w:t>Novartis Norge AS</w:t>
            </w:r>
          </w:p>
          <w:p w14:paraId="5E95E2ED" w14:textId="77777777" w:rsidR="00EE79C2" w:rsidRPr="007E4DA1" w:rsidRDefault="00EE79C2" w:rsidP="00DE1596">
            <w:pPr>
              <w:tabs>
                <w:tab w:val="left" w:pos="-720"/>
              </w:tabs>
              <w:suppressAutoHyphens/>
              <w:rPr>
                <w:szCs w:val="22"/>
                <w:lang w:val="et-EE"/>
              </w:rPr>
            </w:pPr>
            <w:r w:rsidRPr="007E4DA1">
              <w:rPr>
                <w:szCs w:val="22"/>
                <w:lang w:val="nb-NO"/>
              </w:rPr>
              <w:t>Tlf: +47 23 05 20 00</w:t>
            </w:r>
          </w:p>
        </w:tc>
      </w:tr>
      <w:tr w:rsidR="00EE79C2" w:rsidRPr="00545251" w14:paraId="60CE83CD" w14:textId="77777777" w:rsidTr="00291DF6">
        <w:trPr>
          <w:cantSplit/>
        </w:trPr>
        <w:tc>
          <w:tcPr>
            <w:tcW w:w="4678" w:type="dxa"/>
          </w:tcPr>
          <w:p w14:paraId="47092F52" w14:textId="77777777" w:rsidR="00041A08" w:rsidRPr="00041A08" w:rsidRDefault="00EE79C2" w:rsidP="00DE1596">
            <w:pPr>
              <w:rPr>
                <w:szCs w:val="22"/>
                <w:lang w:val="et-EE"/>
              </w:rPr>
            </w:pPr>
            <w:r w:rsidRPr="007E4DA1">
              <w:rPr>
                <w:b/>
                <w:szCs w:val="22"/>
                <w:lang w:val="el-GR"/>
              </w:rPr>
              <w:t>Ελλάδα</w:t>
            </w:r>
          </w:p>
          <w:p w14:paraId="736F7E6B" w14:textId="1E7D4693" w:rsidR="00EE79C2" w:rsidRPr="007E4DA1" w:rsidRDefault="00EE79C2" w:rsidP="00DE1596">
            <w:pPr>
              <w:rPr>
                <w:szCs w:val="22"/>
                <w:lang w:val="et-EE"/>
              </w:rPr>
            </w:pPr>
            <w:r w:rsidRPr="007E4DA1">
              <w:rPr>
                <w:szCs w:val="22"/>
                <w:lang w:val="et-EE"/>
              </w:rPr>
              <w:t>Novartis (Hellas) A.E.B.E.</w:t>
            </w:r>
          </w:p>
          <w:p w14:paraId="1751C316" w14:textId="77777777" w:rsidR="00EE79C2" w:rsidRPr="007E4DA1" w:rsidRDefault="00EE79C2" w:rsidP="00DE1596">
            <w:pPr>
              <w:rPr>
                <w:szCs w:val="22"/>
                <w:lang w:val="et-EE"/>
              </w:rPr>
            </w:pPr>
            <w:r w:rsidRPr="007E4DA1">
              <w:rPr>
                <w:szCs w:val="22"/>
                <w:lang w:val="el-GR"/>
              </w:rPr>
              <w:t>Τηλ</w:t>
            </w:r>
            <w:r w:rsidRPr="007E4DA1">
              <w:rPr>
                <w:szCs w:val="22"/>
                <w:lang w:val="et-EE"/>
              </w:rPr>
              <w:t>: +30 210 281 17 12</w:t>
            </w:r>
          </w:p>
          <w:p w14:paraId="36B5F258" w14:textId="77777777" w:rsidR="00EE79C2" w:rsidRPr="007E4DA1" w:rsidRDefault="00EE79C2" w:rsidP="00DE1596">
            <w:pPr>
              <w:tabs>
                <w:tab w:val="left" w:pos="-720"/>
              </w:tabs>
              <w:suppressAutoHyphens/>
              <w:rPr>
                <w:szCs w:val="22"/>
                <w:lang w:val="et-EE"/>
              </w:rPr>
            </w:pPr>
          </w:p>
        </w:tc>
        <w:tc>
          <w:tcPr>
            <w:tcW w:w="4678" w:type="dxa"/>
          </w:tcPr>
          <w:p w14:paraId="4FBA5521" w14:textId="77777777" w:rsidR="00041A08" w:rsidRPr="00041A08" w:rsidRDefault="00EE79C2" w:rsidP="00DE1596">
            <w:pPr>
              <w:rPr>
                <w:szCs w:val="22"/>
                <w:lang w:val="de-AT"/>
              </w:rPr>
            </w:pPr>
            <w:r w:rsidRPr="007E4DA1">
              <w:rPr>
                <w:b/>
                <w:szCs w:val="22"/>
                <w:lang w:val="de-AT"/>
              </w:rPr>
              <w:t>Österreich</w:t>
            </w:r>
          </w:p>
          <w:p w14:paraId="23CA686C" w14:textId="4669464A" w:rsidR="00EE79C2" w:rsidRPr="007E4DA1" w:rsidRDefault="00EE79C2" w:rsidP="00DE1596">
            <w:pPr>
              <w:rPr>
                <w:szCs w:val="22"/>
                <w:lang w:val="de-AT"/>
              </w:rPr>
            </w:pPr>
            <w:r w:rsidRPr="007E4DA1">
              <w:rPr>
                <w:szCs w:val="22"/>
                <w:lang w:val="de-AT"/>
              </w:rPr>
              <w:t>Novartis Pharma GmbH</w:t>
            </w:r>
          </w:p>
          <w:p w14:paraId="2714B773" w14:textId="77777777" w:rsidR="00EE79C2" w:rsidRPr="007E4DA1" w:rsidRDefault="00EE79C2" w:rsidP="00DE1596">
            <w:pPr>
              <w:rPr>
                <w:szCs w:val="22"/>
                <w:lang w:val="de-DE"/>
              </w:rPr>
            </w:pPr>
            <w:r w:rsidRPr="007E4DA1">
              <w:rPr>
                <w:szCs w:val="22"/>
                <w:lang w:val="de-AT"/>
              </w:rPr>
              <w:t>Tel: +43 1 86 6570</w:t>
            </w:r>
          </w:p>
        </w:tc>
      </w:tr>
      <w:tr w:rsidR="00EE79C2" w:rsidRPr="007E4DA1" w14:paraId="6CDE8C6D" w14:textId="77777777" w:rsidTr="00291DF6">
        <w:trPr>
          <w:cantSplit/>
        </w:trPr>
        <w:tc>
          <w:tcPr>
            <w:tcW w:w="4678" w:type="dxa"/>
          </w:tcPr>
          <w:p w14:paraId="2CE98F20" w14:textId="77777777" w:rsidR="00041A08" w:rsidRPr="00041A08" w:rsidRDefault="00EE79C2" w:rsidP="00DE1596">
            <w:pPr>
              <w:tabs>
                <w:tab w:val="left" w:pos="-720"/>
                <w:tab w:val="left" w:pos="4536"/>
              </w:tabs>
              <w:suppressAutoHyphens/>
              <w:rPr>
                <w:szCs w:val="22"/>
                <w:lang w:val="es-ES"/>
              </w:rPr>
            </w:pPr>
            <w:r w:rsidRPr="007E4DA1">
              <w:rPr>
                <w:b/>
                <w:szCs w:val="22"/>
                <w:lang w:val="es-ES"/>
              </w:rPr>
              <w:t>España</w:t>
            </w:r>
          </w:p>
          <w:p w14:paraId="2BA203A0" w14:textId="3A60C16F" w:rsidR="00EE79C2" w:rsidRPr="007E4DA1" w:rsidRDefault="00EE79C2" w:rsidP="00DE1596">
            <w:pPr>
              <w:rPr>
                <w:szCs w:val="22"/>
                <w:lang w:val="es-ES"/>
              </w:rPr>
            </w:pPr>
            <w:r w:rsidRPr="007E4DA1">
              <w:rPr>
                <w:lang w:val="es-ES"/>
              </w:rPr>
              <w:t>Novartis Farmacéutica, S.A.</w:t>
            </w:r>
          </w:p>
          <w:p w14:paraId="0171EC2B" w14:textId="77777777" w:rsidR="00EE79C2" w:rsidRPr="007E4DA1" w:rsidRDefault="00EE79C2" w:rsidP="00DE1596">
            <w:pPr>
              <w:rPr>
                <w:szCs w:val="22"/>
                <w:lang w:val="es-ES"/>
              </w:rPr>
            </w:pPr>
            <w:r w:rsidRPr="007E4DA1">
              <w:rPr>
                <w:szCs w:val="22"/>
                <w:lang w:val="es-ES"/>
              </w:rPr>
              <w:t>Tel: +34 93 306 42 00</w:t>
            </w:r>
          </w:p>
          <w:p w14:paraId="0A7DD556" w14:textId="77777777" w:rsidR="00EE79C2" w:rsidRPr="007E4DA1" w:rsidRDefault="00EE79C2" w:rsidP="00DE1596">
            <w:pPr>
              <w:tabs>
                <w:tab w:val="left" w:pos="-720"/>
              </w:tabs>
              <w:suppressAutoHyphens/>
              <w:rPr>
                <w:szCs w:val="22"/>
                <w:lang w:val="es-ES"/>
              </w:rPr>
            </w:pPr>
          </w:p>
        </w:tc>
        <w:tc>
          <w:tcPr>
            <w:tcW w:w="4678" w:type="dxa"/>
          </w:tcPr>
          <w:p w14:paraId="6ECC6380" w14:textId="77777777" w:rsidR="00041A08" w:rsidRPr="00041A08" w:rsidRDefault="00EE79C2" w:rsidP="00DE1596">
            <w:pPr>
              <w:tabs>
                <w:tab w:val="left" w:pos="-720"/>
                <w:tab w:val="left" w:pos="4536"/>
              </w:tabs>
              <w:suppressAutoHyphens/>
              <w:rPr>
                <w:szCs w:val="22"/>
              </w:rPr>
            </w:pPr>
            <w:r w:rsidRPr="007E4DA1">
              <w:rPr>
                <w:b/>
                <w:bCs/>
                <w:iCs/>
                <w:szCs w:val="22"/>
              </w:rPr>
              <w:t>Polska</w:t>
            </w:r>
          </w:p>
          <w:p w14:paraId="4F51D92B" w14:textId="17248343" w:rsidR="00EE79C2" w:rsidRPr="007E4DA1" w:rsidRDefault="00EE79C2" w:rsidP="00DE1596">
            <w:pPr>
              <w:rPr>
                <w:szCs w:val="22"/>
              </w:rPr>
            </w:pPr>
            <w:r w:rsidRPr="007E4DA1">
              <w:rPr>
                <w:szCs w:val="22"/>
              </w:rPr>
              <w:t>Novartis Poland Sp. z o.o.</w:t>
            </w:r>
          </w:p>
          <w:p w14:paraId="12053568" w14:textId="77777777" w:rsidR="00EE79C2" w:rsidRPr="007E4DA1" w:rsidRDefault="00EE79C2" w:rsidP="00DE1596">
            <w:pPr>
              <w:rPr>
                <w:szCs w:val="22"/>
              </w:rPr>
            </w:pPr>
            <w:r w:rsidRPr="007E4DA1">
              <w:rPr>
                <w:szCs w:val="22"/>
              </w:rPr>
              <w:t>Tel.: +48 22 375 4888</w:t>
            </w:r>
          </w:p>
        </w:tc>
      </w:tr>
      <w:tr w:rsidR="00EE79C2" w:rsidRPr="007E4DA1" w14:paraId="77343039" w14:textId="77777777" w:rsidTr="00291DF6">
        <w:trPr>
          <w:cantSplit/>
        </w:trPr>
        <w:tc>
          <w:tcPr>
            <w:tcW w:w="4678" w:type="dxa"/>
          </w:tcPr>
          <w:p w14:paraId="79B984B0" w14:textId="77777777" w:rsidR="00041A08" w:rsidRPr="00041A08" w:rsidRDefault="00EE79C2" w:rsidP="00DE1596">
            <w:pPr>
              <w:tabs>
                <w:tab w:val="left" w:pos="-720"/>
                <w:tab w:val="left" w:pos="4536"/>
              </w:tabs>
              <w:suppressAutoHyphens/>
              <w:rPr>
                <w:szCs w:val="22"/>
                <w:lang w:val="fr-FR"/>
              </w:rPr>
            </w:pPr>
            <w:r w:rsidRPr="007E4DA1">
              <w:rPr>
                <w:b/>
                <w:szCs w:val="22"/>
                <w:lang w:val="fr-FR"/>
              </w:rPr>
              <w:t>France</w:t>
            </w:r>
          </w:p>
          <w:p w14:paraId="0BD9D39A" w14:textId="32120E40" w:rsidR="00EE79C2" w:rsidRPr="007E4DA1" w:rsidRDefault="00EE79C2" w:rsidP="00DE1596">
            <w:pPr>
              <w:rPr>
                <w:szCs w:val="22"/>
                <w:lang w:val="fr-FR"/>
              </w:rPr>
            </w:pPr>
            <w:r w:rsidRPr="007E4DA1">
              <w:rPr>
                <w:szCs w:val="22"/>
                <w:lang w:val="fr-FR"/>
              </w:rPr>
              <w:t>Novartis Pharma S.A.S.</w:t>
            </w:r>
          </w:p>
          <w:p w14:paraId="3E9774A4" w14:textId="77777777" w:rsidR="00EE79C2" w:rsidRPr="007E4DA1" w:rsidRDefault="00EE79C2" w:rsidP="00DE1596">
            <w:pPr>
              <w:rPr>
                <w:szCs w:val="22"/>
                <w:lang w:val="fr-FR"/>
              </w:rPr>
            </w:pPr>
            <w:r w:rsidRPr="007E4DA1">
              <w:rPr>
                <w:szCs w:val="22"/>
                <w:lang w:val="fr-FR"/>
              </w:rPr>
              <w:t>Tél: +33 1 55 47 66 00</w:t>
            </w:r>
          </w:p>
          <w:p w14:paraId="53628C2C" w14:textId="77777777" w:rsidR="00EE79C2" w:rsidRPr="007E4DA1" w:rsidRDefault="00EE79C2" w:rsidP="00DE1596">
            <w:pPr>
              <w:rPr>
                <w:b/>
                <w:szCs w:val="22"/>
                <w:lang w:val="fr-FR"/>
              </w:rPr>
            </w:pPr>
          </w:p>
        </w:tc>
        <w:tc>
          <w:tcPr>
            <w:tcW w:w="4678" w:type="dxa"/>
          </w:tcPr>
          <w:p w14:paraId="55975C94" w14:textId="77777777" w:rsidR="00041A08" w:rsidRPr="00041A08" w:rsidRDefault="00EE79C2" w:rsidP="00DE1596">
            <w:pPr>
              <w:rPr>
                <w:szCs w:val="22"/>
                <w:lang w:val="pt-PT"/>
              </w:rPr>
            </w:pPr>
            <w:r w:rsidRPr="007E4DA1">
              <w:rPr>
                <w:b/>
                <w:szCs w:val="22"/>
                <w:lang w:val="pt-PT"/>
              </w:rPr>
              <w:t>Portugal</w:t>
            </w:r>
          </w:p>
          <w:p w14:paraId="0228C48B" w14:textId="5D24532A" w:rsidR="00EE79C2" w:rsidRPr="007E4DA1" w:rsidRDefault="00EE79C2" w:rsidP="00DE1596">
            <w:pPr>
              <w:rPr>
                <w:szCs w:val="22"/>
                <w:lang w:val="pt-BR"/>
              </w:rPr>
            </w:pPr>
            <w:r w:rsidRPr="007E4DA1">
              <w:rPr>
                <w:szCs w:val="22"/>
                <w:lang w:val="pt-BR"/>
              </w:rPr>
              <w:t>Novartis Farma - Produtos Farmacêuticos, S.A.</w:t>
            </w:r>
          </w:p>
          <w:p w14:paraId="7108BC7E" w14:textId="77777777" w:rsidR="00EE79C2" w:rsidRPr="007E4DA1" w:rsidRDefault="00EE79C2" w:rsidP="00DE1596">
            <w:pPr>
              <w:tabs>
                <w:tab w:val="left" w:pos="-720"/>
              </w:tabs>
              <w:suppressAutoHyphens/>
              <w:rPr>
                <w:szCs w:val="22"/>
                <w:lang w:val="de-CH"/>
              </w:rPr>
            </w:pPr>
            <w:r w:rsidRPr="007E4DA1">
              <w:rPr>
                <w:szCs w:val="22"/>
                <w:lang w:val="pt-PT"/>
              </w:rPr>
              <w:t>Tel: +351 21 000 8600</w:t>
            </w:r>
          </w:p>
        </w:tc>
      </w:tr>
      <w:tr w:rsidR="00EE79C2" w:rsidRPr="007E4DA1" w14:paraId="0854AC23" w14:textId="77777777" w:rsidTr="00291DF6">
        <w:trPr>
          <w:cantSplit/>
        </w:trPr>
        <w:tc>
          <w:tcPr>
            <w:tcW w:w="4678" w:type="dxa"/>
          </w:tcPr>
          <w:p w14:paraId="44F7C173" w14:textId="77777777" w:rsidR="00041A08" w:rsidRPr="00041A08" w:rsidRDefault="00EE79C2" w:rsidP="00DE1596">
            <w:pPr>
              <w:rPr>
                <w:rFonts w:eastAsia="PMingLiU"/>
                <w:lang w:val="de-CH"/>
              </w:rPr>
            </w:pPr>
            <w:r w:rsidRPr="007E4DA1">
              <w:rPr>
                <w:rFonts w:eastAsia="PMingLiU"/>
                <w:b/>
                <w:lang w:val="de-CH"/>
              </w:rPr>
              <w:t>Hrvatska</w:t>
            </w:r>
          </w:p>
          <w:p w14:paraId="12F71942" w14:textId="2AC7904E" w:rsidR="00EE79C2" w:rsidRPr="007E4DA1" w:rsidRDefault="00EE79C2" w:rsidP="00DE1596">
            <w:pPr>
              <w:rPr>
                <w:lang w:val="de-CH"/>
              </w:rPr>
            </w:pPr>
            <w:r w:rsidRPr="007E4DA1">
              <w:rPr>
                <w:lang w:val="de-CH"/>
              </w:rPr>
              <w:t>Novartis Hrvatska d.o.o.</w:t>
            </w:r>
          </w:p>
          <w:p w14:paraId="2C90B3DF" w14:textId="77777777" w:rsidR="00EE79C2" w:rsidRPr="007E4DA1" w:rsidRDefault="00EE79C2" w:rsidP="00DE1596">
            <w:r w:rsidRPr="007E4DA1">
              <w:t>Tel. +385 1 6274 220</w:t>
            </w:r>
          </w:p>
          <w:p w14:paraId="46514302" w14:textId="77777777" w:rsidR="00EE79C2" w:rsidRPr="007E4DA1" w:rsidRDefault="00EE79C2" w:rsidP="00DE1596">
            <w:pPr>
              <w:tabs>
                <w:tab w:val="left" w:pos="-720"/>
                <w:tab w:val="left" w:pos="4536"/>
              </w:tabs>
              <w:suppressAutoHyphens/>
              <w:rPr>
                <w:b/>
                <w:szCs w:val="22"/>
                <w:lang w:val="fr-FR"/>
              </w:rPr>
            </w:pPr>
          </w:p>
        </w:tc>
        <w:tc>
          <w:tcPr>
            <w:tcW w:w="4678" w:type="dxa"/>
          </w:tcPr>
          <w:p w14:paraId="7A509349" w14:textId="77777777" w:rsidR="00041A08" w:rsidRPr="00041A08" w:rsidRDefault="00EE79C2" w:rsidP="00DE1596">
            <w:pPr>
              <w:autoSpaceDE w:val="0"/>
              <w:autoSpaceDN w:val="0"/>
              <w:adjustRightInd w:val="0"/>
              <w:rPr>
                <w:szCs w:val="22"/>
                <w:lang w:val="fr-CH"/>
              </w:rPr>
            </w:pPr>
            <w:proofErr w:type="spellStart"/>
            <w:r w:rsidRPr="007E4DA1">
              <w:rPr>
                <w:b/>
                <w:bCs/>
                <w:szCs w:val="22"/>
                <w:lang w:val="fr-CH"/>
              </w:rPr>
              <w:t>România</w:t>
            </w:r>
            <w:proofErr w:type="spellEnd"/>
          </w:p>
          <w:p w14:paraId="15DA3DF1" w14:textId="6FC52CB2" w:rsidR="00EE79C2" w:rsidRPr="007E4DA1" w:rsidRDefault="00EE79C2" w:rsidP="00DE1596">
            <w:pPr>
              <w:autoSpaceDE w:val="0"/>
              <w:autoSpaceDN w:val="0"/>
              <w:adjustRightInd w:val="0"/>
              <w:rPr>
                <w:szCs w:val="22"/>
                <w:lang w:val="fr-CH"/>
              </w:rPr>
            </w:pPr>
            <w:r w:rsidRPr="007E4DA1">
              <w:rPr>
                <w:szCs w:val="22"/>
                <w:lang w:val="fr-CH"/>
              </w:rPr>
              <w:t xml:space="preserve">Novartis Pharma Services </w:t>
            </w:r>
            <w:r w:rsidRPr="001742B3">
              <w:rPr>
                <w:szCs w:val="22"/>
                <w:lang w:val="fr-CH"/>
              </w:rPr>
              <w:t>Romania SRL</w:t>
            </w:r>
          </w:p>
          <w:p w14:paraId="70870EEE" w14:textId="77777777" w:rsidR="00EE79C2" w:rsidRPr="007E4DA1" w:rsidRDefault="00EE79C2" w:rsidP="00DE1596">
            <w:pPr>
              <w:tabs>
                <w:tab w:val="left" w:pos="-720"/>
              </w:tabs>
              <w:suppressAutoHyphens/>
              <w:rPr>
                <w:szCs w:val="22"/>
                <w:lang w:val="fr-FR"/>
              </w:rPr>
            </w:pPr>
            <w:r w:rsidRPr="007E4DA1">
              <w:rPr>
                <w:szCs w:val="22"/>
                <w:lang w:val="en-US"/>
              </w:rPr>
              <w:t>Tel: +40 21 31299 01</w:t>
            </w:r>
          </w:p>
        </w:tc>
      </w:tr>
      <w:tr w:rsidR="00EE79C2" w:rsidRPr="007E4DA1" w14:paraId="7D46CEE5" w14:textId="77777777" w:rsidTr="00291DF6">
        <w:trPr>
          <w:cantSplit/>
        </w:trPr>
        <w:tc>
          <w:tcPr>
            <w:tcW w:w="4678" w:type="dxa"/>
          </w:tcPr>
          <w:p w14:paraId="3042C89D" w14:textId="77777777" w:rsidR="00041A08" w:rsidRPr="00041A08" w:rsidRDefault="00EE79C2" w:rsidP="00DE1596">
            <w:pPr>
              <w:rPr>
                <w:szCs w:val="22"/>
                <w:lang w:val="en-US"/>
              </w:rPr>
            </w:pPr>
            <w:r w:rsidRPr="007E4DA1">
              <w:rPr>
                <w:b/>
                <w:szCs w:val="22"/>
                <w:lang w:val="en-US"/>
              </w:rPr>
              <w:t>Ireland</w:t>
            </w:r>
          </w:p>
          <w:p w14:paraId="7C18DE2D" w14:textId="002F43A5" w:rsidR="00EE79C2" w:rsidRPr="007E4DA1" w:rsidRDefault="00EE79C2" w:rsidP="00DE1596">
            <w:pPr>
              <w:rPr>
                <w:szCs w:val="22"/>
                <w:lang w:val="en-US"/>
              </w:rPr>
            </w:pPr>
            <w:r w:rsidRPr="007E4DA1">
              <w:rPr>
                <w:szCs w:val="22"/>
                <w:lang w:val="en-US"/>
              </w:rPr>
              <w:t>Novartis Ireland Limited</w:t>
            </w:r>
          </w:p>
          <w:p w14:paraId="61106140" w14:textId="77777777" w:rsidR="00EE79C2" w:rsidRPr="007E4DA1" w:rsidRDefault="00EE79C2" w:rsidP="00DE1596">
            <w:pPr>
              <w:rPr>
                <w:szCs w:val="22"/>
                <w:lang w:val="en-US"/>
              </w:rPr>
            </w:pPr>
            <w:r w:rsidRPr="007E4DA1">
              <w:rPr>
                <w:szCs w:val="22"/>
                <w:lang w:val="en-US"/>
              </w:rPr>
              <w:t>Tel: +353 1 260 12 55</w:t>
            </w:r>
          </w:p>
          <w:p w14:paraId="4C6FCCA9" w14:textId="77777777" w:rsidR="00EE79C2" w:rsidRPr="007E4DA1" w:rsidRDefault="00EE79C2" w:rsidP="00DE1596">
            <w:pPr>
              <w:rPr>
                <w:b/>
                <w:szCs w:val="22"/>
                <w:lang w:val="en-US"/>
              </w:rPr>
            </w:pPr>
          </w:p>
        </w:tc>
        <w:tc>
          <w:tcPr>
            <w:tcW w:w="4678" w:type="dxa"/>
          </w:tcPr>
          <w:p w14:paraId="477FFC26" w14:textId="77777777" w:rsidR="00041A08" w:rsidRPr="00041A08" w:rsidRDefault="00EE79C2" w:rsidP="00DE1596">
            <w:pPr>
              <w:rPr>
                <w:szCs w:val="22"/>
                <w:lang w:val="sl-SI"/>
              </w:rPr>
            </w:pPr>
            <w:r w:rsidRPr="007E4DA1">
              <w:rPr>
                <w:b/>
                <w:szCs w:val="22"/>
                <w:lang w:val="sl-SI"/>
              </w:rPr>
              <w:t>Slovenija</w:t>
            </w:r>
          </w:p>
          <w:p w14:paraId="636CFB52" w14:textId="0D17074E" w:rsidR="00EE79C2" w:rsidRPr="007E4DA1" w:rsidRDefault="00EE79C2" w:rsidP="00DE1596">
            <w:pPr>
              <w:rPr>
                <w:szCs w:val="22"/>
                <w:lang w:val="sl-SI"/>
              </w:rPr>
            </w:pPr>
            <w:r w:rsidRPr="007E4DA1">
              <w:rPr>
                <w:szCs w:val="22"/>
                <w:lang w:val="sl-SI"/>
              </w:rPr>
              <w:t>Novartis Pharma Services Inc.</w:t>
            </w:r>
          </w:p>
          <w:p w14:paraId="66F26CDA" w14:textId="77777777" w:rsidR="00EE79C2" w:rsidRPr="007E4DA1" w:rsidRDefault="00EE79C2" w:rsidP="00DE1596">
            <w:pPr>
              <w:rPr>
                <w:szCs w:val="22"/>
                <w:lang w:val="sl-SI"/>
              </w:rPr>
            </w:pPr>
            <w:r w:rsidRPr="007E4DA1">
              <w:rPr>
                <w:szCs w:val="22"/>
                <w:lang w:val="sl-SI"/>
              </w:rPr>
              <w:t>Tel: +386 1 300 75 50</w:t>
            </w:r>
          </w:p>
        </w:tc>
      </w:tr>
      <w:tr w:rsidR="00EE79C2" w:rsidRPr="007E4DA1" w14:paraId="2AF23651" w14:textId="77777777" w:rsidTr="00291DF6">
        <w:trPr>
          <w:cantSplit/>
        </w:trPr>
        <w:tc>
          <w:tcPr>
            <w:tcW w:w="4678" w:type="dxa"/>
          </w:tcPr>
          <w:p w14:paraId="56BC3EB9" w14:textId="77777777" w:rsidR="00041A08" w:rsidRPr="00041A08" w:rsidRDefault="00EE79C2" w:rsidP="00DE1596">
            <w:pPr>
              <w:rPr>
                <w:szCs w:val="22"/>
                <w:lang w:val="is-IS"/>
              </w:rPr>
            </w:pPr>
            <w:r w:rsidRPr="007E4DA1">
              <w:rPr>
                <w:b/>
                <w:szCs w:val="22"/>
                <w:lang w:val="is-IS"/>
              </w:rPr>
              <w:t>Ísland</w:t>
            </w:r>
          </w:p>
          <w:p w14:paraId="527F47C9" w14:textId="13F91C38" w:rsidR="00EE79C2" w:rsidRPr="007E4DA1" w:rsidRDefault="00EE79C2" w:rsidP="00DE1596">
            <w:pPr>
              <w:rPr>
                <w:szCs w:val="22"/>
                <w:lang w:val="is-IS"/>
              </w:rPr>
            </w:pPr>
            <w:r w:rsidRPr="007E4DA1">
              <w:rPr>
                <w:szCs w:val="22"/>
                <w:lang w:val="is-IS"/>
              </w:rPr>
              <w:t>Vistor hf.</w:t>
            </w:r>
          </w:p>
          <w:p w14:paraId="77F1DE28" w14:textId="77777777" w:rsidR="00EE79C2" w:rsidRPr="007E4DA1" w:rsidRDefault="00EE79C2" w:rsidP="00DE1596">
            <w:pPr>
              <w:tabs>
                <w:tab w:val="left" w:pos="-720"/>
              </w:tabs>
              <w:suppressAutoHyphens/>
              <w:rPr>
                <w:szCs w:val="22"/>
                <w:lang w:val="is-IS"/>
              </w:rPr>
            </w:pPr>
            <w:r w:rsidRPr="007E4DA1">
              <w:rPr>
                <w:noProof/>
                <w:szCs w:val="22"/>
              </w:rPr>
              <w:t>Sími</w:t>
            </w:r>
            <w:r w:rsidRPr="007E4DA1">
              <w:rPr>
                <w:szCs w:val="22"/>
                <w:lang w:val="is-IS"/>
              </w:rPr>
              <w:t>: +354 535 7000</w:t>
            </w:r>
          </w:p>
          <w:p w14:paraId="14E49334" w14:textId="77777777" w:rsidR="00EE79C2" w:rsidRPr="007E4DA1" w:rsidRDefault="00EE79C2" w:rsidP="00DE1596">
            <w:pPr>
              <w:rPr>
                <w:szCs w:val="22"/>
              </w:rPr>
            </w:pPr>
          </w:p>
        </w:tc>
        <w:tc>
          <w:tcPr>
            <w:tcW w:w="4678" w:type="dxa"/>
          </w:tcPr>
          <w:p w14:paraId="56B1B631" w14:textId="77777777" w:rsidR="00041A08" w:rsidRPr="00041A08" w:rsidRDefault="00EE79C2" w:rsidP="00DE1596">
            <w:pPr>
              <w:tabs>
                <w:tab w:val="left" w:pos="-720"/>
              </w:tabs>
              <w:suppressAutoHyphens/>
              <w:rPr>
                <w:szCs w:val="22"/>
                <w:lang w:val="sk-SK"/>
              </w:rPr>
            </w:pPr>
            <w:r w:rsidRPr="007E4DA1">
              <w:rPr>
                <w:b/>
                <w:szCs w:val="22"/>
                <w:lang w:val="sk-SK"/>
              </w:rPr>
              <w:t>Slovenská republika</w:t>
            </w:r>
          </w:p>
          <w:p w14:paraId="52E2C5F0" w14:textId="0EBF29C2" w:rsidR="00EE79C2" w:rsidRPr="007E4DA1" w:rsidRDefault="00EE79C2" w:rsidP="00DE1596">
            <w:pPr>
              <w:rPr>
                <w:szCs w:val="22"/>
                <w:lang w:val="sk-SK"/>
              </w:rPr>
            </w:pPr>
            <w:r w:rsidRPr="007E4DA1">
              <w:rPr>
                <w:szCs w:val="22"/>
                <w:lang w:val="sk-SK"/>
              </w:rPr>
              <w:t>Novartis Slovakia s.r.o.</w:t>
            </w:r>
          </w:p>
          <w:p w14:paraId="60D06DB7" w14:textId="77777777" w:rsidR="00EE79C2" w:rsidRPr="007E4DA1" w:rsidRDefault="00EE79C2" w:rsidP="00DE1596">
            <w:pPr>
              <w:rPr>
                <w:szCs w:val="22"/>
                <w:lang w:val="sk-SK"/>
              </w:rPr>
            </w:pPr>
            <w:r w:rsidRPr="007E4DA1">
              <w:rPr>
                <w:szCs w:val="22"/>
                <w:lang w:val="sk-SK"/>
              </w:rPr>
              <w:t>Tel: +421 2 5542 5439</w:t>
            </w:r>
          </w:p>
          <w:p w14:paraId="370DE40A" w14:textId="77777777" w:rsidR="00EE79C2" w:rsidRPr="007E4DA1" w:rsidRDefault="00EE79C2" w:rsidP="00DE1596">
            <w:pPr>
              <w:tabs>
                <w:tab w:val="left" w:pos="-720"/>
              </w:tabs>
              <w:suppressAutoHyphens/>
              <w:rPr>
                <w:szCs w:val="22"/>
                <w:lang w:val="sk-SK"/>
              </w:rPr>
            </w:pPr>
          </w:p>
        </w:tc>
      </w:tr>
      <w:tr w:rsidR="00EE79C2" w:rsidRPr="00545251" w14:paraId="616BC40E" w14:textId="77777777" w:rsidTr="00291DF6">
        <w:trPr>
          <w:cantSplit/>
        </w:trPr>
        <w:tc>
          <w:tcPr>
            <w:tcW w:w="4678" w:type="dxa"/>
          </w:tcPr>
          <w:p w14:paraId="7FD7F60C" w14:textId="77777777" w:rsidR="00041A08" w:rsidRPr="00041A08" w:rsidRDefault="00EE79C2" w:rsidP="00DE1596">
            <w:pPr>
              <w:rPr>
                <w:szCs w:val="22"/>
                <w:lang w:val="pt-BR"/>
              </w:rPr>
            </w:pPr>
            <w:r w:rsidRPr="007E4DA1">
              <w:rPr>
                <w:b/>
                <w:szCs w:val="22"/>
                <w:lang w:val="pt-BR"/>
              </w:rPr>
              <w:t>Italia</w:t>
            </w:r>
          </w:p>
          <w:p w14:paraId="784864F9" w14:textId="7AA750E9" w:rsidR="00EE79C2" w:rsidRPr="007E4DA1" w:rsidRDefault="00EE79C2" w:rsidP="00DE1596">
            <w:pPr>
              <w:rPr>
                <w:szCs w:val="22"/>
                <w:lang w:val="pt-BR"/>
              </w:rPr>
            </w:pPr>
            <w:r w:rsidRPr="007E4DA1">
              <w:rPr>
                <w:szCs w:val="22"/>
                <w:lang w:val="pt-BR"/>
              </w:rPr>
              <w:t>Novartis Farma S.p.A.</w:t>
            </w:r>
          </w:p>
          <w:p w14:paraId="0C569EE5" w14:textId="77777777" w:rsidR="00EE79C2" w:rsidRPr="007E4DA1" w:rsidRDefault="00EE79C2" w:rsidP="00DE1596">
            <w:pPr>
              <w:rPr>
                <w:b/>
                <w:szCs w:val="22"/>
                <w:lang w:val="pt-PT"/>
              </w:rPr>
            </w:pPr>
            <w:r w:rsidRPr="007E4DA1">
              <w:rPr>
                <w:szCs w:val="22"/>
                <w:lang w:val="it-IT"/>
              </w:rPr>
              <w:t>Tel: +39 02 96 54 1</w:t>
            </w:r>
          </w:p>
        </w:tc>
        <w:tc>
          <w:tcPr>
            <w:tcW w:w="4678" w:type="dxa"/>
          </w:tcPr>
          <w:p w14:paraId="7DEA1D31" w14:textId="77777777" w:rsidR="00041A08" w:rsidRPr="00041A08" w:rsidRDefault="00EE79C2" w:rsidP="00DE1596">
            <w:pPr>
              <w:tabs>
                <w:tab w:val="left" w:pos="-720"/>
                <w:tab w:val="left" w:pos="4536"/>
              </w:tabs>
              <w:suppressAutoHyphens/>
              <w:rPr>
                <w:szCs w:val="22"/>
                <w:lang w:val="fi-FI"/>
              </w:rPr>
            </w:pPr>
            <w:r w:rsidRPr="007E4DA1">
              <w:rPr>
                <w:b/>
                <w:szCs w:val="22"/>
                <w:lang w:val="fi-FI"/>
              </w:rPr>
              <w:t>Suomi/Finland</w:t>
            </w:r>
          </w:p>
          <w:p w14:paraId="795B80B9" w14:textId="1B0730DC" w:rsidR="00EE79C2" w:rsidRPr="007E4DA1" w:rsidRDefault="00EE79C2" w:rsidP="00DE1596">
            <w:pPr>
              <w:rPr>
                <w:szCs w:val="22"/>
                <w:lang w:val="fi-FI"/>
              </w:rPr>
            </w:pPr>
            <w:r w:rsidRPr="007E4DA1">
              <w:rPr>
                <w:szCs w:val="22"/>
                <w:lang w:val="fi-FI"/>
              </w:rPr>
              <w:t>Novartis Finland Oy</w:t>
            </w:r>
          </w:p>
          <w:p w14:paraId="46662F38" w14:textId="77777777" w:rsidR="00EE79C2" w:rsidRPr="007E4DA1" w:rsidRDefault="00EE79C2" w:rsidP="00DE1596">
            <w:pPr>
              <w:rPr>
                <w:szCs w:val="22"/>
                <w:lang w:val="fi-FI"/>
              </w:rPr>
            </w:pPr>
            <w:r w:rsidRPr="007E4DA1">
              <w:rPr>
                <w:szCs w:val="22"/>
                <w:lang w:val="fi-FI"/>
              </w:rPr>
              <w:t xml:space="preserve">Puh/Tel: +358 </w:t>
            </w:r>
            <w:r w:rsidRPr="007E4DA1">
              <w:rPr>
                <w:szCs w:val="22"/>
                <w:lang w:val="de-CH" w:bidi="he-IL"/>
              </w:rPr>
              <w:t>(0)10 6133 200</w:t>
            </w:r>
          </w:p>
          <w:p w14:paraId="592E547A" w14:textId="77777777" w:rsidR="00EE79C2" w:rsidRPr="007E4DA1" w:rsidRDefault="00EE79C2" w:rsidP="00DE1596">
            <w:pPr>
              <w:tabs>
                <w:tab w:val="left" w:pos="-720"/>
              </w:tabs>
              <w:suppressAutoHyphens/>
              <w:rPr>
                <w:szCs w:val="22"/>
                <w:lang w:val="sv-SE"/>
              </w:rPr>
            </w:pPr>
          </w:p>
        </w:tc>
      </w:tr>
      <w:tr w:rsidR="00EE79C2" w:rsidRPr="00545251" w14:paraId="406C63B2" w14:textId="77777777" w:rsidTr="00291DF6">
        <w:trPr>
          <w:cantSplit/>
        </w:trPr>
        <w:tc>
          <w:tcPr>
            <w:tcW w:w="4678" w:type="dxa"/>
          </w:tcPr>
          <w:p w14:paraId="4E924B7C" w14:textId="77777777" w:rsidR="00041A08" w:rsidRPr="00041A08" w:rsidRDefault="00EE79C2" w:rsidP="00DE1596">
            <w:pPr>
              <w:rPr>
                <w:szCs w:val="22"/>
                <w:lang w:val="el-GR"/>
              </w:rPr>
            </w:pPr>
            <w:r w:rsidRPr="007E4DA1">
              <w:rPr>
                <w:b/>
                <w:szCs w:val="22"/>
                <w:lang w:val="el-GR"/>
              </w:rPr>
              <w:t>Κύπρος</w:t>
            </w:r>
          </w:p>
          <w:p w14:paraId="725C5270" w14:textId="196EE6A0" w:rsidR="00EE79C2" w:rsidRPr="007E4DA1" w:rsidRDefault="00EE79C2" w:rsidP="00DE1596">
            <w:pPr>
              <w:rPr>
                <w:szCs w:val="22"/>
                <w:lang w:val="el-GR"/>
              </w:rPr>
            </w:pPr>
            <w:r w:rsidRPr="007E4DA1">
              <w:rPr>
                <w:lang w:val="fr-CH"/>
              </w:rPr>
              <w:t>Novartis Pharma Services Inc.</w:t>
            </w:r>
          </w:p>
          <w:p w14:paraId="5AD3834E" w14:textId="77777777" w:rsidR="00EE79C2" w:rsidRPr="007E4DA1" w:rsidRDefault="00EE79C2" w:rsidP="00DE1596">
            <w:pPr>
              <w:tabs>
                <w:tab w:val="left" w:pos="-720"/>
              </w:tabs>
              <w:suppressAutoHyphens/>
              <w:rPr>
                <w:szCs w:val="22"/>
                <w:lang w:val="el-GR"/>
              </w:rPr>
            </w:pPr>
            <w:r w:rsidRPr="007E4DA1">
              <w:rPr>
                <w:szCs w:val="22"/>
                <w:lang w:val="el-GR"/>
              </w:rPr>
              <w:t>Τηλ: +357 22 690 690</w:t>
            </w:r>
          </w:p>
          <w:p w14:paraId="7F612179" w14:textId="77777777" w:rsidR="00EE79C2" w:rsidRPr="007E4DA1" w:rsidRDefault="00EE79C2" w:rsidP="00DE1596">
            <w:pPr>
              <w:rPr>
                <w:b/>
                <w:szCs w:val="22"/>
                <w:lang w:val="el-GR"/>
              </w:rPr>
            </w:pPr>
          </w:p>
        </w:tc>
        <w:tc>
          <w:tcPr>
            <w:tcW w:w="4678" w:type="dxa"/>
          </w:tcPr>
          <w:p w14:paraId="48DBBB9C" w14:textId="77777777" w:rsidR="00041A08" w:rsidRPr="00041A08" w:rsidRDefault="00EE79C2" w:rsidP="00DE1596">
            <w:pPr>
              <w:tabs>
                <w:tab w:val="left" w:pos="-720"/>
                <w:tab w:val="left" w:pos="4536"/>
              </w:tabs>
              <w:suppressAutoHyphens/>
              <w:rPr>
                <w:szCs w:val="22"/>
                <w:lang w:val="sv-SE"/>
              </w:rPr>
            </w:pPr>
            <w:r w:rsidRPr="007E4DA1">
              <w:rPr>
                <w:b/>
                <w:szCs w:val="22"/>
                <w:lang w:val="sv-SE"/>
              </w:rPr>
              <w:t>Sverige</w:t>
            </w:r>
          </w:p>
          <w:p w14:paraId="694279EB" w14:textId="5D66B933" w:rsidR="00EE79C2" w:rsidRPr="007E4DA1" w:rsidRDefault="00EE79C2" w:rsidP="00DE1596">
            <w:pPr>
              <w:rPr>
                <w:szCs w:val="22"/>
                <w:lang w:val="sv-SE"/>
              </w:rPr>
            </w:pPr>
            <w:r w:rsidRPr="007E4DA1">
              <w:rPr>
                <w:szCs w:val="22"/>
                <w:lang w:val="sv-SE"/>
              </w:rPr>
              <w:t>Novartis Sverige AB</w:t>
            </w:r>
          </w:p>
          <w:p w14:paraId="364C0A08" w14:textId="77777777" w:rsidR="00EE79C2" w:rsidRPr="007E4DA1" w:rsidRDefault="00EE79C2" w:rsidP="00DE1596">
            <w:pPr>
              <w:rPr>
                <w:szCs w:val="22"/>
                <w:lang w:val="sv-SE"/>
              </w:rPr>
            </w:pPr>
            <w:r w:rsidRPr="007E4DA1">
              <w:rPr>
                <w:szCs w:val="22"/>
                <w:lang w:val="sv-SE"/>
              </w:rPr>
              <w:t>Tel: +46 8 732 32 00</w:t>
            </w:r>
          </w:p>
          <w:p w14:paraId="1E29B0B2" w14:textId="77777777" w:rsidR="00EE79C2" w:rsidRPr="007E4DA1" w:rsidRDefault="00EE79C2" w:rsidP="00DE1596">
            <w:pPr>
              <w:tabs>
                <w:tab w:val="left" w:pos="-720"/>
                <w:tab w:val="left" w:pos="4536"/>
              </w:tabs>
              <w:suppressAutoHyphens/>
              <w:rPr>
                <w:szCs w:val="22"/>
                <w:lang w:val="fi-FI"/>
              </w:rPr>
            </w:pPr>
          </w:p>
        </w:tc>
      </w:tr>
      <w:tr w:rsidR="00EE79C2" w:rsidRPr="00545251" w14:paraId="6EC72244" w14:textId="77777777" w:rsidTr="00291DF6">
        <w:trPr>
          <w:cantSplit/>
        </w:trPr>
        <w:tc>
          <w:tcPr>
            <w:tcW w:w="4678" w:type="dxa"/>
          </w:tcPr>
          <w:p w14:paraId="492447A7" w14:textId="77777777" w:rsidR="00041A08" w:rsidRPr="00041A08" w:rsidRDefault="00EE79C2" w:rsidP="00DE1596">
            <w:pPr>
              <w:rPr>
                <w:szCs w:val="22"/>
                <w:lang w:val="lv-LV"/>
              </w:rPr>
            </w:pPr>
            <w:r w:rsidRPr="007E4DA1">
              <w:rPr>
                <w:b/>
                <w:szCs w:val="22"/>
                <w:lang w:val="lv-LV"/>
              </w:rPr>
              <w:t>Latvija</w:t>
            </w:r>
          </w:p>
          <w:p w14:paraId="4EB0029A" w14:textId="30B92098" w:rsidR="00792850" w:rsidRPr="007E4DA1" w:rsidRDefault="00792850" w:rsidP="00DE1596">
            <w:pPr>
              <w:rPr>
                <w:szCs w:val="22"/>
                <w:lang w:val="lv-LV"/>
              </w:rPr>
            </w:pPr>
            <w:r w:rsidRPr="007E4DA1">
              <w:rPr>
                <w:szCs w:val="22"/>
                <w:lang w:val="lv-LV"/>
              </w:rPr>
              <w:t>SIA Novartis Baltics</w:t>
            </w:r>
          </w:p>
          <w:p w14:paraId="5160B139" w14:textId="77777777" w:rsidR="00EE79C2" w:rsidRPr="007E4DA1" w:rsidRDefault="00EE79C2" w:rsidP="00DE1596">
            <w:pPr>
              <w:tabs>
                <w:tab w:val="left" w:pos="-720"/>
              </w:tabs>
              <w:suppressAutoHyphens/>
              <w:rPr>
                <w:szCs w:val="22"/>
                <w:lang w:val="lv-LV"/>
              </w:rPr>
            </w:pPr>
            <w:r w:rsidRPr="007E4DA1">
              <w:rPr>
                <w:szCs w:val="22"/>
                <w:lang w:val="lv-LV"/>
              </w:rPr>
              <w:t>Tel: +371 67 887 070</w:t>
            </w:r>
          </w:p>
          <w:p w14:paraId="057BCB66" w14:textId="77777777" w:rsidR="00EE79C2" w:rsidRPr="007E4DA1" w:rsidRDefault="00EE79C2" w:rsidP="00DE1596">
            <w:pPr>
              <w:tabs>
                <w:tab w:val="left" w:pos="-720"/>
              </w:tabs>
              <w:suppressAutoHyphens/>
              <w:rPr>
                <w:szCs w:val="22"/>
                <w:lang w:val="fi-FI"/>
              </w:rPr>
            </w:pPr>
          </w:p>
        </w:tc>
        <w:tc>
          <w:tcPr>
            <w:tcW w:w="4678" w:type="dxa"/>
          </w:tcPr>
          <w:p w14:paraId="6507940A" w14:textId="77777777" w:rsidR="00EE79C2" w:rsidRPr="007E4DA1" w:rsidRDefault="00EE79C2" w:rsidP="00207756">
            <w:pPr>
              <w:tabs>
                <w:tab w:val="left" w:pos="-720"/>
              </w:tabs>
              <w:suppressAutoHyphens/>
              <w:rPr>
                <w:szCs w:val="22"/>
                <w:lang w:val="en-US"/>
              </w:rPr>
            </w:pPr>
          </w:p>
        </w:tc>
      </w:tr>
    </w:tbl>
    <w:p w14:paraId="687A745A" w14:textId="77777777" w:rsidR="00EE79C2" w:rsidRPr="00416C42" w:rsidRDefault="00EE79C2" w:rsidP="00DE1596">
      <w:pPr>
        <w:numPr>
          <w:ilvl w:val="12"/>
          <w:numId w:val="0"/>
        </w:numPr>
        <w:ind w:right="-2"/>
        <w:rPr>
          <w:noProof/>
          <w:szCs w:val="22"/>
        </w:rPr>
      </w:pPr>
    </w:p>
    <w:p w14:paraId="3CCE7F08" w14:textId="77777777" w:rsidR="005B4BC8" w:rsidRPr="007E4DA1" w:rsidRDefault="005B4BC8" w:rsidP="00DE1596">
      <w:pPr>
        <w:ind w:left="0" w:firstLine="0"/>
      </w:pPr>
      <w:r w:rsidRPr="007E4DA1">
        <w:rPr>
          <w:b/>
        </w:rPr>
        <w:t xml:space="preserve">Data </w:t>
      </w:r>
      <w:r w:rsidR="002327A3" w:rsidRPr="007E4DA1">
        <w:rPr>
          <w:b/>
        </w:rPr>
        <w:t xml:space="preserve">ostatniej aktualizacji </w:t>
      </w:r>
      <w:r w:rsidRPr="007E4DA1">
        <w:rPr>
          <w:b/>
        </w:rPr>
        <w:t>ulotki:</w:t>
      </w:r>
    </w:p>
    <w:p w14:paraId="58EC23AE" w14:textId="77777777" w:rsidR="005B4BC8" w:rsidRPr="007E4DA1" w:rsidRDefault="005B4BC8" w:rsidP="00DE1596">
      <w:pPr>
        <w:ind w:left="0" w:firstLine="0"/>
      </w:pPr>
    </w:p>
    <w:p w14:paraId="7621B8E1" w14:textId="4E75E0BA" w:rsidR="00A350DA" w:rsidRPr="007E4DA1" w:rsidRDefault="005B4BC8" w:rsidP="00DE1596">
      <w:pPr>
        <w:ind w:left="0" w:firstLine="0"/>
        <w:rPr>
          <w:color w:val="000000"/>
        </w:rPr>
      </w:pPr>
      <w:r w:rsidRPr="007E4DA1">
        <w:t>Szczegółow</w:t>
      </w:r>
      <w:r w:rsidR="009A0FE4" w:rsidRPr="007E4DA1">
        <w:t>e</w:t>
      </w:r>
      <w:r w:rsidRPr="007E4DA1">
        <w:t xml:space="preserve"> informacj</w:t>
      </w:r>
      <w:r w:rsidR="009A0FE4" w:rsidRPr="007E4DA1">
        <w:t>e</w:t>
      </w:r>
      <w:r w:rsidRPr="007E4DA1">
        <w:t xml:space="preserve"> o tym leku </w:t>
      </w:r>
      <w:r w:rsidR="009A0FE4" w:rsidRPr="007E4DA1">
        <w:t>znajdują się</w:t>
      </w:r>
      <w:r w:rsidRPr="007E4DA1">
        <w:t xml:space="preserve"> na stronie internetowej Europejskiej Agencji </w:t>
      </w:r>
      <w:r w:rsidR="009A0FE4" w:rsidRPr="007E4DA1">
        <w:t>Leków</w:t>
      </w:r>
      <w:r w:rsidRPr="007E4DA1">
        <w:rPr>
          <w:color w:val="000000"/>
        </w:rPr>
        <w:t xml:space="preserve"> </w:t>
      </w:r>
      <w:hyperlink r:id="rId13" w:history="1">
        <w:r w:rsidR="004D3758" w:rsidRPr="004D3758">
          <w:rPr>
            <w:rStyle w:val="Hyperlink"/>
          </w:rPr>
          <w:t>https://www.ema.europa.eu</w:t>
        </w:r>
      </w:hyperlink>
      <w:r w:rsidRPr="007E4DA1">
        <w:rPr>
          <w:color w:val="000000"/>
        </w:rPr>
        <w:t>.</w:t>
      </w:r>
    </w:p>
    <w:p w14:paraId="44B91B08" w14:textId="77777777" w:rsidR="00041A08" w:rsidRPr="00041A08" w:rsidRDefault="00A350DA" w:rsidP="00DE1596">
      <w:pPr>
        <w:ind w:left="0" w:firstLine="0"/>
        <w:jc w:val="center"/>
      </w:pPr>
      <w:r w:rsidRPr="007E4DA1">
        <w:rPr>
          <w:color w:val="000000"/>
        </w:rPr>
        <w:br w:type="page"/>
      </w:r>
      <w:r w:rsidRPr="007E4DA1">
        <w:rPr>
          <w:b/>
          <w:noProof/>
          <w:szCs w:val="24"/>
        </w:rPr>
        <w:t>Ulotka dołączona do opakowania: informacja dla użytkownika</w:t>
      </w:r>
    </w:p>
    <w:p w14:paraId="5385F1AF" w14:textId="0FDDA2BE" w:rsidR="00A350DA" w:rsidRPr="007E4DA1" w:rsidRDefault="00A350DA" w:rsidP="00DE1596">
      <w:pPr>
        <w:jc w:val="center"/>
      </w:pPr>
    </w:p>
    <w:p w14:paraId="45C47D6A" w14:textId="77777777" w:rsidR="00041A08" w:rsidRPr="00041A08" w:rsidRDefault="004E7A5F" w:rsidP="00DE1596">
      <w:pPr>
        <w:numPr>
          <w:ilvl w:val="12"/>
          <w:numId w:val="0"/>
        </w:numPr>
        <w:jc w:val="center"/>
      </w:pPr>
      <w:r w:rsidRPr="007E4DA1">
        <w:rPr>
          <w:b/>
        </w:rPr>
        <w:t>Revolade 25 </w:t>
      </w:r>
      <w:r w:rsidRPr="007E4DA1">
        <w:t xml:space="preserve">mg </w:t>
      </w:r>
      <w:r w:rsidRPr="007E4DA1">
        <w:rPr>
          <w:szCs w:val="22"/>
        </w:rPr>
        <w:t>proszek do sporządzania zawiesiny doustnej</w:t>
      </w:r>
    </w:p>
    <w:p w14:paraId="5BDD0907" w14:textId="0C4ECABD" w:rsidR="00A350DA" w:rsidRPr="007E4DA1" w:rsidRDefault="00F542A5" w:rsidP="00DE1596">
      <w:pPr>
        <w:numPr>
          <w:ilvl w:val="12"/>
          <w:numId w:val="0"/>
        </w:numPr>
        <w:jc w:val="center"/>
      </w:pPr>
      <w:r w:rsidRPr="007E4DA1">
        <w:t>e</w:t>
      </w:r>
      <w:r w:rsidR="00A350DA" w:rsidRPr="007E4DA1">
        <w:t>ltrombopag</w:t>
      </w:r>
    </w:p>
    <w:p w14:paraId="49B04874" w14:textId="77777777" w:rsidR="00A350DA" w:rsidRPr="007E4DA1" w:rsidRDefault="00A350DA" w:rsidP="00DE1596">
      <w:pPr>
        <w:numPr>
          <w:ilvl w:val="12"/>
          <w:numId w:val="0"/>
        </w:numPr>
        <w:jc w:val="center"/>
      </w:pPr>
    </w:p>
    <w:p w14:paraId="5526A04D" w14:textId="77777777" w:rsidR="00041A08" w:rsidRPr="00041A08" w:rsidRDefault="00A350DA" w:rsidP="00DE1596">
      <w:pPr>
        <w:ind w:left="0" w:firstLine="0"/>
      </w:pPr>
      <w:r w:rsidRPr="007E4DA1">
        <w:rPr>
          <w:b/>
        </w:rPr>
        <w:t xml:space="preserve">Należy </w:t>
      </w:r>
      <w:r w:rsidR="004E7A5F" w:rsidRPr="007E4DA1">
        <w:rPr>
          <w:b/>
        </w:rPr>
        <w:t xml:space="preserve">uważnie </w:t>
      </w:r>
      <w:r w:rsidRPr="007E4DA1">
        <w:rPr>
          <w:b/>
        </w:rPr>
        <w:t>zapoznać się z treścią ulotki przed zastosowaniem leku, ponieważ zawiera ona informacje ważne dla pacjenta.</w:t>
      </w:r>
    </w:p>
    <w:p w14:paraId="2C047466" w14:textId="1E0C33A9" w:rsidR="00A350DA" w:rsidRPr="007E4DA1" w:rsidRDefault="00A350DA" w:rsidP="00DE1596">
      <w:pPr>
        <w:numPr>
          <w:ilvl w:val="0"/>
          <w:numId w:val="1"/>
        </w:numPr>
        <w:tabs>
          <w:tab w:val="clear" w:pos="417"/>
        </w:tabs>
      </w:pPr>
      <w:r w:rsidRPr="007E4DA1">
        <w:t>Należy zachować tę ulotkę, aby w razie potrzeby móc ją ponownie przeczytać.</w:t>
      </w:r>
    </w:p>
    <w:p w14:paraId="41F23330" w14:textId="77777777" w:rsidR="00A350DA" w:rsidRPr="007E4DA1" w:rsidRDefault="004E7A5F" w:rsidP="00DE1596">
      <w:pPr>
        <w:numPr>
          <w:ilvl w:val="0"/>
          <w:numId w:val="1"/>
        </w:numPr>
        <w:tabs>
          <w:tab w:val="clear" w:pos="417"/>
        </w:tabs>
      </w:pPr>
      <w:r w:rsidRPr="007E4DA1">
        <w:t xml:space="preserve">W </w:t>
      </w:r>
      <w:r w:rsidR="00A350DA" w:rsidRPr="007E4DA1">
        <w:t>razie jakichkolwiek wątpliwości</w:t>
      </w:r>
      <w:r w:rsidRPr="007E4DA1">
        <w:t xml:space="preserve"> należy zwrócić się do lekarza lub farmaceuty</w:t>
      </w:r>
      <w:r w:rsidR="00A350DA" w:rsidRPr="007E4DA1">
        <w:t>.</w:t>
      </w:r>
    </w:p>
    <w:p w14:paraId="03A292E1" w14:textId="77777777" w:rsidR="00A350DA" w:rsidRPr="007E4DA1" w:rsidRDefault="00A350DA" w:rsidP="00DE1596">
      <w:pPr>
        <w:numPr>
          <w:ilvl w:val="0"/>
          <w:numId w:val="1"/>
        </w:numPr>
        <w:tabs>
          <w:tab w:val="clear" w:pos="417"/>
        </w:tabs>
      </w:pPr>
      <w:r w:rsidRPr="007E4DA1">
        <w:t>Lek ten przepisano ściśle określonej osobie. Nie należy go przekazywać innym. Lek może zaszkodzić innej osobie, nawet jeśli objawy jej choroby są takie same.</w:t>
      </w:r>
    </w:p>
    <w:p w14:paraId="0EE97E6F" w14:textId="77777777" w:rsidR="00A350DA" w:rsidRDefault="00A350DA" w:rsidP="00DE1596">
      <w:pPr>
        <w:numPr>
          <w:ilvl w:val="0"/>
          <w:numId w:val="1"/>
        </w:numPr>
        <w:tabs>
          <w:tab w:val="clear" w:pos="417"/>
        </w:tabs>
      </w:pPr>
      <w:r w:rsidRPr="007E4DA1">
        <w:t xml:space="preserve">Jeśli </w:t>
      </w:r>
      <w:r w:rsidR="004E7A5F" w:rsidRPr="007E4DA1">
        <w:t xml:space="preserve">u pacjenta </w:t>
      </w:r>
      <w:r w:rsidRPr="007E4DA1">
        <w:t>wystąpią jakiekolwiek objawy niepożądane, w tym wsz</w:t>
      </w:r>
      <w:r w:rsidR="004E7A5F" w:rsidRPr="007E4DA1">
        <w:t>elkie</w:t>
      </w:r>
      <w:r w:rsidRPr="007E4DA1">
        <w:t xml:space="preserve"> możliwe objawy niepożądane niewymienione w </w:t>
      </w:r>
      <w:r w:rsidR="004E7A5F" w:rsidRPr="007E4DA1">
        <w:t xml:space="preserve">tej </w:t>
      </w:r>
      <w:r w:rsidRPr="007E4DA1">
        <w:t>ulotce, należy powiedzieć o tym lekarzowi lub farmaceucie. Patrz punkt</w:t>
      </w:r>
      <w:r w:rsidR="003106E7" w:rsidRPr="007E4DA1">
        <w:t> </w:t>
      </w:r>
      <w:r w:rsidRPr="007E4DA1">
        <w:t>4.</w:t>
      </w:r>
    </w:p>
    <w:p w14:paraId="12EEDA02" w14:textId="52C5D8E7" w:rsidR="004D3758" w:rsidRPr="007E4DA1" w:rsidRDefault="004D3758" w:rsidP="00DE1596">
      <w:pPr>
        <w:numPr>
          <w:ilvl w:val="0"/>
          <w:numId w:val="1"/>
        </w:numPr>
        <w:tabs>
          <w:tab w:val="clear" w:pos="417"/>
        </w:tabs>
      </w:pPr>
      <w:r>
        <w:t>Informacje zawarte w tej ulotce odnoszą się do pacjenta lub dziecka, jednak w treści ulotki będziemy zwracać się tylko do pacjenta.</w:t>
      </w:r>
    </w:p>
    <w:p w14:paraId="2EA420BF" w14:textId="77777777" w:rsidR="00A350DA" w:rsidRPr="007E4DA1" w:rsidRDefault="00A350DA" w:rsidP="00DE1596"/>
    <w:p w14:paraId="53E25511" w14:textId="77777777" w:rsidR="00041A08" w:rsidRPr="00041A08" w:rsidRDefault="00A350DA" w:rsidP="00DE1596">
      <w:r w:rsidRPr="007E4DA1">
        <w:rPr>
          <w:b/>
        </w:rPr>
        <w:t>Spis treści ulotki:</w:t>
      </w:r>
    </w:p>
    <w:p w14:paraId="4A4F069D" w14:textId="45E095DF" w:rsidR="00A350DA" w:rsidRPr="007E4DA1" w:rsidRDefault="00A350DA" w:rsidP="00DE1596">
      <w:r w:rsidRPr="007E4DA1">
        <w:t>1.</w:t>
      </w:r>
      <w:r w:rsidRPr="007E4DA1">
        <w:tab/>
        <w:t>Co to jest lek Revolade i w jakim celu się go stosuje</w:t>
      </w:r>
    </w:p>
    <w:p w14:paraId="54BD9BFC" w14:textId="77777777" w:rsidR="00A350DA" w:rsidRPr="007E4DA1" w:rsidRDefault="00A350DA" w:rsidP="00DE1596">
      <w:pPr>
        <w:rPr>
          <w:bCs/>
        </w:rPr>
      </w:pPr>
      <w:r w:rsidRPr="007E4DA1">
        <w:t>2.</w:t>
      </w:r>
      <w:r w:rsidRPr="007E4DA1">
        <w:tab/>
      </w:r>
      <w:r w:rsidRPr="007E4DA1">
        <w:rPr>
          <w:bCs/>
        </w:rPr>
        <w:t>Informacje wa</w:t>
      </w:r>
      <w:r w:rsidRPr="007E4DA1">
        <w:t>ż</w:t>
      </w:r>
      <w:r w:rsidRPr="007E4DA1">
        <w:rPr>
          <w:bCs/>
        </w:rPr>
        <w:t xml:space="preserve">ne przed zastosowaniem </w:t>
      </w:r>
      <w:r w:rsidRPr="007E4DA1">
        <w:t xml:space="preserve">leku </w:t>
      </w:r>
      <w:r w:rsidRPr="007E4DA1">
        <w:rPr>
          <w:bCs/>
        </w:rPr>
        <w:t>Revolade</w:t>
      </w:r>
    </w:p>
    <w:p w14:paraId="0916026B" w14:textId="77777777" w:rsidR="00A350DA" w:rsidRPr="007E4DA1" w:rsidRDefault="00A350DA" w:rsidP="00DE1596">
      <w:r w:rsidRPr="007E4DA1">
        <w:t>3.</w:t>
      </w:r>
      <w:r w:rsidRPr="007E4DA1">
        <w:tab/>
        <w:t xml:space="preserve">Jak stosować lek </w:t>
      </w:r>
      <w:r w:rsidRPr="007E4DA1">
        <w:rPr>
          <w:bCs/>
        </w:rPr>
        <w:t>Revolade</w:t>
      </w:r>
    </w:p>
    <w:p w14:paraId="2C677D9E" w14:textId="77777777" w:rsidR="00A350DA" w:rsidRPr="007E4DA1" w:rsidRDefault="00A350DA" w:rsidP="00DE1596">
      <w:r w:rsidRPr="007E4DA1">
        <w:t>4.</w:t>
      </w:r>
      <w:r w:rsidRPr="007E4DA1">
        <w:tab/>
        <w:t>Możliwe działania niepożądane</w:t>
      </w:r>
    </w:p>
    <w:p w14:paraId="194AD976" w14:textId="77777777" w:rsidR="00A350DA" w:rsidRPr="007E4DA1" w:rsidRDefault="00A350DA" w:rsidP="00DE1596">
      <w:r w:rsidRPr="007E4DA1">
        <w:t>5.</w:t>
      </w:r>
      <w:r w:rsidRPr="007E4DA1">
        <w:tab/>
        <w:t xml:space="preserve">Jak przechowywać lek </w:t>
      </w:r>
      <w:r w:rsidRPr="007E4DA1">
        <w:rPr>
          <w:bCs/>
        </w:rPr>
        <w:t>Revolade</w:t>
      </w:r>
    </w:p>
    <w:p w14:paraId="67854D25" w14:textId="77777777" w:rsidR="00A350DA" w:rsidRPr="007E4DA1" w:rsidRDefault="00A350DA" w:rsidP="00DE1596">
      <w:r w:rsidRPr="007E4DA1">
        <w:t>6.</w:t>
      </w:r>
      <w:r w:rsidRPr="007E4DA1">
        <w:tab/>
        <w:t>Zawartość opakowania i inne informacje</w:t>
      </w:r>
    </w:p>
    <w:p w14:paraId="7FED7701" w14:textId="77777777" w:rsidR="00E10279" w:rsidRPr="007E4DA1" w:rsidRDefault="00E10279" w:rsidP="00DE1596">
      <w:r w:rsidRPr="007E4DA1">
        <w:tab/>
      </w:r>
      <w:r w:rsidRPr="007E4DA1">
        <w:rPr>
          <w:snapToGrid w:val="0"/>
          <w:szCs w:val="22"/>
          <w:lang w:eastAsia="en-US"/>
        </w:rPr>
        <w:t>Instrukcja stosowania</w:t>
      </w:r>
    </w:p>
    <w:p w14:paraId="53FB5726" w14:textId="77777777" w:rsidR="00A350DA" w:rsidRPr="007E4DA1" w:rsidRDefault="00A350DA" w:rsidP="00DE1596"/>
    <w:p w14:paraId="6C4B3B52" w14:textId="77777777" w:rsidR="00A350DA" w:rsidRPr="007E4DA1" w:rsidRDefault="00A350DA" w:rsidP="00DE1596"/>
    <w:p w14:paraId="19D1CF88" w14:textId="77777777" w:rsidR="00041A08" w:rsidRPr="00041A08" w:rsidRDefault="00A350DA" w:rsidP="00DE1596">
      <w:pPr>
        <w:keepNext/>
      </w:pPr>
      <w:r w:rsidRPr="007E4DA1">
        <w:rPr>
          <w:b/>
        </w:rPr>
        <w:t>1.</w:t>
      </w:r>
      <w:r w:rsidRPr="007E4DA1">
        <w:rPr>
          <w:b/>
        </w:rPr>
        <w:tab/>
        <w:t>Co to jest lek Revolade i w jakim celu się go stosuje</w:t>
      </w:r>
    </w:p>
    <w:p w14:paraId="4A62DF66" w14:textId="2CE64AD6" w:rsidR="00A350DA" w:rsidRPr="007E4DA1" w:rsidRDefault="00A350DA" w:rsidP="00DE1596">
      <w:pPr>
        <w:keepNext/>
      </w:pPr>
    </w:p>
    <w:p w14:paraId="4E211C87" w14:textId="77777777" w:rsidR="00A350DA" w:rsidRPr="007E4DA1" w:rsidRDefault="004E7A5F" w:rsidP="00DE1596">
      <w:pPr>
        <w:ind w:left="0" w:firstLine="0"/>
      </w:pPr>
      <w:r w:rsidRPr="007E4DA1">
        <w:t>Lek Revolade zawiera e</w:t>
      </w:r>
      <w:r w:rsidR="00A350DA" w:rsidRPr="007E4DA1">
        <w:t xml:space="preserve">ltrombopag, </w:t>
      </w:r>
      <w:r w:rsidRPr="007E4DA1">
        <w:t>który</w:t>
      </w:r>
      <w:r w:rsidR="00A350DA" w:rsidRPr="007E4DA1">
        <w:t xml:space="preserve"> należy do grupy leków zwanych agonistami receptora trombopoetyny. Lek stosowany jest w celu zwiększenia liczby płytek we krwi pacjenta. Płytki krwi są to składniki krwi, które pozwalają zmniejszyć ryzyko krwawienia lub jemu zapobiec.</w:t>
      </w:r>
    </w:p>
    <w:p w14:paraId="67504407" w14:textId="77777777" w:rsidR="00A350DA" w:rsidRPr="007E4DA1" w:rsidRDefault="00A350DA" w:rsidP="00DE1596"/>
    <w:p w14:paraId="0D4EAA58" w14:textId="77777777" w:rsidR="00B420C8" w:rsidRPr="007E4DA1" w:rsidRDefault="00A350DA" w:rsidP="00DE1596">
      <w:pPr>
        <w:numPr>
          <w:ilvl w:val="0"/>
          <w:numId w:val="58"/>
        </w:numPr>
        <w:ind w:left="567" w:hanging="567"/>
      </w:pPr>
      <w:r w:rsidRPr="007E4DA1">
        <w:t xml:space="preserve">Lek Revolade </w:t>
      </w:r>
      <w:r w:rsidR="00B420C8" w:rsidRPr="007E4DA1">
        <w:t>jest</w:t>
      </w:r>
      <w:r w:rsidRPr="007E4DA1">
        <w:t xml:space="preserve"> stosowany w leczeniu zaburzenia krzepliwości krwi zwanego małopłytkowością immunologiczną </w:t>
      </w:r>
      <w:r w:rsidR="00DF3447" w:rsidRPr="007E4DA1">
        <w:t xml:space="preserve">(pierwotną) </w:t>
      </w:r>
      <w:r w:rsidRPr="007E4DA1">
        <w:t xml:space="preserve">u pacjentów w wieku </w:t>
      </w:r>
      <w:r w:rsidR="00B420C8" w:rsidRPr="007E4DA1">
        <w:t xml:space="preserve">powyżej </w:t>
      </w:r>
      <w:r w:rsidRPr="007E4DA1">
        <w:t>1</w:t>
      </w:r>
      <w:r w:rsidR="00B420C8" w:rsidRPr="007E4DA1">
        <w:t> roku,</w:t>
      </w:r>
      <w:r w:rsidRPr="007E4DA1">
        <w:t xml:space="preserve"> którzy byli </w:t>
      </w:r>
      <w:r w:rsidR="00B420C8" w:rsidRPr="007E4DA1">
        <w:t xml:space="preserve">już </w:t>
      </w:r>
      <w:r w:rsidRPr="007E4DA1">
        <w:t xml:space="preserve">leczeni </w:t>
      </w:r>
      <w:r w:rsidR="00B420C8" w:rsidRPr="007E4DA1">
        <w:t>innymi lekami (</w:t>
      </w:r>
      <w:r w:rsidRPr="007E4DA1">
        <w:t>kortkosteroidami lub immunoglobulinami</w:t>
      </w:r>
      <w:r w:rsidR="00B420C8" w:rsidRPr="007E4DA1">
        <w:t>)</w:t>
      </w:r>
      <w:r w:rsidRPr="007E4DA1">
        <w:t>, i u których te leki nie zadziałały.</w:t>
      </w:r>
    </w:p>
    <w:p w14:paraId="1DE9B7BB" w14:textId="77777777" w:rsidR="00B420C8" w:rsidRPr="007E4DA1" w:rsidRDefault="00B420C8" w:rsidP="00DE1596">
      <w:pPr>
        <w:ind w:left="0" w:firstLine="0"/>
        <w:rPr>
          <w:szCs w:val="22"/>
        </w:rPr>
      </w:pPr>
    </w:p>
    <w:p w14:paraId="2A3A3888" w14:textId="77777777" w:rsidR="00A350DA" w:rsidRPr="007E4DA1" w:rsidRDefault="00B420C8" w:rsidP="00DE1596">
      <w:pPr>
        <w:ind w:firstLine="0"/>
      </w:pPr>
      <w:r w:rsidRPr="007E4DA1">
        <w:rPr>
          <w:szCs w:val="22"/>
        </w:rPr>
        <w:t>Małopłytkowość immunologiczna jest spowodowana małą liczbą płytek krwi (</w:t>
      </w:r>
      <w:r w:rsidR="00135549" w:rsidRPr="007E4DA1">
        <w:rPr>
          <w:szCs w:val="22"/>
        </w:rPr>
        <w:t>małopłytkowością</w:t>
      </w:r>
      <w:r w:rsidRPr="007E4DA1">
        <w:rPr>
          <w:szCs w:val="22"/>
        </w:rPr>
        <w:t xml:space="preserve">). Osoby z małopłytkowością immunologiczną </w:t>
      </w:r>
      <w:r w:rsidR="00135549" w:rsidRPr="007E4DA1">
        <w:rPr>
          <w:szCs w:val="22"/>
        </w:rPr>
        <w:t xml:space="preserve">są bardziej narażone na </w:t>
      </w:r>
      <w:r w:rsidRPr="007E4DA1">
        <w:rPr>
          <w:szCs w:val="22"/>
        </w:rPr>
        <w:t>krwawienia. Do objawów, jakie pacjenci z małopłytkowością immunologiczną mogą u siebie zauważyć należą wybroczyny (punkcikowate, płaskie, czerwone okrągłe plamki pod skórą), wylewy podskórne, krwawienie z nosa, krwawienie z dziąseł i brak możliwości zatamowania krwawienia w razie skaleczenia lub urazu.</w:t>
      </w:r>
    </w:p>
    <w:p w14:paraId="16978AB5" w14:textId="77777777" w:rsidR="00A350DA" w:rsidRPr="007E4DA1" w:rsidRDefault="00A350DA" w:rsidP="00DE1596">
      <w:pPr>
        <w:ind w:left="0" w:firstLine="0"/>
      </w:pPr>
    </w:p>
    <w:p w14:paraId="4EB0F84D" w14:textId="77777777" w:rsidR="00A350DA" w:rsidRPr="007E4DA1" w:rsidRDefault="00A350DA" w:rsidP="00DE1596">
      <w:pPr>
        <w:numPr>
          <w:ilvl w:val="0"/>
          <w:numId w:val="58"/>
        </w:numPr>
        <w:ind w:left="567" w:hanging="567"/>
      </w:pPr>
      <w:r w:rsidRPr="007E4DA1">
        <w:t>Lek Revolade moż</w:t>
      </w:r>
      <w:r w:rsidR="00B420C8" w:rsidRPr="007E4DA1">
        <w:t>e być</w:t>
      </w:r>
      <w:r w:rsidRPr="007E4DA1">
        <w:t xml:space="preserve"> również stosowa</w:t>
      </w:r>
      <w:r w:rsidR="00B420C8" w:rsidRPr="007E4DA1">
        <w:t>ny</w:t>
      </w:r>
      <w:r w:rsidRPr="007E4DA1">
        <w:t xml:space="preserve"> w leczeniu małej liczby płytek krwi (małopłytkowości) u dorosłych z zakażeniem wirusem zapalenia wątroby typu C (WZW C), u których </w:t>
      </w:r>
      <w:r w:rsidR="00B420C8" w:rsidRPr="007E4DA1">
        <w:rPr>
          <w:szCs w:val="22"/>
        </w:rPr>
        <w:t xml:space="preserve">wystąpiły </w:t>
      </w:r>
      <w:r w:rsidR="00135549" w:rsidRPr="007E4DA1">
        <w:rPr>
          <w:szCs w:val="22"/>
        </w:rPr>
        <w:t>trudności</w:t>
      </w:r>
      <w:r w:rsidR="00B420C8" w:rsidRPr="007E4DA1">
        <w:rPr>
          <w:szCs w:val="22"/>
        </w:rPr>
        <w:t xml:space="preserve"> z powodu działań niepożądanych podczas leczenia interferonem</w:t>
      </w:r>
      <w:r w:rsidR="00B420C8" w:rsidRPr="007E4DA1">
        <w:t xml:space="preserve">. U wielu osób </w:t>
      </w:r>
      <w:r w:rsidR="00B420C8" w:rsidRPr="007E4DA1">
        <w:rPr>
          <w:szCs w:val="22"/>
        </w:rPr>
        <w:t>z zapaleniem wątroby</w:t>
      </w:r>
      <w:r w:rsidR="00B420C8" w:rsidRPr="007E4DA1">
        <w:t xml:space="preserve"> </w:t>
      </w:r>
      <w:r w:rsidR="00F37DF5" w:rsidRPr="007E4DA1">
        <w:t xml:space="preserve">typu C </w:t>
      </w:r>
      <w:r w:rsidR="00B420C8" w:rsidRPr="007E4DA1">
        <w:t xml:space="preserve">występuje </w:t>
      </w:r>
      <w:r w:rsidRPr="007E4DA1">
        <w:t>mał</w:t>
      </w:r>
      <w:r w:rsidR="00B420C8" w:rsidRPr="007E4DA1">
        <w:t>a</w:t>
      </w:r>
      <w:r w:rsidRPr="007E4DA1">
        <w:t xml:space="preserve"> liczb</w:t>
      </w:r>
      <w:r w:rsidR="00B420C8" w:rsidRPr="007E4DA1">
        <w:t>a</w:t>
      </w:r>
      <w:r w:rsidRPr="007E4DA1">
        <w:t xml:space="preserve"> płytek krwi</w:t>
      </w:r>
      <w:r w:rsidR="00B420C8" w:rsidRPr="007E4DA1">
        <w:t>,</w:t>
      </w:r>
      <w:r w:rsidRPr="007E4DA1">
        <w:t xml:space="preserve"> nie tylko z powodu choroby, ale również w wyniku działania niektórych leków przeciwwirusowych stosowanych w leczeniu.</w:t>
      </w:r>
      <w:r w:rsidR="00B420C8" w:rsidRPr="007E4DA1">
        <w:t xml:space="preserve"> </w:t>
      </w:r>
      <w:r w:rsidR="00B420C8" w:rsidRPr="007E4DA1">
        <w:rPr>
          <w:szCs w:val="22"/>
        </w:rPr>
        <w:t>Przyjmowanie leku Revolade może ułatwić pacjentom ukończenie pełnej kuracji lekiem przeciwwirusowym (peginterferonem i rybawiryną).</w:t>
      </w:r>
    </w:p>
    <w:p w14:paraId="763284CD" w14:textId="77777777" w:rsidR="00A350DA" w:rsidRPr="007E4DA1" w:rsidRDefault="00A350DA" w:rsidP="00DE1596">
      <w:pPr>
        <w:ind w:left="0" w:firstLine="0"/>
      </w:pPr>
    </w:p>
    <w:p w14:paraId="0B1D9CB8" w14:textId="77777777" w:rsidR="00A350DA" w:rsidRPr="007E4DA1" w:rsidRDefault="00A350DA" w:rsidP="00DE1596">
      <w:pPr>
        <w:numPr>
          <w:ilvl w:val="0"/>
          <w:numId w:val="11"/>
        </w:numPr>
        <w:tabs>
          <w:tab w:val="clear" w:pos="720"/>
          <w:tab w:val="num" w:pos="567"/>
        </w:tabs>
        <w:ind w:left="567" w:hanging="567"/>
      </w:pPr>
      <w:r w:rsidRPr="007E4DA1">
        <w:t>Lek Revolade można również stosować w leczeniu dorosłych pacjentów z małą liczbą krwinek spowodowaną ciężką niedokrwistością aplastyczną (SAA).</w:t>
      </w:r>
      <w:r w:rsidR="0048571C" w:rsidRPr="007E4DA1">
        <w:t xml:space="preserve"> SAA to choroba, w której szpik kostny jest uszkodzony, co powoduje niedobór krwinek czerwonych (niedokrwistość), krwinek białych (leukopenię) i płytek krwi (małopłytkowość).</w:t>
      </w:r>
    </w:p>
    <w:p w14:paraId="0A11F638" w14:textId="77777777" w:rsidR="00A350DA" w:rsidRPr="007E4DA1" w:rsidRDefault="00A350DA" w:rsidP="00DE1596">
      <w:pPr>
        <w:ind w:left="0" w:firstLine="0"/>
      </w:pPr>
    </w:p>
    <w:p w14:paraId="6E1F7EBC" w14:textId="77777777" w:rsidR="00A350DA" w:rsidRPr="007E4DA1" w:rsidRDefault="00A350DA" w:rsidP="00DE1596">
      <w:pPr>
        <w:ind w:left="0" w:firstLine="0"/>
        <w:rPr>
          <w:caps/>
        </w:rPr>
      </w:pPr>
    </w:p>
    <w:p w14:paraId="7EA7B904" w14:textId="77777777" w:rsidR="00041A08" w:rsidRPr="00041A08" w:rsidRDefault="00A350DA" w:rsidP="00DE1596">
      <w:pPr>
        <w:keepNext/>
        <w:rPr>
          <w:caps/>
        </w:rPr>
      </w:pPr>
      <w:r w:rsidRPr="007E4DA1">
        <w:rPr>
          <w:b/>
          <w:caps/>
        </w:rPr>
        <w:t>2.</w:t>
      </w:r>
      <w:r w:rsidRPr="007E4DA1">
        <w:rPr>
          <w:b/>
          <w:caps/>
        </w:rPr>
        <w:tab/>
      </w:r>
      <w:r w:rsidRPr="007E4DA1">
        <w:rPr>
          <w:b/>
          <w:bCs/>
        </w:rPr>
        <w:t>Informacje wa</w:t>
      </w:r>
      <w:r w:rsidRPr="007E4DA1">
        <w:rPr>
          <w:b/>
        </w:rPr>
        <w:t>ż</w:t>
      </w:r>
      <w:r w:rsidRPr="007E4DA1">
        <w:rPr>
          <w:b/>
          <w:bCs/>
        </w:rPr>
        <w:t xml:space="preserve">ne przed zastosowaniem </w:t>
      </w:r>
      <w:r w:rsidRPr="007E4DA1">
        <w:rPr>
          <w:b/>
        </w:rPr>
        <w:t xml:space="preserve">leku </w:t>
      </w:r>
      <w:r w:rsidRPr="007E4DA1">
        <w:rPr>
          <w:b/>
          <w:bCs/>
        </w:rPr>
        <w:t>Revolade</w:t>
      </w:r>
    </w:p>
    <w:p w14:paraId="4AED51D2" w14:textId="21135B71" w:rsidR="00A350DA" w:rsidRPr="007E4DA1" w:rsidRDefault="00A350DA" w:rsidP="00DE1596">
      <w:pPr>
        <w:keepNext/>
      </w:pPr>
    </w:p>
    <w:p w14:paraId="3FC9F816" w14:textId="77777777" w:rsidR="00041A08" w:rsidRPr="00041A08" w:rsidRDefault="00A350DA" w:rsidP="00DE1596">
      <w:pPr>
        <w:keepNext/>
      </w:pPr>
      <w:r w:rsidRPr="007E4DA1">
        <w:rPr>
          <w:b/>
        </w:rPr>
        <w:t>Kiedy nie stosować leku Revolade</w:t>
      </w:r>
    </w:p>
    <w:p w14:paraId="15E41ABD" w14:textId="77777777" w:rsidR="00041A08" w:rsidRPr="00041A08" w:rsidRDefault="00A350DA" w:rsidP="00DE1596">
      <w:pPr>
        <w:keepNext/>
        <w:numPr>
          <w:ilvl w:val="0"/>
          <w:numId w:val="16"/>
        </w:numPr>
        <w:tabs>
          <w:tab w:val="clear" w:pos="417"/>
        </w:tabs>
        <w:ind w:left="567" w:hanging="567"/>
      </w:pPr>
      <w:r w:rsidRPr="007E4DA1">
        <w:rPr>
          <w:b/>
        </w:rPr>
        <w:t>jeśli pacjent ma uczulenie</w:t>
      </w:r>
      <w:r w:rsidRPr="007E4DA1">
        <w:t xml:space="preserve"> na eltrombopag lub którykolwiek z pozostałych składników tego leku (wymienion</w:t>
      </w:r>
      <w:r w:rsidR="006B46B9" w:rsidRPr="007E4DA1">
        <w:t>ych</w:t>
      </w:r>
      <w:r w:rsidRPr="007E4DA1">
        <w:t xml:space="preserve"> w punkcie</w:t>
      </w:r>
      <w:r w:rsidR="003106E7" w:rsidRPr="007E4DA1">
        <w:t> </w:t>
      </w:r>
      <w:r w:rsidRPr="007E4DA1">
        <w:t>6 pod „</w:t>
      </w:r>
      <w:r w:rsidRPr="007E4DA1">
        <w:rPr>
          <w:b/>
          <w:i/>
        </w:rPr>
        <w:t>Co zawiera lek Revolade</w:t>
      </w:r>
      <w:r w:rsidRPr="007E4DA1">
        <w:t>”).</w:t>
      </w:r>
    </w:p>
    <w:p w14:paraId="7C93AA7C" w14:textId="312C91DA" w:rsidR="00A350DA" w:rsidRPr="007E4DA1" w:rsidRDefault="00A350DA" w:rsidP="00DE1596">
      <w:pPr>
        <w:numPr>
          <w:ilvl w:val="12"/>
          <w:numId w:val="0"/>
        </w:numPr>
        <w:tabs>
          <w:tab w:val="left" w:pos="567"/>
        </w:tabs>
        <w:ind w:left="567"/>
      </w:pPr>
      <w:r w:rsidRPr="007E4DA1">
        <w:rPr>
          <w:rFonts w:ascii="Wingdings 3" w:hAnsi="Wingdings 3"/>
          <w:b/>
        </w:rPr>
        <w:t></w:t>
      </w:r>
      <w:r w:rsidRPr="007E4DA1">
        <w:rPr>
          <w:rFonts w:ascii="Wingdings 3" w:hAnsi="Wingdings 3"/>
          <w:b/>
        </w:rPr>
        <w:t></w:t>
      </w:r>
      <w:r w:rsidRPr="007E4DA1">
        <w:rPr>
          <w:b/>
        </w:rPr>
        <w:t>Należy skonsultować się z lekarzem,</w:t>
      </w:r>
      <w:r w:rsidRPr="007E4DA1">
        <w:t xml:space="preserve"> jeśli pacjent uważa, że występuje u niego opisany powyżej stan.</w:t>
      </w:r>
    </w:p>
    <w:p w14:paraId="48005381" w14:textId="77777777" w:rsidR="00A350DA" w:rsidRPr="007E4DA1" w:rsidRDefault="00A350DA" w:rsidP="00DE1596"/>
    <w:p w14:paraId="0F6A8399" w14:textId="77777777" w:rsidR="00041A08" w:rsidRPr="00041A08" w:rsidRDefault="00A350DA" w:rsidP="00DE1596">
      <w:pPr>
        <w:keepNext/>
      </w:pPr>
      <w:r w:rsidRPr="007E4DA1">
        <w:rPr>
          <w:b/>
        </w:rPr>
        <w:t>Ostrzeżenia i środki ostrożności</w:t>
      </w:r>
    </w:p>
    <w:p w14:paraId="6D857F75" w14:textId="423F3F41" w:rsidR="00A350DA" w:rsidRPr="007E4DA1" w:rsidRDefault="00A350DA" w:rsidP="00DE1596">
      <w:pPr>
        <w:keepNext/>
        <w:numPr>
          <w:ilvl w:val="12"/>
          <w:numId w:val="0"/>
        </w:numPr>
        <w:ind w:right="-2"/>
      </w:pPr>
      <w:r w:rsidRPr="007E4DA1">
        <w:t xml:space="preserve">Przed </w:t>
      </w:r>
      <w:r w:rsidR="006B46B9" w:rsidRPr="007E4DA1">
        <w:t xml:space="preserve">rozpoczęciem </w:t>
      </w:r>
      <w:r w:rsidRPr="007E4DA1">
        <w:t>stosowani</w:t>
      </w:r>
      <w:r w:rsidR="006B46B9" w:rsidRPr="007E4DA1">
        <w:t>a</w:t>
      </w:r>
      <w:r w:rsidRPr="007E4DA1">
        <w:t xml:space="preserve"> leku Revolade należy </w:t>
      </w:r>
      <w:r w:rsidR="006B46B9" w:rsidRPr="007E4DA1">
        <w:t xml:space="preserve">omówić to z </w:t>
      </w:r>
      <w:r w:rsidRPr="007E4DA1">
        <w:t>lekarz</w:t>
      </w:r>
      <w:r w:rsidR="006B46B9" w:rsidRPr="007E4DA1">
        <w:t>em</w:t>
      </w:r>
      <w:r w:rsidRPr="007E4DA1">
        <w:t>:</w:t>
      </w:r>
    </w:p>
    <w:p w14:paraId="3577AF9A" w14:textId="77777777" w:rsidR="00A350DA" w:rsidRPr="007E4DA1" w:rsidRDefault="00A350DA" w:rsidP="00DE1596">
      <w:pPr>
        <w:pStyle w:val="listdashnospace"/>
        <w:numPr>
          <w:ilvl w:val="0"/>
          <w:numId w:val="17"/>
        </w:numPr>
        <w:tabs>
          <w:tab w:val="clear" w:pos="747"/>
        </w:tabs>
        <w:ind w:left="567"/>
        <w:rPr>
          <w:sz w:val="22"/>
          <w:szCs w:val="22"/>
          <w:lang w:val="pl-PL"/>
        </w:rPr>
      </w:pPr>
      <w:r w:rsidRPr="007E4DA1">
        <w:rPr>
          <w:sz w:val="22"/>
          <w:szCs w:val="22"/>
          <w:lang w:val="pl-PL"/>
        </w:rPr>
        <w:t xml:space="preserve">jeśli pacjent ma </w:t>
      </w:r>
      <w:r w:rsidRPr="007E4DA1">
        <w:rPr>
          <w:b/>
          <w:sz w:val="22"/>
          <w:szCs w:val="22"/>
          <w:lang w:val="pl-PL"/>
        </w:rPr>
        <w:t>chorą wątrobę</w:t>
      </w:r>
      <w:r w:rsidRPr="007E4DA1">
        <w:rPr>
          <w:sz w:val="22"/>
          <w:szCs w:val="22"/>
          <w:lang w:val="pl-PL"/>
        </w:rPr>
        <w:t>.</w:t>
      </w:r>
      <w:r w:rsidR="006B46B9" w:rsidRPr="007E4DA1">
        <w:rPr>
          <w:sz w:val="22"/>
          <w:szCs w:val="22"/>
          <w:lang w:val="pl-PL"/>
        </w:rPr>
        <w:t xml:space="preserve"> Osoby z małą liczbą płytek krwi, a także zaawansowaną (długotrwałą) chorobą wątroby podlegają większemu ryzyku wystąpienia działań niepożądanych, w tym zagrażającego życiu uszkodzenia wątroby i zakrzepów krwi. Jeśli lekarz uzna, że korzyści z przyjmowania leku Revolade przewyższają ryzyko, pacjent będzie ściśle monitorowany podczas leczenia</w:t>
      </w:r>
      <w:r w:rsidR="00135549" w:rsidRPr="007E4DA1">
        <w:rPr>
          <w:sz w:val="22"/>
          <w:szCs w:val="22"/>
          <w:lang w:val="pl-PL"/>
        </w:rPr>
        <w:t>;</w:t>
      </w:r>
    </w:p>
    <w:p w14:paraId="4B9889C6" w14:textId="77777777" w:rsidR="00A350DA" w:rsidRPr="007E4DA1" w:rsidRDefault="00A350DA" w:rsidP="00DE1596">
      <w:pPr>
        <w:pStyle w:val="listdashnospace"/>
        <w:numPr>
          <w:ilvl w:val="0"/>
          <w:numId w:val="17"/>
        </w:numPr>
        <w:tabs>
          <w:tab w:val="clear" w:pos="747"/>
        </w:tabs>
        <w:ind w:left="567"/>
        <w:rPr>
          <w:sz w:val="22"/>
          <w:szCs w:val="22"/>
          <w:lang w:val="pl-PL"/>
        </w:rPr>
      </w:pPr>
      <w:r w:rsidRPr="007E4DA1">
        <w:rPr>
          <w:sz w:val="22"/>
          <w:szCs w:val="22"/>
          <w:lang w:val="pl-PL"/>
        </w:rPr>
        <w:t xml:space="preserve">jeśli u pacjenta istnieje </w:t>
      </w:r>
      <w:r w:rsidRPr="007E4DA1">
        <w:rPr>
          <w:b/>
          <w:sz w:val="22"/>
          <w:szCs w:val="22"/>
          <w:lang w:val="pl-PL"/>
        </w:rPr>
        <w:t>ryzyko zakrzepów w żyłach lub tętnicach</w:t>
      </w:r>
      <w:r w:rsidRPr="007E4DA1">
        <w:rPr>
          <w:sz w:val="22"/>
          <w:szCs w:val="22"/>
          <w:lang w:val="pl-PL"/>
        </w:rPr>
        <w:t>, lub jeśli w rodzinie występowały przypadki zakrzepów.</w:t>
      </w:r>
    </w:p>
    <w:p w14:paraId="35EA612C" w14:textId="77777777" w:rsidR="00A350DA" w:rsidRPr="007E4DA1" w:rsidRDefault="00A350DA" w:rsidP="00DE1596">
      <w:pPr>
        <w:pStyle w:val="listdashnospace"/>
        <w:numPr>
          <w:ilvl w:val="0"/>
          <w:numId w:val="0"/>
        </w:numPr>
        <w:ind w:left="567"/>
        <w:rPr>
          <w:sz w:val="22"/>
          <w:szCs w:val="22"/>
          <w:lang w:val="pl-PL"/>
        </w:rPr>
      </w:pPr>
      <w:r w:rsidRPr="007E4DA1">
        <w:rPr>
          <w:b/>
          <w:sz w:val="22"/>
          <w:szCs w:val="22"/>
          <w:lang w:val="pl-PL"/>
        </w:rPr>
        <w:t>Ryzyko zakrzepów może być zwiększone:</w:t>
      </w:r>
    </w:p>
    <w:p w14:paraId="7B9EB291" w14:textId="77777777" w:rsidR="00A350DA" w:rsidRPr="007E4DA1" w:rsidRDefault="00A350DA" w:rsidP="00DE1596">
      <w:pPr>
        <w:pStyle w:val="listdashnospace"/>
        <w:tabs>
          <w:tab w:val="clear" w:pos="747"/>
          <w:tab w:val="left" w:pos="1134"/>
        </w:tabs>
        <w:ind w:left="1134"/>
        <w:rPr>
          <w:sz w:val="22"/>
          <w:szCs w:val="22"/>
          <w:lang w:val="pl-PL"/>
        </w:rPr>
      </w:pPr>
      <w:r w:rsidRPr="007E4DA1">
        <w:rPr>
          <w:sz w:val="22"/>
          <w:szCs w:val="22"/>
          <w:lang w:val="pl-PL"/>
        </w:rPr>
        <w:t>jeśli pacjent jest w podeszłym wieku</w:t>
      </w:r>
    </w:p>
    <w:p w14:paraId="12355FDC" w14:textId="77777777" w:rsidR="00A350DA" w:rsidRPr="007E4DA1" w:rsidRDefault="00A350DA" w:rsidP="00DE1596">
      <w:pPr>
        <w:pStyle w:val="listdashnospace"/>
        <w:tabs>
          <w:tab w:val="clear" w:pos="747"/>
          <w:tab w:val="left" w:pos="1134"/>
        </w:tabs>
        <w:ind w:left="1134"/>
        <w:rPr>
          <w:sz w:val="22"/>
          <w:szCs w:val="22"/>
          <w:lang w:val="pl-PL"/>
        </w:rPr>
      </w:pPr>
      <w:r w:rsidRPr="007E4DA1">
        <w:rPr>
          <w:sz w:val="22"/>
          <w:szCs w:val="22"/>
          <w:lang w:val="pl-PL"/>
        </w:rPr>
        <w:t>jeśli pacjent był unieruchomiony przez dłuższy czas</w:t>
      </w:r>
    </w:p>
    <w:p w14:paraId="24AB4614" w14:textId="77777777" w:rsidR="00A350DA" w:rsidRPr="007E4DA1" w:rsidRDefault="00A350DA" w:rsidP="00DE1596">
      <w:pPr>
        <w:pStyle w:val="listdashnospace"/>
        <w:tabs>
          <w:tab w:val="clear" w:pos="747"/>
          <w:tab w:val="left" w:pos="1134"/>
        </w:tabs>
        <w:ind w:left="1134"/>
        <w:rPr>
          <w:sz w:val="22"/>
          <w:szCs w:val="22"/>
          <w:lang w:val="pl-PL"/>
        </w:rPr>
      </w:pPr>
      <w:r w:rsidRPr="007E4DA1">
        <w:rPr>
          <w:sz w:val="22"/>
          <w:szCs w:val="22"/>
          <w:lang w:val="pl-PL"/>
        </w:rPr>
        <w:t>jeśli pacjent ma nowotwór złośliwy</w:t>
      </w:r>
    </w:p>
    <w:p w14:paraId="59AC27DC" w14:textId="77777777" w:rsidR="00A350DA" w:rsidRPr="007E4DA1" w:rsidRDefault="00A350DA" w:rsidP="00DE1596">
      <w:pPr>
        <w:pStyle w:val="listdashnospace"/>
        <w:tabs>
          <w:tab w:val="clear" w:pos="747"/>
          <w:tab w:val="left" w:pos="1134"/>
        </w:tabs>
        <w:ind w:left="1134"/>
        <w:rPr>
          <w:sz w:val="22"/>
          <w:szCs w:val="22"/>
          <w:lang w:val="pl-PL"/>
        </w:rPr>
      </w:pPr>
      <w:r w:rsidRPr="007E4DA1">
        <w:rPr>
          <w:sz w:val="22"/>
          <w:szCs w:val="22"/>
          <w:lang w:val="pl-PL"/>
        </w:rPr>
        <w:t>jeśli pacjentka stosuje tabletki antykoncepcyjne lub hormonalną terapię zastępczą</w:t>
      </w:r>
    </w:p>
    <w:p w14:paraId="3C81FE69" w14:textId="77777777" w:rsidR="00A350DA" w:rsidRPr="007E4DA1" w:rsidRDefault="00A350DA" w:rsidP="00DE1596">
      <w:pPr>
        <w:pStyle w:val="listdashnospace"/>
        <w:tabs>
          <w:tab w:val="clear" w:pos="747"/>
          <w:tab w:val="left" w:pos="1134"/>
        </w:tabs>
        <w:ind w:left="1134"/>
        <w:rPr>
          <w:sz w:val="22"/>
          <w:szCs w:val="22"/>
          <w:lang w:val="pl-PL"/>
        </w:rPr>
      </w:pPr>
      <w:r w:rsidRPr="007E4DA1">
        <w:rPr>
          <w:sz w:val="22"/>
          <w:szCs w:val="22"/>
          <w:lang w:val="pl-PL"/>
        </w:rPr>
        <w:t>jeśli pacjent w ostatnim czasie był poddany zabiegowi chirurgicznemu lub przeszedł uraz</w:t>
      </w:r>
    </w:p>
    <w:p w14:paraId="6209D3AA" w14:textId="77777777" w:rsidR="00A350DA" w:rsidRPr="007E4DA1" w:rsidRDefault="00A350DA" w:rsidP="00DE1596">
      <w:pPr>
        <w:pStyle w:val="listdashnospace"/>
        <w:tabs>
          <w:tab w:val="clear" w:pos="747"/>
          <w:tab w:val="left" w:pos="1134"/>
        </w:tabs>
        <w:ind w:left="1134"/>
        <w:rPr>
          <w:sz w:val="22"/>
          <w:szCs w:val="22"/>
          <w:lang w:val="pl-PL"/>
        </w:rPr>
      </w:pPr>
      <w:r w:rsidRPr="007E4DA1">
        <w:rPr>
          <w:sz w:val="22"/>
          <w:szCs w:val="22"/>
          <w:lang w:val="pl-PL"/>
        </w:rPr>
        <w:t>jeśli pacjent ma nadwagę</w:t>
      </w:r>
    </w:p>
    <w:p w14:paraId="2E0A1293" w14:textId="77777777" w:rsidR="00A350DA" w:rsidRPr="007E4DA1" w:rsidRDefault="00A350DA" w:rsidP="00DE1596">
      <w:pPr>
        <w:pStyle w:val="listdashnospace"/>
        <w:tabs>
          <w:tab w:val="clear" w:pos="747"/>
          <w:tab w:val="left" w:pos="1134"/>
        </w:tabs>
        <w:ind w:left="1134"/>
        <w:rPr>
          <w:sz w:val="22"/>
          <w:szCs w:val="22"/>
          <w:lang w:val="pl-PL"/>
        </w:rPr>
      </w:pPr>
      <w:r w:rsidRPr="007E4DA1">
        <w:rPr>
          <w:sz w:val="22"/>
          <w:szCs w:val="22"/>
          <w:lang w:val="pl-PL"/>
        </w:rPr>
        <w:t>jeśli pacjent pali tytoń</w:t>
      </w:r>
    </w:p>
    <w:p w14:paraId="537767DE" w14:textId="77777777" w:rsidR="00A350DA" w:rsidRPr="007E4DA1" w:rsidRDefault="00A350DA" w:rsidP="00DE1596">
      <w:pPr>
        <w:pStyle w:val="listdashnospace"/>
        <w:tabs>
          <w:tab w:val="clear" w:pos="747"/>
          <w:tab w:val="left" w:pos="1134"/>
        </w:tabs>
        <w:ind w:left="1134"/>
        <w:rPr>
          <w:sz w:val="22"/>
          <w:szCs w:val="22"/>
          <w:lang w:val="pl-PL"/>
        </w:rPr>
      </w:pPr>
      <w:r w:rsidRPr="007E4DA1">
        <w:rPr>
          <w:sz w:val="22"/>
          <w:szCs w:val="22"/>
          <w:lang w:val="pl-PL"/>
        </w:rPr>
        <w:t>jeśli pacjent ma zaawansowaną przewlekłą chorobę wątroby</w:t>
      </w:r>
    </w:p>
    <w:p w14:paraId="26D8A104" w14:textId="77777777" w:rsidR="00A350DA" w:rsidRPr="007E4DA1" w:rsidRDefault="00A350DA" w:rsidP="00DE1596">
      <w:pPr>
        <w:pStyle w:val="listdashnospace"/>
        <w:numPr>
          <w:ilvl w:val="1"/>
          <w:numId w:val="12"/>
        </w:numPr>
        <w:tabs>
          <w:tab w:val="clear" w:pos="1440"/>
        </w:tabs>
        <w:ind w:left="1134" w:hanging="567"/>
        <w:rPr>
          <w:sz w:val="22"/>
          <w:szCs w:val="22"/>
          <w:lang w:val="pl-PL"/>
        </w:rPr>
      </w:pPr>
      <w:r w:rsidRPr="007E4DA1">
        <w:rPr>
          <w:b/>
          <w:sz w:val="22"/>
          <w:szCs w:val="22"/>
          <w:lang w:val="pl-PL"/>
        </w:rPr>
        <w:t>Należy poinformować lekarza</w:t>
      </w:r>
      <w:r w:rsidRPr="007E4DA1">
        <w:rPr>
          <w:sz w:val="22"/>
          <w:szCs w:val="22"/>
          <w:lang w:val="pl-PL"/>
        </w:rPr>
        <w:t xml:space="preserve"> przed rozpoczęciem leczenia, jeśli którykolwiek z powyższych stanów występuje u pacjenta. Nie należy przyjmować leku Revolade, chyba że lekarz uzna, że spodziewane korzyści przeważają nad ryzykiem zakrzepów.</w:t>
      </w:r>
    </w:p>
    <w:p w14:paraId="5FA5E979" w14:textId="77777777" w:rsidR="00A350DA" w:rsidRPr="007E4DA1" w:rsidRDefault="00A350DA" w:rsidP="00DE1596">
      <w:pPr>
        <w:pStyle w:val="listdashnospace"/>
        <w:numPr>
          <w:ilvl w:val="0"/>
          <w:numId w:val="18"/>
        </w:numPr>
        <w:tabs>
          <w:tab w:val="clear" w:pos="747"/>
          <w:tab w:val="num" w:pos="-3828"/>
        </w:tabs>
        <w:ind w:left="567"/>
        <w:rPr>
          <w:sz w:val="22"/>
          <w:szCs w:val="22"/>
          <w:lang w:val="pl-PL"/>
        </w:rPr>
      </w:pPr>
      <w:r w:rsidRPr="007E4DA1">
        <w:rPr>
          <w:sz w:val="22"/>
          <w:szCs w:val="22"/>
          <w:lang w:val="pl-PL"/>
        </w:rPr>
        <w:t xml:space="preserve">jeśli pacjent ma </w:t>
      </w:r>
      <w:r w:rsidRPr="007E4DA1">
        <w:rPr>
          <w:b/>
          <w:sz w:val="22"/>
          <w:szCs w:val="22"/>
          <w:lang w:val="pl-PL"/>
        </w:rPr>
        <w:t>zaćmę</w:t>
      </w:r>
      <w:r w:rsidRPr="007E4DA1">
        <w:rPr>
          <w:sz w:val="22"/>
          <w:szCs w:val="22"/>
          <w:lang w:val="pl-PL"/>
        </w:rPr>
        <w:t xml:space="preserve"> (zmętnienie soczewki oka)</w:t>
      </w:r>
    </w:p>
    <w:p w14:paraId="7AFAAAAF" w14:textId="77777777" w:rsidR="00A350DA" w:rsidRPr="007E4DA1" w:rsidRDefault="00A350DA" w:rsidP="00DE1596">
      <w:pPr>
        <w:pStyle w:val="listdashnospace"/>
        <w:numPr>
          <w:ilvl w:val="0"/>
          <w:numId w:val="18"/>
        </w:numPr>
        <w:tabs>
          <w:tab w:val="clear" w:pos="747"/>
          <w:tab w:val="num" w:pos="-3828"/>
        </w:tabs>
        <w:ind w:left="567"/>
        <w:rPr>
          <w:sz w:val="22"/>
          <w:szCs w:val="22"/>
          <w:lang w:val="pl-PL"/>
        </w:rPr>
      </w:pPr>
      <w:r w:rsidRPr="007E4DA1">
        <w:rPr>
          <w:sz w:val="22"/>
          <w:szCs w:val="22"/>
          <w:lang w:val="pl-PL"/>
        </w:rPr>
        <w:t xml:space="preserve">jeśli pacjent ma inne </w:t>
      </w:r>
      <w:r w:rsidRPr="007E4DA1">
        <w:rPr>
          <w:b/>
          <w:sz w:val="22"/>
          <w:szCs w:val="22"/>
          <w:lang w:val="pl-PL"/>
        </w:rPr>
        <w:t>choroby krwi</w:t>
      </w:r>
      <w:r w:rsidRPr="007E4DA1">
        <w:rPr>
          <w:sz w:val="22"/>
          <w:szCs w:val="22"/>
          <w:lang w:val="pl-PL"/>
        </w:rPr>
        <w:t>, takie jak zespół mielodysplastyczny (</w:t>
      </w:r>
      <w:r w:rsidRPr="007E4DA1">
        <w:rPr>
          <w:i/>
          <w:sz w:val="22"/>
          <w:szCs w:val="22"/>
          <w:lang w:val="pl-PL"/>
        </w:rPr>
        <w:t>ang.</w:t>
      </w:r>
      <w:r w:rsidRPr="007E4DA1">
        <w:rPr>
          <w:sz w:val="22"/>
          <w:szCs w:val="22"/>
          <w:lang w:val="pl-PL"/>
        </w:rPr>
        <w:t xml:space="preserve"> </w:t>
      </w:r>
      <w:r w:rsidRPr="007E4DA1">
        <w:rPr>
          <w:i/>
          <w:sz w:val="22"/>
          <w:szCs w:val="22"/>
          <w:lang w:val="pl-PL"/>
        </w:rPr>
        <w:t>Myelodysplastic Syndrome</w:t>
      </w:r>
      <w:r w:rsidRPr="007E4DA1">
        <w:rPr>
          <w:sz w:val="22"/>
          <w:szCs w:val="22"/>
          <w:lang w:val="pl-PL"/>
        </w:rPr>
        <w:t xml:space="preserve">, </w:t>
      </w:r>
      <w:r w:rsidRPr="007E4DA1">
        <w:rPr>
          <w:i/>
          <w:sz w:val="22"/>
          <w:szCs w:val="22"/>
          <w:lang w:val="pl-PL"/>
        </w:rPr>
        <w:t>MDS</w:t>
      </w:r>
      <w:r w:rsidRPr="007E4DA1">
        <w:rPr>
          <w:sz w:val="22"/>
          <w:szCs w:val="22"/>
          <w:lang w:val="pl-PL"/>
        </w:rPr>
        <w:t>). Przed rozpoczęciem stosowania leku Revolade, lekarz przeprowadzi badania w celu wykluczenia tej choroby. Jeśli pacjent ma MDS i przyjmuje Revolade, MDS może się nasilić.</w:t>
      </w:r>
    </w:p>
    <w:p w14:paraId="7D72F2B5" w14:textId="77777777" w:rsidR="00A350DA" w:rsidRPr="007E4DA1" w:rsidRDefault="00A350DA" w:rsidP="00DE1596">
      <w:pPr>
        <w:numPr>
          <w:ilvl w:val="0"/>
          <w:numId w:val="13"/>
        </w:numPr>
        <w:ind w:left="1134" w:hanging="567"/>
        <w:rPr>
          <w:bCs/>
        </w:rPr>
      </w:pPr>
      <w:r w:rsidRPr="007E4DA1">
        <w:t>Należy poinformować lekarza, jeśli którakolwiek z powyższych sytuacji odnosi się do pacjenta.</w:t>
      </w:r>
    </w:p>
    <w:p w14:paraId="3DD602C3" w14:textId="77777777" w:rsidR="00A350DA" w:rsidRPr="007E4DA1" w:rsidRDefault="00A350DA" w:rsidP="00DE1596"/>
    <w:p w14:paraId="3AF0CC9D" w14:textId="77777777" w:rsidR="00041A08" w:rsidRPr="00041A08" w:rsidRDefault="00A350DA" w:rsidP="00DE1596">
      <w:pPr>
        <w:pStyle w:val="listdashnospace"/>
        <w:keepNext/>
        <w:numPr>
          <w:ilvl w:val="0"/>
          <w:numId w:val="0"/>
        </w:numPr>
        <w:rPr>
          <w:sz w:val="22"/>
          <w:szCs w:val="22"/>
          <w:lang w:val="pl-PL"/>
        </w:rPr>
      </w:pPr>
      <w:r w:rsidRPr="007E4DA1">
        <w:rPr>
          <w:b/>
          <w:sz w:val="22"/>
          <w:szCs w:val="22"/>
          <w:lang w:val="pl-PL"/>
        </w:rPr>
        <w:t>Badanie okulistyczne</w:t>
      </w:r>
    </w:p>
    <w:p w14:paraId="44A2699B" w14:textId="0447360A" w:rsidR="00A350DA" w:rsidRPr="007E4DA1" w:rsidRDefault="00A350DA" w:rsidP="00DE1596">
      <w:pPr>
        <w:ind w:left="0" w:firstLine="0"/>
        <w:rPr>
          <w:szCs w:val="22"/>
        </w:rPr>
      </w:pPr>
      <w:r w:rsidRPr="007E4DA1">
        <w:rPr>
          <w:szCs w:val="22"/>
        </w:rPr>
        <w:t xml:space="preserve">Lekarz prowadzący zaleci kontrolę w celu wykrycia zaćmy. Jeśli pacjent nie przechodzi rutynowych badań okulistycznych, lekarz powinien zlecić regularne badania. Badane może być także wystąpienie jakichkolwiek krwawień </w:t>
      </w:r>
      <w:r w:rsidR="006B46B9" w:rsidRPr="007E4DA1">
        <w:rPr>
          <w:szCs w:val="22"/>
        </w:rPr>
        <w:t>w</w:t>
      </w:r>
      <w:r w:rsidRPr="007E4DA1">
        <w:rPr>
          <w:szCs w:val="22"/>
        </w:rPr>
        <w:t xml:space="preserve"> siatków</w:t>
      </w:r>
      <w:r w:rsidR="006B46B9" w:rsidRPr="007E4DA1">
        <w:rPr>
          <w:szCs w:val="22"/>
        </w:rPr>
        <w:t>ce</w:t>
      </w:r>
      <w:r w:rsidRPr="007E4DA1">
        <w:rPr>
          <w:szCs w:val="22"/>
        </w:rPr>
        <w:t xml:space="preserve"> (warstwa komórek światłoczułych umiejscowiona z tyłu oka) lub w jej pobliżu.</w:t>
      </w:r>
    </w:p>
    <w:p w14:paraId="25BA2BD0" w14:textId="77777777" w:rsidR="00A350DA" w:rsidRPr="007E4DA1" w:rsidRDefault="00A350DA" w:rsidP="00DE1596">
      <w:pPr>
        <w:numPr>
          <w:ilvl w:val="12"/>
          <w:numId w:val="0"/>
        </w:numPr>
        <w:rPr>
          <w:szCs w:val="22"/>
        </w:rPr>
      </w:pPr>
    </w:p>
    <w:p w14:paraId="1EAD966C" w14:textId="77777777" w:rsidR="00041A08" w:rsidRPr="00041A08" w:rsidRDefault="00A350DA" w:rsidP="00DE1596">
      <w:pPr>
        <w:keepNext/>
        <w:numPr>
          <w:ilvl w:val="12"/>
          <w:numId w:val="0"/>
        </w:numPr>
        <w:rPr>
          <w:szCs w:val="22"/>
        </w:rPr>
      </w:pPr>
      <w:r w:rsidRPr="007E4DA1">
        <w:rPr>
          <w:b/>
          <w:szCs w:val="22"/>
        </w:rPr>
        <w:t>Konieczne będzie wykonywanie regularnych badań</w:t>
      </w:r>
    </w:p>
    <w:p w14:paraId="25A0D92C" w14:textId="42E6789A" w:rsidR="00A350DA" w:rsidRPr="007E4DA1" w:rsidRDefault="00A350DA" w:rsidP="00DE1596">
      <w:pPr>
        <w:numPr>
          <w:ilvl w:val="12"/>
          <w:numId w:val="0"/>
        </w:numPr>
        <w:ind w:right="-2"/>
      </w:pPr>
      <w:r w:rsidRPr="007E4DA1">
        <w:t>Przed rozpoczęciem stosowania leku Revolade lekarz przeprowadzi badania krwi w celu oceny komórek krwi, w tym płytek krwi. Podczas stosowania leku, badania te będą powtarzane co pewien czas.</w:t>
      </w:r>
    </w:p>
    <w:p w14:paraId="26B84554" w14:textId="77777777" w:rsidR="00A350DA" w:rsidRPr="007E4DA1" w:rsidRDefault="00A350DA" w:rsidP="00DE1596">
      <w:pPr>
        <w:numPr>
          <w:ilvl w:val="12"/>
          <w:numId w:val="0"/>
        </w:numPr>
        <w:ind w:right="-2"/>
      </w:pPr>
    </w:p>
    <w:p w14:paraId="66DED06A" w14:textId="77777777" w:rsidR="00041A08" w:rsidRPr="00041A08" w:rsidRDefault="00A350DA" w:rsidP="00DE1596">
      <w:pPr>
        <w:keepNext/>
        <w:numPr>
          <w:ilvl w:val="12"/>
          <w:numId w:val="0"/>
        </w:numPr>
        <w:ind w:right="-2"/>
      </w:pPr>
      <w:r w:rsidRPr="007E4DA1">
        <w:rPr>
          <w:b/>
        </w:rPr>
        <w:t xml:space="preserve">Badania </w:t>
      </w:r>
      <w:r w:rsidR="006B46B9" w:rsidRPr="007E4DA1">
        <w:rPr>
          <w:b/>
        </w:rPr>
        <w:t xml:space="preserve">krwi w kierunku </w:t>
      </w:r>
      <w:r w:rsidRPr="007E4DA1">
        <w:rPr>
          <w:b/>
        </w:rPr>
        <w:t>czynności wątroby</w:t>
      </w:r>
    </w:p>
    <w:p w14:paraId="21BAA9BB" w14:textId="047064FC" w:rsidR="00A350DA" w:rsidRPr="007E4DA1" w:rsidRDefault="00A350DA" w:rsidP="00DE1596">
      <w:pPr>
        <w:ind w:left="0" w:firstLine="0"/>
      </w:pPr>
      <w:r w:rsidRPr="007E4DA1">
        <w:t xml:space="preserve">Lek Revolade może </w:t>
      </w:r>
      <w:r w:rsidR="006B46B9" w:rsidRPr="007E4DA1">
        <w:rPr>
          <w:szCs w:val="22"/>
        </w:rPr>
        <w:t xml:space="preserve">być przyczyną wyników badań krwi mogących świadczyć o uszkodzeniu wątroby - </w:t>
      </w:r>
      <w:r w:rsidRPr="007E4DA1">
        <w:t xml:space="preserve">zwiększenie aktywności </w:t>
      </w:r>
      <w:r w:rsidR="006B46B9" w:rsidRPr="007E4DA1">
        <w:t xml:space="preserve">niektórych </w:t>
      </w:r>
      <w:r w:rsidRPr="007E4DA1">
        <w:t>enzymów wątrobowych, w szczególności bilirubiny oraz transaminazy alaninowej i asparaginianowej. Jeśli pacjent stosuje leczenie</w:t>
      </w:r>
      <w:r w:rsidR="006B46B9" w:rsidRPr="007E4DA1">
        <w:t xml:space="preserve"> oparte na</w:t>
      </w:r>
      <w:r w:rsidRPr="007E4DA1">
        <w:t xml:space="preserve"> interferon</w:t>
      </w:r>
      <w:r w:rsidR="006B46B9" w:rsidRPr="007E4DA1">
        <w:t>ie</w:t>
      </w:r>
      <w:r w:rsidRPr="007E4DA1">
        <w:t xml:space="preserve"> jednocześnie z lekiem Revolade w leczeniu małej ilości płytek krwi związanej z zapaleni</w:t>
      </w:r>
      <w:r w:rsidR="006B46B9" w:rsidRPr="007E4DA1">
        <w:t>em</w:t>
      </w:r>
      <w:r w:rsidRPr="007E4DA1">
        <w:t xml:space="preserve"> wątroby typu C, niektóre choroby wątroby mogą ulec nasileniu.</w:t>
      </w:r>
    </w:p>
    <w:p w14:paraId="110E31AB" w14:textId="77777777" w:rsidR="00A350DA" w:rsidRPr="007E4DA1" w:rsidRDefault="00A350DA" w:rsidP="00DE1596">
      <w:pPr>
        <w:ind w:left="0" w:firstLine="0"/>
      </w:pPr>
    </w:p>
    <w:p w14:paraId="68943294" w14:textId="77777777" w:rsidR="00A350DA" w:rsidRPr="007E4DA1" w:rsidRDefault="00A350DA" w:rsidP="00DE1596">
      <w:pPr>
        <w:ind w:left="0" w:firstLine="0"/>
      </w:pPr>
      <w:r w:rsidRPr="007E4DA1">
        <w:t xml:space="preserve">Przed rozpoczęciem stosowania leku Revolade i co pewien czas w trakcie leczenia będą przeprowadzane u pacjenta badania krwi oceniające czynność wątroby. Może być konieczne przerwanie stosowania leku Revolade, jeśli ilość tych substancji zwiększy się do zbyt dużych wartości lub jeśli wystąpią </w:t>
      </w:r>
      <w:r w:rsidR="006B46B9" w:rsidRPr="007E4DA1">
        <w:t xml:space="preserve">inne </w:t>
      </w:r>
      <w:r w:rsidRPr="007E4DA1">
        <w:t>objawy uszkodzenia wątroby</w:t>
      </w:r>
      <w:r w:rsidR="006B46B9" w:rsidRPr="007E4DA1">
        <w:t>.</w:t>
      </w:r>
    </w:p>
    <w:p w14:paraId="31ED2AB7" w14:textId="77777777" w:rsidR="00041A08" w:rsidRPr="00041A08" w:rsidRDefault="00A350DA" w:rsidP="00DE1596">
      <w:pPr>
        <w:pStyle w:val="Bulletindent"/>
        <w:numPr>
          <w:ilvl w:val="0"/>
          <w:numId w:val="13"/>
        </w:numPr>
        <w:tabs>
          <w:tab w:val="clear" w:pos="567"/>
          <w:tab w:val="clear" w:pos="851"/>
        </w:tabs>
        <w:spacing w:before="0" w:line="240" w:lineRule="auto"/>
        <w:ind w:left="567" w:hanging="567"/>
        <w:rPr>
          <w:lang w:val="pl-PL"/>
        </w:rPr>
      </w:pPr>
      <w:r w:rsidRPr="007E4DA1">
        <w:rPr>
          <w:b/>
          <w:lang w:val="pl-PL"/>
        </w:rPr>
        <w:t>Należy zapoznać się z informacjami w punkcie</w:t>
      </w:r>
      <w:r w:rsidR="003106E7" w:rsidRPr="007E4DA1">
        <w:rPr>
          <w:b/>
          <w:lang w:val="pl-PL"/>
        </w:rPr>
        <w:t> </w:t>
      </w:r>
      <w:r w:rsidRPr="007E4DA1">
        <w:rPr>
          <w:b/>
          <w:lang w:val="pl-PL"/>
        </w:rPr>
        <w:t xml:space="preserve">4 </w:t>
      </w:r>
      <w:r w:rsidR="00A420EB" w:rsidRPr="007E4DA1">
        <w:rPr>
          <w:b/>
          <w:lang w:val="pl-PL"/>
        </w:rPr>
        <w:t xml:space="preserve">tej ulotki </w:t>
      </w:r>
      <w:r w:rsidRPr="007E4DA1">
        <w:rPr>
          <w:b/>
          <w:lang w:val="pl-PL"/>
        </w:rPr>
        <w:t>„</w:t>
      </w:r>
      <w:r w:rsidRPr="007E4DA1">
        <w:rPr>
          <w:b/>
          <w:i/>
          <w:lang w:val="pl-PL"/>
        </w:rPr>
        <w:t>Zaburzenia wątroby</w:t>
      </w:r>
      <w:r w:rsidRPr="007E4DA1">
        <w:rPr>
          <w:b/>
          <w:lang w:val="pl-PL"/>
        </w:rPr>
        <w:t>”</w:t>
      </w:r>
    </w:p>
    <w:p w14:paraId="7F5D5FC2" w14:textId="0CEE6D8B" w:rsidR="00A350DA" w:rsidRPr="007E4DA1" w:rsidRDefault="00A350DA" w:rsidP="00DE1596">
      <w:pPr>
        <w:pStyle w:val="Bulletindent"/>
        <w:numPr>
          <w:ilvl w:val="0"/>
          <w:numId w:val="0"/>
        </w:numPr>
        <w:spacing w:before="0" w:line="240" w:lineRule="auto"/>
        <w:rPr>
          <w:lang w:val="pl-PL"/>
        </w:rPr>
      </w:pPr>
    </w:p>
    <w:p w14:paraId="3C2F9741" w14:textId="77777777" w:rsidR="00A350DA" w:rsidRPr="007E4DA1" w:rsidRDefault="00A350DA" w:rsidP="00DE1596">
      <w:pPr>
        <w:pStyle w:val="Bulletindent"/>
        <w:keepNext/>
        <w:numPr>
          <w:ilvl w:val="0"/>
          <w:numId w:val="0"/>
        </w:numPr>
        <w:spacing w:before="0" w:line="240" w:lineRule="auto"/>
        <w:rPr>
          <w:noProof w:val="0"/>
          <w:lang w:val="pl-PL"/>
        </w:rPr>
      </w:pPr>
      <w:r w:rsidRPr="007E4DA1">
        <w:rPr>
          <w:b/>
          <w:lang w:val="pl-PL"/>
        </w:rPr>
        <w:t>Badanie liczby płytek krwi</w:t>
      </w:r>
    </w:p>
    <w:p w14:paraId="08CA632C" w14:textId="77777777" w:rsidR="00A350DA" w:rsidRPr="007E4DA1" w:rsidRDefault="00A350DA" w:rsidP="00DE1596">
      <w:pPr>
        <w:pStyle w:val="Default"/>
        <w:rPr>
          <w:sz w:val="22"/>
          <w:szCs w:val="22"/>
          <w:lang w:val="pl-PL"/>
        </w:rPr>
      </w:pPr>
      <w:r w:rsidRPr="007E4DA1">
        <w:rPr>
          <w:sz w:val="22"/>
          <w:szCs w:val="22"/>
          <w:lang w:val="pl-PL"/>
        </w:rPr>
        <w:t>Jeśli pacjent przerwie stosowanie leku Revolade, istnieje prawdopodobieństwo nawrotu małej liczby płytek krwi w ciągu kilku dni. Liczba płytek krwi będzie kontrolowana, a lekarz prowadzący omówi z pacjentem odpowiednie środki ostrożności.</w:t>
      </w:r>
    </w:p>
    <w:p w14:paraId="574B3832" w14:textId="77777777" w:rsidR="00A350DA" w:rsidRPr="007E4DA1" w:rsidRDefault="00A350DA" w:rsidP="00DE1596">
      <w:pPr>
        <w:pStyle w:val="Default"/>
        <w:rPr>
          <w:lang w:val="pl-PL"/>
        </w:rPr>
      </w:pPr>
    </w:p>
    <w:p w14:paraId="7BB7AC41" w14:textId="77777777" w:rsidR="00A350DA" w:rsidRPr="007E4DA1" w:rsidRDefault="00A420EB" w:rsidP="00DE1596">
      <w:pPr>
        <w:pStyle w:val="Default"/>
        <w:rPr>
          <w:sz w:val="22"/>
          <w:szCs w:val="22"/>
          <w:lang w:val="pl-PL"/>
        </w:rPr>
      </w:pPr>
      <w:r w:rsidRPr="007E4DA1">
        <w:rPr>
          <w:sz w:val="22"/>
          <w:szCs w:val="22"/>
          <w:lang w:val="pl-PL"/>
        </w:rPr>
        <w:t>Bardzo duża</w:t>
      </w:r>
      <w:r w:rsidR="00A350DA" w:rsidRPr="007E4DA1">
        <w:rPr>
          <w:sz w:val="22"/>
          <w:szCs w:val="22"/>
          <w:lang w:val="pl-PL"/>
        </w:rPr>
        <w:t xml:space="preserve"> liczba płytek krwi może zwiększyć ryzyko zakrzepów. Jednakże, zakrzepy mogą </w:t>
      </w:r>
      <w:r w:rsidR="00313CA1" w:rsidRPr="007E4DA1">
        <w:rPr>
          <w:sz w:val="22"/>
          <w:szCs w:val="22"/>
          <w:lang w:val="pl-PL"/>
        </w:rPr>
        <w:t xml:space="preserve">także </w:t>
      </w:r>
      <w:r w:rsidR="00A350DA" w:rsidRPr="007E4DA1">
        <w:rPr>
          <w:sz w:val="22"/>
          <w:szCs w:val="22"/>
          <w:lang w:val="pl-PL"/>
        </w:rPr>
        <w:t>wystąpić również wtedy, gdy liczba płytek krwi jest prawidłowa lub zbyt mała. Lekarz prowadzący dostosuje dawkę leku Revolade dla pacjenta, aby nie dopuścić do zbytniego zwiększenia liczby płytek krwi.</w:t>
      </w:r>
    </w:p>
    <w:p w14:paraId="50582E80" w14:textId="77777777" w:rsidR="00A350DA" w:rsidRPr="007E4DA1" w:rsidRDefault="00A350DA" w:rsidP="00DE1596"/>
    <w:p w14:paraId="61FCCC20" w14:textId="77777777" w:rsidR="00A350DA" w:rsidRPr="007E4DA1" w:rsidRDefault="00665357" w:rsidP="00DE1596">
      <w:pPr>
        <w:pStyle w:val="Action"/>
        <w:keepNext/>
        <w:numPr>
          <w:ilvl w:val="0"/>
          <w:numId w:val="0"/>
        </w:numPr>
        <w:tabs>
          <w:tab w:val="clear" w:pos="851"/>
        </w:tabs>
        <w:spacing w:before="0"/>
        <w:rPr>
          <w:lang w:val="pl-PL"/>
        </w:rPr>
      </w:pPr>
      <w:r w:rsidRPr="007E4DA1">
        <w:rPr>
          <w:b/>
          <w:noProof/>
          <w:lang w:val="en-US" w:eastAsia="en-US"/>
        </w:rPr>
        <w:drawing>
          <wp:inline distT="0" distB="0" distL="0" distR="0" wp14:anchorId="23DA66FE" wp14:editId="0CADD679">
            <wp:extent cx="238760" cy="246380"/>
            <wp:effectExtent l="0" t="0" r="0" b="0"/>
            <wp:docPr id="4" name="Picture 13"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823F10" w:rsidRPr="007E4DA1">
        <w:rPr>
          <w:b/>
          <w:noProof/>
          <w:lang w:val="pl-PL" w:eastAsia="en-US"/>
        </w:rPr>
        <w:t xml:space="preserve"> </w:t>
      </w:r>
      <w:r w:rsidR="00A350DA" w:rsidRPr="007E4DA1">
        <w:rPr>
          <w:b/>
          <w:lang w:val="pl-PL"/>
        </w:rPr>
        <w:t xml:space="preserve">Należy uzyskać natychmiastową pomoc lekarską, </w:t>
      </w:r>
      <w:r w:rsidR="00A350DA" w:rsidRPr="007E4DA1">
        <w:rPr>
          <w:lang w:val="pl-PL"/>
        </w:rPr>
        <w:t xml:space="preserve">jeśli u pacjenta wystąpią którekolwiek z wymienionych objawów </w:t>
      </w:r>
      <w:r w:rsidR="00A350DA" w:rsidRPr="007E4DA1">
        <w:rPr>
          <w:b/>
          <w:lang w:val="pl-PL"/>
        </w:rPr>
        <w:t>zakrzepu</w:t>
      </w:r>
      <w:r w:rsidR="00A350DA" w:rsidRPr="007E4DA1">
        <w:rPr>
          <w:lang w:val="pl-PL"/>
        </w:rPr>
        <w:t>:</w:t>
      </w:r>
    </w:p>
    <w:p w14:paraId="3A2FC97B" w14:textId="77777777" w:rsidR="00A350DA" w:rsidRPr="007E4DA1" w:rsidRDefault="00A350DA" w:rsidP="00DE1596">
      <w:pPr>
        <w:pStyle w:val="Bulletindent"/>
        <w:keepNext/>
        <w:numPr>
          <w:ilvl w:val="0"/>
          <w:numId w:val="19"/>
        </w:numPr>
        <w:tabs>
          <w:tab w:val="clear" w:pos="567"/>
          <w:tab w:val="clear" w:pos="851"/>
        </w:tabs>
        <w:spacing w:before="0" w:line="240" w:lineRule="auto"/>
        <w:ind w:left="567" w:hanging="567"/>
        <w:rPr>
          <w:noProof w:val="0"/>
          <w:lang w:val="pl-PL"/>
        </w:rPr>
      </w:pPr>
      <w:r w:rsidRPr="007E4DA1">
        <w:rPr>
          <w:b/>
          <w:noProof w:val="0"/>
          <w:lang w:val="pl-PL"/>
        </w:rPr>
        <w:t>obrzęk, ból</w:t>
      </w:r>
      <w:r w:rsidRPr="007E4DA1">
        <w:rPr>
          <w:noProof w:val="0"/>
          <w:lang w:val="pl-PL"/>
        </w:rPr>
        <w:t xml:space="preserve"> lub bolesność uciskowa </w:t>
      </w:r>
      <w:r w:rsidRPr="007E4DA1">
        <w:rPr>
          <w:b/>
          <w:noProof w:val="0"/>
          <w:lang w:val="pl-PL"/>
        </w:rPr>
        <w:t>jednej nogi</w:t>
      </w:r>
    </w:p>
    <w:p w14:paraId="56515610" w14:textId="77777777" w:rsidR="00A350DA" w:rsidRPr="007E4DA1" w:rsidRDefault="00A350DA" w:rsidP="00DE1596">
      <w:pPr>
        <w:pStyle w:val="Bulletindent"/>
        <w:keepNext/>
        <w:numPr>
          <w:ilvl w:val="0"/>
          <w:numId w:val="19"/>
        </w:numPr>
        <w:tabs>
          <w:tab w:val="clear" w:pos="567"/>
          <w:tab w:val="clear" w:pos="851"/>
        </w:tabs>
        <w:spacing w:before="0" w:line="240" w:lineRule="auto"/>
        <w:ind w:left="567" w:hanging="567"/>
        <w:rPr>
          <w:noProof w:val="0"/>
          <w:lang w:val="pl-PL"/>
        </w:rPr>
      </w:pPr>
      <w:r w:rsidRPr="007E4DA1">
        <w:rPr>
          <w:b/>
          <w:noProof w:val="0"/>
          <w:lang w:val="pl-PL"/>
        </w:rPr>
        <w:t>nagłe skrócenie oddechu</w:t>
      </w:r>
      <w:r w:rsidRPr="007E4DA1">
        <w:rPr>
          <w:noProof w:val="0"/>
          <w:lang w:val="pl-PL"/>
        </w:rPr>
        <w:t>, szczególnie z ostrym bólem w klatce piersiowej lub przyspieszeniem oddechu</w:t>
      </w:r>
    </w:p>
    <w:p w14:paraId="095F909D" w14:textId="77777777" w:rsidR="00A350DA" w:rsidRPr="007E4DA1" w:rsidRDefault="00A350DA" w:rsidP="00DE1596">
      <w:pPr>
        <w:pStyle w:val="Bulletindent"/>
        <w:numPr>
          <w:ilvl w:val="0"/>
          <w:numId w:val="19"/>
        </w:numPr>
        <w:tabs>
          <w:tab w:val="clear" w:pos="567"/>
          <w:tab w:val="clear" w:pos="851"/>
        </w:tabs>
        <w:spacing w:before="0" w:line="240" w:lineRule="auto"/>
        <w:ind w:left="567" w:hanging="567"/>
        <w:rPr>
          <w:noProof w:val="0"/>
          <w:lang w:val="pl-PL"/>
        </w:rPr>
      </w:pPr>
      <w:r w:rsidRPr="007E4DA1">
        <w:rPr>
          <w:noProof w:val="0"/>
          <w:lang w:val="pl-PL"/>
        </w:rPr>
        <w:t>ból brzucha (żołądka), powiększenie brzucha, krew w stolcu</w:t>
      </w:r>
    </w:p>
    <w:p w14:paraId="323B809F" w14:textId="77777777" w:rsidR="00A350DA" w:rsidRPr="007E4DA1" w:rsidRDefault="00A350DA" w:rsidP="00DE1596">
      <w:pPr>
        <w:pStyle w:val="Bulletindent"/>
        <w:numPr>
          <w:ilvl w:val="0"/>
          <w:numId w:val="0"/>
        </w:numPr>
        <w:tabs>
          <w:tab w:val="clear" w:pos="567"/>
          <w:tab w:val="clear" w:pos="851"/>
        </w:tabs>
        <w:spacing w:before="0" w:line="240" w:lineRule="auto"/>
        <w:rPr>
          <w:noProof w:val="0"/>
          <w:lang w:val="pl-PL"/>
        </w:rPr>
      </w:pPr>
    </w:p>
    <w:p w14:paraId="10E40B2B" w14:textId="77777777" w:rsidR="00041A08" w:rsidRPr="00041A08" w:rsidRDefault="00A350DA" w:rsidP="00DE1596">
      <w:pPr>
        <w:pStyle w:val="Bulletindent"/>
        <w:keepNext/>
        <w:numPr>
          <w:ilvl w:val="0"/>
          <w:numId w:val="0"/>
        </w:numPr>
        <w:tabs>
          <w:tab w:val="clear" w:pos="567"/>
          <w:tab w:val="clear" w:pos="851"/>
        </w:tabs>
        <w:spacing w:before="0" w:line="240" w:lineRule="auto"/>
        <w:rPr>
          <w:noProof w:val="0"/>
          <w:lang w:val="pl-PL"/>
        </w:rPr>
      </w:pPr>
      <w:r w:rsidRPr="007E4DA1">
        <w:rPr>
          <w:b/>
          <w:noProof w:val="0"/>
          <w:lang w:val="pl-PL"/>
        </w:rPr>
        <w:t>Badania szpiku kostnego</w:t>
      </w:r>
    </w:p>
    <w:p w14:paraId="46456B29" w14:textId="728C7150" w:rsidR="00A350DA" w:rsidRPr="007E4DA1" w:rsidRDefault="00313CA1" w:rsidP="00DE1596">
      <w:pPr>
        <w:ind w:left="0" w:firstLine="0"/>
      </w:pPr>
      <w:r w:rsidRPr="007E4DA1">
        <w:t>U</w:t>
      </w:r>
      <w:r w:rsidR="00A350DA" w:rsidRPr="007E4DA1">
        <w:t xml:space="preserve"> pacjen</w:t>
      </w:r>
      <w:r w:rsidRPr="007E4DA1">
        <w:t>tów, którzy mają</w:t>
      </w:r>
      <w:r w:rsidR="00A350DA" w:rsidRPr="007E4DA1">
        <w:t xml:space="preserve"> zaburzenia dotyczące szpiku kostnego</w:t>
      </w:r>
      <w:r w:rsidRPr="007E4DA1">
        <w:t>, l</w:t>
      </w:r>
      <w:r w:rsidR="00A350DA" w:rsidRPr="007E4DA1">
        <w:t>eki takie jak Revolade mogą t</w:t>
      </w:r>
      <w:r w:rsidRPr="007E4DA1">
        <w:t xml:space="preserve">e </w:t>
      </w:r>
      <w:r w:rsidR="00135549" w:rsidRPr="007E4DA1">
        <w:t>zaburzenia</w:t>
      </w:r>
      <w:r w:rsidR="00A350DA" w:rsidRPr="007E4DA1">
        <w:t xml:space="preserve"> nasilić. Zmiany w szpiku kostnym mogą objawiać się nieprawidłowymi wynikami badań krwi. Lekarz prowadzący może zlecić bezpośrednie badania szpiku kostnego w trakcie stosowania leku Revolade.</w:t>
      </w:r>
    </w:p>
    <w:p w14:paraId="702CED64" w14:textId="77777777" w:rsidR="00A350DA" w:rsidRPr="007E4DA1" w:rsidRDefault="00A350DA" w:rsidP="00DE1596">
      <w:pPr>
        <w:ind w:left="0" w:firstLine="0"/>
      </w:pPr>
    </w:p>
    <w:p w14:paraId="1C80A6D3" w14:textId="77777777" w:rsidR="00041A08" w:rsidRPr="00041A08" w:rsidRDefault="00A350DA" w:rsidP="00DE1596">
      <w:pPr>
        <w:keepNext/>
        <w:ind w:left="0" w:firstLine="0"/>
      </w:pPr>
      <w:r w:rsidRPr="007E4DA1">
        <w:rPr>
          <w:b/>
        </w:rPr>
        <w:t>Badania wykrywające krwawienia z przewodu pokarmowego</w:t>
      </w:r>
    </w:p>
    <w:p w14:paraId="2B82E4B5" w14:textId="178D22E7" w:rsidR="00A350DA" w:rsidRPr="007E4DA1" w:rsidRDefault="00A350DA" w:rsidP="00DE1596">
      <w:pPr>
        <w:ind w:left="0" w:firstLine="0"/>
      </w:pPr>
      <w:r w:rsidRPr="007E4DA1">
        <w:t xml:space="preserve">Jeśli pacjent stosuje leczenie </w:t>
      </w:r>
      <w:r w:rsidR="00313CA1" w:rsidRPr="007E4DA1">
        <w:t>oparte na</w:t>
      </w:r>
      <w:r w:rsidRPr="007E4DA1">
        <w:t xml:space="preserve"> interferon</w:t>
      </w:r>
      <w:r w:rsidR="00313CA1" w:rsidRPr="007E4DA1">
        <w:t>ie</w:t>
      </w:r>
      <w:r w:rsidRPr="007E4DA1">
        <w:t xml:space="preserve"> jednocześnie z lekiem Revolade, będzie obserwowany w celu wykrycia objawów krwawienia z </w:t>
      </w:r>
      <w:r w:rsidR="00313CA1" w:rsidRPr="007E4DA1">
        <w:t xml:space="preserve">żołądka lub jelit </w:t>
      </w:r>
      <w:r w:rsidRPr="007E4DA1">
        <w:t>po zakończeniu leczenia lekiem Revolade.</w:t>
      </w:r>
    </w:p>
    <w:p w14:paraId="578CCA85" w14:textId="77777777" w:rsidR="00A350DA" w:rsidRPr="007E4DA1" w:rsidRDefault="00A350DA" w:rsidP="00DE1596">
      <w:pPr>
        <w:ind w:left="0" w:firstLine="0"/>
      </w:pPr>
    </w:p>
    <w:p w14:paraId="47F874D8" w14:textId="77777777" w:rsidR="00041A08" w:rsidRPr="00041A08" w:rsidRDefault="00A350DA" w:rsidP="00DE1596">
      <w:pPr>
        <w:keepNext/>
        <w:ind w:left="0" w:firstLine="0"/>
      </w:pPr>
      <w:r w:rsidRPr="007E4DA1">
        <w:rPr>
          <w:b/>
        </w:rPr>
        <w:t>Badania serca</w:t>
      </w:r>
    </w:p>
    <w:p w14:paraId="3A4C3BB3" w14:textId="0E8CBB41" w:rsidR="00A350DA" w:rsidRPr="007E4DA1" w:rsidRDefault="00A350DA" w:rsidP="00DE1596">
      <w:pPr>
        <w:ind w:left="0" w:firstLine="0"/>
      </w:pPr>
      <w:r w:rsidRPr="007E4DA1">
        <w:t xml:space="preserve">Lekarz prowadzący może stwierdzić potrzebę badania serca pacjenta w trakcie leczenia lekiem Revolade i </w:t>
      </w:r>
      <w:r w:rsidR="00313CA1" w:rsidRPr="007E4DA1">
        <w:t>przeprowadzić</w:t>
      </w:r>
      <w:r w:rsidRPr="007E4DA1">
        <w:t xml:space="preserve"> badanie elektrokardiograficzne</w:t>
      </w:r>
      <w:r w:rsidR="00313CA1" w:rsidRPr="007E4DA1">
        <w:t xml:space="preserve"> (EKG)</w:t>
      </w:r>
      <w:r w:rsidRPr="007E4DA1">
        <w:t>.</w:t>
      </w:r>
    </w:p>
    <w:p w14:paraId="199B2742" w14:textId="77777777" w:rsidR="00F76AD4" w:rsidRPr="007E4DA1" w:rsidRDefault="00F76AD4" w:rsidP="00DE1596">
      <w:pPr>
        <w:ind w:left="0" w:firstLine="0"/>
      </w:pPr>
    </w:p>
    <w:p w14:paraId="2D228DA6" w14:textId="77777777" w:rsidR="00041A08" w:rsidRPr="00041A08" w:rsidRDefault="0048571C" w:rsidP="00DE1596">
      <w:pPr>
        <w:keepNext/>
        <w:ind w:left="0" w:firstLine="0"/>
      </w:pPr>
      <w:r w:rsidRPr="007E4DA1">
        <w:rPr>
          <w:b/>
        </w:rPr>
        <w:t>Osoby w podeszłym wieku (65 lat i starsze)</w:t>
      </w:r>
    </w:p>
    <w:p w14:paraId="0EA13390" w14:textId="21A76035" w:rsidR="0048571C" w:rsidRPr="007E4DA1" w:rsidRDefault="0048571C" w:rsidP="00DE1596">
      <w:pPr>
        <w:ind w:left="0" w:firstLine="0"/>
      </w:pPr>
      <w:r w:rsidRPr="007E4DA1">
        <w:t>Istnieją ograniczone dane dotyczące stosowania leku Revolade u pacjentów w wieku 65 lat i starszych. Należy zachować ostrożność stosując lek Revolade u pacjentów w wieku 65 lat i starszych.</w:t>
      </w:r>
    </w:p>
    <w:p w14:paraId="5943D5D5" w14:textId="77777777" w:rsidR="0048571C" w:rsidRPr="007E4DA1" w:rsidRDefault="0048571C" w:rsidP="00DE1596">
      <w:pPr>
        <w:ind w:left="0" w:firstLine="0"/>
      </w:pPr>
    </w:p>
    <w:p w14:paraId="332D0BB0" w14:textId="77777777" w:rsidR="00041A08" w:rsidRPr="00041A08" w:rsidRDefault="00A350DA" w:rsidP="00DE1596">
      <w:pPr>
        <w:keepNext/>
        <w:ind w:left="0" w:firstLine="0"/>
      </w:pPr>
      <w:r w:rsidRPr="007E4DA1">
        <w:rPr>
          <w:b/>
        </w:rPr>
        <w:t>Dzieci i młodzież</w:t>
      </w:r>
    </w:p>
    <w:p w14:paraId="344DED33" w14:textId="21A0DC38" w:rsidR="00A350DA" w:rsidRPr="007E4DA1" w:rsidRDefault="00A350DA" w:rsidP="00DE1596">
      <w:pPr>
        <w:ind w:left="0" w:firstLine="0"/>
      </w:pPr>
      <w:r w:rsidRPr="007E4DA1">
        <w:t xml:space="preserve">Lek Revolade nie jest zalecany u </w:t>
      </w:r>
      <w:r w:rsidR="00313CA1" w:rsidRPr="007E4DA1">
        <w:t>dzieci</w:t>
      </w:r>
      <w:r w:rsidRPr="007E4DA1">
        <w:t xml:space="preserve"> w wieku poniżej 1 </w:t>
      </w:r>
      <w:r w:rsidR="00313CA1" w:rsidRPr="007E4DA1">
        <w:t xml:space="preserve">roku </w:t>
      </w:r>
      <w:r w:rsidR="00135549" w:rsidRPr="007E4DA1">
        <w:t>z</w:t>
      </w:r>
      <w:r w:rsidR="00313CA1" w:rsidRPr="007E4DA1">
        <w:t xml:space="preserve"> małopłytkowoś</w:t>
      </w:r>
      <w:r w:rsidR="00135549" w:rsidRPr="007E4DA1">
        <w:t>cią</w:t>
      </w:r>
      <w:r w:rsidR="00313CA1" w:rsidRPr="007E4DA1">
        <w:t xml:space="preserve"> immunologiczną. Lek nie jest również zalecany u osób w wieku poniżej 18</w:t>
      </w:r>
      <w:r w:rsidR="003106E7" w:rsidRPr="007E4DA1">
        <w:t> </w:t>
      </w:r>
      <w:r w:rsidR="00313CA1" w:rsidRPr="007E4DA1">
        <w:t>lat z małą liczbą płytek krwi spowodowaną wirusowym zapaleniem wątroby typu C lub ciężką postacią niedokrwistości aplastycznej.</w:t>
      </w:r>
    </w:p>
    <w:p w14:paraId="2C91889B" w14:textId="77777777" w:rsidR="00A350DA" w:rsidRPr="007E4DA1" w:rsidRDefault="00A350DA" w:rsidP="00DE1596"/>
    <w:p w14:paraId="6E8E0546" w14:textId="77777777" w:rsidR="00041A08" w:rsidRPr="00041A08" w:rsidRDefault="00A350DA" w:rsidP="00DE1596">
      <w:pPr>
        <w:keepNext/>
      </w:pPr>
      <w:r w:rsidRPr="007E4DA1">
        <w:rPr>
          <w:b/>
        </w:rPr>
        <w:t>Lek Revolade a inne leki</w:t>
      </w:r>
    </w:p>
    <w:p w14:paraId="39D74F38" w14:textId="62263361" w:rsidR="00A350DA" w:rsidRPr="007E4DA1" w:rsidRDefault="00A350DA" w:rsidP="00DE1596">
      <w:pPr>
        <w:ind w:left="0" w:firstLine="0"/>
      </w:pPr>
      <w:r w:rsidRPr="007E4DA1">
        <w:t>Należy powiedzieć lekarzowi lub farmaceucie o wszystkich lekach przyjmowanych przez pacjenta obecnie lub ostatnio, a także o lekach, które pacjent planuje przyjmować.</w:t>
      </w:r>
      <w:r w:rsidR="0048571C" w:rsidRPr="007E4DA1">
        <w:t xml:space="preserve"> Dotyczy to także leków otrzymywanych bez recepty i witamin.</w:t>
      </w:r>
    </w:p>
    <w:p w14:paraId="1406E87E" w14:textId="77777777" w:rsidR="00A350DA" w:rsidRPr="007E4DA1" w:rsidRDefault="00A350DA" w:rsidP="00DE1596">
      <w:pPr>
        <w:ind w:left="0" w:firstLine="0"/>
      </w:pPr>
    </w:p>
    <w:p w14:paraId="6811F8BF" w14:textId="77777777" w:rsidR="00A350DA" w:rsidRPr="007E4DA1" w:rsidRDefault="00A350DA" w:rsidP="00DE1596">
      <w:pPr>
        <w:keepNext/>
        <w:ind w:left="0" w:firstLine="0"/>
        <w:rPr>
          <w:szCs w:val="22"/>
        </w:rPr>
      </w:pPr>
      <w:r w:rsidRPr="007E4DA1">
        <w:rPr>
          <w:b/>
          <w:szCs w:val="22"/>
        </w:rPr>
        <w:t xml:space="preserve">Niektóre powszechnie stosowane leki oddziałują z lekiem Revolade – </w:t>
      </w:r>
      <w:r w:rsidRPr="007E4DA1">
        <w:rPr>
          <w:szCs w:val="22"/>
        </w:rPr>
        <w:t>w tym zarówno leki wydawane na receptę, jak i bez recepty oraz preparaty mineralne. Należą do nich:</w:t>
      </w:r>
    </w:p>
    <w:p w14:paraId="1480A276" w14:textId="77777777" w:rsidR="00A350DA" w:rsidRPr="007E4DA1" w:rsidRDefault="00A350DA" w:rsidP="00DE1596">
      <w:pPr>
        <w:pStyle w:val="listdashnospace"/>
        <w:keepNext/>
        <w:numPr>
          <w:ilvl w:val="0"/>
          <w:numId w:val="20"/>
        </w:numPr>
        <w:tabs>
          <w:tab w:val="clear" w:pos="747"/>
        </w:tabs>
        <w:ind w:left="567"/>
        <w:rPr>
          <w:sz w:val="22"/>
          <w:szCs w:val="22"/>
          <w:lang w:val="pl-PL"/>
        </w:rPr>
      </w:pPr>
      <w:r w:rsidRPr="007E4DA1">
        <w:rPr>
          <w:sz w:val="22"/>
          <w:szCs w:val="22"/>
          <w:lang w:val="pl-PL"/>
        </w:rPr>
        <w:t xml:space="preserve">leki zobojętniające kwas żołądkowy stosowane w leczeniu </w:t>
      </w:r>
      <w:r w:rsidRPr="007E4DA1">
        <w:rPr>
          <w:b/>
          <w:sz w:val="22"/>
          <w:szCs w:val="22"/>
          <w:lang w:val="pl-PL"/>
        </w:rPr>
        <w:t>niestrawności, zgagi, wrzodów żołądka</w:t>
      </w:r>
      <w:r w:rsidRPr="007E4DA1">
        <w:rPr>
          <w:sz w:val="22"/>
          <w:szCs w:val="22"/>
          <w:lang w:val="pl-PL"/>
        </w:rPr>
        <w:t xml:space="preserve"> (patrz </w:t>
      </w:r>
      <w:r w:rsidR="00D42A1B" w:rsidRPr="007E4DA1">
        <w:rPr>
          <w:sz w:val="22"/>
          <w:szCs w:val="22"/>
          <w:lang w:val="pl-PL"/>
        </w:rPr>
        <w:t>także „</w:t>
      </w:r>
      <w:r w:rsidR="00D42A1B" w:rsidRPr="007E4DA1">
        <w:rPr>
          <w:b/>
          <w:i/>
          <w:sz w:val="22"/>
          <w:szCs w:val="22"/>
          <w:lang w:val="pl-PL"/>
        </w:rPr>
        <w:t>Kiedy przyjmować lek</w:t>
      </w:r>
      <w:r w:rsidR="00D42A1B" w:rsidRPr="007E4DA1">
        <w:rPr>
          <w:b/>
          <w:sz w:val="22"/>
          <w:szCs w:val="22"/>
          <w:lang w:val="pl-PL"/>
        </w:rPr>
        <w:t>”</w:t>
      </w:r>
      <w:r w:rsidR="00D42A1B" w:rsidRPr="007E4DA1">
        <w:rPr>
          <w:sz w:val="22"/>
          <w:szCs w:val="22"/>
          <w:lang w:val="pl-PL"/>
        </w:rPr>
        <w:t xml:space="preserve"> w punkcie</w:t>
      </w:r>
      <w:r w:rsidR="003106E7" w:rsidRPr="007E4DA1">
        <w:rPr>
          <w:sz w:val="22"/>
          <w:szCs w:val="22"/>
          <w:lang w:val="pl-PL"/>
        </w:rPr>
        <w:t> </w:t>
      </w:r>
      <w:r w:rsidR="00D42A1B" w:rsidRPr="007E4DA1">
        <w:rPr>
          <w:sz w:val="22"/>
          <w:szCs w:val="22"/>
          <w:lang w:val="pl-PL"/>
        </w:rPr>
        <w:t>3</w:t>
      </w:r>
      <w:r w:rsidRPr="007E4DA1">
        <w:rPr>
          <w:sz w:val="22"/>
          <w:szCs w:val="22"/>
          <w:lang w:val="pl-PL"/>
        </w:rPr>
        <w:t>)</w:t>
      </w:r>
    </w:p>
    <w:p w14:paraId="25E55200" w14:textId="77777777" w:rsidR="00A350DA" w:rsidRPr="007E4DA1" w:rsidRDefault="00A350DA" w:rsidP="00DE1596">
      <w:pPr>
        <w:pStyle w:val="listdashnospace"/>
        <w:keepNext/>
        <w:numPr>
          <w:ilvl w:val="0"/>
          <w:numId w:val="20"/>
        </w:numPr>
        <w:tabs>
          <w:tab w:val="clear" w:pos="747"/>
        </w:tabs>
        <w:ind w:left="567"/>
        <w:rPr>
          <w:sz w:val="22"/>
          <w:szCs w:val="22"/>
          <w:lang w:val="pl-PL"/>
        </w:rPr>
      </w:pPr>
      <w:r w:rsidRPr="007E4DA1">
        <w:rPr>
          <w:sz w:val="22"/>
          <w:szCs w:val="22"/>
          <w:lang w:val="pl-PL"/>
        </w:rPr>
        <w:t xml:space="preserve">leki zwane statynami, </w:t>
      </w:r>
      <w:r w:rsidRPr="007E4DA1">
        <w:rPr>
          <w:b/>
          <w:sz w:val="22"/>
          <w:szCs w:val="22"/>
          <w:lang w:val="pl-PL"/>
        </w:rPr>
        <w:t>zmniejszające stężenie cholesterolu</w:t>
      </w:r>
    </w:p>
    <w:p w14:paraId="69878843" w14:textId="77777777" w:rsidR="00A350DA" w:rsidRPr="007E4DA1" w:rsidRDefault="00A350DA" w:rsidP="00DE1596">
      <w:pPr>
        <w:pStyle w:val="listdashnospace"/>
        <w:keepNext/>
        <w:numPr>
          <w:ilvl w:val="0"/>
          <w:numId w:val="20"/>
        </w:numPr>
        <w:tabs>
          <w:tab w:val="clear" w:pos="747"/>
        </w:tabs>
        <w:ind w:left="567"/>
        <w:rPr>
          <w:sz w:val="22"/>
          <w:szCs w:val="22"/>
          <w:lang w:val="pl-PL"/>
        </w:rPr>
      </w:pPr>
      <w:r w:rsidRPr="007E4DA1">
        <w:rPr>
          <w:sz w:val="22"/>
          <w:szCs w:val="22"/>
          <w:lang w:val="pl-PL"/>
        </w:rPr>
        <w:t xml:space="preserve">niektóre leki stosowane w leczeniu </w:t>
      </w:r>
      <w:r w:rsidRPr="007E4DA1">
        <w:rPr>
          <w:b/>
          <w:sz w:val="22"/>
          <w:szCs w:val="22"/>
          <w:lang w:val="pl-PL"/>
        </w:rPr>
        <w:t>zakażenia HIV</w:t>
      </w:r>
      <w:r w:rsidRPr="007E4DA1">
        <w:rPr>
          <w:sz w:val="22"/>
          <w:szCs w:val="22"/>
          <w:lang w:val="pl-PL"/>
        </w:rPr>
        <w:t xml:space="preserve"> takie jak lopinawir </w:t>
      </w:r>
      <w:r w:rsidR="00D42A1B" w:rsidRPr="007E4DA1">
        <w:rPr>
          <w:sz w:val="22"/>
          <w:szCs w:val="22"/>
          <w:lang w:val="pl-PL"/>
        </w:rPr>
        <w:t>i (</w:t>
      </w:r>
      <w:r w:rsidRPr="007E4DA1">
        <w:rPr>
          <w:sz w:val="22"/>
          <w:szCs w:val="22"/>
          <w:lang w:val="pl-PL"/>
        </w:rPr>
        <w:t>lub</w:t>
      </w:r>
      <w:r w:rsidR="00D42A1B" w:rsidRPr="007E4DA1">
        <w:rPr>
          <w:sz w:val="22"/>
          <w:szCs w:val="22"/>
          <w:lang w:val="pl-PL"/>
        </w:rPr>
        <w:t>)</w:t>
      </w:r>
      <w:r w:rsidRPr="007E4DA1">
        <w:rPr>
          <w:sz w:val="22"/>
          <w:szCs w:val="22"/>
          <w:lang w:val="pl-PL"/>
        </w:rPr>
        <w:t xml:space="preserve"> rytonawir</w:t>
      </w:r>
    </w:p>
    <w:p w14:paraId="0F83705F" w14:textId="77777777" w:rsidR="00D70D82" w:rsidRPr="007E4DA1" w:rsidRDefault="00D70D82" w:rsidP="00DE1596">
      <w:pPr>
        <w:pStyle w:val="listdashnospace"/>
        <w:keepNext/>
        <w:numPr>
          <w:ilvl w:val="0"/>
          <w:numId w:val="20"/>
        </w:numPr>
        <w:tabs>
          <w:tab w:val="clear" w:pos="747"/>
          <w:tab w:val="num" w:pos="567"/>
        </w:tabs>
        <w:ind w:left="567"/>
        <w:rPr>
          <w:sz w:val="22"/>
          <w:szCs w:val="22"/>
          <w:lang w:val="pl-PL"/>
        </w:rPr>
      </w:pPr>
      <w:r w:rsidRPr="007E4DA1">
        <w:rPr>
          <w:sz w:val="22"/>
          <w:szCs w:val="22"/>
          <w:lang w:val="pl-PL"/>
        </w:rPr>
        <w:t xml:space="preserve">cyklosporyna stosowana w przypadku </w:t>
      </w:r>
      <w:r w:rsidRPr="007E4DA1">
        <w:rPr>
          <w:b/>
          <w:sz w:val="22"/>
          <w:szCs w:val="22"/>
          <w:lang w:val="pl-PL"/>
        </w:rPr>
        <w:t>przeszczepów</w:t>
      </w:r>
      <w:r w:rsidRPr="007E4DA1">
        <w:rPr>
          <w:sz w:val="22"/>
          <w:szCs w:val="22"/>
          <w:lang w:val="pl-PL"/>
        </w:rPr>
        <w:t xml:space="preserve"> lub w </w:t>
      </w:r>
      <w:r w:rsidRPr="007E4DA1">
        <w:rPr>
          <w:b/>
          <w:sz w:val="22"/>
          <w:szCs w:val="22"/>
          <w:lang w:val="pl-PL"/>
        </w:rPr>
        <w:t>chorobach immunologicznych</w:t>
      </w:r>
    </w:p>
    <w:p w14:paraId="407AB3EB" w14:textId="77777777" w:rsidR="00A350DA" w:rsidRPr="007E4DA1" w:rsidRDefault="00A350DA" w:rsidP="00DE1596">
      <w:pPr>
        <w:pStyle w:val="listdashnospace"/>
        <w:keepNext/>
        <w:numPr>
          <w:ilvl w:val="0"/>
          <w:numId w:val="20"/>
        </w:numPr>
        <w:tabs>
          <w:tab w:val="clear" w:pos="747"/>
        </w:tabs>
        <w:ind w:left="567"/>
        <w:rPr>
          <w:sz w:val="22"/>
          <w:szCs w:val="22"/>
          <w:lang w:val="pl-PL"/>
        </w:rPr>
      </w:pPr>
      <w:r w:rsidRPr="007E4DA1">
        <w:rPr>
          <w:sz w:val="22"/>
          <w:szCs w:val="22"/>
          <w:lang w:val="pl-PL"/>
        </w:rPr>
        <w:t xml:space="preserve">produkty mineralne, takie jak żelazo, wapń, magnez, glin, selen i cynk, które mogą być składnikami </w:t>
      </w:r>
      <w:r w:rsidRPr="007E4DA1">
        <w:rPr>
          <w:b/>
          <w:sz w:val="22"/>
          <w:szCs w:val="22"/>
          <w:lang w:val="pl-PL"/>
        </w:rPr>
        <w:t xml:space="preserve">suplementów witaminowo-mineralnych </w:t>
      </w:r>
      <w:r w:rsidRPr="007E4DA1">
        <w:rPr>
          <w:sz w:val="22"/>
          <w:szCs w:val="22"/>
          <w:lang w:val="pl-PL"/>
        </w:rPr>
        <w:t xml:space="preserve">(patrz </w:t>
      </w:r>
      <w:r w:rsidR="00D42A1B" w:rsidRPr="007E4DA1">
        <w:rPr>
          <w:sz w:val="22"/>
          <w:szCs w:val="22"/>
          <w:lang w:val="pl-PL"/>
        </w:rPr>
        <w:t>także „</w:t>
      </w:r>
      <w:r w:rsidR="00D42A1B" w:rsidRPr="007E4DA1">
        <w:rPr>
          <w:b/>
          <w:i/>
          <w:sz w:val="22"/>
          <w:szCs w:val="22"/>
          <w:lang w:val="pl-PL"/>
        </w:rPr>
        <w:t>Kiedy przyjmować lek</w:t>
      </w:r>
      <w:r w:rsidR="00D42A1B" w:rsidRPr="007E4DA1">
        <w:rPr>
          <w:b/>
          <w:sz w:val="22"/>
          <w:szCs w:val="22"/>
          <w:lang w:val="pl-PL"/>
        </w:rPr>
        <w:t>”</w:t>
      </w:r>
      <w:r w:rsidR="00D42A1B" w:rsidRPr="007E4DA1">
        <w:rPr>
          <w:sz w:val="22"/>
          <w:szCs w:val="22"/>
          <w:lang w:val="pl-PL"/>
        </w:rPr>
        <w:t xml:space="preserve"> w punkcie</w:t>
      </w:r>
      <w:r w:rsidR="00823F10" w:rsidRPr="007E4DA1">
        <w:rPr>
          <w:sz w:val="22"/>
          <w:szCs w:val="22"/>
          <w:lang w:val="pl-PL"/>
        </w:rPr>
        <w:t> </w:t>
      </w:r>
      <w:r w:rsidR="00D42A1B" w:rsidRPr="007E4DA1">
        <w:rPr>
          <w:sz w:val="22"/>
          <w:szCs w:val="22"/>
          <w:lang w:val="pl-PL"/>
        </w:rPr>
        <w:t>3</w:t>
      </w:r>
      <w:r w:rsidRPr="007E4DA1">
        <w:rPr>
          <w:sz w:val="22"/>
          <w:szCs w:val="22"/>
          <w:lang w:val="pl-PL"/>
        </w:rPr>
        <w:t>)</w:t>
      </w:r>
    </w:p>
    <w:p w14:paraId="3E551C2F" w14:textId="77777777" w:rsidR="00A350DA" w:rsidRPr="007E4DA1" w:rsidRDefault="00A350DA" w:rsidP="00DE1596">
      <w:pPr>
        <w:pStyle w:val="listdashnospace"/>
        <w:keepNext/>
        <w:numPr>
          <w:ilvl w:val="0"/>
          <w:numId w:val="20"/>
        </w:numPr>
        <w:tabs>
          <w:tab w:val="clear" w:pos="747"/>
        </w:tabs>
        <w:ind w:left="567"/>
        <w:rPr>
          <w:sz w:val="22"/>
          <w:szCs w:val="22"/>
          <w:lang w:val="pl-PL"/>
        </w:rPr>
      </w:pPr>
      <w:r w:rsidRPr="007E4DA1">
        <w:rPr>
          <w:sz w:val="22"/>
          <w:szCs w:val="22"/>
          <w:lang w:val="pl-PL"/>
        </w:rPr>
        <w:t xml:space="preserve">leki takie jak metotreksat i topotekan, stosowane w leczeniu </w:t>
      </w:r>
      <w:r w:rsidRPr="007E4DA1">
        <w:rPr>
          <w:b/>
          <w:sz w:val="22"/>
          <w:szCs w:val="22"/>
          <w:lang w:val="pl-PL"/>
        </w:rPr>
        <w:t>nowotworów</w:t>
      </w:r>
    </w:p>
    <w:p w14:paraId="6226FA6F" w14:textId="77777777" w:rsidR="00A350DA" w:rsidRPr="007E4DA1" w:rsidRDefault="00A350DA" w:rsidP="00DE1596">
      <w:pPr>
        <w:numPr>
          <w:ilvl w:val="0"/>
          <w:numId w:val="13"/>
        </w:numPr>
        <w:ind w:left="567" w:hanging="567"/>
      </w:pPr>
      <w:r w:rsidRPr="007E4DA1">
        <w:rPr>
          <w:b/>
        </w:rPr>
        <w:t xml:space="preserve">Należy zasięgnąć porady lekarza, </w:t>
      </w:r>
      <w:r w:rsidRPr="007E4DA1">
        <w:t>jeśli pacjent stosuje którykolwiek z wymienionych powyżej leków. Niektórych z nich nie wolno stosować podczas przyjmowania leku Revolade, w przypadku innych wymagane jest dostosowanie dawki albo odpowiednie dostosowanie czasu przyjmowania poszczególnych leków. Lekarz prowadzący dokona przeglądu przyjmowanych przez pacjenta leków i zaleci zmianę leczenia, jeśli będzie to konieczne.</w:t>
      </w:r>
    </w:p>
    <w:p w14:paraId="0C62597B" w14:textId="77777777" w:rsidR="00A350DA" w:rsidRPr="007E4DA1" w:rsidRDefault="00A350DA" w:rsidP="00DE1596"/>
    <w:p w14:paraId="340F7F67" w14:textId="77777777" w:rsidR="00A350DA" w:rsidRPr="007E4DA1" w:rsidRDefault="00A350DA" w:rsidP="00DE1596">
      <w:pPr>
        <w:pStyle w:val="Default"/>
        <w:rPr>
          <w:sz w:val="22"/>
          <w:szCs w:val="22"/>
          <w:lang w:val="pl-PL"/>
        </w:rPr>
      </w:pPr>
      <w:r w:rsidRPr="007E4DA1">
        <w:rPr>
          <w:sz w:val="22"/>
          <w:szCs w:val="22"/>
          <w:lang w:val="pl-PL"/>
        </w:rPr>
        <w:t>Jeśli pacjent stosuje jednocześnie leki zapobiegające powstawaniu zakrzepów, istnieje zwiększone ryzyko krwawienia. Lekarz prowadzący omówi tę sprawę z pacjentem.</w:t>
      </w:r>
    </w:p>
    <w:p w14:paraId="51976357" w14:textId="77777777" w:rsidR="00A350DA" w:rsidRPr="007E4DA1" w:rsidRDefault="00A350DA" w:rsidP="00DE1596">
      <w:pPr>
        <w:pStyle w:val="ListEnd"/>
        <w:rPr>
          <w:sz w:val="22"/>
          <w:szCs w:val="22"/>
          <w:lang w:val="pl-PL"/>
        </w:rPr>
      </w:pPr>
    </w:p>
    <w:p w14:paraId="37CAE10A" w14:textId="77777777" w:rsidR="00A350DA" w:rsidRPr="007E4DA1" w:rsidRDefault="00A350DA" w:rsidP="00DE1596">
      <w:pPr>
        <w:pStyle w:val="ListEnd"/>
        <w:rPr>
          <w:sz w:val="22"/>
          <w:szCs w:val="22"/>
          <w:lang w:val="pl-PL"/>
        </w:rPr>
      </w:pPr>
      <w:r w:rsidRPr="007E4DA1">
        <w:rPr>
          <w:sz w:val="22"/>
          <w:szCs w:val="22"/>
          <w:lang w:val="pl-PL"/>
        </w:rPr>
        <w:t>Jeśli pacjent przyjmuje</w:t>
      </w:r>
      <w:r w:rsidRPr="007E4DA1">
        <w:rPr>
          <w:b/>
          <w:sz w:val="22"/>
          <w:szCs w:val="22"/>
          <w:lang w:val="pl-PL"/>
        </w:rPr>
        <w:t xml:space="preserve"> kortykosteroidy, danazol </w:t>
      </w:r>
      <w:r w:rsidRPr="007E4DA1">
        <w:rPr>
          <w:sz w:val="22"/>
          <w:szCs w:val="22"/>
          <w:lang w:val="pl-PL"/>
        </w:rPr>
        <w:t>i (lub)</w:t>
      </w:r>
      <w:r w:rsidRPr="007E4DA1">
        <w:rPr>
          <w:b/>
          <w:sz w:val="22"/>
          <w:szCs w:val="22"/>
          <w:lang w:val="pl-PL"/>
        </w:rPr>
        <w:t xml:space="preserve"> azatioprynę, </w:t>
      </w:r>
      <w:r w:rsidRPr="007E4DA1">
        <w:rPr>
          <w:sz w:val="22"/>
          <w:szCs w:val="22"/>
          <w:lang w:val="pl-PL"/>
        </w:rPr>
        <w:t>dawki tych leków mogą zostać zmniejszone albo ich stosowanie może być przerwane podczas jednoczesnego stosowania leku Revolade.</w:t>
      </w:r>
    </w:p>
    <w:p w14:paraId="7D280DB4" w14:textId="77777777" w:rsidR="00A350DA" w:rsidRPr="007E4DA1" w:rsidRDefault="00A350DA" w:rsidP="00DE1596"/>
    <w:p w14:paraId="4FD640F6" w14:textId="77777777" w:rsidR="00041A08" w:rsidRPr="00041A08" w:rsidRDefault="005A501F" w:rsidP="00DE1596">
      <w:pPr>
        <w:keepNext/>
      </w:pPr>
      <w:r w:rsidRPr="007E4DA1">
        <w:rPr>
          <w:b/>
        </w:rPr>
        <w:t>Stosowanie</w:t>
      </w:r>
      <w:r w:rsidR="00A350DA" w:rsidRPr="007E4DA1">
        <w:rPr>
          <w:b/>
        </w:rPr>
        <w:t xml:space="preserve"> leku Revolade z jedzeniem i piciem</w:t>
      </w:r>
    </w:p>
    <w:p w14:paraId="6DFE21BE" w14:textId="596D43FE" w:rsidR="00A350DA" w:rsidRPr="007E4DA1" w:rsidRDefault="00A350DA" w:rsidP="00DE1596">
      <w:pPr>
        <w:pStyle w:val="listdashnospace"/>
        <w:numPr>
          <w:ilvl w:val="0"/>
          <w:numId w:val="0"/>
        </w:numPr>
        <w:rPr>
          <w:sz w:val="22"/>
          <w:szCs w:val="22"/>
          <w:lang w:val="pl-PL"/>
        </w:rPr>
      </w:pPr>
      <w:r w:rsidRPr="007E4DA1">
        <w:rPr>
          <w:sz w:val="22"/>
          <w:szCs w:val="22"/>
          <w:lang w:val="pl-PL"/>
        </w:rPr>
        <w:t xml:space="preserve">Leku Revolade nie wolno przyjmować z produktami i napojami mlecznymi, ponieważ wapń obecny w produktach mlecznych wpływa na wchłanianie leku. Dalsze informacje, patrz </w:t>
      </w:r>
      <w:r w:rsidR="005A501F" w:rsidRPr="007E4DA1">
        <w:rPr>
          <w:sz w:val="22"/>
          <w:szCs w:val="22"/>
          <w:lang w:val="pl-PL"/>
        </w:rPr>
        <w:t>„</w:t>
      </w:r>
      <w:r w:rsidR="005A501F" w:rsidRPr="007E4DA1">
        <w:rPr>
          <w:b/>
          <w:i/>
          <w:sz w:val="22"/>
          <w:szCs w:val="22"/>
          <w:lang w:val="pl-PL"/>
        </w:rPr>
        <w:t>Kiedy przyjmować lek</w:t>
      </w:r>
      <w:r w:rsidR="005A501F" w:rsidRPr="007E4DA1">
        <w:rPr>
          <w:b/>
          <w:sz w:val="22"/>
          <w:szCs w:val="22"/>
          <w:lang w:val="pl-PL"/>
        </w:rPr>
        <w:t>”</w:t>
      </w:r>
      <w:r w:rsidR="005A501F" w:rsidRPr="007E4DA1">
        <w:rPr>
          <w:sz w:val="22"/>
          <w:szCs w:val="22"/>
          <w:lang w:val="pl-PL"/>
        </w:rPr>
        <w:t xml:space="preserve"> w punkcie</w:t>
      </w:r>
      <w:r w:rsidR="003106E7" w:rsidRPr="007E4DA1">
        <w:rPr>
          <w:sz w:val="22"/>
          <w:szCs w:val="22"/>
          <w:lang w:val="pl-PL"/>
        </w:rPr>
        <w:t> </w:t>
      </w:r>
      <w:r w:rsidRPr="007E4DA1">
        <w:rPr>
          <w:sz w:val="22"/>
          <w:szCs w:val="22"/>
          <w:lang w:val="pl-PL"/>
        </w:rPr>
        <w:t>3.</w:t>
      </w:r>
    </w:p>
    <w:p w14:paraId="49616C1C" w14:textId="77777777" w:rsidR="00A350DA" w:rsidRPr="007E4DA1" w:rsidRDefault="00A350DA" w:rsidP="00DE1596"/>
    <w:p w14:paraId="7C3641DC" w14:textId="77777777" w:rsidR="00041A08" w:rsidRPr="00041A08" w:rsidRDefault="00A350DA" w:rsidP="00DE1596">
      <w:pPr>
        <w:keepNext/>
      </w:pPr>
      <w:r w:rsidRPr="007E4DA1">
        <w:rPr>
          <w:b/>
        </w:rPr>
        <w:t>Ciąża i karmienie piersią</w:t>
      </w:r>
    </w:p>
    <w:p w14:paraId="17C75B2D" w14:textId="69870777" w:rsidR="00A350DA" w:rsidRPr="007E4DA1" w:rsidRDefault="00A350DA" w:rsidP="00DE1596">
      <w:pPr>
        <w:keepNext/>
        <w:numPr>
          <w:ilvl w:val="12"/>
          <w:numId w:val="0"/>
        </w:numPr>
      </w:pPr>
      <w:r w:rsidRPr="007E4DA1">
        <w:rPr>
          <w:b/>
          <w:bCs/>
        </w:rPr>
        <w:t xml:space="preserve">Nie stosować leku Revolade podczas ciąży, </w:t>
      </w:r>
      <w:r w:rsidRPr="007E4DA1">
        <w:rPr>
          <w:bCs/>
        </w:rPr>
        <w:t>chyba że lekarz zaleci takie stosowanie. Wpływ leku Revolade stosowanego podczas ciąży jest nieznany.</w:t>
      </w:r>
    </w:p>
    <w:p w14:paraId="56018F5C" w14:textId="77777777" w:rsidR="00A350DA" w:rsidRPr="007E4DA1" w:rsidRDefault="00A350DA" w:rsidP="00DE1596">
      <w:pPr>
        <w:pStyle w:val="listdashnospace"/>
        <w:keepNext/>
        <w:numPr>
          <w:ilvl w:val="0"/>
          <w:numId w:val="21"/>
        </w:numPr>
        <w:tabs>
          <w:tab w:val="clear" w:pos="747"/>
          <w:tab w:val="num" w:pos="-2410"/>
        </w:tabs>
        <w:ind w:left="567"/>
        <w:rPr>
          <w:sz w:val="22"/>
          <w:szCs w:val="22"/>
          <w:lang w:val="pl-PL"/>
        </w:rPr>
      </w:pPr>
      <w:r w:rsidRPr="007E4DA1">
        <w:rPr>
          <w:b/>
          <w:bCs/>
          <w:sz w:val="22"/>
          <w:szCs w:val="22"/>
          <w:lang w:val="pl-PL"/>
        </w:rPr>
        <w:t>Należy poinformować lekarza, jeśli pacjentka jest w ciąży</w:t>
      </w:r>
      <w:r w:rsidRPr="007E4DA1">
        <w:rPr>
          <w:bCs/>
          <w:sz w:val="22"/>
          <w:szCs w:val="22"/>
          <w:lang w:val="pl-PL"/>
        </w:rPr>
        <w:t xml:space="preserve">, przypuszcza, że </w:t>
      </w:r>
      <w:r w:rsidR="003F08A3" w:rsidRPr="007E4DA1">
        <w:rPr>
          <w:bCs/>
          <w:sz w:val="22"/>
          <w:szCs w:val="22"/>
          <w:lang w:val="pl-PL"/>
        </w:rPr>
        <w:t>może być</w:t>
      </w:r>
      <w:r w:rsidRPr="007E4DA1">
        <w:rPr>
          <w:bCs/>
          <w:sz w:val="22"/>
          <w:szCs w:val="22"/>
          <w:lang w:val="pl-PL"/>
        </w:rPr>
        <w:t xml:space="preserve"> w ciąży</w:t>
      </w:r>
      <w:r w:rsidRPr="007E4DA1">
        <w:rPr>
          <w:b/>
          <w:bCs/>
          <w:sz w:val="22"/>
          <w:szCs w:val="22"/>
          <w:lang w:val="pl-PL"/>
        </w:rPr>
        <w:t xml:space="preserve"> </w:t>
      </w:r>
      <w:r w:rsidRPr="007E4DA1">
        <w:rPr>
          <w:bCs/>
          <w:sz w:val="22"/>
          <w:szCs w:val="22"/>
          <w:lang w:val="pl-PL"/>
        </w:rPr>
        <w:t xml:space="preserve">lub </w:t>
      </w:r>
      <w:r w:rsidR="003F08A3" w:rsidRPr="007E4DA1">
        <w:rPr>
          <w:bCs/>
          <w:sz w:val="22"/>
          <w:szCs w:val="22"/>
          <w:lang w:val="pl-PL"/>
        </w:rPr>
        <w:t xml:space="preserve">gdy </w:t>
      </w:r>
      <w:r w:rsidRPr="007E4DA1">
        <w:rPr>
          <w:bCs/>
          <w:sz w:val="22"/>
          <w:szCs w:val="22"/>
          <w:lang w:val="pl-PL"/>
        </w:rPr>
        <w:t>planuje mieć dziecko.</w:t>
      </w:r>
    </w:p>
    <w:p w14:paraId="14E5973D" w14:textId="77777777" w:rsidR="00A350DA" w:rsidRPr="007E4DA1" w:rsidRDefault="00A350DA" w:rsidP="00DE1596">
      <w:pPr>
        <w:pStyle w:val="listdashnospace"/>
        <w:keepNext/>
        <w:numPr>
          <w:ilvl w:val="0"/>
          <w:numId w:val="21"/>
        </w:numPr>
        <w:tabs>
          <w:tab w:val="clear" w:pos="747"/>
          <w:tab w:val="num" w:pos="-2410"/>
        </w:tabs>
        <w:ind w:left="567"/>
        <w:rPr>
          <w:sz w:val="22"/>
          <w:szCs w:val="22"/>
          <w:lang w:val="pl-PL"/>
        </w:rPr>
      </w:pPr>
      <w:r w:rsidRPr="007E4DA1">
        <w:rPr>
          <w:b/>
          <w:bCs/>
          <w:sz w:val="22"/>
          <w:szCs w:val="22"/>
          <w:lang w:val="pl-PL"/>
        </w:rPr>
        <w:t xml:space="preserve">Podczas przyjmowania leku Revolade należy stosować odpowiednią metodę antykoncepcji </w:t>
      </w:r>
      <w:r w:rsidRPr="007E4DA1">
        <w:rPr>
          <w:bCs/>
          <w:sz w:val="22"/>
          <w:szCs w:val="22"/>
          <w:lang w:val="pl-PL"/>
        </w:rPr>
        <w:t>w celu zapobiegania ciąży.</w:t>
      </w:r>
    </w:p>
    <w:p w14:paraId="46E7B855" w14:textId="77777777" w:rsidR="00A350DA" w:rsidRPr="007E4DA1" w:rsidRDefault="00A350DA" w:rsidP="00DE1596">
      <w:pPr>
        <w:pStyle w:val="listdashnospace"/>
        <w:numPr>
          <w:ilvl w:val="0"/>
          <w:numId w:val="21"/>
        </w:numPr>
        <w:tabs>
          <w:tab w:val="clear" w:pos="747"/>
          <w:tab w:val="num" w:pos="-2410"/>
        </w:tabs>
        <w:ind w:left="567"/>
        <w:rPr>
          <w:sz w:val="22"/>
          <w:szCs w:val="22"/>
          <w:lang w:val="pl-PL"/>
        </w:rPr>
      </w:pPr>
      <w:r w:rsidRPr="007E4DA1">
        <w:rPr>
          <w:bCs/>
          <w:sz w:val="22"/>
          <w:szCs w:val="22"/>
          <w:lang w:val="pl-PL"/>
        </w:rPr>
        <w:t>Należy poinformować lekarza,</w:t>
      </w:r>
      <w:r w:rsidRPr="007E4DA1">
        <w:rPr>
          <w:b/>
          <w:bCs/>
          <w:sz w:val="22"/>
          <w:szCs w:val="22"/>
          <w:lang w:val="pl-PL"/>
        </w:rPr>
        <w:t xml:space="preserve"> jeśli pacjentka zajdzie w ciążę podczas stosowania leku </w:t>
      </w:r>
      <w:r w:rsidRPr="007E4DA1">
        <w:rPr>
          <w:bCs/>
          <w:sz w:val="22"/>
          <w:szCs w:val="22"/>
          <w:lang w:val="pl-PL"/>
        </w:rPr>
        <w:t>Revolade</w:t>
      </w:r>
      <w:r w:rsidRPr="007E4DA1">
        <w:rPr>
          <w:sz w:val="22"/>
          <w:szCs w:val="22"/>
          <w:lang w:val="pl-PL"/>
        </w:rPr>
        <w:t>.</w:t>
      </w:r>
    </w:p>
    <w:p w14:paraId="42975F0F" w14:textId="77777777" w:rsidR="00A350DA" w:rsidRPr="007E4DA1" w:rsidRDefault="00A350DA" w:rsidP="00DE1596"/>
    <w:p w14:paraId="4426958B" w14:textId="77777777" w:rsidR="00A350DA" w:rsidRPr="007E4DA1" w:rsidRDefault="00A350DA" w:rsidP="00DE1596">
      <w:pPr>
        <w:keepNext/>
        <w:ind w:left="0" w:firstLine="0"/>
      </w:pPr>
      <w:r w:rsidRPr="007E4DA1">
        <w:rPr>
          <w:b/>
        </w:rPr>
        <w:t xml:space="preserve">Nie należy karmić piersią podczas stosowania leku Revolade. </w:t>
      </w:r>
      <w:r w:rsidRPr="007E4DA1">
        <w:t>Nie</w:t>
      </w:r>
      <w:r w:rsidRPr="007E4DA1">
        <w:rPr>
          <w:b/>
        </w:rPr>
        <w:t xml:space="preserve"> </w:t>
      </w:r>
      <w:r w:rsidRPr="007E4DA1">
        <w:t>wiadomo, czy lek Revolade przenika do mleka.</w:t>
      </w:r>
    </w:p>
    <w:p w14:paraId="1743E032" w14:textId="77777777" w:rsidR="00A350DA" w:rsidRPr="007E4DA1" w:rsidRDefault="00A350DA" w:rsidP="00DE1596">
      <w:pPr>
        <w:pStyle w:val="listdashnospace"/>
        <w:numPr>
          <w:ilvl w:val="0"/>
          <w:numId w:val="22"/>
        </w:numPr>
        <w:tabs>
          <w:tab w:val="clear" w:pos="747"/>
        </w:tabs>
        <w:ind w:left="567"/>
        <w:rPr>
          <w:bCs/>
          <w:sz w:val="22"/>
          <w:szCs w:val="22"/>
          <w:lang w:val="pl-PL"/>
        </w:rPr>
      </w:pPr>
      <w:r w:rsidRPr="007E4DA1">
        <w:rPr>
          <w:bCs/>
          <w:sz w:val="22"/>
          <w:szCs w:val="22"/>
          <w:lang w:val="pl-PL"/>
        </w:rPr>
        <w:t>Należy poinformować lekarza,</w:t>
      </w:r>
      <w:r w:rsidRPr="007E4DA1">
        <w:rPr>
          <w:b/>
          <w:bCs/>
          <w:sz w:val="22"/>
          <w:szCs w:val="22"/>
          <w:lang w:val="pl-PL"/>
        </w:rPr>
        <w:t xml:space="preserve"> jeśli pacjentka karmi piersią</w:t>
      </w:r>
      <w:r w:rsidRPr="007E4DA1">
        <w:rPr>
          <w:bCs/>
          <w:sz w:val="22"/>
          <w:szCs w:val="22"/>
          <w:lang w:val="pl-PL"/>
        </w:rPr>
        <w:t xml:space="preserve"> lub planuje karmienie piersią.</w:t>
      </w:r>
    </w:p>
    <w:p w14:paraId="21FCAAD1" w14:textId="77777777" w:rsidR="00A350DA" w:rsidRPr="007E4DA1" w:rsidRDefault="00A350DA" w:rsidP="00DE1596"/>
    <w:p w14:paraId="5F5073C9" w14:textId="77777777" w:rsidR="00041A08" w:rsidRPr="00041A08" w:rsidRDefault="00A350DA" w:rsidP="00DE1596">
      <w:pPr>
        <w:keepNext/>
      </w:pPr>
      <w:r w:rsidRPr="007E4DA1">
        <w:rPr>
          <w:b/>
        </w:rPr>
        <w:t>Prowadzenie pojazdów i obsługiwanie maszyn</w:t>
      </w:r>
    </w:p>
    <w:p w14:paraId="166FF5E8" w14:textId="488988C3" w:rsidR="00A350DA" w:rsidRPr="007E4DA1" w:rsidRDefault="00A350DA" w:rsidP="00DE1596">
      <w:pPr>
        <w:keepNext/>
      </w:pPr>
      <w:r w:rsidRPr="007E4DA1">
        <w:rPr>
          <w:b/>
        </w:rPr>
        <w:t xml:space="preserve">Revolade może powodować zawroty głowy </w:t>
      </w:r>
      <w:r w:rsidRPr="007E4DA1">
        <w:t>oraz inne działania niepożądane</w:t>
      </w:r>
      <w:r w:rsidRPr="007E4DA1">
        <w:rPr>
          <w:b/>
        </w:rPr>
        <w:t xml:space="preserve"> </w:t>
      </w:r>
      <w:r w:rsidRPr="007E4DA1">
        <w:t>zmniejszające uwagę.</w:t>
      </w:r>
    </w:p>
    <w:p w14:paraId="631B478C" w14:textId="77777777" w:rsidR="00041A08" w:rsidRPr="00041A08" w:rsidRDefault="00A350DA" w:rsidP="00DE1596">
      <w:pPr>
        <w:numPr>
          <w:ilvl w:val="0"/>
          <w:numId w:val="13"/>
        </w:numPr>
        <w:ind w:left="567" w:hanging="425"/>
      </w:pPr>
      <w:r w:rsidRPr="007E4DA1">
        <w:rPr>
          <w:b/>
        </w:rPr>
        <w:t>Nie należy prowadzić pojazdów ani obsługiwać maszyn</w:t>
      </w:r>
      <w:r w:rsidRPr="007E4DA1">
        <w:t>, chyba że pacjent jest pewny, że te objawy u niego nie występują.</w:t>
      </w:r>
    </w:p>
    <w:p w14:paraId="1C8F055D" w14:textId="2C76C2C8" w:rsidR="0024233B" w:rsidRPr="007E4DA1" w:rsidRDefault="0024233B" w:rsidP="00DE1596">
      <w:pPr>
        <w:ind w:left="0" w:firstLine="0"/>
      </w:pPr>
    </w:p>
    <w:p w14:paraId="35CD8964" w14:textId="77777777" w:rsidR="00A350DA" w:rsidRPr="007E4DA1" w:rsidRDefault="00A350DA" w:rsidP="00DE1596">
      <w:pPr>
        <w:ind w:left="0" w:firstLine="0"/>
      </w:pPr>
    </w:p>
    <w:p w14:paraId="6D5712CD" w14:textId="77777777" w:rsidR="00041A08" w:rsidRPr="00041A08" w:rsidRDefault="00A350DA" w:rsidP="00DE1596">
      <w:pPr>
        <w:keepNext/>
      </w:pPr>
      <w:r w:rsidRPr="007E4DA1">
        <w:rPr>
          <w:b/>
        </w:rPr>
        <w:t>3.</w:t>
      </w:r>
      <w:r w:rsidRPr="007E4DA1">
        <w:rPr>
          <w:b/>
        </w:rPr>
        <w:tab/>
        <w:t>Jak stosować lek Revolade</w:t>
      </w:r>
    </w:p>
    <w:p w14:paraId="4987F1A5" w14:textId="2894BE59" w:rsidR="00A350DA" w:rsidRPr="007E4DA1" w:rsidRDefault="00A350DA" w:rsidP="00DE1596">
      <w:pPr>
        <w:keepNext/>
      </w:pPr>
    </w:p>
    <w:p w14:paraId="7F4E3216" w14:textId="77777777" w:rsidR="00A350DA" w:rsidRPr="007E4DA1" w:rsidRDefault="00A350DA" w:rsidP="00DE1596">
      <w:pPr>
        <w:ind w:left="0" w:firstLine="0"/>
      </w:pPr>
      <w:r w:rsidRPr="007E4DA1">
        <w:t>Ten lek należy zawsze stosować zgodnie z zaleceniami lekarza. W razie wątpliwości, należy zwrócić się do lekarza</w:t>
      </w:r>
      <w:r w:rsidR="003F08A3" w:rsidRPr="007E4DA1">
        <w:t xml:space="preserve"> lub farmaceuty</w:t>
      </w:r>
      <w:r w:rsidRPr="007E4DA1">
        <w:t xml:space="preserve">. Nie wolno zmieniać dawki ani schematu dawkowania leku Revolade, chyba że zaleci to lekarz lub farmaceuta. </w:t>
      </w:r>
      <w:r w:rsidR="003F08A3" w:rsidRPr="007E4DA1">
        <w:t>Podczas</w:t>
      </w:r>
      <w:r w:rsidRPr="007E4DA1">
        <w:t xml:space="preserve"> stosowania leku Revolade pacjent </w:t>
      </w:r>
      <w:r w:rsidR="003F08A3" w:rsidRPr="007E4DA1">
        <w:t xml:space="preserve">będzie </w:t>
      </w:r>
      <w:r w:rsidRPr="007E4DA1">
        <w:t>pozosta</w:t>
      </w:r>
      <w:r w:rsidR="003F08A3" w:rsidRPr="007E4DA1">
        <w:t>wał</w:t>
      </w:r>
      <w:r w:rsidRPr="007E4DA1">
        <w:t xml:space="preserve"> pod </w:t>
      </w:r>
      <w:r w:rsidR="003F08A3" w:rsidRPr="007E4DA1">
        <w:t>opieką</w:t>
      </w:r>
      <w:r w:rsidRPr="007E4DA1">
        <w:t xml:space="preserve"> lekarza </w:t>
      </w:r>
      <w:r w:rsidR="003F08A3" w:rsidRPr="007E4DA1">
        <w:t xml:space="preserve">posiadającego </w:t>
      </w:r>
      <w:r w:rsidRPr="007E4DA1">
        <w:t>doświadcz</w:t>
      </w:r>
      <w:r w:rsidR="003F08A3" w:rsidRPr="007E4DA1">
        <w:t>enie</w:t>
      </w:r>
      <w:r w:rsidRPr="007E4DA1">
        <w:t xml:space="preserve"> w leczeniu </w:t>
      </w:r>
      <w:r w:rsidR="003F08A3" w:rsidRPr="007E4DA1">
        <w:t>choroby występującej u pacjenta</w:t>
      </w:r>
      <w:r w:rsidRPr="007E4DA1">
        <w:t>.</w:t>
      </w:r>
    </w:p>
    <w:p w14:paraId="75E46C73" w14:textId="77777777" w:rsidR="00A350DA" w:rsidRPr="007E4DA1" w:rsidRDefault="00A350DA" w:rsidP="00DE1596">
      <w:pPr>
        <w:ind w:left="0" w:firstLine="0"/>
      </w:pPr>
    </w:p>
    <w:p w14:paraId="074D552E" w14:textId="77777777" w:rsidR="00041A08" w:rsidRPr="00041A08" w:rsidRDefault="00A350DA" w:rsidP="00DE1596">
      <w:pPr>
        <w:keepNext/>
        <w:numPr>
          <w:ilvl w:val="12"/>
          <w:numId w:val="0"/>
        </w:numPr>
      </w:pPr>
      <w:r w:rsidRPr="007E4DA1">
        <w:rPr>
          <w:b/>
        </w:rPr>
        <w:t>Ile leku należy przyj</w:t>
      </w:r>
      <w:r w:rsidR="003F08A3" w:rsidRPr="007E4DA1">
        <w:rPr>
          <w:b/>
        </w:rPr>
        <w:t>ą</w:t>
      </w:r>
      <w:r w:rsidRPr="007E4DA1">
        <w:rPr>
          <w:b/>
        </w:rPr>
        <w:t>ć</w:t>
      </w:r>
    </w:p>
    <w:p w14:paraId="3B075E4B" w14:textId="407944B3" w:rsidR="00A350DA" w:rsidRPr="007E4DA1" w:rsidRDefault="00422294" w:rsidP="00DE1596">
      <w:pPr>
        <w:keepNext/>
        <w:numPr>
          <w:ilvl w:val="12"/>
          <w:numId w:val="0"/>
        </w:numPr>
      </w:pPr>
      <w:r w:rsidRPr="007E4DA1">
        <w:rPr>
          <w:b/>
        </w:rPr>
        <w:t>W przypadku pierwotnej małopłytkowości immunologicznej</w:t>
      </w:r>
    </w:p>
    <w:p w14:paraId="24B929FB" w14:textId="7C70D529" w:rsidR="00A350DA" w:rsidRPr="007E4DA1" w:rsidRDefault="00422294" w:rsidP="00DE1596">
      <w:pPr>
        <w:ind w:left="0" w:firstLine="0"/>
      </w:pPr>
      <w:r w:rsidRPr="007E4DA1">
        <w:rPr>
          <w:b/>
        </w:rPr>
        <w:t>Dorośli</w:t>
      </w:r>
      <w:r w:rsidRPr="007E4DA1">
        <w:t xml:space="preserve"> i </w:t>
      </w:r>
      <w:r w:rsidRPr="007E4DA1">
        <w:rPr>
          <w:b/>
        </w:rPr>
        <w:t xml:space="preserve">dzieci </w:t>
      </w:r>
      <w:r w:rsidRPr="007E4DA1">
        <w:t>(w wieku od 6 do 17</w:t>
      </w:r>
      <w:r w:rsidR="00823F10" w:rsidRPr="007E4DA1">
        <w:t> </w:t>
      </w:r>
      <w:r w:rsidRPr="007E4DA1">
        <w:t>lat) - z</w:t>
      </w:r>
      <w:r w:rsidR="00A350DA" w:rsidRPr="007E4DA1">
        <w:t xml:space="preserve">azwyczaj stosowana dawka początkowa </w:t>
      </w:r>
      <w:r w:rsidRPr="007E4DA1">
        <w:t>w</w:t>
      </w:r>
      <w:r w:rsidR="00A350DA" w:rsidRPr="007E4DA1">
        <w:t xml:space="preserve"> pierwotn</w:t>
      </w:r>
      <w:r w:rsidRPr="007E4DA1">
        <w:t>ej</w:t>
      </w:r>
      <w:r w:rsidR="00A350DA" w:rsidRPr="007E4DA1">
        <w:t xml:space="preserve"> małopłytkowości immunologiczn</w:t>
      </w:r>
      <w:r w:rsidRPr="007E4DA1">
        <w:t>ej</w:t>
      </w:r>
      <w:r w:rsidR="00A350DA" w:rsidRPr="007E4DA1">
        <w:t xml:space="preserve"> to </w:t>
      </w:r>
      <w:r w:rsidRPr="007E4DA1">
        <w:rPr>
          <w:b/>
        </w:rPr>
        <w:t>dwie</w:t>
      </w:r>
      <w:r w:rsidR="00A350DA" w:rsidRPr="007E4DA1">
        <w:rPr>
          <w:b/>
        </w:rPr>
        <w:t xml:space="preserve"> </w:t>
      </w:r>
      <w:r w:rsidRPr="007E4DA1">
        <w:rPr>
          <w:b/>
        </w:rPr>
        <w:t>saszetki</w:t>
      </w:r>
      <w:r w:rsidR="00A350DA" w:rsidRPr="007E4DA1">
        <w:rPr>
          <w:b/>
        </w:rPr>
        <w:t xml:space="preserve"> </w:t>
      </w:r>
      <w:r w:rsidRPr="007E4DA1">
        <w:rPr>
          <w:b/>
        </w:rPr>
        <w:t>2</w:t>
      </w:r>
      <w:r w:rsidR="00A350DA" w:rsidRPr="007E4DA1">
        <w:rPr>
          <w:b/>
        </w:rPr>
        <w:t>5 mg</w:t>
      </w:r>
      <w:r w:rsidR="00A350DA" w:rsidRPr="007E4DA1">
        <w:t xml:space="preserve"> leku Revolade na dobę. </w:t>
      </w:r>
      <w:r w:rsidRPr="007E4DA1">
        <w:t>P</w:t>
      </w:r>
      <w:r w:rsidR="00A350DA" w:rsidRPr="007E4DA1">
        <w:t>acjen</w:t>
      </w:r>
      <w:r w:rsidRPr="007E4DA1">
        <w:t>ci</w:t>
      </w:r>
      <w:r w:rsidR="00A350DA" w:rsidRPr="007E4DA1">
        <w:t xml:space="preserve"> pochodzenia </w:t>
      </w:r>
      <w:r w:rsidR="0032696C" w:rsidRPr="007E4DA1">
        <w:t>wschodnio</w:t>
      </w:r>
      <w:r w:rsidR="0024233B" w:rsidRPr="007E4DA1">
        <w:t>-/południowo-wschodnio</w:t>
      </w:r>
      <w:r w:rsidR="00A350DA" w:rsidRPr="007E4DA1">
        <w:t>azjatyckiego mo</w:t>
      </w:r>
      <w:r w:rsidRPr="007E4DA1">
        <w:t>gą wymagać rozpoczęcia leczenia</w:t>
      </w:r>
      <w:r w:rsidR="00A350DA" w:rsidRPr="007E4DA1">
        <w:t xml:space="preserve"> </w:t>
      </w:r>
      <w:r w:rsidR="00A350DA" w:rsidRPr="007E4DA1">
        <w:rPr>
          <w:b/>
        </w:rPr>
        <w:t>mniejsz</w:t>
      </w:r>
      <w:r w:rsidRPr="007E4DA1">
        <w:rPr>
          <w:b/>
        </w:rPr>
        <w:t>ą</w:t>
      </w:r>
      <w:r w:rsidR="00A350DA" w:rsidRPr="007E4DA1">
        <w:rPr>
          <w:b/>
        </w:rPr>
        <w:t xml:space="preserve"> dawk</w:t>
      </w:r>
      <w:r w:rsidRPr="007E4DA1">
        <w:rPr>
          <w:b/>
        </w:rPr>
        <w:t>ą</w:t>
      </w:r>
      <w:r w:rsidR="00A350DA" w:rsidRPr="007E4DA1">
        <w:rPr>
          <w:b/>
        </w:rPr>
        <w:t xml:space="preserve"> </w:t>
      </w:r>
      <w:r w:rsidRPr="007E4DA1">
        <w:rPr>
          <w:b/>
        </w:rPr>
        <w:t xml:space="preserve">wynoszącą </w:t>
      </w:r>
      <w:r w:rsidR="00A350DA" w:rsidRPr="007E4DA1">
        <w:rPr>
          <w:b/>
        </w:rPr>
        <w:t>25 mg</w:t>
      </w:r>
      <w:r w:rsidR="00A350DA" w:rsidRPr="007E4DA1">
        <w:t>.</w:t>
      </w:r>
    </w:p>
    <w:p w14:paraId="6E8C47A4" w14:textId="77777777" w:rsidR="00A350DA" w:rsidRPr="007E4DA1" w:rsidRDefault="00A350DA" w:rsidP="00DE1596"/>
    <w:p w14:paraId="16A54708" w14:textId="77777777" w:rsidR="00422294" w:rsidRPr="007E4DA1" w:rsidRDefault="00422294" w:rsidP="00DE1596">
      <w:pPr>
        <w:ind w:left="0" w:firstLine="0"/>
      </w:pPr>
      <w:r w:rsidRPr="007E4DA1">
        <w:rPr>
          <w:b/>
        </w:rPr>
        <w:t xml:space="preserve">Dzieci </w:t>
      </w:r>
      <w:r w:rsidRPr="007E4DA1">
        <w:t>(w wieku od 1 do 5</w:t>
      </w:r>
      <w:r w:rsidR="003106E7" w:rsidRPr="007E4DA1">
        <w:t> </w:t>
      </w:r>
      <w:r w:rsidRPr="007E4DA1">
        <w:t xml:space="preserve">lat) - zazwyczaj stosowana dawka początkowa w pierwotnej małopłytkowości immunologicznej to </w:t>
      </w:r>
      <w:r w:rsidRPr="007E4DA1">
        <w:rPr>
          <w:b/>
        </w:rPr>
        <w:t>jedna saszetka 25 mg</w:t>
      </w:r>
      <w:r w:rsidRPr="007E4DA1">
        <w:t xml:space="preserve"> leku Revolade na dobę.</w:t>
      </w:r>
    </w:p>
    <w:p w14:paraId="5DA2B979" w14:textId="77777777" w:rsidR="00422294" w:rsidRPr="007E4DA1" w:rsidRDefault="00422294" w:rsidP="00DE1596"/>
    <w:p w14:paraId="46B2404E" w14:textId="77777777" w:rsidR="00422294" w:rsidRPr="007E4DA1" w:rsidRDefault="00422294" w:rsidP="00DE1596">
      <w:pPr>
        <w:keepNext/>
      </w:pPr>
      <w:r w:rsidRPr="007E4DA1">
        <w:rPr>
          <w:b/>
        </w:rPr>
        <w:t>W przypadku zapalenia wątroby typu C</w:t>
      </w:r>
    </w:p>
    <w:p w14:paraId="3F59D903" w14:textId="36B9EF0D" w:rsidR="00A350DA" w:rsidRPr="007E4DA1" w:rsidRDefault="00422294" w:rsidP="00DE1596">
      <w:pPr>
        <w:ind w:left="0" w:firstLine="0"/>
      </w:pPr>
      <w:r w:rsidRPr="007E4DA1">
        <w:rPr>
          <w:b/>
        </w:rPr>
        <w:t xml:space="preserve">Dorośli </w:t>
      </w:r>
      <w:r w:rsidRPr="007E4DA1">
        <w:t>- z</w:t>
      </w:r>
      <w:r w:rsidR="00A350DA" w:rsidRPr="007E4DA1">
        <w:t xml:space="preserve">azwyczaj stosowana dawka początkowa </w:t>
      </w:r>
      <w:r w:rsidRPr="007E4DA1">
        <w:t>w</w:t>
      </w:r>
      <w:r w:rsidR="00A350DA" w:rsidRPr="007E4DA1">
        <w:t xml:space="preserve"> zapaleni</w:t>
      </w:r>
      <w:r w:rsidRPr="007E4DA1">
        <w:t>u</w:t>
      </w:r>
      <w:r w:rsidR="00A350DA" w:rsidRPr="007E4DA1">
        <w:t xml:space="preserve"> wątroby typu C to </w:t>
      </w:r>
      <w:r w:rsidR="00A350DA" w:rsidRPr="007E4DA1">
        <w:rPr>
          <w:b/>
        </w:rPr>
        <w:t xml:space="preserve">jedna </w:t>
      </w:r>
      <w:r w:rsidR="00FF0F9C" w:rsidRPr="007E4DA1">
        <w:rPr>
          <w:b/>
        </w:rPr>
        <w:t>saszetka</w:t>
      </w:r>
      <w:r w:rsidR="00A350DA" w:rsidRPr="007E4DA1">
        <w:rPr>
          <w:b/>
        </w:rPr>
        <w:t xml:space="preserve"> 25 mg</w:t>
      </w:r>
      <w:r w:rsidR="00A350DA" w:rsidRPr="007E4DA1">
        <w:t xml:space="preserve"> leku Revolade na dobę. U pacjentów pochodzenia </w:t>
      </w:r>
      <w:r w:rsidR="0024233B" w:rsidRPr="007E4DA1">
        <w:t>wschodnio-/południowo-wschodnio</w:t>
      </w:r>
      <w:r w:rsidR="00A350DA" w:rsidRPr="007E4DA1">
        <w:t xml:space="preserve">azjatyckiego należy </w:t>
      </w:r>
      <w:r w:rsidR="00FF0F9C" w:rsidRPr="007E4DA1">
        <w:t>rozpocząć leczenie tą</w:t>
      </w:r>
      <w:r w:rsidR="00FF0F9C" w:rsidRPr="007E4DA1">
        <w:rPr>
          <w:b/>
        </w:rPr>
        <w:t xml:space="preserve"> </w:t>
      </w:r>
      <w:r w:rsidR="00A350DA" w:rsidRPr="007E4DA1">
        <w:rPr>
          <w:b/>
        </w:rPr>
        <w:t>samą</w:t>
      </w:r>
      <w:r w:rsidR="00A350DA" w:rsidRPr="007E4DA1">
        <w:t xml:space="preserve"> </w:t>
      </w:r>
      <w:r w:rsidR="00A350DA" w:rsidRPr="007E4DA1">
        <w:rPr>
          <w:b/>
        </w:rPr>
        <w:t>dawk</w:t>
      </w:r>
      <w:r w:rsidR="00FF0F9C" w:rsidRPr="007E4DA1">
        <w:rPr>
          <w:b/>
        </w:rPr>
        <w:t>ą</w:t>
      </w:r>
      <w:r w:rsidR="00A350DA" w:rsidRPr="007E4DA1">
        <w:rPr>
          <w:b/>
        </w:rPr>
        <w:t xml:space="preserve"> 25 mg</w:t>
      </w:r>
      <w:r w:rsidR="00A350DA" w:rsidRPr="007E4DA1">
        <w:t>.</w:t>
      </w:r>
    </w:p>
    <w:p w14:paraId="74E71869" w14:textId="77777777" w:rsidR="00A350DA" w:rsidRPr="007E4DA1" w:rsidRDefault="00A350DA" w:rsidP="00DE1596">
      <w:pPr>
        <w:ind w:left="0" w:firstLine="0"/>
      </w:pPr>
    </w:p>
    <w:p w14:paraId="1AD2FA3D" w14:textId="77777777" w:rsidR="00041A08" w:rsidRPr="00041A08" w:rsidRDefault="001E2EC5" w:rsidP="00DE1596">
      <w:pPr>
        <w:keepNext/>
        <w:rPr>
          <w:szCs w:val="22"/>
        </w:rPr>
      </w:pPr>
      <w:r w:rsidRPr="007E4DA1">
        <w:rPr>
          <w:b/>
          <w:szCs w:val="22"/>
        </w:rPr>
        <w:t>W przypadku SAA</w:t>
      </w:r>
    </w:p>
    <w:p w14:paraId="09367861" w14:textId="77777777" w:rsidR="00041A08" w:rsidRPr="00041A08" w:rsidRDefault="001E2EC5" w:rsidP="00DE1596">
      <w:pPr>
        <w:ind w:left="0" w:firstLine="0"/>
        <w:rPr>
          <w:szCs w:val="22"/>
        </w:rPr>
      </w:pPr>
      <w:r w:rsidRPr="007E4DA1">
        <w:rPr>
          <w:b/>
          <w:szCs w:val="22"/>
        </w:rPr>
        <w:t xml:space="preserve">Dorośli </w:t>
      </w:r>
      <w:r w:rsidRPr="007E4DA1">
        <w:rPr>
          <w:szCs w:val="22"/>
        </w:rPr>
        <w:t xml:space="preserve">– zazwyczaj stosowana dawka początkowa w SAA to </w:t>
      </w:r>
      <w:r w:rsidRPr="007E4DA1">
        <w:rPr>
          <w:b/>
          <w:szCs w:val="22"/>
        </w:rPr>
        <w:t xml:space="preserve">dwie saszetki 25 mg </w:t>
      </w:r>
      <w:r w:rsidRPr="007E4DA1">
        <w:rPr>
          <w:szCs w:val="22"/>
        </w:rPr>
        <w:t>leku Revolade na dobę. Pacjenci pochodzenia</w:t>
      </w:r>
      <w:r w:rsidRPr="007E4DA1">
        <w:rPr>
          <w:b/>
          <w:szCs w:val="22"/>
        </w:rPr>
        <w:t xml:space="preserve"> </w:t>
      </w:r>
      <w:r w:rsidR="0024233B" w:rsidRPr="007E4DA1">
        <w:rPr>
          <w:szCs w:val="22"/>
        </w:rPr>
        <w:t>wschodnio-/południowo-wschodnio</w:t>
      </w:r>
      <w:r w:rsidRPr="007E4DA1">
        <w:rPr>
          <w:szCs w:val="22"/>
        </w:rPr>
        <w:t xml:space="preserve">azjatyckiego mogą wymagać rozpoczęcia leczenia </w:t>
      </w:r>
      <w:r w:rsidRPr="007E4DA1">
        <w:rPr>
          <w:b/>
          <w:szCs w:val="22"/>
        </w:rPr>
        <w:t>mniejszą dawką wynoszącą 25 mg.</w:t>
      </w:r>
    </w:p>
    <w:p w14:paraId="2D83EB5F" w14:textId="2AD6B04E" w:rsidR="001E2EC5" w:rsidRPr="007E4DA1" w:rsidRDefault="001E2EC5" w:rsidP="00DE1596">
      <w:pPr>
        <w:ind w:left="0" w:firstLine="0"/>
      </w:pPr>
    </w:p>
    <w:p w14:paraId="38E95608" w14:textId="77777777" w:rsidR="001E2EC5" w:rsidRPr="007E4DA1" w:rsidRDefault="001E2EC5" w:rsidP="00DE1596">
      <w:pPr>
        <w:ind w:left="0" w:firstLine="0"/>
        <w:rPr>
          <w:szCs w:val="22"/>
        </w:rPr>
      </w:pPr>
      <w:r w:rsidRPr="007E4DA1">
        <w:rPr>
          <w:szCs w:val="22"/>
        </w:rPr>
        <w:t>Początek działania leku Revolade może nastąpić po 1 do 2</w:t>
      </w:r>
      <w:r w:rsidR="003106E7" w:rsidRPr="007E4DA1">
        <w:rPr>
          <w:szCs w:val="22"/>
        </w:rPr>
        <w:t> </w:t>
      </w:r>
      <w:r w:rsidRPr="007E4DA1">
        <w:rPr>
          <w:szCs w:val="22"/>
        </w:rPr>
        <w:t>tygodniach. W zależności od odpowiedzi pacjenta na leczenie lekiem Revolade lekarz może zalecić zmianę dawki dobowej.</w:t>
      </w:r>
    </w:p>
    <w:p w14:paraId="6A96456C" w14:textId="77777777" w:rsidR="00A350DA" w:rsidRPr="007E4DA1" w:rsidRDefault="00A350DA" w:rsidP="00DE1596"/>
    <w:p w14:paraId="7BC6C5D4" w14:textId="77777777" w:rsidR="00041A08" w:rsidRPr="00041A08" w:rsidRDefault="001E2EC5" w:rsidP="00DE1596">
      <w:pPr>
        <w:keepNext/>
        <w:ind w:left="0" w:firstLine="0"/>
        <w:rPr>
          <w:szCs w:val="22"/>
        </w:rPr>
      </w:pPr>
      <w:r w:rsidRPr="007E4DA1">
        <w:rPr>
          <w:b/>
          <w:szCs w:val="22"/>
        </w:rPr>
        <w:t>Jak podać dawkę leku</w:t>
      </w:r>
    </w:p>
    <w:p w14:paraId="64FDE19A" w14:textId="09B4E521" w:rsidR="001E2EC5" w:rsidRPr="007E4DA1" w:rsidRDefault="001E2EC5" w:rsidP="00DE1596">
      <w:pPr>
        <w:ind w:left="0" w:firstLine="0"/>
        <w:rPr>
          <w:szCs w:val="22"/>
        </w:rPr>
      </w:pPr>
      <w:r w:rsidRPr="007E4DA1">
        <w:rPr>
          <w:szCs w:val="22"/>
        </w:rPr>
        <w:t xml:space="preserve">Proszek do sporządzania zawiesiny doustnej znajduje się w saszetkach, których zawartość należy zmieszać przed przyjęciem leku. Pod punktem 6 tej ulotki podano </w:t>
      </w:r>
      <w:r w:rsidRPr="007E4DA1">
        <w:rPr>
          <w:b/>
          <w:szCs w:val="22"/>
        </w:rPr>
        <w:t xml:space="preserve">Instrukcję </w:t>
      </w:r>
      <w:r w:rsidRPr="007E4DA1">
        <w:rPr>
          <w:szCs w:val="22"/>
        </w:rPr>
        <w:t>jak zmieszać lek i podać go pacjentowi. Jeśli pacjent ma pytania lub nie rozumie Instrukcji stosowania, powinien porozmawiać z lekarzem, pielęgniarką lub farmaceutą.</w:t>
      </w:r>
    </w:p>
    <w:p w14:paraId="7AC4AAEE" w14:textId="77777777" w:rsidR="001E2EC5" w:rsidRPr="007E4DA1" w:rsidRDefault="001E2EC5" w:rsidP="00DE1596">
      <w:pPr>
        <w:ind w:left="0" w:firstLine="0"/>
        <w:rPr>
          <w:szCs w:val="22"/>
        </w:rPr>
      </w:pPr>
    </w:p>
    <w:p w14:paraId="65DE726E" w14:textId="77777777" w:rsidR="001E2EC5" w:rsidRPr="007E4DA1" w:rsidRDefault="001E2EC5" w:rsidP="00DE1596">
      <w:pPr>
        <w:ind w:left="0" w:firstLine="0"/>
        <w:rPr>
          <w:szCs w:val="22"/>
        </w:rPr>
      </w:pPr>
      <w:r w:rsidRPr="007E4DA1">
        <w:rPr>
          <w:b/>
          <w:szCs w:val="22"/>
        </w:rPr>
        <w:t xml:space="preserve">UWAGA — Ten lek należy zużyć natychmiast </w:t>
      </w:r>
      <w:r w:rsidRPr="007E4DA1">
        <w:rPr>
          <w:szCs w:val="22"/>
        </w:rPr>
        <w:t xml:space="preserve">po zmieszaniu proszku z wodą. Jeśli lek nie zostanie zużyty </w:t>
      </w:r>
      <w:r w:rsidRPr="007E4DA1">
        <w:rPr>
          <w:b/>
          <w:szCs w:val="22"/>
        </w:rPr>
        <w:t>w ciągu 30 minut</w:t>
      </w:r>
      <w:r w:rsidRPr="007E4DA1">
        <w:rPr>
          <w:szCs w:val="22"/>
        </w:rPr>
        <w:t xml:space="preserve"> od przygotowania, konieczne będzie przygotowanie nowej dawki.</w:t>
      </w:r>
      <w:r w:rsidR="00792850" w:rsidRPr="007E4DA1">
        <w:rPr>
          <w:szCs w:val="22"/>
        </w:rPr>
        <w:t xml:space="preserve"> </w:t>
      </w:r>
      <w:r w:rsidR="00792850" w:rsidRPr="007E4DA1">
        <w:t>Nie używać ponownie strzykawki doustnej. Do przygotowania każdej dawki produktu leczniczego Revolade</w:t>
      </w:r>
      <w:r w:rsidR="00792850" w:rsidRPr="007E4DA1">
        <w:rPr>
          <w:szCs w:val="22"/>
        </w:rPr>
        <w:t xml:space="preserve"> </w:t>
      </w:r>
      <w:r w:rsidR="000D1ADE" w:rsidRPr="007E4DA1">
        <w:rPr>
          <w:szCs w:val="22"/>
        </w:rPr>
        <w:t xml:space="preserve">w postaci </w:t>
      </w:r>
      <w:r w:rsidR="00792850" w:rsidRPr="007E4DA1">
        <w:rPr>
          <w:szCs w:val="22"/>
        </w:rPr>
        <w:t xml:space="preserve">zawiesiny doustnej, należy użyć nowej </w:t>
      </w:r>
      <w:r w:rsidR="005B517C" w:rsidRPr="007E4DA1">
        <w:rPr>
          <w:szCs w:val="22"/>
        </w:rPr>
        <w:t xml:space="preserve">doustnej </w:t>
      </w:r>
      <w:r w:rsidR="00792850" w:rsidRPr="007E4DA1">
        <w:rPr>
          <w:szCs w:val="22"/>
        </w:rPr>
        <w:t xml:space="preserve">strzykawki </w:t>
      </w:r>
      <w:r w:rsidR="0073654B" w:rsidRPr="007E4DA1">
        <w:rPr>
          <w:szCs w:val="22"/>
        </w:rPr>
        <w:t>jednorazowego użytku</w:t>
      </w:r>
      <w:r w:rsidR="00792850" w:rsidRPr="007E4DA1">
        <w:rPr>
          <w:szCs w:val="22"/>
        </w:rPr>
        <w:t>.</w:t>
      </w:r>
    </w:p>
    <w:p w14:paraId="21D8DD79" w14:textId="77777777" w:rsidR="00A350DA" w:rsidRPr="007E4DA1" w:rsidRDefault="00A350DA" w:rsidP="00DE1596"/>
    <w:p w14:paraId="0601F796" w14:textId="77777777" w:rsidR="00041A08" w:rsidRPr="00041A08" w:rsidRDefault="00A350DA" w:rsidP="00DE1596">
      <w:pPr>
        <w:keepNext/>
        <w:numPr>
          <w:ilvl w:val="12"/>
          <w:numId w:val="0"/>
        </w:numPr>
        <w:ind w:right="-2"/>
      </w:pPr>
      <w:r w:rsidRPr="007E4DA1">
        <w:rPr>
          <w:b/>
        </w:rPr>
        <w:t>Kiedy przyjmować lek</w:t>
      </w:r>
    </w:p>
    <w:p w14:paraId="1E7C4A89" w14:textId="13A0419E" w:rsidR="00B85B6D" w:rsidRPr="007E4DA1" w:rsidRDefault="00B85B6D" w:rsidP="00DE1596"/>
    <w:p w14:paraId="214432E7" w14:textId="77777777" w:rsidR="001E2EC5" w:rsidRPr="007E4DA1" w:rsidRDefault="001E2EC5" w:rsidP="00DE1596">
      <w:r w:rsidRPr="007E4DA1">
        <w:t xml:space="preserve">Należy upewnić się, że </w:t>
      </w:r>
      <w:r w:rsidRPr="007E4DA1">
        <w:rPr>
          <w:szCs w:val="22"/>
        </w:rPr>
        <w:t>–</w:t>
      </w:r>
    </w:p>
    <w:p w14:paraId="5061862F" w14:textId="77777777" w:rsidR="001E2EC5" w:rsidRPr="007E4DA1" w:rsidRDefault="001E2EC5" w:rsidP="00DE1596">
      <w:pPr>
        <w:numPr>
          <w:ilvl w:val="0"/>
          <w:numId w:val="42"/>
        </w:numPr>
        <w:tabs>
          <w:tab w:val="left" w:pos="567"/>
        </w:tabs>
        <w:ind w:left="567" w:hanging="425"/>
      </w:pPr>
      <w:r w:rsidRPr="007E4DA1">
        <w:t xml:space="preserve">w ciągu </w:t>
      </w:r>
      <w:r w:rsidRPr="007E4DA1">
        <w:rPr>
          <w:b/>
        </w:rPr>
        <w:t>4</w:t>
      </w:r>
      <w:r w:rsidR="003106E7" w:rsidRPr="007E4DA1">
        <w:rPr>
          <w:b/>
        </w:rPr>
        <w:t> </w:t>
      </w:r>
      <w:r w:rsidRPr="007E4DA1">
        <w:rPr>
          <w:b/>
        </w:rPr>
        <w:t>godzin przed</w:t>
      </w:r>
      <w:r w:rsidRPr="007E4DA1">
        <w:t xml:space="preserve"> przyjęciem leku Revolade</w:t>
      </w:r>
    </w:p>
    <w:p w14:paraId="486590BD" w14:textId="77777777" w:rsidR="001E2EC5" w:rsidRPr="007E4DA1" w:rsidRDefault="001E2EC5" w:rsidP="00DE1596">
      <w:pPr>
        <w:numPr>
          <w:ilvl w:val="0"/>
          <w:numId w:val="42"/>
        </w:numPr>
        <w:tabs>
          <w:tab w:val="left" w:pos="567"/>
        </w:tabs>
        <w:ind w:left="567" w:hanging="425"/>
      </w:pPr>
      <w:r w:rsidRPr="007E4DA1">
        <w:t xml:space="preserve">i w ciągu </w:t>
      </w:r>
      <w:r w:rsidRPr="007E4DA1">
        <w:rPr>
          <w:b/>
        </w:rPr>
        <w:t>2</w:t>
      </w:r>
      <w:r w:rsidR="003106E7" w:rsidRPr="007E4DA1">
        <w:rPr>
          <w:b/>
        </w:rPr>
        <w:t> </w:t>
      </w:r>
      <w:r w:rsidRPr="007E4DA1">
        <w:rPr>
          <w:b/>
        </w:rPr>
        <w:t>godzin po</w:t>
      </w:r>
      <w:r w:rsidRPr="007E4DA1">
        <w:t xml:space="preserve"> przyjęciu leku Revolade</w:t>
      </w:r>
    </w:p>
    <w:p w14:paraId="7B6E906D" w14:textId="77777777" w:rsidR="001E2EC5" w:rsidRPr="007E4DA1" w:rsidRDefault="001E2EC5" w:rsidP="00DE1596"/>
    <w:p w14:paraId="5BA7A9C5" w14:textId="77777777" w:rsidR="00A350DA" w:rsidRPr="007E4DA1" w:rsidRDefault="001E2EC5" w:rsidP="00DE1596">
      <w:pPr>
        <w:keepNext/>
        <w:numPr>
          <w:ilvl w:val="12"/>
          <w:numId w:val="0"/>
        </w:numPr>
        <w:ind w:right="-2"/>
      </w:pPr>
      <w:r w:rsidRPr="007E4DA1">
        <w:rPr>
          <w:b/>
        </w:rPr>
        <w:t>pacjent nie będzie</w:t>
      </w:r>
      <w:r w:rsidRPr="007E4DA1">
        <w:t xml:space="preserve"> spożywał następujących pokarmów:</w:t>
      </w:r>
    </w:p>
    <w:p w14:paraId="4A28D44A" w14:textId="77777777" w:rsidR="00A350DA" w:rsidRPr="007E4DA1" w:rsidRDefault="001E2EC5" w:rsidP="00DE1596">
      <w:pPr>
        <w:keepNext/>
        <w:numPr>
          <w:ilvl w:val="0"/>
          <w:numId w:val="45"/>
        </w:numPr>
        <w:ind w:left="567" w:hanging="567"/>
        <w:rPr>
          <w:szCs w:val="22"/>
        </w:rPr>
      </w:pPr>
      <w:r w:rsidRPr="007E4DA1">
        <w:rPr>
          <w:b/>
          <w:szCs w:val="22"/>
        </w:rPr>
        <w:t>produktów</w:t>
      </w:r>
      <w:r w:rsidR="00A350DA" w:rsidRPr="007E4DA1">
        <w:rPr>
          <w:b/>
          <w:szCs w:val="22"/>
        </w:rPr>
        <w:t xml:space="preserve"> mlecznych,</w:t>
      </w:r>
      <w:r w:rsidR="00A350DA" w:rsidRPr="007E4DA1">
        <w:rPr>
          <w:szCs w:val="22"/>
        </w:rPr>
        <w:t xml:space="preserve"> takich jak ser, masło, jogurt, lody</w:t>
      </w:r>
    </w:p>
    <w:p w14:paraId="1B65000A" w14:textId="77777777" w:rsidR="00A350DA" w:rsidRPr="007E4DA1" w:rsidRDefault="00A350DA" w:rsidP="00DE1596">
      <w:pPr>
        <w:pStyle w:val="listdashnospace"/>
        <w:numPr>
          <w:ilvl w:val="0"/>
          <w:numId w:val="23"/>
        </w:numPr>
        <w:tabs>
          <w:tab w:val="clear" w:pos="747"/>
        </w:tabs>
        <w:ind w:left="567"/>
        <w:rPr>
          <w:sz w:val="22"/>
          <w:szCs w:val="22"/>
          <w:lang w:val="pl-PL"/>
        </w:rPr>
      </w:pPr>
      <w:r w:rsidRPr="007E4DA1">
        <w:rPr>
          <w:b/>
          <w:sz w:val="22"/>
          <w:szCs w:val="22"/>
          <w:lang w:val="pl-PL"/>
        </w:rPr>
        <w:t xml:space="preserve">mleka </w:t>
      </w:r>
      <w:r w:rsidRPr="007E4DA1">
        <w:rPr>
          <w:sz w:val="22"/>
          <w:szCs w:val="22"/>
          <w:lang w:val="pl-PL"/>
        </w:rPr>
        <w:t>lub napojów zawierających mleko, jogurt</w:t>
      </w:r>
      <w:r w:rsidR="001E2EC5" w:rsidRPr="007E4DA1">
        <w:rPr>
          <w:sz w:val="22"/>
          <w:szCs w:val="22"/>
          <w:lang w:val="pl-PL"/>
        </w:rPr>
        <w:t>ów</w:t>
      </w:r>
      <w:r w:rsidRPr="007E4DA1">
        <w:rPr>
          <w:sz w:val="22"/>
          <w:szCs w:val="22"/>
          <w:lang w:val="pl-PL"/>
        </w:rPr>
        <w:t xml:space="preserve"> lub śmietank</w:t>
      </w:r>
      <w:r w:rsidR="001E2EC5" w:rsidRPr="007E4DA1">
        <w:rPr>
          <w:sz w:val="22"/>
          <w:szCs w:val="22"/>
          <w:lang w:val="pl-PL"/>
        </w:rPr>
        <w:t>i</w:t>
      </w:r>
    </w:p>
    <w:p w14:paraId="0CBF3B5B" w14:textId="77777777" w:rsidR="00A350DA" w:rsidRPr="007E4DA1" w:rsidRDefault="00A350DA" w:rsidP="00DE1596">
      <w:pPr>
        <w:pStyle w:val="listdashnospace"/>
        <w:numPr>
          <w:ilvl w:val="0"/>
          <w:numId w:val="23"/>
        </w:numPr>
        <w:tabs>
          <w:tab w:val="clear" w:pos="747"/>
        </w:tabs>
        <w:ind w:left="567"/>
        <w:rPr>
          <w:sz w:val="22"/>
          <w:szCs w:val="22"/>
          <w:lang w:val="pl-PL"/>
        </w:rPr>
      </w:pPr>
      <w:r w:rsidRPr="007E4DA1">
        <w:rPr>
          <w:b/>
          <w:sz w:val="22"/>
          <w:szCs w:val="22"/>
          <w:lang w:val="pl-PL"/>
        </w:rPr>
        <w:t xml:space="preserve">leków zobojętniających kwas żołądkowy, </w:t>
      </w:r>
      <w:r w:rsidRPr="007E4DA1">
        <w:rPr>
          <w:sz w:val="22"/>
          <w:szCs w:val="22"/>
          <w:lang w:val="pl-PL"/>
        </w:rPr>
        <w:t xml:space="preserve">stosowanych w leczeniu </w:t>
      </w:r>
      <w:r w:rsidRPr="007E4DA1">
        <w:rPr>
          <w:b/>
          <w:sz w:val="22"/>
          <w:szCs w:val="22"/>
          <w:lang w:val="pl-PL"/>
        </w:rPr>
        <w:t>niestrawności i zgagi</w:t>
      </w:r>
    </w:p>
    <w:p w14:paraId="1F54BC9F" w14:textId="77777777" w:rsidR="00A350DA" w:rsidRPr="007E4DA1" w:rsidRDefault="00A350DA" w:rsidP="00DE1596">
      <w:pPr>
        <w:pStyle w:val="listdashnospace"/>
        <w:numPr>
          <w:ilvl w:val="0"/>
          <w:numId w:val="23"/>
        </w:numPr>
        <w:tabs>
          <w:tab w:val="clear" w:pos="747"/>
        </w:tabs>
        <w:ind w:left="567"/>
        <w:rPr>
          <w:sz w:val="22"/>
          <w:szCs w:val="22"/>
          <w:lang w:val="pl-PL"/>
        </w:rPr>
      </w:pPr>
      <w:r w:rsidRPr="007E4DA1">
        <w:rPr>
          <w:b/>
          <w:sz w:val="22"/>
          <w:szCs w:val="22"/>
          <w:lang w:val="pl-PL"/>
        </w:rPr>
        <w:t>suplementów witaminowo-mineralnych</w:t>
      </w:r>
      <w:r w:rsidRPr="007E4DA1">
        <w:rPr>
          <w:sz w:val="22"/>
          <w:szCs w:val="22"/>
          <w:lang w:val="pl-PL"/>
        </w:rPr>
        <w:t xml:space="preserve"> zawierających żelazo, wapń, magnez, glin, selen, cynk</w:t>
      </w:r>
    </w:p>
    <w:p w14:paraId="10D4D9D6" w14:textId="77777777" w:rsidR="001E2EC5" w:rsidRPr="007E4DA1" w:rsidRDefault="001E2EC5" w:rsidP="00DE1596">
      <w:pPr>
        <w:ind w:left="0" w:firstLine="0"/>
        <w:rPr>
          <w:szCs w:val="22"/>
        </w:rPr>
      </w:pPr>
    </w:p>
    <w:p w14:paraId="50B59173" w14:textId="77777777" w:rsidR="00A350DA" w:rsidRPr="007E4DA1" w:rsidRDefault="00A350DA" w:rsidP="00DE1596">
      <w:pPr>
        <w:ind w:left="0" w:firstLine="0"/>
        <w:rPr>
          <w:szCs w:val="22"/>
        </w:rPr>
      </w:pPr>
      <w:r w:rsidRPr="007E4DA1">
        <w:rPr>
          <w:szCs w:val="22"/>
        </w:rPr>
        <w:t>W razie nieprzestrzegania powyższych zaleceń, lek Revolade nie jest właściwie wchłaniany przez organizm.</w:t>
      </w:r>
    </w:p>
    <w:p w14:paraId="6099D725" w14:textId="77777777" w:rsidR="00F12AFF" w:rsidRPr="007E4DA1" w:rsidRDefault="00F12AFF" w:rsidP="00DE1596">
      <w:pPr>
        <w:rPr>
          <w:szCs w:val="22"/>
        </w:rPr>
      </w:pPr>
    </w:p>
    <w:p w14:paraId="20D882EF" w14:textId="77777777" w:rsidR="00041A08" w:rsidRPr="00041A08" w:rsidRDefault="00665357" w:rsidP="00DE1596">
      <w:pPr>
        <w:pStyle w:val="listdashnospace"/>
        <w:numPr>
          <w:ilvl w:val="0"/>
          <w:numId w:val="0"/>
        </w:numPr>
        <w:rPr>
          <w:noProof/>
          <w:sz w:val="22"/>
          <w:szCs w:val="22"/>
          <w:lang w:val="en-US"/>
        </w:rPr>
      </w:pPr>
      <w:r w:rsidRPr="007E4DA1">
        <w:rPr>
          <w:b/>
          <w:noProof/>
          <w:szCs w:val="22"/>
          <w:lang w:val="en-US"/>
        </w:rPr>
        <mc:AlternateContent>
          <mc:Choice Requires="wps">
            <w:drawing>
              <wp:anchor distT="0" distB="0" distL="114300" distR="114300" simplePos="0" relativeHeight="251657216" behindDoc="0" locked="0" layoutInCell="1" allowOverlap="1" wp14:anchorId="04099C47" wp14:editId="28094084">
                <wp:simplePos x="0" y="0"/>
                <wp:positionH relativeFrom="column">
                  <wp:posOffset>295275</wp:posOffset>
                </wp:positionH>
                <wp:positionV relativeFrom="paragraph">
                  <wp:posOffset>-30480</wp:posOffset>
                </wp:positionV>
                <wp:extent cx="1452245" cy="144000"/>
                <wp:effectExtent l="0" t="0" r="14605" b="8890"/>
                <wp:wrapNone/>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2245"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77050" w14:textId="77777777" w:rsidR="00041A08" w:rsidRPr="00041A08" w:rsidRDefault="00BF6901" w:rsidP="00F12AFF">
                            <w:pPr>
                              <w:shd w:val="clear" w:color="auto" w:fill="FFFFFF"/>
                              <w:textAlignment w:val="baseline"/>
                              <w:rPr>
                                <w:rFonts w:ascii="Arial" w:eastAsia="+mn-ea" w:hAnsi="Arial" w:cs="+mn-cs"/>
                                <w:color w:val="7030A0"/>
                                <w:kern w:val="24"/>
                                <w:sz w:val="18"/>
                                <w:szCs w:val="18"/>
                              </w:rPr>
                            </w:pPr>
                            <w:r>
                              <w:rPr>
                                <w:rFonts w:ascii="Arial" w:eastAsia="+mn-ea" w:hAnsi="Arial" w:cs="+mn-cs"/>
                                <w:b/>
                                <w:bCs/>
                                <w:color w:val="7030A0"/>
                                <w:kern w:val="24"/>
                                <w:sz w:val="18"/>
                                <w:szCs w:val="18"/>
                              </w:rPr>
                              <w:t>Przyj</w:t>
                            </w:r>
                            <w:r w:rsidRPr="00E73533">
                              <w:rPr>
                                <w:rFonts w:ascii="Arial" w:eastAsia="+mn-ea" w:hAnsi="Arial" w:cs="+mn-cs"/>
                                <w:b/>
                                <w:bCs/>
                                <w:color w:val="7030A0"/>
                                <w:kern w:val="24"/>
                                <w:sz w:val="18"/>
                                <w:szCs w:val="18"/>
                              </w:rPr>
                              <w:t>ę</w:t>
                            </w:r>
                            <w:r>
                              <w:rPr>
                                <w:rFonts w:ascii="Arial" w:eastAsia="+mn-ea" w:hAnsi="Arial" w:cs="+mn-cs"/>
                                <w:b/>
                                <w:bCs/>
                                <w:color w:val="7030A0"/>
                                <w:kern w:val="24"/>
                                <w:sz w:val="18"/>
                                <w:szCs w:val="18"/>
                              </w:rPr>
                              <w:t>cie leku Revolade</w:t>
                            </w:r>
                          </w:p>
                          <w:p w14:paraId="20A54616" w14:textId="77777777" w:rsidR="00BF6901" w:rsidRPr="001B0E68" w:rsidRDefault="00BF6901" w:rsidP="00F12AFF">
                            <w:pPr>
                              <w:shd w:val="clear" w:color="auto" w:fill="FFFFFF"/>
                              <w:textAlignment w:val="baseline"/>
                              <w:rPr>
                                <w:rFonts w:ascii="Arial" w:eastAsia="+mn-ea" w:hAnsi="Arial" w:cs="+mn-cs"/>
                                <w:b/>
                                <w:bCs/>
                                <w:color w:val="7030A0"/>
                                <w:kern w:val="24"/>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99C47" id="_x0000_s1030" style="position:absolute;margin-left:23.25pt;margin-top:-2.4pt;width:114.35pt;height:1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" filled="f" stroked="f">
                <v:textbox inset="0,0,0,0">
                  <w:txbxContent>
                    <w:p w14:paraId="19F77050" w14:textId="77777777" w:rsidR="00041A08" w:rsidRPr="00041A08" w:rsidRDefault="00BF6901" w:rsidP="00F12AFF">
                      <w:pPr>
                        <w:shd w:val="clear" w:color="auto" w:fill="FFFFFF"/>
                        <w:textAlignment w:val="baseline"/>
                        <w:rPr>
                          <w:rFonts w:ascii="Arial" w:eastAsia="+mn-ea" w:hAnsi="Arial" w:cs="+mn-cs"/>
                          <w:color w:val="7030A0"/>
                          <w:kern w:val="24"/>
                          <w:sz w:val="18"/>
                          <w:szCs w:val="18"/>
                        </w:rPr>
                      </w:pPr>
                      <w:r>
                        <w:rPr>
                          <w:rFonts w:ascii="Arial" w:eastAsia="+mn-ea" w:hAnsi="Arial" w:cs="+mn-cs"/>
                          <w:b/>
                          <w:bCs/>
                          <w:color w:val="7030A0"/>
                          <w:kern w:val="24"/>
                          <w:sz w:val="18"/>
                          <w:szCs w:val="18"/>
                        </w:rPr>
                        <w:t>Przyj</w:t>
                      </w:r>
                      <w:r w:rsidRPr="00E73533">
                        <w:rPr>
                          <w:rFonts w:ascii="Arial" w:eastAsia="+mn-ea" w:hAnsi="Arial" w:cs="+mn-cs"/>
                          <w:b/>
                          <w:bCs/>
                          <w:color w:val="7030A0"/>
                          <w:kern w:val="24"/>
                          <w:sz w:val="18"/>
                          <w:szCs w:val="18"/>
                        </w:rPr>
                        <w:t>ę</w:t>
                      </w:r>
                      <w:r>
                        <w:rPr>
                          <w:rFonts w:ascii="Arial" w:eastAsia="+mn-ea" w:hAnsi="Arial" w:cs="+mn-cs"/>
                          <w:b/>
                          <w:bCs/>
                          <w:color w:val="7030A0"/>
                          <w:kern w:val="24"/>
                          <w:sz w:val="18"/>
                          <w:szCs w:val="18"/>
                        </w:rPr>
                        <w:t>cie leku Revolade</w:t>
                      </w:r>
                    </w:p>
                    <w:p w14:paraId="20A54616" w14:textId="77777777" w:rsidR="00BF6901" w:rsidRPr="001B0E68" w:rsidRDefault="00BF6901" w:rsidP="00F12AFF">
                      <w:pPr>
                        <w:shd w:val="clear" w:color="auto" w:fill="FFFFFF"/>
                        <w:textAlignment w:val="baseline"/>
                        <w:rPr>
                          <w:rFonts w:ascii="Arial" w:eastAsia="+mn-ea" w:hAnsi="Arial" w:cs="+mn-cs"/>
                          <w:b/>
                          <w:bCs/>
                          <w:color w:val="7030A0"/>
                          <w:kern w:val="24"/>
                          <w:sz w:val="18"/>
                          <w:szCs w:val="18"/>
                        </w:rPr>
                      </w:pPr>
                    </w:p>
                  </w:txbxContent>
                </v:textbox>
              </v:rect>
            </w:pict>
          </mc:Fallback>
        </mc:AlternateContent>
      </w:r>
      <w:r w:rsidRPr="007E4DA1">
        <w:rPr>
          <w:b/>
          <w:noProof/>
          <w:sz w:val="22"/>
          <w:szCs w:val="22"/>
          <w:lang w:val="en-US"/>
        </w:rPr>
        <mc:AlternateContent>
          <mc:Choice Requires="wps">
            <w:drawing>
              <wp:anchor distT="0" distB="0" distL="114300" distR="114300" simplePos="0" relativeHeight="251656192" behindDoc="0" locked="0" layoutInCell="1" allowOverlap="1" wp14:anchorId="12781121" wp14:editId="2335CCC6">
                <wp:simplePos x="0" y="0"/>
                <wp:positionH relativeFrom="column">
                  <wp:posOffset>-4445</wp:posOffset>
                </wp:positionH>
                <wp:positionV relativeFrom="paragraph">
                  <wp:posOffset>1337310</wp:posOffset>
                </wp:positionV>
                <wp:extent cx="1424305" cy="676275"/>
                <wp:effectExtent l="0" t="0" r="0" b="0"/>
                <wp:wrapNone/>
                <wp:docPr id="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30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5C8DB2" w14:textId="79536E48" w:rsidR="00BF6901" w:rsidRPr="0052101E" w:rsidRDefault="00BF6901" w:rsidP="00F12AFF">
                            <w:pPr>
                              <w:pStyle w:val="NormalWeb"/>
                              <w:spacing w:line="240" w:lineRule="auto"/>
                              <w:textAlignment w:val="baseline"/>
                              <w:rPr>
                                <w:sz w:val="16"/>
                                <w:szCs w:val="16"/>
                                <w:lang w:val="pl-PL"/>
                              </w:rPr>
                            </w:pPr>
                            <w:r w:rsidRPr="0052101E">
                              <w:rPr>
                                <w:rFonts w:ascii="Arial" w:eastAsia="+mn-ea" w:hAnsi="Arial" w:cs="+mn-cs"/>
                                <w:b/>
                                <w:bCs/>
                                <w:color w:val="FF0000"/>
                                <w:kern w:val="24"/>
                                <w:sz w:val="16"/>
                                <w:szCs w:val="16"/>
                                <w:lang w:val="pl-PL"/>
                              </w:rPr>
                              <w:t>NIE spożywać produktów mlecznych, leków zoboj</w:t>
                            </w:r>
                            <w:r w:rsidRPr="00E73533">
                              <w:rPr>
                                <w:rFonts w:ascii="Arial" w:eastAsia="+mn-ea" w:hAnsi="Arial" w:cs="+mn-cs"/>
                                <w:b/>
                                <w:bCs/>
                                <w:color w:val="FF0000"/>
                                <w:kern w:val="24"/>
                                <w:sz w:val="16"/>
                                <w:szCs w:val="16"/>
                                <w:lang w:val="pl-PL" w:eastAsia="pl-PL"/>
                              </w:rPr>
                              <w:t>ę</w:t>
                            </w:r>
                            <w:r>
                              <w:rPr>
                                <w:rFonts w:ascii="Arial" w:eastAsia="+mn-ea" w:hAnsi="Arial" w:cs="+mn-cs"/>
                                <w:b/>
                                <w:bCs/>
                                <w:color w:val="FF0000"/>
                                <w:kern w:val="24"/>
                                <w:sz w:val="16"/>
                                <w:szCs w:val="16"/>
                                <w:lang w:val="pl-PL" w:eastAsia="pl-PL"/>
                              </w:rPr>
                              <w:t>tniaj</w:t>
                            </w:r>
                            <w:r w:rsidRPr="000570DF">
                              <w:rPr>
                                <w:rFonts w:ascii="Arial" w:eastAsia="+mn-ea" w:hAnsi="Arial" w:cs="+mn-cs"/>
                                <w:b/>
                                <w:bCs/>
                                <w:color w:val="FF0000"/>
                                <w:kern w:val="24"/>
                                <w:sz w:val="16"/>
                                <w:szCs w:val="16"/>
                                <w:lang w:val="pl-PL" w:eastAsia="pl-PL"/>
                              </w:rPr>
                              <w:t>ą</w:t>
                            </w:r>
                            <w:r>
                              <w:rPr>
                                <w:rFonts w:ascii="Arial" w:eastAsia="+mn-ea" w:hAnsi="Arial" w:cs="+mn-cs"/>
                                <w:b/>
                                <w:bCs/>
                                <w:color w:val="FF0000"/>
                                <w:kern w:val="24"/>
                                <w:sz w:val="16"/>
                                <w:szCs w:val="16"/>
                                <w:lang w:val="pl-PL" w:eastAsia="pl-PL"/>
                              </w:rPr>
                              <w:t xml:space="preserve">cych </w:t>
                            </w:r>
                            <w:r w:rsidR="007E0DD4">
                              <w:rPr>
                                <w:rFonts w:ascii="Arial" w:eastAsia="+mn-ea" w:hAnsi="Arial" w:cs="+mn-cs"/>
                                <w:b/>
                                <w:bCs/>
                                <w:color w:val="FF0000"/>
                                <w:kern w:val="24"/>
                                <w:sz w:val="16"/>
                                <w:szCs w:val="16"/>
                                <w:lang w:val="pl-PL" w:eastAsia="pl-PL"/>
                              </w:rPr>
                              <w:t xml:space="preserve">sok </w:t>
                            </w:r>
                            <w:r w:rsidRPr="0052101E">
                              <w:rPr>
                                <w:rFonts w:ascii="Arial" w:eastAsia="+mn-ea" w:hAnsi="Arial" w:cs="+mn-cs"/>
                                <w:b/>
                                <w:bCs/>
                                <w:color w:val="FF0000"/>
                                <w:kern w:val="24"/>
                                <w:sz w:val="16"/>
                                <w:szCs w:val="16"/>
                                <w:lang w:val="pl-PL"/>
                              </w:rPr>
                              <w:t>żo</w:t>
                            </w:r>
                            <w:r w:rsidRPr="000570DF">
                              <w:rPr>
                                <w:rFonts w:ascii="Arial" w:eastAsia="+mn-ea" w:hAnsi="Arial" w:cs="+mn-cs"/>
                                <w:b/>
                                <w:bCs/>
                                <w:color w:val="FF0000"/>
                                <w:kern w:val="24"/>
                                <w:sz w:val="16"/>
                                <w:szCs w:val="16"/>
                                <w:lang w:val="pl-PL" w:eastAsia="pl-PL"/>
                              </w:rPr>
                              <w:t>łą</w:t>
                            </w:r>
                            <w:r>
                              <w:rPr>
                                <w:rFonts w:ascii="Arial" w:eastAsia="+mn-ea" w:hAnsi="Arial" w:cs="+mn-cs"/>
                                <w:b/>
                                <w:bCs/>
                                <w:color w:val="FF0000"/>
                                <w:kern w:val="24"/>
                                <w:sz w:val="16"/>
                                <w:szCs w:val="16"/>
                                <w:lang w:val="pl-PL" w:eastAsia="pl-PL"/>
                              </w:rPr>
                              <w:t>dkowy lub suplement</w:t>
                            </w:r>
                            <w:r w:rsidRPr="0052101E">
                              <w:rPr>
                                <w:rFonts w:ascii="Arial" w:eastAsia="+mn-ea" w:hAnsi="Arial" w:cs="+mn-cs"/>
                                <w:b/>
                                <w:bCs/>
                                <w:color w:val="FF0000"/>
                                <w:kern w:val="24"/>
                                <w:sz w:val="16"/>
                                <w:szCs w:val="16"/>
                                <w:lang w:val="pl-PL"/>
                              </w:rPr>
                              <w:t>ów mineralnych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81121" id="_x0000_s1031" style="position:absolute;margin-left:-.35pt;margin-top:105.3pt;width:112.15pt;height:5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" stroked="f">
                <v:textbox inset="0,0,0,0">
                  <w:txbxContent>
                    <w:p w14:paraId="325C8DB2" w14:textId="79536E48" w:rsidR="00BF6901" w:rsidRPr="0052101E" w:rsidRDefault="00BF6901" w:rsidP="00F12AFF">
                      <w:pPr>
                        <w:pStyle w:val="NormalWeb"/>
                        <w:spacing w:line="240" w:lineRule="auto"/>
                        <w:textAlignment w:val="baseline"/>
                        <w:rPr>
                          <w:sz w:val="16"/>
                          <w:szCs w:val="16"/>
                          <w:lang w:val="pl-PL"/>
                        </w:rPr>
                      </w:pPr>
                      <w:r w:rsidRPr="0052101E">
                        <w:rPr>
                          <w:rFonts w:ascii="Arial" w:eastAsia="+mn-ea" w:hAnsi="Arial" w:cs="+mn-cs"/>
                          <w:b/>
                          <w:bCs/>
                          <w:color w:val="FF0000"/>
                          <w:kern w:val="24"/>
                          <w:sz w:val="16"/>
                          <w:szCs w:val="16"/>
                          <w:lang w:val="pl-PL"/>
                        </w:rPr>
                        <w:t>NIE spożywać produktów mlecznych, leków zoboj</w:t>
                      </w:r>
                      <w:r w:rsidRPr="00E73533">
                        <w:rPr>
                          <w:rFonts w:ascii="Arial" w:eastAsia="+mn-ea" w:hAnsi="Arial" w:cs="+mn-cs"/>
                          <w:b/>
                          <w:bCs/>
                          <w:color w:val="FF0000"/>
                          <w:kern w:val="24"/>
                          <w:sz w:val="16"/>
                          <w:szCs w:val="16"/>
                          <w:lang w:val="pl-PL" w:eastAsia="pl-PL"/>
                        </w:rPr>
                        <w:t>ę</w:t>
                      </w:r>
                      <w:r>
                        <w:rPr>
                          <w:rFonts w:ascii="Arial" w:eastAsia="+mn-ea" w:hAnsi="Arial" w:cs="+mn-cs"/>
                          <w:b/>
                          <w:bCs/>
                          <w:color w:val="FF0000"/>
                          <w:kern w:val="24"/>
                          <w:sz w:val="16"/>
                          <w:szCs w:val="16"/>
                          <w:lang w:val="pl-PL" w:eastAsia="pl-PL"/>
                        </w:rPr>
                        <w:t>tniaj</w:t>
                      </w:r>
                      <w:r w:rsidRPr="000570DF">
                        <w:rPr>
                          <w:rFonts w:ascii="Arial" w:eastAsia="+mn-ea" w:hAnsi="Arial" w:cs="+mn-cs"/>
                          <w:b/>
                          <w:bCs/>
                          <w:color w:val="FF0000"/>
                          <w:kern w:val="24"/>
                          <w:sz w:val="16"/>
                          <w:szCs w:val="16"/>
                          <w:lang w:val="pl-PL" w:eastAsia="pl-PL"/>
                        </w:rPr>
                        <w:t>ą</w:t>
                      </w:r>
                      <w:r>
                        <w:rPr>
                          <w:rFonts w:ascii="Arial" w:eastAsia="+mn-ea" w:hAnsi="Arial" w:cs="+mn-cs"/>
                          <w:b/>
                          <w:bCs/>
                          <w:color w:val="FF0000"/>
                          <w:kern w:val="24"/>
                          <w:sz w:val="16"/>
                          <w:szCs w:val="16"/>
                          <w:lang w:val="pl-PL" w:eastAsia="pl-PL"/>
                        </w:rPr>
                        <w:t xml:space="preserve">cych </w:t>
                      </w:r>
                      <w:r w:rsidR="007E0DD4">
                        <w:rPr>
                          <w:rFonts w:ascii="Arial" w:eastAsia="+mn-ea" w:hAnsi="Arial" w:cs="+mn-cs"/>
                          <w:b/>
                          <w:bCs/>
                          <w:color w:val="FF0000"/>
                          <w:kern w:val="24"/>
                          <w:sz w:val="16"/>
                          <w:szCs w:val="16"/>
                          <w:lang w:val="pl-PL" w:eastAsia="pl-PL"/>
                        </w:rPr>
                        <w:t xml:space="preserve">sok </w:t>
                      </w:r>
                      <w:r w:rsidRPr="0052101E">
                        <w:rPr>
                          <w:rFonts w:ascii="Arial" w:eastAsia="+mn-ea" w:hAnsi="Arial" w:cs="+mn-cs"/>
                          <w:b/>
                          <w:bCs/>
                          <w:color w:val="FF0000"/>
                          <w:kern w:val="24"/>
                          <w:sz w:val="16"/>
                          <w:szCs w:val="16"/>
                          <w:lang w:val="pl-PL"/>
                        </w:rPr>
                        <w:t>żo</w:t>
                      </w:r>
                      <w:r w:rsidRPr="000570DF">
                        <w:rPr>
                          <w:rFonts w:ascii="Arial" w:eastAsia="+mn-ea" w:hAnsi="Arial" w:cs="+mn-cs"/>
                          <w:b/>
                          <w:bCs/>
                          <w:color w:val="FF0000"/>
                          <w:kern w:val="24"/>
                          <w:sz w:val="16"/>
                          <w:szCs w:val="16"/>
                          <w:lang w:val="pl-PL" w:eastAsia="pl-PL"/>
                        </w:rPr>
                        <w:t>łą</w:t>
                      </w:r>
                      <w:r>
                        <w:rPr>
                          <w:rFonts w:ascii="Arial" w:eastAsia="+mn-ea" w:hAnsi="Arial" w:cs="+mn-cs"/>
                          <w:b/>
                          <w:bCs/>
                          <w:color w:val="FF0000"/>
                          <w:kern w:val="24"/>
                          <w:sz w:val="16"/>
                          <w:szCs w:val="16"/>
                          <w:lang w:val="pl-PL" w:eastAsia="pl-PL"/>
                        </w:rPr>
                        <w:t>dkowy lub suplement</w:t>
                      </w:r>
                      <w:r w:rsidRPr="0052101E">
                        <w:rPr>
                          <w:rFonts w:ascii="Arial" w:eastAsia="+mn-ea" w:hAnsi="Arial" w:cs="+mn-cs"/>
                          <w:b/>
                          <w:bCs/>
                          <w:color w:val="FF0000"/>
                          <w:kern w:val="24"/>
                          <w:sz w:val="16"/>
                          <w:szCs w:val="16"/>
                          <w:lang w:val="pl-PL"/>
                        </w:rPr>
                        <w:t>ów mineralnych</w:t>
                      </w:r>
                    </w:p>
                  </w:txbxContent>
                </v:textbox>
              </v:rect>
            </w:pict>
          </mc:Fallback>
        </mc:AlternateContent>
      </w:r>
      <w:r w:rsidRPr="007E4DA1">
        <w:rPr>
          <w:b/>
          <w:noProof/>
          <w:sz w:val="22"/>
          <w:szCs w:val="22"/>
          <w:lang w:val="en-US"/>
        </w:rPr>
        <mc:AlternateContent>
          <mc:Choice Requires="wps">
            <w:drawing>
              <wp:anchor distT="0" distB="0" distL="114300" distR="114300" simplePos="0" relativeHeight="251659264" behindDoc="0" locked="0" layoutInCell="1" allowOverlap="1" wp14:anchorId="61FD7ABB" wp14:editId="545A379E">
                <wp:simplePos x="0" y="0"/>
                <wp:positionH relativeFrom="column">
                  <wp:posOffset>1450975</wp:posOffset>
                </wp:positionH>
                <wp:positionV relativeFrom="paragraph">
                  <wp:posOffset>323215</wp:posOffset>
                </wp:positionV>
                <wp:extent cx="1201420" cy="281940"/>
                <wp:effectExtent l="0" t="0" r="0" b="0"/>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2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C5C0B" w14:textId="77777777" w:rsidR="00041A08" w:rsidRPr="00041A08" w:rsidRDefault="00BF6901" w:rsidP="00F12AFF">
                            <w:pPr>
                              <w:pStyle w:val="Header"/>
                              <w:shd w:val="clear" w:color="auto" w:fill="FFFFFF"/>
                              <w:tabs>
                                <w:tab w:val="clear" w:pos="4153"/>
                                <w:tab w:val="clear" w:pos="8306"/>
                              </w:tabs>
                              <w:textAlignment w:val="baseline"/>
                              <w:rPr>
                                <w:rFonts w:ascii="Arial" w:eastAsia="+mn-ea" w:hAnsi="Arial" w:cs="+mn-cs"/>
                                <w:color w:val="FF0000"/>
                                <w:kern w:val="24"/>
                                <w:sz w:val="16"/>
                                <w:szCs w:val="16"/>
                                <w:lang w:val="pl-PL"/>
                              </w:rPr>
                            </w:pPr>
                            <w:r w:rsidRPr="0052101E">
                              <w:rPr>
                                <w:rFonts w:ascii="Arial" w:eastAsia="+mn-ea" w:hAnsi="Arial" w:cs="+mn-cs"/>
                                <w:b/>
                                <w:bCs/>
                                <w:color w:val="FF0000"/>
                                <w:kern w:val="24"/>
                                <w:sz w:val="16"/>
                                <w:szCs w:val="16"/>
                                <w:lang w:val="pl-PL"/>
                              </w:rPr>
                              <w:t>... i przez 2 godziny po przyjęciu leku Revolade</w:t>
                            </w:r>
                          </w:p>
                          <w:p w14:paraId="65B6A578" w14:textId="77777777" w:rsidR="00BF6901" w:rsidRPr="0052101E" w:rsidRDefault="00BF6901" w:rsidP="00F12AFF">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pl-P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D7ABB" id="_x0000_s1032" style="position:absolute;margin-left:114.25pt;margin-top:25.45pt;width:94.6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" filled="f" stroked="f">
                <v:textbox inset="0,0,0,0">
                  <w:txbxContent>
                    <w:p w14:paraId="449C5C0B" w14:textId="77777777" w:rsidR="00041A08" w:rsidRPr="00041A08" w:rsidRDefault="00BF6901" w:rsidP="00F12AFF">
                      <w:pPr>
                        <w:pStyle w:val="Header"/>
                        <w:shd w:val="clear" w:color="auto" w:fill="FFFFFF"/>
                        <w:tabs>
                          <w:tab w:val="clear" w:pos="4153"/>
                          <w:tab w:val="clear" w:pos="8306"/>
                        </w:tabs>
                        <w:textAlignment w:val="baseline"/>
                        <w:rPr>
                          <w:rFonts w:ascii="Arial" w:eastAsia="+mn-ea" w:hAnsi="Arial" w:cs="+mn-cs"/>
                          <w:color w:val="FF0000"/>
                          <w:kern w:val="24"/>
                          <w:sz w:val="16"/>
                          <w:szCs w:val="16"/>
                          <w:lang w:val="pl-PL"/>
                        </w:rPr>
                      </w:pPr>
                      <w:r w:rsidRPr="0052101E">
                        <w:rPr>
                          <w:rFonts w:ascii="Arial" w:eastAsia="+mn-ea" w:hAnsi="Arial" w:cs="+mn-cs"/>
                          <w:b/>
                          <w:bCs/>
                          <w:color w:val="FF0000"/>
                          <w:kern w:val="24"/>
                          <w:sz w:val="16"/>
                          <w:szCs w:val="16"/>
                          <w:lang w:val="pl-PL"/>
                        </w:rPr>
                        <w:t>... i przez 2 godziny po przyjęciu leku Revolade</w:t>
                      </w:r>
                    </w:p>
                    <w:p w14:paraId="65B6A578" w14:textId="77777777" w:rsidR="00BF6901" w:rsidRPr="0052101E" w:rsidRDefault="00BF6901" w:rsidP="00F12AFF">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pl-PL"/>
                        </w:rPr>
                      </w:pPr>
                    </w:p>
                  </w:txbxContent>
                </v:textbox>
              </v:rect>
            </w:pict>
          </mc:Fallback>
        </mc:AlternateContent>
      </w:r>
      <w:r w:rsidRPr="007E4DA1">
        <w:rPr>
          <w:b/>
          <w:noProof/>
          <w:sz w:val="22"/>
          <w:szCs w:val="22"/>
          <w:lang w:val="en-US"/>
        </w:rPr>
        <mc:AlternateContent>
          <mc:Choice Requires="wps">
            <w:drawing>
              <wp:anchor distT="0" distB="0" distL="114300" distR="114300" simplePos="0" relativeHeight="251658240" behindDoc="0" locked="0" layoutInCell="1" allowOverlap="1" wp14:anchorId="24148084" wp14:editId="419312CF">
                <wp:simplePos x="0" y="0"/>
                <wp:positionH relativeFrom="column">
                  <wp:posOffset>-176530</wp:posOffset>
                </wp:positionH>
                <wp:positionV relativeFrom="paragraph">
                  <wp:posOffset>324485</wp:posOffset>
                </wp:positionV>
                <wp:extent cx="790575" cy="650240"/>
                <wp:effectExtent l="0" t="0" r="0" b="0"/>
                <wp:wrapNone/>
                <wp:docPr id="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65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769CA" w14:textId="77777777" w:rsidR="00041A08" w:rsidRPr="00041A08" w:rsidRDefault="00BF6901" w:rsidP="00F12AFF">
                            <w:pPr>
                              <w:shd w:val="clear" w:color="auto" w:fill="FFFFFF"/>
                              <w:textAlignment w:val="baseline"/>
                              <w:rPr>
                                <w:rFonts w:ascii="Arial" w:eastAsia="+mn-ea" w:hAnsi="Arial" w:cs="+mn-cs"/>
                                <w:color w:val="FF0000"/>
                                <w:kern w:val="24"/>
                                <w:sz w:val="16"/>
                                <w:szCs w:val="16"/>
                              </w:rPr>
                            </w:pPr>
                            <w:r>
                              <w:rPr>
                                <w:rFonts w:ascii="Arial" w:eastAsia="+mn-ea" w:hAnsi="Arial" w:cs="+mn-cs"/>
                                <w:b/>
                                <w:bCs/>
                                <w:color w:val="FF0000"/>
                                <w:kern w:val="24"/>
                                <w:sz w:val="16"/>
                                <w:szCs w:val="16"/>
                              </w:rPr>
                              <w:t>Przez 4 godziny</w:t>
                            </w:r>
                          </w:p>
                          <w:p w14:paraId="1C822222" w14:textId="77777777" w:rsidR="00041A08" w:rsidRPr="00041A08" w:rsidRDefault="00BF6901" w:rsidP="00F12AFF">
                            <w:pPr>
                              <w:pStyle w:val="Header"/>
                              <w:shd w:val="clear" w:color="auto" w:fill="FFFFFF"/>
                              <w:tabs>
                                <w:tab w:val="clear" w:pos="4153"/>
                                <w:tab w:val="clear" w:pos="8306"/>
                              </w:tabs>
                              <w:textAlignment w:val="baseline"/>
                              <w:rPr>
                                <w:rFonts w:ascii="Arial" w:eastAsia="+mn-ea" w:hAnsi="Arial" w:cs="+mn-cs"/>
                                <w:color w:val="FF0000"/>
                                <w:kern w:val="24"/>
                                <w:sz w:val="16"/>
                                <w:szCs w:val="16"/>
                              </w:rPr>
                            </w:pPr>
                            <w:r>
                              <w:rPr>
                                <w:rFonts w:ascii="Arial" w:eastAsia="+mn-ea" w:hAnsi="Arial" w:cs="+mn-cs"/>
                                <w:b/>
                                <w:bCs/>
                                <w:color w:val="FF0000"/>
                                <w:kern w:val="24"/>
                                <w:sz w:val="16"/>
                                <w:szCs w:val="16"/>
                              </w:rPr>
                              <w:t xml:space="preserve">przed </w:t>
                            </w:r>
                            <w:r w:rsidRPr="00E73533">
                              <w:rPr>
                                <w:rFonts w:ascii="Arial" w:eastAsia="+mn-ea" w:hAnsi="Arial" w:cs="+mn-cs"/>
                                <w:b/>
                                <w:bCs/>
                                <w:color w:val="FF0000"/>
                                <w:kern w:val="24"/>
                                <w:sz w:val="16"/>
                                <w:szCs w:val="16"/>
                                <w:lang w:val="pl-PL" w:eastAsia="pl-PL"/>
                              </w:rPr>
                              <w:t>przyjęciem leku Revolade</w:t>
                            </w:r>
                            <w:r>
                              <w:rPr>
                                <w:rFonts w:ascii="Arial" w:eastAsia="+mn-ea" w:hAnsi="Arial" w:cs="+mn-cs"/>
                                <w:b/>
                                <w:bCs/>
                                <w:color w:val="FF0000"/>
                                <w:kern w:val="24"/>
                                <w:sz w:val="16"/>
                                <w:szCs w:val="16"/>
                                <w:lang w:val="pl-PL" w:eastAsia="pl-PL"/>
                              </w:rPr>
                              <w:t>...</w:t>
                            </w:r>
                          </w:p>
                          <w:p w14:paraId="30DBD650" w14:textId="3D83E791" w:rsidR="00BF6901" w:rsidRPr="00D36601" w:rsidRDefault="00BF6901" w:rsidP="00F12AFF">
                            <w:pPr>
                              <w:pStyle w:val="Header"/>
                              <w:shd w:val="clear" w:color="auto" w:fill="FFFFFF"/>
                              <w:tabs>
                                <w:tab w:val="clear" w:pos="4153"/>
                                <w:tab w:val="clear" w:pos="8306"/>
                              </w:tabs>
                              <w:textAlignment w:val="baseline"/>
                              <w:rPr>
                                <w:rFonts w:ascii="Arial" w:eastAsia="+mn-ea" w:hAnsi="Arial" w:cs="+mn-cs"/>
                                <w:b/>
                                <w:bCs/>
                                <w:color w:val="FF0000"/>
                                <w:kern w:val="24"/>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48084" id="_x0000_s1033" style="position:absolute;margin-left:-13.9pt;margin-top:25.55pt;width:62.25pt;height:5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" filled="f" stroked="f">
                <v:textbox inset="0,0,0,0">
                  <w:txbxContent>
                    <w:p w14:paraId="085769CA" w14:textId="77777777" w:rsidR="00041A08" w:rsidRPr="00041A08" w:rsidRDefault="00BF6901" w:rsidP="00F12AFF">
                      <w:pPr>
                        <w:shd w:val="clear" w:color="auto" w:fill="FFFFFF"/>
                        <w:textAlignment w:val="baseline"/>
                        <w:rPr>
                          <w:rFonts w:ascii="Arial" w:eastAsia="+mn-ea" w:hAnsi="Arial" w:cs="+mn-cs"/>
                          <w:color w:val="FF0000"/>
                          <w:kern w:val="24"/>
                          <w:sz w:val="16"/>
                          <w:szCs w:val="16"/>
                        </w:rPr>
                      </w:pPr>
                      <w:r>
                        <w:rPr>
                          <w:rFonts w:ascii="Arial" w:eastAsia="+mn-ea" w:hAnsi="Arial" w:cs="+mn-cs"/>
                          <w:b/>
                          <w:bCs/>
                          <w:color w:val="FF0000"/>
                          <w:kern w:val="24"/>
                          <w:sz w:val="16"/>
                          <w:szCs w:val="16"/>
                        </w:rPr>
                        <w:t>Przez 4 godziny</w:t>
                      </w:r>
                    </w:p>
                    <w:p w14:paraId="1C822222" w14:textId="77777777" w:rsidR="00041A08" w:rsidRPr="00041A08" w:rsidRDefault="00BF6901" w:rsidP="00F12AFF">
                      <w:pPr>
                        <w:pStyle w:val="Header"/>
                        <w:shd w:val="clear" w:color="auto" w:fill="FFFFFF"/>
                        <w:tabs>
                          <w:tab w:val="clear" w:pos="4153"/>
                          <w:tab w:val="clear" w:pos="8306"/>
                        </w:tabs>
                        <w:textAlignment w:val="baseline"/>
                        <w:rPr>
                          <w:rFonts w:ascii="Arial" w:eastAsia="+mn-ea" w:hAnsi="Arial" w:cs="+mn-cs"/>
                          <w:color w:val="FF0000"/>
                          <w:kern w:val="24"/>
                          <w:sz w:val="16"/>
                          <w:szCs w:val="16"/>
                        </w:rPr>
                      </w:pPr>
                      <w:r>
                        <w:rPr>
                          <w:rFonts w:ascii="Arial" w:eastAsia="+mn-ea" w:hAnsi="Arial" w:cs="+mn-cs"/>
                          <w:b/>
                          <w:bCs/>
                          <w:color w:val="FF0000"/>
                          <w:kern w:val="24"/>
                          <w:sz w:val="16"/>
                          <w:szCs w:val="16"/>
                        </w:rPr>
                        <w:t xml:space="preserve">przed </w:t>
                      </w:r>
                      <w:r w:rsidRPr="00E73533">
                        <w:rPr>
                          <w:rFonts w:ascii="Arial" w:eastAsia="+mn-ea" w:hAnsi="Arial" w:cs="+mn-cs"/>
                          <w:b/>
                          <w:bCs/>
                          <w:color w:val="FF0000"/>
                          <w:kern w:val="24"/>
                          <w:sz w:val="16"/>
                          <w:szCs w:val="16"/>
                          <w:lang w:val="pl-PL" w:eastAsia="pl-PL"/>
                        </w:rPr>
                        <w:t>przyjęciem leku Revolade</w:t>
                      </w:r>
                      <w:r>
                        <w:rPr>
                          <w:rFonts w:ascii="Arial" w:eastAsia="+mn-ea" w:hAnsi="Arial" w:cs="+mn-cs"/>
                          <w:b/>
                          <w:bCs/>
                          <w:color w:val="FF0000"/>
                          <w:kern w:val="24"/>
                          <w:sz w:val="16"/>
                          <w:szCs w:val="16"/>
                          <w:lang w:val="pl-PL" w:eastAsia="pl-PL"/>
                        </w:rPr>
                        <w:t>...</w:t>
                      </w:r>
                    </w:p>
                    <w:p w14:paraId="30DBD650" w14:textId="3D83E791" w:rsidR="00BF6901" w:rsidRPr="00D36601" w:rsidRDefault="00BF6901" w:rsidP="00F12AFF">
                      <w:pPr>
                        <w:pStyle w:val="Header"/>
                        <w:shd w:val="clear" w:color="auto" w:fill="FFFFFF"/>
                        <w:tabs>
                          <w:tab w:val="clear" w:pos="4153"/>
                          <w:tab w:val="clear" w:pos="8306"/>
                        </w:tabs>
                        <w:textAlignment w:val="baseline"/>
                        <w:rPr>
                          <w:rFonts w:ascii="Arial" w:eastAsia="+mn-ea" w:hAnsi="Arial" w:cs="+mn-cs"/>
                          <w:b/>
                          <w:bCs/>
                          <w:color w:val="FF0000"/>
                          <w:kern w:val="24"/>
                          <w:sz w:val="16"/>
                          <w:szCs w:val="16"/>
                        </w:rPr>
                      </w:pPr>
                    </w:p>
                  </w:txbxContent>
                </v:textbox>
              </v:rect>
            </w:pict>
          </mc:Fallback>
        </mc:AlternateContent>
      </w:r>
      <w:r w:rsidRPr="007E4DA1">
        <w:rPr>
          <w:b/>
          <w:noProof/>
          <w:sz w:val="22"/>
          <w:szCs w:val="22"/>
          <w:lang w:val="en-US"/>
        </w:rPr>
        <w:drawing>
          <wp:inline distT="0" distB="0" distL="0" distR="0" wp14:anchorId="42455449" wp14:editId="4E33299A">
            <wp:extent cx="2170430" cy="1693545"/>
            <wp:effectExtent l="0" t="0" r="0" b="0"/>
            <wp:docPr id="5" name="Picture 14" descr="2+4-hour_PFOS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4-hour_PFOS_ENG+red.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70430" cy="1693545"/>
                    </a:xfrm>
                    <a:prstGeom prst="rect">
                      <a:avLst/>
                    </a:prstGeom>
                    <a:noFill/>
                    <a:ln>
                      <a:noFill/>
                    </a:ln>
                  </pic:spPr>
                </pic:pic>
              </a:graphicData>
            </a:graphic>
          </wp:inline>
        </w:drawing>
      </w:r>
    </w:p>
    <w:p w14:paraId="047C56F9" w14:textId="1483D6EA" w:rsidR="00F12AFF" w:rsidRPr="007E4DA1" w:rsidRDefault="00F12AFF" w:rsidP="00DE1596">
      <w:pPr>
        <w:pStyle w:val="listdashnospace"/>
        <w:numPr>
          <w:ilvl w:val="0"/>
          <w:numId w:val="0"/>
        </w:numPr>
        <w:rPr>
          <w:noProof/>
          <w:sz w:val="22"/>
          <w:szCs w:val="22"/>
          <w:lang w:eastAsia="en-GB"/>
        </w:rPr>
      </w:pPr>
    </w:p>
    <w:p w14:paraId="3121503F" w14:textId="77777777" w:rsidR="00F12AFF" w:rsidRPr="007E4DA1" w:rsidRDefault="00F12AFF" w:rsidP="00DE1596">
      <w:pPr>
        <w:ind w:left="0" w:firstLine="0"/>
      </w:pPr>
    </w:p>
    <w:p w14:paraId="661046CB" w14:textId="77777777" w:rsidR="00F12AFF" w:rsidRPr="007E4DA1" w:rsidRDefault="00F12AFF" w:rsidP="00DE1596">
      <w:pPr>
        <w:ind w:left="0" w:firstLine="0"/>
      </w:pPr>
    </w:p>
    <w:p w14:paraId="54530794" w14:textId="77777777" w:rsidR="00041A08" w:rsidRPr="00041A08" w:rsidRDefault="00A350DA" w:rsidP="00DE1596">
      <w:pPr>
        <w:ind w:left="0" w:firstLine="0"/>
      </w:pPr>
      <w:r w:rsidRPr="007E4DA1">
        <w:rPr>
          <w:b/>
        </w:rPr>
        <w:t>Należy zasięgnąć porady lekarza aby uzyskać więcej informacji odnośnie odpowiednich pokarmów i napojów.</w:t>
      </w:r>
    </w:p>
    <w:p w14:paraId="494313FF" w14:textId="2D23DFF2" w:rsidR="00A350DA" w:rsidRPr="007E4DA1" w:rsidRDefault="00A350DA" w:rsidP="00DE1596"/>
    <w:p w14:paraId="62DBC625" w14:textId="77777777" w:rsidR="00041A08" w:rsidRPr="00041A08" w:rsidRDefault="00A350DA" w:rsidP="00DE1596">
      <w:pPr>
        <w:keepNext/>
      </w:pPr>
      <w:r w:rsidRPr="007E4DA1">
        <w:rPr>
          <w:b/>
        </w:rPr>
        <w:t>Zastosowanie większej niż zalecana dawki leku Revolade</w:t>
      </w:r>
    </w:p>
    <w:p w14:paraId="494F6E65" w14:textId="1056893E" w:rsidR="00A350DA" w:rsidRPr="007E4DA1" w:rsidRDefault="00A350DA" w:rsidP="00DE1596">
      <w:pPr>
        <w:numPr>
          <w:ilvl w:val="12"/>
          <w:numId w:val="0"/>
        </w:numPr>
        <w:ind w:right="-2"/>
      </w:pPr>
      <w:r w:rsidRPr="007E4DA1">
        <w:rPr>
          <w:b/>
        </w:rPr>
        <w:t xml:space="preserve">Należy natychmiast skontaktować się z lekarzem lub farmaceutą. </w:t>
      </w:r>
      <w:r w:rsidRPr="007E4DA1">
        <w:t>Jeśli to możliwe, należy pokazać im opakowanie leku lub tę ulotkę.</w:t>
      </w:r>
    </w:p>
    <w:p w14:paraId="074B0617" w14:textId="77777777" w:rsidR="00A350DA" w:rsidRPr="007E4DA1" w:rsidRDefault="00A350DA" w:rsidP="00DE1596">
      <w:pPr>
        <w:numPr>
          <w:ilvl w:val="12"/>
          <w:numId w:val="0"/>
        </w:numPr>
        <w:ind w:right="-2"/>
        <w:rPr>
          <w:color w:val="000000"/>
        </w:rPr>
      </w:pPr>
      <w:r w:rsidRPr="007E4DA1">
        <w:rPr>
          <w:color w:val="000000"/>
          <w:szCs w:val="22"/>
        </w:rPr>
        <w:t>Stan pacjenta będzie kontrolowany w celu wykrycia ewentualnych działań niepożądanych i niezwłocznego zastosowania odpowiedniego leczenia.</w:t>
      </w:r>
    </w:p>
    <w:p w14:paraId="64355B52" w14:textId="77777777" w:rsidR="00A350DA" w:rsidRPr="007E4DA1" w:rsidRDefault="00A350DA" w:rsidP="00DE1596">
      <w:pPr>
        <w:numPr>
          <w:ilvl w:val="12"/>
          <w:numId w:val="0"/>
        </w:numPr>
      </w:pPr>
    </w:p>
    <w:p w14:paraId="47E50748" w14:textId="77777777" w:rsidR="00041A08" w:rsidRPr="00041A08" w:rsidRDefault="00A350DA" w:rsidP="00DE1596">
      <w:pPr>
        <w:keepNext/>
        <w:numPr>
          <w:ilvl w:val="12"/>
          <w:numId w:val="0"/>
        </w:numPr>
      </w:pPr>
      <w:r w:rsidRPr="007E4DA1">
        <w:rPr>
          <w:b/>
        </w:rPr>
        <w:t>Pominięcie zastosowania leku Revolade</w:t>
      </w:r>
    </w:p>
    <w:p w14:paraId="2B03FD2E" w14:textId="244D633E" w:rsidR="00A350DA" w:rsidRPr="007E4DA1" w:rsidRDefault="00947B2E" w:rsidP="00DE1596">
      <w:pPr>
        <w:numPr>
          <w:ilvl w:val="12"/>
          <w:numId w:val="0"/>
        </w:numPr>
        <w:ind w:right="-2"/>
      </w:pPr>
      <w:r w:rsidRPr="007E4DA1">
        <w:t>Należy</w:t>
      </w:r>
      <w:r w:rsidR="00A350DA" w:rsidRPr="007E4DA1">
        <w:t xml:space="preserve"> przyjąć kolejną dawkę</w:t>
      </w:r>
      <w:r w:rsidRPr="007E4DA1">
        <w:t xml:space="preserve"> o zwykłej porze</w:t>
      </w:r>
      <w:r w:rsidR="00A350DA" w:rsidRPr="007E4DA1">
        <w:t>. Nie wolno przyjmować więcej niż jedną dawkę leku Revolade na dobę.</w:t>
      </w:r>
    </w:p>
    <w:p w14:paraId="53149B1C" w14:textId="77777777" w:rsidR="00A350DA" w:rsidRPr="007E4DA1" w:rsidRDefault="00A350DA" w:rsidP="00DE1596">
      <w:pPr>
        <w:numPr>
          <w:ilvl w:val="12"/>
          <w:numId w:val="0"/>
        </w:numPr>
        <w:ind w:right="-2"/>
      </w:pPr>
    </w:p>
    <w:p w14:paraId="3796D732" w14:textId="77777777" w:rsidR="00041A08" w:rsidRPr="00041A08" w:rsidRDefault="00A350DA" w:rsidP="00DE1596">
      <w:pPr>
        <w:keepNext/>
        <w:numPr>
          <w:ilvl w:val="12"/>
          <w:numId w:val="0"/>
        </w:numPr>
      </w:pPr>
      <w:r w:rsidRPr="007E4DA1">
        <w:rPr>
          <w:b/>
        </w:rPr>
        <w:t>Przerwanie stosowania leku Revolade</w:t>
      </w:r>
    </w:p>
    <w:p w14:paraId="124989BC" w14:textId="3855331E" w:rsidR="00A350DA" w:rsidRPr="007E4DA1" w:rsidRDefault="00A350DA" w:rsidP="00DE1596">
      <w:pPr>
        <w:numPr>
          <w:ilvl w:val="12"/>
          <w:numId w:val="0"/>
        </w:numPr>
        <w:ind w:right="-2"/>
      </w:pPr>
      <w:r w:rsidRPr="007E4DA1">
        <w:t>Nie należy przerywać stosowania leku Revolade bez konsultacji z lekarzem. Jeśli lekarz zaleci przerwanie leczenia, liczba płytek krwi u pacjenta będzie kontrolowana co tydzień przez cztery tygodnie.</w:t>
      </w:r>
      <w:r w:rsidR="00947B2E" w:rsidRPr="007E4DA1">
        <w:t xml:space="preserve"> Patrz także „</w:t>
      </w:r>
      <w:r w:rsidR="00947B2E" w:rsidRPr="007E4DA1">
        <w:rPr>
          <w:b/>
          <w:i/>
        </w:rPr>
        <w:t>Krwawienie lub siniaczenie po przerwaniu leczenia”</w:t>
      </w:r>
      <w:r w:rsidR="00947B2E" w:rsidRPr="007E4DA1">
        <w:t xml:space="preserve"> w punkcie</w:t>
      </w:r>
      <w:r w:rsidR="003106E7" w:rsidRPr="007E4DA1">
        <w:t> </w:t>
      </w:r>
      <w:r w:rsidR="00947B2E" w:rsidRPr="007E4DA1">
        <w:t>4.</w:t>
      </w:r>
    </w:p>
    <w:p w14:paraId="2A35A7B2" w14:textId="77777777" w:rsidR="00A350DA" w:rsidRPr="007E4DA1" w:rsidRDefault="00A350DA" w:rsidP="00DE1596"/>
    <w:p w14:paraId="676F2C8E" w14:textId="77777777" w:rsidR="00A350DA" w:rsidRPr="007E4DA1" w:rsidRDefault="00A350DA" w:rsidP="00DE1596">
      <w:pPr>
        <w:ind w:left="0" w:firstLine="0"/>
        <w:rPr>
          <w:noProof/>
          <w:szCs w:val="22"/>
        </w:rPr>
      </w:pPr>
      <w:r w:rsidRPr="007E4DA1">
        <w:rPr>
          <w:noProof/>
          <w:szCs w:val="22"/>
        </w:rPr>
        <w:t>W razie jakichkolwiek dalszych wątpliwości związanych ze stosowaniem tego leku, należy zwrócić się do lekarza lub farmaceuty.</w:t>
      </w:r>
    </w:p>
    <w:p w14:paraId="2F0D3C12" w14:textId="77777777" w:rsidR="00A350DA" w:rsidRPr="007E4DA1" w:rsidRDefault="00A350DA" w:rsidP="00DE1596"/>
    <w:p w14:paraId="29C65B60" w14:textId="77777777" w:rsidR="00A350DA" w:rsidRPr="007E4DA1" w:rsidRDefault="00A350DA" w:rsidP="00DE1596"/>
    <w:p w14:paraId="622099BB" w14:textId="77777777" w:rsidR="00041A08" w:rsidRPr="00041A08" w:rsidRDefault="00A350DA" w:rsidP="00DE1596">
      <w:pPr>
        <w:keepNext/>
      </w:pPr>
      <w:r w:rsidRPr="007E4DA1">
        <w:rPr>
          <w:b/>
        </w:rPr>
        <w:t>4.</w:t>
      </w:r>
      <w:r w:rsidRPr="007E4DA1">
        <w:rPr>
          <w:b/>
        </w:rPr>
        <w:tab/>
        <w:t>Możliwe działania niepożądane</w:t>
      </w:r>
    </w:p>
    <w:p w14:paraId="6AE2742A" w14:textId="77777777" w:rsidR="00041A08" w:rsidRPr="00041A08" w:rsidRDefault="00041A08" w:rsidP="00DE1596">
      <w:pPr>
        <w:keepNext/>
      </w:pPr>
    </w:p>
    <w:p w14:paraId="03F8459C" w14:textId="77777777" w:rsidR="00A350DA" w:rsidRPr="007E4DA1" w:rsidRDefault="00A350DA" w:rsidP="00DE1596">
      <w:pPr>
        <w:ind w:left="0" w:firstLine="0"/>
      </w:pPr>
      <w:r w:rsidRPr="007E4DA1">
        <w:t>Jak każdy lek, lek ten może powodować działania niepożądane, chociaż nie u każdego one wystąpią.</w:t>
      </w:r>
    </w:p>
    <w:p w14:paraId="669323A6" w14:textId="77777777" w:rsidR="00A350DA" w:rsidRPr="007E4DA1" w:rsidRDefault="00A350DA" w:rsidP="00DE1596"/>
    <w:p w14:paraId="51061AEF" w14:textId="77777777" w:rsidR="00041A08" w:rsidRPr="00041A08" w:rsidRDefault="00A350DA" w:rsidP="00DE1596">
      <w:pPr>
        <w:keepNext/>
      </w:pPr>
      <w:r w:rsidRPr="007E4DA1">
        <w:rPr>
          <w:b/>
        </w:rPr>
        <w:t>Objawy, na które trzeba zwrócić uwagę: należy udać się do lekarza</w:t>
      </w:r>
    </w:p>
    <w:p w14:paraId="59A37FE5" w14:textId="17B68B2E" w:rsidR="00A350DA" w:rsidRPr="007E4DA1" w:rsidRDefault="00A350DA" w:rsidP="00DE1596">
      <w:pPr>
        <w:ind w:left="0" w:firstLine="0"/>
      </w:pPr>
      <w:r w:rsidRPr="007E4DA1">
        <w:t>U pacjentów przyjmujących lek Revolade w leczeniu pierwotnej małopłytkowości immunologicznej lub małej ilości płytek krwi związanej z zapaleni</w:t>
      </w:r>
      <w:r w:rsidR="006B41F5" w:rsidRPr="007E4DA1">
        <w:t>em</w:t>
      </w:r>
      <w:r w:rsidRPr="007E4DA1">
        <w:t xml:space="preserve"> wątroby typu C mogą wystąpić objawy ciężkich działań niepożądanych. </w:t>
      </w:r>
      <w:r w:rsidRPr="007E4DA1">
        <w:rPr>
          <w:b/>
        </w:rPr>
        <w:t xml:space="preserve">Ważne jest, aby poinformować lekarza o wystąpieniu </w:t>
      </w:r>
      <w:r w:rsidR="006B41F5" w:rsidRPr="007E4DA1">
        <w:rPr>
          <w:b/>
        </w:rPr>
        <w:t>tych</w:t>
      </w:r>
      <w:r w:rsidRPr="007E4DA1">
        <w:rPr>
          <w:b/>
        </w:rPr>
        <w:t xml:space="preserve"> objawów.</w:t>
      </w:r>
    </w:p>
    <w:p w14:paraId="706E6149" w14:textId="77777777" w:rsidR="00A350DA" w:rsidRPr="007E4DA1" w:rsidRDefault="00A350DA" w:rsidP="00DE1596"/>
    <w:p w14:paraId="394BE018" w14:textId="77777777" w:rsidR="00041A08" w:rsidRPr="00041A08" w:rsidRDefault="00A350DA" w:rsidP="00DE1596">
      <w:pPr>
        <w:keepNext/>
      </w:pPr>
      <w:r w:rsidRPr="007E4DA1">
        <w:rPr>
          <w:b/>
        </w:rPr>
        <w:t>Zwiększone ryzyko zakrzepów</w:t>
      </w:r>
    </w:p>
    <w:p w14:paraId="20B40722" w14:textId="724417A4" w:rsidR="00A350DA" w:rsidRPr="007E4DA1" w:rsidRDefault="00A350DA" w:rsidP="00DE1596">
      <w:pPr>
        <w:ind w:left="0" w:firstLine="0"/>
      </w:pPr>
      <w:r w:rsidRPr="007E4DA1">
        <w:t>U niektórych pacjentów może wystąpić zwiększone ryzyko zakrzepów, a leki takie jak Revolade mogą to nasilić. Nagłe zablokowanie naczynia krwionośnego przez zakrzep jest niezbyt częstym działaniem niepożądanym i może wystąpić u nie więcej niż 1 na 100 pacjentów.</w:t>
      </w:r>
    </w:p>
    <w:p w14:paraId="358265BD" w14:textId="77777777" w:rsidR="00A350DA" w:rsidRPr="007E4DA1" w:rsidRDefault="00A350DA" w:rsidP="00DE1596">
      <w:pPr>
        <w:ind w:left="0" w:firstLine="0"/>
      </w:pPr>
    </w:p>
    <w:p w14:paraId="030E7D36" w14:textId="77777777" w:rsidR="00041A08" w:rsidRPr="00041A08" w:rsidRDefault="00665357" w:rsidP="00DE1596">
      <w:pPr>
        <w:keepNext/>
        <w:ind w:left="0" w:firstLine="0"/>
      </w:pPr>
      <w:r w:rsidRPr="007E4DA1">
        <w:rPr>
          <w:b/>
          <w:noProof/>
          <w:lang w:val="en-US" w:eastAsia="en-US"/>
        </w:rPr>
        <w:drawing>
          <wp:inline distT="0" distB="0" distL="0" distR="0" wp14:anchorId="5B25D403" wp14:editId="554350A1">
            <wp:extent cx="238760" cy="246380"/>
            <wp:effectExtent l="0" t="0" r="0" b="0"/>
            <wp:docPr id="6" name="Picture 15"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triangl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6B41F5" w:rsidRPr="007E4DA1">
        <w:rPr>
          <w:b/>
        </w:rPr>
        <w:t xml:space="preserve"> Należy uzyskać natychmiastową pomoc lekarską, j</w:t>
      </w:r>
      <w:r w:rsidR="00A350DA" w:rsidRPr="007E4DA1">
        <w:rPr>
          <w:b/>
        </w:rPr>
        <w:t>eśli u pacjenta wystąpią objawy zakrzepu takie jak:</w:t>
      </w:r>
    </w:p>
    <w:p w14:paraId="382D8D92" w14:textId="2EE0D9C1" w:rsidR="00A350DA" w:rsidRPr="007E4DA1" w:rsidRDefault="00A350DA" w:rsidP="00DE1596">
      <w:pPr>
        <w:pStyle w:val="Bulletindent"/>
        <w:keepNext/>
        <w:numPr>
          <w:ilvl w:val="0"/>
          <w:numId w:val="24"/>
        </w:numPr>
        <w:tabs>
          <w:tab w:val="clear" w:pos="567"/>
          <w:tab w:val="clear" w:pos="851"/>
        </w:tabs>
        <w:spacing w:before="0" w:line="240" w:lineRule="auto"/>
        <w:ind w:left="567" w:hanging="567"/>
        <w:rPr>
          <w:noProof w:val="0"/>
          <w:lang w:val="pl-PL"/>
        </w:rPr>
      </w:pPr>
      <w:r w:rsidRPr="007E4DA1">
        <w:rPr>
          <w:b/>
          <w:noProof w:val="0"/>
          <w:lang w:val="pl-PL"/>
        </w:rPr>
        <w:t>obrzęk, ból</w:t>
      </w:r>
      <w:r w:rsidR="006B41F5" w:rsidRPr="007E4DA1">
        <w:rPr>
          <w:b/>
          <w:noProof w:val="0"/>
          <w:lang w:val="pl-PL"/>
        </w:rPr>
        <w:t>,</w:t>
      </w:r>
      <w:r w:rsidRPr="007E4DA1">
        <w:rPr>
          <w:noProof w:val="0"/>
          <w:lang w:val="pl-PL"/>
        </w:rPr>
        <w:t xml:space="preserve"> </w:t>
      </w:r>
      <w:r w:rsidR="006B41F5" w:rsidRPr="007E4DA1">
        <w:rPr>
          <w:b/>
          <w:noProof w:val="0"/>
          <w:lang w:val="pl-PL"/>
        </w:rPr>
        <w:t>uczucie gorąca, zaczerwienienie</w:t>
      </w:r>
      <w:r w:rsidR="006B41F5" w:rsidRPr="007E4DA1">
        <w:rPr>
          <w:noProof w:val="0"/>
          <w:lang w:val="pl-PL"/>
        </w:rPr>
        <w:t xml:space="preserve"> </w:t>
      </w:r>
      <w:r w:rsidRPr="007E4DA1">
        <w:rPr>
          <w:noProof w:val="0"/>
          <w:lang w:val="pl-PL"/>
        </w:rPr>
        <w:t xml:space="preserve">lub bolesność uciskowa </w:t>
      </w:r>
      <w:r w:rsidRPr="007E4DA1">
        <w:rPr>
          <w:b/>
          <w:noProof w:val="0"/>
          <w:lang w:val="pl-PL"/>
        </w:rPr>
        <w:t>jednej nogi</w:t>
      </w:r>
    </w:p>
    <w:p w14:paraId="469CE617" w14:textId="77777777" w:rsidR="00A350DA" w:rsidRPr="007E4DA1" w:rsidRDefault="00A350DA" w:rsidP="00DE1596">
      <w:pPr>
        <w:pStyle w:val="Bulletindent"/>
        <w:keepNext/>
        <w:numPr>
          <w:ilvl w:val="0"/>
          <w:numId w:val="24"/>
        </w:numPr>
        <w:tabs>
          <w:tab w:val="clear" w:pos="567"/>
          <w:tab w:val="clear" w:pos="851"/>
        </w:tabs>
        <w:spacing w:before="0" w:line="240" w:lineRule="auto"/>
        <w:ind w:left="567" w:hanging="567"/>
        <w:rPr>
          <w:noProof w:val="0"/>
          <w:lang w:val="pl-PL"/>
        </w:rPr>
      </w:pPr>
      <w:r w:rsidRPr="007E4DA1">
        <w:rPr>
          <w:b/>
          <w:noProof w:val="0"/>
          <w:lang w:val="pl-PL"/>
        </w:rPr>
        <w:t>nagłe skrócenie oddechu</w:t>
      </w:r>
      <w:r w:rsidRPr="007E4DA1">
        <w:rPr>
          <w:noProof w:val="0"/>
          <w:lang w:val="pl-PL"/>
        </w:rPr>
        <w:t>, szczególnie z ostrym bólem w klatce piersiowej lub przyspieszeniem oddechu</w:t>
      </w:r>
    </w:p>
    <w:p w14:paraId="0C33E836" w14:textId="77777777" w:rsidR="00A350DA" w:rsidRPr="007E4DA1" w:rsidRDefault="00A350DA" w:rsidP="00DE1596">
      <w:pPr>
        <w:pStyle w:val="Bulletindent"/>
        <w:numPr>
          <w:ilvl w:val="0"/>
          <w:numId w:val="24"/>
        </w:numPr>
        <w:tabs>
          <w:tab w:val="clear" w:pos="567"/>
          <w:tab w:val="clear" w:pos="851"/>
        </w:tabs>
        <w:spacing w:before="0" w:line="240" w:lineRule="auto"/>
        <w:ind w:left="567" w:hanging="567"/>
        <w:rPr>
          <w:noProof w:val="0"/>
          <w:lang w:val="pl-PL"/>
        </w:rPr>
      </w:pPr>
      <w:r w:rsidRPr="007E4DA1">
        <w:rPr>
          <w:noProof w:val="0"/>
          <w:lang w:val="pl-PL"/>
        </w:rPr>
        <w:t>ból brzucha (żołądka), powiększenie brzucha, krew w stolcu</w:t>
      </w:r>
      <w:r w:rsidR="003106E7" w:rsidRPr="007E4DA1">
        <w:rPr>
          <w:noProof w:val="0"/>
          <w:lang w:val="pl-PL"/>
        </w:rPr>
        <w:t>.</w:t>
      </w:r>
    </w:p>
    <w:p w14:paraId="3E6009A7" w14:textId="77777777" w:rsidR="00A350DA" w:rsidRPr="007E4DA1" w:rsidRDefault="00A350DA" w:rsidP="00DE1596">
      <w:pPr>
        <w:ind w:left="0" w:firstLine="0"/>
      </w:pPr>
    </w:p>
    <w:p w14:paraId="618C23DC" w14:textId="77777777" w:rsidR="00041A08" w:rsidRPr="00041A08" w:rsidRDefault="00A350DA" w:rsidP="00DE1596">
      <w:pPr>
        <w:keepNext/>
        <w:ind w:left="0" w:firstLine="0"/>
      </w:pPr>
      <w:r w:rsidRPr="007E4DA1">
        <w:rPr>
          <w:b/>
        </w:rPr>
        <w:t>Zaburzenia wątroby</w:t>
      </w:r>
    </w:p>
    <w:p w14:paraId="2D9C247F" w14:textId="5DE627A7" w:rsidR="00A350DA" w:rsidRPr="007E4DA1" w:rsidRDefault="00A350DA" w:rsidP="00DE1596">
      <w:pPr>
        <w:ind w:left="0" w:firstLine="0"/>
      </w:pPr>
      <w:r w:rsidRPr="007E4DA1">
        <w:t xml:space="preserve">Lek Revolade może wywołać zmiany, widoczne w wynikach badań krwi, które mogą być objawami uszkodzenia wątroby. Zaburzenia wątroby </w:t>
      </w:r>
      <w:r w:rsidR="006B41F5" w:rsidRPr="007E4DA1">
        <w:t xml:space="preserve">(zwiększenie </w:t>
      </w:r>
      <w:r w:rsidR="00135549" w:rsidRPr="007E4DA1">
        <w:t>aktywności</w:t>
      </w:r>
      <w:r w:rsidR="006B41F5" w:rsidRPr="007E4DA1">
        <w:t xml:space="preserve"> enzymów w wynikach badań krwi) są</w:t>
      </w:r>
      <w:r w:rsidRPr="007E4DA1">
        <w:t xml:space="preserve"> częst</w:t>
      </w:r>
      <w:r w:rsidR="006B41F5" w:rsidRPr="007E4DA1">
        <w:t>e</w:t>
      </w:r>
      <w:r w:rsidRPr="007E4DA1">
        <w:t xml:space="preserve"> i mogą dotyczyć nie więcej niż 1 na 10 pacjentów. </w:t>
      </w:r>
      <w:r w:rsidR="006B41F5" w:rsidRPr="007E4DA1">
        <w:t>Inne p</w:t>
      </w:r>
      <w:r w:rsidRPr="007E4DA1">
        <w:t xml:space="preserve">roblemy z wątrobą </w:t>
      </w:r>
      <w:r w:rsidR="006B41F5" w:rsidRPr="007E4DA1">
        <w:t>są</w:t>
      </w:r>
      <w:r w:rsidRPr="007E4DA1">
        <w:t xml:space="preserve"> niezbyt częst</w:t>
      </w:r>
      <w:r w:rsidR="006B41F5" w:rsidRPr="007E4DA1">
        <w:t>e</w:t>
      </w:r>
      <w:r w:rsidRPr="007E4DA1">
        <w:t xml:space="preserve"> i mogą dotyczyć nie więcej niż 1 na 100 pacjentów.</w:t>
      </w:r>
    </w:p>
    <w:p w14:paraId="5A30E185" w14:textId="77777777" w:rsidR="00A350DA" w:rsidRPr="007E4DA1" w:rsidRDefault="00A350DA" w:rsidP="00DE1596">
      <w:pPr>
        <w:ind w:left="0" w:firstLine="0"/>
      </w:pPr>
    </w:p>
    <w:p w14:paraId="20488CCD" w14:textId="77777777" w:rsidR="00A350DA" w:rsidRPr="007E4DA1" w:rsidRDefault="006E3C09" w:rsidP="00DE1596">
      <w:pPr>
        <w:keepNext/>
      </w:pPr>
      <w:r w:rsidRPr="007E4DA1">
        <w:t>J</w:t>
      </w:r>
      <w:r w:rsidR="00A350DA" w:rsidRPr="007E4DA1">
        <w:t xml:space="preserve">eśli wystąpią </w:t>
      </w:r>
      <w:r w:rsidRPr="007E4DA1">
        <w:t>które</w:t>
      </w:r>
      <w:r w:rsidR="00A350DA" w:rsidRPr="007E4DA1">
        <w:t xml:space="preserve">kolwiek </w:t>
      </w:r>
      <w:r w:rsidRPr="007E4DA1">
        <w:t xml:space="preserve">z wymienionych </w:t>
      </w:r>
      <w:r w:rsidR="00A350DA" w:rsidRPr="007E4DA1">
        <w:t>objaw</w:t>
      </w:r>
      <w:r w:rsidRPr="007E4DA1">
        <w:t>ów</w:t>
      </w:r>
      <w:r w:rsidR="00A350DA" w:rsidRPr="007E4DA1">
        <w:t xml:space="preserve"> zaburzeń wątroby:</w:t>
      </w:r>
    </w:p>
    <w:p w14:paraId="1A4E5404" w14:textId="4B4F14AF" w:rsidR="00A350DA" w:rsidRPr="007E4DA1" w:rsidRDefault="00A350DA" w:rsidP="00DE1596">
      <w:pPr>
        <w:keepNext/>
        <w:numPr>
          <w:ilvl w:val="0"/>
          <w:numId w:val="25"/>
        </w:numPr>
        <w:ind w:left="567" w:hanging="567"/>
      </w:pPr>
      <w:r w:rsidRPr="007E4DA1">
        <w:rPr>
          <w:b/>
        </w:rPr>
        <w:t>zażółcenie</w:t>
      </w:r>
      <w:r w:rsidRPr="007E4DA1">
        <w:t xml:space="preserve"> skóry lub białk</w:t>
      </w:r>
      <w:r w:rsidR="005A14BB" w:rsidRPr="007E4DA1">
        <w:t>ówek</w:t>
      </w:r>
      <w:r w:rsidRPr="007E4DA1">
        <w:t xml:space="preserve"> oczu (żółtaczka)</w:t>
      </w:r>
    </w:p>
    <w:p w14:paraId="49F9D221" w14:textId="77777777" w:rsidR="00A350DA" w:rsidRPr="007E4DA1" w:rsidRDefault="006E3C09" w:rsidP="00DE1596">
      <w:pPr>
        <w:numPr>
          <w:ilvl w:val="0"/>
          <w:numId w:val="25"/>
        </w:numPr>
        <w:ind w:left="567" w:hanging="567"/>
      </w:pPr>
      <w:r w:rsidRPr="007E4DA1">
        <w:t xml:space="preserve">nieprawidłowo </w:t>
      </w:r>
      <w:r w:rsidR="00A350DA" w:rsidRPr="007E4DA1">
        <w:rPr>
          <w:b/>
        </w:rPr>
        <w:t>ciemn</w:t>
      </w:r>
      <w:r w:rsidRPr="007E4DA1">
        <w:rPr>
          <w:b/>
        </w:rPr>
        <w:t>e</w:t>
      </w:r>
      <w:r w:rsidR="00A350DA" w:rsidRPr="007E4DA1">
        <w:rPr>
          <w:b/>
        </w:rPr>
        <w:t xml:space="preserve"> zabarwienie moczu</w:t>
      </w:r>
    </w:p>
    <w:p w14:paraId="0FFF0A11" w14:textId="77777777" w:rsidR="006E3C09" w:rsidRPr="007E4DA1" w:rsidRDefault="006E3C09" w:rsidP="00DE1596">
      <w:pPr>
        <w:numPr>
          <w:ilvl w:val="0"/>
          <w:numId w:val="13"/>
        </w:numPr>
        <w:ind w:left="567" w:hanging="567"/>
      </w:pPr>
      <w:r w:rsidRPr="007E4DA1">
        <w:rPr>
          <w:b/>
        </w:rPr>
        <w:t>należy natychmiast powiedzieć lekarzowi</w:t>
      </w:r>
      <w:r w:rsidRPr="007E4DA1">
        <w:t>.</w:t>
      </w:r>
    </w:p>
    <w:p w14:paraId="4631EBFE" w14:textId="77777777" w:rsidR="00A350DA" w:rsidRPr="007E4DA1" w:rsidRDefault="00A350DA" w:rsidP="00DE1596"/>
    <w:p w14:paraId="741D76B4" w14:textId="77777777" w:rsidR="00041A08" w:rsidRPr="00041A08" w:rsidRDefault="00A350DA" w:rsidP="00DE1596">
      <w:pPr>
        <w:keepNext/>
      </w:pPr>
      <w:r w:rsidRPr="007E4DA1">
        <w:rPr>
          <w:b/>
        </w:rPr>
        <w:t>Krwawienie lub siniaczenie po przerwaniu leczenia</w:t>
      </w:r>
    </w:p>
    <w:p w14:paraId="572518E8" w14:textId="584898DF" w:rsidR="00A350DA" w:rsidRPr="007E4DA1" w:rsidRDefault="00A350DA" w:rsidP="00DE1596">
      <w:pPr>
        <w:ind w:left="0" w:firstLine="0"/>
      </w:pPr>
      <w:r w:rsidRPr="007E4DA1">
        <w:t>Zazwyczaj w ciągu dwóch tygodni od przerwania stosowania leku Revolade liczba płytek krwi u pacjenta zmniejsza się do poziomu sprzed rozpoczęcia stosowania leku Revolade. Mała liczba płytek krwi może zwiększyć ryzyko krwawienia lub siniaczenia. Lekarz będzie kontrolował liczbę płytek krwi u pacjenta przez co najmniej 4</w:t>
      </w:r>
      <w:r w:rsidR="003106E7" w:rsidRPr="007E4DA1">
        <w:t> </w:t>
      </w:r>
      <w:r w:rsidRPr="007E4DA1">
        <w:t>tygodnie po przerwaniu stosowania leku Revolade.</w:t>
      </w:r>
    </w:p>
    <w:p w14:paraId="453957D8" w14:textId="77777777" w:rsidR="006E3C09" w:rsidRPr="007E4DA1" w:rsidRDefault="006E3C09" w:rsidP="00DE1596">
      <w:pPr>
        <w:numPr>
          <w:ilvl w:val="0"/>
          <w:numId w:val="5"/>
        </w:numPr>
        <w:tabs>
          <w:tab w:val="clear" w:pos="720"/>
        </w:tabs>
        <w:ind w:left="567" w:hanging="567"/>
      </w:pPr>
      <w:r w:rsidRPr="007E4DA1">
        <w:rPr>
          <w:b/>
          <w:szCs w:val="22"/>
        </w:rPr>
        <w:t xml:space="preserve">Należy poinformować lekarza, </w:t>
      </w:r>
      <w:r w:rsidRPr="007E4DA1">
        <w:rPr>
          <w:szCs w:val="22"/>
        </w:rPr>
        <w:t>jeśli po przerwaniu stosowania leku Revolade wystąpią u pacjenta siniaki lub krwawienie.</w:t>
      </w:r>
    </w:p>
    <w:p w14:paraId="43EBD1F6" w14:textId="77777777" w:rsidR="00A350DA" w:rsidRPr="007E4DA1" w:rsidRDefault="00A350DA" w:rsidP="00DE1596">
      <w:pPr>
        <w:ind w:left="0" w:firstLine="0"/>
      </w:pPr>
    </w:p>
    <w:p w14:paraId="48E291B3" w14:textId="77777777" w:rsidR="00A350DA" w:rsidRPr="007E4DA1" w:rsidRDefault="00A350DA" w:rsidP="00DE1596">
      <w:pPr>
        <w:keepNext/>
        <w:ind w:left="0" w:firstLine="0"/>
      </w:pPr>
      <w:r w:rsidRPr="007E4DA1">
        <w:t xml:space="preserve">U niektórych pacjentów </w:t>
      </w:r>
      <w:r w:rsidR="00763808" w:rsidRPr="007E4DA1">
        <w:t>występują</w:t>
      </w:r>
      <w:r w:rsidRPr="007E4DA1">
        <w:t xml:space="preserve"> </w:t>
      </w:r>
      <w:r w:rsidRPr="007E4DA1">
        <w:rPr>
          <w:b/>
        </w:rPr>
        <w:t>krwawieni</w:t>
      </w:r>
      <w:r w:rsidR="00763808" w:rsidRPr="007E4DA1">
        <w:rPr>
          <w:b/>
        </w:rPr>
        <w:t>a</w:t>
      </w:r>
      <w:r w:rsidRPr="007E4DA1">
        <w:rPr>
          <w:b/>
        </w:rPr>
        <w:t xml:space="preserve"> z przewodu pokarmowego</w:t>
      </w:r>
      <w:r w:rsidRPr="007E4DA1">
        <w:t xml:space="preserve"> po zaprzestaniu stosowania peginterferonu, rybawiryny i leku Revolade. </w:t>
      </w:r>
      <w:r w:rsidR="00763808" w:rsidRPr="007E4DA1">
        <w:t>Objawami są</w:t>
      </w:r>
      <w:r w:rsidRPr="007E4DA1">
        <w:t>:</w:t>
      </w:r>
    </w:p>
    <w:p w14:paraId="36FC56DF" w14:textId="77777777" w:rsidR="00A350DA" w:rsidRPr="007E4DA1" w:rsidRDefault="00A350DA" w:rsidP="00DE1596">
      <w:pPr>
        <w:keepNext/>
        <w:numPr>
          <w:ilvl w:val="0"/>
          <w:numId w:val="26"/>
        </w:numPr>
        <w:ind w:left="567" w:hanging="567"/>
      </w:pPr>
      <w:r w:rsidRPr="007E4DA1">
        <w:t>czarne, smoliste stolce (zmian</w:t>
      </w:r>
      <w:r w:rsidR="00763808" w:rsidRPr="007E4DA1">
        <w:t>y</w:t>
      </w:r>
      <w:r w:rsidRPr="007E4DA1">
        <w:t xml:space="preserve"> zabarwienia stolca </w:t>
      </w:r>
      <w:r w:rsidR="00763808" w:rsidRPr="007E4DA1">
        <w:t>są</w:t>
      </w:r>
      <w:r w:rsidRPr="007E4DA1">
        <w:t xml:space="preserve"> niezbyt częstym działaniem niepożądanym</w:t>
      </w:r>
      <w:r w:rsidR="00763808" w:rsidRPr="007E4DA1">
        <w:t>, któr</w:t>
      </w:r>
      <w:r w:rsidR="0006656D" w:rsidRPr="007E4DA1">
        <w:t>y</w:t>
      </w:r>
      <w:r w:rsidR="00763808" w:rsidRPr="007E4DA1">
        <w:t xml:space="preserve"> </w:t>
      </w:r>
      <w:r w:rsidRPr="007E4DA1">
        <w:t>może dotyczyć nie więcej niż 1 na 100</w:t>
      </w:r>
      <w:r w:rsidR="003106E7" w:rsidRPr="007E4DA1">
        <w:t> </w:t>
      </w:r>
      <w:r w:rsidRPr="007E4DA1">
        <w:t>pacjentów)</w:t>
      </w:r>
    </w:p>
    <w:p w14:paraId="099D707F" w14:textId="77777777" w:rsidR="00A350DA" w:rsidRPr="007E4DA1" w:rsidRDefault="00A350DA" w:rsidP="00DE1596">
      <w:pPr>
        <w:keepNext/>
        <w:numPr>
          <w:ilvl w:val="0"/>
          <w:numId w:val="26"/>
        </w:numPr>
        <w:ind w:left="567" w:hanging="567"/>
      </w:pPr>
      <w:r w:rsidRPr="007E4DA1">
        <w:t>krew w stolcu</w:t>
      </w:r>
    </w:p>
    <w:p w14:paraId="77F1768D" w14:textId="77777777" w:rsidR="00A350DA" w:rsidRPr="007E4DA1" w:rsidRDefault="00A350DA" w:rsidP="00DE1596">
      <w:pPr>
        <w:keepNext/>
        <w:numPr>
          <w:ilvl w:val="0"/>
          <w:numId w:val="26"/>
        </w:numPr>
        <w:ind w:left="567" w:hanging="567"/>
      </w:pPr>
      <w:r w:rsidRPr="007E4DA1">
        <w:t>wymiot</w:t>
      </w:r>
      <w:r w:rsidR="00763808" w:rsidRPr="007E4DA1">
        <w:t>y</w:t>
      </w:r>
      <w:r w:rsidRPr="007E4DA1">
        <w:t xml:space="preserve"> krwią lub treścią przypominającą fusy kawowe</w:t>
      </w:r>
    </w:p>
    <w:p w14:paraId="055DE4D4" w14:textId="77777777" w:rsidR="00A350DA" w:rsidRPr="007E4DA1" w:rsidRDefault="00763808" w:rsidP="00DE1596">
      <w:pPr>
        <w:numPr>
          <w:ilvl w:val="0"/>
          <w:numId w:val="5"/>
        </w:numPr>
        <w:tabs>
          <w:tab w:val="clear" w:pos="720"/>
        </w:tabs>
        <w:ind w:left="567" w:hanging="567"/>
      </w:pPr>
      <w:r w:rsidRPr="007E4DA1">
        <w:rPr>
          <w:b/>
        </w:rPr>
        <w:t xml:space="preserve">Należy natychmiast powiedzieć lekarzowi, </w:t>
      </w:r>
      <w:r w:rsidRPr="007E4DA1">
        <w:t>jeśli wystąpią jakiekolwiek z wymienionych objawów.</w:t>
      </w:r>
    </w:p>
    <w:p w14:paraId="7E20582D" w14:textId="77777777" w:rsidR="00A350DA" w:rsidRPr="007E4DA1" w:rsidRDefault="00A350DA" w:rsidP="00DE1596">
      <w:pPr>
        <w:ind w:left="0" w:firstLine="0"/>
      </w:pPr>
    </w:p>
    <w:p w14:paraId="5C409B01" w14:textId="77777777" w:rsidR="00041A08" w:rsidRPr="00041A08" w:rsidRDefault="0048571C" w:rsidP="00DE1596">
      <w:pPr>
        <w:keepNext/>
        <w:ind w:left="0" w:firstLine="0"/>
      </w:pPr>
      <w:r w:rsidRPr="007E4DA1">
        <w:rPr>
          <w:b/>
        </w:rPr>
        <w:t>Następujące działania niepożądane były zgłaszane jako związane z leczeniem lekiem Revolade</w:t>
      </w:r>
      <w:r w:rsidR="000C5C0A" w:rsidRPr="007E4DA1">
        <w:rPr>
          <w:b/>
        </w:rPr>
        <w:t xml:space="preserve"> </w:t>
      </w:r>
      <w:r w:rsidR="00A350DA" w:rsidRPr="007E4DA1">
        <w:rPr>
          <w:b/>
        </w:rPr>
        <w:t xml:space="preserve">u </w:t>
      </w:r>
      <w:r w:rsidR="00763808" w:rsidRPr="007E4DA1">
        <w:rPr>
          <w:b/>
        </w:rPr>
        <w:t>dorosłych</w:t>
      </w:r>
      <w:r w:rsidR="00A350DA" w:rsidRPr="007E4DA1">
        <w:rPr>
          <w:b/>
        </w:rPr>
        <w:t xml:space="preserve"> </w:t>
      </w:r>
      <w:r w:rsidRPr="007E4DA1">
        <w:rPr>
          <w:b/>
        </w:rPr>
        <w:t xml:space="preserve">pacjentów </w:t>
      </w:r>
      <w:r w:rsidR="00A350DA" w:rsidRPr="007E4DA1">
        <w:rPr>
          <w:b/>
        </w:rPr>
        <w:t>z pierwotną małopłytkowością immunologiczną</w:t>
      </w:r>
      <w:r w:rsidRPr="007E4DA1">
        <w:rPr>
          <w:b/>
        </w:rPr>
        <w:t>:</w:t>
      </w:r>
    </w:p>
    <w:p w14:paraId="709428E5" w14:textId="295FD379" w:rsidR="00A350DA" w:rsidRPr="007E4DA1" w:rsidRDefault="00A350DA" w:rsidP="00DE1596">
      <w:pPr>
        <w:keepNext/>
      </w:pPr>
    </w:p>
    <w:p w14:paraId="225DF66B" w14:textId="77777777" w:rsidR="00041A08" w:rsidRPr="00041A08" w:rsidRDefault="0048571C" w:rsidP="00DE1596">
      <w:pPr>
        <w:keepNext/>
        <w:rPr>
          <w:szCs w:val="22"/>
        </w:rPr>
      </w:pPr>
      <w:r w:rsidRPr="007E4DA1">
        <w:rPr>
          <w:b/>
          <w:szCs w:val="22"/>
        </w:rPr>
        <w:t>Bardzo częste działania niepożądane</w:t>
      </w:r>
    </w:p>
    <w:p w14:paraId="1CC98510" w14:textId="35874B3B" w:rsidR="0048571C" w:rsidRPr="007E4DA1" w:rsidRDefault="0048571C" w:rsidP="00DE1596">
      <w:pPr>
        <w:keepNext/>
        <w:rPr>
          <w:szCs w:val="22"/>
        </w:rPr>
      </w:pPr>
      <w:r w:rsidRPr="007E4DA1">
        <w:rPr>
          <w:szCs w:val="22"/>
        </w:rPr>
        <w:t xml:space="preserve">Mogą wystąpić </w:t>
      </w:r>
      <w:r w:rsidRPr="007E4DA1">
        <w:rPr>
          <w:b/>
          <w:szCs w:val="22"/>
        </w:rPr>
        <w:t>częściej niż u 1 na 10 </w:t>
      </w:r>
      <w:r w:rsidRPr="007E4DA1">
        <w:rPr>
          <w:szCs w:val="22"/>
        </w:rPr>
        <w:t>pacjentów:</w:t>
      </w:r>
    </w:p>
    <w:p w14:paraId="7A027347"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przeziębienie</w:t>
      </w:r>
    </w:p>
    <w:p w14:paraId="4B0D5B09"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nudności</w:t>
      </w:r>
    </w:p>
    <w:p w14:paraId="5A6A4601"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biegunka</w:t>
      </w:r>
    </w:p>
    <w:p w14:paraId="3A0C771F" w14:textId="77777777" w:rsidR="0048571C" w:rsidRPr="007E4DA1" w:rsidRDefault="0048571C" w:rsidP="00DE1596">
      <w:pPr>
        <w:pStyle w:val="listdashnospace"/>
        <w:numPr>
          <w:ilvl w:val="0"/>
          <w:numId w:val="65"/>
        </w:numPr>
        <w:tabs>
          <w:tab w:val="clear" w:pos="709"/>
          <w:tab w:val="num" w:pos="540"/>
        </w:tabs>
        <w:ind w:left="567"/>
        <w:rPr>
          <w:sz w:val="22"/>
          <w:szCs w:val="22"/>
          <w:lang w:val="pl-PL"/>
        </w:rPr>
      </w:pPr>
      <w:r w:rsidRPr="007E4DA1">
        <w:rPr>
          <w:sz w:val="22"/>
          <w:szCs w:val="22"/>
          <w:lang w:val="pl-PL"/>
        </w:rPr>
        <w:t>kaszel</w:t>
      </w:r>
    </w:p>
    <w:p w14:paraId="0B42A32D" w14:textId="33D95C96"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zakażenie nosa, zatok, gardła i górnych dróg oddechowych (zakażenie górnych dróg oddechowych)</w:t>
      </w:r>
    </w:p>
    <w:p w14:paraId="167AB0B2" w14:textId="77777777" w:rsidR="004F25EC" w:rsidRPr="007E4DA1" w:rsidRDefault="004F25EC" w:rsidP="00DE1596">
      <w:pPr>
        <w:pStyle w:val="listdashnospace"/>
        <w:numPr>
          <w:ilvl w:val="0"/>
          <w:numId w:val="65"/>
        </w:numPr>
        <w:tabs>
          <w:tab w:val="clear" w:pos="709"/>
        </w:tabs>
        <w:ind w:left="567"/>
        <w:rPr>
          <w:sz w:val="22"/>
          <w:szCs w:val="22"/>
          <w:lang w:val="pl-PL"/>
        </w:rPr>
      </w:pPr>
      <w:r w:rsidRPr="007E4DA1">
        <w:rPr>
          <w:sz w:val="22"/>
          <w:szCs w:val="22"/>
          <w:lang w:val="pl-PL"/>
        </w:rPr>
        <w:t>ból pleców</w:t>
      </w:r>
    </w:p>
    <w:p w14:paraId="7BD94ABE" w14:textId="77777777" w:rsidR="0048571C" w:rsidRPr="007E4DA1" w:rsidRDefault="0048571C" w:rsidP="00DE1596">
      <w:pPr>
        <w:pStyle w:val="listdashnospace"/>
        <w:numPr>
          <w:ilvl w:val="0"/>
          <w:numId w:val="0"/>
        </w:numPr>
        <w:rPr>
          <w:sz w:val="22"/>
          <w:szCs w:val="22"/>
          <w:lang w:val="pl-PL"/>
        </w:rPr>
      </w:pPr>
    </w:p>
    <w:p w14:paraId="20C1CCDF" w14:textId="77777777" w:rsidR="00041A08" w:rsidRPr="00041A08" w:rsidRDefault="0048571C" w:rsidP="00DE1596">
      <w:pPr>
        <w:pStyle w:val="listdashnospace"/>
        <w:keepNext/>
        <w:numPr>
          <w:ilvl w:val="0"/>
          <w:numId w:val="0"/>
        </w:numPr>
        <w:rPr>
          <w:sz w:val="22"/>
          <w:szCs w:val="22"/>
          <w:lang w:val="pl-PL"/>
        </w:rPr>
      </w:pPr>
      <w:r w:rsidRPr="007E4DA1">
        <w:rPr>
          <w:b/>
          <w:sz w:val="22"/>
          <w:szCs w:val="22"/>
          <w:lang w:val="pl-PL"/>
        </w:rPr>
        <w:t>Bardzo częste działania niepożądane, które mogą ujawnić się w badaniach krwi:</w:t>
      </w:r>
    </w:p>
    <w:p w14:paraId="7EAD4528" w14:textId="4191A8B2" w:rsidR="0048571C" w:rsidRPr="007E4DA1" w:rsidRDefault="0048571C" w:rsidP="00DE1596">
      <w:pPr>
        <w:pStyle w:val="listdashnospace"/>
        <w:numPr>
          <w:ilvl w:val="0"/>
          <w:numId w:val="75"/>
        </w:numPr>
        <w:ind w:left="567" w:hanging="567"/>
        <w:rPr>
          <w:sz w:val="22"/>
          <w:szCs w:val="22"/>
          <w:lang w:val="pl-PL"/>
        </w:rPr>
      </w:pPr>
      <w:r w:rsidRPr="007E4DA1">
        <w:rPr>
          <w:sz w:val="22"/>
          <w:szCs w:val="22"/>
          <w:lang w:val="pl-PL"/>
        </w:rPr>
        <w:t>zwiększenie aktywności enzym</w:t>
      </w:r>
      <w:r w:rsidR="004D3758">
        <w:rPr>
          <w:sz w:val="22"/>
          <w:szCs w:val="22"/>
          <w:lang w:val="pl-PL"/>
        </w:rPr>
        <w:t>u</w:t>
      </w:r>
      <w:r w:rsidRPr="007E4DA1">
        <w:rPr>
          <w:sz w:val="22"/>
          <w:szCs w:val="22"/>
          <w:lang w:val="pl-PL"/>
        </w:rPr>
        <w:t xml:space="preserve"> wątrobow</w:t>
      </w:r>
      <w:r w:rsidR="004D3758">
        <w:rPr>
          <w:sz w:val="22"/>
          <w:szCs w:val="22"/>
          <w:lang w:val="pl-PL"/>
        </w:rPr>
        <w:t>ego</w:t>
      </w:r>
      <w:r w:rsidRPr="007E4DA1">
        <w:rPr>
          <w:sz w:val="22"/>
          <w:szCs w:val="22"/>
          <w:lang w:val="pl-PL"/>
        </w:rPr>
        <w:t xml:space="preserve"> aminotransferazy alaninowej (AlAT)</w:t>
      </w:r>
    </w:p>
    <w:p w14:paraId="58431D72" w14:textId="77777777" w:rsidR="0048571C" w:rsidRPr="007E4DA1" w:rsidRDefault="0048571C" w:rsidP="00DE1596">
      <w:pPr>
        <w:rPr>
          <w:szCs w:val="22"/>
        </w:rPr>
      </w:pPr>
    </w:p>
    <w:p w14:paraId="55F69E1A" w14:textId="77777777" w:rsidR="00041A08" w:rsidRPr="00041A08" w:rsidRDefault="0048571C" w:rsidP="00DE1596">
      <w:pPr>
        <w:keepNext/>
        <w:rPr>
          <w:szCs w:val="22"/>
        </w:rPr>
      </w:pPr>
      <w:r w:rsidRPr="007E4DA1">
        <w:rPr>
          <w:b/>
          <w:szCs w:val="22"/>
        </w:rPr>
        <w:t>Częste działania niepożądane</w:t>
      </w:r>
    </w:p>
    <w:p w14:paraId="62B92537" w14:textId="45DD4D98" w:rsidR="0048571C" w:rsidRPr="007E4DA1" w:rsidRDefault="0048571C" w:rsidP="00DE1596">
      <w:pPr>
        <w:keepNext/>
        <w:rPr>
          <w:szCs w:val="22"/>
        </w:rPr>
      </w:pPr>
      <w:r w:rsidRPr="007E4DA1">
        <w:rPr>
          <w:szCs w:val="22"/>
        </w:rPr>
        <w:t xml:space="preserve">Mogą wystąpić </w:t>
      </w:r>
      <w:r w:rsidRPr="007E4DA1">
        <w:rPr>
          <w:b/>
          <w:szCs w:val="22"/>
        </w:rPr>
        <w:t>nie częściej niż u 1 na 10 </w:t>
      </w:r>
      <w:r w:rsidRPr="007E4DA1">
        <w:rPr>
          <w:szCs w:val="22"/>
        </w:rPr>
        <w:t>pacjentów:</w:t>
      </w:r>
    </w:p>
    <w:p w14:paraId="73D59328"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ból mięśni, skurcze mięśni, osłabienie mięśni</w:t>
      </w:r>
    </w:p>
    <w:p w14:paraId="0F2318AC"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ból kości</w:t>
      </w:r>
    </w:p>
    <w:p w14:paraId="507633AF"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obfite krwawienie miesiączkowe</w:t>
      </w:r>
    </w:p>
    <w:p w14:paraId="61A99910"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 xml:space="preserve">ból gardła i uczucie dyskomfortu przy przełykaniu </w:t>
      </w:r>
    </w:p>
    <w:p w14:paraId="4261E882"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zaburzenia oczu, w tym nieprawidłowe wyniki badań oczu, suchość oczu, ból oka i niewyraźne widzenie</w:t>
      </w:r>
    </w:p>
    <w:p w14:paraId="41219A12"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wymioty</w:t>
      </w:r>
    </w:p>
    <w:p w14:paraId="41206C05"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grypa</w:t>
      </w:r>
    </w:p>
    <w:p w14:paraId="13DCE099"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opryszczka wargowa</w:t>
      </w:r>
    </w:p>
    <w:p w14:paraId="1BA10CD3"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zapalenie płuc</w:t>
      </w:r>
    </w:p>
    <w:p w14:paraId="0C75B9D2"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podrażnienie i zapalenie (obrzęk) zatok</w:t>
      </w:r>
    </w:p>
    <w:p w14:paraId="1B66657D" w14:textId="444D27C6" w:rsidR="004F25E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zapalenie (obrzęk) i zakażenie migdałków,</w:t>
      </w:r>
    </w:p>
    <w:p w14:paraId="425028BA" w14:textId="0413FB8F"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zakażenie płuc, zatok, nosa i gardła</w:t>
      </w:r>
    </w:p>
    <w:p w14:paraId="183749E1"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zapalenie tkanki dziąseł</w:t>
      </w:r>
    </w:p>
    <w:p w14:paraId="1C19FC34"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utrata apetytu</w:t>
      </w:r>
    </w:p>
    <w:p w14:paraId="2BED2AF6"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uczucie mrowienia, kłucia lub drętwienia</w:t>
      </w:r>
    </w:p>
    <w:p w14:paraId="4495F190" w14:textId="77777777" w:rsidR="004F25EC" w:rsidRPr="007E4DA1" w:rsidRDefault="004F25EC" w:rsidP="00DE1596">
      <w:pPr>
        <w:pStyle w:val="listdashnospace"/>
        <w:numPr>
          <w:ilvl w:val="0"/>
          <w:numId w:val="65"/>
        </w:numPr>
        <w:tabs>
          <w:tab w:val="clear" w:pos="709"/>
        </w:tabs>
        <w:ind w:left="567"/>
        <w:rPr>
          <w:sz w:val="22"/>
          <w:szCs w:val="22"/>
          <w:lang w:val="pl-PL"/>
        </w:rPr>
      </w:pPr>
      <w:r w:rsidRPr="007E4DA1">
        <w:rPr>
          <w:sz w:val="22"/>
          <w:szCs w:val="22"/>
          <w:lang w:val="pl-PL"/>
        </w:rPr>
        <w:t>osłabione czucie skórne</w:t>
      </w:r>
    </w:p>
    <w:p w14:paraId="4761051E"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senność</w:t>
      </w:r>
    </w:p>
    <w:p w14:paraId="700E27A3"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ból ucha</w:t>
      </w:r>
    </w:p>
    <w:p w14:paraId="6A138CF3"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ból, obrzęk i tkliwość jednej z nóg (zazwyczaj łydki z uciepleniem skóry w zmienionym miejscu (objawy zakrzepu w żyle głębokiej)</w:t>
      </w:r>
    </w:p>
    <w:p w14:paraId="0B13467C"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miejscowe obrzmienie wypełnione krwią z uszkodzonego naczynia krwionośnego (krwiak)</w:t>
      </w:r>
    </w:p>
    <w:p w14:paraId="7D83AE5A" w14:textId="0DA65EAA" w:rsidR="004F25EC" w:rsidRPr="007E4DA1" w:rsidRDefault="004F25EC" w:rsidP="00DE1596">
      <w:pPr>
        <w:pStyle w:val="listdashnospace"/>
        <w:numPr>
          <w:ilvl w:val="0"/>
          <w:numId w:val="65"/>
        </w:numPr>
        <w:tabs>
          <w:tab w:val="clear" w:pos="709"/>
        </w:tabs>
        <w:ind w:left="567"/>
        <w:rPr>
          <w:sz w:val="22"/>
          <w:szCs w:val="22"/>
          <w:lang w:val="pl-PL"/>
        </w:rPr>
      </w:pPr>
      <w:r w:rsidRPr="007E4DA1">
        <w:rPr>
          <w:sz w:val="22"/>
          <w:szCs w:val="22"/>
          <w:lang w:val="pl-PL"/>
        </w:rPr>
        <w:t>uderzenia gorąca</w:t>
      </w:r>
    </w:p>
    <w:p w14:paraId="3FC4B273"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zaburzenia w obrębie jamy ustnej, w tym suchość w ustach, ból w ustach, nadwrażliwość języka, krwawienie z dziąseł, wrzody w jamie ustnej</w:t>
      </w:r>
    </w:p>
    <w:p w14:paraId="77FEB413"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wodnista wydzielina z nosa</w:t>
      </w:r>
    </w:p>
    <w:p w14:paraId="014F35FE"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ból zęba</w:t>
      </w:r>
    </w:p>
    <w:p w14:paraId="56D6F2C4" w14:textId="428A5EB3" w:rsidR="0048571C" w:rsidRPr="007E4DA1" w:rsidRDefault="004F25EC" w:rsidP="00DE1596">
      <w:pPr>
        <w:pStyle w:val="listdashnospace"/>
        <w:numPr>
          <w:ilvl w:val="0"/>
          <w:numId w:val="65"/>
        </w:numPr>
        <w:tabs>
          <w:tab w:val="clear" w:pos="709"/>
        </w:tabs>
        <w:ind w:left="567"/>
        <w:rPr>
          <w:sz w:val="22"/>
          <w:szCs w:val="22"/>
          <w:lang w:val="pl-PL"/>
        </w:rPr>
      </w:pPr>
      <w:r w:rsidRPr="007E4DA1">
        <w:rPr>
          <w:sz w:val="22"/>
          <w:szCs w:val="22"/>
          <w:lang w:val="pl-PL"/>
        </w:rPr>
        <w:t>ból brzucha</w:t>
      </w:r>
    </w:p>
    <w:p w14:paraId="0F2C2A77" w14:textId="61BC7C41" w:rsidR="0048571C" w:rsidRPr="007E4DA1" w:rsidRDefault="004F25EC" w:rsidP="00DE1596">
      <w:pPr>
        <w:pStyle w:val="listdashnospace"/>
        <w:numPr>
          <w:ilvl w:val="0"/>
          <w:numId w:val="65"/>
        </w:numPr>
        <w:tabs>
          <w:tab w:val="clear" w:pos="709"/>
        </w:tabs>
        <w:ind w:left="567"/>
        <w:rPr>
          <w:sz w:val="22"/>
          <w:szCs w:val="22"/>
          <w:lang w:val="pl-PL"/>
        </w:rPr>
      </w:pPr>
      <w:r w:rsidRPr="007E4DA1">
        <w:rPr>
          <w:sz w:val="22"/>
          <w:szCs w:val="22"/>
          <w:lang w:val="pl-PL"/>
        </w:rPr>
        <w:t>nieprawidłow</w:t>
      </w:r>
      <w:r w:rsidR="005A14BB" w:rsidRPr="007E4DA1">
        <w:rPr>
          <w:sz w:val="22"/>
          <w:szCs w:val="22"/>
          <w:lang w:val="pl-PL"/>
        </w:rPr>
        <w:t>a czynność</w:t>
      </w:r>
      <w:r w:rsidRPr="007E4DA1">
        <w:rPr>
          <w:sz w:val="22"/>
          <w:szCs w:val="22"/>
          <w:lang w:val="pl-PL"/>
        </w:rPr>
        <w:t xml:space="preserve"> </w:t>
      </w:r>
      <w:r w:rsidR="0032696C" w:rsidRPr="007E4DA1">
        <w:rPr>
          <w:sz w:val="22"/>
          <w:szCs w:val="22"/>
          <w:lang w:val="pl-PL"/>
        </w:rPr>
        <w:t>wątroby</w:t>
      </w:r>
    </w:p>
    <w:p w14:paraId="2C65CD55"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zmiany skórne obejmujące: nadmierne pocenie się, wypukłą swędzącą wysypkę, czerwone plamki, zmiany wyglądu skóry</w:t>
      </w:r>
    </w:p>
    <w:p w14:paraId="5882EEE6"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wypadanie włosów</w:t>
      </w:r>
    </w:p>
    <w:p w14:paraId="3213D029"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oddawanie spienionego moczu z obecnością pęcherzyków powietrza (objawy obecności białka w moczu)</w:t>
      </w:r>
    </w:p>
    <w:p w14:paraId="3D25903C" w14:textId="16F7AACC"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wysoka temperatura ciała, uczucie gorąca</w:t>
      </w:r>
    </w:p>
    <w:p w14:paraId="651B1161"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ból w klatce piersiowej</w:t>
      </w:r>
    </w:p>
    <w:p w14:paraId="5A76B04C" w14:textId="77777777" w:rsidR="004F25EC" w:rsidRPr="007E4DA1" w:rsidRDefault="004F25EC" w:rsidP="00DE1596">
      <w:pPr>
        <w:pStyle w:val="listdashnospace"/>
        <w:numPr>
          <w:ilvl w:val="0"/>
          <w:numId w:val="65"/>
        </w:numPr>
        <w:tabs>
          <w:tab w:val="clear" w:pos="709"/>
        </w:tabs>
        <w:ind w:left="567"/>
        <w:rPr>
          <w:sz w:val="22"/>
          <w:szCs w:val="22"/>
          <w:lang w:val="pl-PL"/>
        </w:rPr>
      </w:pPr>
      <w:r w:rsidRPr="007E4DA1">
        <w:rPr>
          <w:sz w:val="22"/>
          <w:szCs w:val="22"/>
          <w:lang w:val="pl-PL"/>
        </w:rPr>
        <w:t>uczucie osłabienia</w:t>
      </w:r>
    </w:p>
    <w:p w14:paraId="16562955"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trudności ze snem, depresja</w:t>
      </w:r>
    </w:p>
    <w:p w14:paraId="027C4D91"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migrena</w:t>
      </w:r>
    </w:p>
    <w:p w14:paraId="75B8632D"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osłabienie widzenia</w:t>
      </w:r>
    </w:p>
    <w:p w14:paraId="3DC1BBB2"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uczucie wirowania (zawroty głowy)</w:t>
      </w:r>
    </w:p>
    <w:p w14:paraId="4C4A804B"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wiatry</w:t>
      </w:r>
    </w:p>
    <w:p w14:paraId="612894E9" w14:textId="77777777" w:rsidR="0048571C" w:rsidRPr="007E4DA1" w:rsidRDefault="0048571C" w:rsidP="00DE1596">
      <w:pPr>
        <w:pStyle w:val="listdashnospace"/>
        <w:numPr>
          <w:ilvl w:val="0"/>
          <w:numId w:val="0"/>
        </w:numPr>
        <w:rPr>
          <w:sz w:val="22"/>
          <w:szCs w:val="22"/>
          <w:lang w:val="pl-PL"/>
        </w:rPr>
      </w:pPr>
    </w:p>
    <w:p w14:paraId="633BEBBF" w14:textId="77777777" w:rsidR="00041A08" w:rsidRPr="00041A08" w:rsidRDefault="0048571C" w:rsidP="00DE1596">
      <w:pPr>
        <w:pStyle w:val="listdashnospace"/>
        <w:keepNext/>
        <w:numPr>
          <w:ilvl w:val="0"/>
          <w:numId w:val="0"/>
        </w:numPr>
        <w:rPr>
          <w:sz w:val="22"/>
          <w:szCs w:val="22"/>
          <w:lang w:val="pl-PL"/>
        </w:rPr>
      </w:pPr>
      <w:r w:rsidRPr="007E4DA1">
        <w:rPr>
          <w:b/>
          <w:sz w:val="22"/>
          <w:szCs w:val="22"/>
          <w:lang w:val="pl-PL"/>
        </w:rPr>
        <w:t>Częste działania niepożądane, które mogą ujawnić się w badaniach krwi:</w:t>
      </w:r>
    </w:p>
    <w:p w14:paraId="3FAE6C52" w14:textId="711C3C23"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zmniejszenie liczby krwinek czerwonych (niedokrwistość)</w:t>
      </w:r>
    </w:p>
    <w:p w14:paraId="217E4927"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zmniejszenie liczby płytek krwi (małopłytkowość)</w:t>
      </w:r>
    </w:p>
    <w:p w14:paraId="04C91BF6"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zmniejszenie liczby krwinek białych</w:t>
      </w:r>
    </w:p>
    <w:p w14:paraId="32426816"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zmniejszenie stężenia hemoglobiny</w:t>
      </w:r>
    </w:p>
    <w:p w14:paraId="389FE4EA" w14:textId="36601E24" w:rsidR="0048571C" w:rsidRPr="007E4DA1" w:rsidRDefault="004F25EC" w:rsidP="00DE1596">
      <w:pPr>
        <w:pStyle w:val="listdashnospace"/>
        <w:numPr>
          <w:ilvl w:val="0"/>
          <w:numId w:val="65"/>
        </w:numPr>
        <w:tabs>
          <w:tab w:val="clear" w:pos="709"/>
        </w:tabs>
        <w:ind w:left="567"/>
        <w:rPr>
          <w:sz w:val="22"/>
          <w:szCs w:val="22"/>
          <w:lang w:val="pl-PL"/>
        </w:rPr>
      </w:pPr>
      <w:r w:rsidRPr="007E4DA1">
        <w:rPr>
          <w:sz w:val="22"/>
          <w:szCs w:val="22"/>
          <w:lang w:val="pl-PL"/>
        </w:rPr>
        <w:t>zwiększenie</w:t>
      </w:r>
      <w:r w:rsidR="0048571C" w:rsidRPr="007E4DA1">
        <w:rPr>
          <w:sz w:val="22"/>
          <w:szCs w:val="22"/>
          <w:lang w:val="pl-PL"/>
        </w:rPr>
        <w:t xml:space="preserve"> liczby eozynofili</w:t>
      </w:r>
    </w:p>
    <w:p w14:paraId="691DC570"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zwiększenie liczby białych krwinek (leukocytoza)</w:t>
      </w:r>
    </w:p>
    <w:p w14:paraId="362C5120"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zwiększenie stężenia kwasu moczowego</w:t>
      </w:r>
    </w:p>
    <w:p w14:paraId="5D3100A1"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zmniejszenie stężenia potasu</w:t>
      </w:r>
    </w:p>
    <w:p w14:paraId="3BF20FAF"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zwiększenie stężenia kreatyniny</w:t>
      </w:r>
    </w:p>
    <w:p w14:paraId="50507554"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zwiększenie aktywności fosfatazy alkalicznej</w:t>
      </w:r>
    </w:p>
    <w:p w14:paraId="39B1FFAB" w14:textId="504A33DC" w:rsidR="0048571C" w:rsidRPr="007E4DA1" w:rsidRDefault="0048571C" w:rsidP="00DE1596">
      <w:pPr>
        <w:pStyle w:val="listdashnospace"/>
        <w:numPr>
          <w:ilvl w:val="0"/>
          <w:numId w:val="66"/>
        </w:numPr>
        <w:tabs>
          <w:tab w:val="clear" w:pos="709"/>
          <w:tab w:val="left" w:pos="-6946"/>
        </w:tabs>
        <w:ind w:left="567"/>
        <w:rPr>
          <w:sz w:val="22"/>
          <w:szCs w:val="22"/>
          <w:lang w:val="pl-PL"/>
        </w:rPr>
      </w:pPr>
      <w:r w:rsidRPr="007E4DA1">
        <w:rPr>
          <w:sz w:val="22"/>
          <w:szCs w:val="22"/>
          <w:lang w:val="pl-PL"/>
        </w:rPr>
        <w:t>zwiększenie aktywności enzym</w:t>
      </w:r>
      <w:r w:rsidR="004D3758">
        <w:rPr>
          <w:sz w:val="22"/>
          <w:szCs w:val="22"/>
          <w:lang w:val="pl-PL"/>
        </w:rPr>
        <w:t>u</w:t>
      </w:r>
      <w:r w:rsidRPr="007E4DA1">
        <w:rPr>
          <w:sz w:val="22"/>
          <w:szCs w:val="22"/>
          <w:lang w:val="pl-PL"/>
        </w:rPr>
        <w:t xml:space="preserve"> wątrobow</w:t>
      </w:r>
      <w:r w:rsidR="004D3758">
        <w:rPr>
          <w:sz w:val="22"/>
          <w:szCs w:val="22"/>
          <w:lang w:val="pl-PL"/>
        </w:rPr>
        <w:t>ego</w:t>
      </w:r>
      <w:r w:rsidRPr="007E4DA1">
        <w:rPr>
          <w:sz w:val="22"/>
          <w:szCs w:val="22"/>
          <w:lang w:val="pl-PL"/>
        </w:rPr>
        <w:t xml:space="preserve"> aminotransferazy asparaginianowej (AspAT)</w:t>
      </w:r>
    </w:p>
    <w:p w14:paraId="7CAA0907" w14:textId="77777777" w:rsidR="0048571C" w:rsidRPr="007E4DA1" w:rsidRDefault="0048571C" w:rsidP="00DE1596">
      <w:pPr>
        <w:pStyle w:val="listdashnospace"/>
        <w:numPr>
          <w:ilvl w:val="0"/>
          <w:numId w:val="66"/>
        </w:numPr>
        <w:tabs>
          <w:tab w:val="clear" w:pos="709"/>
          <w:tab w:val="left" w:pos="-6946"/>
        </w:tabs>
        <w:ind w:left="567"/>
        <w:rPr>
          <w:sz w:val="22"/>
          <w:szCs w:val="22"/>
          <w:lang w:val="pl-PL"/>
        </w:rPr>
      </w:pPr>
      <w:r w:rsidRPr="007E4DA1">
        <w:rPr>
          <w:sz w:val="22"/>
          <w:szCs w:val="22"/>
          <w:lang w:val="pl-PL"/>
        </w:rPr>
        <w:t xml:space="preserve">zwiększenie stężenia bilirubiny </w:t>
      </w:r>
      <w:r w:rsidR="004F25EC" w:rsidRPr="007E4DA1">
        <w:rPr>
          <w:sz w:val="22"/>
          <w:szCs w:val="22"/>
          <w:lang w:val="pl-PL"/>
        </w:rPr>
        <w:t xml:space="preserve">we krwi </w:t>
      </w:r>
      <w:r w:rsidRPr="007E4DA1">
        <w:rPr>
          <w:sz w:val="22"/>
          <w:szCs w:val="22"/>
          <w:lang w:val="pl-PL"/>
        </w:rPr>
        <w:t>(substancji wytwarzanej przez wątrobę)</w:t>
      </w:r>
    </w:p>
    <w:p w14:paraId="22293D71" w14:textId="77777777" w:rsidR="0048571C" w:rsidRPr="007E4DA1" w:rsidRDefault="0048571C" w:rsidP="00DE1596">
      <w:pPr>
        <w:pStyle w:val="listdashnospace"/>
        <w:numPr>
          <w:ilvl w:val="0"/>
          <w:numId w:val="66"/>
        </w:numPr>
        <w:tabs>
          <w:tab w:val="clear" w:pos="709"/>
          <w:tab w:val="left" w:pos="-6946"/>
        </w:tabs>
        <w:ind w:left="567"/>
        <w:rPr>
          <w:sz w:val="22"/>
          <w:szCs w:val="22"/>
          <w:lang w:val="pl-PL"/>
        </w:rPr>
      </w:pPr>
      <w:r w:rsidRPr="007E4DA1">
        <w:rPr>
          <w:sz w:val="22"/>
          <w:szCs w:val="22"/>
          <w:lang w:val="pl-PL"/>
        </w:rPr>
        <w:t>zwiększenie stężenia pewnych białek</w:t>
      </w:r>
    </w:p>
    <w:p w14:paraId="2326E11C" w14:textId="77777777" w:rsidR="0048571C" w:rsidRPr="007E4DA1" w:rsidRDefault="0048571C" w:rsidP="00DE1596">
      <w:pPr>
        <w:pStyle w:val="listdashnospace"/>
        <w:numPr>
          <w:ilvl w:val="0"/>
          <w:numId w:val="0"/>
        </w:numPr>
        <w:rPr>
          <w:sz w:val="22"/>
          <w:szCs w:val="22"/>
          <w:lang w:val="pl-PL"/>
        </w:rPr>
      </w:pPr>
    </w:p>
    <w:p w14:paraId="1DF46BBE" w14:textId="77777777" w:rsidR="00041A08" w:rsidRPr="00041A08" w:rsidRDefault="0048571C" w:rsidP="00DE1596">
      <w:pPr>
        <w:keepNext/>
        <w:rPr>
          <w:szCs w:val="22"/>
        </w:rPr>
      </w:pPr>
      <w:r w:rsidRPr="007E4DA1">
        <w:rPr>
          <w:b/>
          <w:szCs w:val="22"/>
        </w:rPr>
        <w:t>Niezbyt częste działania niepożądane</w:t>
      </w:r>
    </w:p>
    <w:p w14:paraId="1F7D2562" w14:textId="0CCFE0EC" w:rsidR="0048571C" w:rsidRPr="007E4DA1" w:rsidRDefault="0048571C" w:rsidP="00DE1596">
      <w:pPr>
        <w:keepNext/>
        <w:rPr>
          <w:szCs w:val="22"/>
        </w:rPr>
      </w:pPr>
      <w:r w:rsidRPr="007E4DA1">
        <w:rPr>
          <w:szCs w:val="22"/>
        </w:rPr>
        <w:t xml:space="preserve">Mogą wystąpić </w:t>
      </w:r>
      <w:r w:rsidRPr="007E4DA1">
        <w:rPr>
          <w:b/>
          <w:szCs w:val="22"/>
        </w:rPr>
        <w:t>nie częściej niż u 1 na 100 </w:t>
      </w:r>
      <w:r w:rsidRPr="007E4DA1">
        <w:rPr>
          <w:szCs w:val="22"/>
        </w:rPr>
        <w:t>pacjentów:</w:t>
      </w:r>
    </w:p>
    <w:p w14:paraId="1F0FE7A3" w14:textId="77777777" w:rsidR="004F25EC" w:rsidRPr="007E4DA1" w:rsidRDefault="004F25EC" w:rsidP="00DE1596">
      <w:pPr>
        <w:pStyle w:val="listdashnospace"/>
        <w:numPr>
          <w:ilvl w:val="0"/>
          <w:numId w:val="67"/>
        </w:numPr>
        <w:ind w:left="567" w:hanging="567"/>
        <w:rPr>
          <w:sz w:val="22"/>
          <w:szCs w:val="22"/>
          <w:lang w:val="pl-PL"/>
        </w:rPr>
      </w:pPr>
      <w:r w:rsidRPr="007E4DA1">
        <w:rPr>
          <w:sz w:val="22"/>
          <w:szCs w:val="22"/>
          <w:lang w:val="pl-PL"/>
        </w:rPr>
        <w:t>reakcja alergiczna</w:t>
      </w:r>
    </w:p>
    <w:p w14:paraId="4036132F" w14:textId="77777777" w:rsidR="0048571C" w:rsidRPr="007E4DA1" w:rsidRDefault="0048571C" w:rsidP="00DE1596">
      <w:pPr>
        <w:pStyle w:val="listdashnospace"/>
        <w:numPr>
          <w:ilvl w:val="0"/>
          <w:numId w:val="67"/>
        </w:numPr>
        <w:ind w:left="567" w:hanging="567"/>
        <w:rPr>
          <w:sz w:val="22"/>
          <w:szCs w:val="22"/>
          <w:lang w:val="pl-PL"/>
        </w:rPr>
      </w:pPr>
      <w:r w:rsidRPr="007E4DA1">
        <w:rPr>
          <w:sz w:val="22"/>
          <w:szCs w:val="22"/>
          <w:lang w:val="pl-PL"/>
        </w:rPr>
        <w:t>przerwanie dopływu krwi do fragmentu serca</w:t>
      </w:r>
    </w:p>
    <w:p w14:paraId="758ACA09" w14:textId="77777777" w:rsidR="0048571C" w:rsidRPr="007E4DA1" w:rsidRDefault="0048571C" w:rsidP="00DE1596">
      <w:pPr>
        <w:pStyle w:val="listdashnospace"/>
        <w:numPr>
          <w:ilvl w:val="0"/>
          <w:numId w:val="67"/>
        </w:numPr>
        <w:ind w:left="567" w:hanging="567"/>
        <w:rPr>
          <w:sz w:val="22"/>
          <w:szCs w:val="22"/>
          <w:lang w:val="pl-PL"/>
        </w:rPr>
      </w:pPr>
      <w:r w:rsidRPr="007E4DA1">
        <w:rPr>
          <w:sz w:val="22"/>
          <w:szCs w:val="22"/>
          <w:lang w:val="pl-PL"/>
        </w:rPr>
        <w:t>nagłe skrócenie oddechu, szczególnie w połączeniu z ostrym bólem w klatce piersiowej i (lub) przyspieszeniem oddechu, które mogą być objawem zakrzepu w płucach (patrz „</w:t>
      </w:r>
      <w:r w:rsidRPr="007E4DA1">
        <w:rPr>
          <w:b/>
          <w:i/>
          <w:sz w:val="22"/>
          <w:szCs w:val="22"/>
          <w:lang w:val="pl-PL"/>
        </w:rPr>
        <w:t>Zwiększone ryzyko zakrzepów</w:t>
      </w:r>
      <w:r w:rsidRPr="007E4DA1">
        <w:rPr>
          <w:b/>
          <w:sz w:val="22"/>
          <w:szCs w:val="22"/>
          <w:lang w:val="pl-PL"/>
        </w:rPr>
        <w:t>”</w:t>
      </w:r>
      <w:r w:rsidRPr="007E4DA1">
        <w:rPr>
          <w:sz w:val="22"/>
          <w:szCs w:val="22"/>
          <w:lang w:val="pl-PL"/>
        </w:rPr>
        <w:t xml:space="preserve"> wyżej w punkcie 4)</w:t>
      </w:r>
    </w:p>
    <w:p w14:paraId="6875C4E9" w14:textId="77777777" w:rsidR="0048571C" w:rsidRPr="007E4DA1" w:rsidRDefault="0048571C" w:rsidP="00DE1596">
      <w:pPr>
        <w:pStyle w:val="listdashnospace"/>
        <w:numPr>
          <w:ilvl w:val="0"/>
          <w:numId w:val="67"/>
        </w:numPr>
        <w:ind w:left="567" w:hanging="567"/>
        <w:rPr>
          <w:sz w:val="22"/>
          <w:szCs w:val="22"/>
          <w:lang w:val="pl-PL"/>
        </w:rPr>
      </w:pPr>
      <w:r w:rsidRPr="007E4DA1">
        <w:rPr>
          <w:sz w:val="22"/>
          <w:szCs w:val="22"/>
          <w:lang w:val="pl-PL"/>
        </w:rPr>
        <w:t>utrata czynności fragmentu płuca spowodowana zablokowaniem tętnicy płucnej</w:t>
      </w:r>
    </w:p>
    <w:p w14:paraId="0910126A" w14:textId="77777777" w:rsidR="00631750" w:rsidRPr="007E4DA1" w:rsidRDefault="00631750" w:rsidP="00DE1596">
      <w:pPr>
        <w:pStyle w:val="listdashnospace"/>
        <w:numPr>
          <w:ilvl w:val="0"/>
          <w:numId w:val="67"/>
        </w:numPr>
        <w:ind w:left="567" w:hanging="567"/>
        <w:rPr>
          <w:sz w:val="22"/>
          <w:szCs w:val="22"/>
          <w:lang w:val="pl-PL"/>
        </w:rPr>
      </w:pPr>
      <w:r w:rsidRPr="007E4DA1">
        <w:rPr>
          <w:sz w:val="22"/>
          <w:szCs w:val="22"/>
          <w:lang w:val="pl-PL"/>
        </w:rPr>
        <w:t xml:space="preserve">możliwy ból, obrzęk i (lub) zaczerwienienie wokół żyły, </w:t>
      </w:r>
      <w:r w:rsidR="009B40A7" w:rsidRPr="007E4DA1">
        <w:rPr>
          <w:sz w:val="22"/>
          <w:szCs w:val="22"/>
          <w:lang w:val="pl-PL"/>
        </w:rPr>
        <w:t>które</w:t>
      </w:r>
      <w:r w:rsidRPr="007E4DA1">
        <w:rPr>
          <w:sz w:val="22"/>
          <w:szCs w:val="22"/>
          <w:lang w:val="pl-PL"/>
        </w:rPr>
        <w:t xml:space="preserve"> mo</w:t>
      </w:r>
      <w:r w:rsidR="009B40A7" w:rsidRPr="007E4DA1">
        <w:rPr>
          <w:sz w:val="22"/>
          <w:szCs w:val="22"/>
          <w:lang w:val="pl-PL"/>
        </w:rPr>
        <w:t>gą być objawami</w:t>
      </w:r>
      <w:r w:rsidRPr="007E4DA1">
        <w:rPr>
          <w:sz w:val="22"/>
          <w:szCs w:val="22"/>
          <w:lang w:val="pl-PL"/>
        </w:rPr>
        <w:t xml:space="preserve"> zakrzepu krwi w żyle</w:t>
      </w:r>
    </w:p>
    <w:p w14:paraId="19815068" w14:textId="40A5143A" w:rsidR="0048571C" w:rsidRPr="007E4DA1" w:rsidRDefault="009B40A7" w:rsidP="00DE1596">
      <w:pPr>
        <w:pStyle w:val="listdashnospace"/>
        <w:numPr>
          <w:ilvl w:val="0"/>
          <w:numId w:val="67"/>
        </w:numPr>
        <w:ind w:left="567" w:hanging="567"/>
        <w:rPr>
          <w:sz w:val="22"/>
          <w:szCs w:val="22"/>
          <w:lang w:val="pl-PL"/>
        </w:rPr>
      </w:pPr>
      <w:r w:rsidRPr="007E4DA1">
        <w:rPr>
          <w:sz w:val="22"/>
          <w:szCs w:val="22"/>
          <w:lang w:val="pl-PL"/>
        </w:rPr>
        <w:t>zażółcenie skóry i (</w:t>
      </w:r>
      <w:r w:rsidR="00631750" w:rsidRPr="007E4DA1">
        <w:rPr>
          <w:sz w:val="22"/>
          <w:szCs w:val="22"/>
          <w:lang w:val="pl-PL"/>
        </w:rPr>
        <w:t>lub) ból brzucha, które mogą być objawami niedrożn</w:t>
      </w:r>
      <w:r w:rsidRPr="007E4DA1">
        <w:rPr>
          <w:sz w:val="22"/>
          <w:szCs w:val="22"/>
          <w:lang w:val="pl-PL"/>
        </w:rPr>
        <w:t>ości przewodu żółciowego, zmian</w:t>
      </w:r>
      <w:r w:rsidR="00554B55" w:rsidRPr="007E4DA1">
        <w:rPr>
          <w:sz w:val="22"/>
          <w:szCs w:val="22"/>
          <w:lang w:val="pl-PL"/>
        </w:rPr>
        <w:t>y</w:t>
      </w:r>
      <w:r w:rsidRPr="007E4DA1">
        <w:rPr>
          <w:sz w:val="22"/>
          <w:szCs w:val="22"/>
          <w:lang w:val="pl-PL"/>
        </w:rPr>
        <w:t xml:space="preserve"> chorobow</w:t>
      </w:r>
      <w:r w:rsidR="00554B55" w:rsidRPr="007E4DA1">
        <w:rPr>
          <w:sz w:val="22"/>
          <w:szCs w:val="22"/>
          <w:lang w:val="pl-PL"/>
        </w:rPr>
        <w:t>ej</w:t>
      </w:r>
      <w:r w:rsidRPr="007E4DA1">
        <w:rPr>
          <w:sz w:val="22"/>
          <w:szCs w:val="22"/>
          <w:lang w:val="pl-PL"/>
        </w:rPr>
        <w:t xml:space="preserve"> </w:t>
      </w:r>
      <w:r w:rsidR="005A14BB" w:rsidRPr="007E4DA1">
        <w:rPr>
          <w:sz w:val="22"/>
          <w:szCs w:val="22"/>
          <w:lang w:val="pl-PL"/>
        </w:rPr>
        <w:t>dotyczącej</w:t>
      </w:r>
      <w:r w:rsidRPr="007E4DA1">
        <w:rPr>
          <w:sz w:val="22"/>
          <w:szCs w:val="22"/>
          <w:lang w:val="pl-PL"/>
        </w:rPr>
        <w:t xml:space="preserve"> wątrob</w:t>
      </w:r>
      <w:r w:rsidR="005A14BB" w:rsidRPr="007E4DA1">
        <w:rPr>
          <w:sz w:val="22"/>
          <w:szCs w:val="22"/>
          <w:lang w:val="pl-PL"/>
        </w:rPr>
        <w:t>y</w:t>
      </w:r>
      <w:r w:rsidRPr="007E4DA1">
        <w:rPr>
          <w:sz w:val="22"/>
          <w:szCs w:val="22"/>
          <w:lang w:val="pl-PL"/>
        </w:rPr>
        <w:t xml:space="preserve">, </w:t>
      </w:r>
      <w:r w:rsidR="0032696C" w:rsidRPr="007E4DA1">
        <w:rPr>
          <w:sz w:val="22"/>
          <w:szCs w:val="22"/>
          <w:lang w:val="pl-PL"/>
        </w:rPr>
        <w:t>uszkodzeni</w:t>
      </w:r>
      <w:r w:rsidR="00554B55" w:rsidRPr="007E4DA1">
        <w:rPr>
          <w:sz w:val="22"/>
          <w:szCs w:val="22"/>
          <w:lang w:val="pl-PL"/>
        </w:rPr>
        <w:t>a</w:t>
      </w:r>
      <w:r w:rsidR="00631750" w:rsidRPr="007E4DA1">
        <w:rPr>
          <w:sz w:val="22"/>
          <w:szCs w:val="22"/>
          <w:lang w:val="pl-PL"/>
        </w:rPr>
        <w:t xml:space="preserve"> wątroby spowodowane zapaleniem</w:t>
      </w:r>
      <w:r w:rsidR="0048571C" w:rsidRPr="007E4DA1">
        <w:rPr>
          <w:sz w:val="22"/>
          <w:szCs w:val="22"/>
          <w:lang w:val="pl-PL"/>
        </w:rPr>
        <w:t xml:space="preserve"> (patrz „</w:t>
      </w:r>
      <w:r w:rsidR="0048571C" w:rsidRPr="007E4DA1">
        <w:rPr>
          <w:b/>
          <w:i/>
          <w:sz w:val="22"/>
          <w:szCs w:val="22"/>
          <w:lang w:val="pl-PL"/>
        </w:rPr>
        <w:t>Zaburzenia wątroby</w:t>
      </w:r>
      <w:r w:rsidR="0048571C" w:rsidRPr="007E4DA1">
        <w:rPr>
          <w:sz w:val="22"/>
          <w:szCs w:val="22"/>
          <w:lang w:val="pl-PL"/>
        </w:rPr>
        <w:t>” wyżej w punkcie 4)</w:t>
      </w:r>
    </w:p>
    <w:p w14:paraId="10F65C2F" w14:textId="77777777" w:rsidR="0048571C" w:rsidRPr="007E4DA1" w:rsidRDefault="0048571C" w:rsidP="00DE1596">
      <w:pPr>
        <w:numPr>
          <w:ilvl w:val="0"/>
          <w:numId w:val="67"/>
        </w:numPr>
        <w:ind w:left="567" w:hanging="567"/>
        <w:rPr>
          <w:szCs w:val="22"/>
        </w:rPr>
      </w:pPr>
      <w:r w:rsidRPr="007E4DA1">
        <w:rPr>
          <w:szCs w:val="22"/>
        </w:rPr>
        <w:t>uszkodzenie wątroby spowodowane lekiem</w:t>
      </w:r>
    </w:p>
    <w:p w14:paraId="563B259B" w14:textId="77777777" w:rsidR="0048571C" w:rsidRPr="007E4DA1" w:rsidRDefault="0048571C" w:rsidP="00DE1596">
      <w:pPr>
        <w:pStyle w:val="listdashnospace"/>
        <w:numPr>
          <w:ilvl w:val="0"/>
          <w:numId w:val="67"/>
        </w:numPr>
        <w:ind w:left="567" w:hanging="567"/>
        <w:rPr>
          <w:sz w:val="22"/>
          <w:szCs w:val="22"/>
          <w:lang w:val="pl-PL"/>
        </w:rPr>
      </w:pPr>
      <w:r w:rsidRPr="007E4DA1">
        <w:rPr>
          <w:sz w:val="22"/>
          <w:szCs w:val="22"/>
          <w:lang w:val="pl-PL"/>
        </w:rPr>
        <w:t>przyspieszone bicie serca, nieregularne bicie serca, sine zabarwienie skóry</w:t>
      </w:r>
      <w:r w:rsidR="00631750" w:rsidRPr="007E4DA1">
        <w:rPr>
          <w:sz w:val="22"/>
          <w:szCs w:val="22"/>
          <w:lang w:val="pl-PL"/>
        </w:rPr>
        <w:t>, zaburzenia rytmu serca (wydłużenie odstępu QT), które mogą być objawami zaburzenia serca i naczyń krwionośnych</w:t>
      </w:r>
    </w:p>
    <w:p w14:paraId="4ABEC1CC" w14:textId="77777777" w:rsidR="0048571C" w:rsidRPr="007E4DA1" w:rsidRDefault="0048571C" w:rsidP="00DE1596">
      <w:pPr>
        <w:pStyle w:val="listdashnospace"/>
        <w:numPr>
          <w:ilvl w:val="0"/>
          <w:numId w:val="67"/>
        </w:numPr>
        <w:ind w:left="567" w:hanging="567"/>
        <w:rPr>
          <w:sz w:val="22"/>
          <w:szCs w:val="22"/>
          <w:lang w:val="pl-PL"/>
        </w:rPr>
      </w:pPr>
      <w:r w:rsidRPr="007E4DA1">
        <w:rPr>
          <w:sz w:val="22"/>
          <w:szCs w:val="22"/>
          <w:lang w:val="pl-PL"/>
        </w:rPr>
        <w:t>zakrzep krwi</w:t>
      </w:r>
    </w:p>
    <w:p w14:paraId="131D8AF9" w14:textId="59BE87D3" w:rsidR="00631750" w:rsidRPr="007E4DA1" w:rsidRDefault="00631750" w:rsidP="00DE1596">
      <w:pPr>
        <w:pStyle w:val="listdashnospace"/>
        <w:numPr>
          <w:ilvl w:val="0"/>
          <w:numId w:val="67"/>
        </w:numPr>
        <w:ind w:left="567" w:hanging="567"/>
        <w:rPr>
          <w:sz w:val="22"/>
          <w:szCs w:val="22"/>
          <w:lang w:val="pl-PL"/>
        </w:rPr>
      </w:pPr>
      <w:r w:rsidRPr="007E4DA1">
        <w:rPr>
          <w:sz w:val="22"/>
          <w:szCs w:val="22"/>
          <w:lang w:val="pl-PL"/>
        </w:rPr>
        <w:t>zaczerwienienie</w:t>
      </w:r>
    </w:p>
    <w:p w14:paraId="6F694074" w14:textId="77777777" w:rsidR="0048571C" w:rsidRPr="007E4DA1" w:rsidRDefault="0048571C" w:rsidP="00DE1596">
      <w:pPr>
        <w:pStyle w:val="listdashnospace"/>
        <w:numPr>
          <w:ilvl w:val="0"/>
          <w:numId w:val="67"/>
        </w:numPr>
        <w:ind w:left="567" w:hanging="567"/>
        <w:rPr>
          <w:sz w:val="22"/>
          <w:szCs w:val="22"/>
          <w:lang w:val="pl-PL"/>
        </w:rPr>
      </w:pPr>
      <w:r w:rsidRPr="007E4DA1">
        <w:rPr>
          <w:sz w:val="22"/>
          <w:szCs w:val="22"/>
          <w:lang w:val="pl-PL"/>
        </w:rPr>
        <w:t>bolesne obrzęki stawów spowodowane przez kwas moczowy (dna moczanowa)</w:t>
      </w:r>
    </w:p>
    <w:p w14:paraId="33DAA5B7" w14:textId="77777777" w:rsidR="0048571C" w:rsidRPr="007E4DA1" w:rsidRDefault="0048571C" w:rsidP="00DE1596">
      <w:pPr>
        <w:pStyle w:val="listdashnospace"/>
        <w:numPr>
          <w:ilvl w:val="0"/>
          <w:numId w:val="67"/>
        </w:numPr>
        <w:ind w:left="567" w:hanging="567"/>
        <w:rPr>
          <w:sz w:val="22"/>
          <w:szCs w:val="22"/>
          <w:lang w:val="pl-PL"/>
        </w:rPr>
      </w:pPr>
      <w:r w:rsidRPr="007E4DA1">
        <w:rPr>
          <w:sz w:val="22"/>
          <w:szCs w:val="22"/>
          <w:lang w:val="pl-PL"/>
        </w:rPr>
        <w:t>brak zainteresowania, zmiany nastroju</w:t>
      </w:r>
      <w:r w:rsidR="00631750" w:rsidRPr="007E4DA1">
        <w:rPr>
          <w:sz w:val="22"/>
          <w:szCs w:val="22"/>
          <w:lang w:val="pl-PL"/>
        </w:rPr>
        <w:t>, płacz, który jest trudny do opanowania lub występuje niespodziewanie</w:t>
      </w:r>
    </w:p>
    <w:p w14:paraId="661435D2" w14:textId="77777777" w:rsidR="0048571C" w:rsidRPr="007E4DA1" w:rsidRDefault="0048571C" w:rsidP="00DE1596">
      <w:pPr>
        <w:pStyle w:val="listdashnospace"/>
        <w:numPr>
          <w:ilvl w:val="0"/>
          <w:numId w:val="67"/>
        </w:numPr>
        <w:ind w:left="567" w:hanging="567"/>
        <w:rPr>
          <w:sz w:val="22"/>
          <w:szCs w:val="22"/>
          <w:lang w:val="pl-PL"/>
        </w:rPr>
      </w:pPr>
      <w:r w:rsidRPr="007E4DA1">
        <w:rPr>
          <w:sz w:val="22"/>
          <w:szCs w:val="22"/>
          <w:lang w:val="pl-PL"/>
        </w:rPr>
        <w:t>zaburzenia równowagi, mowy i czynności nerwów, drżenia</w:t>
      </w:r>
    </w:p>
    <w:p w14:paraId="3061990C" w14:textId="77777777" w:rsidR="00631750" w:rsidRPr="007E4DA1" w:rsidRDefault="00631750" w:rsidP="00DE1596">
      <w:pPr>
        <w:pStyle w:val="listdashnospace"/>
        <w:numPr>
          <w:ilvl w:val="0"/>
          <w:numId w:val="67"/>
        </w:numPr>
        <w:ind w:left="567" w:hanging="567"/>
        <w:rPr>
          <w:sz w:val="22"/>
          <w:szCs w:val="22"/>
          <w:lang w:val="pl-PL"/>
        </w:rPr>
      </w:pPr>
      <w:r w:rsidRPr="007E4DA1">
        <w:rPr>
          <w:sz w:val="22"/>
          <w:szCs w:val="22"/>
          <w:lang w:val="pl-PL"/>
        </w:rPr>
        <w:t>bolesne lub nieprawidłowe odczucia skórne</w:t>
      </w:r>
    </w:p>
    <w:p w14:paraId="2B394072" w14:textId="77777777" w:rsidR="00631750" w:rsidRPr="007E4DA1" w:rsidRDefault="00631750" w:rsidP="00DE1596">
      <w:pPr>
        <w:pStyle w:val="listdashnospace"/>
        <w:numPr>
          <w:ilvl w:val="0"/>
          <w:numId w:val="67"/>
        </w:numPr>
        <w:ind w:left="567" w:hanging="567"/>
        <w:rPr>
          <w:sz w:val="22"/>
          <w:szCs w:val="22"/>
          <w:lang w:val="pl-PL"/>
        </w:rPr>
      </w:pPr>
      <w:r w:rsidRPr="007E4DA1">
        <w:rPr>
          <w:sz w:val="22"/>
          <w:szCs w:val="22"/>
          <w:lang w:val="pl-PL"/>
        </w:rPr>
        <w:t>porażenie jednej strony ciała</w:t>
      </w:r>
    </w:p>
    <w:p w14:paraId="4E6A1C25" w14:textId="77777777" w:rsidR="00631750" w:rsidRPr="007E4DA1" w:rsidRDefault="00631750" w:rsidP="00DE1596">
      <w:pPr>
        <w:pStyle w:val="listdashnospace"/>
        <w:numPr>
          <w:ilvl w:val="0"/>
          <w:numId w:val="67"/>
        </w:numPr>
        <w:ind w:left="567" w:hanging="567"/>
        <w:rPr>
          <w:sz w:val="22"/>
          <w:szCs w:val="22"/>
          <w:lang w:val="pl-PL"/>
        </w:rPr>
      </w:pPr>
      <w:r w:rsidRPr="007E4DA1">
        <w:rPr>
          <w:sz w:val="22"/>
          <w:szCs w:val="22"/>
          <w:lang w:val="pl-PL"/>
        </w:rPr>
        <w:t xml:space="preserve">migrena z </w:t>
      </w:r>
      <w:r w:rsidR="009B40A7" w:rsidRPr="007E4DA1">
        <w:rPr>
          <w:sz w:val="22"/>
          <w:szCs w:val="22"/>
          <w:lang w:val="pl-PL"/>
        </w:rPr>
        <w:t xml:space="preserve">towarzyszącą jej </w:t>
      </w:r>
      <w:r w:rsidRPr="007E4DA1">
        <w:rPr>
          <w:sz w:val="22"/>
          <w:szCs w:val="22"/>
          <w:lang w:val="pl-PL"/>
        </w:rPr>
        <w:t>aurą</w:t>
      </w:r>
    </w:p>
    <w:p w14:paraId="57C6A343" w14:textId="77777777" w:rsidR="00631750" w:rsidRPr="007E4DA1" w:rsidRDefault="00631750" w:rsidP="00DE1596">
      <w:pPr>
        <w:pStyle w:val="listdashnospace"/>
        <w:numPr>
          <w:ilvl w:val="0"/>
          <w:numId w:val="67"/>
        </w:numPr>
        <w:ind w:left="567" w:hanging="567"/>
        <w:rPr>
          <w:sz w:val="22"/>
          <w:szCs w:val="22"/>
          <w:lang w:val="pl-PL"/>
        </w:rPr>
      </w:pPr>
      <w:r w:rsidRPr="007E4DA1">
        <w:rPr>
          <w:sz w:val="22"/>
          <w:szCs w:val="22"/>
          <w:lang w:val="pl-PL"/>
        </w:rPr>
        <w:t>uszkodzenie nerwów</w:t>
      </w:r>
    </w:p>
    <w:p w14:paraId="7A7229C9" w14:textId="77777777" w:rsidR="00631750" w:rsidRPr="007E4DA1" w:rsidRDefault="00631750" w:rsidP="00DE1596">
      <w:pPr>
        <w:pStyle w:val="listdashnospace"/>
        <w:numPr>
          <w:ilvl w:val="0"/>
          <w:numId w:val="67"/>
        </w:numPr>
        <w:ind w:left="567" w:hanging="567"/>
        <w:rPr>
          <w:sz w:val="22"/>
          <w:szCs w:val="22"/>
          <w:lang w:val="pl-PL"/>
        </w:rPr>
      </w:pPr>
      <w:r w:rsidRPr="007E4DA1">
        <w:rPr>
          <w:sz w:val="22"/>
          <w:szCs w:val="22"/>
          <w:lang w:val="pl-PL"/>
        </w:rPr>
        <w:t>rozszerzenie lub obrzęk naczyń krwionośnych powodujące ból głowy</w:t>
      </w:r>
    </w:p>
    <w:p w14:paraId="08BA0C2B" w14:textId="77777777" w:rsidR="0048571C" w:rsidRPr="007E4DA1" w:rsidRDefault="0048571C" w:rsidP="00DE1596">
      <w:pPr>
        <w:pStyle w:val="listdashnospace"/>
        <w:numPr>
          <w:ilvl w:val="0"/>
          <w:numId w:val="67"/>
        </w:numPr>
        <w:ind w:left="567" w:hanging="567"/>
        <w:rPr>
          <w:sz w:val="22"/>
          <w:szCs w:val="22"/>
          <w:lang w:val="pl-PL"/>
        </w:rPr>
      </w:pPr>
      <w:r w:rsidRPr="007E4DA1">
        <w:rPr>
          <w:sz w:val="22"/>
          <w:szCs w:val="22"/>
          <w:lang w:val="pl-PL"/>
        </w:rPr>
        <w:t>zaburzenia oczu, w tym nasilone łzawienie, zmętnienie soczewki oka (zaćma), krwawienie do siatkówki</w:t>
      </w:r>
      <w:r w:rsidR="00631750" w:rsidRPr="007E4DA1">
        <w:rPr>
          <w:sz w:val="22"/>
          <w:szCs w:val="22"/>
          <w:lang w:val="pl-PL"/>
        </w:rPr>
        <w:t>, suchość oczu</w:t>
      </w:r>
    </w:p>
    <w:p w14:paraId="647182BE" w14:textId="77777777" w:rsidR="0048571C" w:rsidRPr="007E4DA1" w:rsidRDefault="0048571C" w:rsidP="00DE1596">
      <w:pPr>
        <w:pStyle w:val="listdashnospace"/>
        <w:numPr>
          <w:ilvl w:val="0"/>
          <w:numId w:val="67"/>
        </w:numPr>
        <w:ind w:left="567" w:hanging="567"/>
        <w:rPr>
          <w:sz w:val="22"/>
          <w:szCs w:val="22"/>
          <w:lang w:val="pl-PL"/>
        </w:rPr>
      </w:pPr>
      <w:r w:rsidRPr="007E4DA1">
        <w:rPr>
          <w:sz w:val="22"/>
          <w:szCs w:val="22"/>
          <w:lang w:val="pl-PL"/>
        </w:rPr>
        <w:t>choroby nosa, gardła i zatok, zaburzenia oddychania w czasie snu</w:t>
      </w:r>
    </w:p>
    <w:p w14:paraId="71B1AAE8" w14:textId="31B19463" w:rsidR="00631750" w:rsidRPr="007E4DA1" w:rsidRDefault="00631750" w:rsidP="00DE1596">
      <w:pPr>
        <w:pStyle w:val="listdashnospace"/>
        <w:numPr>
          <w:ilvl w:val="0"/>
          <w:numId w:val="67"/>
        </w:numPr>
        <w:ind w:left="567" w:hanging="567"/>
        <w:rPr>
          <w:sz w:val="22"/>
          <w:szCs w:val="22"/>
          <w:lang w:val="pl-PL"/>
        </w:rPr>
      </w:pPr>
      <w:r w:rsidRPr="007E4DA1">
        <w:rPr>
          <w:sz w:val="22"/>
          <w:szCs w:val="22"/>
          <w:lang w:val="pl-PL"/>
        </w:rPr>
        <w:t>pęcherze</w:t>
      </w:r>
      <w:r w:rsidR="007E0DD4" w:rsidRPr="007E4DA1">
        <w:rPr>
          <w:sz w:val="22"/>
          <w:szCs w:val="22"/>
          <w:lang w:val="pl-PL"/>
        </w:rPr>
        <w:t xml:space="preserve"> lub </w:t>
      </w:r>
      <w:r w:rsidR="0032696C" w:rsidRPr="007E4DA1">
        <w:rPr>
          <w:sz w:val="22"/>
          <w:szCs w:val="22"/>
          <w:lang w:val="pl-PL"/>
        </w:rPr>
        <w:t>owrzodzenia</w:t>
      </w:r>
      <w:r w:rsidRPr="007E4DA1">
        <w:rPr>
          <w:sz w:val="22"/>
          <w:szCs w:val="22"/>
          <w:lang w:val="pl-PL"/>
        </w:rPr>
        <w:t xml:space="preserve"> jam</w:t>
      </w:r>
      <w:r w:rsidR="00554B55" w:rsidRPr="007E4DA1">
        <w:rPr>
          <w:sz w:val="22"/>
          <w:szCs w:val="22"/>
          <w:lang w:val="pl-PL"/>
        </w:rPr>
        <w:t>y</w:t>
      </w:r>
      <w:r w:rsidRPr="007E4DA1">
        <w:rPr>
          <w:sz w:val="22"/>
          <w:szCs w:val="22"/>
          <w:lang w:val="pl-PL"/>
        </w:rPr>
        <w:t xml:space="preserve"> ustnej i gardła</w:t>
      </w:r>
    </w:p>
    <w:p w14:paraId="47F67819" w14:textId="77777777" w:rsidR="00631750" w:rsidRPr="007E4DA1" w:rsidRDefault="00631750" w:rsidP="00DE1596">
      <w:pPr>
        <w:pStyle w:val="listdashnospace"/>
        <w:numPr>
          <w:ilvl w:val="0"/>
          <w:numId w:val="67"/>
        </w:numPr>
        <w:ind w:left="567" w:hanging="567"/>
        <w:rPr>
          <w:sz w:val="22"/>
          <w:szCs w:val="22"/>
          <w:lang w:val="pl-PL"/>
        </w:rPr>
      </w:pPr>
      <w:r w:rsidRPr="007E4DA1">
        <w:rPr>
          <w:sz w:val="22"/>
          <w:szCs w:val="22"/>
          <w:lang w:val="pl-PL"/>
        </w:rPr>
        <w:t>utrata apetytu</w:t>
      </w:r>
    </w:p>
    <w:p w14:paraId="556A2DA0" w14:textId="77777777" w:rsidR="0048571C" w:rsidRPr="007E4DA1" w:rsidRDefault="0048571C" w:rsidP="00DE1596">
      <w:pPr>
        <w:pStyle w:val="listdashnospace"/>
        <w:numPr>
          <w:ilvl w:val="0"/>
          <w:numId w:val="67"/>
        </w:numPr>
        <w:ind w:left="567" w:hanging="567"/>
        <w:rPr>
          <w:sz w:val="22"/>
          <w:szCs w:val="22"/>
          <w:lang w:val="pl-PL"/>
        </w:rPr>
      </w:pPr>
      <w:r w:rsidRPr="007E4DA1">
        <w:rPr>
          <w:sz w:val="22"/>
          <w:szCs w:val="22"/>
          <w:lang w:val="pl-PL"/>
        </w:rPr>
        <w:t>zaburzenia układu trawiennego obejmujące częste oddawanie stolca, zatrucie pokarmowe, obecność krwi w stolcu</w:t>
      </w:r>
      <w:r w:rsidR="00631750" w:rsidRPr="007E4DA1">
        <w:rPr>
          <w:sz w:val="22"/>
          <w:szCs w:val="22"/>
          <w:lang w:val="pl-PL"/>
        </w:rPr>
        <w:t>, krwawe wymioty</w:t>
      </w:r>
    </w:p>
    <w:p w14:paraId="65652518" w14:textId="04966892" w:rsidR="0048571C" w:rsidRPr="007E4DA1" w:rsidRDefault="0048571C" w:rsidP="00DE1596">
      <w:pPr>
        <w:pStyle w:val="listdashnospace"/>
        <w:numPr>
          <w:ilvl w:val="0"/>
          <w:numId w:val="67"/>
        </w:numPr>
        <w:ind w:left="567" w:hanging="567"/>
        <w:rPr>
          <w:sz w:val="22"/>
          <w:szCs w:val="22"/>
          <w:lang w:val="pl-PL"/>
        </w:rPr>
      </w:pPr>
      <w:r w:rsidRPr="007E4DA1">
        <w:rPr>
          <w:sz w:val="22"/>
          <w:szCs w:val="22"/>
          <w:lang w:val="pl-PL"/>
        </w:rPr>
        <w:t xml:space="preserve">krwawienie z odbytu, </w:t>
      </w:r>
      <w:r w:rsidR="00631750" w:rsidRPr="007E4DA1">
        <w:rPr>
          <w:sz w:val="22"/>
          <w:szCs w:val="22"/>
          <w:lang w:val="pl-PL"/>
        </w:rPr>
        <w:t xml:space="preserve">zmiana koloru stolca, </w:t>
      </w:r>
      <w:r w:rsidRPr="007E4DA1">
        <w:rPr>
          <w:sz w:val="22"/>
          <w:szCs w:val="22"/>
          <w:lang w:val="pl-PL"/>
        </w:rPr>
        <w:t>wzdęcie brzucha, zaparcie</w:t>
      </w:r>
    </w:p>
    <w:p w14:paraId="744CFEFB" w14:textId="19364AE9" w:rsidR="0048571C" w:rsidRPr="007E4DA1" w:rsidRDefault="0048571C" w:rsidP="00DE1596">
      <w:pPr>
        <w:pStyle w:val="listdashnospace"/>
        <w:numPr>
          <w:ilvl w:val="0"/>
          <w:numId w:val="67"/>
        </w:numPr>
        <w:ind w:left="567" w:hanging="567"/>
        <w:rPr>
          <w:sz w:val="22"/>
          <w:szCs w:val="22"/>
          <w:lang w:val="pl-PL"/>
        </w:rPr>
      </w:pPr>
      <w:r w:rsidRPr="007E4DA1">
        <w:rPr>
          <w:sz w:val="22"/>
          <w:szCs w:val="22"/>
          <w:lang w:val="pl-PL"/>
        </w:rPr>
        <w:t xml:space="preserve">zaburzenia w obrębie jamy ustnej, w tym suchość lub ból w ustach, </w:t>
      </w:r>
      <w:r w:rsidR="00631750" w:rsidRPr="007E4DA1">
        <w:rPr>
          <w:sz w:val="22"/>
          <w:szCs w:val="22"/>
          <w:lang w:val="pl-PL"/>
        </w:rPr>
        <w:t>ból</w:t>
      </w:r>
      <w:r w:rsidRPr="007E4DA1">
        <w:rPr>
          <w:sz w:val="22"/>
          <w:szCs w:val="22"/>
          <w:lang w:val="pl-PL"/>
        </w:rPr>
        <w:t xml:space="preserve"> języka, krwawienie z dziąseł</w:t>
      </w:r>
      <w:r w:rsidR="00631750" w:rsidRPr="007E4DA1">
        <w:rPr>
          <w:sz w:val="22"/>
          <w:szCs w:val="22"/>
          <w:lang w:val="pl-PL"/>
        </w:rPr>
        <w:t>, dyskomfort w jamie ustnej</w:t>
      </w:r>
    </w:p>
    <w:p w14:paraId="48DEC74A" w14:textId="77777777" w:rsidR="0048571C" w:rsidRPr="007E4DA1" w:rsidRDefault="0048571C" w:rsidP="00DE1596">
      <w:pPr>
        <w:pStyle w:val="listdashnospace"/>
        <w:numPr>
          <w:ilvl w:val="0"/>
          <w:numId w:val="67"/>
        </w:numPr>
        <w:ind w:left="567" w:hanging="567"/>
        <w:rPr>
          <w:sz w:val="22"/>
          <w:szCs w:val="22"/>
          <w:lang w:val="pl-PL"/>
        </w:rPr>
      </w:pPr>
      <w:r w:rsidRPr="007E4DA1">
        <w:rPr>
          <w:sz w:val="22"/>
          <w:szCs w:val="22"/>
          <w:lang w:val="pl-PL"/>
        </w:rPr>
        <w:t>oparzenie słoneczne</w:t>
      </w:r>
    </w:p>
    <w:p w14:paraId="25902F23" w14:textId="77777777" w:rsidR="00631750" w:rsidRPr="007E4DA1" w:rsidRDefault="00631750" w:rsidP="00DE1596">
      <w:pPr>
        <w:pStyle w:val="listdashnospace"/>
        <w:numPr>
          <w:ilvl w:val="0"/>
          <w:numId w:val="67"/>
        </w:numPr>
        <w:ind w:left="567" w:hanging="567"/>
        <w:rPr>
          <w:sz w:val="22"/>
          <w:szCs w:val="22"/>
          <w:lang w:val="pl-PL"/>
        </w:rPr>
      </w:pPr>
      <w:r w:rsidRPr="007E4DA1">
        <w:rPr>
          <w:sz w:val="22"/>
          <w:szCs w:val="22"/>
          <w:lang w:val="pl-PL"/>
        </w:rPr>
        <w:t>uczucie gorąca, uczucie niepokoju</w:t>
      </w:r>
    </w:p>
    <w:p w14:paraId="276D0F9C" w14:textId="77777777" w:rsidR="0048571C" w:rsidRPr="007E4DA1" w:rsidRDefault="0048571C" w:rsidP="00DE1596">
      <w:pPr>
        <w:pStyle w:val="listdashnospace"/>
        <w:numPr>
          <w:ilvl w:val="0"/>
          <w:numId w:val="67"/>
        </w:numPr>
        <w:ind w:left="567" w:hanging="567"/>
        <w:rPr>
          <w:sz w:val="22"/>
          <w:szCs w:val="22"/>
          <w:lang w:val="pl-PL"/>
        </w:rPr>
      </w:pPr>
      <w:r w:rsidRPr="007E4DA1">
        <w:rPr>
          <w:sz w:val="22"/>
          <w:szCs w:val="22"/>
          <w:lang w:val="pl-PL"/>
        </w:rPr>
        <w:t>zaczerwienienie lub obrzęk w okolicy rany, krwawienie wokół cewnika (jeżeli obecny) do skóry, uczucie obecności ciała obcego</w:t>
      </w:r>
    </w:p>
    <w:p w14:paraId="1DFC8880" w14:textId="77777777" w:rsidR="0048571C" w:rsidRPr="007E4DA1" w:rsidRDefault="0048571C" w:rsidP="00DE1596">
      <w:pPr>
        <w:pStyle w:val="listdashnospace"/>
        <w:numPr>
          <w:ilvl w:val="0"/>
          <w:numId w:val="67"/>
        </w:numPr>
        <w:ind w:left="567" w:hanging="567"/>
        <w:rPr>
          <w:sz w:val="22"/>
          <w:szCs w:val="22"/>
          <w:lang w:val="pl-PL"/>
        </w:rPr>
      </w:pPr>
      <w:r w:rsidRPr="007E4DA1">
        <w:rPr>
          <w:sz w:val="22"/>
          <w:szCs w:val="22"/>
          <w:lang w:val="pl-PL"/>
        </w:rPr>
        <w:t>choroby nerek obejmujące: zapalenie nerek, nadmierne wydalanie moczu w nocy, niewydolność nerek, obecność białych krwinek w moczu</w:t>
      </w:r>
    </w:p>
    <w:p w14:paraId="7C0D4C25" w14:textId="77777777" w:rsidR="0048571C" w:rsidRPr="007E4DA1" w:rsidRDefault="0048571C" w:rsidP="00DE1596">
      <w:pPr>
        <w:pStyle w:val="listdashnospace"/>
        <w:numPr>
          <w:ilvl w:val="0"/>
          <w:numId w:val="67"/>
        </w:numPr>
        <w:ind w:left="567" w:hanging="567"/>
        <w:rPr>
          <w:sz w:val="22"/>
          <w:szCs w:val="22"/>
          <w:lang w:val="pl-PL"/>
        </w:rPr>
      </w:pPr>
      <w:r w:rsidRPr="007E4DA1">
        <w:rPr>
          <w:sz w:val="22"/>
          <w:szCs w:val="22"/>
          <w:lang w:val="pl-PL"/>
        </w:rPr>
        <w:t>zimne poty</w:t>
      </w:r>
    </w:p>
    <w:p w14:paraId="252F29BE" w14:textId="36428A87" w:rsidR="00631750" w:rsidRPr="007E4DA1" w:rsidRDefault="007E0DD4" w:rsidP="00DE1596">
      <w:pPr>
        <w:pStyle w:val="listdashnospace"/>
        <w:numPr>
          <w:ilvl w:val="0"/>
          <w:numId w:val="67"/>
        </w:numPr>
        <w:ind w:left="567" w:hanging="567"/>
        <w:rPr>
          <w:sz w:val="22"/>
          <w:szCs w:val="22"/>
          <w:lang w:val="pl-PL"/>
        </w:rPr>
      </w:pPr>
      <w:r w:rsidRPr="007E4DA1">
        <w:rPr>
          <w:sz w:val="22"/>
          <w:szCs w:val="22"/>
          <w:lang w:val="pl-PL"/>
        </w:rPr>
        <w:t xml:space="preserve">ogólne </w:t>
      </w:r>
      <w:r w:rsidR="00631750" w:rsidRPr="007E4DA1">
        <w:rPr>
          <w:sz w:val="22"/>
          <w:szCs w:val="22"/>
          <w:lang w:val="pl-PL"/>
        </w:rPr>
        <w:t>złe samopoczucie</w:t>
      </w:r>
    </w:p>
    <w:p w14:paraId="1D613312" w14:textId="77777777" w:rsidR="0048571C" w:rsidRPr="007E4DA1" w:rsidRDefault="0048571C" w:rsidP="00DE1596">
      <w:pPr>
        <w:pStyle w:val="listdashnospace"/>
        <w:numPr>
          <w:ilvl w:val="0"/>
          <w:numId w:val="67"/>
        </w:numPr>
        <w:ind w:left="567" w:hanging="567"/>
        <w:rPr>
          <w:sz w:val="22"/>
          <w:szCs w:val="22"/>
          <w:lang w:val="pl-PL"/>
        </w:rPr>
      </w:pPr>
      <w:r w:rsidRPr="007E4DA1">
        <w:rPr>
          <w:sz w:val="22"/>
          <w:szCs w:val="22"/>
          <w:lang w:val="pl-PL"/>
        </w:rPr>
        <w:t>zakażenie skóry</w:t>
      </w:r>
    </w:p>
    <w:p w14:paraId="34F0F33C" w14:textId="10792033" w:rsidR="0048571C" w:rsidRPr="007E4DA1" w:rsidRDefault="0048571C" w:rsidP="00DE1596">
      <w:pPr>
        <w:pStyle w:val="listdashnospace"/>
        <w:numPr>
          <w:ilvl w:val="0"/>
          <w:numId w:val="67"/>
        </w:numPr>
        <w:ind w:left="567" w:hanging="567"/>
        <w:rPr>
          <w:sz w:val="22"/>
          <w:szCs w:val="22"/>
          <w:lang w:val="pl-PL"/>
        </w:rPr>
      </w:pPr>
      <w:r w:rsidRPr="007E4DA1">
        <w:rPr>
          <w:sz w:val="22"/>
          <w:szCs w:val="22"/>
          <w:lang w:val="pl-PL"/>
        </w:rPr>
        <w:t xml:space="preserve">zmiany skórne, w tym </w:t>
      </w:r>
      <w:r w:rsidR="00631750" w:rsidRPr="007E4DA1">
        <w:rPr>
          <w:sz w:val="22"/>
          <w:szCs w:val="22"/>
          <w:lang w:val="pl-PL"/>
        </w:rPr>
        <w:t>przebarwienia skóry</w:t>
      </w:r>
      <w:r w:rsidRPr="007E4DA1">
        <w:rPr>
          <w:sz w:val="22"/>
          <w:szCs w:val="22"/>
          <w:lang w:val="pl-PL"/>
        </w:rPr>
        <w:t xml:space="preserve">, złuszczanie, zaczerwienienie, swędzenie i </w:t>
      </w:r>
      <w:r w:rsidR="00554B55" w:rsidRPr="007E4DA1">
        <w:rPr>
          <w:sz w:val="22"/>
          <w:szCs w:val="22"/>
          <w:lang w:val="pl-PL"/>
        </w:rPr>
        <w:t>pocenie</w:t>
      </w:r>
    </w:p>
    <w:p w14:paraId="1AB01965" w14:textId="77777777" w:rsidR="00631750" w:rsidRPr="007E4DA1" w:rsidRDefault="00631750" w:rsidP="00DE1596">
      <w:pPr>
        <w:pStyle w:val="listdashnospace"/>
        <w:numPr>
          <w:ilvl w:val="0"/>
          <w:numId w:val="67"/>
        </w:numPr>
        <w:ind w:left="567" w:hanging="567"/>
        <w:rPr>
          <w:sz w:val="22"/>
          <w:szCs w:val="22"/>
          <w:lang w:val="pl-PL"/>
        </w:rPr>
      </w:pPr>
      <w:r w:rsidRPr="007E4DA1">
        <w:rPr>
          <w:sz w:val="22"/>
          <w:szCs w:val="22"/>
          <w:lang w:val="pl-PL"/>
        </w:rPr>
        <w:t>osłabienie mięśni</w:t>
      </w:r>
    </w:p>
    <w:p w14:paraId="70CAEDF0" w14:textId="77777777" w:rsidR="00631750" w:rsidRPr="007E4DA1" w:rsidRDefault="00631750" w:rsidP="00DE1596">
      <w:pPr>
        <w:pStyle w:val="listdashnospace"/>
        <w:numPr>
          <w:ilvl w:val="0"/>
          <w:numId w:val="67"/>
        </w:numPr>
        <w:ind w:left="567" w:hanging="567"/>
        <w:rPr>
          <w:sz w:val="22"/>
          <w:szCs w:val="22"/>
          <w:lang w:val="pl-PL"/>
        </w:rPr>
      </w:pPr>
      <w:r w:rsidRPr="007E4DA1">
        <w:rPr>
          <w:sz w:val="22"/>
          <w:szCs w:val="22"/>
          <w:lang w:val="pl-PL"/>
        </w:rPr>
        <w:t>rak odbytu i okrężnicy</w:t>
      </w:r>
    </w:p>
    <w:p w14:paraId="3416FD82" w14:textId="77777777" w:rsidR="0048571C" w:rsidRPr="007E4DA1" w:rsidRDefault="0048571C" w:rsidP="00DE1596">
      <w:pPr>
        <w:pStyle w:val="listdashnospace"/>
        <w:numPr>
          <w:ilvl w:val="0"/>
          <w:numId w:val="0"/>
        </w:numPr>
        <w:rPr>
          <w:sz w:val="22"/>
          <w:szCs w:val="22"/>
          <w:lang w:val="pl-PL"/>
        </w:rPr>
      </w:pPr>
    </w:p>
    <w:p w14:paraId="658C1C40" w14:textId="77777777" w:rsidR="00041A08" w:rsidRPr="00041A08" w:rsidRDefault="0048571C" w:rsidP="00DE1596">
      <w:pPr>
        <w:pStyle w:val="listdashnospace"/>
        <w:keepNext/>
        <w:numPr>
          <w:ilvl w:val="0"/>
          <w:numId w:val="0"/>
        </w:numPr>
        <w:rPr>
          <w:sz w:val="22"/>
          <w:szCs w:val="22"/>
          <w:lang w:val="pl-PL"/>
        </w:rPr>
      </w:pPr>
      <w:r w:rsidRPr="007E4DA1">
        <w:rPr>
          <w:b/>
          <w:sz w:val="22"/>
          <w:szCs w:val="22"/>
          <w:lang w:val="pl-PL"/>
        </w:rPr>
        <w:t>Niezbyt częste działania niepożądane, które mogą ujawnić się w badaniach laboratoryjnych:</w:t>
      </w:r>
    </w:p>
    <w:p w14:paraId="6458E2D0" w14:textId="44D61FBB" w:rsidR="0048571C" w:rsidRPr="007E4DA1" w:rsidRDefault="0048571C" w:rsidP="00DE1596">
      <w:pPr>
        <w:pStyle w:val="listdashnospace"/>
        <w:keepNext/>
        <w:numPr>
          <w:ilvl w:val="0"/>
          <w:numId w:val="68"/>
        </w:numPr>
        <w:tabs>
          <w:tab w:val="clear" w:pos="709"/>
        </w:tabs>
        <w:ind w:left="567"/>
        <w:rPr>
          <w:sz w:val="22"/>
          <w:szCs w:val="22"/>
          <w:lang w:val="pl-PL"/>
        </w:rPr>
      </w:pPr>
      <w:r w:rsidRPr="007E4DA1">
        <w:rPr>
          <w:sz w:val="22"/>
          <w:szCs w:val="22"/>
          <w:lang w:val="pl-PL"/>
        </w:rPr>
        <w:t>zmiany w kształcie czerwonych krwinek</w:t>
      </w:r>
    </w:p>
    <w:p w14:paraId="4102247F" w14:textId="77777777" w:rsidR="00631750" w:rsidRPr="007E4DA1" w:rsidRDefault="00631750" w:rsidP="00DE1596">
      <w:pPr>
        <w:pStyle w:val="listdashnospace"/>
        <w:keepNext/>
        <w:numPr>
          <w:ilvl w:val="0"/>
          <w:numId w:val="68"/>
        </w:numPr>
        <w:tabs>
          <w:tab w:val="clear" w:pos="709"/>
        </w:tabs>
        <w:ind w:left="567"/>
        <w:rPr>
          <w:sz w:val="22"/>
          <w:szCs w:val="22"/>
          <w:lang w:val="pl-PL"/>
        </w:rPr>
      </w:pPr>
      <w:r w:rsidRPr="007E4DA1">
        <w:rPr>
          <w:sz w:val="22"/>
          <w:szCs w:val="22"/>
          <w:lang w:val="pl-PL"/>
        </w:rPr>
        <w:t>obecność rozwijających się krwinek białych, która może wskazywać na występowanie pewnych chorób</w:t>
      </w:r>
    </w:p>
    <w:p w14:paraId="0A3EFB4D" w14:textId="77777777" w:rsidR="0048571C" w:rsidRPr="007E4DA1" w:rsidRDefault="0048571C" w:rsidP="00DE1596">
      <w:pPr>
        <w:pStyle w:val="listdashnospace"/>
        <w:numPr>
          <w:ilvl w:val="0"/>
          <w:numId w:val="68"/>
        </w:numPr>
        <w:tabs>
          <w:tab w:val="clear" w:pos="709"/>
          <w:tab w:val="num" w:pos="540"/>
        </w:tabs>
        <w:ind w:left="567"/>
        <w:rPr>
          <w:sz w:val="22"/>
          <w:szCs w:val="22"/>
          <w:lang w:val="pl-PL"/>
        </w:rPr>
      </w:pPr>
      <w:r w:rsidRPr="007E4DA1">
        <w:rPr>
          <w:sz w:val="22"/>
          <w:szCs w:val="22"/>
          <w:lang w:val="pl-PL"/>
        </w:rPr>
        <w:t>zwiększenie liczby płytek krwi</w:t>
      </w:r>
    </w:p>
    <w:p w14:paraId="2D3B6050" w14:textId="77777777" w:rsidR="0048571C" w:rsidRPr="007E4DA1" w:rsidRDefault="0048571C" w:rsidP="00DE1596">
      <w:pPr>
        <w:pStyle w:val="listdashnospace"/>
        <w:numPr>
          <w:ilvl w:val="0"/>
          <w:numId w:val="68"/>
        </w:numPr>
        <w:tabs>
          <w:tab w:val="clear" w:pos="709"/>
        </w:tabs>
        <w:ind w:left="567"/>
        <w:rPr>
          <w:sz w:val="22"/>
          <w:szCs w:val="22"/>
          <w:lang w:val="pl-PL"/>
        </w:rPr>
      </w:pPr>
      <w:r w:rsidRPr="007E4DA1">
        <w:rPr>
          <w:sz w:val="22"/>
          <w:szCs w:val="22"/>
          <w:lang w:val="pl-PL"/>
        </w:rPr>
        <w:t>zmniejszenie stężenia wapnia</w:t>
      </w:r>
    </w:p>
    <w:p w14:paraId="59EA9E66" w14:textId="77777777" w:rsidR="0048571C" w:rsidRPr="007E4DA1" w:rsidRDefault="0048571C" w:rsidP="00DE1596">
      <w:pPr>
        <w:pStyle w:val="listdashnospace"/>
        <w:numPr>
          <w:ilvl w:val="0"/>
          <w:numId w:val="68"/>
        </w:numPr>
        <w:tabs>
          <w:tab w:val="clear" w:pos="709"/>
        </w:tabs>
        <w:ind w:left="567"/>
        <w:rPr>
          <w:sz w:val="22"/>
          <w:szCs w:val="22"/>
          <w:lang w:val="pl-PL"/>
        </w:rPr>
      </w:pPr>
      <w:r w:rsidRPr="007E4DA1">
        <w:rPr>
          <w:sz w:val="22"/>
          <w:szCs w:val="22"/>
          <w:lang w:val="pl-PL"/>
        </w:rPr>
        <w:t>zmniejszenie liczby czerwonych krwinek (niedokrwistość) spowodowane przez nadmierne niszczenie czerwonych krwinek (niedokrwistość hemolityczna)</w:t>
      </w:r>
    </w:p>
    <w:p w14:paraId="18CB97E2" w14:textId="77777777" w:rsidR="0048571C" w:rsidRPr="007E4DA1" w:rsidRDefault="0048571C" w:rsidP="00DE1596">
      <w:pPr>
        <w:pStyle w:val="listdashnospace"/>
        <w:numPr>
          <w:ilvl w:val="0"/>
          <w:numId w:val="68"/>
        </w:numPr>
        <w:tabs>
          <w:tab w:val="clear" w:pos="709"/>
        </w:tabs>
        <w:ind w:left="567"/>
        <w:rPr>
          <w:sz w:val="22"/>
          <w:szCs w:val="22"/>
          <w:lang w:val="pl-PL"/>
        </w:rPr>
      </w:pPr>
      <w:r w:rsidRPr="007E4DA1">
        <w:rPr>
          <w:sz w:val="22"/>
          <w:szCs w:val="22"/>
          <w:lang w:val="pl-PL"/>
        </w:rPr>
        <w:t>zwiększenie liczby mielocytów</w:t>
      </w:r>
    </w:p>
    <w:p w14:paraId="558E70FF" w14:textId="77777777" w:rsidR="0048571C" w:rsidRPr="007E4DA1" w:rsidRDefault="0048571C" w:rsidP="00DE1596">
      <w:pPr>
        <w:pStyle w:val="listdashnospace"/>
        <w:numPr>
          <w:ilvl w:val="0"/>
          <w:numId w:val="68"/>
        </w:numPr>
        <w:tabs>
          <w:tab w:val="clear" w:pos="709"/>
        </w:tabs>
        <w:ind w:left="567"/>
        <w:rPr>
          <w:sz w:val="22"/>
          <w:szCs w:val="22"/>
          <w:lang w:val="pl-PL"/>
        </w:rPr>
      </w:pPr>
      <w:r w:rsidRPr="007E4DA1">
        <w:rPr>
          <w:sz w:val="22"/>
          <w:szCs w:val="22"/>
          <w:lang w:val="pl-PL"/>
        </w:rPr>
        <w:t>zwiększenie liczby pałeczkowatych granulocytów obojętnochłonnych</w:t>
      </w:r>
    </w:p>
    <w:p w14:paraId="5491D3CE" w14:textId="77777777" w:rsidR="0048571C" w:rsidRPr="007E4DA1" w:rsidRDefault="0048571C" w:rsidP="00DE1596">
      <w:pPr>
        <w:pStyle w:val="listdashnospace"/>
        <w:numPr>
          <w:ilvl w:val="0"/>
          <w:numId w:val="68"/>
        </w:numPr>
        <w:tabs>
          <w:tab w:val="clear" w:pos="709"/>
        </w:tabs>
        <w:ind w:left="567"/>
        <w:rPr>
          <w:sz w:val="22"/>
          <w:szCs w:val="22"/>
          <w:lang w:val="pl-PL"/>
        </w:rPr>
      </w:pPr>
      <w:r w:rsidRPr="007E4DA1">
        <w:rPr>
          <w:sz w:val="22"/>
          <w:szCs w:val="22"/>
          <w:lang w:val="pl-PL"/>
        </w:rPr>
        <w:t>zwiększenie stężenia mocznika we krwi</w:t>
      </w:r>
    </w:p>
    <w:p w14:paraId="7977789F" w14:textId="77777777" w:rsidR="00631750" w:rsidRPr="007E4DA1" w:rsidRDefault="00631750" w:rsidP="00DE1596">
      <w:pPr>
        <w:pStyle w:val="listdashnospace"/>
        <w:numPr>
          <w:ilvl w:val="0"/>
          <w:numId w:val="68"/>
        </w:numPr>
        <w:tabs>
          <w:tab w:val="clear" w:pos="709"/>
        </w:tabs>
        <w:ind w:left="567"/>
        <w:rPr>
          <w:sz w:val="22"/>
          <w:szCs w:val="22"/>
          <w:lang w:val="pl-PL"/>
        </w:rPr>
      </w:pPr>
      <w:r w:rsidRPr="007E4DA1">
        <w:rPr>
          <w:sz w:val="22"/>
          <w:szCs w:val="22"/>
          <w:lang w:val="pl-PL"/>
        </w:rPr>
        <w:t>zwiększenie stężenia białka w moczu</w:t>
      </w:r>
    </w:p>
    <w:p w14:paraId="775B7673" w14:textId="77777777" w:rsidR="0048571C" w:rsidRPr="007E4DA1" w:rsidRDefault="0048571C" w:rsidP="00DE1596">
      <w:pPr>
        <w:pStyle w:val="listdashnospace"/>
        <w:numPr>
          <w:ilvl w:val="0"/>
          <w:numId w:val="68"/>
        </w:numPr>
        <w:tabs>
          <w:tab w:val="clear" w:pos="709"/>
        </w:tabs>
        <w:ind w:left="567"/>
        <w:rPr>
          <w:sz w:val="22"/>
          <w:szCs w:val="22"/>
          <w:lang w:val="pl-PL"/>
        </w:rPr>
      </w:pPr>
      <w:r w:rsidRPr="007E4DA1">
        <w:rPr>
          <w:sz w:val="22"/>
          <w:szCs w:val="22"/>
          <w:lang w:val="pl-PL"/>
        </w:rPr>
        <w:t>zwiększenie stężenia albumin we krwi</w:t>
      </w:r>
    </w:p>
    <w:p w14:paraId="0ADC2260" w14:textId="77777777" w:rsidR="0048571C" w:rsidRPr="007E4DA1" w:rsidRDefault="0048571C" w:rsidP="00DE1596">
      <w:pPr>
        <w:pStyle w:val="listdashnospace"/>
        <w:numPr>
          <w:ilvl w:val="0"/>
          <w:numId w:val="68"/>
        </w:numPr>
        <w:tabs>
          <w:tab w:val="clear" w:pos="709"/>
        </w:tabs>
        <w:ind w:left="567"/>
        <w:rPr>
          <w:sz w:val="22"/>
          <w:szCs w:val="22"/>
          <w:lang w:val="pl-PL"/>
        </w:rPr>
      </w:pPr>
      <w:r w:rsidRPr="007E4DA1">
        <w:rPr>
          <w:sz w:val="22"/>
          <w:szCs w:val="22"/>
          <w:lang w:val="pl-PL"/>
        </w:rPr>
        <w:t>zwiększenie stężenia białka całkowitego</w:t>
      </w:r>
    </w:p>
    <w:p w14:paraId="3A1F7572" w14:textId="77777777" w:rsidR="0048571C" w:rsidRPr="007E4DA1" w:rsidRDefault="0048571C" w:rsidP="00DE1596">
      <w:pPr>
        <w:pStyle w:val="listdashnospace"/>
        <w:numPr>
          <w:ilvl w:val="0"/>
          <w:numId w:val="68"/>
        </w:numPr>
        <w:tabs>
          <w:tab w:val="clear" w:pos="709"/>
        </w:tabs>
        <w:ind w:left="567"/>
        <w:rPr>
          <w:sz w:val="22"/>
          <w:szCs w:val="22"/>
          <w:lang w:val="pl-PL"/>
        </w:rPr>
      </w:pPr>
      <w:r w:rsidRPr="007E4DA1">
        <w:rPr>
          <w:sz w:val="22"/>
          <w:szCs w:val="22"/>
          <w:lang w:val="pl-PL"/>
        </w:rPr>
        <w:t>zmniejszenie stężenia albumin we krwi</w:t>
      </w:r>
    </w:p>
    <w:p w14:paraId="63E97592" w14:textId="77777777" w:rsidR="0048571C" w:rsidRPr="007E4DA1" w:rsidRDefault="0048571C" w:rsidP="00DE1596">
      <w:pPr>
        <w:pStyle w:val="listdashnospace"/>
        <w:numPr>
          <w:ilvl w:val="0"/>
          <w:numId w:val="68"/>
        </w:numPr>
        <w:tabs>
          <w:tab w:val="clear" w:pos="709"/>
        </w:tabs>
        <w:ind w:left="567"/>
        <w:rPr>
          <w:sz w:val="22"/>
          <w:szCs w:val="22"/>
          <w:lang w:val="pl-PL"/>
        </w:rPr>
      </w:pPr>
      <w:r w:rsidRPr="007E4DA1">
        <w:rPr>
          <w:sz w:val="22"/>
          <w:szCs w:val="22"/>
          <w:lang w:val="pl-PL"/>
        </w:rPr>
        <w:t>zwiększenie pH moczu</w:t>
      </w:r>
    </w:p>
    <w:p w14:paraId="0E50561B" w14:textId="77777777" w:rsidR="0048571C" w:rsidRPr="007E4DA1" w:rsidRDefault="0048571C" w:rsidP="00DE1596">
      <w:pPr>
        <w:pStyle w:val="listdashnospace"/>
        <w:numPr>
          <w:ilvl w:val="0"/>
          <w:numId w:val="68"/>
        </w:numPr>
        <w:tabs>
          <w:tab w:val="clear" w:pos="709"/>
        </w:tabs>
        <w:ind w:left="567"/>
        <w:rPr>
          <w:sz w:val="22"/>
          <w:szCs w:val="22"/>
          <w:lang w:val="pl-PL"/>
        </w:rPr>
      </w:pPr>
      <w:r w:rsidRPr="007E4DA1">
        <w:rPr>
          <w:sz w:val="22"/>
          <w:szCs w:val="22"/>
          <w:lang w:val="pl-PL"/>
        </w:rPr>
        <w:t>zwiększenie stężenia hemoglobiny</w:t>
      </w:r>
    </w:p>
    <w:p w14:paraId="3B040B26" w14:textId="77777777" w:rsidR="0048571C" w:rsidRPr="007E4DA1" w:rsidRDefault="0048571C" w:rsidP="00DE1596">
      <w:pPr>
        <w:pStyle w:val="Nottoc-headings"/>
        <w:keepNext w:val="0"/>
        <w:keepLines w:val="0"/>
        <w:spacing w:before="0" w:after="0"/>
        <w:rPr>
          <w:rFonts w:ascii="Times New Roman" w:hAnsi="Times New Roman" w:cs="Times New Roman"/>
          <w:b w:val="0"/>
          <w:sz w:val="22"/>
          <w:szCs w:val="22"/>
          <w:lang w:val="pl-PL" w:eastAsia="en-GB"/>
        </w:rPr>
      </w:pPr>
    </w:p>
    <w:p w14:paraId="5C540BD8" w14:textId="77777777" w:rsidR="00041A08" w:rsidRPr="00041A08" w:rsidRDefault="0048571C" w:rsidP="00DE1596">
      <w:pPr>
        <w:pStyle w:val="Nottoc-headings"/>
        <w:spacing w:before="0" w:after="0"/>
        <w:rPr>
          <w:rFonts w:ascii="Times New Roman" w:hAnsi="Times New Roman" w:cs="Times New Roman"/>
          <w:b w:val="0"/>
          <w:sz w:val="22"/>
          <w:szCs w:val="22"/>
          <w:lang w:val="pl-PL" w:eastAsia="en-GB"/>
        </w:rPr>
      </w:pPr>
      <w:r w:rsidRPr="007E4DA1">
        <w:rPr>
          <w:rFonts w:ascii="Times New Roman" w:hAnsi="Times New Roman" w:cs="Times New Roman"/>
          <w:sz w:val="22"/>
          <w:szCs w:val="22"/>
          <w:lang w:val="pl-PL" w:eastAsia="en-GB"/>
        </w:rPr>
        <w:t>Podane niżej dodatkowe działania niepożądane były zgłaszane jako związane z leczeniem lekiem Revolade u dzieci (w wieku od 1 do 17 lat) z ITP:</w:t>
      </w:r>
    </w:p>
    <w:p w14:paraId="354ED5F7" w14:textId="4B24C2DA" w:rsidR="0048571C" w:rsidRPr="007E4DA1" w:rsidRDefault="0048571C" w:rsidP="00DE1596">
      <w:pPr>
        <w:pStyle w:val="Text"/>
        <w:keepNext/>
        <w:spacing w:before="0"/>
        <w:jc w:val="left"/>
        <w:rPr>
          <w:sz w:val="22"/>
          <w:szCs w:val="22"/>
          <w:lang w:val="pl-PL"/>
        </w:rPr>
      </w:pPr>
      <w:r w:rsidRPr="007E4DA1">
        <w:rPr>
          <w:sz w:val="22"/>
          <w:szCs w:val="22"/>
          <w:lang w:val="pl-PL"/>
        </w:rPr>
        <w:t>Jeśli te działania niepożądane nasilą się, należy powiedzieć o tym lekarzowi prowadzącemu, farmaceucie lub pielęgniarce.</w:t>
      </w:r>
    </w:p>
    <w:p w14:paraId="2C732B8A" w14:textId="77777777" w:rsidR="0048571C" w:rsidRPr="007E4DA1" w:rsidRDefault="0048571C" w:rsidP="00DE1596">
      <w:pPr>
        <w:pStyle w:val="Text"/>
        <w:keepNext/>
        <w:spacing w:before="0"/>
        <w:jc w:val="left"/>
        <w:rPr>
          <w:sz w:val="22"/>
          <w:szCs w:val="22"/>
          <w:lang w:val="pl-PL" w:eastAsia="en-GB"/>
        </w:rPr>
      </w:pPr>
    </w:p>
    <w:p w14:paraId="74D12B3E" w14:textId="77777777" w:rsidR="00041A08" w:rsidRPr="00041A08" w:rsidRDefault="0048571C" w:rsidP="00DE1596">
      <w:pPr>
        <w:keepNext/>
        <w:rPr>
          <w:szCs w:val="22"/>
        </w:rPr>
      </w:pPr>
      <w:r w:rsidRPr="007E4DA1">
        <w:rPr>
          <w:b/>
          <w:szCs w:val="22"/>
        </w:rPr>
        <w:t>Bardzo częste działania niepożądane</w:t>
      </w:r>
    </w:p>
    <w:p w14:paraId="70936747" w14:textId="1F5757D4" w:rsidR="0048571C" w:rsidRPr="007E4DA1" w:rsidRDefault="0048571C" w:rsidP="00DE1596">
      <w:pPr>
        <w:keepNext/>
        <w:rPr>
          <w:szCs w:val="22"/>
        </w:rPr>
      </w:pPr>
      <w:r w:rsidRPr="007E4DA1">
        <w:rPr>
          <w:szCs w:val="22"/>
        </w:rPr>
        <w:t xml:space="preserve">Mogą wystąpić u </w:t>
      </w:r>
      <w:r w:rsidRPr="007E4DA1">
        <w:rPr>
          <w:b/>
          <w:szCs w:val="22"/>
        </w:rPr>
        <w:t>więcej niż 1 na 10</w:t>
      </w:r>
      <w:r w:rsidRPr="007E4DA1">
        <w:rPr>
          <w:szCs w:val="22"/>
        </w:rPr>
        <w:t> dzieci:</w:t>
      </w:r>
    </w:p>
    <w:p w14:paraId="61EDF0F3" w14:textId="77777777" w:rsidR="0048571C" w:rsidRPr="007E4DA1" w:rsidRDefault="0048571C" w:rsidP="00DE1596">
      <w:pPr>
        <w:pStyle w:val="listdashnospace"/>
        <w:numPr>
          <w:ilvl w:val="0"/>
          <w:numId w:val="43"/>
        </w:numPr>
        <w:tabs>
          <w:tab w:val="clear" w:pos="709"/>
        </w:tabs>
        <w:ind w:left="567"/>
        <w:rPr>
          <w:sz w:val="22"/>
          <w:szCs w:val="22"/>
          <w:lang w:val="pl-PL"/>
        </w:rPr>
      </w:pPr>
      <w:r w:rsidRPr="007E4DA1">
        <w:rPr>
          <w:sz w:val="22"/>
          <w:szCs w:val="22"/>
          <w:lang w:val="pl-PL"/>
        </w:rPr>
        <w:t>zakażenie nosa, zatok, gardła i górnych dróg oddechowych, przeziębienie (zakażenie górnych dróg oddechowych)</w:t>
      </w:r>
    </w:p>
    <w:p w14:paraId="00417253" w14:textId="77777777" w:rsidR="0048571C" w:rsidRPr="007E4DA1" w:rsidRDefault="0048571C" w:rsidP="00DE1596">
      <w:pPr>
        <w:pStyle w:val="listdashnospace"/>
        <w:numPr>
          <w:ilvl w:val="0"/>
          <w:numId w:val="43"/>
        </w:numPr>
        <w:tabs>
          <w:tab w:val="clear" w:pos="709"/>
        </w:tabs>
        <w:ind w:left="567"/>
        <w:rPr>
          <w:sz w:val="22"/>
          <w:szCs w:val="22"/>
          <w:lang w:val="pl-PL"/>
        </w:rPr>
      </w:pPr>
      <w:r w:rsidRPr="007E4DA1">
        <w:rPr>
          <w:sz w:val="22"/>
          <w:szCs w:val="22"/>
          <w:lang w:val="pl-PL"/>
        </w:rPr>
        <w:t>biegunka</w:t>
      </w:r>
    </w:p>
    <w:p w14:paraId="69CB77AC" w14:textId="77777777" w:rsidR="0048571C" w:rsidRPr="007E4DA1" w:rsidRDefault="0048571C" w:rsidP="00DE1596">
      <w:pPr>
        <w:pStyle w:val="listdashnospace"/>
        <w:numPr>
          <w:ilvl w:val="0"/>
          <w:numId w:val="43"/>
        </w:numPr>
        <w:tabs>
          <w:tab w:val="clear" w:pos="709"/>
        </w:tabs>
        <w:ind w:left="567"/>
        <w:rPr>
          <w:sz w:val="22"/>
          <w:szCs w:val="22"/>
          <w:lang w:val="pl-PL"/>
        </w:rPr>
      </w:pPr>
      <w:r w:rsidRPr="007E4DA1">
        <w:rPr>
          <w:sz w:val="22"/>
          <w:szCs w:val="22"/>
          <w:lang w:val="pl-PL"/>
        </w:rPr>
        <w:t>ból brzucha</w:t>
      </w:r>
    </w:p>
    <w:p w14:paraId="3DBAF10E" w14:textId="77777777" w:rsidR="0048571C" w:rsidRPr="007E4DA1" w:rsidRDefault="0048571C" w:rsidP="00DE1596">
      <w:pPr>
        <w:pStyle w:val="listdashnospace"/>
        <w:numPr>
          <w:ilvl w:val="0"/>
          <w:numId w:val="43"/>
        </w:numPr>
        <w:tabs>
          <w:tab w:val="clear" w:pos="709"/>
        </w:tabs>
        <w:ind w:left="567"/>
        <w:rPr>
          <w:sz w:val="22"/>
          <w:szCs w:val="22"/>
          <w:lang w:val="pl-PL"/>
        </w:rPr>
      </w:pPr>
      <w:r w:rsidRPr="007E4DA1">
        <w:rPr>
          <w:sz w:val="22"/>
          <w:szCs w:val="22"/>
          <w:lang w:val="pl-PL"/>
        </w:rPr>
        <w:t>kaszel</w:t>
      </w:r>
    </w:p>
    <w:p w14:paraId="47BE79B5" w14:textId="77777777" w:rsidR="0048571C" w:rsidRPr="007E4DA1" w:rsidRDefault="0048571C" w:rsidP="00DE1596">
      <w:pPr>
        <w:pStyle w:val="listdashnospace"/>
        <w:numPr>
          <w:ilvl w:val="0"/>
          <w:numId w:val="43"/>
        </w:numPr>
        <w:tabs>
          <w:tab w:val="clear" w:pos="709"/>
        </w:tabs>
        <w:ind w:left="567"/>
        <w:rPr>
          <w:sz w:val="22"/>
          <w:szCs w:val="22"/>
          <w:lang w:val="pl-PL"/>
        </w:rPr>
      </w:pPr>
      <w:r w:rsidRPr="007E4DA1">
        <w:rPr>
          <w:sz w:val="22"/>
          <w:szCs w:val="22"/>
          <w:lang w:val="pl-PL"/>
        </w:rPr>
        <w:t>wysoka temperatura ciała</w:t>
      </w:r>
    </w:p>
    <w:p w14:paraId="714FE380" w14:textId="77777777" w:rsidR="0048571C" w:rsidRPr="007E4DA1" w:rsidRDefault="0048571C" w:rsidP="00DE1596">
      <w:pPr>
        <w:pStyle w:val="listdashnospace"/>
        <w:numPr>
          <w:ilvl w:val="0"/>
          <w:numId w:val="43"/>
        </w:numPr>
        <w:tabs>
          <w:tab w:val="clear" w:pos="709"/>
        </w:tabs>
        <w:ind w:left="567"/>
        <w:rPr>
          <w:sz w:val="22"/>
          <w:szCs w:val="22"/>
          <w:lang w:val="pl-PL"/>
        </w:rPr>
      </w:pPr>
      <w:r w:rsidRPr="007E4DA1">
        <w:rPr>
          <w:sz w:val="22"/>
          <w:szCs w:val="22"/>
          <w:lang w:val="pl-PL"/>
        </w:rPr>
        <w:t>nudności</w:t>
      </w:r>
    </w:p>
    <w:p w14:paraId="20D7A208" w14:textId="77777777" w:rsidR="0048571C" w:rsidRPr="007E4DA1" w:rsidRDefault="0048571C" w:rsidP="00DE1596">
      <w:pPr>
        <w:rPr>
          <w:szCs w:val="22"/>
        </w:rPr>
      </w:pPr>
    </w:p>
    <w:p w14:paraId="77940037" w14:textId="77777777" w:rsidR="00041A08" w:rsidRPr="00041A08" w:rsidRDefault="0048571C" w:rsidP="00DE1596">
      <w:pPr>
        <w:keepNext/>
        <w:rPr>
          <w:szCs w:val="22"/>
        </w:rPr>
      </w:pPr>
      <w:r w:rsidRPr="007E4DA1">
        <w:rPr>
          <w:b/>
          <w:szCs w:val="22"/>
        </w:rPr>
        <w:t>Częste działania niepożądane</w:t>
      </w:r>
    </w:p>
    <w:p w14:paraId="5E53064D" w14:textId="1774D174" w:rsidR="0048571C" w:rsidRPr="007E4DA1" w:rsidRDefault="0048571C" w:rsidP="00DE1596">
      <w:pPr>
        <w:keepNext/>
        <w:ind w:left="0" w:firstLine="0"/>
        <w:rPr>
          <w:szCs w:val="22"/>
        </w:rPr>
      </w:pPr>
      <w:r w:rsidRPr="007E4DA1">
        <w:rPr>
          <w:szCs w:val="22"/>
        </w:rPr>
        <w:t xml:space="preserve">Mogą wystąpić u </w:t>
      </w:r>
      <w:r w:rsidRPr="007E4DA1">
        <w:rPr>
          <w:b/>
          <w:szCs w:val="22"/>
        </w:rPr>
        <w:t>nie więcej niż 1 na 10</w:t>
      </w:r>
      <w:r w:rsidRPr="007E4DA1">
        <w:rPr>
          <w:szCs w:val="22"/>
        </w:rPr>
        <w:t> dzieci:</w:t>
      </w:r>
    </w:p>
    <w:p w14:paraId="322591F6" w14:textId="77777777" w:rsidR="0048571C" w:rsidRPr="007E4DA1" w:rsidRDefault="0048571C" w:rsidP="00DE1596">
      <w:pPr>
        <w:pStyle w:val="listdashnospace"/>
        <w:numPr>
          <w:ilvl w:val="0"/>
          <w:numId w:val="44"/>
        </w:numPr>
        <w:tabs>
          <w:tab w:val="clear" w:pos="709"/>
        </w:tabs>
        <w:ind w:left="567"/>
        <w:rPr>
          <w:sz w:val="22"/>
          <w:szCs w:val="22"/>
          <w:lang w:val="pl-PL"/>
        </w:rPr>
      </w:pPr>
      <w:r w:rsidRPr="007E4DA1">
        <w:rPr>
          <w:sz w:val="22"/>
          <w:szCs w:val="22"/>
          <w:lang w:val="pl-PL"/>
        </w:rPr>
        <w:t>trudności z zasypianiem (bezsenność)</w:t>
      </w:r>
    </w:p>
    <w:p w14:paraId="665D69F9" w14:textId="77777777" w:rsidR="0048571C" w:rsidRPr="007E4DA1" w:rsidRDefault="0048571C" w:rsidP="00DE1596">
      <w:pPr>
        <w:pStyle w:val="listdashnospace"/>
        <w:numPr>
          <w:ilvl w:val="0"/>
          <w:numId w:val="44"/>
        </w:numPr>
        <w:tabs>
          <w:tab w:val="clear" w:pos="709"/>
        </w:tabs>
        <w:ind w:left="567"/>
        <w:rPr>
          <w:sz w:val="22"/>
          <w:szCs w:val="22"/>
          <w:lang w:val="pl-PL"/>
        </w:rPr>
      </w:pPr>
      <w:r w:rsidRPr="007E4DA1">
        <w:rPr>
          <w:sz w:val="22"/>
          <w:szCs w:val="22"/>
          <w:lang w:val="pl-PL"/>
        </w:rPr>
        <w:t>ból zęba</w:t>
      </w:r>
    </w:p>
    <w:p w14:paraId="28B76CF8" w14:textId="77777777" w:rsidR="0048571C" w:rsidRPr="007E4DA1" w:rsidRDefault="0048571C" w:rsidP="00DE1596">
      <w:pPr>
        <w:pStyle w:val="listdashnospace"/>
        <w:numPr>
          <w:ilvl w:val="0"/>
          <w:numId w:val="44"/>
        </w:numPr>
        <w:tabs>
          <w:tab w:val="clear" w:pos="709"/>
        </w:tabs>
        <w:ind w:left="567"/>
        <w:rPr>
          <w:sz w:val="22"/>
          <w:szCs w:val="22"/>
          <w:lang w:val="pl-PL"/>
        </w:rPr>
      </w:pPr>
      <w:r w:rsidRPr="007E4DA1">
        <w:rPr>
          <w:sz w:val="22"/>
          <w:szCs w:val="22"/>
          <w:lang w:val="pl-PL"/>
        </w:rPr>
        <w:t>ból nosa i gardła</w:t>
      </w:r>
    </w:p>
    <w:p w14:paraId="1FDC3512" w14:textId="77777777" w:rsidR="0048571C" w:rsidRPr="007E4DA1" w:rsidRDefault="0048571C" w:rsidP="00DE1596">
      <w:pPr>
        <w:pStyle w:val="listdashnospace"/>
        <w:numPr>
          <w:ilvl w:val="0"/>
          <w:numId w:val="44"/>
        </w:numPr>
        <w:tabs>
          <w:tab w:val="clear" w:pos="709"/>
        </w:tabs>
        <w:ind w:left="567"/>
        <w:rPr>
          <w:sz w:val="22"/>
          <w:szCs w:val="22"/>
          <w:lang w:val="pl-PL"/>
        </w:rPr>
      </w:pPr>
      <w:r w:rsidRPr="007E4DA1">
        <w:rPr>
          <w:sz w:val="22"/>
          <w:szCs w:val="22"/>
          <w:lang w:val="pl-PL"/>
        </w:rPr>
        <w:t>swędzenie nosa, katar lub niedrożność nosa</w:t>
      </w:r>
    </w:p>
    <w:p w14:paraId="5DECB83F" w14:textId="77777777" w:rsidR="0048571C" w:rsidRPr="007E4DA1" w:rsidRDefault="0048571C" w:rsidP="00DE1596">
      <w:pPr>
        <w:pStyle w:val="listdashnospace"/>
        <w:numPr>
          <w:ilvl w:val="0"/>
          <w:numId w:val="44"/>
        </w:numPr>
        <w:tabs>
          <w:tab w:val="clear" w:pos="709"/>
        </w:tabs>
        <w:ind w:left="567"/>
        <w:rPr>
          <w:sz w:val="22"/>
          <w:szCs w:val="22"/>
          <w:lang w:val="pl-PL"/>
        </w:rPr>
      </w:pPr>
      <w:r w:rsidRPr="007E4DA1">
        <w:rPr>
          <w:sz w:val="22"/>
          <w:szCs w:val="22"/>
          <w:lang w:val="pl-PL"/>
        </w:rPr>
        <w:t>ból gardła, katar, przekrwienie błony śluzowej nosa i kichanie</w:t>
      </w:r>
    </w:p>
    <w:p w14:paraId="5D653861" w14:textId="77777777" w:rsidR="0048571C" w:rsidRPr="007E4DA1" w:rsidRDefault="0048571C" w:rsidP="00DE1596">
      <w:pPr>
        <w:pStyle w:val="listdashnospace"/>
        <w:numPr>
          <w:ilvl w:val="0"/>
          <w:numId w:val="44"/>
        </w:numPr>
        <w:tabs>
          <w:tab w:val="clear" w:pos="709"/>
        </w:tabs>
        <w:ind w:left="567"/>
        <w:rPr>
          <w:sz w:val="22"/>
          <w:szCs w:val="22"/>
          <w:lang w:val="pl-PL"/>
        </w:rPr>
      </w:pPr>
      <w:r w:rsidRPr="007E4DA1">
        <w:rPr>
          <w:sz w:val="22"/>
          <w:szCs w:val="22"/>
          <w:lang w:val="pl-PL"/>
        </w:rPr>
        <w:t>zaburzenia jamy ustnej, w tym suchość w jamie ustnej, bolesność w jamie ustnej, wrażliwość języka, krwawienie z dziąseł, wrzody w jamie ustnej</w:t>
      </w:r>
    </w:p>
    <w:p w14:paraId="0F30C5DF" w14:textId="77777777" w:rsidR="0048571C" w:rsidRPr="007E4DA1" w:rsidRDefault="0048571C" w:rsidP="00DE1596">
      <w:pPr>
        <w:pStyle w:val="listdashnospace"/>
        <w:numPr>
          <w:ilvl w:val="0"/>
          <w:numId w:val="0"/>
        </w:numPr>
        <w:rPr>
          <w:sz w:val="22"/>
          <w:szCs w:val="22"/>
          <w:lang w:val="pl-PL"/>
        </w:rPr>
      </w:pPr>
    </w:p>
    <w:p w14:paraId="400E0494" w14:textId="77777777" w:rsidR="00041A08" w:rsidRPr="00041A08" w:rsidRDefault="0048571C" w:rsidP="00DE1596">
      <w:pPr>
        <w:pStyle w:val="Nottoc-headings"/>
        <w:spacing w:before="0" w:after="0"/>
        <w:rPr>
          <w:rFonts w:ascii="Times New Roman" w:hAnsi="Times New Roman" w:cs="Times New Roman"/>
          <w:b w:val="0"/>
          <w:sz w:val="22"/>
          <w:szCs w:val="22"/>
          <w:lang w:val="pl-PL" w:eastAsia="en-GB"/>
        </w:rPr>
      </w:pPr>
      <w:r w:rsidRPr="007E4DA1">
        <w:rPr>
          <w:rFonts w:ascii="Times New Roman" w:hAnsi="Times New Roman" w:cs="Times New Roman"/>
          <w:sz w:val="22"/>
          <w:szCs w:val="22"/>
          <w:lang w:val="pl-PL" w:eastAsia="en-GB"/>
        </w:rPr>
        <w:t>Podane niżej działania niepożądane były zgłaszane jako związane z leczeniem lekiem Revolade w skojarzeniu z peginterferonem i rybawiryną u pacjentów z WZW C:</w:t>
      </w:r>
    </w:p>
    <w:p w14:paraId="3CBCC3D5" w14:textId="03D93D36" w:rsidR="0048571C" w:rsidRPr="007E4DA1" w:rsidRDefault="0048571C" w:rsidP="00DE1596">
      <w:pPr>
        <w:pStyle w:val="Text"/>
        <w:keepNext/>
        <w:spacing w:before="0"/>
        <w:rPr>
          <w:sz w:val="22"/>
          <w:szCs w:val="22"/>
          <w:lang w:val="pl-PL" w:eastAsia="en-GB"/>
        </w:rPr>
      </w:pPr>
    </w:p>
    <w:p w14:paraId="4869EBAA" w14:textId="77777777" w:rsidR="00041A08" w:rsidRPr="00041A08" w:rsidRDefault="0048571C" w:rsidP="00DE1596">
      <w:pPr>
        <w:keepNext/>
        <w:rPr>
          <w:szCs w:val="22"/>
        </w:rPr>
      </w:pPr>
      <w:r w:rsidRPr="007E4DA1">
        <w:rPr>
          <w:b/>
          <w:szCs w:val="22"/>
        </w:rPr>
        <w:t>Bardzo częste działania niepożądane</w:t>
      </w:r>
    </w:p>
    <w:p w14:paraId="295B3B2A" w14:textId="74D271F0" w:rsidR="0048571C" w:rsidRPr="007E4DA1" w:rsidRDefault="0048571C" w:rsidP="00DE1596">
      <w:pPr>
        <w:keepNext/>
        <w:rPr>
          <w:szCs w:val="22"/>
        </w:rPr>
      </w:pPr>
      <w:r w:rsidRPr="007E4DA1">
        <w:rPr>
          <w:szCs w:val="22"/>
        </w:rPr>
        <w:t xml:space="preserve">Mogą wystąpić u </w:t>
      </w:r>
      <w:r w:rsidRPr="007E4DA1">
        <w:rPr>
          <w:b/>
          <w:szCs w:val="22"/>
        </w:rPr>
        <w:t>więcej niż 1 na 10 </w:t>
      </w:r>
      <w:r w:rsidRPr="007E4DA1">
        <w:rPr>
          <w:szCs w:val="22"/>
        </w:rPr>
        <w:t>pacjentów:</w:t>
      </w:r>
    </w:p>
    <w:p w14:paraId="2BF9790D" w14:textId="77777777" w:rsidR="0048571C" w:rsidRPr="007E4DA1" w:rsidRDefault="0048571C" w:rsidP="00DE1596">
      <w:pPr>
        <w:pStyle w:val="listdashnospace"/>
        <w:numPr>
          <w:ilvl w:val="0"/>
          <w:numId w:val="69"/>
        </w:numPr>
        <w:tabs>
          <w:tab w:val="clear" w:pos="709"/>
        </w:tabs>
        <w:ind w:left="567"/>
        <w:rPr>
          <w:sz w:val="22"/>
          <w:szCs w:val="22"/>
          <w:lang w:val="pl-PL"/>
        </w:rPr>
      </w:pPr>
      <w:r w:rsidRPr="007E4DA1">
        <w:rPr>
          <w:sz w:val="22"/>
          <w:szCs w:val="22"/>
          <w:lang w:val="pl-PL"/>
        </w:rPr>
        <w:t>ból głowy</w:t>
      </w:r>
    </w:p>
    <w:p w14:paraId="1CA5A371" w14:textId="308EC34E" w:rsidR="0048571C" w:rsidRPr="007E4DA1" w:rsidRDefault="00631750" w:rsidP="00DE1596">
      <w:pPr>
        <w:pStyle w:val="listdashnospace"/>
        <w:numPr>
          <w:ilvl w:val="0"/>
          <w:numId w:val="69"/>
        </w:numPr>
        <w:tabs>
          <w:tab w:val="clear" w:pos="709"/>
        </w:tabs>
        <w:ind w:left="567"/>
        <w:rPr>
          <w:sz w:val="22"/>
          <w:szCs w:val="22"/>
          <w:lang w:val="pl-PL"/>
        </w:rPr>
      </w:pPr>
      <w:r w:rsidRPr="007E4DA1">
        <w:rPr>
          <w:sz w:val="22"/>
          <w:szCs w:val="22"/>
          <w:lang w:val="pl-PL"/>
        </w:rPr>
        <w:t>utrata</w:t>
      </w:r>
      <w:r w:rsidR="0048571C" w:rsidRPr="007E4DA1">
        <w:rPr>
          <w:sz w:val="22"/>
          <w:szCs w:val="22"/>
          <w:lang w:val="pl-PL"/>
        </w:rPr>
        <w:t xml:space="preserve"> apetytu</w:t>
      </w:r>
    </w:p>
    <w:p w14:paraId="197BF6FA" w14:textId="77777777" w:rsidR="0048571C" w:rsidRPr="007E4DA1" w:rsidRDefault="0048571C" w:rsidP="00DE1596">
      <w:pPr>
        <w:pStyle w:val="listdashnospace"/>
        <w:numPr>
          <w:ilvl w:val="0"/>
          <w:numId w:val="69"/>
        </w:numPr>
        <w:tabs>
          <w:tab w:val="clear" w:pos="709"/>
        </w:tabs>
        <w:ind w:left="567"/>
        <w:rPr>
          <w:sz w:val="22"/>
          <w:szCs w:val="22"/>
          <w:lang w:val="pl-PL"/>
        </w:rPr>
      </w:pPr>
      <w:r w:rsidRPr="007E4DA1">
        <w:rPr>
          <w:sz w:val="22"/>
          <w:szCs w:val="22"/>
          <w:lang w:val="pl-PL"/>
        </w:rPr>
        <w:t>kaszel</w:t>
      </w:r>
    </w:p>
    <w:p w14:paraId="43BE8EE4" w14:textId="77777777" w:rsidR="0048571C" w:rsidRPr="007E4DA1" w:rsidRDefault="0048571C" w:rsidP="00DE1596">
      <w:pPr>
        <w:pStyle w:val="listdashnospace"/>
        <w:numPr>
          <w:ilvl w:val="0"/>
          <w:numId w:val="69"/>
        </w:numPr>
        <w:tabs>
          <w:tab w:val="clear" w:pos="709"/>
        </w:tabs>
        <w:ind w:left="567"/>
        <w:rPr>
          <w:sz w:val="22"/>
          <w:szCs w:val="22"/>
          <w:lang w:val="pl-PL"/>
        </w:rPr>
      </w:pPr>
      <w:r w:rsidRPr="007E4DA1">
        <w:rPr>
          <w:sz w:val="22"/>
          <w:szCs w:val="22"/>
          <w:lang w:val="pl-PL"/>
        </w:rPr>
        <w:t>nudności, biegunka</w:t>
      </w:r>
    </w:p>
    <w:p w14:paraId="007C91E8" w14:textId="77777777" w:rsidR="0048571C" w:rsidRPr="007E4DA1" w:rsidRDefault="0048571C" w:rsidP="00DE1596">
      <w:pPr>
        <w:pStyle w:val="listdashnospace"/>
        <w:numPr>
          <w:ilvl w:val="0"/>
          <w:numId w:val="69"/>
        </w:numPr>
        <w:tabs>
          <w:tab w:val="clear" w:pos="709"/>
        </w:tabs>
        <w:ind w:left="567"/>
        <w:rPr>
          <w:sz w:val="22"/>
          <w:szCs w:val="22"/>
          <w:lang w:val="pl-PL"/>
        </w:rPr>
      </w:pPr>
      <w:r w:rsidRPr="007E4DA1">
        <w:rPr>
          <w:sz w:val="22"/>
          <w:szCs w:val="22"/>
          <w:lang w:val="pl-PL"/>
        </w:rPr>
        <w:t>ból mięśni, osłabienie mięśni</w:t>
      </w:r>
    </w:p>
    <w:p w14:paraId="45F612ED" w14:textId="77777777" w:rsidR="0048571C" w:rsidRPr="007E4DA1" w:rsidRDefault="0048571C" w:rsidP="00DE1596">
      <w:pPr>
        <w:pStyle w:val="listdashnospace"/>
        <w:numPr>
          <w:ilvl w:val="0"/>
          <w:numId w:val="69"/>
        </w:numPr>
        <w:tabs>
          <w:tab w:val="clear" w:pos="709"/>
        </w:tabs>
        <w:ind w:left="567"/>
        <w:rPr>
          <w:sz w:val="22"/>
          <w:szCs w:val="22"/>
          <w:lang w:val="pl-PL"/>
        </w:rPr>
      </w:pPr>
      <w:r w:rsidRPr="007E4DA1">
        <w:rPr>
          <w:sz w:val="22"/>
          <w:szCs w:val="22"/>
          <w:lang w:val="pl-PL"/>
        </w:rPr>
        <w:t>swędzenie</w:t>
      </w:r>
    </w:p>
    <w:p w14:paraId="0C40D6EF" w14:textId="6FE760F3" w:rsidR="0048571C" w:rsidRPr="007E4DA1" w:rsidRDefault="00631750" w:rsidP="00DE1596">
      <w:pPr>
        <w:pStyle w:val="listdashnospace"/>
        <w:numPr>
          <w:ilvl w:val="0"/>
          <w:numId w:val="69"/>
        </w:numPr>
        <w:tabs>
          <w:tab w:val="clear" w:pos="709"/>
        </w:tabs>
        <w:ind w:left="567"/>
        <w:rPr>
          <w:sz w:val="22"/>
          <w:szCs w:val="22"/>
          <w:lang w:val="pl-PL"/>
        </w:rPr>
      </w:pPr>
      <w:r w:rsidRPr="007E4DA1">
        <w:rPr>
          <w:sz w:val="22"/>
          <w:szCs w:val="22"/>
          <w:lang w:val="pl-PL"/>
        </w:rPr>
        <w:t>uczucie zmęczenia</w:t>
      </w:r>
    </w:p>
    <w:p w14:paraId="2E823CAF" w14:textId="1A7F2D69" w:rsidR="0048571C" w:rsidRPr="007E4DA1" w:rsidRDefault="00631750" w:rsidP="00DE1596">
      <w:pPr>
        <w:pStyle w:val="listdashnospace"/>
        <w:numPr>
          <w:ilvl w:val="0"/>
          <w:numId w:val="69"/>
        </w:numPr>
        <w:tabs>
          <w:tab w:val="clear" w:pos="709"/>
        </w:tabs>
        <w:ind w:left="567"/>
        <w:rPr>
          <w:sz w:val="22"/>
          <w:szCs w:val="22"/>
          <w:lang w:val="pl-PL"/>
        </w:rPr>
      </w:pPr>
      <w:r w:rsidRPr="007E4DA1">
        <w:rPr>
          <w:sz w:val="22"/>
          <w:szCs w:val="22"/>
          <w:lang w:val="pl-PL"/>
        </w:rPr>
        <w:t>gorączka</w:t>
      </w:r>
    </w:p>
    <w:p w14:paraId="555EBF58" w14:textId="77777777" w:rsidR="0048571C" w:rsidRPr="007E4DA1" w:rsidRDefault="0048571C" w:rsidP="00DE1596">
      <w:pPr>
        <w:pStyle w:val="listdashnospace"/>
        <w:numPr>
          <w:ilvl w:val="0"/>
          <w:numId w:val="69"/>
        </w:numPr>
        <w:tabs>
          <w:tab w:val="clear" w:pos="709"/>
        </w:tabs>
        <w:ind w:left="567"/>
        <w:rPr>
          <w:sz w:val="22"/>
          <w:szCs w:val="22"/>
          <w:lang w:val="pl-PL"/>
        </w:rPr>
      </w:pPr>
      <w:r w:rsidRPr="007E4DA1">
        <w:rPr>
          <w:sz w:val="22"/>
          <w:szCs w:val="22"/>
          <w:lang w:val="pl-PL"/>
        </w:rPr>
        <w:t>nietypowe wypadanie włosów</w:t>
      </w:r>
    </w:p>
    <w:p w14:paraId="2EDF6E88" w14:textId="77777777" w:rsidR="0048571C" w:rsidRPr="007E4DA1" w:rsidRDefault="0048571C" w:rsidP="00DE1596">
      <w:pPr>
        <w:pStyle w:val="listdashnospace"/>
        <w:numPr>
          <w:ilvl w:val="0"/>
          <w:numId w:val="69"/>
        </w:numPr>
        <w:tabs>
          <w:tab w:val="clear" w:pos="709"/>
        </w:tabs>
        <w:ind w:left="567"/>
        <w:rPr>
          <w:sz w:val="22"/>
          <w:szCs w:val="22"/>
          <w:lang w:val="pl-PL"/>
        </w:rPr>
      </w:pPr>
      <w:r w:rsidRPr="007E4DA1">
        <w:rPr>
          <w:sz w:val="22"/>
          <w:szCs w:val="22"/>
          <w:lang w:val="pl-PL"/>
        </w:rPr>
        <w:t>osłabienie</w:t>
      </w:r>
    </w:p>
    <w:p w14:paraId="4CA02FE5" w14:textId="77777777" w:rsidR="0048571C" w:rsidRPr="007E4DA1" w:rsidRDefault="0048571C" w:rsidP="00DE1596">
      <w:pPr>
        <w:pStyle w:val="listdashnospace"/>
        <w:numPr>
          <w:ilvl w:val="0"/>
          <w:numId w:val="69"/>
        </w:numPr>
        <w:tabs>
          <w:tab w:val="clear" w:pos="709"/>
        </w:tabs>
        <w:ind w:left="567"/>
        <w:rPr>
          <w:sz w:val="22"/>
          <w:szCs w:val="22"/>
          <w:lang w:val="pl-PL"/>
        </w:rPr>
      </w:pPr>
      <w:r w:rsidRPr="007E4DA1">
        <w:rPr>
          <w:sz w:val="22"/>
          <w:szCs w:val="22"/>
          <w:lang w:val="pl-PL"/>
        </w:rPr>
        <w:t>choroba grypopodobna</w:t>
      </w:r>
    </w:p>
    <w:p w14:paraId="385A51E3" w14:textId="77777777" w:rsidR="0048571C" w:rsidRPr="007E4DA1" w:rsidRDefault="0048571C" w:rsidP="00DE1596">
      <w:pPr>
        <w:pStyle w:val="listdashnospace"/>
        <w:numPr>
          <w:ilvl w:val="0"/>
          <w:numId w:val="69"/>
        </w:numPr>
        <w:tabs>
          <w:tab w:val="clear" w:pos="709"/>
        </w:tabs>
        <w:ind w:left="567"/>
        <w:rPr>
          <w:sz w:val="22"/>
          <w:szCs w:val="22"/>
          <w:lang w:val="pl-PL"/>
        </w:rPr>
      </w:pPr>
      <w:r w:rsidRPr="007E4DA1">
        <w:rPr>
          <w:sz w:val="22"/>
          <w:szCs w:val="22"/>
          <w:lang w:val="pl-PL"/>
        </w:rPr>
        <w:t>obrzęk dłoni lub stóp</w:t>
      </w:r>
    </w:p>
    <w:p w14:paraId="7C04484E" w14:textId="77777777" w:rsidR="0048571C" w:rsidRPr="007E4DA1" w:rsidRDefault="0048571C" w:rsidP="00DE1596">
      <w:pPr>
        <w:pStyle w:val="listdashnospace"/>
        <w:numPr>
          <w:ilvl w:val="0"/>
          <w:numId w:val="69"/>
        </w:numPr>
        <w:tabs>
          <w:tab w:val="clear" w:pos="709"/>
        </w:tabs>
        <w:ind w:left="567"/>
        <w:rPr>
          <w:sz w:val="22"/>
          <w:szCs w:val="22"/>
          <w:lang w:val="pl-PL"/>
        </w:rPr>
      </w:pPr>
      <w:r w:rsidRPr="007E4DA1">
        <w:rPr>
          <w:sz w:val="22"/>
          <w:szCs w:val="22"/>
          <w:lang w:val="pl-PL"/>
        </w:rPr>
        <w:t>dreszcze</w:t>
      </w:r>
    </w:p>
    <w:p w14:paraId="4B56C62E" w14:textId="77777777" w:rsidR="0048571C" w:rsidRPr="007E4DA1" w:rsidRDefault="0048571C" w:rsidP="00DE1596">
      <w:pPr>
        <w:pStyle w:val="listdashnospace"/>
        <w:numPr>
          <w:ilvl w:val="0"/>
          <w:numId w:val="0"/>
        </w:numPr>
        <w:rPr>
          <w:sz w:val="22"/>
          <w:szCs w:val="22"/>
          <w:lang w:val="pl-PL"/>
        </w:rPr>
      </w:pPr>
    </w:p>
    <w:p w14:paraId="0A2A3358" w14:textId="77777777" w:rsidR="00041A08" w:rsidRPr="00041A08" w:rsidRDefault="0048571C" w:rsidP="00DE1596">
      <w:pPr>
        <w:pStyle w:val="listdashnospace"/>
        <w:keepNext/>
        <w:numPr>
          <w:ilvl w:val="0"/>
          <w:numId w:val="0"/>
        </w:numPr>
        <w:rPr>
          <w:sz w:val="22"/>
          <w:szCs w:val="22"/>
          <w:lang w:val="pl-PL"/>
        </w:rPr>
      </w:pPr>
      <w:r w:rsidRPr="007E4DA1">
        <w:rPr>
          <w:b/>
          <w:sz w:val="22"/>
          <w:szCs w:val="22"/>
          <w:lang w:val="pl-PL"/>
        </w:rPr>
        <w:t>Bardzo częste działania niepożądane, które mogą ujawnić się w badaniach krwi:</w:t>
      </w:r>
    </w:p>
    <w:p w14:paraId="527ADBC1" w14:textId="2282ACC1" w:rsidR="0048571C" w:rsidRPr="007E4DA1" w:rsidRDefault="0048571C" w:rsidP="00DE1596">
      <w:pPr>
        <w:pStyle w:val="listdashnospace"/>
        <w:numPr>
          <w:ilvl w:val="0"/>
          <w:numId w:val="69"/>
        </w:numPr>
        <w:tabs>
          <w:tab w:val="clear" w:pos="709"/>
          <w:tab w:val="num" w:pos="-5103"/>
        </w:tabs>
        <w:ind w:left="567"/>
        <w:rPr>
          <w:sz w:val="22"/>
          <w:szCs w:val="22"/>
          <w:lang w:val="pl-PL"/>
        </w:rPr>
      </w:pPr>
      <w:r w:rsidRPr="007E4DA1">
        <w:rPr>
          <w:sz w:val="22"/>
          <w:szCs w:val="22"/>
          <w:lang w:val="pl-PL"/>
        </w:rPr>
        <w:t>zmniejszenie liczby czerwonych krwinek (niedokrwistość)</w:t>
      </w:r>
    </w:p>
    <w:p w14:paraId="4E4D5866" w14:textId="77777777" w:rsidR="0048571C" w:rsidRPr="007E4DA1" w:rsidRDefault="0048571C" w:rsidP="00DE1596">
      <w:pPr>
        <w:rPr>
          <w:szCs w:val="22"/>
        </w:rPr>
      </w:pPr>
    </w:p>
    <w:p w14:paraId="7D1CD0C5" w14:textId="77777777" w:rsidR="00041A08" w:rsidRPr="00041A08" w:rsidRDefault="0048571C" w:rsidP="00DE1596">
      <w:pPr>
        <w:keepNext/>
        <w:rPr>
          <w:szCs w:val="22"/>
        </w:rPr>
      </w:pPr>
      <w:r w:rsidRPr="007E4DA1">
        <w:rPr>
          <w:b/>
          <w:szCs w:val="22"/>
        </w:rPr>
        <w:t>Częste działania niepożądane</w:t>
      </w:r>
    </w:p>
    <w:p w14:paraId="5EF76B6C" w14:textId="10007889" w:rsidR="0048571C" w:rsidRPr="007E4DA1" w:rsidRDefault="0048571C" w:rsidP="00DE1596">
      <w:pPr>
        <w:keepNext/>
        <w:rPr>
          <w:szCs w:val="22"/>
        </w:rPr>
      </w:pPr>
      <w:r w:rsidRPr="007E4DA1">
        <w:rPr>
          <w:szCs w:val="22"/>
        </w:rPr>
        <w:t xml:space="preserve">Mogą wystąpić </w:t>
      </w:r>
      <w:r w:rsidRPr="007E4DA1">
        <w:rPr>
          <w:b/>
          <w:szCs w:val="22"/>
        </w:rPr>
        <w:t>nie częściej niż u 1 na 10 </w:t>
      </w:r>
      <w:r w:rsidRPr="007E4DA1">
        <w:rPr>
          <w:szCs w:val="22"/>
        </w:rPr>
        <w:t>pacjentów:</w:t>
      </w:r>
    </w:p>
    <w:p w14:paraId="54E0EDB1" w14:textId="77777777" w:rsidR="0048571C" w:rsidRPr="007E4DA1" w:rsidRDefault="0048571C"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zakażenia układu moczowego</w:t>
      </w:r>
    </w:p>
    <w:p w14:paraId="540B88E0" w14:textId="77777777" w:rsidR="0048571C" w:rsidRPr="007E4DA1" w:rsidRDefault="0048571C"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zapalenie przewodów nosowych, gardła, jamy ustnej, objawy grypopodobne, suchość w jamie ustnej, ból lub zapalenie jamy ustnej, ból zęba</w:t>
      </w:r>
    </w:p>
    <w:p w14:paraId="598ED097" w14:textId="77777777" w:rsidR="0048571C" w:rsidRPr="007E4DA1" w:rsidRDefault="0048571C"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utrata masy ciała</w:t>
      </w:r>
    </w:p>
    <w:p w14:paraId="56E51B2D" w14:textId="77777777" w:rsidR="0048571C" w:rsidRPr="007E4DA1" w:rsidRDefault="0048571C"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zaburzenia snu, nieprawidłowa senność, depresja, lęk</w:t>
      </w:r>
    </w:p>
    <w:p w14:paraId="2E5083E3" w14:textId="77777777" w:rsidR="0048571C" w:rsidRPr="007E4DA1" w:rsidRDefault="0048571C"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zawroty głowy, zaburzenia koncentracji i pamięci, zmiany nastroju</w:t>
      </w:r>
    </w:p>
    <w:p w14:paraId="61E05C93" w14:textId="06268C6C" w:rsidR="00631750" w:rsidRPr="007E4DA1" w:rsidRDefault="007E0DD4"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zaburzona czynność</w:t>
      </w:r>
      <w:r w:rsidR="00631750" w:rsidRPr="007E4DA1">
        <w:rPr>
          <w:sz w:val="22"/>
          <w:szCs w:val="22"/>
          <w:lang w:val="pl-PL"/>
        </w:rPr>
        <w:t xml:space="preserve"> mózgu spowodowan</w:t>
      </w:r>
      <w:r w:rsidRPr="007E4DA1">
        <w:rPr>
          <w:sz w:val="22"/>
          <w:szCs w:val="22"/>
          <w:lang w:val="pl-PL"/>
        </w:rPr>
        <w:t>a</w:t>
      </w:r>
      <w:r w:rsidR="00631750" w:rsidRPr="007E4DA1">
        <w:rPr>
          <w:sz w:val="22"/>
          <w:szCs w:val="22"/>
          <w:lang w:val="pl-PL"/>
        </w:rPr>
        <w:t xml:space="preserve"> uszkodzeniem wątroby</w:t>
      </w:r>
    </w:p>
    <w:p w14:paraId="774C6DAF" w14:textId="77777777" w:rsidR="0048571C" w:rsidRPr="007E4DA1" w:rsidRDefault="0048571C"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mrowienia lub drętwienia rąk lub stóp</w:t>
      </w:r>
    </w:p>
    <w:p w14:paraId="4A18BD32" w14:textId="77777777" w:rsidR="0048571C" w:rsidRPr="007E4DA1" w:rsidRDefault="0048571C"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gorączka, ból głowy</w:t>
      </w:r>
    </w:p>
    <w:p w14:paraId="321F1349" w14:textId="77777777" w:rsidR="0048571C" w:rsidRPr="007E4DA1" w:rsidRDefault="0048571C"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zaburzenia wzroku, w tym: zmętnienie soczewki oka (zaćma), zespól suchego oka, niewielkie żółte złogi na siatkówce oka, zażółcenie białek oczu</w:t>
      </w:r>
    </w:p>
    <w:p w14:paraId="6D33B57A" w14:textId="77777777" w:rsidR="0048571C" w:rsidRPr="007E4DA1" w:rsidRDefault="0048571C"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krwawienie do siatkówki</w:t>
      </w:r>
    </w:p>
    <w:p w14:paraId="73C600FA" w14:textId="77777777" w:rsidR="0048571C" w:rsidRPr="007E4DA1" w:rsidRDefault="0048571C"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uczucie wirowania (zawroty głowy)</w:t>
      </w:r>
    </w:p>
    <w:p w14:paraId="0E207A2C" w14:textId="77777777" w:rsidR="0048571C" w:rsidRPr="007E4DA1" w:rsidRDefault="0048571C"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przyspieszone lub nieregularne bicie serca (kołatanie), skrócenie oddechu</w:t>
      </w:r>
    </w:p>
    <w:p w14:paraId="0EFBAD80" w14:textId="77777777" w:rsidR="0048571C" w:rsidRPr="007E4DA1" w:rsidRDefault="0048571C" w:rsidP="00DE1596">
      <w:pPr>
        <w:pStyle w:val="listdashnospace"/>
        <w:numPr>
          <w:ilvl w:val="0"/>
          <w:numId w:val="65"/>
        </w:numPr>
        <w:tabs>
          <w:tab w:val="clear" w:pos="709"/>
        </w:tabs>
        <w:ind w:left="567"/>
        <w:rPr>
          <w:sz w:val="22"/>
          <w:szCs w:val="22"/>
          <w:lang w:val="pl-PL"/>
        </w:rPr>
      </w:pPr>
      <w:r w:rsidRPr="007E4DA1">
        <w:rPr>
          <w:sz w:val="22"/>
          <w:szCs w:val="22"/>
          <w:lang w:val="pl-PL"/>
        </w:rPr>
        <w:t>kaszel z odkrztuszaniem, katar, grypa, opryszczka wargowa, ból gardła i uczucie dyskomfortu przy przełykaniu</w:t>
      </w:r>
    </w:p>
    <w:p w14:paraId="683BADDC" w14:textId="2D979E84" w:rsidR="0048571C" w:rsidRPr="007E4DA1" w:rsidRDefault="0048571C"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 xml:space="preserve">zaburzenia układu trawiennego obejmujące: wymioty, ból brzucha, niestrawność, zaparcia, wzdęcie brzucha, zaburzenia smaku, hemoroidy, </w:t>
      </w:r>
      <w:r w:rsidR="00631750" w:rsidRPr="007E4DA1">
        <w:rPr>
          <w:sz w:val="22"/>
          <w:szCs w:val="22"/>
          <w:lang w:val="pl-PL"/>
        </w:rPr>
        <w:t>ból</w:t>
      </w:r>
      <w:r w:rsidR="007F7B67" w:rsidRPr="007E4DA1">
        <w:rPr>
          <w:sz w:val="22"/>
          <w:szCs w:val="22"/>
          <w:lang w:val="pl-PL"/>
        </w:rPr>
        <w:t xml:space="preserve"> lub </w:t>
      </w:r>
      <w:r w:rsidR="00631750" w:rsidRPr="007E4DA1">
        <w:rPr>
          <w:sz w:val="22"/>
          <w:szCs w:val="22"/>
          <w:lang w:val="pl-PL"/>
        </w:rPr>
        <w:t>dyskomfort żołądka, obrzęk naczyń krwionośnych i krwawienie w przełyku</w:t>
      </w:r>
    </w:p>
    <w:p w14:paraId="5489D120" w14:textId="77777777" w:rsidR="0048571C" w:rsidRPr="007E4DA1" w:rsidRDefault="0048571C"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ból zęba</w:t>
      </w:r>
    </w:p>
    <w:p w14:paraId="46288A4C" w14:textId="69B41E67" w:rsidR="0048571C" w:rsidRPr="007E4DA1" w:rsidRDefault="0048571C"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problem z wątrobą w tym guz wątroby</w:t>
      </w:r>
      <w:r w:rsidR="00631750" w:rsidRPr="007E4DA1">
        <w:rPr>
          <w:sz w:val="22"/>
          <w:szCs w:val="22"/>
          <w:lang w:val="pl-PL"/>
        </w:rPr>
        <w:t>, zażółcenie białk</w:t>
      </w:r>
      <w:r w:rsidR="007F7B67" w:rsidRPr="007E4DA1">
        <w:rPr>
          <w:sz w:val="22"/>
          <w:szCs w:val="22"/>
          <w:lang w:val="pl-PL"/>
        </w:rPr>
        <w:t>ówek</w:t>
      </w:r>
      <w:r w:rsidR="00631750" w:rsidRPr="007E4DA1">
        <w:rPr>
          <w:sz w:val="22"/>
          <w:szCs w:val="22"/>
          <w:lang w:val="pl-PL"/>
        </w:rPr>
        <w:t xml:space="preserve"> oczu lub skóry (żółtaczka), uszkodzenie wątroby spowodowane przez lek</w:t>
      </w:r>
      <w:r w:rsidRPr="007E4DA1">
        <w:rPr>
          <w:sz w:val="22"/>
          <w:szCs w:val="22"/>
          <w:lang w:val="pl-PL"/>
        </w:rPr>
        <w:t xml:space="preserve"> (patrz wyżej</w:t>
      </w:r>
      <w:r w:rsidRPr="007E4DA1">
        <w:rPr>
          <w:i/>
          <w:sz w:val="22"/>
          <w:szCs w:val="22"/>
          <w:lang w:val="pl-PL"/>
        </w:rPr>
        <w:t xml:space="preserve"> </w:t>
      </w:r>
      <w:r w:rsidRPr="007E4DA1">
        <w:rPr>
          <w:b/>
          <w:i/>
          <w:sz w:val="22"/>
          <w:szCs w:val="22"/>
          <w:lang w:val="pl-PL"/>
        </w:rPr>
        <w:t>„Zaburzenia wątroby”</w:t>
      </w:r>
      <w:r w:rsidRPr="00416C42">
        <w:rPr>
          <w:bCs/>
          <w:iCs/>
          <w:sz w:val="22"/>
          <w:szCs w:val="22"/>
          <w:lang w:val="pl-PL"/>
        </w:rPr>
        <w:t xml:space="preserve"> </w:t>
      </w:r>
      <w:r w:rsidRPr="007E4DA1">
        <w:rPr>
          <w:sz w:val="22"/>
          <w:szCs w:val="22"/>
          <w:lang w:val="pl-PL"/>
        </w:rPr>
        <w:t>w punkcie 4)</w:t>
      </w:r>
    </w:p>
    <w:p w14:paraId="1C4E5F00" w14:textId="77777777" w:rsidR="0048571C" w:rsidRPr="007E4DA1" w:rsidRDefault="0048571C"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zmiany skórne, w tym: wysypka, suchość skóry, wyprysk, zaczerwienienie skóry, swędzenie, nadmierna potliwość, narośla na skórze</w:t>
      </w:r>
      <w:r w:rsidR="00631750" w:rsidRPr="007E4DA1">
        <w:rPr>
          <w:sz w:val="22"/>
          <w:szCs w:val="22"/>
          <w:lang w:val="pl-PL"/>
        </w:rPr>
        <w:t>, wypadanie włosów</w:t>
      </w:r>
    </w:p>
    <w:p w14:paraId="059F513B" w14:textId="77777777" w:rsidR="0048571C" w:rsidRPr="007E4DA1" w:rsidRDefault="0048571C"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 xml:space="preserve">ból stawów, ból pleców, ból kości, ból </w:t>
      </w:r>
      <w:r w:rsidR="00631750" w:rsidRPr="007E4DA1">
        <w:rPr>
          <w:sz w:val="22"/>
          <w:szCs w:val="22"/>
          <w:lang w:val="pl-PL"/>
        </w:rPr>
        <w:t xml:space="preserve">kończyn (nóg, ramion, </w:t>
      </w:r>
      <w:r w:rsidRPr="007E4DA1">
        <w:rPr>
          <w:sz w:val="22"/>
          <w:szCs w:val="22"/>
          <w:lang w:val="pl-PL"/>
        </w:rPr>
        <w:t>rąk lub stóp</w:t>
      </w:r>
      <w:r w:rsidR="00631750" w:rsidRPr="007E4DA1">
        <w:rPr>
          <w:sz w:val="22"/>
          <w:szCs w:val="22"/>
          <w:lang w:val="pl-PL"/>
        </w:rPr>
        <w:t>)</w:t>
      </w:r>
      <w:r w:rsidRPr="007E4DA1">
        <w:rPr>
          <w:sz w:val="22"/>
          <w:szCs w:val="22"/>
          <w:lang w:val="pl-PL"/>
        </w:rPr>
        <w:t>, skurcze mięśni</w:t>
      </w:r>
    </w:p>
    <w:p w14:paraId="4BFBE9D3" w14:textId="77777777" w:rsidR="0048571C" w:rsidRPr="007E4DA1" w:rsidRDefault="0048571C"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 xml:space="preserve">drażliwość, złe samopoczucie ogólne, </w:t>
      </w:r>
      <w:r w:rsidR="00631750" w:rsidRPr="007E4DA1">
        <w:rPr>
          <w:sz w:val="22"/>
          <w:szCs w:val="22"/>
          <w:lang w:val="pl-PL"/>
        </w:rPr>
        <w:t xml:space="preserve">reakcje skórne takie jak zaczerwienienie lub obrzęk i ból w miejscu wstrzyknięcia, </w:t>
      </w:r>
      <w:r w:rsidRPr="007E4DA1">
        <w:rPr>
          <w:sz w:val="22"/>
          <w:szCs w:val="22"/>
          <w:lang w:val="pl-PL"/>
        </w:rPr>
        <w:t>ból w klatce piersiowej i uczucie dyskomfortu</w:t>
      </w:r>
      <w:r w:rsidR="00655970" w:rsidRPr="007E4DA1">
        <w:rPr>
          <w:sz w:val="22"/>
          <w:szCs w:val="22"/>
          <w:lang w:val="pl-PL"/>
        </w:rPr>
        <w:t>, nagromadzenie się płynu w organizmie lub w kończynach powodujące obrzęk</w:t>
      </w:r>
    </w:p>
    <w:p w14:paraId="1A460FA2" w14:textId="77777777" w:rsidR="0048571C" w:rsidRPr="007E4DA1" w:rsidRDefault="0048571C"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zakażenie nosa, zatok, gardła i górnych dróg oddechowych, przeziębienie (zakażenie górnych dróg oddechowych)</w:t>
      </w:r>
      <w:r w:rsidR="00655970" w:rsidRPr="007E4DA1">
        <w:rPr>
          <w:sz w:val="22"/>
          <w:szCs w:val="22"/>
          <w:lang w:val="pl-PL"/>
        </w:rPr>
        <w:t>, zapalenie błony śluzowej wyściełającej oskrzela</w:t>
      </w:r>
    </w:p>
    <w:p w14:paraId="0CD27460" w14:textId="3DFF38D9" w:rsidR="0048571C" w:rsidRPr="007E4DA1" w:rsidRDefault="0048571C"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depresja, l</w:t>
      </w:r>
      <w:r w:rsidR="009C6B5F" w:rsidRPr="007E4DA1">
        <w:rPr>
          <w:sz w:val="22"/>
          <w:szCs w:val="22"/>
          <w:lang w:val="pl-PL"/>
        </w:rPr>
        <w:t>ę</w:t>
      </w:r>
      <w:r w:rsidRPr="007E4DA1">
        <w:rPr>
          <w:sz w:val="22"/>
          <w:szCs w:val="22"/>
          <w:lang w:val="pl-PL"/>
        </w:rPr>
        <w:t>k, zaburzenia snu, nerwowość</w:t>
      </w:r>
    </w:p>
    <w:p w14:paraId="00C73509" w14:textId="77777777" w:rsidR="0048571C" w:rsidRPr="007E4DA1" w:rsidRDefault="0048571C" w:rsidP="00DE1596">
      <w:pPr>
        <w:pStyle w:val="listdashnospace"/>
        <w:numPr>
          <w:ilvl w:val="0"/>
          <w:numId w:val="0"/>
        </w:numPr>
        <w:rPr>
          <w:sz w:val="22"/>
          <w:szCs w:val="22"/>
          <w:lang w:val="pl-PL"/>
        </w:rPr>
      </w:pPr>
    </w:p>
    <w:p w14:paraId="79594605" w14:textId="77777777" w:rsidR="00041A08" w:rsidRPr="00041A08" w:rsidRDefault="0048571C" w:rsidP="00DE1596">
      <w:pPr>
        <w:pStyle w:val="listdashnospace"/>
        <w:keepNext/>
        <w:numPr>
          <w:ilvl w:val="0"/>
          <w:numId w:val="0"/>
        </w:numPr>
        <w:rPr>
          <w:sz w:val="22"/>
          <w:szCs w:val="22"/>
          <w:lang w:val="pl-PL"/>
        </w:rPr>
      </w:pPr>
      <w:r w:rsidRPr="007E4DA1">
        <w:rPr>
          <w:b/>
          <w:sz w:val="22"/>
          <w:szCs w:val="22"/>
          <w:lang w:val="pl-PL"/>
        </w:rPr>
        <w:t>Częste działania niepożądane, które mogą ujawnić się w badaniach krwi:</w:t>
      </w:r>
    </w:p>
    <w:p w14:paraId="3DF4714D" w14:textId="55820DD3" w:rsidR="0048571C" w:rsidRPr="007E4DA1" w:rsidRDefault="0048571C" w:rsidP="00DE1596">
      <w:pPr>
        <w:pStyle w:val="listdashnospace"/>
        <w:numPr>
          <w:ilvl w:val="0"/>
          <w:numId w:val="69"/>
        </w:numPr>
        <w:tabs>
          <w:tab w:val="clear" w:pos="709"/>
        </w:tabs>
        <w:ind w:left="567"/>
        <w:rPr>
          <w:sz w:val="22"/>
          <w:szCs w:val="22"/>
          <w:lang w:val="pl-PL"/>
        </w:rPr>
      </w:pPr>
      <w:r w:rsidRPr="007E4DA1">
        <w:rPr>
          <w:sz w:val="22"/>
          <w:szCs w:val="22"/>
          <w:lang w:val="pl-PL"/>
        </w:rPr>
        <w:t>zwiększenie stężenia cukru (glukozy) we krwi</w:t>
      </w:r>
    </w:p>
    <w:p w14:paraId="65AB7C80" w14:textId="77777777" w:rsidR="0048571C" w:rsidRPr="007E4DA1" w:rsidRDefault="0048571C" w:rsidP="00DE1596">
      <w:pPr>
        <w:pStyle w:val="listdashnospace"/>
        <w:numPr>
          <w:ilvl w:val="0"/>
          <w:numId w:val="69"/>
        </w:numPr>
        <w:tabs>
          <w:tab w:val="clear" w:pos="709"/>
        </w:tabs>
        <w:ind w:left="567"/>
        <w:rPr>
          <w:sz w:val="22"/>
          <w:szCs w:val="22"/>
          <w:lang w:val="pl-PL"/>
        </w:rPr>
      </w:pPr>
      <w:r w:rsidRPr="007E4DA1">
        <w:rPr>
          <w:sz w:val="22"/>
          <w:szCs w:val="22"/>
          <w:lang w:val="pl-PL"/>
        </w:rPr>
        <w:t>zmniejszenie liczby białych krwinek</w:t>
      </w:r>
    </w:p>
    <w:p w14:paraId="7ED4190E" w14:textId="77777777" w:rsidR="00655970" w:rsidRPr="007E4DA1" w:rsidRDefault="00655970" w:rsidP="00DE1596">
      <w:pPr>
        <w:pStyle w:val="listdashnospace"/>
        <w:numPr>
          <w:ilvl w:val="0"/>
          <w:numId w:val="69"/>
        </w:numPr>
        <w:tabs>
          <w:tab w:val="clear" w:pos="709"/>
        </w:tabs>
        <w:ind w:left="567"/>
        <w:rPr>
          <w:sz w:val="22"/>
          <w:szCs w:val="22"/>
          <w:lang w:val="pl-PL"/>
        </w:rPr>
      </w:pPr>
      <w:r w:rsidRPr="007E4DA1">
        <w:rPr>
          <w:sz w:val="22"/>
          <w:szCs w:val="22"/>
          <w:lang w:val="pl-PL"/>
        </w:rPr>
        <w:t>zmniejszenie liczby granulocytów obojętnochłonnych</w:t>
      </w:r>
    </w:p>
    <w:p w14:paraId="29D23722" w14:textId="0334B819" w:rsidR="0048571C" w:rsidRPr="007E4DA1" w:rsidRDefault="0048571C" w:rsidP="00DE1596">
      <w:pPr>
        <w:pStyle w:val="listdashnospace"/>
        <w:numPr>
          <w:ilvl w:val="0"/>
          <w:numId w:val="69"/>
        </w:numPr>
        <w:tabs>
          <w:tab w:val="clear" w:pos="709"/>
          <w:tab w:val="num" w:pos="0"/>
        </w:tabs>
        <w:ind w:left="567"/>
        <w:rPr>
          <w:sz w:val="22"/>
          <w:szCs w:val="22"/>
          <w:lang w:val="pl-PL"/>
        </w:rPr>
      </w:pPr>
      <w:r w:rsidRPr="007E4DA1">
        <w:rPr>
          <w:sz w:val="22"/>
          <w:szCs w:val="22"/>
          <w:lang w:val="pl-PL"/>
        </w:rPr>
        <w:t xml:space="preserve">zmniejszenie stężenia </w:t>
      </w:r>
      <w:r w:rsidR="00655970" w:rsidRPr="007E4DA1">
        <w:rPr>
          <w:sz w:val="22"/>
          <w:szCs w:val="22"/>
          <w:lang w:val="pl-PL"/>
        </w:rPr>
        <w:t>albuminy</w:t>
      </w:r>
      <w:r w:rsidRPr="007E4DA1">
        <w:rPr>
          <w:sz w:val="22"/>
          <w:szCs w:val="22"/>
          <w:lang w:val="pl-PL"/>
        </w:rPr>
        <w:t xml:space="preserve"> we krwi</w:t>
      </w:r>
    </w:p>
    <w:p w14:paraId="0099CF60" w14:textId="77777777" w:rsidR="00655970" w:rsidRPr="007E4DA1" w:rsidRDefault="0032696C" w:rsidP="00DE1596">
      <w:pPr>
        <w:pStyle w:val="listdashnospace"/>
        <w:numPr>
          <w:ilvl w:val="0"/>
          <w:numId w:val="69"/>
        </w:numPr>
        <w:tabs>
          <w:tab w:val="clear" w:pos="709"/>
          <w:tab w:val="num" w:pos="0"/>
        </w:tabs>
        <w:ind w:left="567"/>
        <w:rPr>
          <w:sz w:val="22"/>
          <w:szCs w:val="22"/>
          <w:lang w:val="pl-PL"/>
        </w:rPr>
      </w:pPr>
      <w:r w:rsidRPr="007E4DA1">
        <w:rPr>
          <w:sz w:val="22"/>
          <w:szCs w:val="22"/>
          <w:lang w:val="pl-PL"/>
        </w:rPr>
        <w:t>zmniejszenie</w:t>
      </w:r>
      <w:r w:rsidR="00655970" w:rsidRPr="007E4DA1">
        <w:rPr>
          <w:sz w:val="22"/>
          <w:szCs w:val="22"/>
          <w:lang w:val="pl-PL"/>
        </w:rPr>
        <w:t xml:space="preserve"> stężenia hemoglobiny</w:t>
      </w:r>
    </w:p>
    <w:p w14:paraId="27B535F2" w14:textId="77777777" w:rsidR="0048571C" w:rsidRPr="007E4DA1" w:rsidRDefault="0048571C" w:rsidP="00DE1596">
      <w:pPr>
        <w:pStyle w:val="listdashnospace"/>
        <w:numPr>
          <w:ilvl w:val="0"/>
          <w:numId w:val="69"/>
        </w:numPr>
        <w:tabs>
          <w:tab w:val="clear" w:pos="709"/>
        </w:tabs>
        <w:ind w:left="567"/>
        <w:rPr>
          <w:sz w:val="22"/>
          <w:szCs w:val="22"/>
          <w:lang w:val="pl-PL"/>
        </w:rPr>
      </w:pPr>
      <w:r w:rsidRPr="007E4DA1">
        <w:rPr>
          <w:sz w:val="22"/>
          <w:szCs w:val="22"/>
          <w:lang w:val="pl-PL"/>
        </w:rPr>
        <w:t>zwiększenie stężenia bilirubiny we krwi (substancji wytwarzanej w wątrobie)</w:t>
      </w:r>
    </w:p>
    <w:p w14:paraId="6DE354DC" w14:textId="77777777" w:rsidR="0048571C" w:rsidRPr="007E4DA1" w:rsidRDefault="0048571C" w:rsidP="00DE1596">
      <w:pPr>
        <w:pStyle w:val="listdashnospace"/>
        <w:numPr>
          <w:ilvl w:val="0"/>
          <w:numId w:val="69"/>
        </w:numPr>
        <w:tabs>
          <w:tab w:val="clear" w:pos="709"/>
        </w:tabs>
        <w:ind w:left="567"/>
        <w:rPr>
          <w:sz w:val="22"/>
          <w:szCs w:val="22"/>
          <w:lang w:val="pl-PL"/>
        </w:rPr>
      </w:pPr>
      <w:r w:rsidRPr="007E4DA1">
        <w:rPr>
          <w:sz w:val="22"/>
          <w:szCs w:val="22"/>
          <w:lang w:val="pl-PL"/>
        </w:rPr>
        <w:t>zmiany enzymów kontrolujących krzepnięcie krwi</w:t>
      </w:r>
    </w:p>
    <w:p w14:paraId="453B805C" w14:textId="77777777" w:rsidR="0048571C" w:rsidRPr="007E4DA1" w:rsidRDefault="0048571C" w:rsidP="00DE1596">
      <w:pPr>
        <w:pStyle w:val="listdashnospace"/>
        <w:numPr>
          <w:ilvl w:val="0"/>
          <w:numId w:val="0"/>
        </w:numPr>
        <w:rPr>
          <w:sz w:val="22"/>
          <w:szCs w:val="22"/>
          <w:lang w:val="pl-PL"/>
        </w:rPr>
      </w:pPr>
    </w:p>
    <w:p w14:paraId="60C5C4D8" w14:textId="77777777" w:rsidR="00041A08" w:rsidRPr="00041A08" w:rsidRDefault="0048571C" w:rsidP="00DE1596">
      <w:pPr>
        <w:keepNext/>
        <w:rPr>
          <w:szCs w:val="22"/>
        </w:rPr>
      </w:pPr>
      <w:r w:rsidRPr="007E4DA1">
        <w:rPr>
          <w:b/>
          <w:szCs w:val="22"/>
        </w:rPr>
        <w:t>Niezbyt częste działania niepożądane</w:t>
      </w:r>
    </w:p>
    <w:p w14:paraId="2E9870C2" w14:textId="70E01D02" w:rsidR="0048571C" w:rsidRPr="007E4DA1" w:rsidRDefault="0048571C" w:rsidP="00DE1596">
      <w:pPr>
        <w:keepNext/>
        <w:rPr>
          <w:szCs w:val="22"/>
        </w:rPr>
      </w:pPr>
      <w:r w:rsidRPr="007E4DA1">
        <w:rPr>
          <w:szCs w:val="22"/>
        </w:rPr>
        <w:t xml:space="preserve">Mogą wystąpić </w:t>
      </w:r>
      <w:r w:rsidRPr="007E4DA1">
        <w:rPr>
          <w:b/>
          <w:szCs w:val="22"/>
        </w:rPr>
        <w:t>nie częściej niż u 1 na 100 </w:t>
      </w:r>
      <w:r w:rsidRPr="007E4DA1">
        <w:rPr>
          <w:szCs w:val="22"/>
        </w:rPr>
        <w:t>pacjentów:</w:t>
      </w:r>
    </w:p>
    <w:p w14:paraId="292A90A1" w14:textId="77777777" w:rsidR="0048571C" w:rsidRPr="007E4DA1" w:rsidRDefault="0048571C" w:rsidP="00DE1596">
      <w:pPr>
        <w:pStyle w:val="listdashnospace"/>
        <w:numPr>
          <w:ilvl w:val="0"/>
          <w:numId w:val="70"/>
        </w:numPr>
        <w:tabs>
          <w:tab w:val="clear" w:pos="709"/>
        </w:tabs>
        <w:ind w:left="567"/>
        <w:rPr>
          <w:sz w:val="22"/>
          <w:szCs w:val="22"/>
          <w:lang w:val="pl-PL"/>
        </w:rPr>
      </w:pPr>
      <w:r w:rsidRPr="007E4DA1">
        <w:rPr>
          <w:sz w:val="22"/>
          <w:szCs w:val="22"/>
          <w:lang w:val="pl-PL"/>
        </w:rPr>
        <w:t>ból w czasie oddawania moczu</w:t>
      </w:r>
    </w:p>
    <w:p w14:paraId="60FB3545" w14:textId="77777777" w:rsidR="0048571C" w:rsidRPr="007E4DA1" w:rsidRDefault="0048571C" w:rsidP="00DE1596">
      <w:pPr>
        <w:pStyle w:val="listdashnospace"/>
        <w:numPr>
          <w:ilvl w:val="0"/>
          <w:numId w:val="70"/>
        </w:numPr>
        <w:tabs>
          <w:tab w:val="clear" w:pos="709"/>
        </w:tabs>
        <w:ind w:left="567"/>
        <w:rPr>
          <w:sz w:val="22"/>
          <w:szCs w:val="22"/>
          <w:lang w:val="pl-PL"/>
        </w:rPr>
      </w:pPr>
      <w:r w:rsidRPr="007E4DA1">
        <w:rPr>
          <w:sz w:val="22"/>
          <w:szCs w:val="22"/>
          <w:lang w:val="pl-PL"/>
        </w:rPr>
        <w:t>zaburzenia rytmu serca (wydłużenie odstępu QT)</w:t>
      </w:r>
    </w:p>
    <w:p w14:paraId="20378E88" w14:textId="77777777" w:rsidR="0048571C" w:rsidRPr="007E4DA1" w:rsidRDefault="0048571C" w:rsidP="00DE1596">
      <w:pPr>
        <w:pStyle w:val="listdashnospace"/>
        <w:numPr>
          <w:ilvl w:val="0"/>
          <w:numId w:val="70"/>
        </w:numPr>
        <w:tabs>
          <w:tab w:val="clear" w:pos="709"/>
        </w:tabs>
        <w:ind w:left="567"/>
        <w:rPr>
          <w:sz w:val="22"/>
          <w:szCs w:val="22"/>
          <w:lang w:val="pl-PL"/>
        </w:rPr>
      </w:pPr>
      <w:r w:rsidRPr="007E4DA1">
        <w:rPr>
          <w:sz w:val="22"/>
          <w:szCs w:val="22"/>
          <w:lang w:val="pl-PL"/>
        </w:rPr>
        <w:t>grypa żołądkowa (zapalenie żołądka i jelit)</w:t>
      </w:r>
      <w:r w:rsidR="00655970" w:rsidRPr="007E4DA1">
        <w:rPr>
          <w:sz w:val="22"/>
          <w:szCs w:val="22"/>
          <w:lang w:val="pl-PL"/>
        </w:rPr>
        <w:t>, ból gardła</w:t>
      </w:r>
    </w:p>
    <w:p w14:paraId="0E63B18E" w14:textId="188753B4" w:rsidR="00655970" w:rsidRPr="007E4DA1" w:rsidRDefault="00655970" w:rsidP="00DE1596">
      <w:pPr>
        <w:pStyle w:val="listdashnospace"/>
        <w:numPr>
          <w:ilvl w:val="0"/>
          <w:numId w:val="70"/>
        </w:numPr>
        <w:tabs>
          <w:tab w:val="clear" w:pos="709"/>
        </w:tabs>
        <w:ind w:left="567"/>
        <w:rPr>
          <w:sz w:val="22"/>
          <w:szCs w:val="22"/>
          <w:lang w:val="pl-PL"/>
        </w:rPr>
      </w:pPr>
      <w:r w:rsidRPr="007E4DA1">
        <w:rPr>
          <w:sz w:val="22"/>
          <w:szCs w:val="22"/>
          <w:lang w:val="pl-PL"/>
        </w:rPr>
        <w:t>pęcherze</w:t>
      </w:r>
      <w:r w:rsidR="007F7B67" w:rsidRPr="007E4DA1">
        <w:rPr>
          <w:sz w:val="22"/>
          <w:szCs w:val="22"/>
          <w:lang w:val="pl-PL"/>
        </w:rPr>
        <w:t xml:space="preserve"> lub </w:t>
      </w:r>
      <w:r w:rsidRPr="007E4DA1">
        <w:rPr>
          <w:sz w:val="22"/>
          <w:szCs w:val="22"/>
          <w:lang w:val="pl-PL"/>
        </w:rPr>
        <w:t xml:space="preserve">owrzodzenia </w:t>
      </w:r>
      <w:r w:rsidR="009B40A7" w:rsidRPr="007E4DA1">
        <w:rPr>
          <w:sz w:val="22"/>
          <w:szCs w:val="22"/>
          <w:lang w:val="pl-PL"/>
        </w:rPr>
        <w:t xml:space="preserve">w </w:t>
      </w:r>
      <w:r w:rsidRPr="007E4DA1">
        <w:rPr>
          <w:sz w:val="22"/>
          <w:szCs w:val="22"/>
          <w:lang w:val="pl-PL"/>
        </w:rPr>
        <w:t>jam</w:t>
      </w:r>
      <w:r w:rsidR="009B40A7" w:rsidRPr="007E4DA1">
        <w:rPr>
          <w:sz w:val="22"/>
          <w:szCs w:val="22"/>
          <w:lang w:val="pl-PL"/>
        </w:rPr>
        <w:t>ie</w:t>
      </w:r>
      <w:r w:rsidRPr="007E4DA1">
        <w:rPr>
          <w:sz w:val="22"/>
          <w:szCs w:val="22"/>
          <w:lang w:val="pl-PL"/>
        </w:rPr>
        <w:t xml:space="preserve"> ustnej, zapalenie żołądka</w:t>
      </w:r>
    </w:p>
    <w:p w14:paraId="219F4644" w14:textId="1AA2D1D9" w:rsidR="0048571C" w:rsidRPr="007E4DA1" w:rsidRDefault="0048571C" w:rsidP="00DE1596">
      <w:pPr>
        <w:pStyle w:val="listdashnospace"/>
        <w:numPr>
          <w:ilvl w:val="0"/>
          <w:numId w:val="70"/>
        </w:numPr>
        <w:tabs>
          <w:tab w:val="clear" w:pos="709"/>
        </w:tabs>
        <w:ind w:left="567"/>
        <w:rPr>
          <w:sz w:val="22"/>
          <w:szCs w:val="22"/>
          <w:lang w:val="pl-PL"/>
        </w:rPr>
      </w:pPr>
      <w:r w:rsidRPr="007E4DA1">
        <w:rPr>
          <w:sz w:val="22"/>
          <w:szCs w:val="22"/>
          <w:lang w:val="pl-PL"/>
        </w:rPr>
        <w:t>zmiany skórne, w tym zmiana zabarwienia, łuszczenie, zaczerwienienie, swędzenie</w:t>
      </w:r>
      <w:r w:rsidR="00F81B0F" w:rsidRPr="007E4DA1">
        <w:rPr>
          <w:sz w:val="22"/>
          <w:szCs w:val="22"/>
          <w:lang w:val="pl-PL"/>
        </w:rPr>
        <w:t>, zmiana chorobowa i nocne poty</w:t>
      </w:r>
    </w:p>
    <w:p w14:paraId="76576296" w14:textId="77777777" w:rsidR="00655970" w:rsidRPr="007E4DA1" w:rsidRDefault="00655970" w:rsidP="00DE1596">
      <w:pPr>
        <w:pStyle w:val="listdashnospace"/>
        <w:numPr>
          <w:ilvl w:val="0"/>
          <w:numId w:val="70"/>
        </w:numPr>
        <w:tabs>
          <w:tab w:val="clear" w:pos="709"/>
        </w:tabs>
        <w:ind w:left="567"/>
        <w:rPr>
          <w:sz w:val="22"/>
          <w:szCs w:val="22"/>
          <w:lang w:val="pl-PL"/>
        </w:rPr>
      </w:pPr>
      <w:r w:rsidRPr="007E4DA1">
        <w:rPr>
          <w:sz w:val="22"/>
          <w:szCs w:val="22"/>
          <w:lang w:val="pl-PL"/>
        </w:rPr>
        <w:t xml:space="preserve">zakrzepy krwi w żyle doprowadzającej krew do wątroby (możliwe </w:t>
      </w:r>
      <w:r w:rsidR="0032696C" w:rsidRPr="007E4DA1">
        <w:rPr>
          <w:sz w:val="22"/>
          <w:szCs w:val="22"/>
          <w:lang w:val="pl-PL"/>
        </w:rPr>
        <w:t>uszkodzenie</w:t>
      </w:r>
      <w:r w:rsidRPr="007E4DA1">
        <w:rPr>
          <w:sz w:val="22"/>
          <w:szCs w:val="22"/>
          <w:lang w:val="pl-PL"/>
        </w:rPr>
        <w:t xml:space="preserve"> wątroby i (lub) układu trawiennego)</w:t>
      </w:r>
    </w:p>
    <w:p w14:paraId="116E0410" w14:textId="735937D0" w:rsidR="00655970" w:rsidRPr="007E4DA1" w:rsidRDefault="00655970" w:rsidP="00DE1596">
      <w:pPr>
        <w:pStyle w:val="listdashnospace"/>
        <w:numPr>
          <w:ilvl w:val="0"/>
          <w:numId w:val="70"/>
        </w:numPr>
        <w:tabs>
          <w:tab w:val="clear" w:pos="709"/>
        </w:tabs>
        <w:ind w:left="567"/>
        <w:rPr>
          <w:sz w:val="22"/>
          <w:szCs w:val="22"/>
          <w:lang w:val="pl-PL"/>
        </w:rPr>
      </w:pPr>
      <w:r w:rsidRPr="007E4DA1">
        <w:rPr>
          <w:sz w:val="22"/>
          <w:szCs w:val="22"/>
          <w:lang w:val="pl-PL"/>
        </w:rPr>
        <w:t xml:space="preserve">nieprawidłowe </w:t>
      </w:r>
      <w:r w:rsidR="007F7B67" w:rsidRPr="007E4DA1">
        <w:rPr>
          <w:sz w:val="22"/>
          <w:szCs w:val="22"/>
          <w:lang w:val="pl-PL"/>
        </w:rPr>
        <w:t>krzepnięcie</w:t>
      </w:r>
      <w:r w:rsidRPr="007E4DA1">
        <w:rPr>
          <w:sz w:val="22"/>
          <w:szCs w:val="22"/>
          <w:lang w:val="pl-PL"/>
        </w:rPr>
        <w:t xml:space="preserve"> krwi w małych naczyniach krwionośnych z niewydolnością nerek</w:t>
      </w:r>
    </w:p>
    <w:p w14:paraId="264D8FF5" w14:textId="77777777" w:rsidR="0048571C" w:rsidRPr="007E4DA1" w:rsidRDefault="0048571C" w:rsidP="00DE1596">
      <w:pPr>
        <w:pStyle w:val="listdashnospace"/>
        <w:numPr>
          <w:ilvl w:val="0"/>
          <w:numId w:val="70"/>
        </w:numPr>
        <w:tabs>
          <w:tab w:val="clear" w:pos="709"/>
        </w:tabs>
        <w:ind w:left="567"/>
        <w:rPr>
          <w:sz w:val="22"/>
          <w:szCs w:val="22"/>
          <w:lang w:val="pl-PL"/>
        </w:rPr>
      </w:pPr>
      <w:r w:rsidRPr="007E4DA1">
        <w:rPr>
          <w:sz w:val="22"/>
          <w:szCs w:val="22"/>
          <w:lang w:val="pl-PL"/>
        </w:rPr>
        <w:t>wysypka, powstawanie siniaków w miejscu wstrzyknięcia</w:t>
      </w:r>
      <w:r w:rsidR="00655970" w:rsidRPr="007E4DA1">
        <w:rPr>
          <w:sz w:val="22"/>
          <w:szCs w:val="22"/>
          <w:lang w:val="pl-PL"/>
        </w:rPr>
        <w:t>, dyskomfort w klatce piersiowej</w:t>
      </w:r>
    </w:p>
    <w:p w14:paraId="08985E4F" w14:textId="77777777" w:rsidR="0048571C" w:rsidRPr="007E4DA1" w:rsidRDefault="0048571C" w:rsidP="00DE1596">
      <w:pPr>
        <w:pStyle w:val="listdashnospace"/>
        <w:numPr>
          <w:ilvl w:val="0"/>
          <w:numId w:val="70"/>
        </w:numPr>
        <w:tabs>
          <w:tab w:val="clear" w:pos="709"/>
        </w:tabs>
        <w:ind w:left="567"/>
        <w:rPr>
          <w:sz w:val="22"/>
          <w:szCs w:val="22"/>
          <w:lang w:val="pl-PL"/>
        </w:rPr>
      </w:pPr>
      <w:r w:rsidRPr="007E4DA1">
        <w:rPr>
          <w:sz w:val="22"/>
          <w:szCs w:val="22"/>
          <w:lang w:val="pl-PL"/>
        </w:rPr>
        <w:t>zmniejszenie liczby czerwonych krwinek (niedokrwistość) spowodowana nadmiernym niszczeniem czerwonych krwinek (niedokrwistość hemolityczna)</w:t>
      </w:r>
    </w:p>
    <w:p w14:paraId="5866A7EF" w14:textId="77777777" w:rsidR="0048571C" w:rsidRPr="007E4DA1" w:rsidRDefault="0048571C" w:rsidP="00DE1596">
      <w:pPr>
        <w:pStyle w:val="listdashnospace"/>
        <w:numPr>
          <w:ilvl w:val="0"/>
          <w:numId w:val="70"/>
        </w:numPr>
        <w:tabs>
          <w:tab w:val="clear" w:pos="709"/>
        </w:tabs>
        <w:ind w:left="567"/>
        <w:rPr>
          <w:sz w:val="22"/>
          <w:szCs w:val="22"/>
          <w:lang w:val="pl-PL"/>
        </w:rPr>
      </w:pPr>
      <w:r w:rsidRPr="007E4DA1">
        <w:rPr>
          <w:sz w:val="22"/>
          <w:szCs w:val="22"/>
          <w:lang w:val="pl-PL"/>
        </w:rPr>
        <w:t>splątanie, pobudzenie</w:t>
      </w:r>
    </w:p>
    <w:p w14:paraId="75454E3E" w14:textId="5ED1F018" w:rsidR="0048571C" w:rsidRPr="007E4DA1" w:rsidRDefault="00655970" w:rsidP="00DE1596">
      <w:pPr>
        <w:pStyle w:val="listdashnospace"/>
        <w:numPr>
          <w:ilvl w:val="0"/>
          <w:numId w:val="70"/>
        </w:numPr>
        <w:tabs>
          <w:tab w:val="clear" w:pos="709"/>
        </w:tabs>
        <w:ind w:left="567"/>
        <w:rPr>
          <w:sz w:val="22"/>
          <w:szCs w:val="22"/>
          <w:lang w:val="pl-PL"/>
        </w:rPr>
      </w:pPr>
      <w:r w:rsidRPr="007E4DA1">
        <w:rPr>
          <w:sz w:val="22"/>
          <w:szCs w:val="22"/>
          <w:lang w:val="pl-PL"/>
        </w:rPr>
        <w:t>niewydolność wątroby</w:t>
      </w:r>
    </w:p>
    <w:p w14:paraId="37AF0FB0" w14:textId="77777777" w:rsidR="00041A08" w:rsidRPr="00041A08" w:rsidRDefault="00041A08" w:rsidP="00DE1596">
      <w:pPr>
        <w:numPr>
          <w:ilvl w:val="12"/>
          <w:numId w:val="0"/>
        </w:numPr>
        <w:ind w:right="-2"/>
        <w:rPr>
          <w:szCs w:val="22"/>
        </w:rPr>
      </w:pPr>
    </w:p>
    <w:p w14:paraId="6BF8CB8A" w14:textId="77777777" w:rsidR="00041A08" w:rsidRPr="00041A08" w:rsidRDefault="0048571C" w:rsidP="00DE1596">
      <w:pPr>
        <w:keepNext/>
        <w:numPr>
          <w:ilvl w:val="12"/>
          <w:numId w:val="0"/>
        </w:numPr>
        <w:rPr>
          <w:szCs w:val="22"/>
        </w:rPr>
      </w:pPr>
      <w:r w:rsidRPr="007E4DA1">
        <w:rPr>
          <w:b/>
          <w:szCs w:val="22"/>
        </w:rPr>
        <w:t>Podane niżej działania niepożądane były zgłaszane jako związane z leczeniem lekiem Revolade u pacjentów z ciężką postacią niedokrwistości aplastycznej (SAA):</w:t>
      </w:r>
    </w:p>
    <w:p w14:paraId="181293CC" w14:textId="1E1D7AB2" w:rsidR="0048571C" w:rsidRPr="007E4DA1" w:rsidRDefault="0048571C" w:rsidP="00DE1596">
      <w:pPr>
        <w:pStyle w:val="Text"/>
        <w:keepNext/>
        <w:spacing w:before="0"/>
        <w:jc w:val="left"/>
        <w:rPr>
          <w:sz w:val="22"/>
          <w:szCs w:val="22"/>
          <w:lang w:val="pl-PL"/>
        </w:rPr>
      </w:pPr>
      <w:r w:rsidRPr="007E4DA1">
        <w:rPr>
          <w:sz w:val="22"/>
          <w:szCs w:val="22"/>
          <w:lang w:val="pl-PL"/>
        </w:rPr>
        <w:t>Jeśli te działania niepożądane nasilą się, należy powiedzieć o tym lekarzowi prowadzącemu, farmaceucie lub pielęgniarce.</w:t>
      </w:r>
    </w:p>
    <w:p w14:paraId="1BBCA4B8" w14:textId="77777777" w:rsidR="0048571C" w:rsidRPr="007E4DA1" w:rsidRDefault="0048571C" w:rsidP="00DE1596">
      <w:pPr>
        <w:pStyle w:val="Text"/>
        <w:keepNext/>
        <w:spacing w:before="0"/>
        <w:jc w:val="left"/>
        <w:rPr>
          <w:sz w:val="22"/>
          <w:szCs w:val="22"/>
          <w:lang w:val="pl-PL"/>
        </w:rPr>
      </w:pPr>
    </w:p>
    <w:p w14:paraId="5BB73826" w14:textId="77777777" w:rsidR="00041A08" w:rsidRPr="00041A08" w:rsidRDefault="0048571C" w:rsidP="00DE1596">
      <w:pPr>
        <w:keepNext/>
        <w:numPr>
          <w:ilvl w:val="12"/>
          <w:numId w:val="0"/>
        </w:numPr>
        <w:rPr>
          <w:szCs w:val="22"/>
        </w:rPr>
      </w:pPr>
      <w:r w:rsidRPr="007E4DA1">
        <w:rPr>
          <w:b/>
          <w:szCs w:val="22"/>
        </w:rPr>
        <w:t>Bardzo częste działania niepożądane</w:t>
      </w:r>
    </w:p>
    <w:p w14:paraId="5F6B5E20" w14:textId="42A554E9" w:rsidR="0048571C" w:rsidRPr="007E4DA1" w:rsidRDefault="0048571C" w:rsidP="00DE1596">
      <w:pPr>
        <w:keepNext/>
        <w:numPr>
          <w:ilvl w:val="12"/>
          <w:numId w:val="0"/>
        </w:numPr>
        <w:rPr>
          <w:szCs w:val="22"/>
        </w:rPr>
      </w:pPr>
      <w:r w:rsidRPr="007E4DA1">
        <w:rPr>
          <w:szCs w:val="22"/>
        </w:rPr>
        <w:t xml:space="preserve">Mogą wystąpić u </w:t>
      </w:r>
      <w:r w:rsidRPr="007E4DA1">
        <w:rPr>
          <w:b/>
          <w:szCs w:val="22"/>
        </w:rPr>
        <w:t>więcej niż 1 na 10</w:t>
      </w:r>
      <w:r w:rsidRPr="007E4DA1">
        <w:rPr>
          <w:szCs w:val="22"/>
        </w:rPr>
        <w:t> pacjentów.</w:t>
      </w:r>
    </w:p>
    <w:p w14:paraId="3506E53E" w14:textId="77777777" w:rsidR="0048571C" w:rsidRPr="007E4DA1" w:rsidRDefault="0048571C" w:rsidP="00DE1596">
      <w:pPr>
        <w:numPr>
          <w:ilvl w:val="0"/>
          <w:numId w:val="73"/>
        </w:numPr>
        <w:tabs>
          <w:tab w:val="clear" w:pos="720"/>
        </w:tabs>
        <w:ind w:left="567" w:right="-2" w:hanging="567"/>
        <w:rPr>
          <w:szCs w:val="22"/>
        </w:rPr>
      </w:pPr>
      <w:r w:rsidRPr="007E4DA1">
        <w:rPr>
          <w:szCs w:val="22"/>
        </w:rPr>
        <w:t>kaszel</w:t>
      </w:r>
    </w:p>
    <w:p w14:paraId="6495396A" w14:textId="77777777" w:rsidR="0048571C" w:rsidRPr="007E4DA1" w:rsidRDefault="0048571C" w:rsidP="00DE1596">
      <w:pPr>
        <w:numPr>
          <w:ilvl w:val="0"/>
          <w:numId w:val="73"/>
        </w:numPr>
        <w:tabs>
          <w:tab w:val="clear" w:pos="720"/>
        </w:tabs>
        <w:ind w:left="567" w:right="-2" w:hanging="567"/>
        <w:rPr>
          <w:szCs w:val="22"/>
        </w:rPr>
      </w:pPr>
      <w:r w:rsidRPr="007E4DA1">
        <w:rPr>
          <w:szCs w:val="22"/>
        </w:rPr>
        <w:t>ból głowy</w:t>
      </w:r>
    </w:p>
    <w:p w14:paraId="4BC872B2" w14:textId="36F4C33A" w:rsidR="0048571C" w:rsidRPr="007E4DA1" w:rsidRDefault="0048571C" w:rsidP="00DE1596">
      <w:pPr>
        <w:numPr>
          <w:ilvl w:val="0"/>
          <w:numId w:val="73"/>
        </w:numPr>
        <w:tabs>
          <w:tab w:val="clear" w:pos="720"/>
        </w:tabs>
        <w:ind w:left="567" w:right="-2" w:hanging="567"/>
        <w:rPr>
          <w:szCs w:val="22"/>
        </w:rPr>
      </w:pPr>
      <w:r w:rsidRPr="007E4DA1">
        <w:rPr>
          <w:szCs w:val="22"/>
        </w:rPr>
        <w:t xml:space="preserve">ból </w:t>
      </w:r>
      <w:r w:rsidR="00655970" w:rsidRPr="007E4DA1">
        <w:rPr>
          <w:szCs w:val="22"/>
        </w:rPr>
        <w:t>jamy ustnej i gardła</w:t>
      </w:r>
    </w:p>
    <w:p w14:paraId="63E4F2AD" w14:textId="77777777" w:rsidR="0048571C" w:rsidRPr="007E4DA1" w:rsidRDefault="0048571C" w:rsidP="00DE1596">
      <w:pPr>
        <w:numPr>
          <w:ilvl w:val="0"/>
          <w:numId w:val="73"/>
        </w:numPr>
        <w:tabs>
          <w:tab w:val="clear" w:pos="720"/>
        </w:tabs>
        <w:ind w:left="567" w:right="-2" w:hanging="567"/>
        <w:rPr>
          <w:szCs w:val="22"/>
        </w:rPr>
      </w:pPr>
      <w:r w:rsidRPr="007E4DA1">
        <w:rPr>
          <w:szCs w:val="22"/>
        </w:rPr>
        <w:t>biegunka</w:t>
      </w:r>
    </w:p>
    <w:p w14:paraId="613EB2C8" w14:textId="77777777" w:rsidR="0048571C" w:rsidRPr="007E4DA1" w:rsidRDefault="0048571C" w:rsidP="00DE1596">
      <w:pPr>
        <w:numPr>
          <w:ilvl w:val="0"/>
          <w:numId w:val="73"/>
        </w:numPr>
        <w:tabs>
          <w:tab w:val="clear" w:pos="720"/>
        </w:tabs>
        <w:ind w:left="567" w:right="-2" w:hanging="567"/>
        <w:rPr>
          <w:szCs w:val="22"/>
        </w:rPr>
      </w:pPr>
      <w:r w:rsidRPr="007E4DA1">
        <w:rPr>
          <w:szCs w:val="22"/>
        </w:rPr>
        <w:t>nudności</w:t>
      </w:r>
    </w:p>
    <w:p w14:paraId="3D5D9DFD" w14:textId="77777777" w:rsidR="0048571C" w:rsidRPr="007E4DA1" w:rsidRDefault="0048571C" w:rsidP="00DE1596">
      <w:pPr>
        <w:numPr>
          <w:ilvl w:val="0"/>
          <w:numId w:val="73"/>
        </w:numPr>
        <w:tabs>
          <w:tab w:val="clear" w:pos="720"/>
        </w:tabs>
        <w:ind w:left="567" w:right="-2" w:hanging="567"/>
        <w:rPr>
          <w:szCs w:val="22"/>
        </w:rPr>
      </w:pPr>
      <w:r w:rsidRPr="007E4DA1">
        <w:rPr>
          <w:szCs w:val="22"/>
        </w:rPr>
        <w:t>ból stawu</w:t>
      </w:r>
    </w:p>
    <w:p w14:paraId="4B82CC00" w14:textId="77777777" w:rsidR="0048571C" w:rsidRPr="007E4DA1" w:rsidRDefault="0048571C" w:rsidP="00DE1596">
      <w:pPr>
        <w:numPr>
          <w:ilvl w:val="0"/>
          <w:numId w:val="73"/>
        </w:numPr>
        <w:tabs>
          <w:tab w:val="clear" w:pos="720"/>
        </w:tabs>
        <w:ind w:left="567" w:right="-2" w:hanging="567"/>
        <w:rPr>
          <w:szCs w:val="22"/>
        </w:rPr>
      </w:pPr>
      <w:r w:rsidRPr="007E4DA1">
        <w:rPr>
          <w:szCs w:val="22"/>
        </w:rPr>
        <w:t>bóle kończyn (ramion, nóg, dłoni i stóp)</w:t>
      </w:r>
    </w:p>
    <w:p w14:paraId="73D8F4B6" w14:textId="77777777" w:rsidR="0048571C" w:rsidRPr="007E4DA1" w:rsidRDefault="0048571C" w:rsidP="00DE1596">
      <w:pPr>
        <w:numPr>
          <w:ilvl w:val="0"/>
          <w:numId w:val="73"/>
        </w:numPr>
        <w:tabs>
          <w:tab w:val="clear" w:pos="720"/>
        </w:tabs>
        <w:ind w:left="567" w:right="-2" w:hanging="567"/>
        <w:rPr>
          <w:szCs w:val="22"/>
        </w:rPr>
      </w:pPr>
      <w:r w:rsidRPr="007E4DA1">
        <w:rPr>
          <w:szCs w:val="22"/>
        </w:rPr>
        <w:t>zawroty głowy</w:t>
      </w:r>
    </w:p>
    <w:p w14:paraId="6530ECB7" w14:textId="77777777" w:rsidR="0048571C" w:rsidRPr="007E4DA1" w:rsidRDefault="0048571C" w:rsidP="00DE1596">
      <w:pPr>
        <w:numPr>
          <w:ilvl w:val="0"/>
          <w:numId w:val="73"/>
        </w:numPr>
        <w:tabs>
          <w:tab w:val="clear" w:pos="720"/>
        </w:tabs>
        <w:ind w:left="567" w:right="-2" w:hanging="567"/>
        <w:rPr>
          <w:szCs w:val="22"/>
        </w:rPr>
      </w:pPr>
      <w:r w:rsidRPr="007E4DA1">
        <w:rPr>
          <w:szCs w:val="22"/>
        </w:rPr>
        <w:t>uczucie dużego zmęczenia</w:t>
      </w:r>
    </w:p>
    <w:p w14:paraId="20F61966" w14:textId="77777777" w:rsidR="0048571C" w:rsidRPr="007E4DA1" w:rsidRDefault="0048571C" w:rsidP="00DE1596">
      <w:pPr>
        <w:numPr>
          <w:ilvl w:val="0"/>
          <w:numId w:val="73"/>
        </w:numPr>
        <w:tabs>
          <w:tab w:val="clear" w:pos="720"/>
        </w:tabs>
        <w:ind w:left="567" w:right="-2" w:hanging="567"/>
        <w:rPr>
          <w:szCs w:val="22"/>
        </w:rPr>
      </w:pPr>
      <w:r w:rsidRPr="007E4DA1">
        <w:rPr>
          <w:szCs w:val="22"/>
        </w:rPr>
        <w:t>gorączka</w:t>
      </w:r>
    </w:p>
    <w:p w14:paraId="1C392DA2" w14:textId="77777777" w:rsidR="0048571C" w:rsidRPr="007E4DA1" w:rsidRDefault="0048571C" w:rsidP="00DE1596">
      <w:pPr>
        <w:numPr>
          <w:ilvl w:val="0"/>
          <w:numId w:val="73"/>
        </w:numPr>
        <w:tabs>
          <w:tab w:val="clear" w:pos="720"/>
        </w:tabs>
        <w:ind w:left="567" w:right="-2" w:hanging="567"/>
        <w:rPr>
          <w:szCs w:val="22"/>
        </w:rPr>
      </w:pPr>
      <w:r w:rsidRPr="007E4DA1">
        <w:rPr>
          <w:szCs w:val="22"/>
        </w:rPr>
        <w:t>dreszcze</w:t>
      </w:r>
    </w:p>
    <w:p w14:paraId="58984F94" w14:textId="77777777" w:rsidR="0048571C" w:rsidRPr="007E4DA1" w:rsidRDefault="0048571C" w:rsidP="00DE1596">
      <w:pPr>
        <w:numPr>
          <w:ilvl w:val="0"/>
          <w:numId w:val="73"/>
        </w:numPr>
        <w:tabs>
          <w:tab w:val="clear" w:pos="720"/>
        </w:tabs>
        <w:ind w:left="567" w:right="-2" w:hanging="567"/>
        <w:rPr>
          <w:szCs w:val="22"/>
        </w:rPr>
      </w:pPr>
      <w:r w:rsidRPr="007E4DA1">
        <w:rPr>
          <w:szCs w:val="22"/>
        </w:rPr>
        <w:t>swędzenie oczu</w:t>
      </w:r>
    </w:p>
    <w:p w14:paraId="6631D5A7" w14:textId="77777777" w:rsidR="0048571C" w:rsidRPr="007E4DA1" w:rsidRDefault="0048571C" w:rsidP="00DE1596">
      <w:pPr>
        <w:numPr>
          <w:ilvl w:val="0"/>
          <w:numId w:val="73"/>
        </w:numPr>
        <w:tabs>
          <w:tab w:val="clear" w:pos="720"/>
        </w:tabs>
        <w:ind w:left="567" w:right="-2" w:hanging="567"/>
        <w:rPr>
          <w:szCs w:val="22"/>
        </w:rPr>
      </w:pPr>
      <w:r w:rsidRPr="007E4DA1">
        <w:rPr>
          <w:szCs w:val="22"/>
        </w:rPr>
        <w:t>pęcherze w jamie ustnej</w:t>
      </w:r>
    </w:p>
    <w:p w14:paraId="20DE4F4C" w14:textId="77777777" w:rsidR="000542C8" w:rsidRPr="007E4DA1" w:rsidRDefault="000542C8" w:rsidP="00DE1596">
      <w:pPr>
        <w:numPr>
          <w:ilvl w:val="0"/>
          <w:numId w:val="73"/>
        </w:numPr>
        <w:tabs>
          <w:tab w:val="clear" w:pos="720"/>
        </w:tabs>
        <w:ind w:left="567" w:right="-2" w:hanging="567"/>
        <w:rPr>
          <w:szCs w:val="22"/>
        </w:rPr>
      </w:pPr>
      <w:r w:rsidRPr="007E4DA1">
        <w:rPr>
          <w:szCs w:val="22"/>
        </w:rPr>
        <w:t>krwawienie z dziąseł</w:t>
      </w:r>
    </w:p>
    <w:p w14:paraId="0B94D21B" w14:textId="77777777" w:rsidR="0048571C" w:rsidRPr="007E4DA1" w:rsidRDefault="0048571C" w:rsidP="00DE1596">
      <w:pPr>
        <w:numPr>
          <w:ilvl w:val="0"/>
          <w:numId w:val="73"/>
        </w:numPr>
        <w:tabs>
          <w:tab w:val="clear" w:pos="720"/>
        </w:tabs>
        <w:ind w:left="567" w:right="-2" w:hanging="567"/>
        <w:rPr>
          <w:szCs w:val="22"/>
        </w:rPr>
      </w:pPr>
      <w:r w:rsidRPr="007E4DA1">
        <w:rPr>
          <w:szCs w:val="22"/>
        </w:rPr>
        <w:t>ból brzucha</w:t>
      </w:r>
    </w:p>
    <w:p w14:paraId="674D11D3" w14:textId="77777777" w:rsidR="0048571C" w:rsidRPr="007E4DA1" w:rsidRDefault="0048571C" w:rsidP="00DE1596">
      <w:pPr>
        <w:numPr>
          <w:ilvl w:val="0"/>
          <w:numId w:val="73"/>
        </w:numPr>
        <w:tabs>
          <w:tab w:val="clear" w:pos="720"/>
        </w:tabs>
        <w:ind w:left="567" w:right="-2" w:hanging="567"/>
        <w:rPr>
          <w:szCs w:val="22"/>
        </w:rPr>
      </w:pPr>
      <w:r w:rsidRPr="007E4DA1">
        <w:rPr>
          <w:szCs w:val="22"/>
        </w:rPr>
        <w:t>skurcze mięśni</w:t>
      </w:r>
    </w:p>
    <w:p w14:paraId="12B1B874" w14:textId="77777777" w:rsidR="0048571C" w:rsidRPr="007E4DA1" w:rsidRDefault="0048571C" w:rsidP="00DE1596">
      <w:pPr>
        <w:numPr>
          <w:ilvl w:val="12"/>
          <w:numId w:val="0"/>
        </w:numPr>
        <w:ind w:right="-2"/>
        <w:rPr>
          <w:szCs w:val="22"/>
        </w:rPr>
      </w:pPr>
    </w:p>
    <w:p w14:paraId="41CDD612" w14:textId="77777777" w:rsidR="00041A08" w:rsidRPr="00041A08" w:rsidRDefault="0048571C" w:rsidP="00DE1596">
      <w:pPr>
        <w:keepNext/>
        <w:numPr>
          <w:ilvl w:val="12"/>
          <w:numId w:val="0"/>
        </w:numPr>
        <w:rPr>
          <w:szCs w:val="22"/>
        </w:rPr>
      </w:pPr>
      <w:r w:rsidRPr="007E4DA1">
        <w:rPr>
          <w:b/>
          <w:szCs w:val="22"/>
        </w:rPr>
        <w:t>Bardzo częste działania niepożądane mogące objawiać się w wynikach badań krwi</w:t>
      </w:r>
    </w:p>
    <w:p w14:paraId="15162925" w14:textId="1EF1EAEA" w:rsidR="0048571C" w:rsidRPr="007E4DA1" w:rsidRDefault="0048571C" w:rsidP="00DE1596">
      <w:pPr>
        <w:numPr>
          <w:ilvl w:val="0"/>
          <w:numId w:val="71"/>
        </w:numPr>
        <w:tabs>
          <w:tab w:val="clear" w:pos="720"/>
          <w:tab w:val="num" w:pos="-5103"/>
        </w:tabs>
        <w:ind w:left="567" w:right="-2" w:hanging="567"/>
        <w:rPr>
          <w:szCs w:val="22"/>
        </w:rPr>
      </w:pPr>
      <w:r w:rsidRPr="007E4DA1">
        <w:rPr>
          <w:szCs w:val="22"/>
        </w:rPr>
        <w:t>nieprawidłowe zmiany w komórkach szpiku kostnego</w:t>
      </w:r>
    </w:p>
    <w:p w14:paraId="0E352A5D" w14:textId="328B11EB" w:rsidR="000542C8" w:rsidRPr="007E4DA1" w:rsidRDefault="000542C8" w:rsidP="00DE1596">
      <w:pPr>
        <w:numPr>
          <w:ilvl w:val="0"/>
          <w:numId w:val="71"/>
        </w:numPr>
        <w:tabs>
          <w:tab w:val="clear" w:pos="720"/>
          <w:tab w:val="num" w:pos="-5103"/>
        </w:tabs>
        <w:ind w:left="567" w:right="-2" w:hanging="567"/>
        <w:rPr>
          <w:szCs w:val="22"/>
        </w:rPr>
      </w:pPr>
      <w:r w:rsidRPr="007E4DA1">
        <w:rPr>
          <w:szCs w:val="22"/>
        </w:rPr>
        <w:t>zwiększenie aktywności enzym</w:t>
      </w:r>
      <w:r w:rsidR="004D3758">
        <w:rPr>
          <w:szCs w:val="22"/>
        </w:rPr>
        <w:t>u</w:t>
      </w:r>
      <w:r w:rsidRPr="007E4DA1">
        <w:rPr>
          <w:szCs w:val="22"/>
        </w:rPr>
        <w:t xml:space="preserve"> wątrobow</w:t>
      </w:r>
      <w:r w:rsidR="004D3758">
        <w:rPr>
          <w:szCs w:val="22"/>
        </w:rPr>
        <w:t>ego</w:t>
      </w:r>
      <w:r w:rsidRPr="007E4DA1">
        <w:rPr>
          <w:szCs w:val="22"/>
        </w:rPr>
        <w:t xml:space="preserve"> aminotransferazy asparaginianowej </w:t>
      </w:r>
      <w:r w:rsidR="004D3758">
        <w:rPr>
          <w:szCs w:val="22"/>
        </w:rPr>
        <w:t>(</w:t>
      </w:r>
      <w:r w:rsidRPr="007E4DA1">
        <w:rPr>
          <w:szCs w:val="22"/>
        </w:rPr>
        <w:t>AspAT)</w:t>
      </w:r>
    </w:p>
    <w:p w14:paraId="28A6F4EC" w14:textId="77777777" w:rsidR="0048571C" w:rsidRPr="007E4DA1" w:rsidRDefault="0048571C" w:rsidP="00DE1596">
      <w:pPr>
        <w:numPr>
          <w:ilvl w:val="12"/>
          <w:numId w:val="0"/>
        </w:numPr>
        <w:rPr>
          <w:szCs w:val="22"/>
        </w:rPr>
      </w:pPr>
    </w:p>
    <w:p w14:paraId="07A8F97F" w14:textId="77777777" w:rsidR="00041A08" w:rsidRPr="00041A08" w:rsidRDefault="0048571C" w:rsidP="00DE1596">
      <w:pPr>
        <w:keepNext/>
        <w:numPr>
          <w:ilvl w:val="12"/>
          <w:numId w:val="0"/>
        </w:numPr>
        <w:rPr>
          <w:szCs w:val="22"/>
        </w:rPr>
      </w:pPr>
      <w:r w:rsidRPr="007E4DA1">
        <w:rPr>
          <w:b/>
          <w:szCs w:val="22"/>
        </w:rPr>
        <w:t>Częste działania niepożądane</w:t>
      </w:r>
    </w:p>
    <w:p w14:paraId="5B9A78A0" w14:textId="109A39D2" w:rsidR="0048571C" w:rsidRPr="007E4DA1" w:rsidRDefault="0048571C" w:rsidP="00DE1596">
      <w:pPr>
        <w:keepNext/>
        <w:numPr>
          <w:ilvl w:val="12"/>
          <w:numId w:val="0"/>
        </w:numPr>
        <w:rPr>
          <w:szCs w:val="22"/>
        </w:rPr>
      </w:pPr>
      <w:r w:rsidRPr="007E4DA1">
        <w:rPr>
          <w:szCs w:val="22"/>
        </w:rPr>
        <w:t xml:space="preserve">Mogą wystąpić u nie więcej niż </w:t>
      </w:r>
      <w:r w:rsidRPr="007E4DA1">
        <w:rPr>
          <w:b/>
          <w:szCs w:val="22"/>
        </w:rPr>
        <w:t>1 na 10</w:t>
      </w:r>
      <w:r w:rsidRPr="007E4DA1">
        <w:rPr>
          <w:szCs w:val="22"/>
        </w:rPr>
        <w:t> pacjentów.</w:t>
      </w:r>
    </w:p>
    <w:p w14:paraId="50128849" w14:textId="77777777" w:rsidR="0048571C" w:rsidRPr="007E4DA1" w:rsidRDefault="0048571C" w:rsidP="00DE1596">
      <w:pPr>
        <w:numPr>
          <w:ilvl w:val="0"/>
          <w:numId w:val="72"/>
        </w:numPr>
        <w:tabs>
          <w:tab w:val="clear" w:pos="720"/>
        </w:tabs>
        <w:ind w:left="567" w:right="-2" w:hanging="567"/>
        <w:rPr>
          <w:szCs w:val="22"/>
        </w:rPr>
      </w:pPr>
      <w:r w:rsidRPr="007E4DA1">
        <w:rPr>
          <w:szCs w:val="22"/>
        </w:rPr>
        <w:t>lęk</w:t>
      </w:r>
    </w:p>
    <w:p w14:paraId="72034384" w14:textId="77777777" w:rsidR="0048571C" w:rsidRPr="007E4DA1" w:rsidRDefault="0048571C" w:rsidP="00DE1596">
      <w:pPr>
        <w:numPr>
          <w:ilvl w:val="0"/>
          <w:numId w:val="72"/>
        </w:numPr>
        <w:tabs>
          <w:tab w:val="clear" w:pos="720"/>
        </w:tabs>
        <w:ind w:left="567" w:right="-2" w:hanging="567"/>
        <w:rPr>
          <w:szCs w:val="22"/>
        </w:rPr>
      </w:pPr>
      <w:r w:rsidRPr="007E4DA1">
        <w:rPr>
          <w:szCs w:val="22"/>
        </w:rPr>
        <w:t>depresja</w:t>
      </w:r>
    </w:p>
    <w:p w14:paraId="0242077B" w14:textId="77777777" w:rsidR="0048571C" w:rsidRPr="007E4DA1" w:rsidRDefault="0048571C" w:rsidP="00DE1596">
      <w:pPr>
        <w:numPr>
          <w:ilvl w:val="0"/>
          <w:numId w:val="72"/>
        </w:numPr>
        <w:tabs>
          <w:tab w:val="clear" w:pos="720"/>
        </w:tabs>
        <w:ind w:left="567" w:right="-2" w:hanging="567"/>
        <w:rPr>
          <w:szCs w:val="22"/>
        </w:rPr>
      </w:pPr>
      <w:r w:rsidRPr="007E4DA1">
        <w:rPr>
          <w:szCs w:val="22"/>
        </w:rPr>
        <w:t>uczucie zimna</w:t>
      </w:r>
    </w:p>
    <w:p w14:paraId="3A25BC25" w14:textId="77777777" w:rsidR="0048571C" w:rsidRPr="007E4DA1" w:rsidRDefault="0048571C" w:rsidP="00DE1596">
      <w:pPr>
        <w:numPr>
          <w:ilvl w:val="0"/>
          <w:numId w:val="72"/>
        </w:numPr>
        <w:tabs>
          <w:tab w:val="clear" w:pos="720"/>
        </w:tabs>
        <w:ind w:left="567" w:right="-2" w:hanging="567"/>
        <w:rPr>
          <w:szCs w:val="22"/>
        </w:rPr>
      </w:pPr>
      <w:r w:rsidRPr="007E4DA1">
        <w:rPr>
          <w:szCs w:val="22"/>
        </w:rPr>
        <w:t>złe samopoczucie</w:t>
      </w:r>
      <w:r w:rsidR="000542C8" w:rsidRPr="007E4DA1">
        <w:rPr>
          <w:szCs w:val="22"/>
        </w:rPr>
        <w:t xml:space="preserve"> ogólne</w:t>
      </w:r>
    </w:p>
    <w:p w14:paraId="54AFB5B4" w14:textId="77777777" w:rsidR="0048571C" w:rsidRPr="007E4DA1" w:rsidRDefault="0048571C" w:rsidP="00DE1596">
      <w:pPr>
        <w:numPr>
          <w:ilvl w:val="0"/>
          <w:numId w:val="72"/>
        </w:numPr>
        <w:tabs>
          <w:tab w:val="clear" w:pos="720"/>
        </w:tabs>
        <w:ind w:left="567" w:right="-2" w:hanging="567"/>
        <w:rPr>
          <w:szCs w:val="22"/>
        </w:rPr>
      </w:pPr>
      <w:r w:rsidRPr="007E4DA1">
        <w:rPr>
          <w:szCs w:val="22"/>
        </w:rPr>
        <w:t xml:space="preserve">zaburzenia oka, w tym </w:t>
      </w:r>
      <w:r w:rsidR="000542C8" w:rsidRPr="007E4DA1">
        <w:rPr>
          <w:szCs w:val="22"/>
        </w:rPr>
        <w:t xml:space="preserve">zaburzenia widzenia, </w:t>
      </w:r>
      <w:r w:rsidRPr="007E4DA1">
        <w:rPr>
          <w:szCs w:val="22"/>
        </w:rPr>
        <w:t>niewyraźne widzenie, zmętnienie soczewki oka (zaćma), plamki lub złogi w oku (męty w ciele szklistym), suchość oka, swędzenie oka, zażółcenie białek oczu lub skóry</w:t>
      </w:r>
    </w:p>
    <w:p w14:paraId="73DA9833" w14:textId="77777777" w:rsidR="0048571C" w:rsidRPr="007E4DA1" w:rsidRDefault="0048571C" w:rsidP="00DE1596">
      <w:pPr>
        <w:numPr>
          <w:ilvl w:val="0"/>
          <w:numId w:val="72"/>
        </w:numPr>
        <w:tabs>
          <w:tab w:val="clear" w:pos="720"/>
        </w:tabs>
        <w:ind w:left="567" w:right="-2" w:hanging="567"/>
        <w:rPr>
          <w:szCs w:val="22"/>
        </w:rPr>
      </w:pPr>
      <w:r w:rsidRPr="007E4DA1">
        <w:rPr>
          <w:szCs w:val="22"/>
        </w:rPr>
        <w:t>krwawienie z nosa</w:t>
      </w:r>
    </w:p>
    <w:p w14:paraId="3F7B6A7A" w14:textId="7F936A99" w:rsidR="0048571C" w:rsidRPr="007E4DA1" w:rsidRDefault="0048571C" w:rsidP="00DE1596">
      <w:pPr>
        <w:numPr>
          <w:ilvl w:val="0"/>
          <w:numId w:val="72"/>
        </w:numPr>
        <w:tabs>
          <w:tab w:val="clear" w:pos="720"/>
        </w:tabs>
        <w:ind w:left="567" w:right="-2" w:hanging="567"/>
        <w:rPr>
          <w:szCs w:val="22"/>
        </w:rPr>
      </w:pPr>
      <w:r w:rsidRPr="007E4DA1">
        <w:rPr>
          <w:szCs w:val="22"/>
        </w:rPr>
        <w:t xml:space="preserve">zaburzenia przewodu pokarmowego, w tym: </w:t>
      </w:r>
      <w:r w:rsidR="000542C8" w:rsidRPr="007E4DA1">
        <w:rPr>
          <w:szCs w:val="22"/>
        </w:rPr>
        <w:t xml:space="preserve">trudności z przełykaniem, ból jamy ustnej, obrzęk języka, </w:t>
      </w:r>
      <w:r w:rsidRPr="007E4DA1">
        <w:rPr>
          <w:szCs w:val="22"/>
        </w:rPr>
        <w:t xml:space="preserve">wymioty, </w:t>
      </w:r>
      <w:r w:rsidR="000542C8" w:rsidRPr="007E4DA1">
        <w:rPr>
          <w:szCs w:val="22"/>
        </w:rPr>
        <w:t>utrata</w:t>
      </w:r>
      <w:r w:rsidRPr="007E4DA1">
        <w:rPr>
          <w:szCs w:val="22"/>
        </w:rPr>
        <w:t xml:space="preserve"> apetytu, ból</w:t>
      </w:r>
      <w:r w:rsidR="007F7B67" w:rsidRPr="007E4DA1">
        <w:rPr>
          <w:szCs w:val="22"/>
        </w:rPr>
        <w:t xml:space="preserve"> lub </w:t>
      </w:r>
      <w:r w:rsidRPr="007E4DA1">
        <w:rPr>
          <w:szCs w:val="22"/>
        </w:rPr>
        <w:t>dyskomfort w żołądku, wzdęcie brzucha, gazy</w:t>
      </w:r>
      <w:r w:rsidR="0089225F" w:rsidRPr="007E4DA1">
        <w:rPr>
          <w:szCs w:val="22"/>
        </w:rPr>
        <w:t xml:space="preserve"> w układzie trawiennym</w:t>
      </w:r>
      <w:r w:rsidRPr="007E4DA1">
        <w:rPr>
          <w:szCs w:val="22"/>
        </w:rPr>
        <w:t xml:space="preserve">, </w:t>
      </w:r>
      <w:r w:rsidR="0089225F" w:rsidRPr="007E4DA1">
        <w:rPr>
          <w:szCs w:val="22"/>
        </w:rPr>
        <w:t>zaparcie, zaburzenia perystaltyki</w:t>
      </w:r>
      <w:r w:rsidR="000542C8" w:rsidRPr="007E4DA1">
        <w:rPr>
          <w:szCs w:val="22"/>
        </w:rPr>
        <w:t xml:space="preserve"> jelit, co moż</w:t>
      </w:r>
      <w:r w:rsidR="0089225F" w:rsidRPr="007E4DA1">
        <w:rPr>
          <w:szCs w:val="22"/>
        </w:rPr>
        <w:t>e powodować zaparcie, wzdęcia,</w:t>
      </w:r>
      <w:r w:rsidR="000542C8" w:rsidRPr="007E4DA1">
        <w:rPr>
          <w:szCs w:val="22"/>
        </w:rPr>
        <w:t xml:space="preserve"> biegunkę i (lub) wyżej wymienione objawy, </w:t>
      </w:r>
      <w:r w:rsidRPr="007E4DA1">
        <w:rPr>
          <w:szCs w:val="22"/>
        </w:rPr>
        <w:t>zmiana koloru stolca</w:t>
      </w:r>
    </w:p>
    <w:p w14:paraId="7CB0B35E" w14:textId="77777777" w:rsidR="0048571C" w:rsidRPr="007E4DA1" w:rsidRDefault="0048571C" w:rsidP="00DE1596">
      <w:pPr>
        <w:numPr>
          <w:ilvl w:val="0"/>
          <w:numId w:val="72"/>
        </w:numPr>
        <w:tabs>
          <w:tab w:val="clear" w:pos="720"/>
        </w:tabs>
        <w:ind w:left="567" w:right="-2" w:hanging="567"/>
        <w:rPr>
          <w:szCs w:val="22"/>
        </w:rPr>
      </w:pPr>
      <w:r w:rsidRPr="007E4DA1">
        <w:rPr>
          <w:szCs w:val="22"/>
        </w:rPr>
        <w:t>omdlenie</w:t>
      </w:r>
    </w:p>
    <w:p w14:paraId="21DE1051" w14:textId="77777777" w:rsidR="0048571C" w:rsidRDefault="0048571C" w:rsidP="00DE1596">
      <w:pPr>
        <w:numPr>
          <w:ilvl w:val="0"/>
          <w:numId w:val="72"/>
        </w:numPr>
        <w:tabs>
          <w:tab w:val="clear" w:pos="720"/>
        </w:tabs>
        <w:ind w:left="567" w:right="-2" w:hanging="567"/>
        <w:rPr>
          <w:szCs w:val="22"/>
        </w:rPr>
      </w:pPr>
      <w:r w:rsidRPr="007E4DA1">
        <w:rPr>
          <w:szCs w:val="22"/>
        </w:rPr>
        <w:t>zaburzenia skórne, w tym: małe czerwone lub fioletowe plamki spowodowane krwawieniem do skóry (wybroczyny), wysypka, swędzenie,</w:t>
      </w:r>
      <w:r w:rsidR="000542C8" w:rsidRPr="007E4DA1">
        <w:rPr>
          <w:szCs w:val="22"/>
        </w:rPr>
        <w:t xml:space="preserve"> pokrzywka,</w:t>
      </w:r>
      <w:r w:rsidRPr="007E4DA1">
        <w:rPr>
          <w:szCs w:val="22"/>
        </w:rPr>
        <w:t xml:space="preserve"> zmiany skórne</w:t>
      </w:r>
    </w:p>
    <w:p w14:paraId="5CE889CF" w14:textId="73D3DF88" w:rsidR="004D3758" w:rsidRPr="007E4DA1" w:rsidRDefault="004D3758" w:rsidP="00DE1596">
      <w:pPr>
        <w:numPr>
          <w:ilvl w:val="0"/>
          <w:numId w:val="72"/>
        </w:numPr>
        <w:tabs>
          <w:tab w:val="clear" w:pos="720"/>
        </w:tabs>
        <w:ind w:left="567" w:right="-2" w:hanging="567"/>
        <w:rPr>
          <w:szCs w:val="22"/>
        </w:rPr>
      </w:pPr>
      <w:r w:rsidRPr="007E4DA1">
        <w:rPr>
          <w:szCs w:val="22"/>
        </w:rPr>
        <w:t>krwawienie z dziąseł</w:t>
      </w:r>
    </w:p>
    <w:p w14:paraId="5F24ADF1" w14:textId="77777777" w:rsidR="0048571C" w:rsidRPr="007E4DA1" w:rsidRDefault="0048571C" w:rsidP="00DE1596">
      <w:pPr>
        <w:numPr>
          <w:ilvl w:val="0"/>
          <w:numId w:val="72"/>
        </w:numPr>
        <w:tabs>
          <w:tab w:val="clear" w:pos="720"/>
        </w:tabs>
        <w:ind w:left="567" w:right="-2" w:hanging="567"/>
        <w:rPr>
          <w:szCs w:val="22"/>
        </w:rPr>
      </w:pPr>
      <w:r w:rsidRPr="007E4DA1">
        <w:rPr>
          <w:szCs w:val="22"/>
        </w:rPr>
        <w:t>ból pleców</w:t>
      </w:r>
    </w:p>
    <w:p w14:paraId="1D31F170" w14:textId="77777777" w:rsidR="0048571C" w:rsidRPr="007E4DA1" w:rsidRDefault="0048571C" w:rsidP="00DE1596">
      <w:pPr>
        <w:numPr>
          <w:ilvl w:val="0"/>
          <w:numId w:val="72"/>
        </w:numPr>
        <w:tabs>
          <w:tab w:val="clear" w:pos="720"/>
        </w:tabs>
        <w:ind w:left="567" w:right="-2" w:hanging="567"/>
        <w:rPr>
          <w:szCs w:val="22"/>
        </w:rPr>
      </w:pPr>
      <w:r w:rsidRPr="007E4DA1">
        <w:rPr>
          <w:szCs w:val="22"/>
        </w:rPr>
        <w:t>ból mięśni</w:t>
      </w:r>
    </w:p>
    <w:p w14:paraId="200804F8" w14:textId="77777777" w:rsidR="0048571C" w:rsidRPr="007E4DA1" w:rsidRDefault="0048571C" w:rsidP="00DE1596">
      <w:pPr>
        <w:numPr>
          <w:ilvl w:val="0"/>
          <w:numId w:val="72"/>
        </w:numPr>
        <w:tabs>
          <w:tab w:val="clear" w:pos="720"/>
        </w:tabs>
        <w:ind w:left="567" w:right="-2" w:hanging="567"/>
        <w:rPr>
          <w:szCs w:val="22"/>
        </w:rPr>
      </w:pPr>
      <w:r w:rsidRPr="007E4DA1">
        <w:rPr>
          <w:szCs w:val="22"/>
        </w:rPr>
        <w:t>ból kości</w:t>
      </w:r>
    </w:p>
    <w:p w14:paraId="6EB3692B" w14:textId="77777777" w:rsidR="0048571C" w:rsidRPr="007E4DA1" w:rsidRDefault="0048571C" w:rsidP="00DE1596">
      <w:pPr>
        <w:numPr>
          <w:ilvl w:val="0"/>
          <w:numId w:val="72"/>
        </w:numPr>
        <w:tabs>
          <w:tab w:val="clear" w:pos="720"/>
        </w:tabs>
        <w:ind w:left="567" w:right="-2" w:hanging="567"/>
        <w:rPr>
          <w:szCs w:val="22"/>
        </w:rPr>
      </w:pPr>
      <w:r w:rsidRPr="007E4DA1">
        <w:rPr>
          <w:szCs w:val="22"/>
        </w:rPr>
        <w:t>osłabienie</w:t>
      </w:r>
    </w:p>
    <w:p w14:paraId="73D696F8" w14:textId="77777777" w:rsidR="0048571C" w:rsidRPr="007E4DA1" w:rsidRDefault="0048571C" w:rsidP="00DE1596">
      <w:pPr>
        <w:numPr>
          <w:ilvl w:val="0"/>
          <w:numId w:val="72"/>
        </w:numPr>
        <w:tabs>
          <w:tab w:val="clear" w:pos="720"/>
        </w:tabs>
        <w:ind w:left="567" w:right="-2" w:hanging="567"/>
        <w:rPr>
          <w:szCs w:val="22"/>
        </w:rPr>
      </w:pPr>
      <w:r w:rsidRPr="007E4DA1">
        <w:rPr>
          <w:szCs w:val="22"/>
        </w:rPr>
        <w:t>obrzęk kończyn dolnych spowodowany gromadzeniem się płynów</w:t>
      </w:r>
    </w:p>
    <w:p w14:paraId="0A6AAE25" w14:textId="77777777" w:rsidR="0048571C" w:rsidRPr="007E4DA1" w:rsidRDefault="0048571C" w:rsidP="00DE1596">
      <w:pPr>
        <w:numPr>
          <w:ilvl w:val="0"/>
          <w:numId w:val="72"/>
        </w:numPr>
        <w:tabs>
          <w:tab w:val="clear" w:pos="720"/>
        </w:tabs>
        <w:ind w:left="567" w:right="-2" w:hanging="567"/>
        <w:rPr>
          <w:szCs w:val="22"/>
        </w:rPr>
      </w:pPr>
      <w:r w:rsidRPr="007E4DA1">
        <w:rPr>
          <w:szCs w:val="22"/>
        </w:rPr>
        <w:t>nieprawidłowe zabarwienie moczu</w:t>
      </w:r>
    </w:p>
    <w:p w14:paraId="39A77345" w14:textId="77777777" w:rsidR="0048571C" w:rsidRPr="007E4DA1" w:rsidRDefault="0048571C" w:rsidP="00DE1596">
      <w:pPr>
        <w:numPr>
          <w:ilvl w:val="0"/>
          <w:numId w:val="72"/>
        </w:numPr>
        <w:tabs>
          <w:tab w:val="clear" w:pos="720"/>
        </w:tabs>
        <w:ind w:left="567" w:right="-2" w:hanging="567"/>
        <w:rPr>
          <w:szCs w:val="22"/>
        </w:rPr>
      </w:pPr>
      <w:r w:rsidRPr="007E4DA1">
        <w:rPr>
          <w:szCs w:val="22"/>
        </w:rPr>
        <w:t>przerwa w dopływie krwi do śledziony (zawał śledziony)</w:t>
      </w:r>
    </w:p>
    <w:p w14:paraId="67FDEFE3" w14:textId="77777777" w:rsidR="0048571C" w:rsidRPr="007E4DA1" w:rsidRDefault="0048571C" w:rsidP="00DE1596">
      <w:pPr>
        <w:numPr>
          <w:ilvl w:val="0"/>
          <w:numId w:val="72"/>
        </w:numPr>
        <w:tabs>
          <w:tab w:val="clear" w:pos="720"/>
        </w:tabs>
        <w:ind w:left="567" w:right="-2" w:hanging="567"/>
        <w:rPr>
          <w:szCs w:val="22"/>
        </w:rPr>
      </w:pPr>
      <w:r w:rsidRPr="007E4DA1">
        <w:rPr>
          <w:szCs w:val="22"/>
        </w:rPr>
        <w:t>katar</w:t>
      </w:r>
    </w:p>
    <w:p w14:paraId="13E8BECB" w14:textId="77777777" w:rsidR="0048571C" w:rsidRPr="007E4DA1" w:rsidRDefault="0048571C" w:rsidP="00DE1596">
      <w:pPr>
        <w:numPr>
          <w:ilvl w:val="12"/>
          <w:numId w:val="0"/>
        </w:numPr>
        <w:ind w:right="-2"/>
        <w:rPr>
          <w:szCs w:val="22"/>
        </w:rPr>
      </w:pPr>
    </w:p>
    <w:p w14:paraId="345E3AAF" w14:textId="77777777" w:rsidR="00041A08" w:rsidRPr="00041A08" w:rsidRDefault="0048571C" w:rsidP="00DE1596">
      <w:pPr>
        <w:keepNext/>
        <w:numPr>
          <w:ilvl w:val="12"/>
          <w:numId w:val="0"/>
        </w:numPr>
        <w:rPr>
          <w:szCs w:val="22"/>
        </w:rPr>
      </w:pPr>
      <w:r w:rsidRPr="007E4DA1">
        <w:rPr>
          <w:b/>
          <w:szCs w:val="22"/>
        </w:rPr>
        <w:t>Częste działania niepożądane mogące objawiać się w wynikach badań krwi</w:t>
      </w:r>
    </w:p>
    <w:p w14:paraId="1B22CD70" w14:textId="78782632" w:rsidR="0048571C" w:rsidRPr="007E4DA1" w:rsidRDefault="0048571C" w:rsidP="00DE1596">
      <w:pPr>
        <w:numPr>
          <w:ilvl w:val="0"/>
          <w:numId w:val="72"/>
        </w:numPr>
        <w:tabs>
          <w:tab w:val="clear" w:pos="720"/>
        </w:tabs>
        <w:ind w:left="567" w:right="-2" w:hanging="567"/>
        <w:rPr>
          <w:szCs w:val="22"/>
        </w:rPr>
      </w:pPr>
      <w:r w:rsidRPr="007E4DA1">
        <w:rPr>
          <w:szCs w:val="22"/>
        </w:rPr>
        <w:t>zwiększenie aktywności enzymów spowodowany rozpadem mięśni (fosfokinaza kreatynowa</w:t>
      </w:r>
      <w:r w:rsidRPr="007E4DA1">
        <w:rPr>
          <w:i/>
          <w:szCs w:val="22"/>
        </w:rPr>
        <w:t>)</w:t>
      </w:r>
    </w:p>
    <w:p w14:paraId="213006A0" w14:textId="77777777" w:rsidR="0048571C" w:rsidRPr="007E4DA1" w:rsidRDefault="0048571C" w:rsidP="00DE1596">
      <w:pPr>
        <w:numPr>
          <w:ilvl w:val="0"/>
          <w:numId w:val="72"/>
        </w:numPr>
        <w:tabs>
          <w:tab w:val="clear" w:pos="720"/>
        </w:tabs>
        <w:ind w:left="567" w:right="-2" w:hanging="567"/>
        <w:rPr>
          <w:szCs w:val="22"/>
        </w:rPr>
      </w:pPr>
      <w:r w:rsidRPr="007E4DA1">
        <w:rPr>
          <w:szCs w:val="22"/>
        </w:rPr>
        <w:t>gromadzenie żelaza w organizmie (nadmierne obciążenie żelazem)</w:t>
      </w:r>
    </w:p>
    <w:p w14:paraId="4A7ADFCC" w14:textId="77777777" w:rsidR="0048571C" w:rsidRPr="007E4DA1" w:rsidRDefault="0048571C" w:rsidP="00DE1596">
      <w:pPr>
        <w:numPr>
          <w:ilvl w:val="0"/>
          <w:numId w:val="72"/>
        </w:numPr>
        <w:tabs>
          <w:tab w:val="clear" w:pos="720"/>
        </w:tabs>
        <w:ind w:left="567" w:right="-2" w:hanging="567"/>
        <w:rPr>
          <w:szCs w:val="22"/>
        </w:rPr>
      </w:pPr>
      <w:r w:rsidRPr="007E4DA1">
        <w:rPr>
          <w:szCs w:val="22"/>
        </w:rPr>
        <w:t>zmniejszenie stężenia cukru we krwi (hipoglikemia)</w:t>
      </w:r>
    </w:p>
    <w:p w14:paraId="66E86D5F" w14:textId="77777777" w:rsidR="0048571C" w:rsidRPr="007E4DA1" w:rsidRDefault="0048571C" w:rsidP="00DE1596">
      <w:pPr>
        <w:pStyle w:val="listdashnospace"/>
        <w:numPr>
          <w:ilvl w:val="0"/>
          <w:numId w:val="72"/>
        </w:numPr>
        <w:tabs>
          <w:tab w:val="clear" w:pos="720"/>
        </w:tabs>
        <w:ind w:left="567" w:hanging="567"/>
        <w:rPr>
          <w:sz w:val="22"/>
          <w:szCs w:val="22"/>
          <w:lang w:val="pl-PL"/>
        </w:rPr>
      </w:pPr>
      <w:r w:rsidRPr="007E4DA1">
        <w:rPr>
          <w:sz w:val="22"/>
          <w:szCs w:val="22"/>
          <w:lang w:val="pl-PL"/>
        </w:rPr>
        <w:t xml:space="preserve">zwiększenie stężenia bilirubiny </w:t>
      </w:r>
      <w:r w:rsidR="000542C8" w:rsidRPr="007E4DA1">
        <w:rPr>
          <w:sz w:val="22"/>
          <w:szCs w:val="22"/>
          <w:lang w:val="pl-PL"/>
        </w:rPr>
        <w:t xml:space="preserve">we krwi </w:t>
      </w:r>
      <w:r w:rsidRPr="007E4DA1">
        <w:rPr>
          <w:sz w:val="22"/>
          <w:szCs w:val="22"/>
          <w:lang w:val="pl-PL"/>
        </w:rPr>
        <w:t>(substancji wytwarzanej przez wątrobę)</w:t>
      </w:r>
    </w:p>
    <w:p w14:paraId="36C360F7" w14:textId="77777777" w:rsidR="0048571C" w:rsidRPr="007E4DA1" w:rsidRDefault="0048571C" w:rsidP="00DE1596">
      <w:pPr>
        <w:pStyle w:val="listdashnospace"/>
        <w:numPr>
          <w:ilvl w:val="0"/>
          <w:numId w:val="72"/>
        </w:numPr>
        <w:tabs>
          <w:tab w:val="clear" w:pos="720"/>
        </w:tabs>
        <w:ind w:left="567" w:hanging="567"/>
        <w:rPr>
          <w:sz w:val="22"/>
          <w:szCs w:val="22"/>
          <w:lang w:val="pl-PL"/>
        </w:rPr>
      </w:pPr>
      <w:r w:rsidRPr="007E4DA1">
        <w:rPr>
          <w:sz w:val="22"/>
          <w:szCs w:val="22"/>
          <w:lang w:val="pl-PL"/>
        </w:rPr>
        <w:t>zmniejszenie liczby krwinek białych</w:t>
      </w:r>
    </w:p>
    <w:p w14:paraId="006BAA18" w14:textId="77777777" w:rsidR="0048571C" w:rsidRPr="007E4DA1" w:rsidRDefault="0048571C" w:rsidP="00DE1596">
      <w:pPr>
        <w:numPr>
          <w:ilvl w:val="12"/>
          <w:numId w:val="0"/>
        </w:numPr>
        <w:rPr>
          <w:szCs w:val="22"/>
        </w:rPr>
      </w:pPr>
    </w:p>
    <w:p w14:paraId="397B2A5A" w14:textId="77777777" w:rsidR="00041A08" w:rsidRPr="00041A08" w:rsidRDefault="0048571C" w:rsidP="00DE1596">
      <w:pPr>
        <w:keepNext/>
        <w:numPr>
          <w:ilvl w:val="12"/>
          <w:numId w:val="0"/>
        </w:numPr>
        <w:rPr>
          <w:szCs w:val="22"/>
        </w:rPr>
      </w:pPr>
      <w:r w:rsidRPr="007E4DA1">
        <w:rPr>
          <w:b/>
          <w:szCs w:val="22"/>
        </w:rPr>
        <w:t>Działania niepożądane o częstości nieznanej</w:t>
      </w:r>
    </w:p>
    <w:p w14:paraId="7FCBA2EF" w14:textId="1DFE226B" w:rsidR="0048571C" w:rsidRPr="007E4DA1" w:rsidRDefault="0048571C" w:rsidP="00DE1596">
      <w:pPr>
        <w:keepNext/>
        <w:numPr>
          <w:ilvl w:val="12"/>
          <w:numId w:val="0"/>
        </w:numPr>
        <w:rPr>
          <w:szCs w:val="22"/>
        </w:rPr>
      </w:pPr>
      <w:r w:rsidRPr="007E4DA1">
        <w:rPr>
          <w:bCs/>
          <w:szCs w:val="22"/>
        </w:rPr>
        <w:t>Częstość nie może być określona na podstawie dostępnych danych</w:t>
      </w:r>
    </w:p>
    <w:p w14:paraId="42369632" w14:textId="77777777" w:rsidR="0048571C" w:rsidRPr="007E4DA1" w:rsidRDefault="0048571C" w:rsidP="00DE1596">
      <w:pPr>
        <w:numPr>
          <w:ilvl w:val="0"/>
          <w:numId w:val="74"/>
        </w:numPr>
        <w:tabs>
          <w:tab w:val="clear" w:pos="720"/>
          <w:tab w:val="num" w:pos="-6946"/>
        </w:tabs>
        <w:ind w:left="567" w:right="-2" w:hanging="567"/>
        <w:rPr>
          <w:szCs w:val="22"/>
        </w:rPr>
      </w:pPr>
      <w:r w:rsidRPr="007E4DA1">
        <w:rPr>
          <w:szCs w:val="22"/>
        </w:rPr>
        <w:t>odbarwienie skóry</w:t>
      </w:r>
    </w:p>
    <w:p w14:paraId="432CE13E" w14:textId="77777777" w:rsidR="0048571C" w:rsidRPr="007E4DA1" w:rsidRDefault="0048571C" w:rsidP="00DE1596">
      <w:pPr>
        <w:numPr>
          <w:ilvl w:val="0"/>
          <w:numId w:val="74"/>
        </w:numPr>
        <w:tabs>
          <w:tab w:val="clear" w:pos="720"/>
          <w:tab w:val="num" w:pos="-6946"/>
        </w:tabs>
        <w:ind w:left="567" w:right="-2" w:hanging="567"/>
        <w:rPr>
          <w:szCs w:val="22"/>
        </w:rPr>
      </w:pPr>
      <w:r w:rsidRPr="007E4DA1">
        <w:rPr>
          <w:szCs w:val="22"/>
        </w:rPr>
        <w:t>ciemniejsze zabarwienie skóry</w:t>
      </w:r>
    </w:p>
    <w:p w14:paraId="2BC9E2A3" w14:textId="031A45AC" w:rsidR="0048571C" w:rsidRPr="007E4DA1" w:rsidRDefault="000542C8" w:rsidP="00DE1596">
      <w:pPr>
        <w:numPr>
          <w:ilvl w:val="0"/>
          <w:numId w:val="74"/>
        </w:numPr>
        <w:tabs>
          <w:tab w:val="clear" w:pos="720"/>
          <w:tab w:val="num" w:pos="-6946"/>
        </w:tabs>
        <w:ind w:left="567" w:right="-2" w:hanging="567"/>
        <w:rPr>
          <w:szCs w:val="22"/>
        </w:rPr>
      </w:pPr>
      <w:r w:rsidRPr="007E4DA1">
        <w:rPr>
          <w:szCs w:val="22"/>
        </w:rPr>
        <w:t xml:space="preserve">uszkodzenie wątroby spowodowane </w:t>
      </w:r>
      <w:r w:rsidR="007F7B67" w:rsidRPr="007E4DA1">
        <w:rPr>
          <w:szCs w:val="22"/>
        </w:rPr>
        <w:t>przyjmowaniem</w:t>
      </w:r>
      <w:r w:rsidRPr="007E4DA1">
        <w:rPr>
          <w:szCs w:val="22"/>
        </w:rPr>
        <w:t xml:space="preserve"> lek</w:t>
      </w:r>
      <w:r w:rsidR="007F7B67" w:rsidRPr="007E4DA1">
        <w:rPr>
          <w:szCs w:val="22"/>
        </w:rPr>
        <w:t>u</w:t>
      </w:r>
    </w:p>
    <w:p w14:paraId="7B085C41" w14:textId="77777777" w:rsidR="00E147B1" w:rsidRPr="007E4DA1" w:rsidRDefault="00E147B1" w:rsidP="00DE1596">
      <w:pPr>
        <w:ind w:left="0" w:firstLine="0"/>
        <w:rPr>
          <w:noProof/>
          <w:szCs w:val="22"/>
        </w:rPr>
      </w:pPr>
    </w:p>
    <w:p w14:paraId="43D03E8F" w14:textId="77777777" w:rsidR="00041A08" w:rsidRPr="00041A08" w:rsidRDefault="00A350DA" w:rsidP="00DE1596">
      <w:pPr>
        <w:keepNext/>
        <w:ind w:left="0" w:firstLine="0"/>
        <w:rPr>
          <w:noProof/>
          <w:szCs w:val="22"/>
        </w:rPr>
      </w:pPr>
      <w:r w:rsidRPr="007E4DA1">
        <w:rPr>
          <w:b/>
          <w:noProof/>
          <w:szCs w:val="22"/>
        </w:rPr>
        <w:t>Zgłaszanie działań niepożądanych</w:t>
      </w:r>
    </w:p>
    <w:p w14:paraId="3CE79E04" w14:textId="4514A379" w:rsidR="00A350DA" w:rsidRPr="007E4DA1" w:rsidRDefault="00A350DA" w:rsidP="00DE1596">
      <w:pPr>
        <w:tabs>
          <w:tab w:val="left" w:pos="540"/>
        </w:tabs>
        <w:ind w:left="0" w:firstLine="0"/>
        <w:rPr>
          <w:noProof/>
          <w:szCs w:val="22"/>
        </w:rPr>
      </w:pPr>
      <w:r w:rsidRPr="007E4DA1">
        <w:rPr>
          <w:noProof/>
          <w:szCs w:val="22"/>
        </w:rPr>
        <w:t xml:space="preserve">Jeśli wystąpią jakiekolwiek objawy niepożądane, w tym wszelkie objawy niepożądane niewymienione w </w:t>
      </w:r>
      <w:r w:rsidR="000542C8" w:rsidRPr="007E4DA1">
        <w:rPr>
          <w:noProof/>
          <w:szCs w:val="22"/>
        </w:rPr>
        <w:t xml:space="preserve">tej </w:t>
      </w:r>
      <w:r w:rsidRPr="007E4DA1">
        <w:rPr>
          <w:noProof/>
          <w:szCs w:val="22"/>
        </w:rPr>
        <w:t>ulotce, należy powiedzieć o tym lekarzowi</w:t>
      </w:r>
      <w:r w:rsidR="003472B9" w:rsidRPr="007E4DA1">
        <w:rPr>
          <w:noProof/>
          <w:szCs w:val="22"/>
        </w:rPr>
        <w:t>,</w:t>
      </w:r>
      <w:r w:rsidRPr="007E4DA1">
        <w:rPr>
          <w:noProof/>
          <w:szCs w:val="22"/>
        </w:rPr>
        <w:t xml:space="preserve"> farmaceucie</w:t>
      </w:r>
      <w:r w:rsidR="003472B9" w:rsidRPr="007E4DA1">
        <w:rPr>
          <w:noProof/>
          <w:szCs w:val="22"/>
        </w:rPr>
        <w:t xml:space="preserve"> lub pielęgniarce</w:t>
      </w:r>
      <w:r w:rsidRPr="007E4DA1">
        <w:rPr>
          <w:noProof/>
          <w:szCs w:val="22"/>
        </w:rPr>
        <w:t xml:space="preserve">. Działania niepożądane można zgłaszać bezpośrednio </w:t>
      </w:r>
      <w:r w:rsidRPr="007E4DA1">
        <w:rPr>
          <w:szCs w:val="22"/>
        </w:rPr>
        <w:t xml:space="preserve">do </w:t>
      </w:r>
      <w:r w:rsidRPr="007E4DA1">
        <w:rPr>
          <w:szCs w:val="22"/>
          <w:shd w:val="pct15" w:color="auto" w:fill="auto"/>
        </w:rPr>
        <w:t xml:space="preserve">„krajowego systemu zgłaszania” wymienionego w </w:t>
      </w:r>
      <w:r>
        <w:fldChar w:fldCharType="begin"/>
      </w:r>
      <w:r>
        <w:instrText>HYPERLINK "https://www.ema.europa.eu/documents/template-form/qrd-appendix-v-adverse-drug-reaction-reporting-details_en.docx"</w:instrText>
      </w:r>
      <w:r>
        <w:fldChar w:fldCharType="separate"/>
      </w:r>
      <w:r w:rsidRPr="007E4DA1">
        <w:rPr>
          <w:rStyle w:val="Hyperlink"/>
          <w:shd w:val="pct15" w:color="auto" w:fill="auto"/>
        </w:rPr>
        <w:t>załączniku V</w:t>
      </w:r>
      <w:r>
        <w:fldChar w:fldCharType="end"/>
      </w:r>
      <w:r w:rsidRPr="007E4DA1">
        <w:rPr>
          <w:noProof/>
          <w:szCs w:val="22"/>
        </w:rPr>
        <w:t>. Dzięki zgłaszaniu działań niepożądanych można będzie zgromadzić więcej informacji na temat bezpieczeństwa stosowania leku.</w:t>
      </w:r>
    </w:p>
    <w:p w14:paraId="1CA5C3A4" w14:textId="77777777" w:rsidR="00A350DA" w:rsidRPr="007E4DA1" w:rsidRDefault="00A350DA" w:rsidP="00DE1596">
      <w:pPr>
        <w:pStyle w:val="listdashnospace"/>
        <w:numPr>
          <w:ilvl w:val="0"/>
          <w:numId w:val="0"/>
        </w:numPr>
        <w:rPr>
          <w:lang w:val="pl-PL"/>
        </w:rPr>
      </w:pPr>
    </w:p>
    <w:p w14:paraId="1E4F294C" w14:textId="77777777" w:rsidR="00A350DA" w:rsidRPr="007E4DA1" w:rsidRDefault="00A350DA" w:rsidP="00DE1596">
      <w:pPr>
        <w:pStyle w:val="listdashnospace"/>
        <w:numPr>
          <w:ilvl w:val="0"/>
          <w:numId w:val="0"/>
        </w:numPr>
        <w:rPr>
          <w:lang w:val="pl-PL"/>
        </w:rPr>
      </w:pPr>
    </w:p>
    <w:p w14:paraId="4D2FFBE1" w14:textId="77777777" w:rsidR="00041A08" w:rsidRPr="00041A08" w:rsidRDefault="00A350DA" w:rsidP="00DE1596">
      <w:pPr>
        <w:keepNext/>
        <w:rPr>
          <w:caps/>
        </w:rPr>
      </w:pPr>
      <w:r w:rsidRPr="007E4DA1">
        <w:rPr>
          <w:b/>
          <w:caps/>
        </w:rPr>
        <w:t>5.</w:t>
      </w:r>
      <w:r w:rsidRPr="007E4DA1">
        <w:rPr>
          <w:b/>
          <w:caps/>
        </w:rPr>
        <w:tab/>
      </w:r>
      <w:r w:rsidRPr="007E4DA1">
        <w:rPr>
          <w:b/>
        </w:rPr>
        <w:t>Jak przechowywać lek Revolade</w:t>
      </w:r>
    </w:p>
    <w:p w14:paraId="5AD78777" w14:textId="26FCD97B" w:rsidR="00A350DA" w:rsidRPr="007E4DA1" w:rsidRDefault="00A350DA" w:rsidP="00DE1596">
      <w:pPr>
        <w:keepNext/>
        <w:ind w:left="0" w:firstLine="0"/>
      </w:pPr>
    </w:p>
    <w:p w14:paraId="1974C04B" w14:textId="77777777" w:rsidR="00A350DA" w:rsidRPr="007E4DA1" w:rsidRDefault="00A350DA" w:rsidP="00DE1596">
      <w:pPr>
        <w:ind w:left="0" w:firstLine="0"/>
      </w:pPr>
      <w:r w:rsidRPr="007E4DA1">
        <w:t>Lek należy przechowywać w miejscu niewidocznym i niedostępnym dla dzieci.</w:t>
      </w:r>
    </w:p>
    <w:p w14:paraId="2F01AB7A" w14:textId="77777777" w:rsidR="00A350DA" w:rsidRPr="007E4DA1" w:rsidRDefault="00A350DA" w:rsidP="00DE1596">
      <w:pPr>
        <w:ind w:left="0" w:firstLine="0"/>
      </w:pPr>
    </w:p>
    <w:p w14:paraId="6E1C43EE" w14:textId="760C23E5" w:rsidR="00A350DA" w:rsidRPr="007E4DA1" w:rsidRDefault="00A350DA" w:rsidP="00DE1596">
      <w:pPr>
        <w:ind w:left="0" w:firstLine="0"/>
      </w:pPr>
      <w:r w:rsidRPr="007E4DA1">
        <w:t xml:space="preserve">Nie stosować </w:t>
      </w:r>
      <w:r w:rsidR="003472B9" w:rsidRPr="007E4DA1">
        <w:t xml:space="preserve">tego </w:t>
      </w:r>
      <w:r w:rsidRPr="007E4DA1">
        <w:t xml:space="preserve">leku po upływie terminu ważności zamieszczonego na pudełku i </w:t>
      </w:r>
      <w:r w:rsidR="00B85B6D" w:rsidRPr="007E4DA1">
        <w:t>saszetce</w:t>
      </w:r>
      <w:r w:rsidR="004D3758">
        <w:t xml:space="preserve"> po</w:t>
      </w:r>
      <w:r w:rsidR="00545228">
        <w:t>:</w:t>
      </w:r>
      <w:r w:rsidR="004D3758">
        <w:t xml:space="preserve"> EXP</w:t>
      </w:r>
      <w:r w:rsidRPr="007E4DA1">
        <w:t>.</w:t>
      </w:r>
    </w:p>
    <w:p w14:paraId="4D66EEC8" w14:textId="77777777" w:rsidR="00A350DA" w:rsidRPr="007E4DA1" w:rsidRDefault="00A350DA" w:rsidP="00DE1596">
      <w:pPr>
        <w:ind w:left="0" w:firstLine="0"/>
      </w:pPr>
    </w:p>
    <w:p w14:paraId="00E34919" w14:textId="77777777" w:rsidR="00A350DA" w:rsidRPr="007E4DA1" w:rsidRDefault="00B5026F" w:rsidP="00DE1596">
      <w:pPr>
        <w:numPr>
          <w:ilvl w:val="12"/>
          <w:numId w:val="0"/>
        </w:numPr>
        <w:ind w:right="-2"/>
      </w:pPr>
      <w:r w:rsidRPr="007E4DA1">
        <w:rPr>
          <w:noProof/>
          <w:szCs w:val="22"/>
        </w:rPr>
        <w:t>Brak specjalnych zaleceń dotyczących przechowywania leku</w:t>
      </w:r>
    </w:p>
    <w:p w14:paraId="2A7800C7" w14:textId="77777777" w:rsidR="003472B9" w:rsidRPr="007E4DA1" w:rsidRDefault="003472B9" w:rsidP="00DE1596"/>
    <w:p w14:paraId="58C28AB7" w14:textId="77777777" w:rsidR="00A350DA" w:rsidRPr="007E4DA1" w:rsidRDefault="003472B9" w:rsidP="00DE1596">
      <w:pPr>
        <w:ind w:left="0" w:firstLine="0"/>
      </w:pPr>
      <w:r w:rsidRPr="007E4DA1">
        <w:t>Foliowe saszetki należy otworzyć tuż przed użyciem. Po wymieszaniu lek Revolade w postaci zawiesiny doustnej należy natychmiast podać, ale można go przechowywać nie dłużej niż przez 30</w:t>
      </w:r>
      <w:r w:rsidR="0006656D" w:rsidRPr="007E4DA1">
        <w:t> </w:t>
      </w:r>
      <w:r w:rsidRPr="007E4DA1">
        <w:t>minut w temperaturze pokojowej.</w:t>
      </w:r>
    </w:p>
    <w:p w14:paraId="3A506B34" w14:textId="77777777" w:rsidR="003472B9" w:rsidRPr="007E4DA1" w:rsidRDefault="003472B9" w:rsidP="00DE1596"/>
    <w:p w14:paraId="3A2D8E72" w14:textId="21EF9B5F" w:rsidR="00A350DA" w:rsidRPr="007E4DA1" w:rsidRDefault="00A350DA" w:rsidP="00DE1596">
      <w:pPr>
        <w:numPr>
          <w:ilvl w:val="12"/>
          <w:numId w:val="0"/>
        </w:numPr>
        <w:ind w:right="-2"/>
      </w:pPr>
      <w:r w:rsidRPr="007E4DA1">
        <w:t xml:space="preserve">Leków nie należy wyrzucać do kanalizacji ani domowych pojemników na odpadki. Należy zapytać farmaceutę, jak usunąć leki, których się </w:t>
      </w:r>
      <w:r w:rsidR="000542C8" w:rsidRPr="007E4DA1">
        <w:t xml:space="preserve">już </w:t>
      </w:r>
      <w:r w:rsidRPr="007E4DA1">
        <w:t>nie używa. Takie postępowanie pomoże chronić środowisko.</w:t>
      </w:r>
    </w:p>
    <w:p w14:paraId="00BE7C1E" w14:textId="77777777" w:rsidR="00A350DA" w:rsidRPr="007E4DA1" w:rsidRDefault="00A350DA" w:rsidP="00DE1596"/>
    <w:p w14:paraId="26AC3011" w14:textId="77777777" w:rsidR="00A350DA" w:rsidRPr="007E4DA1" w:rsidRDefault="00A350DA" w:rsidP="00DE1596"/>
    <w:p w14:paraId="31E1F02E" w14:textId="77777777" w:rsidR="00041A08" w:rsidRPr="00041A08" w:rsidRDefault="00A350DA" w:rsidP="00DE1596">
      <w:pPr>
        <w:keepNext/>
        <w:rPr>
          <w:caps/>
        </w:rPr>
      </w:pPr>
      <w:r w:rsidRPr="007E4DA1">
        <w:rPr>
          <w:b/>
          <w:caps/>
        </w:rPr>
        <w:t>6.</w:t>
      </w:r>
      <w:r w:rsidRPr="007E4DA1">
        <w:rPr>
          <w:b/>
          <w:caps/>
        </w:rPr>
        <w:tab/>
      </w:r>
      <w:r w:rsidRPr="007E4DA1">
        <w:rPr>
          <w:b/>
        </w:rPr>
        <w:t>Zawartość opakowania i inne informacje</w:t>
      </w:r>
    </w:p>
    <w:p w14:paraId="0C8F4F3F" w14:textId="77777777" w:rsidR="00041A08" w:rsidRPr="00041A08" w:rsidRDefault="00041A08" w:rsidP="00DE1596">
      <w:pPr>
        <w:keepNext/>
      </w:pPr>
    </w:p>
    <w:p w14:paraId="6423966A" w14:textId="77777777" w:rsidR="00041A08" w:rsidRPr="00041A08" w:rsidRDefault="00A350DA" w:rsidP="00DE1596">
      <w:pPr>
        <w:keepNext/>
        <w:ind w:left="0" w:firstLine="0"/>
      </w:pPr>
      <w:r w:rsidRPr="007E4DA1">
        <w:rPr>
          <w:b/>
        </w:rPr>
        <w:t>Co zawiera lek Revolade</w:t>
      </w:r>
    </w:p>
    <w:p w14:paraId="294239E1" w14:textId="43C7D42D" w:rsidR="00A350DA" w:rsidRPr="007E4DA1" w:rsidRDefault="00A350DA" w:rsidP="00DE1596">
      <w:pPr>
        <w:keepNext/>
        <w:ind w:left="0" w:firstLine="0"/>
      </w:pPr>
    </w:p>
    <w:p w14:paraId="0CBBC4FC" w14:textId="77777777" w:rsidR="00041A08" w:rsidRPr="00041A08" w:rsidRDefault="00A350DA" w:rsidP="00DE1596">
      <w:pPr>
        <w:keepNext/>
        <w:ind w:left="0" w:firstLine="0"/>
      </w:pPr>
      <w:r w:rsidRPr="007E4DA1">
        <w:rPr>
          <w:b/>
        </w:rPr>
        <w:t xml:space="preserve">25 mg </w:t>
      </w:r>
      <w:r w:rsidR="003472B9" w:rsidRPr="007E4DA1">
        <w:rPr>
          <w:b/>
          <w:szCs w:val="24"/>
        </w:rPr>
        <w:t>proszek do sporządzania zawiesiny doustnej</w:t>
      </w:r>
    </w:p>
    <w:p w14:paraId="32AAA454" w14:textId="444E5911" w:rsidR="00A350DA" w:rsidRPr="007E4DA1" w:rsidRDefault="00A350DA" w:rsidP="00DE1596">
      <w:pPr>
        <w:keepNext/>
        <w:ind w:left="0" w:firstLine="0"/>
      </w:pPr>
    </w:p>
    <w:p w14:paraId="576F0481" w14:textId="77777777" w:rsidR="00A350DA" w:rsidRPr="007E4DA1" w:rsidRDefault="00A350DA" w:rsidP="00DE1596">
      <w:pPr>
        <w:ind w:left="0" w:firstLine="0"/>
      </w:pPr>
      <w:r w:rsidRPr="007E4DA1">
        <w:t xml:space="preserve">Substancją czynną leku Revolade jest eltrombopag. Każda </w:t>
      </w:r>
      <w:r w:rsidR="003472B9" w:rsidRPr="007E4DA1">
        <w:t xml:space="preserve">saszetka </w:t>
      </w:r>
      <w:r w:rsidRPr="007E4DA1">
        <w:t xml:space="preserve">zawiera </w:t>
      </w:r>
      <w:r w:rsidR="003472B9" w:rsidRPr="007E4DA1">
        <w:t xml:space="preserve">proszek do rozpuszczenia, który dostarcza 32 mg </w:t>
      </w:r>
      <w:r w:rsidRPr="007E4DA1">
        <w:t>eltrombopag z olaminą w ilości odpowiadającej 25 mg eltrombopagu</w:t>
      </w:r>
      <w:r w:rsidR="003472B9" w:rsidRPr="007E4DA1">
        <w:t xml:space="preserve"> w postaci wolnego kwasu</w:t>
      </w:r>
      <w:r w:rsidRPr="007E4DA1">
        <w:t>.</w:t>
      </w:r>
    </w:p>
    <w:p w14:paraId="590CA878" w14:textId="77777777" w:rsidR="00A350DA" w:rsidRPr="007E4DA1" w:rsidRDefault="00A350DA" w:rsidP="00DE1596">
      <w:pPr>
        <w:ind w:left="0" w:firstLine="0"/>
      </w:pPr>
    </w:p>
    <w:p w14:paraId="55A7FB1A" w14:textId="77777777" w:rsidR="00A350DA" w:rsidRPr="007E4DA1" w:rsidRDefault="00A350DA" w:rsidP="00DE1596">
      <w:pPr>
        <w:ind w:left="0" w:firstLine="0"/>
      </w:pPr>
      <w:r w:rsidRPr="007E4DA1">
        <w:t>Pozostałe składniki to</w:t>
      </w:r>
      <w:r w:rsidR="003472B9" w:rsidRPr="007E4DA1">
        <w:t>: mannitol, sukraloza i guma ksantan.</w:t>
      </w:r>
    </w:p>
    <w:p w14:paraId="285909C9" w14:textId="77777777" w:rsidR="00A350DA" w:rsidRPr="007E4DA1" w:rsidRDefault="00A350DA" w:rsidP="00DE1596">
      <w:pPr>
        <w:ind w:left="0" w:firstLine="0"/>
      </w:pPr>
    </w:p>
    <w:p w14:paraId="54DD5A79" w14:textId="77777777" w:rsidR="00041A08" w:rsidRPr="00041A08" w:rsidRDefault="00A350DA" w:rsidP="00DE1596">
      <w:pPr>
        <w:keepNext/>
        <w:ind w:left="0" w:firstLine="0"/>
      </w:pPr>
      <w:r w:rsidRPr="007E4DA1">
        <w:rPr>
          <w:b/>
        </w:rPr>
        <w:t>Jak wygląda lek Revolade i co zawiera opakowanie</w:t>
      </w:r>
    </w:p>
    <w:p w14:paraId="77FC570F" w14:textId="1A80A8ED" w:rsidR="00A350DA" w:rsidRPr="007E4DA1" w:rsidRDefault="00A350DA" w:rsidP="00DE1596">
      <w:pPr>
        <w:keepNext/>
        <w:ind w:left="0" w:firstLine="0"/>
      </w:pPr>
    </w:p>
    <w:p w14:paraId="26A4E571" w14:textId="77777777" w:rsidR="00A350DA" w:rsidRPr="007E4DA1" w:rsidRDefault="003472B9" w:rsidP="00DE1596">
      <w:pPr>
        <w:ind w:left="0" w:firstLine="0"/>
      </w:pPr>
      <w:r w:rsidRPr="007E4DA1">
        <w:rPr>
          <w:szCs w:val="24"/>
        </w:rPr>
        <w:t>Lek Revolade 25 mg proszek do sporządzania zawiesiny doustnej jest dostępny w zestawach zawierających 30</w:t>
      </w:r>
      <w:r w:rsidR="0006656D" w:rsidRPr="007E4DA1">
        <w:rPr>
          <w:szCs w:val="24"/>
        </w:rPr>
        <w:t> </w:t>
      </w:r>
      <w:r w:rsidRPr="007E4DA1">
        <w:rPr>
          <w:szCs w:val="24"/>
        </w:rPr>
        <w:t xml:space="preserve">saszetek; każda saszetka zawiera proszek w kolorze czerwonawobrązowym do żółtego. </w:t>
      </w:r>
      <w:r w:rsidR="00F37DF5" w:rsidRPr="007E4DA1">
        <w:rPr>
          <w:szCs w:val="24"/>
        </w:rPr>
        <w:t xml:space="preserve">Każe opakowanie zawiera </w:t>
      </w:r>
      <w:r w:rsidR="00F37DF5" w:rsidRPr="007E4DA1">
        <w:t>30</w:t>
      </w:r>
      <w:r w:rsidR="00362021" w:rsidRPr="007E4DA1">
        <w:t> </w:t>
      </w:r>
      <w:r w:rsidR="00F37DF5" w:rsidRPr="007E4DA1">
        <w:t xml:space="preserve">saszetek, jedną </w:t>
      </w:r>
      <w:r w:rsidRPr="007E4DA1">
        <w:rPr>
          <w:szCs w:val="24"/>
        </w:rPr>
        <w:t>butelk</w:t>
      </w:r>
      <w:r w:rsidR="00F37DF5" w:rsidRPr="007E4DA1">
        <w:rPr>
          <w:szCs w:val="24"/>
        </w:rPr>
        <w:t>ę</w:t>
      </w:r>
      <w:r w:rsidRPr="007E4DA1">
        <w:rPr>
          <w:szCs w:val="24"/>
        </w:rPr>
        <w:t xml:space="preserve"> wielorazowego użytku o pojemności 40 ml służąc</w:t>
      </w:r>
      <w:r w:rsidR="00F37DF5" w:rsidRPr="007E4DA1">
        <w:rPr>
          <w:szCs w:val="24"/>
        </w:rPr>
        <w:t>ą</w:t>
      </w:r>
      <w:r w:rsidRPr="007E4DA1">
        <w:rPr>
          <w:szCs w:val="24"/>
        </w:rPr>
        <w:t xml:space="preserve"> do przygotowania roztworu, wyposażon</w:t>
      </w:r>
      <w:r w:rsidR="00362021" w:rsidRPr="007E4DA1">
        <w:rPr>
          <w:szCs w:val="24"/>
        </w:rPr>
        <w:t>ą</w:t>
      </w:r>
      <w:r w:rsidRPr="007E4DA1">
        <w:rPr>
          <w:szCs w:val="24"/>
        </w:rPr>
        <w:t xml:space="preserve"> w nakrętkę i </w:t>
      </w:r>
      <w:r w:rsidR="00AF6956" w:rsidRPr="007E4DA1">
        <w:rPr>
          <w:szCs w:val="24"/>
        </w:rPr>
        <w:t>wieczko</w:t>
      </w:r>
      <w:r w:rsidRPr="007E4DA1">
        <w:rPr>
          <w:szCs w:val="24"/>
        </w:rPr>
        <w:t xml:space="preserve"> oraz </w:t>
      </w:r>
      <w:r w:rsidR="000F1A71" w:rsidRPr="007E4DA1">
        <w:rPr>
          <w:szCs w:val="24"/>
        </w:rPr>
        <w:t>30</w:t>
      </w:r>
      <w:r w:rsidR="00FB2E78" w:rsidRPr="007E4DA1">
        <w:rPr>
          <w:szCs w:val="24"/>
        </w:rPr>
        <w:t> </w:t>
      </w:r>
      <w:r w:rsidR="000F1A71" w:rsidRPr="007E4DA1">
        <w:rPr>
          <w:szCs w:val="24"/>
        </w:rPr>
        <w:t>strzykawek dozujących</w:t>
      </w:r>
      <w:r w:rsidR="0073654B" w:rsidRPr="007E4DA1">
        <w:rPr>
          <w:szCs w:val="24"/>
        </w:rPr>
        <w:t xml:space="preserve"> jednorazowego użytku</w:t>
      </w:r>
      <w:r w:rsidRPr="007E4DA1">
        <w:rPr>
          <w:szCs w:val="24"/>
        </w:rPr>
        <w:t>.</w:t>
      </w:r>
    </w:p>
    <w:p w14:paraId="1F02F7CB" w14:textId="77777777" w:rsidR="00A350DA" w:rsidRPr="007E4DA1" w:rsidRDefault="00A350DA" w:rsidP="00DE1596">
      <w:pPr>
        <w:ind w:left="0" w:firstLine="0"/>
      </w:pPr>
    </w:p>
    <w:p w14:paraId="41E67D0A" w14:textId="77777777" w:rsidR="00041A08" w:rsidRPr="00041A08" w:rsidRDefault="00A350DA" w:rsidP="00DE1596">
      <w:pPr>
        <w:keepNext/>
        <w:ind w:left="0" w:firstLine="0"/>
        <w:rPr>
          <w:lang w:val="en-US"/>
        </w:rPr>
      </w:pPr>
      <w:proofErr w:type="spellStart"/>
      <w:r w:rsidRPr="007E4DA1">
        <w:rPr>
          <w:b/>
          <w:lang w:val="en-US"/>
        </w:rPr>
        <w:t>Podmiot</w:t>
      </w:r>
      <w:proofErr w:type="spellEnd"/>
      <w:r w:rsidRPr="007E4DA1">
        <w:rPr>
          <w:b/>
          <w:lang w:val="en-US"/>
        </w:rPr>
        <w:t xml:space="preserve"> </w:t>
      </w:r>
      <w:proofErr w:type="spellStart"/>
      <w:r w:rsidRPr="007E4DA1">
        <w:rPr>
          <w:b/>
          <w:lang w:val="en-US"/>
        </w:rPr>
        <w:t>odpowiedzialny</w:t>
      </w:r>
      <w:proofErr w:type="spellEnd"/>
    </w:p>
    <w:p w14:paraId="37107FF4" w14:textId="4AE4ADA5" w:rsidR="00A350DA" w:rsidRPr="007E4DA1" w:rsidRDefault="00A350DA" w:rsidP="00DE1596">
      <w:pPr>
        <w:keepNext/>
        <w:rPr>
          <w:lang w:val="en-US"/>
        </w:rPr>
      </w:pPr>
      <w:r w:rsidRPr="007E4DA1">
        <w:rPr>
          <w:lang w:val="en-US"/>
        </w:rPr>
        <w:t xml:space="preserve">Novartis </w:t>
      </w:r>
      <w:proofErr w:type="spellStart"/>
      <w:r w:rsidRPr="007E4DA1">
        <w:rPr>
          <w:lang w:val="en-US"/>
        </w:rPr>
        <w:t>Europharm</w:t>
      </w:r>
      <w:proofErr w:type="spellEnd"/>
      <w:r w:rsidRPr="007E4DA1">
        <w:rPr>
          <w:lang w:val="en-US"/>
        </w:rPr>
        <w:t xml:space="preserve"> Limited</w:t>
      </w:r>
    </w:p>
    <w:p w14:paraId="0F097761" w14:textId="77777777" w:rsidR="0091544F" w:rsidRPr="007E4DA1" w:rsidRDefault="0091544F" w:rsidP="00DE1596">
      <w:pPr>
        <w:keepNext/>
        <w:rPr>
          <w:color w:val="000000"/>
          <w:lang w:val="en-US"/>
        </w:rPr>
      </w:pPr>
      <w:r w:rsidRPr="007E4DA1">
        <w:rPr>
          <w:color w:val="000000"/>
          <w:lang w:val="en-US"/>
        </w:rPr>
        <w:t>Vista Building</w:t>
      </w:r>
    </w:p>
    <w:p w14:paraId="79357F81" w14:textId="77777777" w:rsidR="0091544F" w:rsidRPr="007E4DA1" w:rsidRDefault="0091544F" w:rsidP="00DE1596">
      <w:pPr>
        <w:keepNext/>
        <w:rPr>
          <w:color w:val="000000"/>
          <w:lang w:val="en-US"/>
        </w:rPr>
      </w:pPr>
      <w:r w:rsidRPr="007E4DA1">
        <w:rPr>
          <w:color w:val="000000"/>
          <w:lang w:val="en-US"/>
        </w:rPr>
        <w:t>Elm Park, Merrion Road</w:t>
      </w:r>
    </w:p>
    <w:p w14:paraId="14696BB5" w14:textId="77777777" w:rsidR="0091544F" w:rsidRPr="007E4DA1" w:rsidRDefault="0091544F" w:rsidP="00DE1596">
      <w:pPr>
        <w:keepNext/>
        <w:rPr>
          <w:color w:val="000000"/>
        </w:rPr>
      </w:pPr>
      <w:r w:rsidRPr="007E4DA1">
        <w:rPr>
          <w:color w:val="000000"/>
        </w:rPr>
        <w:t>Dublin 4</w:t>
      </w:r>
    </w:p>
    <w:p w14:paraId="2B55AB56" w14:textId="77777777" w:rsidR="00A350DA" w:rsidRPr="007E4DA1" w:rsidRDefault="0091544F" w:rsidP="00DE1596">
      <w:pPr>
        <w:rPr>
          <w:lang w:val="it-IT"/>
        </w:rPr>
      </w:pPr>
      <w:r w:rsidRPr="007E4DA1">
        <w:rPr>
          <w:color w:val="000000"/>
          <w:lang w:val="it-IT"/>
        </w:rPr>
        <w:t>Irlandia</w:t>
      </w:r>
    </w:p>
    <w:p w14:paraId="109ADF02" w14:textId="77777777" w:rsidR="00A350DA" w:rsidRPr="007E4DA1" w:rsidRDefault="00A350DA" w:rsidP="00DE1596">
      <w:pPr>
        <w:ind w:left="0" w:firstLine="0"/>
        <w:rPr>
          <w:lang w:val="it-IT"/>
        </w:rPr>
      </w:pPr>
    </w:p>
    <w:p w14:paraId="2069FE42" w14:textId="77777777" w:rsidR="00A350DA" w:rsidRPr="007E4DA1" w:rsidRDefault="00A350DA" w:rsidP="00DE1596">
      <w:pPr>
        <w:keepNext/>
        <w:numPr>
          <w:ilvl w:val="12"/>
          <w:numId w:val="0"/>
        </w:numPr>
        <w:rPr>
          <w:lang w:val="it-IT"/>
        </w:rPr>
      </w:pPr>
      <w:r w:rsidRPr="007E4DA1">
        <w:rPr>
          <w:b/>
          <w:lang w:val="it-IT"/>
        </w:rPr>
        <w:t>Wytwórca</w:t>
      </w:r>
    </w:p>
    <w:p w14:paraId="1D4BFC1A" w14:textId="77777777" w:rsidR="00DF342E" w:rsidRPr="007E4DA1" w:rsidRDefault="00DF342E" w:rsidP="00DE1596">
      <w:pPr>
        <w:keepNext/>
        <w:rPr>
          <w:bCs/>
          <w:szCs w:val="22"/>
          <w:lang w:val="it-IT"/>
        </w:rPr>
      </w:pPr>
      <w:r w:rsidRPr="007E4DA1">
        <w:rPr>
          <w:bCs/>
          <w:szCs w:val="22"/>
          <w:lang w:val="it-IT"/>
        </w:rPr>
        <w:t>Lek d.d</w:t>
      </w:r>
    </w:p>
    <w:p w14:paraId="071327EC" w14:textId="77777777" w:rsidR="00DF342E" w:rsidRPr="007E4DA1" w:rsidRDefault="00DF342E" w:rsidP="00DE1596">
      <w:pPr>
        <w:keepNext/>
        <w:rPr>
          <w:bCs/>
          <w:szCs w:val="22"/>
          <w:lang w:val="it-IT"/>
        </w:rPr>
      </w:pPr>
      <w:r w:rsidRPr="007E4DA1">
        <w:rPr>
          <w:bCs/>
          <w:szCs w:val="22"/>
          <w:lang w:val="it-IT"/>
        </w:rPr>
        <w:t>Verovskova Ulica 57</w:t>
      </w:r>
    </w:p>
    <w:p w14:paraId="04EF3E3D" w14:textId="77777777" w:rsidR="00DF342E" w:rsidRPr="007E4DA1" w:rsidRDefault="00DF342E" w:rsidP="00DE1596">
      <w:pPr>
        <w:keepNext/>
        <w:rPr>
          <w:bCs/>
          <w:szCs w:val="22"/>
          <w:lang w:val="it-IT"/>
        </w:rPr>
      </w:pPr>
      <w:r w:rsidRPr="007E4DA1">
        <w:rPr>
          <w:bCs/>
          <w:szCs w:val="22"/>
          <w:lang w:val="it-IT"/>
        </w:rPr>
        <w:t>Ljubljana 1526</w:t>
      </w:r>
    </w:p>
    <w:p w14:paraId="693351CC" w14:textId="77777777" w:rsidR="00DF342E" w:rsidRPr="007E4DA1" w:rsidRDefault="00DF342E" w:rsidP="00DE1596">
      <w:pPr>
        <w:ind w:left="0" w:firstLine="0"/>
        <w:rPr>
          <w:bCs/>
          <w:szCs w:val="22"/>
          <w:lang w:val="it-IT"/>
        </w:rPr>
      </w:pPr>
      <w:r w:rsidRPr="007E4DA1">
        <w:rPr>
          <w:bCs/>
          <w:szCs w:val="22"/>
          <w:lang w:val="it-IT"/>
        </w:rPr>
        <w:t>Słowenia</w:t>
      </w:r>
    </w:p>
    <w:p w14:paraId="4D66A7B7" w14:textId="77777777" w:rsidR="00074D4A" w:rsidRPr="00416C42" w:rsidRDefault="00074D4A" w:rsidP="00DE1596">
      <w:pPr>
        <w:rPr>
          <w:bCs/>
          <w:szCs w:val="22"/>
        </w:rPr>
      </w:pPr>
    </w:p>
    <w:p w14:paraId="763D0566" w14:textId="77777777" w:rsidR="00074D4A" w:rsidRPr="00B62038" w:rsidRDefault="00074D4A" w:rsidP="00DE1596">
      <w:pPr>
        <w:keepNext/>
        <w:tabs>
          <w:tab w:val="left" w:pos="720"/>
        </w:tabs>
        <w:rPr>
          <w:bCs/>
          <w:szCs w:val="22"/>
          <w:shd w:val="pct15" w:color="auto" w:fill="auto"/>
          <w:lang w:val="es-ES"/>
        </w:rPr>
      </w:pPr>
      <w:r w:rsidRPr="00B62038">
        <w:rPr>
          <w:bCs/>
          <w:szCs w:val="22"/>
          <w:shd w:val="pct15" w:color="auto" w:fill="auto"/>
          <w:lang w:val="es-ES"/>
        </w:rPr>
        <w:t xml:space="preserve">Novartis </w:t>
      </w:r>
      <w:proofErr w:type="spellStart"/>
      <w:r w:rsidRPr="00B62038">
        <w:rPr>
          <w:bCs/>
          <w:szCs w:val="22"/>
          <w:shd w:val="pct15" w:color="auto" w:fill="auto"/>
          <w:lang w:val="es-ES"/>
        </w:rPr>
        <w:t>Pharmaceutical</w:t>
      </w:r>
      <w:proofErr w:type="spellEnd"/>
      <w:r w:rsidRPr="00B62038">
        <w:rPr>
          <w:bCs/>
          <w:szCs w:val="22"/>
          <w:shd w:val="pct15" w:color="auto" w:fill="auto"/>
          <w:lang w:val="es-ES"/>
        </w:rPr>
        <w:t xml:space="preserve"> </w:t>
      </w:r>
      <w:proofErr w:type="spellStart"/>
      <w:r w:rsidRPr="00B62038">
        <w:rPr>
          <w:bCs/>
          <w:szCs w:val="22"/>
          <w:shd w:val="pct15" w:color="auto" w:fill="auto"/>
          <w:lang w:val="es-ES"/>
        </w:rPr>
        <w:t>Manufacturing</w:t>
      </w:r>
      <w:proofErr w:type="spellEnd"/>
      <w:r w:rsidRPr="00B62038">
        <w:rPr>
          <w:bCs/>
          <w:szCs w:val="22"/>
          <w:shd w:val="pct15" w:color="auto" w:fill="auto"/>
          <w:lang w:val="es-ES"/>
        </w:rPr>
        <w:t xml:space="preserve"> LLC</w:t>
      </w:r>
    </w:p>
    <w:p w14:paraId="1E0505CE" w14:textId="77777777" w:rsidR="00074D4A" w:rsidRPr="00B62038" w:rsidRDefault="00074D4A" w:rsidP="00DE1596">
      <w:pPr>
        <w:keepNext/>
        <w:tabs>
          <w:tab w:val="left" w:pos="720"/>
        </w:tabs>
        <w:rPr>
          <w:bCs/>
          <w:szCs w:val="22"/>
          <w:shd w:val="pct15" w:color="auto" w:fill="auto"/>
          <w:lang w:val="es-ES"/>
        </w:rPr>
      </w:pPr>
      <w:proofErr w:type="spellStart"/>
      <w:r w:rsidRPr="00B62038">
        <w:rPr>
          <w:bCs/>
          <w:szCs w:val="22"/>
          <w:shd w:val="pct15" w:color="auto" w:fill="auto"/>
          <w:lang w:val="es-ES"/>
        </w:rPr>
        <w:t>Verovskova</w:t>
      </w:r>
      <w:proofErr w:type="spellEnd"/>
      <w:r w:rsidRPr="00B62038">
        <w:rPr>
          <w:bCs/>
          <w:szCs w:val="22"/>
          <w:shd w:val="pct15" w:color="auto" w:fill="auto"/>
          <w:lang w:val="es-ES"/>
        </w:rPr>
        <w:t xml:space="preserve"> </w:t>
      </w:r>
      <w:proofErr w:type="spellStart"/>
      <w:r w:rsidRPr="00B62038">
        <w:rPr>
          <w:bCs/>
          <w:szCs w:val="22"/>
          <w:shd w:val="pct15" w:color="auto" w:fill="auto"/>
          <w:lang w:val="es-ES"/>
        </w:rPr>
        <w:t>Ulica</w:t>
      </w:r>
      <w:proofErr w:type="spellEnd"/>
      <w:r w:rsidRPr="00B62038">
        <w:rPr>
          <w:bCs/>
          <w:szCs w:val="22"/>
          <w:shd w:val="pct15" w:color="auto" w:fill="auto"/>
          <w:lang w:val="es-ES"/>
        </w:rPr>
        <w:t xml:space="preserve"> 57</w:t>
      </w:r>
    </w:p>
    <w:p w14:paraId="41BC6B1B" w14:textId="77777777" w:rsidR="00074D4A" w:rsidRPr="00B62038" w:rsidRDefault="00074D4A" w:rsidP="00DE1596">
      <w:pPr>
        <w:keepNext/>
        <w:tabs>
          <w:tab w:val="left" w:pos="720"/>
        </w:tabs>
        <w:rPr>
          <w:bCs/>
          <w:szCs w:val="22"/>
          <w:shd w:val="pct15" w:color="auto" w:fill="auto"/>
          <w:lang w:val="es-ES"/>
        </w:rPr>
      </w:pPr>
      <w:proofErr w:type="spellStart"/>
      <w:r w:rsidRPr="00B62038">
        <w:rPr>
          <w:bCs/>
          <w:szCs w:val="22"/>
          <w:shd w:val="pct15" w:color="auto" w:fill="auto"/>
          <w:lang w:val="es-ES"/>
        </w:rPr>
        <w:t>Ljubljana</w:t>
      </w:r>
      <w:proofErr w:type="spellEnd"/>
      <w:r w:rsidRPr="00B62038">
        <w:rPr>
          <w:bCs/>
          <w:szCs w:val="22"/>
          <w:shd w:val="pct15" w:color="auto" w:fill="auto"/>
          <w:lang w:val="es-ES"/>
        </w:rPr>
        <w:t xml:space="preserve"> 1000</w:t>
      </w:r>
    </w:p>
    <w:p w14:paraId="38742CFD" w14:textId="77777777" w:rsidR="00F727F1" w:rsidRPr="00416C42" w:rsidRDefault="00F727F1" w:rsidP="00DE1596">
      <w:pPr>
        <w:rPr>
          <w:bCs/>
          <w:szCs w:val="22"/>
          <w:shd w:val="pct15" w:color="auto" w:fill="auto"/>
        </w:rPr>
      </w:pPr>
      <w:r w:rsidRPr="00416C42">
        <w:rPr>
          <w:bCs/>
          <w:szCs w:val="22"/>
          <w:shd w:val="pct15" w:color="auto" w:fill="auto"/>
        </w:rPr>
        <w:t>Słowenia</w:t>
      </w:r>
    </w:p>
    <w:p w14:paraId="70D5DC51" w14:textId="77777777" w:rsidR="00A350DA" w:rsidRPr="007E4DA1" w:rsidRDefault="00A350DA" w:rsidP="00DE1596">
      <w:pPr>
        <w:ind w:left="0" w:firstLine="0"/>
        <w:rPr>
          <w:color w:val="000000"/>
          <w:szCs w:val="22"/>
          <w:shd w:val="pct15" w:color="auto" w:fill="auto"/>
          <w:lang w:val="it-IT"/>
        </w:rPr>
      </w:pPr>
    </w:p>
    <w:p w14:paraId="57720E21" w14:textId="1D54142B" w:rsidR="00DF342E" w:rsidRPr="007E4DA1" w:rsidDel="004C64BF" w:rsidRDefault="00A350DA" w:rsidP="00DE1596">
      <w:pPr>
        <w:keepNext/>
        <w:numPr>
          <w:ilvl w:val="12"/>
          <w:numId w:val="0"/>
        </w:numPr>
        <w:ind w:right="-2"/>
        <w:rPr>
          <w:del w:id="45" w:author="Author"/>
          <w:rFonts w:eastAsia="Calibri"/>
          <w:noProof/>
          <w:color w:val="000000"/>
          <w:szCs w:val="22"/>
          <w:shd w:val="pct15" w:color="auto" w:fill="auto"/>
          <w:lang w:val="it-IT" w:eastAsia="en-US"/>
        </w:rPr>
      </w:pPr>
      <w:del w:id="46" w:author="Author">
        <w:r w:rsidRPr="007E4DA1" w:rsidDel="004C64BF">
          <w:rPr>
            <w:rFonts w:eastAsia="Calibri"/>
            <w:noProof/>
            <w:color w:val="000000"/>
            <w:szCs w:val="22"/>
            <w:shd w:val="pct15" w:color="auto" w:fill="auto"/>
            <w:lang w:val="it-IT" w:eastAsia="en-US"/>
          </w:rPr>
          <w:delText>Novartis Pharma GmbH</w:delText>
        </w:r>
      </w:del>
    </w:p>
    <w:p w14:paraId="4D94E7D2" w14:textId="4F5329DB" w:rsidR="00DF342E" w:rsidRPr="007E4DA1" w:rsidDel="004C64BF" w:rsidRDefault="00A350DA" w:rsidP="00DE1596">
      <w:pPr>
        <w:keepNext/>
        <w:numPr>
          <w:ilvl w:val="12"/>
          <w:numId w:val="0"/>
        </w:numPr>
        <w:ind w:right="-2"/>
        <w:rPr>
          <w:del w:id="47" w:author="Author"/>
          <w:rFonts w:eastAsia="Calibri"/>
          <w:noProof/>
          <w:color w:val="000000"/>
          <w:szCs w:val="22"/>
          <w:shd w:val="pct15" w:color="auto" w:fill="auto"/>
          <w:lang w:val="it-IT" w:eastAsia="en-US"/>
        </w:rPr>
      </w:pPr>
      <w:del w:id="48" w:author="Author">
        <w:r w:rsidRPr="007E4DA1" w:rsidDel="004C64BF">
          <w:rPr>
            <w:rFonts w:eastAsia="Calibri"/>
            <w:noProof/>
            <w:color w:val="000000"/>
            <w:szCs w:val="22"/>
            <w:shd w:val="pct15" w:color="auto" w:fill="auto"/>
            <w:lang w:val="it-IT" w:eastAsia="en-US"/>
          </w:rPr>
          <w:delText>Roonstraße 25</w:delText>
        </w:r>
      </w:del>
    </w:p>
    <w:p w14:paraId="648E4957" w14:textId="0740A3BF" w:rsidR="00DF342E" w:rsidRPr="007E4DA1" w:rsidDel="004C64BF" w:rsidRDefault="00A350DA" w:rsidP="00DE1596">
      <w:pPr>
        <w:keepNext/>
        <w:numPr>
          <w:ilvl w:val="12"/>
          <w:numId w:val="0"/>
        </w:numPr>
        <w:ind w:right="-2"/>
        <w:rPr>
          <w:del w:id="49" w:author="Author"/>
          <w:rFonts w:eastAsia="Calibri"/>
          <w:noProof/>
          <w:color w:val="000000"/>
          <w:szCs w:val="22"/>
          <w:shd w:val="pct15" w:color="auto" w:fill="auto"/>
          <w:lang w:val="it-IT" w:eastAsia="en-US"/>
        </w:rPr>
      </w:pPr>
      <w:del w:id="50" w:author="Author">
        <w:r w:rsidRPr="007E4DA1" w:rsidDel="004C64BF">
          <w:rPr>
            <w:rFonts w:eastAsia="Calibri"/>
            <w:noProof/>
            <w:color w:val="000000"/>
            <w:szCs w:val="22"/>
            <w:shd w:val="pct15" w:color="auto" w:fill="auto"/>
            <w:lang w:val="it-IT" w:eastAsia="en-US"/>
          </w:rPr>
          <w:delText>D-90429 Norymberga</w:delText>
        </w:r>
      </w:del>
    </w:p>
    <w:p w14:paraId="41A07795" w14:textId="2387A88B" w:rsidR="00A350DA" w:rsidRPr="00416C42" w:rsidDel="004C64BF" w:rsidRDefault="00A350DA" w:rsidP="00DE1596">
      <w:pPr>
        <w:numPr>
          <w:ilvl w:val="12"/>
          <w:numId w:val="0"/>
        </w:numPr>
        <w:ind w:right="-2"/>
        <w:rPr>
          <w:del w:id="51" w:author="Author"/>
          <w:color w:val="000000"/>
          <w:szCs w:val="22"/>
        </w:rPr>
      </w:pPr>
      <w:del w:id="52" w:author="Author">
        <w:r w:rsidRPr="00416C42" w:rsidDel="004C64BF">
          <w:rPr>
            <w:rFonts w:eastAsia="Calibri"/>
            <w:noProof/>
            <w:color w:val="000000"/>
            <w:szCs w:val="22"/>
            <w:shd w:val="pct15" w:color="auto" w:fill="auto"/>
            <w:lang w:eastAsia="en-US"/>
          </w:rPr>
          <w:delText>Niemcy</w:delText>
        </w:r>
      </w:del>
    </w:p>
    <w:p w14:paraId="441854F6" w14:textId="2659A9E6" w:rsidR="00A350DA" w:rsidRPr="00416C42" w:rsidDel="004C64BF" w:rsidRDefault="00A350DA" w:rsidP="00DE1596">
      <w:pPr>
        <w:numPr>
          <w:ilvl w:val="12"/>
          <w:numId w:val="0"/>
        </w:numPr>
        <w:rPr>
          <w:del w:id="53" w:author="Author"/>
        </w:rPr>
      </w:pPr>
    </w:p>
    <w:p w14:paraId="410AB1C7" w14:textId="77777777" w:rsidR="00F2699F" w:rsidRPr="00C60EE4" w:rsidRDefault="00F2699F" w:rsidP="00DE1596">
      <w:pPr>
        <w:keepNext/>
        <w:rPr>
          <w:rFonts w:eastAsia="Aptos"/>
          <w:szCs w:val="22"/>
          <w:shd w:val="pct15" w:color="auto" w:fill="auto"/>
          <w:lang w:val="de-CH" w:eastAsia="de-CH"/>
        </w:rPr>
      </w:pPr>
      <w:r w:rsidRPr="00C60EE4">
        <w:rPr>
          <w:rFonts w:eastAsia="Aptos"/>
          <w:szCs w:val="22"/>
          <w:shd w:val="pct15" w:color="auto" w:fill="auto"/>
          <w:lang w:val="de-CH" w:eastAsia="de-CH"/>
        </w:rPr>
        <w:t>Novartis Pharma GmbH</w:t>
      </w:r>
    </w:p>
    <w:p w14:paraId="5252FFBA" w14:textId="77777777" w:rsidR="00F2699F" w:rsidRPr="00C60EE4" w:rsidRDefault="00F2699F" w:rsidP="00DE1596">
      <w:pPr>
        <w:keepNext/>
        <w:rPr>
          <w:rFonts w:eastAsia="Aptos"/>
          <w:szCs w:val="22"/>
          <w:shd w:val="pct15" w:color="auto" w:fill="auto"/>
          <w:lang w:val="de-CH" w:eastAsia="de-CH"/>
        </w:rPr>
      </w:pPr>
      <w:r w:rsidRPr="00C60EE4">
        <w:rPr>
          <w:rFonts w:eastAsia="Aptos"/>
          <w:szCs w:val="22"/>
          <w:shd w:val="pct15" w:color="auto" w:fill="auto"/>
          <w:lang w:val="de-CH" w:eastAsia="de-CH"/>
        </w:rPr>
        <w:t>Sophie-Germain-Strasse 10</w:t>
      </w:r>
    </w:p>
    <w:p w14:paraId="552953A4" w14:textId="77777777" w:rsidR="00F2699F" w:rsidRPr="00C60EE4" w:rsidRDefault="00F2699F" w:rsidP="00DE1596">
      <w:pPr>
        <w:keepNext/>
        <w:rPr>
          <w:rFonts w:eastAsia="Aptos"/>
          <w:szCs w:val="22"/>
          <w:shd w:val="pct15" w:color="auto" w:fill="auto"/>
          <w:lang w:val="de-CH" w:eastAsia="de-CH"/>
        </w:rPr>
      </w:pPr>
      <w:r w:rsidRPr="00C60EE4">
        <w:rPr>
          <w:rFonts w:eastAsia="Aptos"/>
          <w:szCs w:val="22"/>
          <w:shd w:val="pct15" w:color="auto" w:fill="auto"/>
          <w:lang w:val="de-CH" w:eastAsia="de-CH"/>
        </w:rPr>
        <w:t>90443 Nürnberg</w:t>
      </w:r>
    </w:p>
    <w:p w14:paraId="767518CB" w14:textId="2D7AA8F3" w:rsidR="00F2699F" w:rsidRDefault="00F2699F" w:rsidP="00DE1596">
      <w:pPr>
        <w:numPr>
          <w:ilvl w:val="12"/>
          <w:numId w:val="0"/>
        </w:numPr>
      </w:pPr>
      <w:r w:rsidRPr="000E3ADA">
        <w:rPr>
          <w:szCs w:val="22"/>
          <w:shd w:val="pct15" w:color="auto" w:fill="auto"/>
          <w:lang w:val="de-CH"/>
        </w:rPr>
        <w:t>Niemcy</w:t>
      </w:r>
    </w:p>
    <w:p w14:paraId="0C244BDE" w14:textId="77777777" w:rsidR="00F2699F" w:rsidRPr="007E4DA1" w:rsidRDefault="00F2699F" w:rsidP="00DE1596">
      <w:pPr>
        <w:numPr>
          <w:ilvl w:val="12"/>
          <w:numId w:val="0"/>
        </w:numPr>
      </w:pPr>
    </w:p>
    <w:p w14:paraId="7480464B" w14:textId="02B87ECB" w:rsidR="00A350DA" w:rsidRPr="007E4DA1" w:rsidRDefault="00A350DA" w:rsidP="00DE1596">
      <w:pPr>
        <w:keepNext/>
        <w:ind w:left="0" w:firstLine="0"/>
      </w:pPr>
      <w:r w:rsidRPr="007E4DA1">
        <w:t xml:space="preserve">W celu uzyskania bardziej szczegółowych informacji </w:t>
      </w:r>
      <w:r w:rsidR="00554B55" w:rsidRPr="007E4DA1">
        <w:t xml:space="preserve">dotyczących tego leku </w:t>
      </w:r>
      <w:r w:rsidRPr="007E4DA1">
        <w:t xml:space="preserve">należy zwrócić się do </w:t>
      </w:r>
      <w:r w:rsidR="003472B9" w:rsidRPr="007E4DA1">
        <w:t xml:space="preserve">miejscowego </w:t>
      </w:r>
      <w:r w:rsidRPr="007E4DA1">
        <w:t>przedstawiciela podmiotu odpowiedzialnego:</w:t>
      </w:r>
    </w:p>
    <w:p w14:paraId="78159EC8" w14:textId="77777777" w:rsidR="00A350DA" w:rsidRPr="007E4DA1" w:rsidRDefault="00A350DA" w:rsidP="00DE1596">
      <w:pPr>
        <w:keepNext/>
        <w:numPr>
          <w:ilvl w:val="12"/>
          <w:numId w:val="0"/>
        </w:numPr>
        <w:rPr>
          <w:noProof/>
          <w:szCs w:val="22"/>
        </w:rPr>
      </w:pPr>
    </w:p>
    <w:tbl>
      <w:tblPr>
        <w:tblW w:w="9356" w:type="dxa"/>
        <w:tblInd w:w="-34" w:type="dxa"/>
        <w:tblLayout w:type="fixed"/>
        <w:tblLook w:val="0000" w:firstRow="0" w:lastRow="0" w:firstColumn="0" w:lastColumn="0" w:noHBand="0" w:noVBand="0"/>
      </w:tblPr>
      <w:tblGrid>
        <w:gridCol w:w="4678"/>
        <w:gridCol w:w="4678"/>
      </w:tblGrid>
      <w:tr w:rsidR="00A350DA" w:rsidRPr="007E4DA1" w14:paraId="577BB8D1" w14:textId="77777777" w:rsidTr="00291DF6">
        <w:trPr>
          <w:cantSplit/>
        </w:trPr>
        <w:tc>
          <w:tcPr>
            <w:tcW w:w="4678" w:type="dxa"/>
          </w:tcPr>
          <w:p w14:paraId="3CF7602E" w14:textId="77777777" w:rsidR="00041A08" w:rsidRPr="00041A08" w:rsidRDefault="00A350DA" w:rsidP="00DE1596">
            <w:pPr>
              <w:rPr>
                <w:szCs w:val="22"/>
                <w:lang w:val="fr-BE"/>
              </w:rPr>
            </w:pPr>
            <w:proofErr w:type="spellStart"/>
            <w:r w:rsidRPr="007E4DA1">
              <w:rPr>
                <w:b/>
                <w:szCs w:val="22"/>
                <w:lang w:val="fr-BE"/>
              </w:rPr>
              <w:t>België</w:t>
            </w:r>
            <w:proofErr w:type="spellEnd"/>
            <w:r w:rsidRPr="007E4DA1">
              <w:rPr>
                <w:b/>
                <w:szCs w:val="22"/>
                <w:lang w:val="fr-BE"/>
              </w:rPr>
              <w:t>/Belgique/</w:t>
            </w:r>
            <w:proofErr w:type="spellStart"/>
            <w:r w:rsidRPr="007E4DA1">
              <w:rPr>
                <w:b/>
                <w:szCs w:val="22"/>
                <w:lang w:val="fr-BE"/>
              </w:rPr>
              <w:t>Belgien</w:t>
            </w:r>
            <w:proofErr w:type="spellEnd"/>
          </w:p>
          <w:p w14:paraId="7BC2E975" w14:textId="4257CA44" w:rsidR="00A350DA" w:rsidRPr="007E4DA1" w:rsidRDefault="00A350DA" w:rsidP="00DE1596">
            <w:pPr>
              <w:rPr>
                <w:szCs w:val="22"/>
                <w:lang w:val="fr-BE"/>
              </w:rPr>
            </w:pPr>
            <w:r w:rsidRPr="007E4DA1">
              <w:rPr>
                <w:szCs w:val="22"/>
                <w:lang w:val="fr-BE"/>
              </w:rPr>
              <w:t>Novartis Pharma N.V.</w:t>
            </w:r>
          </w:p>
          <w:p w14:paraId="7F832E4D" w14:textId="77777777" w:rsidR="00A350DA" w:rsidRPr="007E4DA1" w:rsidRDefault="00A350DA" w:rsidP="00DE1596">
            <w:pPr>
              <w:rPr>
                <w:szCs w:val="22"/>
                <w:lang w:val="fr-FR"/>
              </w:rPr>
            </w:pPr>
            <w:r w:rsidRPr="007E4DA1">
              <w:rPr>
                <w:szCs w:val="22"/>
                <w:lang w:val="fr-BE"/>
              </w:rPr>
              <w:t>Tél/Tel: +32 2 246 16 11</w:t>
            </w:r>
          </w:p>
          <w:p w14:paraId="66944977" w14:textId="77777777" w:rsidR="00A350DA" w:rsidRPr="007E4DA1" w:rsidRDefault="00A350DA" w:rsidP="00DE1596">
            <w:pPr>
              <w:ind w:right="34"/>
              <w:rPr>
                <w:szCs w:val="22"/>
                <w:lang w:val="fr-FR"/>
              </w:rPr>
            </w:pPr>
          </w:p>
        </w:tc>
        <w:tc>
          <w:tcPr>
            <w:tcW w:w="4678" w:type="dxa"/>
          </w:tcPr>
          <w:p w14:paraId="7E8E250C" w14:textId="77777777" w:rsidR="00041A08" w:rsidRPr="00041A08" w:rsidRDefault="00A350DA" w:rsidP="00DE1596">
            <w:pPr>
              <w:rPr>
                <w:szCs w:val="22"/>
                <w:lang w:val="lt-LT"/>
              </w:rPr>
            </w:pPr>
            <w:r w:rsidRPr="007E4DA1">
              <w:rPr>
                <w:b/>
                <w:szCs w:val="22"/>
                <w:lang w:val="lt-LT"/>
              </w:rPr>
              <w:t>Lietuva</w:t>
            </w:r>
          </w:p>
          <w:p w14:paraId="004D5386" w14:textId="79319781" w:rsidR="00A350DA" w:rsidRPr="007E4DA1" w:rsidRDefault="00FB2E78" w:rsidP="00DE1596">
            <w:pPr>
              <w:ind w:right="-449"/>
              <w:rPr>
                <w:szCs w:val="22"/>
                <w:lang w:val="lt-LT"/>
              </w:rPr>
            </w:pPr>
            <w:r w:rsidRPr="007E4DA1">
              <w:rPr>
                <w:szCs w:val="22"/>
                <w:lang w:val="es-ES"/>
              </w:rPr>
              <w:t xml:space="preserve">SIA Novartis </w:t>
            </w:r>
            <w:proofErr w:type="spellStart"/>
            <w:r w:rsidRPr="007E4DA1">
              <w:rPr>
                <w:szCs w:val="22"/>
                <w:lang w:val="es-ES"/>
              </w:rPr>
              <w:t>Baltics</w:t>
            </w:r>
            <w:proofErr w:type="spellEnd"/>
            <w:r w:rsidRPr="007E4DA1">
              <w:rPr>
                <w:szCs w:val="22"/>
                <w:lang w:val="es-ES"/>
              </w:rPr>
              <w:t xml:space="preserve"> </w:t>
            </w:r>
            <w:proofErr w:type="spellStart"/>
            <w:r w:rsidRPr="007E4DA1">
              <w:rPr>
                <w:szCs w:val="22"/>
                <w:lang w:val="es-ES"/>
              </w:rPr>
              <w:t>Lietuvos</w:t>
            </w:r>
            <w:proofErr w:type="spellEnd"/>
            <w:r w:rsidRPr="007E4DA1">
              <w:rPr>
                <w:szCs w:val="22"/>
                <w:lang w:val="es-ES"/>
              </w:rPr>
              <w:t xml:space="preserve"> </w:t>
            </w:r>
            <w:proofErr w:type="spellStart"/>
            <w:r w:rsidRPr="007E4DA1">
              <w:rPr>
                <w:szCs w:val="22"/>
                <w:lang w:val="es-ES"/>
              </w:rPr>
              <w:t>filialas</w:t>
            </w:r>
            <w:proofErr w:type="spellEnd"/>
          </w:p>
          <w:p w14:paraId="3189E784" w14:textId="77777777" w:rsidR="00A350DA" w:rsidRPr="007E4DA1" w:rsidRDefault="00A350DA" w:rsidP="00DE1596">
            <w:pPr>
              <w:ind w:right="-449"/>
              <w:rPr>
                <w:szCs w:val="22"/>
                <w:lang w:val="lt-LT"/>
              </w:rPr>
            </w:pPr>
            <w:r w:rsidRPr="007E4DA1">
              <w:rPr>
                <w:szCs w:val="22"/>
                <w:lang w:val="lt-LT"/>
              </w:rPr>
              <w:t>Tel: +370 5 269 16 50</w:t>
            </w:r>
          </w:p>
          <w:p w14:paraId="12837066" w14:textId="77777777" w:rsidR="00A350DA" w:rsidRPr="007E4DA1" w:rsidRDefault="00A350DA" w:rsidP="00DE1596">
            <w:pPr>
              <w:rPr>
                <w:szCs w:val="22"/>
                <w:lang w:val="es-ES"/>
              </w:rPr>
            </w:pPr>
          </w:p>
        </w:tc>
      </w:tr>
      <w:tr w:rsidR="00A350DA" w:rsidRPr="007E4DA1" w14:paraId="6499510C" w14:textId="77777777" w:rsidTr="00291DF6">
        <w:trPr>
          <w:cantSplit/>
        </w:trPr>
        <w:tc>
          <w:tcPr>
            <w:tcW w:w="4678" w:type="dxa"/>
          </w:tcPr>
          <w:p w14:paraId="0C35095F" w14:textId="77777777" w:rsidR="00041A08" w:rsidRPr="00041A08" w:rsidRDefault="00A350DA" w:rsidP="00DE1596">
            <w:pPr>
              <w:rPr>
                <w:szCs w:val="22"/>
                <w:lang w:val="es-ES"/>
              </w:rPr>
            </w:pPr>
            <w:r w:rsidRPr="007E4DA1">
              <w:rPr>
                <w:b/>
                <w:szCs w:val="22"/>
                <w:lang w:val="bg-BG"/>
              </w:rPr>
              <w:t>България</w:t>
            </w:r>
          </w:p>
          <w:p w14:paraId="5AE341B9" w14:textId="2E3040DC" w:rsidR="00A350DA" w:rsidRPr="007E4DA1" w:rsidRDefault="00A350DA" w:rsidP="00DE1596">
            <w:pPr>
              <w:rPr>
                <w:szCs w:val="22"/>
                <w:lang w:val="es-ES"/>
              </w:rPr>
            </w:pPr>
            <w:r w:rsidRPr="007E4DA1">
              <w:rPr>
                <w:szCs w:val="22"/>
                <w:lang w:val="es-ES"/>
              </w:rPr>
              <w:t xml:space="preserve">Novartis </w:t>
            </w:r>
            <w:r w:rsidR="008D051F" w:rsidRPr="007E4DA1">
              <w:rPr>
                <w:szCs w:val="22"/>
                <w:lang w:val="es-ES"/>
              </w:rPr>
              <w:t>Bulgaria EOOD</w:t>
            </w:r>
          </w:p>
          <w:p w14:paraId="5B5D3B82" w14:textId="77777777" w:rsidR="00A350DA" w:rsidRPr="007E4DA1" w:rsidRDefault="00A350DA" w:rsidP="00DE1596">
            <w:pPr>
              <w:rPr>
                <w:szCs w:val="22"/>
                <w:lang w:val="es-ES"/>
              </w:rPr>
            </w:pPr>
            <w:r w:rsidRPr="007E4DA1">
              <w:rPr>
                <w:szCs w:val="22"/>
                <w:lang w:val="bg-BG"/>
              </w:rPr>
              <w:t>Тел:</w:t>
            </w:r>
            <w:r w:rsidRPr="007E4DA1">
              <w:rPr>
                <w:szCs w:val="22"/>
                <w:lang w:val="es-ES"/>
              </w:rPr>
              <w:t xml:space="preserve"> +359 2 489 98 28</w:t>
            </w:r>
          </w:p>
          <w:p w14:paraId="22C0DA3F" w14:textId="77777777" w:rsidR="00A350DA" w:rsidRPr="007E4DA1" w:rsidRDefault="00A350DA" w:rsidP="00DE1596">
            <w:pPr>
              <w:rPr>
                <w:b/>
                <w:szCs w:val="22"/>
                <w:lang w:val="nb-NO"/>
              </w:rPr>
            </w:pPr>
          </w:p>
        </w:tc>
        <w:tc>
          <w:tcPr>
            <w:tcW w:w="4678" w:type="dxa"/>
          </w:tcPr>
          <w:p w14:paraId="6A4B2239" w14:textId="77777777" w:rsidR="00041A08" w:rsidRPr="00041A08" w:rsidRDefault="00A350DA" w:rsidP="00DE1596">
            <w:pPr>
              <w:rPr>
                <w:szCs w:val="22"/>
                <w:lang w:val="de-CH"/>
              </w:rPr>
            </w:pPr>
            <w:r w:rsidRPr="007E4DA1">
              <w:rPr>
                <w:b/>
                <w:szCs w:val="22"/>
                <w:lang w:val="de-CH"/>
              </w:rPr>
              <w:t>Luxembourg/Luxemburg</w:t>
            </w:r>
          </w:p>
          <w:p w14:paraId="0F087ADC" w14:textId="69B545FE" w:rsidR="00A350DA" w:rsidRPr="007E4DA1" w:rsidRDefault="00A350DA" w:rsidP="00DE1596">
            <w:pPr>
              <w:rPr>
                <w:szCs w:val="22"/>
                <w:lang w:val="de-CH"/>
              </w:rPr>
            </w:pPr>
            <w:r w:rsidRPr="007E4DA1">
              <w:rPr>
                <w:szCs w:val="22"/>
                <w:lang w:val="de-CH"/>
              </w:rPr>
              <w:t>Novartis Pharma N.V.</w:t>
            </w:r>
          </w:p>
          <w:p w14:paraId="535E13F3" w14:textId="77777777" w:rsidR="00A350DA" w:rsidRPr="007E4DA1" w:rsidRDefault="00A350DA" w:rsidP="00DE1596">
            <w:pPr>
              <w:rPr>
                <w:szCs w:val="22"/>
                <w:lang w:val="de-CH"/>
              </w:rPr>
            </w:pPr>
            <w:r w:rsidRPr="007E4DA1">
              <w:rPr>
                <w:szCs w:val="22"/>
                <w:lang w:val="fr-BE"/>
              </w:rPr>
              <w:t>Tél/Tel: +32 2 246 16 11</w:t>
            </w:r>
          </w:p>
          <w:p w14:paraId="5B303CCC" w14:textId="77777777" w:rsidR="00A350DA" w:rsidRPr="007E4DA1" w:rsidRDefault="00A350DA" w:rsidP="00DE1596">
            <w:pPr>
              <w:tabs>
                <w:tab w:val="left" w:pos="-720"/>
              </w:tabs>
              <w:suppressAutoHyphens/>
              <w:rPr>
                <w:szCs w:val="22"/>
                <w:lang w:val="nb-NO"/>
              </w:rPr>
            </w:pPr>
          </w:p>
        </w:tc>
      </w:tr>
      <w:tr w:rsidR="00A350DA" w:rsidRPr="00545251" w14:paraId="3BA7B286" w14:textId="77777777" w:rsidTr="00291DF6">
        <w:trPr>
          <w:cantSplit/>
        </w:trPr>
        <w:tc>
          <w:tcPr>
            <w:tcW w:w="4678" w:type="dxa"/>
          </w:tcPr>
          <w:p w14:paraId="6D4F0A91" w14:textId="77777777" w:rsidR="00041A08" w:rsidRPr="00041A08" w:rsidRDefault="00A350DA" w:rsidP="00DE1596">
            <w:pPr>
              <w:tabs>
                <w:tab w:val="left" w:pos="-720"/>
              </w:tabs>
              <w:suppressAutoHyphens/>
              <w:rPr>
                <w:szCs w:val="22"/>
                <w:lang w:val="sv-SE"/>
              </w:rPr>
            </w:pPr>
            <w:r w:rsidRPr="007E4DA1">
              <w:rPr>
                <w:b/>
                <w:szCs w:val="22"/>
                <w:lang w:val="sv-SE"/>
              </w:rPr>
              <w:t>Česká republika</w:t>
            </w:r>
          </w:p>
          <w:p w14:paraId="3BE1730A" w14:textId="5F6CD5B3" w:rsidR="00A350DA" w:rsidRPr="007E4DA1" w:rsidRDefault="00A350DA" w:rsidP="00DE1596">
            <w:pPr>
              <w:tabs>
                <w:tab w:val="left" w:pos="-720"/>
              </w:tabs>
              <w:suppressAutoHyphens/>
              <w:rPr>
                <w:szCs w:val="22"/>
                <w:lang w:val="sv-SE"/>
              </w:rPr>
            </w:pPr>
            <w:r w:rsidRPr="007E4DA1">
              <w:rPr>
                <w:szCs w:val="22"/>
                <w:lang w:val="sv-SE"/>
              </w:rPr>
              <w:t>Novartis s.r.o.</w:t>
            </w:r>
          </w:p>
          <w:p w14:paraId="53071F46" w14:textId="77777777" w:rsidR="00A350DA" w:rsidRPr="007E4DA1" w:rsidRDefault="00A350DA" w:rsidP="00DE1596">
            <w:pPr>
              <w:rPr>
                <w:szCs w:val="22"/>
                <w:lang w:val="de-CH"/>
              </w:rPr>
            </w:pPr>
            <w:r w:rsidRPr="007E4DA1">
              <w:rPr>
                <w:szCs w:val="22"/>
                <w:lang w:val="de-CH"/>
              </w:rPr>
              <w:t>Tel: +420 225 775 111</w:t>
            </w:r>
          </w:p>
          <w:p w14:paraId="534795B2" w14:textId="77777777" w:rsidR="00A350DA" w:rsidRPr="007E4DA1" w:rsidRDefault="00A350DA" w:rsidP="00DE1596">
            <w:pPr>
              <w:tabs>
                <w:tab w:val="left" w:pos="-720"/>
              </w:tabs>
              <w:suppressAutoHyphens/>
              <w:rPr>
                <w:szCs w:val="22"/>
                <w:lang w:val="de-CH"/>
              </w:rPr>
            </w:pPr>
          </w:p>
        </w:tc>
        <w:tc>
          <w:tcPr>
            <w:tcW w:w="4678" w:type="dxa"/>
          </w:tcPr>
          <w:p w14:paraId="40AB2324" w14:textId="77777777" w:rsidR="00041A08" w:rsidRPr="00041A08" w:rsidRDefault="00A350DA" w:rsidP="00DE1596">
            <w:pPr>
              <w:rPr>
                <w:szCs w:val="22"/>
                <w:lang w:val="hu-HU"/>
              </w:rPr>
            </w:pPr>
            <w:r w:rsidRPr="007E4DA1">
              <w:rPr>
                <w:b/>
                <w:szCs w:val="22"/>
                <w:lang w:val="hu-HU"/>
              </w:rPr>
              <w:t>Magyarország</w:t>
            </w:r>
          </w:p>
          <w:p w14:paraId="41A562B8" w14:textId="0C555504" w:rsidR="00A350DA" w:rsidRPr="007E4DA1" w:rsidRDefault="00A350DA" w:rsidP="00DE1596">
            <w:pPr>
              <w:rPr>
                <w:szCs w:val="22"/>
                <w:lang w:val="hu-HU"/>
              </w:rPr>
            </w:pPr>
            <w:r w:rsidRPr="007E4DA1">
              <w:rPr>
                <w:szCs w:val="22"/>
                <w:lang w:val="hu-HU"/>
              </w:rPr>
              <w:t>Novartis Hungária Kft.</w:t>
            </w:r>
          </w:p>
          <w:p w14:paraId="00C90A95" w14:textId="77777777" w:rsidR="00A350DA" w:rsidRPr="007E4DA1" w:rsidRDefault="00A350DA" w:rsidP="00DE1596">
            <w:pPr>
              <w:tabs>
                <w:tab w:val="left" w:pos="-720"/>
              </w:tabs>
              <w:suppressAutoHyphens/>
              <w:rPr>
                <w:szCs w:val="22"/>
                <w:lang w:val="mt-MT"/>
              </w:rPr>
            </w:pPr>
            <w:r w:rsidRPr="007E4DA1">
              <w:rPr>
                <w:szCs w:val="22"/>
                <w:lang w:val="hu-HU"/>
              </w:rPr>
              <w:t>Tel.: +36 1 457 65 00</w:t>
            </w:r>
          </w:p>
        </w:tc>
      </w:tr>
      <w:tr w:rsidR="00A350DA" w:rsidRPr="007E4DA1" w14:paraId="0812C05A" w14:textId="77777777" w:rsidTr="00291DF6">
        <w:trPr>
          <w:cantSplit/>
        </w:trPr>
        <w:tc>
          <w:tcPr>
            <w:tcW w:w="4678" w:type="dxa"/>
          </w:tcPr>
          <w:p w14:paraId="601AC27C" w14:textId="77777777" w:rsidR="00041A08" w:rsidRPr="00041A08" w:rsidRDefault="00A350DA" w:rsidP="00DE1596">
            <w:pPr>
              <w:rPr>
                <w:szCs w:val="22"/>
                <w:lang w:val="en-US"/>
              </w:rPr>
            </w:pPr>
            <w:r w:rsidRPr="007E4DA1">
              <w:rPr>
                <w:b/>
                <w:szCs w:val="22"/>
                <w:lang w:val="en-US"/>
              </w:rPr>
              <w:t>Danmark</w:t>
            </w:r>
          </w:p>
          <w:p w14:paraId="49106B07" w14:textId="006FE7C3" w:rsidR="00A350DA" w:rsidRPr="007E4DA1" w:rsidRDefault="00A350DA" w:rsidP="00DE1596">
            <w:pPr>
              <w:rPr>
                <w:szCs w:val="22"/>
                <w:lang w:val="en-US"/>
              </w:rPr>
            </w:pPr>
            <w:r w:rsidRPr="007E4DA1">
              <w:rPr>
                <w:szCs w:val="22"/>
                <w:lang w:val="en-US"/>
              </w:rPr>
              <w:t>Novartis Healthcare A/S</w:t>
            </w:r>
          </w:p>
          <w:p w14:paraId="15E6B7F9" w14:textId="4223FB86" w:rsidR="00A350DA" w:rsidRPr="007E4DA1" w:rsidRDefault="00A350DA" w:rsidP="00DE1596">
            <w:pPr>
              <w:rPr>
                <w:szCs w:val="22"/>
                <w:lang w:val="en-US"/>
              </w:rPr>
            </w:pPr>
            <w:proofErr w:type="spellStart"/>
            <w:r w:rsidRPr="007E4DA1">
              <w:rPr>
                <w:szCs w:val="22"/>
                <w:lang w:val="en-US"/>
              </w:rPr>
              <w:t>Tlf</w:t>
            </w:r>
            <w:proofErr w:type="spellEnd"/>
            <w:r w:rsidR="004D3758">
              <w:rPr>
                <w:szCs w:val="22"/>
                <w:lang w:val="en-US"/>
              </w:rPr>
              <w:t>.</w:t>
            </w:r>
            <w:r w:rsidRPr="007E4DA1">
              <w:rPr>
                <w:szCs w:val="22"/>
                <w:lang w:val="en-US"/>
              </w:rPr>
              <w:t>: +45 39 16 84 00</w:t>
            </w:r>
          </w:p>
          <w:p w14:paraId="4F2C896C" w14:textId="77777777" w:rsidR="00A350DA" w:rsidRPr="007E4DA1" w:rsidRDefault="00A350DA" w:rsidP="00DE1596">
            <w:pPr>
              <w:tabs>
                <w:tab w:val="left" w:pos="-720"/>
              </w:tabs>
              <w:suppressAutoHyphens/>
              <w:rPr>
                <w:szCs w:val="22"/>
                <w:lang w:val="en-US"/>
              </w:rPr>
            </w:pPr>
          </w:p>
        </w:tc>
        <w:tc>
          <w:tcPr>
            <w:tcW w:w="4678" w:type="dxa"/>
          </w:tcPr>
          <w:p w14:paraId="15D67656" w14:textId="77777777" w:rsidR="00041A08" w:rsidRPr="00041A08" w:rsidRDefault="00A350DA" w:rsidP="00DE1596">
            <w:pPr>
              <w:tabs>
                <w:tab w:val="left" w:pos="-720"/>
                <w:tab w:val="left" w:pos="4536"/>
              </w:tabs>
              <w:suppressAutoHyphens/>
              <w:rPr>
                <w:szCs w:val="22"/>
                <w:lang w:val="mt-MT"/>
              </w:rPr>
            </w:pPr>
            <w:r w:rsidRPr="007E4DA1">
              <w:rPr>
                <w:b/>
                <w:szCs w:val="22"/>
                <w:lang w:val="mt-MT"/>
              </w:rPr>
              <w:t>Malta</w:t>
            </w:r>
          </w:p>
          <w:p w14:paraId="074D9239" w14:textId="7DA3F40C" w:rsidR="00A350DA" w:rsidRPr="007E4DA1" w:rsidRDefault="00A350DA" w:rsidP="00DE1596">
            <w:pPr>
              <w:rPr>
                <w:szCs w:val="22"/>
                <w:lang w:val="mt-MT"/>
              </w:rPr>
            </w:pPr>
            <w:r w:rsidRPr="007E4DA1">
              <w:rPr>
                <w:szCs w:val="22"/>
                <w:lang w:val="mt-MT"/>
              </w:rPr>
              <w:t>Novartis Pharma Services Inc.</w:t>
            </w:r>
          </w:p>
          <w:p w14:paraId="45EF4ABB" w14:textId="77777777" w:rsidR="00A350DA" w:rsidRPr="007E4DA1" w:rsidRDefault="00A350DA" w:rsidP="00DE1596">
            <w:pPr>
              <w:rPr>
                <w:szCs w:val="22"/>
              </w:rPr>
            </w:pPr>
            <w:r w:rsidRPr="007E4DA1">
              <w:rPr>
                <w:szCs w:val="22"/>
                <w:lang w:val="mt-MT"/>
              </w:rPr>
              <w:t>Tel: +</w:t>
            </w:r>
            <w:r w:rsidRPr="007E4DA1">
              <w:rPr>
                <w:szCs w:val="22"/>
                <w:lang w:val="en-US"/>
              </w:rPr>
              <w:t xml:space="preserve">356 </w:t>
            </w:r>
            <w:r w:rsidRPr="007E4DA1">
              <w:rPr>
                <w:szCs w:val="22"/>
                <w:lang w:val="fr-CH"/>
              </w:rPr>
              <w:t>2122 2872</w:t>
            </w:r>
          </w:p>
        </w:tc>
      </w:tr>
      <w:tr w:rsidR="00A350DA" w:rsidRPr="007E4DA1" w14:paraId="4C8D0DAE" w14:textId="77777777" w:rsidTr="00291DF6">
        <w:trPr>
          <w:cantSplit/>
        </w:trPr>
        <w:tc>
          <w:tcPr>
            <w:tcW w:w="4678" w:type="dxa"/>
          </w:tcPr>
          <w:p w14:paraId="42EB1784" w14:textId="77777777" w:rsidR="00041A08" w:rsidRPr="00041A08" w:rsidRDefault="00A350DA" w:rsidP="00DE1596">
            <w:pPr>
              <w:rPr>
                <w:szCs w:val="22"/>
                <w:lang w:val="de-DE"/>
              </w:rPr>
            </w:pPr>
            <w:r w:rsidRPr="007E4DA1">
              <w:rPr>
                <w:b/>
                <w:szCs w:val="22"/>
                <w:lang w:val="de-DE"/>
              </w:rPr>
              <w:t>Deutschland</w:t>
            </w:r>
          </w:p>
          <w:p w14:paraId="471E0369" w14:textId="5F866C06" w:rsidR="00A350DA" w:rsidRPr="007E4DA1" w:rsidRDefault="00A350DA" w:rsidP="00DE1596">
            <w:pPr>
              <w:rPr>
                <w:szCs w:val="22"/>
                <w:lang w:val="de-DE"/>
              </w:rPr>
            </w:pPr>
            <w:r w:rsidRPr="007E4DA1">
              <w:rPr>
                <w:szCs w:val="22"/>
                <w:lang w:val="de-DE"/>
              </w:rPr>
              <w:t>Novartis Pharma GmbH</w:t>
            </w:r>
          </w:p>
          <w:p w14:paraId="6575C09D" w14:textId="77777777" w:rsidR="00A350DA" w:rsidRPr="007E4DA1" w:rsidRDefault="00A350DA" w:rsidP="00DE1596">
            <w:pPr>
              <w:rPr>
                <w:szCs w:val="22"/>
                <w:lang w:val="de-DE"/>
              </w:rPr>
            </w:pPr>
            <w:r w:rsidRPr="007E4DA1">
              <w:rPr>
                <w:szCs w:val="22"/>
                <w:lang w:val="de-DE"/>
              </w:rPr>
              <w:t>Tel: +49 911 273 0</w:t>
            </w:r>
          </w:p>
          <w:p w14:paraId="716B2F55" w14:textId="77777777" w:rsidR="00A350DA" w:rsidRPr="007E4DA1" w:rsidRDefault="00A350DA" w:rsidP="00DE1596">
            <w:pPr>
              <w:tabs>
                <w:tab w:val="left" w:pos="-720"/>
              </w:tabs>
              <w:suppressAutoHyphens/>
              <w:rPr>
                <w:szCs w:val="22"/>
                <w:lang w:val="de-DE"/>
              </w:rPr>
            </w:pPr>
          </w:p>
        </w:tc>
        <w:tc>
          <w:tcPr>
            <w:tcW w:w="4678" w:type="dxa"/>
          </w:tcPr>
          <w:p w14:paraId="1410EBAD" w14:textId="77777777" w:rsidR="00041A08" w:rsidRPr="00041A08" w:rsidRDefault="00A350DA" w:rsidP="00DE1596">
            <w:pPr>
              <w:suppressAutoHyphens/>
              <w:rPr>
                <w:szCs w:val="22"/>
                <w:lang w:val="nl-NL"/>
              </w:rPr>
            </w:pPr>
            <w:r w:rsidRPr="007E4DA1">
              <w:rPr>
                <w:b/>
                <w:szCs w:val="22"/>
                <w:lang w:val="nl-NL"/>
              </w:rPr>
              <w:t>Nederland</w:t>
            </w:r>
          </w:p>
          <w:p w14:paraId="046C91BA" w14:textId="4FF20E06" w:rsidR="00A350DA" w:rsidRPr="007E4DA1" w:rsidRDefault="00A350DA" w:rsidP="00DE1596">
            <w:pPr>
              <w:rPr>
                <w:iCs/>
                <w:szCs w:val="22"/>
                <w:lang w:val="nl-NL"/>
              </w:rPr>
            </w:pPr>
            <w:r w:rsidRPr="007E4DA1">
              <w:rPr>
                <w:iCs/>
                <w:szCs w:val="22"/>
                <w:lang w:val="nl-NL"/>
              </w:rPr>
              <w:t>Novartis Pharma B.V.</w:t>
            </w:r>
          </w:p>
          <w:p w14:paraId="541F36FB" w14:textId="1C3B2BEE" w:rsidR="00A350DA" w:rsidRPr="007E4DA1" w:rsidRDefault="00A350DA" w:rsidP="00DE1596">
            <w:pPr>
              <w:rPr>
                <w:szCs w:val="22"/>
                <w:lang w:val="de-DE"/>
              </w:rPr>
            </w:pPr>
            <w:r w:rsidRPr="007E4DA1">
              <w:rPr>
                <w:szCs w:val="22"/>
                <w:lang w:val="nl-NL"/>
              </w:rPr>
              <w:t xml:space="preserve">Tel: +31 </w:t>
            </w:r>
            <w:r w:rsidR="000542C8" w:rsidRPr="007E4DA1">
              <w:rPr>
                <w:szCs w:val="22"/>
                <w:lang w:val="nl-NL"/>
              </w:rPr>
              <w:t>88 04 52</w:t>
            </w:r>
            <w:r w:rsidRPr="007E4DA1">
              <w:rPr>
                <w:szCs w:val="22"/>
                <w:lang w:val="nl-NL"/>
              </w:rPr>
              <w:t xml:space="preserve"> </w:t>
            </w:r>
            <w:r w:rsidR="004D3758">
              <w:rPr>
                <w:szCs w:val="22"/>
                <w:lang w:val="nl-NL"/>
              </w:rPr>
              <w:t>111</w:t>
            </w:r>
          </w:p>
        </w:tc>
      </w:tr>
      <w:tr w:rsidR="00A350DA" w:rsidRPr="00545251" w14:paraId="520AF4E1" w14:textId="77777777" w:rsidTr="00291DF6">
        <w:trPr>
          <w:cantSplit/>
        </w:trPr>
        <w:tc>
          <w:tcPr>
            <w:tcW w:w="4678" w:type="dxa"/>
          </w:tcPr>
          <w:p w14:paraId="4946D233" w14:textId="77777777" w:rsidR="00041A08" w:rsidRPr="00041A08" w:rsidRDefault="00A350DA" w:rsidP="00DE1596">
            <w:pPr>
              <w:tabs>
                <w:tab w:val="left" w:pos="-720"/>
              </w:tabs>
              <w:suppressAutoHyphens/>
              <w:rPr>
                <w:szCs w:val="22"/>
                <w:lang w:val="et-EE"/>
              </w:rPr>
            </w:pPr>
            <w:r w:rsidRPr="007E4DA1">
              <w:rPr>
                <w:b/>
                <w:bCs/>
                <w:szCs w:val="22"/>
                <w:lang w:val="et-EE"/>
              </w:rPr>
              <w:t>Eesti</w:t>
            </w:r>
          </w:p>
          <w:p w14:paraId="2FA4F34D" w14:textId="682E0A1C" w:rsidR="00A350DA" w:rsidRPr="007E4DA1" w:rsidRDefault="00FB2E78" w:rsidP="00DE1596">
            <w:pPr>
              <w:tabs>
                <w:tab w:val="left" w:pos="-720"/>
              </w:tabs>
              <w:suppressAutoHyphens/>
              <w:rPr>
                <w:szCs w:val="22"/>
                <w:lang w:val="et-EE"/>
              </w:rPr>
            </w:pPr>
            <w:r w:rsidRPr="007E4DA1">
              <w:rPr>
                <w:szCs w:val="22"/>
                <w:lang w:val="it-IT"/>
              </w:rPr>
              <w:t>SIA Novartis Baltics Eesti filiaal</w:t>
            </w:r>
          </w:p>
          <w:p w14:paraId="6616A0D8" w14:textId="77777777" w:rsidR="00A350DA" w:rsidRPr="007E4DA1" w:rsidRDefault="00A350DA" w:rsidP="00DE1596">
            <w:pPr>
              <w:tabs>
                <w:tab w:val="left" w:pos="-720"/>
              </w:tabs>
              <w:suppressAutoHyphens/>
              <w:rPr>
                <w:szCs w:val="22"/>
                <w:lang w:val="et-EE"/>
              </w:rPr>
            </w:pPr>
            <w:r w:rsidRPr="007E4DA1">
              <w:rPr>
                <w:szCs w:val="22"/>
                <w:lang w:val="et-EE"/>
              </w:rPr>
              <w:t xml:space="preserve">Tel: +372 </w:t>
            </w:r>
            <w:r w:rsidRPr="007E4DA1">
              <w:rPr>
                <w:szCs w:val="22"/>
                <w:lang w:val="it-IT"/>
              </w:rPr>
              <w:t>66 30 810</w:t>
            </w:r>
          </w:p>
          <w:p w14:paraId="0D257070" w14:textId="77777777" w:rsidR="00A350DA" w:rsidRPr="007E4DA1" w:rsidRDefault="00A350DA" w:rsidP="00DE1596">
            <w:pPr>
              <w:tabs>
                <w:tab w:val="left" w:pos="-720"/>
              </w:tabs>
              <w:suppressAutoHyphens/>
              <w:rPr>
                <w:szCs w:val="22"/>
                <w:lang w:val="et-EE"/>
              </w:rPr>
            </w:pPr>
          </w:p>
        </w:tc>
        <w:tc>
          <w:tcPr>
            <w:tcW w:w="4678" w:type="dxa"/>
          </w:tcPr>
          <w:p w14:paraId="7EE22D6B" w14:textId="77777777" w:rsidR="00041A08" w:rsidRPr="00041A08" w:rsidRDefault="00A350DA" w:rsidP="00DE1596">
            <w:pPr>
              <w:rPr>
                <w:szCs w:val="22"/>
                <w:lang w:val="nb-NO"/>
              </w:rPr>
            </w:pPr>
            <w:r w:rsidRPr="007E4DA1">
              <w:rPr>
                <w:b/>
                <w:szCs w:val="22"/>
                <w:lang w:val="nb-NO"/>
              </w:rPr>
              <w:t>Norge</w:t>
            </w:r>
          </w:p>
          <w:p w14:paraId="5CDB66B1" w14:textId="3CFADC4C" w:rsidR="00A350DA" w:rsidRPr="007E4DA1" w:rsidRDefault="00A350DA" w:rsidP="00DE1596">
            <w:pPr>
              <w:rPr>
                <w:szCs w:val="22"/>
                <w:lang w:val="nb-NO"/>
              </w:rPr>
            </w:pPr>
            <w:r w:rsidRPr="007E4DA1">
              <w:rPr>
                <w:szCs w:val="22"/>
                <w:lang w:val="nb-NO"/>
              </w:rPr>
              <w:t>Novartis Norge AS</w:t>
            </w:r>
          </w:p>
          <w:p w14:paraId="67FF8E82" w14:textId="77777777" w:rsidR="00A350DA" w:rsidRPr="007E4DA1" w:rsidRDefault="00A350DA" w:rsidP="00DE1596">
            <w:pPr>
              <w:tabs>
                <w:tab w:val="left" w:pos="-720"/>
              </w:tabs>
              <w:suppressAutoHyphens/>
              <w:rPr>
                <w:szCs w:val="22"/>
                <w:lang w:val="et-EE"/>
              </w:rPr>
            </w:pPr>
            <w:r w:rsidRPr="007E4DA1">
              <w:rPr>
                <w:szCs w:val="22"/>
                <w:lang w:val="nb-NO"/>
              </w:rPr>
              <w:t>Tlf: +47 23 05 20 00</w:t>
            </w:r>
          </w:p>
        </w:tc>
      </w:tr>
      <w:tr w:rsidR="00A350DA" w:rsidRPr="00545251" w14:paraId="035540E0" w14:textId="77777777" w:rsidTr="00291DF6">
        <w:trPr>
          <w:cantSplit/>
        </w:trPr>
        <w:tc>
          <w:tcPr>
            <w:tcW w:w="4678" w:type="dxa"/>
          </w:tcPr>
          <w:p w14:paraId="6E61EB72" w14:textId="77777777" w:rsidR="00041A08" w:rsidRPr="00041A08" w:rsidRDefault="00A350DA" w:rsidP="00DE1596">
            <w:pPr>
              <w:rPr>
                <w:szCs w:val="22"/>
                <w:lang w:val="et-EE"/>
              </w:rPr>
            </w:pPr>
            <w:r w:rsidRPr="007E4DA1">
              <w:rPr>
                <w:b/>
                <w:szCs w:val="22"/>
                <w:lang w:val="el-GR"/>
              </w:rPr>
              <w:t>Ελλάδα</w:t>
            </w:r>
          </w:p>
          <w:p w14:paraId="74A9D9E5" w14:textId="45F54B98" w:rsidR="00A350DA" w:rsidRPr="007E4DA1" w:rsidRDefault="00A350DA" w:rsidP="00DE1596">
            <w:pPr>
              <w:rPr>
                <w:szCs w:val="22"/>
                <w:lang w:val="et-EE"/>
              </w:rPr>
            </w:pPr>
            <w:r w:rsidRPr="007E4DA1">
              <w:rPr>
                <w:szCs w:val="22"/>
                <w:lang w:val="et-EE"/>
              </w:rPr>
              <w:t>Novartis (Hellas) A.E.B.E.</w:t>
            </w:r>
          </w:p>
          <w:p w14:paraId="3319257F" w14:textId="77777777" w:rsidR="00A350DA" w:rsidRPr="007E4DA1" w:rsidRDefault="00A350DA" w:rsidP="00DE1596">
            <w:pPr>
              <w:rPr>
                <w:szCs w:val="22"/>
                <w:lang w:val="et-EE"/>
              </w:rPr>
            </w:pPr>
            <w:r w:rsidRPr="007E4DA1">
              <w:rPr>
                <w:szCs w:val="22"/>
                <w:lang w:val="el-GR"/>
              </w:rPr>
              <w:t>Τηλ</w:t>
            </w:r>
            <w:r w:rsidRPr="007E4DA1">
              <w:rPr>
                <w:szCs w:val="22"/>
                <w:lang w:val="et-EE"/>
              </w:rPr>
              <w:t>: +30 210 281 17 12</w:t>
            </w:r>
          </w:p>
          <w:p w14:paraId="66C043FD" w14:textId="77777777" w:rsidR="00A350DA" w:rsidRPr="007E4DA1" w:rsidRDefault="00A350DA" w:rsidP="00DE1596">
            <w:pPr>
              <w:tabs>
                <w:tab w:val="left" w:pos="-720"/>
              </w:tabs>
              <w:suppressAutoHyphens/>
              <w:rPr>
                <w:szCs w:val="22"/>
                <w:lang w:val="et-EE"/>
              </w:rPr>
            </w:pPr>
          </w:p>
        </w:tc>
        <w:tc>
          <w:tcPr>
            <w:tcW w:w="4678" w:type="dxa"/>
          </w:tcPr>
          <w:p w14:paraId="33186B2F" w14:textId="77777777" w:rsidR="00041A08" w:rsidRPr="00041A08" w:rsidRDefault="00A350DA" w:rsidP="00DE1596">
            <w:pPr>
              <w:rPr>
                <w:szCs w:val="22"/>
                <w:lang w:val="de-AT"/>
              </w:rPr>
            </w:pPr>
            <w:r w:rsidRPr="007E4DA1">
              <w:rPr>
                <w:b/>
                <w:szCs w:val="22"/>
                <w:lang w:val="de-AT"/>
              </w:rPr>
              <w:t>Österreich</w:t>
            </w:r>
          </w:p>
          <w:p w14:paraId="239B8B08" w14:textId="3D925D77" w:rsidR="00A350DA" w:rsidRPr="007E4DA1" w:rsidRDefault="00A350DA" w:rsidP="00DE1596">
            <w:pPr>
              <w:rPr>
                <w:szCs w:val="22"/>
                <w:lang w:val="de-AT"/>
              </w:rPr>
            </w:pPr>
            <w:r w:rsidRPr="007E4DA1">
              <w:rPr>
                <w:szCs w:val="22"/>
                <w:lang w:val="de-AT"/>
              </w:rPr>
              <w:t>Novartis Pharma GmbH</w:t>
            </w:r>
          </w:p>
          <w:p w14:paraId="21318202" w14:textId="77777777" w:rsidR="00A350DA" w:rsidRPr="007E4DA1" w:rsidRDefault="00A350DA" w:rsidP="00DE1596">
            <w:pPr>
              <w:rPr>
                <w:szCs w:val="22"/>
                <w:lang w:val="de-DE"/>
              </w:rPr>
            </w:pPr>
            <w:r w:rsidRPr="007E4DA1">
              <w:rPr>
                <w:szCs w:val="22"/>
                <w:lang w:val="de-AT"/>
              </w:rPr>
              <w:t>Tel: +43 1 86 6570</w:t>
            </w:r>
          </w:p>
        </w:tc>
      </w:tr>
      <w:tr w:rsidR="00A350DA" w:rsidRPr="007E4DA1" w14:paraId="0B28A252" w14:textId="77777777" w:rsidTr="00291DF6">
        <w:trPr>
          <w:cantSplit/>
        </w:trPr>
        <w:tc>
          <w:tcPr>
            <w:tcW w:w="4678" w:type="dxa"/>
          </w:tcPr>
          <w:p w14:paraId="5CCEF7D0" w14:textId="77777777" w:rsidR="00041A08" w:rsidRPr="00041A08" w:rsidRDefault="00A350DA" w:rsidP="00DE1596">
            <w:pPr>
              <w:tabs>
                <w:tab w:val="left" w:pos="-720"/>
                <w:tab w:val="left" w:pos="4536"/>
              </w:tabs>
              <w:suppressAutoHyphens/>
              <w:rPr>
                <w:szCs w:val="22"/>
                <w:lang w:val="es-ES"/>
              </w:rPr>
            </w:pPr>
            <w:r w:rsidRPr="007E4DA1">
              <w:rPr>
                <w:b/>
                <w:szCs w:val="22"/>
                <w:lang w:val="es-ES"/>
              </w:rPr>
              <w:t>España</w:t>
            </w:r>
          </w:p>
          <w:p w14:paraId="26FE73FA" w14:textId="4AD4B274" w:rsidR="00A350DA" w:rsidRPr="007E4DA1" w:rsidRDefault="00A350DA" w:rsidP="00DE1596">
            <w:pPr>
              <w:rPr>
                <w:szCs w:val="22"/>
                <w:lang w:val="es-ES"/>
              </w:rPr>
            </w:pPr>
            <w:r w:rsidRPr="007E4DA1">
              <w:rPr>
                <w:lang w:val="es-ES"/>
              </w:rPr>
              <w:t>Novartis Farmacéutica, S.A.</w:t>
            </w:r>
          </w:p>
          <w:p w14:paraId="0AB3F7BE" w14:textId="77777777" w:rsidR="00A350DA" w:rsidRPr="007E4DA1" w:rsidRDefault="00A350DA" w:rsidP="00DE1596">
            <w:pPr>
              <w:rPr>
                <w:szCs w:val="22"/>
                <w:lang w:val="es-ES"/>
              </w:rPr>
            </w:pPr>
            <w:r w:rsidRPr="007E4DA1">
              <w:rPr>
                <w:szCs w:val="22"/>
                <w:lang w:val="es-ES"/>
              </w:rPr>
              <w:t>Tel: +34 93 306 42 00</w:t>
            </w:r>
          </w:p>
          <w:p w14:paraId="3533F729" w14:textId="77777777" w:rsidR="00A350DA" w:rsidRPr="007E4DA1" w:rsidRDefault="00A350DA" w:rsidP="00DE1596">
            <w:pPr>
              <w:tabs>
                <w:tab w:val="left" w:pos="-720"/>
              </w:tabs>
              <w:suppressAutoHyphens/>
              <w:rPr>
                <w:szCs w:val="22"/>
                <w:lang w:val="es-ES"/>
              </w:rPr>
            </w:pPr>
          </w:p>
        </w:tc>
        <w:tc>
          <w:tcPr>
            <w:tcW w:w="4678" w:type="dxa"/>
          </w:tcPr>
          <w:p w14:paraId="76CCDFEC" w14:textId="77777777" w:rsidR="00041A08" w:rsidRPr="00041A08" w:rsidRDefault="00A350DA" w:rsidP="00DE1596">
            <w:pPr>
              <w:tabs>
                <w:tab w:val="left" w:pos="-720"/>
                <w:tab w:val="left" w:pos="4536"/>
              </w:tabs>
              <w:suppressAutoHyphens/>
              <w:rPr>
                <w:szCs w:val="22"/>
              </w:rPr>
            </w:pPr>
            <w:r w:rsidRPr="007E4DA1">
              <w:rPr>
                <w:b/>
                <w:bCs/>
                <w:iCs/>
                <w:szCs w:val="22"/>
              </w:rPr>
              <w:t>Polska</w:t>
            </w:r>
          </w:p>
          <w:p w14:paraId="2D7B4386" w14:textId="0B05C114" w:rsidR="00A350DA" w:rsidRPr="007E4DA1" w:rsidRDefault="00A350DA" w:rsidP="00DE1596">
            <w:pPr>
              <w:rPr>
                <w:szCs w:val="22"/>
              </w:rPr>
            </w:pPr>
            <w:r w:rsidRPr="007E4DA1">
              <w:rPr>
                <w:szCs w:val="22"/>
              </w:rPr>
              <w:t>Novartis Poland Sp. z o.o.</w:t>
            </w:r>
          </w:p>
          <w:p w14:paraId="6CDA3B7A" w14:textId="77777777" w:rsidR="00A350DA" w:rsidRPr="007E4DA1" w:rsidRDefault="00A350DA" w:rsidP="00DE1596">
            <w:pPr>
              <w:rPr>
                <w:szCs w:val="22"/>
              </w:rPr>
            </w:pPr>
            <w:r w:rsidRPr="007E4DA1">
              <w:rPr>
                <w:szCs w:val="22"/>
              </w:rPr>
              <w:t>Tel.: +48 22 375 4888</w:t>
            </w:r>
          </w:p>
        </w:tc>
      </w:tr>
      <w:tr w:rsidR="00A350DA" w:rsidRPr="007E4DA1" w14:paraId="666336E9" w14:textId="77777777" w:rsidTr="00291DF6">
        <w:trPr>
          <w:cantSplit/>
        </w:trPr>
        <w:tc>
          <w:tcPr>
            <w:tcW w:w="4678" w:type="dxa"/>
          </w:tcPr>
          <w:p w14:paraId="122E4797" w14:textId="77777777" w:rsidR="00041A08" w:rsidRPr="00041A08" w:rsidRDefault="00A350DA" w:rsidP="00DE1596">
            <w:pPr>
              <w:tabs>
                <w:tab w:val="left" w:pos="-720"/>
                <w:tab w:val="left" w:pos="4536"/>
              </w:tabs>
              <w:suppressAutoHyphens/>
              <w:rPr>
                <w:szCs w:val="22"/>
                <w:lang w:val="fr-FR"/>
              </w:rPr>
            </w:pPr>
            <w:r w:rsidRPr="007E4DA1">
              <w:rPr>
                <w:b/>
                <w:szCs w:val="22"/>
                <w:lang w:val="fr-FR"/>
              </w:rPr>
              <w:t>France</w:t>
            </w:r>
          </w:p>
          <w:p w14:paraId="4B6D8407" w14:textId="2CB761C3" w:rsidR="00A350DA" w:rsidRPr="007E4DA1" w:rsidRDefault="00A350DA" w:rsidP="00DE1596">
            <w:pPr>
              <w:rPr>
                <w:szCs w:val="22"/>
                <w:lang w:val="fr-FR"/>
              </w:rPr>
            </w:pPr>
            <w:r w:rsidRPr="007E4DA1">
              <w:rPr>
                <w:szCs w:val="22"/>
                <w:lang w:val="fr-FR"/>
              </w:rPr>
              <w:t>Novartis Pharma S.A.S.</w:t>
            </w:r>
          </w:p>
          <w:p w14:paraId="436ED7D6" w14:textId="77777777" w:rsidR="00A350DA" w:rsidRPr="007E4DA1" w:rsidRDefault="00A350DA" w:rsidP="00DE1596">
            <w:pPr>
              <w:rPr>
                <w:szCs w:val="22"/>
                <w:lang w:val="fr-FR"/>
              </w:rPr>
            </w:pPr>
            <w:r w:rsidRPr="007E4DA1">
              <w:rPr>
                <w:szCs w:val="22"/>
                <w:lang w:val="fr-FR"/>
              </w:rPr>
              <w:t>Tél: +33 1 55 47 66 00</w:t>
            </w:r>
          </w:p>
          <w:p w14:paraId="0E5AF7AD" w14:textId="77777777" w:rsidR="00A350DA" w:rsidRPr="007E4DA1" w:rsidRDefault="00A350DA" w:rsidP="00DE1596">
            <w:pPr>
              <w:rPr>
                <w:b/>
                <w:szCs w:val="22"/>
                <w:lang w:val="fr-FR"/>
              </w:rPr>
            </w:pPr>
          </w:p>
        </w:tc>
        <w:tc>
          <w:tcPr>
            <w:tcW w:w="4678" w:type="dxa"/>
          </w:tcPr>
          <w:p w14:paraId="2021E64D" w14:textId="77777777" w:rsidR="00041A08" w:rsidRPr="00041A08" w:rsidRDefault="00A350DA" w:rsidP="00DE1596">
            <w:pPr>
              <w:rPr>
                <w:szCs w:val="22"/>
                <w:lang w:val="pt-PT"/>
              </w:rPr>
            </w:pPr>
            <w:r w:rsidRPr="007E4DA1">
              <w:rPr>
                <w:b/>
                <w:szCs w:val="22"/>
                <w:lang w:val="pt-PT"/>
              </w:rPr>
              <w:t>Portugal</w:t>
            </w:r>
          </w:p>
          <w:p w14:paraId="6897689E" w14:textId="147D25DA" w:rsidR="00A350DA" w:rsidRPr="007E4DA1" w:rsidRDefault="00A350DA" w:rsidP="00DE1596">
            <w:pPr>
              <w:rPr>
                <w:szCs w:val="22"/>
                <w:lang w:val="pt-BR"/>
              </w:rPr>
            </w:pPr>
            <w:r w:rsidRPr="007E4DA1">
              <w:rPr>
                <w:szCs w:val="22"/>
                <w:lang w:val="pt-BR"/>
              </w:rPr>
              <w:t>Novartis Farma - Produtos Farmacêuticos, S.A.</w:t>
            </w:r>
          </w:p>
          <w:p w14:paraId="13956C2A" w14:textId="77777777" w:rsidR="00A350DA" w:rsidRPr="007E4DA1" w:rsidRDefault="00A350DA" w:rsidP="00DE1596">
            <w:pPr>
              <w:tabs>
                <w:tab w:val="left" w:pos="-720"/>
              </w:tabs>
              <w:suppressAutoHyphens/>
              <w:rPr>
                <w:szCs w:val="22"/>
                <w:lang w:val="de-CH"/>
              </w:rPr>
            </w:pPr>
            <w:r w:rsidRPr="007E4DA1">
              <w:rPr>
                <w:szCs w:val="22"/>
                <w:lang w:val="pt-PT"/>
              </w:rPr>
              <w:t>Tel: +351 21 000 8600</w:t>
            </w:r>
          </w:p>
        </w:tc>
      </w:tr>
      <w:tr w:rsidR="00A350DA" w:rsidRPr="007E4DA1" w14:paraId="58AC0B6C" w14:textId="77777777" w:rsidTr="00291DF6">
        <w:trPr>
          <w:cantSplit/>
        </w:trPr>
        <w:tc>
          <w:tcPr>
            <w:tcW w:w="4678" w:type="dxa"/>
          </w:tcPr>
          <w:p w14:paraId="6B1781E6" w14:textId="77777777" w:rsidR="00041A08" w:rsidRPr="00041A08" w:rsidRDefault="00A350DA" w:rsidP="00DE1596">
            <w:pPr>
              <w:rPr>
                <w:rFonts w:eastAsia="PMingLiU"/>
                <w:lang w:val="de-CH"/>
              </w:rPr>
            </w:pPr>
            <w:r w:rsidRPr="007E4DA1">
              <w:rPr>
                <w:rFonts w:eastAsia="PMingLiU"/>
                <w:b/>
                <w:lang w:val="de-CH"/>
              </w:rPr>
              <w:t>Hrvatska</w:t>
            </w:r>
          </w:p>
          <w:p w14:paraId="02575E10" w14:textId="4F8CE419" w:rsidR="00A350DA" w:rsidRPr="007E4DA1" w:rsidRDefault="00A350DA" w:rsidP="00DE1596">
            <w:pPr>
              <w:rPr>
                <w:lang w:val="de-CH"/>
              </w:rPr>
            </w:pPr>
            <w:r w:rsidRPr="007E4DA1">
              <w:rPr>
                <w:lang w:val="de-CH"/>
              </w:rPr>
              <w:t>Novartis Hrvatska d.o.o.</w:t>
            </w:r>
          </w:p>
          <w:p w14:paraId="6CC046EE" w14:textId="77777777" w:rsidR="00A350DA" w:rsidRPr="007E4DA1" w:rsidRDefault="00A350DA" w:rsidP="00DE1596">
            <w:r w:rsidRPr="007E4DA1">
              <w:t>Tel. +385 1 6274 220</w:t>
            </w:r>
          </w:p>
          <w:p w14:paraId="276DFE5E" w14:textId="77777777" w:rsidR="00A350DA" w:rsidRPr="007E4DA1" w:rsidRDefault="00A350DA" w:rsidP="00DE1596">
            <w:pPr>
              <w:tabs>
                <w:tab w:val="left" w:pos="-720"/>
                <w:tab w:val="left" w:pos="4536"/>
              </w:tabs>
              <w:suppressAutoHyphens/>
              <w:rPr>
                <w:b/>
                <w:szCs w:val="22"/>
                <w:lang w:val="fr-FR"/>
              </w:rPr>
            </w:pPr>
          </w:p>
        </w:tc>
        <w:tc>
          <w:tcPr>
            <w:tcW w:w="4678" w:type="dxa"/>
          </w:tcPr>
          <w:p w14:paraId="33BB1FB5" w14:textId="77777777" w:rsidR="00041A08" w:rsidRPr="00041A08" w:rsidRDefault="00A350DA" w:rsidP="00DE1596">
            <w:pPr>
              <w:autoSpaceDE w:val="0"/>
              <w:autoSpaceDN w:val="0"/>
              <w:adjustRightInd w:val="0"/>
              <w:rPr>
                <w:szCs w:val="22"/>
                <w:lang w:val="fr-CH"/>
              </w:rPr>
            </w:pPr>
            <w:proofErr w:type="spellStart"/>
            <w:r w:rsidRPr="007E4DA1">
              <w:rPr>
                <w:b/>
                <w:bCs/>
                <w:szCs w:val="22"/>
                <w:lang w:val="fr-CH"/>
              </w:rPr>
              <w:t>România</w:t>
            </w:r>
            <w:proofErr w:type="spellEnd"/>
          </w:p>
          <w:p w14:paraId="1D3B94E6" w14:textId="7FDF4731" w:rsidR="00A350DA" w:rsidRPr="007E4DA1" w:rsidRDefault="00A350DA" w:rsidP="00DE1596">
            <w:pPr>
              <w:autoSpaceDE w:val="0"/>
              <w:autoSpaceDN w:val="0"/>
              <w:adjustRightInd w:val="0"/>
              <w:rPr>
                <w:szCs w:val="22"/>
                <w:lang w:val="fr-CH"/>
              </w:rPr>
            </w:pPr>
            <w:r w:rsidRPr="007E4DA1">
              <w:rPr>
                <w:szCs w:val="22"/>
                <w:lang w:val="fr-CH"/>
              </w:rPr>
              <w:t xml:space="preserve">Novartis Pharma Services </w:t>
            </w:r>
            <w:r w:rsidRPr="001742B3">
              <w:rPr>
                <w:szCs w:val="22"/>
                <w:lang w:val="fr-CH"/>
              </w:rPr>
              <w:t>Romania SRL</w:t>
            </w:r>
          </w:p>
          <w:p w14:paraId="11CBF614" w14:textId="77777777" w:rsidR="00A350DA" w:rsidRPr="007E4DA1" w:rsidRDefault="00A350DA" w:rsidP="00DE1596">
            <w:pPr>
              <w:tabs>
                <w:tab w:val="left" w:pos="-720"/>
              </w:tabs>
              <w:suppressAutoHyphens/>
              <w:rPr>
                <w:szCs w:val="22"/>
                <w:lang w:val="fr-FR"/>
              </w:rPr>
            </w:pPr>
            <w:r w:rsidRPr="007E4DA1">
              <w:rPr>
                <w:szCs w:val="22"/>
                <w:lang w:val="en-US"/>
              </w:rPr>
              <w:t>Tel: +40 21 31299 01</w:t>
            </w:r>
          </w:p>
        </w:tc>
      </w:tr>
      <w:tr w:rsidR="00A350DA" w:rsidRPr="007E4DA1" w14:paraId="72ABE045" w14:textId="77777777" w:rsidTr="00291DF6">
        <w:trPr>
          <w:cantSplit/>
        </w:trPr>
        <w:tc>
          <w:tcPr>
            <w:tcW w:w="4678" w:type="dxa"/>
          </w:tcPr>
          <w:p w14:paraId="4B427257" w14:textId="77777777" w:rsidR="00041A08" w:rsidRPr="00041A08" w:rsidRDefault="00A350DA" w:rsidP="00DE1596">
            <w:pPr>
              <w:rPr>
                <w:szCs w:val="22"/>
                <w:lang w:val="en-US"/>
              </w:rPr>
            </w:pPr>
            <w:r w:rsidRPr="007E4DA1">
              <w:rPr>
                <w:b/>
                <w:szCs w:val="22"/>
                <w:lang w:val="en-US"/>
              </w:rPr>
              <w:t>Ireland</w:t>
            </w:r>
          </w:p>
          <w:p w14:paraId="1B8499D2" w14:textId="2CBC34CD" w:rsidR="00A350DA" w:rsidRPr="007E4DA1" w:rsidRDefault="00A350DA" w:rsidP="00DE1596">
            <w:pPr>
              <w:rPr>
                <w:szCs w:val="22"/>
                <w:lang w:val="en-US"/>
              </w:rPr>
            </w:pPr>
            <w:r w:rsidRPr="007E4DA1">
              <w:rPr>
                <w:szCs w:val="22"/>
                <w:lang w:val="en-US"/>
              </w:rPr>
              <w:t>Novartis Ireland Limited</w:t>
            </w:r>
          </w:p>
          <w:p w14:paraId="490DC0EA" w14:textId="77777777" w:rsidR="00A350DA" w:rsidRPr="007E4DA1" w:rsidRDefault="00A350DA" w:rsidP="00DE1596">
            <w:pPr>
              <w:rPr>
                <w:szCs w:val="22"/>
                <w:lang w:val="en-US"/>
              </w:rPr>
            </w:pPr>
            <w:r w:rsidRPr="007E4DA1">
              <w:rPr>
                <w:szCs w:val="22"/>
                <w:lang w:val="en-US"/>
              </w:rPr>
              <w:t>Tel: +353 1 260 12 55</w:t>
            </w:r>
          </w:p>
          <w:p w14:paraId="2FAEB09E" w14:textId="77777777" w:rsidR="00A350DA" w:rsidRPr="007E4DA1" w:rsidRDefault="00A350DA" w:rsidP="00DE1596">
            <w:pPr>
              <w:rPr>
                <w:b/>
                <w:szCs w:val="22"/>
                <w:lang w:val="en-US"/>
              </w:rPr>
            </w:pPr>
          </w:p>
        </w:tc>
        <w:tc>
          <w:tcPr>
            <w:tcW w:w="4678" w:type="dxa"/>
          </w:tcPr>
          <w:p w14:paraId="7F78957A" w14:textId="77777777" w:rsidR="00041A08" w:rsidRPr="00041A08" w:rsidRDefault="00A350DA" w:rsidP="00DE1596">
            <w:pPr>
              <w:rPr>
                <w:szCs w:val="22"/>
                <w:lang w:val="sl-SI"/>
              </w:rPr>
            </w:pPr>
            <w:r w:rsidRPr="007E4DA1">
              <w:rPr>
                <w:b/>
                <w:szCs w:val="22"/>
                <w:lang w:val="sl-SI"/>
              </w:rPr>
              <w:t>Slovenija</w:t>
            </w:r>
          </w:p>
          <w:p w14:paraId="1A2FBFD6" w14:textId="4F295397" w:rsidR="00A350DA" w:rsidRPr="007E4DA1" w:rsidRDefault="00A350DA" w:rsidP="00DE1596">
            <w:pPr>
              <w:rPr>
                <w:szCs w:val="22"/>
                <w:lang w:val="sl-SI"/>
              </w:rPr>
            </w:pPr>
            <w:r w:rsidRPr="007E4DA1">
              <w:rPr>
                <w:szCs w:val="22"/>
                <w:lang w:val="sl-SI"/>
              </w:rPr>
              <w:t>Novartis Pharma Services Inc.</w:t>
            </w:r>
          </w:p>
          <w:p w14:paraId="34DF3974" w14:textId="77777777" w:rsidR="00A350DA" w:rsidRPr="007E4DA1" w:rsidRDefault="00A350DA" w:rsidP="00DE1596">
            <w:pPr>
              <w:rPr>
                <w:szCs w:val="22"/>
                <w:lang w:val="sl-SI"/>
              </w:rPr>
            </w:pPr>
            <w:r w:rsidRPr="007E4DA1">
              <w:rPr>
                <w:szCs w:val="22"/>
                <w:lang w:val="sl-SI"/>
              </w:rPr>
              <w:t>Tel: +386 1 300 75 50</w:t>
            </w:r>
          </w:p>
        </w:tc>
      </w:tr>
      <w:tr w:rsidR="00A350DA" w:rsidRPr="007E4DA1" w14:paraId="6339D331" w14:textId="77777777" w:rsidTr="00291DF6">
        <w:trPr>
          <w:cantSplit/>
        </w:trPr>
        <w:tc>
          <w:tcPr>
            <w:tcW w:w="4678" w:type="dxa"/>
          </w:tcPr>
          <w:p w14:paraId="61E47F87" w14:textId="77777777" w:rsidR="00041A08" w:rsidRPr="00041A08" w:rsidRDefault="00A350DA" w:rsidP="00DE1596">
            <w:pPr>
              <w:rPr>
                <w:szCs w:val="22"/>
                <w:lang w:val="is-IS"/>
              </w:rPr>
            </w:pPr>
            <w:r w:rsidRPr="007E4DA1">
              <w:rPr>
                <w:b/>
                <w:szCs w:val="22"/>
                <w:lang w:val="is-IS"/>
              </w:rPr>
              <w:t>Ísland</w:t>
            </w:r>
          </w:p>
          <w:p w14:paraId="72ACD367" w14:textId="500B706A" w:rsidR="00A350DA" w:rsidRPr="007E4DA1" w:rsidRDefault="00A350DA" w:rsidP="00DE1596">
            <w:pPr>
              <w:rPr>
                <w:szCs w:val="22"/>
                <w:lang w:val="is-IS"/>
              </w:rPr>
            </w:pPr>
            <w:r w:rsidRPr="007E4DA1">
              <w:rPr>
                <w:szCs w:val="22"/>
                <w:lang w:val="is-IS"/>
              </w:rPr>
              <w:t>Vistor hf.</w:t>
            </w:r>
          </w:p>
          <w:p w14:paraId="6B370B27" w14:textId="77777777" w:rsidR="00A350DA" w:rsidRPr="007E4DA1" w:rsidRDefault="00A350DA" w:rsidP="00DE1596">
            <w:pPr>
              <w:tabs>
                <w:tab w:val="left" w:pos="-720"/>
              </w:tabs>
              <w:suppressAutoHyphens/>
              <w:rPr>
                <w:szCs w:val="22"/>
                <w:lang w:val="is-IS"/>
              </w:rPr>
            </w:pPr>
            <w:r w:rsidRPr="007E4DA1">
              <w:rPr>
                <w:noProof/>
                <w:szCs w:val="22"/>
              </w:rPr>
              <w:t>Sími</w:t>
            </w:r>
            <w:r w:rsidRPr="007E4DA1">
              <w:rPr>
                <w:szCs w:val="22"/>
                <w:lang w:val="is-IS"/>
              </w:rPr>
              <w:t>: +354 535 7000</w:t>
            </w:r>
          </w:p>
          <w:p w14:paraId="39B3D75F" w14:textId="77777777" w:rsidR="00A350DA" w:rsidRPr="007E4DA1" w:rsidRDefault="00A350DA" w:rsidP="00DE1596">
            <w:pPr>
              <w:rPr>
                <w:szCs w:val="22"/>
              </w:rPr>
            </w:pPr>
          </w:p>
        </w:tc>
        <w:tc>
          <w:tcPr>
            <w:tcW w:w="4678" w:type="dxa"/>
          </w:tcPr>
          <w:p w14:paraId="2FFC37C4" w14:textId="77777777" w:rsidR="00041A08" w:rsidRPr="00041A08" w:rsidRDefault="00A350DA" w:rsidP="00DE1596">
            <w:pPr>
              <w:tabs>
                <w:tab w:val="left" w:pos="-720"/>
              </w:tabs>
              <w:suppressAutoHyphens/>
              <w:rPr>
                <w:szCs w:val="22"/>
                <w:lang w:val="sk-SK"/>
              </w:rPr>
            </w:pPr>
            <w:r w:rsidRPr="007E4DA1">
              <w:rPr>
                <w:b/>
                <w:szCs w:val="22"/>
                <w:lang w:val="sk-SK"/>
              </w:rPr>
              <w:t>Slovenská republika</w:t>
            </w:r>
          </w:p>
          <w:p w14:paraId="74EDA955" w14:textId="15FD42E6" w:rsidR="00A350DA" w:rsidRPr="007E4DA1" w:rsidRDefault="00A350DA" w:rsidP="00DE1596">
            <w:pPr>
              <w:rPr>
                <w:szCs w:val="22"/>
                <w:lang w:val="sk-SK"/>
              </w:rPr>
            </w:pPr>
            <w:r w:rsidRPr="007E4DA1">
              <w:rPr>
                <w:szCs w:val="22"/>
                <w:lang w:val="sk-SK"/>
              </w:rPr>
              <w:t>Novartis Slovakia s.r.o.</w:t>
            </w:r>
          </w:p>
          <w:p w14:paraId="5C861258" w14:textId="77777777" w:rsidR="00A350DA" w:rsidRPr="007E4DA1" w:rsidRDefault="00A350DA" w:rsidP="00DE1596">
            <w:pPr>
              <w:rPr>
                <w:szCs w:val="22"/>
                <w:lang w:val="sk-SK"/>
              </w:rPr>
            </w:pPr>
            <w:r w:rsidRPr="007E4DA1">
              <w:rPr>
                <w:szCs w:val="22"/>
                <w:lang w:val="sk-SK"/>
              </w:rPr>
              <w:t>Tel: +421 2 5542 5439</w:t>
            </w:r>
          </w:p>
          <w:p w14:paraId="1E7AAC89" w14:textId="77777777" w:rsidR="00A350DA" w:rsidRPr="007E4DA1" w:rsidRDefault="00A350DA" w:rsidP="00DE1596">
            <w:pPr>
              <w:tabs>
                <w:tab w:val="left" w:pos="-720"/>
              </w:tabs>
              <w:suppressAutoHyphens/>
              <w:rPr>
                <w:szCs w:val="22"/>
                <w:lang w:val="sk-SK"/>
              </w:rPr>
            </w:pPr>
          </w:p>
        </w:tc>
      </w:tr>
      <w:tr w:rsidR="00A350DA" w:rsidRPr="00545251" w14:paraId="63D6D527" w14:textId="77777777" w:rsidTr="00291DF6">
        <w:trPr>
          <w:cantSplit/>
        </w:trPr>
        <w:tc>
          <w:tcPr>
            <w:tcW w:w="4678" w:type="dxa"/>
          </w:tcPr>
          <w:p w14:paraId="23DFF0D3" w14:textId="77777777" w:rsidR="00041A08" w:rsidRPr="00041A08" w:rsidRDefault="00A350DA" w:rsidP="00DE1596">
            <w:pPr>
              <w:rPr>
                <w:szCs w:val="22"/>
                <w:lang w:val="pt-BR"/>
              </w:rPr>
            </w:pPr>
            <w:r w:rsidRPr="007E4DA1">
              <w:rPr>
                <w:b/>
                <w:szCs w:val="22"/>
                <w:lang w:val="pt-BR"/>
              </w:rPr>
              <w:t>Italia</w:t>
            </w:r>
          </w:p>
          <w:p w14:paraId="7A08398E" w14:textId="79F4153E" w:rsidR="00A350DA" w:rsidRPr="007E4DA1" w:rsidRDefault="00A350DA" w:rsidP="00DE1596">
            <w:pPr>
              <w:rPr>
                <w:szCs w:val="22"/>
                <w:lang w:val="pt-BR"/>
              </w:rPr>
            </w:pPr>
            <w:r w:rsidRPr="007E4DA1">
              <w:rPr>
                <w:szCs w:val="22"/>
                <w:lang w:val="pt-BR"/>
              </w:rPr>
              <w:t>Novartis Farma S.p.A.</w:t>
            </w:r>
          </w:p>
          <w:p w14:paraId="2894E377" w14:textId="77777777" w:rsidR="00A350DA" w:rsidRPr="007E4DA1" w:rsidRDefault="00A350DA" w:rsidP="00DE1596">
            <w:pPr>
              <w:rPr>
                <w:b/>
                <w:szCs w:val="22"/>
                <w:lang w:val="pt-PT"/>
              </w:rPr>
            </w:pPr>
            <w:r w:rsidRPr="007E4DA1">
              <w:rPr>
                <w:szCs w:val="22"/>
                <w:lang w:val="it-IT"/>
              </w:rPr>
              <w:t>Tel: +39 02 96 54 1</w:t>
            </w:r>
          </w:p>
        </w:tc>
        <w:tc>
          <w:tcPr>
            <w:tcW w:w="4678" w:type="dxa"/>
          </w:tcPr>
          <w:p w14:paraId="1E29F45A" w14:textId="77777777" w:rsidR="00041A08" w:rsidRPr="00041A08" w:rsidRDefault="00A350DA" w:rsidP="00DE1596">
            <w:pPr>
              <w:tabs>
                <w:tab w:val="left" w:pos="-720"/>
                <w:tab w:val="left" w:pos="4536"/>
              </w:tabs>
              <w:suppressAutoHyphens/>
              <w:rPr>
                <w:szCs w:val="22"/>
                <w:lang w:val="fi-FI"/>
              </w:rPr>
            </w:pPr>
            <w:r w:rsidRPr="007E4DA1">
              <w:rPr>
                <w:b/>
                <w:szCs w:val="22"/>
                <w:lang w:val="fi-FI"/>
              </w:rPr>
              <w:t>Suomi/Finland</w:t>
            </w:r>
          </w:p>
          <w:p w14:paraId="25313A4E" w14:textId="61268785" w:rsidR="00A350DA" w:rsidRPr="007E4DA1" w:rsidRDefault="00A350DA" w:rsidP="00DE1596">
            <w:pPr>
              <w:rPr>
                <w:szCs w:val="22"/>
                <w:lang w:val="fi-FI"/>
              </w:rPr>
            </w:pPr>
            <w:r w:rsidRPr="007E4DA1">
              <w:rPr>
                <w:szCs w:val="22"/>
                <w:lang w:val="fi-FI"/>
              </w:rPr>
              <w:t>Novartis Finland Oy</w:t>
            </w:r>
          </w:p>
          <w:p w14:paraId="6C9680E6" w14:textId="77777777" w:rsidR="00A350DA" w:rsidRPr="007E4DA1" w:rsidRDefault="00A350DA" w:rsidP="00DE1596">
            <w:pPr>
              <w:rPr>
                <w:szCs w:val="22"/>
                <w:lang w:val="fi-FI"/>
              </w:rPr>
            </w:pPr>
            <w:r w:rsidRPr="007E4DA1">
              <w:rPr>
                <w:szCs w:val="22"/>
                <w:lang w:val="fi-FI"/>
              </w:rPr>
              <w:t xml:space="preserve">Puh/Tel: +358 </w:t>
            </w:r>
            <w:r w:rsidRPr="007E4DA1">
              <w:rPr>
                <w:szCs w:val="22"/>
                <w:lang w:val="de-CH" w:bidi="he-IL"/>
              </w:rPr>
              <w:t>(0)10 6133 200</w:t>
            </w:r>
          </w:p>
          <w:p w14:paraId="64DBEB18" w14:textId="77777777" w:rsidR="00A350DA" w:rsidRPr="007E4DA1" w:rsidRDefault="00A350DA" w:rsidP="00DE1596">
            <w:pPr>
              <w:tabs>
                <w:tab w:val="left" w:pos="-720"/>
              </w:tabs>
              <w:suppressAutoHyphens/>
              <w:rPr>
                <w:szCs w:val="22"/>
                <w:lang w:val="sv-SE"/>
              </w:rPr>
            </w:pPr>
          </w:p>
        </w:tc>
      </w:tr>
      <w:tr w:rsidR="00A350DA" w:rsidRPr="00545251" w14:paraId="370AE652" w14:textId="77777777" w:rsidTr="00291DF6">
        <w:trPr>
          <w:cantSplit/>
        </w:trPr>
        <w:tc>
          <w:tcPr>
            <w:tcW w:w="4678" w:type="dxa"/>
          </w:tcPr>
          <w:p w14:paraId="0C411CD9" w14:textId="77777777" w:rsidR="00041A08" w:rsidRPr="00041A08" w:rsidRDefault="00A350DA" w:rsidP="00DE1596">
            <w:pPr>
              <w:rPr>
                <w:szCs w:val="22"/>
                <w:lang w:val="el-GR"/>
              </w:rPr>
            </w:pPr>
            <w:r w:rsidRPr="007E4DA1">
              <w:rPr>
                <w:b/>
                <w:szCs w:val="22"/>
                <w:lang w:val="el-GR"/>
              </w:rPr>
              <w:t>Κύπρος</w:t>
            </w:r>
          </w:p>
          <w:p w14:paraId="241A83E8" w14:textId="4A8FDDE9" w:rsidR="00A350DA" w:rsidRPr="007E4DA1" w:rsidRDefault="00A350DA" w:rsidP="00DE1596">
            <w:pPr>
              <w:rPr>
                <w:szCs w:val="22"/>
                <w:lang w:val="el-GR"/>
              </w:rPr>
            </w:pPr>
            <w:r w:rsidRPr="007E4DA1">
              <w:rPr>
                <w:lang w:val="fr-CH"/>
              </w:rPr>
              <w:t>Novartis Pharma Services Inc.</w:t>
            </w:r>
          </w:p>
          <w:p w14:paraId="28431521" w14:textId="77777777" w:rsidR="00A350DA" w:rsidRPr="007E4DA1" w:rsidRDefault="00A350DA" w:rsidP="00DE1596">
            <w:pPr>
              <w:tabs>
                <w:tab w:val="left" w:pos="-720"/>
              </w:tabs>
              <w:suppressAutoHyphens/>
              <w:rPr>
                <w:szCs w:val="22"/>
                <w:lang w:val="el-GR"/>
              </w:rPr>
            </w:pPr>
            <w:r w:rsidRPr="007E4DA1">
              <w:rPr>
                <w:szCs w:val="22"/>
                <w:lang w:val="el-GR"/>
              </w:rPr>
              <w:t>Τηλ: +357 22 690 690</w:t>
            </w:r>
          </w:p>
          <w:p w14:paraId="308E4F28" w14:textId="77777777" w:rsidR="00A350DA" w:rsidRPr="007E4DA1" w:rsidRDefault="00A350DA" w:rsidP="00DE1596">
            <w:pPr>
              <w:rPr>
                <w:b/>
                <w:szCs w:val="22"/>
                <w:lang w:val="el-GR"/>
              </w:rPr>
            </w:pPr>
          </w:p>
        </w:tc>
        <w:tc>
          <w:tcPr>
            <w:tcW w:w="4678" w:type="dxa"/>
          </w:tcPr>
          <w:p w14:paraId="45C37AD2" w14:textId="77777777" w:rsidR="00041A08" w:rsidRPr="00041A08" w:rsidRDefault="00A350DA" w:rsidP="00DE1596">
            <w:pPr>
              <w:tabs>
                <w:tab w:val="left" w:pos="-720"/>
                <w:tab w:val="left" w:pos="4536"/>
              </w:tabs>
              <w:suppressAutoHyphens/>
              <w:rPr>
                <w:szCs w:val="22"/>
                <w:lang w:val="sv-SE"/>
              </w:rPr>
            </w:pPr>
            <w:r w:rsidRPr="007E4DA1">
              <w:rPr>
                <w:b/>
                <w:szCs w:val="22"/>
                <w:lang w:val="sv-SE"/>
              </w:rPr>
              <w:t>Sverige</w:t>
            </w:r>
          </w:p>
          <w:p w14:paraId="5D40B69F" w14:textId="38FC6535" w:rsidR="00A350DA" w:rsidRPr="007E4DA1" w:rsidRDefault="00A350DA" w:rsidP="00DE1596">
            <w:pPr>
              <w:rPr>
                <w:szCs w:val="22"/>
                <w:lang w:val="sv-SE"/>
              </w:rPr>
            </w:pPr>
            <w:r w:rsidRPr="007E4DA1">
              <w:rPr>
                <w:szCs w:val="22"/>
                <w:lang w:val="sv-SE"/>
              </w:rPr>
              <w:t>Novartis Sverige AB</w:t>
            </w:r>
          </w:p>
          <w:p w14:paraId="16AAEB73" w14:textId="77777777" w:rsidR="00A350DA" w:rsidRPr="007E4DA1" w:rsidRDefault="00A350DA" w:rsidP="00DE1596">
            <w:pPr>
              <w:rPr>
                <w:szCs w:val="22"/>
                <w:lang w:val="sv-SE"/>
              </w:rPr>
            </w:pPr>
            <w:r w:rsidRPr="007E4DA1">
              <w:rPr>
                <w:szCs w:val="22"/>
                <w:lang w:val="sv-SE"/>
              </w:rPr>
              <w:t>Tel: +46 8 732 32 00</w:t>
            </w:r>
          </w:p>
          <w:p w14:paraId="36174DA8" w14:textId="77777777" w:rsidR="00A350DA" w:rsidRPr="007E4DA1" w:rsidRDefault="00A350DA" w:rsidP="00DE1596">
            <w:pPr>
              <w:tabs>
                <w:tab w:val="left" w:pos="-720"/>
                <w:tab w:val="left" w:pos="4536"/>
              </w:tabs>
              <w:suppressAutoHyphens/>
              <w:rPr>
                <w:szCs w:val="22"/>
                <w:lang w:val="fi-FI"/>
              </w:rPr>
            </w:pPr>
          </w:p>
        </w:tc>
      </w:tr>
      <w:tr w:rsidR="00A350DA" w:rsidRPr="00545251" w14:paraId="5E4BB747" w14:textId="77777777" w:rsidTr="00291DF6">
        <w:trPr>
          <w:cantSplit/>
        </w:trPr>
        <w:tc>
          <w:tcPr>
            <w:tcW w:w="4678" w:type="dxa"/>
          </w:tcPr>
          <w:p w14:paraId="2A29AB94" w14:textId="77777777" w:rsidR="00041A08" w:rsidRPr="00041A08" w:rsidRDefault="00A350DA" w:rsidP="00DE1596">
            <w:pPr>
              <w:rPr>
                <w:szCs w:val="22"/>
                <w:lang w:val="lv-LV"/>
              </w:rPr>
            </w:pPr>
            <w:r w:rsidRPr="007E4DA1">
              <w:rPr>
                <w:b/>
                <w:szCs w:val="22"/>
                <w:lang w:val="lv-LV"/>
              </w:rPr>
              <w:t>Latvija</w:t>
            </w:r>
          </w:p>
          <w:p w14:paraId="0AF50940" w14:textId="774B9896" w:rsidR="008D051F" w:rsidRPr="007E4DA1" w:rsidRDefault="008D051F" w:rsidP="00DE1596">
            <w:pPr>
              <w:tabs>
                <w:tab w:val="left" w:pos="-720"/>
              </w:tabs>
              <w:suppressAutoHyphens/>
              <w:rPr>
                <w:szCs w:val="22"/>
                <w:lang w:val="lv-LV"/>
              </w:rPr>
            </w:pPr>
            <w:r w:rsidRPr="007E4DA1">
              <w:rPr>
                <w:szCs w:val="22"/>
                <w:lang w:val="lv-LV"/>
              </w:rPr>
              <w:t>SIA Novartis Baltics</w:t>
            </w:r>
          </w:p>
          <w:p w14:paraId="75709DCF" w14:textId="77777777" w:rsidR="00A350DA" w:rsidRPr="007E4DA1" w:rsidRDefault="00A350DA" w:rsidP="00DE1596">
            <w:pPr>
              <w:tabs>
                <w:tab w:val="left" w:pos="-720"/>
              </w:tabs>
              <w:suppressAutoHyphens/>
              <w:rPr>
                <w:szCs w:val="22"/>
                <w:lang w:val="lv-LV"/>
              </w:rPr>
            </w:pPr>
            <w:r w:rsidRPr="007E4DA1">
              <w:rPr>
                <w:szCs w:val="22"/>
                <w:lang w:val="lv-LV"/>
              </w:rPr>
              <w:t>Tel: +371 67 887 070</w:t>
            </w:r>
          </w:p>
          <w:p w14:paraId="7C630BED" w14:textId="77777777" w:rsidR="00A350DA" w:rsidRPr="007E4DA1" w:rsidRDefault="00A350DA" w:rsidP="00DE1596">
            <w:pPr>
              <w:tabs>
                <w:tab w:val="left" w:pos="-720"/>
              </w:tabs>
              <w:suppressAutoHyphens/>
              <w:rPr>
                <w:szCs w:val="22"/>
                <w:lang w:val="fi-FI"/>
              </w:rPr>
            </w:pPr>
          </w:p>
        </w:tc>
        <w:tc>
          <w:tcPr>
            <w:tcW w:w="4678" w:type="dxa"/>
          </w:tcPr>
          <w:p w14:paraId="4A84A8C7" w14:textId="77777777" w:rsidR="00A350DA" w:rsidRPr="007E4DA1" w:rsidRDefault="00A350DA" w:rsidP="00207756">
            <w:pPr>
              <w:tabs>
                <w:tab w:val="left" w:pos="-720"/>
              </w:tabs>
              <w:suppressAutoHyphens/>
              <w:rPr>
                <w:szCs w:val="22"/>
                <w:lang w:val="en-US"/>
              </w:rPr>
            </w:pPr>
          </w:p>
        </w:tc>
      </w:tr>
    </w:tbl>
    <w:p w14:paraId="19C30898" w14:textId="77777777" w:rsidR="00A350DA" w:rsidRPr="00416C42" w:rsidRDefault="00A350DA" w:rsidP="00DE1596">
      <w:pPr>
        <w:numPr>
          <w:ilvl w:val="12"/>
          <w:numId w:val="0"/>
        </w:numPr>
        <w:ind w:right="-2"/>
        <w:rPr>
          <w:noProof/>
          <w:szCs w:val="22"/>
        </w:rPr>
      </w:pPr>
    </w:p>
    <w:p w14:paraId="6A2D74FA" w14:textId="77777777" w:rsidR="00A350DA" w:rsidRPr="007E4DA1" w:rsidRDefault="00A350DA" w:rsidP="00DE1596">
      <w:pPr>
        <w:ind w:left="0" w:firstLine="0"/>
      </w:pPr>
      <w:r w:rsidRPr="007E4DA1">
        <w:rPr>
          <w:b/>
        </w:rPr>
        <w:t>Data ostatniej aktualizacji ulotki:</w:t>
      </w:r>
    </w:p>
    <w:p w14:paraId="6CED78C7" w14:textId="77777777" w:rsidR="00A350DA" w:rsidRPr="007E4DA1" w:rsidRDefault="00A350DA" w:rsidP="00DE1596">
      <w:pPr>
        <w:ind w:left="0" w:firstLine="0"/>
      </w:pPr>
    </w:p>
    <w:p w14:paraId="6D3F61F3" w14:textId="25110ED9" w:rsidR="00A350DA" w:rsidRPr="007E4DA1" w:rsidRDefault="00A350DA" w:rsidP="00DE1596">
      <w:pPr>
        <w:ind w:left="0" w:firstLine="0"/>
        <w:rPr>
          <w:color w:val="000000"/>
        </w:rPr>
      </w:pPr>
      <w:r w:rsidRPr="007E4DA1">
        <w:t>Szczegółow</w:t>
      </w:r>
      <w:r w:rsidR="003472B9" w:rsidRPr="007E4DA1">
        <w:t>e</w:t>
      </w:r>
      <w:r w:rsidRPr="007E4DA1">
        <w:t xml:space="preserve"> informacj</w:t>
      </w:r>
      <w:r w:rsidR="003472B9" w:rsidRPr="007E4DA1">
        <w:t>e</w:t>
      </w:r>
      <w:r w:rsidRPr="007E4DA1">
        <w:t xml:space="preserve"> o tym leku </w:t>
      </w:r>
      <w:r w:rsidR="003472B9" w:rsidRPr="007E4DA1">
        <w:t>znajdują się</w:t>
      </w:r>
      <w:r w:rsidRPr="007E4DA1">
        <w:t xml:space="preserve"> na stronie internetowej Europejskiej Agencji </w:t>
      </w:r>
      <w:r w:rsidR="003472B9" w:rsidRPr="007E4DA1">
        <w:t>Leków</w:t>
      </w:r>
      <w:r w:rsidRPr="007E4DA1">
        <w:rPr>
          <w:color w:val="000000"/>
        </w:rPr>
        <w:t xml:space="preserve"> </w:t>
      </w:r>
      <w:r w:rsidR="004D3758" w:rsidRPr="004D3758">
        <w:rPr>
          <w:color w:val="000000"/>
        </w:rPr>
        <w:t>https://www.ema.europa</w:t>
      </w:r>
      <w:r w:rsidRPr="007E4DA1">
        <w:rPr>
          <w:color w:val="000000"/>
        </w:rPr>
        <w:t>.</w:t>
      </w:r>
    </w:p>
    <w:p w14:paraId="339DAAA1" w14:textId="77777777" w:rsidR="005B4BC8" w:rsidRPr="007E4DA1" w:rsidRDefault="005B4BC8" w:rsidP="00DE1596">
      <w:pPr>
        <w:ind w:left="0" w:firstLine="0"/>
        <w:rPr>
          <w:color w:val="000000"/>
        </w:rPr>
      </w:pPr>
    </w:p>
    <w:p w14:paraId="1A2BF905" w14:textId="77777777" w:rsidR="00041A08" w:rsidRPr="00041A08" w:rsidRDefault="002F6B62" w:rsidP="00DE1596">
      <w:pPr>
        <w:ind w:left="0" w:firstLine="0"/>
        <w:jc w:val="center"/>
        <w:rPr>
          <w:caps/>
          <w:szCs w:val="22"/>
          <w:lang w:eastAsia="en-US"/>
        </w:rPr>
      </w:pPr>
      <w:r w:rsidRPr="007E4DA1">
        <w:rPr>
          <w:color w:val="000000"/>
        </w:rPr>
        <w:br w:type="page"/>
      </w:r>
      <w:r w:rsidRPr="007E4DA1">
        <w:rPr>
          <w:b/>
          <w:caps/>
          <w:snapToGrid w:val="0"/>
          <w:szCs w:val="22"/>
          <w:lang w:eastAsia="en-US"/>
        </w:rPr>
        <w:t>INSTRUKCJA STOSOWANIA</w:t>
      </w:r>
    </w:p>
    <w:p w14:paraId="34981ABA" w14:textId="1BA814A0" w:rsidR="002F6B62" w:rsidRPr="007E4DA1" w:rsidRDefault="002F6B62" w:rsidP="00DE1596">
      <w:pPr>
        <w:keepNext/>
        <w:tabs>
          <w:tab w:val="left" w:pos="720"/>
          <w:tab w:val="left" w:pos="994"/>
        </w:tabs>
        <w:ind w:left="0" w:firstLine="0"/>
        <w:jc w:val="center"/>
        <w:rPr>
          <w:szCs w:val="22"/>
          <w:lang w:eastAsia="en-US"/>
        </w:rPr>
      </w:pPr>
    </w:p>
    <w:p w14:paraId="3CD4E3F7" w14:textId="77777777" w:rsidR="00041A08" w:rsidRPr="00041A08" w:rsidRDefault="002F6B62" w:rsidP="00DE1596">
      <w:pPr>
        <w:keepNext/>
        <w:tabs>
          <w:tab w:val="left" w:pos="720"/>
          <w:tab w:val="left" w:pos="994"/>
        </w:tabs>
        <w:ind w:left="0" w:firstLine="0"/>
        <w:jc w:val="center"/>
        <w:rPr>
          <w:szCs w:val="22"/>
          <w:lang w:eastAsia="en-US"/>
        </w:rPr>
      </w:pPr>
      <w:r w:rsidRPr="007E4DA1">
        <w:rPr>
          <w:b/>
          <w:szCs w:val="22"/>
          <w:lang w:eastAsia="en-US"/>
        </w:rPr>
        <w:t>Revolade</w:t>
      </w:r>
      <w:r w:rsidR="00362021" w:rsidRPr="007E4DA1">
        <w:rPr>
          <w:b/>
          <w:szCs w:val="22"/>
          <w:lang w:eastAsia="en-US"/>
        </w:rPr>
        <w:t xml:space="preserve"> 25 mg proszek do sporządzania zawiesiny doustnej</w:t>
      </w:r>
    </w:p>
    <w:p w14:paraId="00FC2CD2" w14:textId="23FD05D1" w:rsidR="002F6B62" w:rsidRPr="007E4DA1" w:rsidRDefault="002F6B62" w:rsidP="00DE1596">
      <w:pPr>
        <w:tabs>
          <w:tab w:val="left" w:pos="720"/>
          <w:tab w:val="left" w:pos="994"/>
        </w:tabs>
        <w:ind w:left="0" w:firstLine="0"/>
        <w:jc w:val="center"/>
        <w:rPr>
          <w:szCs w:val="22"/>
          <w:lang w:eastAsia="en-US"/>
        </w:rPr>
      </w:pPr>
    </w:p>
    <w:p w14:paraId="2CDCCCF5" w14:textId="77777777" w:rsidR="00041A08" w:rsidRPr="00041A08" w:rsidRDefault="002F6B62" w:rsidP="00DE1596">
      <w:pPr>
        <w:tabs>
          <w:tab w:val="left" w:pos="720"/>
          <w:tab w:val="left" w:pos="994"/>
        </w:tabs>
        <w:ind w:left="0" w:firstLine="0"/>
        <w:jc w:val="center"/>
        <w:rPr>
          <w:szCs w:val="22"/>
          <w:lang w:eastAsia="en-US"/>
        </w:rPr>
      </w:pPr>
      <w:r w:rsidRPr="007E4DA1">
        <w:rPr>
          <w:b/>
          <w:szCs w:val="22"/>
          <w:lang w:eastAsia="en-US"/>
        </w:rPr>
        <w:t>(</w:t>
      </w:r>
      <w:r w:rsidR="00362021" w:rsidRPr="007E4DA1">
        <w:rPr>
          <w:b/>
          <w:szCs w:val="22"/>
          <w:lang w:eastAsia="en-US"/>
        </w:rPr>
        <w:t>e</w:t>
      </w:r>
      <w:r w:rsidRPr="007E4DA1">
        <w:rPr>
          <w:b/>
          <w:szCs w:val="22"/>
          <w:lang w:eastAsia="en-US"/>
        </w:rPr>
        <w:t>ltrombopag)</w:t>
      </w:r>
    </w:p>
    <w:p w14:paraId="4F011CA7" w14:textId="4E3A47AE" w:rsidR="002F6B62" w:rsidRPr="007E4DA1" w:rsidRDefault="002F6B62" w:rsidP="00DE1596">
      <w:pPr>
        <w:tabs>
          <w:tab w:val="left" w:pos="720"/>
          <w:tab w:val="left" w:pos="994"/>
        </w:tabs>
        <w:ind w:left="0" w:firstLine="0"/>
        <w:jc w:val="center"/>
        <w:rPr>
          <w:szCs w:val="22"/>
          <w:lang w:eastAsia="en-US"/>
        </w:rPr>
      </w:pPr>
    </w:p>
    <w:p w14:paraId="78B509E2" w14:textId="27BE7ED3" w:rsidR="002F6B62" w:rsidRPr="007E4DA1" w:rsidRDefault="002F6B62" w:rsidP="00DE1596">
      <w:pPr>
        <w:tabs>
          <w:tab w:val="left" w:pos="720"/>
          <w:tab w:val="left" w:pos="994"/>
        </w:tabs>
        <w:ind w:left="0" w:firstLine="0"/>
        <w:rPr>
          <w:szCs w:val="22"/>
          <w:lang w:eastAsia="en-US"/>
        </w:rPr>
      </w:pPr>
      <w:r w:rsidRPr="007E4DA1">
        <w:rPr>
          <w:szCs w:val="22"/>
          <w:lang w:eastAsia="en-US"/>
        </w:rPr>
        <w:t xml:space="preserve">Należy przeczytać te wskazówki i postępować zgodnie z nimi podczas przygotowywania dawki </w:t>
      </w:r>
      <w:r w:rsidR="009A5B3C" w:rsidRPr="007E4DA1">
        <w:rPr>
          <w:szCs w:val="22"/>
          <w:lang w:eastAsia="en-US"/>
        </w:rPr>
        <w:t>leku</w:t>
      </w:r>
      <w:r w:rsidRPr="007E4DA1">
        <w:rPr>
          <w:szCs w:val="22"/>
          <w:lang w:eastAsia="en-US"/>
        </w:rPr>
        <w:t xml:space="preserve"> Revolade i podawania jej </w:t>
      </w:r>
      <w:r w:rsidR="000542C8" w:rsidRPr="007E4DA1">
        <w:rPr>
          <w:szCs w:val="22"/>
          <w:lang w:eastAsia="en-US"/>
        </w:rPr>
        <w:t>pacjentowi</w:t>
      </w:r>
      <w:r w:rsidRPr="007E4DA1">
        <w:rPr>
          <w:szCs w:val="22"/>
          <w:lang w:eastAsia="en-US"/>
        </w:rPr>
        <w:t>. W przypadku jakichkolwiek pytań bądź uszkodzenia lub zgubienia którejkolwiek części dostarczonego zestawu, należy zwrócić się po poradę do lekarza, pielęgniarki lub farmaceuty</w:t>
      </w:r>
      <w:r w:rsidR="004D3758">
        <w:rPr>
          <w:szCs w:val="22"/>
          <w:lang w:eastAsia="en-US"/>
        </w:rPr>
        <w:t>.</w:t>
      </w:r>
    </w:p>
    <w:p w14:paraId="54490D6D" w14:textId="77777777" w:rsidR="002F6B62" w:rsidRPr="007E4DA1" w:rsidRDefault="002F6B62" w:rsidP="00DE1596">
      <w:pPr>
        <w:tabs>
          <w:tab w:val="left" w:pos="720"/>
          <w:tab w:val="left" w:pos="994"/>
        </w:tabs>
        <w:ind w:left="0" w:firstLine="0"/>
        <w:rPr>
          <w:szCs w:val="22"/>
          <w:lang w:eastAsia="en-US"/>
        </w:rPr>
      </w:pPr>
    </w:p>
    <w:p w14:paraId="44730F93" w14:textId="77777777" w:rsidR="00041A08" w:rsidRPr="00041A08" w:rsidRDefault="009A5B3C" w:rsidP="00DE1596">
      <w:pPr>
        <w:tabs>
          <w:tab w:val="left" w:pos="720"/>
          <w:tab w:val="left" w:pos="994"/>
        </w:tabs>
        <w:ind w:left="0" w:firstLine="0"/>
        <w:rPr>
          <w:szCs w:val="22"/>
          <w:lang w:eastAsia="en-US"/>
        </w:rPr>
      </w:pPr>
      <w:r w:rsidRPr="007E4DA1">
        <w:rPr>
          <w:b/>
          <w:szCs w:val="22"/>
          <w:lang w:eastAsia="en-US"/>
        </w:rPr>
        <w:t>Przed rozpoczęciem</w:t>
      </w:r>
    </w:p>
    <w:p w14:paraId="1735F2EA" w14:textId="2DAF9850" w:rsidR="002F6B62" w:rsidRPr="007E4DA1" w:rsidRDefault="002F6B62" w:rsidP="00DE1596">
      <w:pPr>
        <w:tabs>
          <w:tab w:val="left" w:pos="720"/>
          <w:tab w:val="left" w:pos="994"/>
        </w:tabs>
        <w:ind w:left="0" w:firstLine="0"/>
        <w:rPr>
          <w:szCs w:val="22"/>
          <w:lang w:eastAsia="en-US"/>
        </w:rPr>
      </w:pPr>
      <w:r w:rsidRPr="007E4DA1">
        <w:rPr>
          <w:b/>
          <w:szCs w:val="22"/>
          <w:lang w:eastAsia="en-US"/>
        </w:rPr>
        <w:t>Na</w:t>
      </w:r>
      <w:r w:rsidR="009A5B3C" w:rsidRPr="007E4DA1">
        <w:rPr>
          <w:b/>
          <w:szCs w:val="22"/>
          <w:lang w:eastAsia="en-US"/>
        </w:rPr>
        <w:t>leży przeczytać najpi</w:t>
      </w:r>
      <w:r w:rsidRPr="007E4DA1">
        <w:rPr>
          <w:b/>
          <w:szCs w:val="22"/>
          <w:lang w:eastAsia="en-US"/>
        </w:rPr>
        <w:t>erw te informacje</w:t>
      </w:r>
    </w:p>
    <w:p w14:paraId="0BB4CACF" w14:textId="77777777" w:rsidR="002F6B62" w:rsidRPr="007E4DA1" w:rsidRDefault="002F6B62" w:rsidP="00DE1596">
      <w:pPr>
        <w:tabs>
          <w:tab w:val="left" w:pos="720"/>
          <w:tab w:val="left" w:pos="994"/>
        </w:tabs>
        <w:ind w:left="0" w:firstLine="0"/>
        <w:rPr>
          <w:szCs w:val="22"/>
          <w:lang w:eastAsia="en-US"/>
        </w:rPr>
      </w:pPr>
    </w:p>
    <w:p w14:paraId="31D52BD6" w14:textId="77777777" w:rsidR="002F6B62" w:rsidRPr="007E4DA1" w:rsidRDefault="002F6B62" w:rsidP="00DE1596">
      <w:pPr>
        <w:numPr>
          <w:ilvl w:val="0"/>
          <w:numId w:val="54"/>
        </w:numPr>
        <w:tabs>
          <w:tab w:val="left" w:pos="567"/>
        </w:tabs>
        <w:ind w:left="567" w:hanging="567"/>
        <w:rPr>
          <w:szCs w:val="22"/>
          <w:lang w:eastAsia="en-US"/>
        </w:rPr>
      </w:pPr>
      <w:r w:rsidRPr="007E4DA1">
        <w:rPr>
          <w:szCs w:val="22"/>
          <w:lang w:eastAsia="en-US"/>
        </w:rPr>
        <w:t xml:space="preserve">Proszek Revolade może być mieszany wyłącznie z </w:t>
      </w:r>
      <w:r w:rsidRPr="007E4DA1">
        <w:rPr>
          <w:b/>
          <w:szCs w:val="22"/>
          <w:lang w:eastAsia="en-US"/>
        </w:rPr>
        <w:t xml:space="preserve">wodą </w:t>
      </w:r>
      <w:r w:rsidRPr="007E4DA1">
        <w:rPr>
          <w:szCs w:val="22"/>
          <w:lang w:eastAsia="en-US"/>
        </w:rPr>
        <w:t>w temperaturze pokojowej.</w:t>
      </w:r>
    </w:p>
    <w:p w14:paraId="59FF72E7" w14:textId="71BFCEF4" w:rsidR="002F6B62" w:rsidRPr="007E4DA1" w:rsidRDefault="00665357" w:rsidP="00DE1596">
      <w:pPr>
        <w:tabs>
          <w:tab w:val="left" w:pos="567"/>
        </w:tabs>
        <w:ind w:left="0" w:firstLine="0"/>
        <w:rPr>
          <w:szCs w:val="20"/>
          <w:lang w:eastAsia="en-US"/>
        </w:rPr>
      </w:pPr>
      <w:r w:rsidRPr="007E4DA1">
        <w:rPr>
          <w:noProof/>
          <w:szCs w:val="20"/>
          <w:lang w:val="en-US" w:eastAsia="en-US"/>
        </w:rPr>
        <w:drawing>
          <wp:inline distT="0" distB="0" distL="0" distR="0" wp14:anchorId="12790CA7" wp14:editId="48E7262E">
            <wp:extent cx="238760" cy="246380"/>
            <wp:effectExtent l="0" t="0" r="0" b="0"/>
            <wp:docPr id="7" name="Picture 0"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arning-triangl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2F6B62" w:rsidRPr="007E4DA1">
        <w:rPr>
          <w:szCs w:val="20"/>
          <w:lang w:eastAsia="en-US"/>
        </w:rPr>
        <w:t xml:space="preserve"> </w:t>
      </w:r>
      <w:r w:rsidR="002F6B62" w:rsidRPr="007E4DA1">
        <w:rPr>
          <w:b/>
          <w:szCs w:val="20"/>
          <w:lang w:eastAsia="en-US"/>
        </w:rPr>
        <w:t xml:space="preserve">Lek należy podać </w:t>
      </w:r>
      <w:r w:rsidR="000542C8" w:rsidRPr="007E4DA1">
        <w:rPr>
          <w:b/>
          <w:szCs w:val="20"/>
          <w:lang w:eastAsia="en-US"/>
        </w:rPr>
        <w:t>pacjentowi</w:t>
      </w:r>
      <w:r w:rsidR="002F6B62" w:rsidRPr="007E4DA1">
        <w:rPr>
          <w:b/>
          <w:szCs w:val="20"/>
          <w:lang w:eastAsia="en-US"/>
        </w:rPr>
        <w:t xml:space="preserve"> natychmiast</w:t>
      </w:r>
      <w:r w:rsidR="002F6B62" w:rsidRPr="007E4DA1">
        <w:rPr>
          <w:szCs w:val="20"/>
          <w:lang w:eastAsia="en-US"/>
        </w:rPr>
        <w:t xml:space="preserve"> po zmieszaniu proszku z wodą. Jeśli lek nie zostanie zużyty </w:t>
      </w:r>
      <w:r w:rsidR="002F6B62" w:rsidRPr="007E4DA1">
        <w:rPr>
          <w:b/>
          <w:szCs w:val="20"/>
          <w:lang w:eastAsia="en-US"/>
        </w:rPr>
        <w:t>w ciągu 30</w:t>
      </w:r>
      <w:r w:rsidR="000D2D76" w:rsidRPr="007E4DA1">
        <w:rPr>
          <w:b/>
          <w:szCs w:val="20"/>
          <w:lang w:eastAsia="en-US"/>
        </w:rPr>
        <w:t> </w:t>
      </w:r>
      <w:r w:rsidR="002F6B62" w:rsidRPr="007E4DA1">
        <w:rPr>
          <w:b/>
          <w:szCs w:val="20"/>
          <w:lang w:eastAsia="en-US"/>
        </w:rPr>
        <w:t>minut</w:t>
      </w:r>
      <w:r w:rsidR="002F6B62" w:rsidRPr="007E4DA1">
        <w:rPr>
          <w:szCs w:val="20"/>
          <w:lang w:eastAsia="en-US"/>
        </w:rPr>
        <w:t xml:space="preserve"> od zmieszania, konieczne będzie przygotowanie nowej dawki leku.</w:t>
      </w:r>
    </w:p>
    <w:p w14:paraId="37E7F0AB" w14:textId="77777777" w:rsidR="002F6B62" w:rsidRPr="007E4DA1" w:rsidRDefault="002F6B62" w:rsidP="00DE1596">
      <w:pPr>
        <w:tabs>
          <w:tab w:val="left" w:pos="567"/>
        </w:tabs>
        <w:ind w:left="0" w:firstLine="0"/>
        <w:rPr>
          <w:szCs w:val="20"/>
          <w:lang w:eastAsia="en-US"/>
        </w:rPr>
      </w:pPr>
      <w:r w:rsidRPr="007E4DA1">
        <w:rPr>
          <w:szCs w:val="20"/>
          <w:lang w:eastAsia="en-US"/>
        </w:rPr>
        <w:t xml:space="preserve">Niezużytą mieszaninę należy wyrzucić do domowego pojemnika na odpadki; </w:t>
      </w:r>
      <w:r w:rsidRPr="007E4DA1">
        <w:rPr>
          <w:b/>
          <w:szCs w:val="20"/>
          <w:lang w:eastAsia="en-US"/>
        </w:rPr>
        <w:t>nie należy w</w:t>
      </w:r>
      <w:r w:rsidR="00AF6956" w:rsidRPr="007E4DA1">
        <w:rPr>
          <w:b/>
          <w:szCs w:val="20"/>
          <w:lang w:eastAsia="en-US"/>
        </w:rPr>
        <w:t>y</w:t>
      </w:r>
      <w:r w:rsidRPr="007E4DA1">
        <w:rPr>
          <w:b/>
          <w:szCs w:val="20"/>
          <w:lang w:eastAsia="en-US"/>
        </w:rPr>
        <w:t>lewać jej do kanalizacji</w:t>
      </w:r>
      <w:r w:rsidRPr="007E4DA1">
        <w:rPr>
          <w:szCs w:val="20"/>
          <w:lang w:eastAsia="en-US"/>
        </w:rPr>
        <w:t>.</w:t>
      </w:r>
    </w:p>
    <w:p w14:paraId="5808A769" w14:textId="77777777" w:rsidR="002F6B62" w:rsidRPr="007E4DA1" w:rsidRDefault="002F6B62" w:rsidP="00DE1596">
      <w:pPr>
        <w:tabs>
          <w:tab w:val="left" w:pos="720"/>
          <w:tab w:val="left" w:pos="994"/>
        </w:tabs>
        <w:ind w:left="0" w:firstLine="0"/>
        <w:rPr>
          <w:szCs w:val="22"/>
          <w:lang w:eastAsia="en-US"/>
        </w:rPr>
      </w:pPr>
    </w:p>
    <w:p w14:paraId="5F0B586F" w14:textId="77777777" w:rsidR="002F6B62" w:rsidRPr="007E4DA1" w:rsidRDefault="002F6B62" w:rsidP="00DE1596">
      <w:pPr>
        <w:numPr>
          <w:ilvl w:val="0"/>
          <w:numId w:val="54"/>
        </w:numPr>
        <w:tabs>
          <w:tab w:val="left" w:pos="567"/>
        </w:tabs>
        <w:ind w:left="567" w:hanging="567"/>
        <w:rPr>
          <w:szCs w:val="22"/>
          <w:lang w:eastAsia="en-US"/>
        </w:rPr>
      </w:pPr>
      <w:r w:rsidRPr="007E4DA1">
        <w:rPr>
          <w:szCs w:val="22"/>
          <w:lang w:eastAsia="en-US"/>
        </w:rPr>
        <w:t>Należy uważać, by lek nie miał kontaktu ze skórą. Jeśli dojdzie do kontaktu leku ze skórą, należy natychmiast przemyć to miejsce wodą z mydłem. W przypadku wystąpienia reakcji skórnej lub w razie jakichkolwiek pytań, należy skontaktować się z lekarzem.</w:t>
      </w:r>
    </w:p>
    <w:p w14:paraId="514C8CBD" w14:textId="77777777" w:rsidR="002F6B62" w:rsidRPr="007E4DA1" w:rsidRDefault="002F6B62" w:rsidP="00DE1596">
      <w:pPr>
        <w:numPr>
          <w:ilvl w:val="0"/>
          <w:numId w:val="54"/>
        </w:numPr>
        <w:tabs>
          <w:tab w:val="left" w:pos="567"/>
        </w:tabs>
        <w:ind w:left="567" w:hanging="567"/>
        <w:rPr>
          <w:szCs w:val="22"/>
          <w:lang w:eastAsia="en-US"/>
        </w:rPr>
      </w:pPr>
      <w:r w:rsidRPr="007E4DA1">
        <w:rPr>
          <w:szCs w:val="22"/>
          <w:lang w:eastAsia="en-US"/>
        </w:rPr>
        <w:t>W przypadku wysypania proszku lub wylania płynu, należy oczyścić zabrudzoną powierzchnię wilgotną ściereczką (patrz punkt 14 instrukcji).</w:t>
      </w:r>
    </w:p>
    <w:p w14:paraId="00C01684" w14:textId="70E784B3" w:rsidR="002F6B62" w:rsidRPr="007E4DA1" w:rsidRDefault="002F6B62" w:rsidP="00DE1596">
      <w:pPr>
        <w:numPr>
          <w:ilvl w:val="0"/>
          <w:numId w:val="54"/>
        </w:numPr>
        <w:tabs>
          <w:tab w:val="left" w:pos="567"/>
        </w:tabs>
        <w:ind w:left="567" w:hanging="567"/>
        <w:rPr>
          <w:szCs w:val="24"/>
          <w:lang w:eastAsia="en-GB"/>
        </w:rPr>
      </w:pPr>
      <w:r w:rsidRPr="007E4DA1">
        <w:rPr>
          <w:b/>
          <w:szCs w:val="24"/>
          <w:lang w:eastAsia="en-GB"/>
        </w:rPr>
        <w:t>Należy uważać, by</w:t>
      </w:r>
      <w:r w:rsidRPr="007E4DA1">
        <w:rPr>
          <w:szCs w:val="24"/>
          <w:lang w:eastAsia="en-GB"/>
        </w:rPr>
        <w:t xml:space="preserve"> dziec</w:t>
      </w:r>
      <w:r w:rsidR="00E16DA1" w:rsidRPr="007E4DA1">
        <w:rPr>
          <w:szCs w:val="24"/>
          <w:lang w:eastAsia="en-GB"/>
        </w:rPr>
        <w:t>i</w:t>
      </w:r>
      <w:r w:rsidRPr="007E4DA1">
        <w:rPr>
          <w:szCs w:val="24"/>
          <w:lang w:eastAsia="en-GB"/>
        </w:rPr>
        <w:t xml:space="preserve"> nie bawił</w:t>
      </w:r>
      <w:r w:rsidR="00E16DA1" w:rsidRPr="007E4DA1">
        <w:rPr>
          <w:szCs w:val="24"/>
          <w:lang w:eastAsia="en-GB"/>
        </w:rPr>
        <w:t>y</w:t>
      </w:r>
      <w:r w:rsidRPr="007E4DA1">
        <w:rPr>
          <w:szCs w:val="24"/>
          <w:lang w:eastAsia="en-GB"/>
        </w:rPr>
        <w:t xml:space="preserve"> się butelką, nakrętką, </w:t>
      </w:r>
      <w:r w:rsidR="0015491C" w:rsidRPr="007E4DA1">
        <w:rPr>
          <w:szCs w:val="24"/>
          <w:lang w:eastAsia="en-GB"/>
        </w:rPr>
        <w:t>wieczkiem</w:t>
      </w:r>
      <w:r w:rsidRPr="007E4DA1">
        <w:rPr>
          <w:szCs w:val="24"/>
          <w:lang w:eastAsia="en-GB"/>
        </w:rPr>
        <w:t xml:space="preserve"> lub </w:t>
      </w:r>
      <w:r w:rsidR="00493BCD" w:rsidRPr="007E4DA1">
        <w:rPr>
          <w:szCs w:val="24"/>
          <w:lang w:eastAsia="en-GB"/>
        </w:rPr>
        <w:t xml:space="preserve">strzykawkami </w:t>
      </w:r>
      <w:r w:rsidRPr="007E4DA1">
        <w:rPr>
          <w:szCs w:val="24"/>
          <w:lang w:eastAsia="en-GB"/>
        </w:rPr>
        <w:t>— istnieje ryzyko zadławienia się tymi elementami.</w:t>
      </w:r>
    </w:p>
    <w:p w14:paraId="642C6FFC" w14:textId="77777777" w:rsidR="002F6B62" w:rsidRPr="007E4DA1" w:rsidRDefault="002F6B62" w:rsidP="00DE1596">
      <w:pPr>
        <w:tabs>
          <w:tab w:val="left" w:pos="284"/>
          <w:tab w:val="left" w:pos="994"/>
        </w:tabs>
        <w:ind w:left="0" w:firstLine="0"/>
        <w:rPr>
          <w:szCs w:val="22"/>
          <w:lang w:eastAsia="en-US"/>
        </w:rPr>
      </w:pPr>
    </w:p>
    <w:p w14:paraId="07FE8444" w14:textId="77777777" w:rsidR="00041A08" w:rsidRPr="00041A08" w:rsidRDefault="002F6B62" w:rsidP="00DE1596">
      <w:pPr>
        <w:tabs>
          <w:tab w:val="left" w:pos="720"/>
          <w:tab w:val="left" w:pos="994"/>
          <w:tab w:val="right" w:pos="8643"/>
        </w:tabs>
        <w:ind w:left="0" w:firstLine="0"/>
        <w:rPr>
          <w:szCs w:val="22"/>
          <w:lang w:eastAsia="en-US"/>
        </w:rPr>
      </w:pPr>
      <w:r w:rsidRPr="007E4DA1">
        <w:rPr>
          <w:b/>
          <w:szCs w:val="22"/>
          <w:lang w:eastAsia="en-US"/>
        </w:rPr>
        <w:t>Potrzebne materiały</w:t>
      </w:r>
    </w:p>
    <w:p w14:paraId="4AD0077B" w14:textId="0D29646E" w:rsidR="002F6B62" w:rsidRPr="007E4DA1" w:rsidRDefault="002F6B62" w:rsidP="00DE1596">
      <w:pPr>
        <w:tabs>
          <w:tab w:val="left" w:pos="720"/>
          <w:tab w:val="left" w:pos="994"/>
          <w:tab w:val="right" w:pos="8643"/>
        </w:tabs>
        <w:ind w:left="0" w:firstLine="0"/>
        <w:rPr>
          <w:szCs w:val="22"/>
          <w:lang w:eastAsia="en-US"/>
        </w:rPr>
      </w:pPr>
      <w:r w:rsidRPr="007E4DA1">
        <w:rPr>
          <w:szCs w:val="22"/>
          <w:lang w:eastAsia="en-US"/>
        </w:rPr>
        <w:t xml:space="preserve">Każdy zestaw z </w:t>
      </w:r>
      <w:r w:rsidR="009A5B3C" w:rsidRPr="007E4DA1">
        <w:rPr>
          <w:szCs w:val="22"/>
          <w:lang w:eastAsia="en-US"/>
        </w:rPr>
        <w:t>lekiem</w:t>
      </w:r>
      <w:r w:rsidRPr="007E4DA1">
        <w:rPr>
          <w:szCs w:val="22"/>
          <w:lang w:eastAsia="en-US"/>
        </w:rPr>
        <w:t xml:space="preserve"> Revolade w postaci proszku do sporządzania zawiesiny doustnej zawiera:</w:t>
      </w:r>
    </w:p>
    <w:p w14:paraId="29BBDD6A" w14:textId="77777777" w:rsidR="002F6B62" w:rsidRPr="007E4DA1" w:rsidRDefault="002F6B62" w:rsidP="00DE1596">
      <w:pPr>
        <w:tabs>
          <w:tab w:val="left" w:pos="720"/>
          <w:tab w:val="left" w:pos="994"/>
          <w:tab w:val="right" w:pos="8643"/>
        </w:tabs>
        <w:ind w:left="0" w:firstLine="0"/>
        <w:rPr>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370"/>
      </w:tblGrid>
      <w:tr w:rsidR="002F6B62" w:rsidRPr="007E4DA1" w14:paraId="36E467FC" w14:textId="77777777" w:rsidTr="00553AB7">
        <w:trPr>
          <w:cantSplit/>
        </w:trPr>
        <w:tc>
          <w:tcPr>
            <w:tcW w:w="5028" w:type="dxa"/>
          </w:tcPr>
          <w:p w14:paraId="2729FC48" w14:textId="77777777" w:rsidR="002F6B62" w:rsidRPr="007E4DA1" w:rsidRDefault="00362021" w:rsidP="00DE1596">
            <w:pPr>
              <w:tabs>
                <w:tab w:val="left" w:pos="274"/>
                <w:tab w:val="left" w:pos="567"/>
                <w:tab w:val="left" w:pos="720"/>
                <w:tab w:val="left" w:pos="821"/>
                <w:tab w:val="left" w:pos="994"/>
                <w:tab w:val="left" w:pos="1094"/>
              </w:tabs>
              <w:ind w:left="0" w:firstLine="0"/>
              <w:rPr>
                <w:strike/>
                <w:szCs w:val="22"/>
                <w:lang w:eastAsia="en-US"/>
              </w:rPr>
            </w:pPr>
            <w:r w:rsidRPr="007E4DA1">
              <w:rPr>
                <w:szCs w:val="22"/>
                <w:lang w:eastAsia="en-US"/>
              </w:rPr>
              <w:t>30 s</w:t>
            </w:r>
            <w:r w:rsidR="002F6B62" w:rsidRPr="007E4DA1">
              <w:rPr>
                <w:szCs w:val="22"/>
                <w:lang w:eastAsia="en-US"/>
              </w:rPr>
              <w:t>aszet</w:t>
            </w:r>
            <w:r w:rsidRPr="007E4DA1">
              <w:rPr>
                <w:szCs w:val="22"/>
                <w:lang w:eastAsia="en-US"/>
              </w:rPr>
              <w:t>e</w:t>
            </w:r>
            <w:r w:rsidR="002F6B62" w:rsidRPr="007E4DA1">
              <w:rPr>
                <w:szCs w:val="22"/>
                <w:lang w:eastAsia="en-US"/>
              </w:rPr>
              <w:t>k z proszkiem</w:t>
            </w:r>
          </w:p>
        </w:tc>
        <w:tc>
          <w:tcPr>
            <w:tcW w:w="4548" w:type="dxa"/>
            <w:vAlign w:val="center"/>
          </w:tcPr>
          <w:p w14:paraId="10C028A8" w14:textId="77777777" w:rsidR="002F6B62" w:rsidRPr="007E4DA1" w:rsidRDefault="00665357" w:rsidP="00DE1596">
            <w:pPr>
              <w:tabs>
                <w:tab w:val="left" w:pos="274"/>
                <w:tab w:val="left" w:pos="567"/>
                <w:tab w:val="left" w:pos="720"/>
                <w:tab w:val="left" w:pos="821"/>
                <w:tab w:val="left" w:pos="994"/>
                <w:tab w:val="left" w:pos="1094"/>
              </w:tabs>
              <w:ind w:left="0" w:firstLine="0"/>
              <w:jc w:val="center"/>
              <w:rPr>
                <w:rFonts w:ascii="Verdana" w:hAnsi="Verdana"/>
                <w:szCs w:val="22"/>
                <w:lang w:eastAsia="en-US"/>
              </w:rPr>
            </w:pPr>
            <w:r w:rsidRPr="007E4DA1">
              <w:rPr>
                <w:rFonts w:ascii="Verdana" w:hAnsi="Verdana"/>
                <w:noProof/>
                <w:szCs w:val="22"/>
                <w:lang w:val="en-US" w:eastAsia="en-US"/>
              </w:rPr>
              <w:drawing>
                <wp:inline distT="0" distB="0" distL="0" distR="0" wp14:anchorId="66B07F6F" wp14:editId="1C15C587">
                  <wp:extent cx="1025525" cy="230505"/>
                  <wp:effectExtent l="0" t="0" r="0" b="0"/>
                  <wp:docPr id="8" name="Picture 72" descr="Supply list 2-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upply list 2-01-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5525" cy="230505"/>
                          </a:xfrm>
                          <a:prstGeom prst="rect">
                            <a:avLst/>
                          </a:prstGeom>
                          <a:noFill/>
                          <a:ln>
                            <a:noFill/>
                          </a:ln>
                        </pic:spPr>
                      </pic:pic>
                    </a:graphicData>
                  </a:graphic>
                </wp:inline>
              </w:drawing>
            </w:r>
          </w:p>
        </w:tc>
      </w:tr>
      <w:tr w:rsidR="002F6B62" w:rsidRPr="007E4DA1" w14:paraId="7E58A4DE" w14:textId="77777777" w:rsidTr="00553AB7">
        <w:trPr>
          <w:cantSplit/>
        </w:trPr>
        <w:tc>
          <w:tcPr>
            <w:tcW w:w="5028" w:type="dxa"/>
          </w:tcPr>
          <w:p w14:paraId="7375F5CD" w14:textId="77777777" w:rsidR="002F6B62" w:rsidRPr="007E4DA1" w:rsidRDefault="002F6B62" w:rsidP="00DE1596">
            <w:pPr>
              <w:tabs>
                <w:tab w:val="left" w:pos="274"/>
                <w:tab w:val="left" w:pos="567"/>
                <w:tab w:val="left" w:pos="720"/>
                <w:tab w:val="left" w:pos="821"/>
                <w:tab w:val="left" w:pos="994"/>
                <w:tab w:val="left" w:pos="1094"/>
              </w:tabs>
              <w:ind w:left="0" w:firstLine="0"/>
              <w:rPr>
                <w:szCs w:val="22"/>
                <w:lang w:eastAsia="en-US"/>
              </w:rPr>
            </w:pPr>
            <w:r w:rsidRPr="007E4DA1">
              <w:rPr>
                <w:szCs w:val="22"/>
                <w:lang w:eastAsia="en-US"/>
              </w:rPr>
              <w:t xml:space="preserve">1 butelkę wielorazowego użytku, przeznaczoną do mieszania leku, wyposażoną w nakrętkę i </w:t>
            </w:r>
            <w:r w:rsidR="0015491C" w:rsidRPr="007E4DA1">
              <w:rPr>
                <w:szCs w:val="22"/>
                <w:lang w:eastAsia="en-US"/>
              </w:rPr>
              <w:t>wieczko</w:t>
            </w:r>
            <w:r w:rsidRPr="007E4DA1">
              <w:rPr>
                <w:szCs w:val="22"/>
                <w:lang w:eastAsia="en-US"/>
              </w:rPr>
              <w:t xml:space="preserve"> (</w:t>
            </w:r>
            <w:r w:rsidRPr="007E4DA1">
              <w:rPr>
                <w:i/>
                <w:szCs w:val="22"/>
                <w:lang w:eastAsia="en-US"/>
              </w:rPr>
              <w:t>uwaga — butelka może ulec przebarwieniu</w:t>
            </w:r>
            <w:r w:rsidRPr="007E4DA1">
              <w:rPr>
                <w:szCs w:val="22"/>
                <w:lang w:eastAsia="en-US"/>
              </w:rPr>
              <w:t>)</w:t>
            </w:r>
          </w:p>
        </w:tc>
        <w:tc>
          <w:tcPr>
            <w:tcW w:w="4548" w:type="dxa"/>
            <w:vAlign w:val="center"/>
          </w:tcPr>
          <w:p w14:paraId="0F63AFB6" w14:textId="77777777" w:rsidR="002F6B62" w:rsidRPr="007E4DA1" w:rsidRDefault="00665357" w:rsidP="00DE1596">
            <w:pPr>
              <w:tabs>
                <w:tab w:val="left" w:pos="274"/>
                <w:tab w:val="left" w:pos="567"/>
                <w:tab w:val="left" w:pos="720"/>
                <w:tab w:val="left" w:pos="821"/>
                <w:tab w:val="left" w:pos="994"/>
                <w:tab w:val="left" w:pos="1094"/>
              </w:tabs>
              <w:jc w:val="center"/>
              <w:rPr>
                <w:rFonts w:ascii="Verdana" w:hAnsi="Verdana"/>
                <w:szCs w:val="22"/>
                <w:lang w:val="en-US"/>
              </w:rPr>
            </w:pPr>
            <w:r w:rsidRPr="007E4DA1">
              <w:rPr>
                <w:noProof/>
                <w:lang w:val="en-US" w:eastAsia="en-US"/>
              </w:rPr>
              <mc:AlternateContent>
                <mc:Choice Requires="wps">
                  <w:drawing>
                    <wp:anchor distT="0" distB="0" distL="114300" distR="114300" simplePos="0" relativeHeight="251655168" behindDoc="0" locked="0" layoutInCell="1" allowOverlap="1" wp14:anchorId="0A479DB8" wp14:editId="787A4EDE">
                      <wp:simplePos x="0" y="0"/>
                      <wp:positionH relativeFrom="column">
                        <wp:posOffset>1758950</wp:posOffset>
                      </wp:positionH>
                      <wp:positionV relativeFrom="paragraph">
                        <wp:posOffset>345440</wp:posOffset>
                      </wp:positionV>
                      <wp:extent cx="691515" cy="225425"/>
                      <wp:effectExtent l="0" t="0" r="0" b="0"/>
                      <wp:wrapNone/>
                      <wp:docPr id="22"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956A7A" w14:textId="77777777" w:rsidR="00BF6901" w:rsidRDefault="00BF6901" w:rsidP="00773927">
                                  <w:pPr>
                                    <w:pStyle w:val="NormalWeb"/>
                                    <w:textAlignment w:val="baseline"/>
                                    <w:rPr>
                                      <w:sz w:val="16"/>
                                      <w:szCs w:val="16"/>
                                    </w:rPr>
                                  </w:pPr>
                                  <w:r w:rsidRPr="00D57E53">
                                    <w:rPr>
                                      <w:rFonts w:ascii="Arial" w:hAnsi="Arial"/>
                                      <w:color w:val="000000"/>
                                      <w:kern w:val="24"/>
                                      <w:sz w:val="16"/>
                                      <w:szCs w:val="16"/>
                                      <w:lang w:val="de-CH"/>
                                    </w:rPr>
                                    <w:t>Nakrętka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79DB8" id="_x0000_t202" coordsize="21600,21600" o:spt="202" path="m,l,21600r21600,l21600,xe">
                      <v:stroke joinstyle="miter"/>
                      <v:path gradientshapeok="t" o:connecttype="rect"/>
                    </v:shapetype>
                    <v:shape id="TextBox 8" o:spid="_x0000_s1034" type="#_x0000_t202" style="position:absolute;left:0;text-align:left;margin-left:138.5pt;margin-top:27.2pt;width:54.45pt;height:1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" stroked="f">
                      <v:textbox inset="0,0,0,0">
                        <w:txbxContent>
                          <w:p w14:paraId="74956A7A" w14:textId="77777777" w:rsidR="00BF6901" w:rsidRDefault="00BF6901" w:rsidP="00773927">
                            <w:pPr>
                              <w:pStyle w:val="NormalWeb"/>
                              <w:textAlignment w:val="baseline"/>
                              <w:rPr>
                                <w:sz w:val="16"/>
                                <w:szCs w:val="16"/>
                              </w:rPr>
                            </w:pPr>
                            <w:r w:rsidRPr="00D57E53">
                              <w:rPr>
                                <w:rFonts w:ascii="Arial" w:hAnsi="Arial"/>
                                <w:color w:val="000000"/>
                                <w:kern w:val="24"/>
                                <w:sz w:val="16"/>
                                <w:szCs w:val="16"/>
                                <w:lang w:val="de-CH"/>
                              </w:rPr>
                              <w:t>Nakrętka</w:t>
                            </w:r>
                          </w:p>
                        </w:txbxContent>
                      </v:textbox>
                    </v:shape>
                  </w:pict>
                </mc:Fallback>
              </mc:AlternateContent>
            </w:r>
            <w:r w:rsidRPr="007E4DA1">
              <w:rPr>
                <w:noProof/>
                <w:lang w:val="en-US" w:eastAsia="en-US"/>
              </w:rPr>
              <mc:AlternateContent>
                <mc:Choice Requires="wps">
                  <w:drawing>
                    <wp:anchor distT="0" distB="0" distL="114300" distR="114300" simplePos="0" relativeHeight="251654144" behindDoc="0" locked="0" layoutInCell="1" allowOverlap="1" wp14:anchorId="07308F3E" wp14:editId="6CF3E2E9">
                      <wp:simplePos x="0" y="0"/>
                      <wp:positionH relativeFrom="column">
                        <wp:posOffset>1753870</wp:posOffset>
                      </wp:positionH>
                      <wp:positionV relativeFrom="paragraph">
                        <wp:posOffset>25400</wp:posOffset>
                      </wp:positionV>
                      <wp:extent cx="506095" cy="259715"/>
                      <wp:effectExtent l="0" t="0" r="0" b="0"/>
                      <wp:wrapNone/>
                      <wp:docPr id="2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259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C6082C" w14:textId="77777777" w:rsidR="00BF6901" w:rsidRDefault="00BF6901" w:rsidP="00773927">
                                  <w:pPr>
                                    <w:pStyle w:val="NormalWeb"/>
                                    <w:textAlignment w:val="baseline"/>
                                    <w:rPr>
                                      <w:sz w:val="16"/>
                                      <w:szCs w:val="16"/>
                                    </w:rPr>
                                  </w:pPr>
                                  <w:r w:rsidRPr="00D57E53">
                                    <w:rPr>
                                      <w:rFonts w:ascii="Arial" w:hAnsi="Arial"/>
                                      <w:color w:val="000000"/>
                                      <w:kern w:val="24"/>
                                      <w:sz w:val="16"/>
                                      <w:szCs w:val="16"/>
                                      <w:lang w:val="de-CH"/>
                                    </w:rPr>
                                    <w:t>Wieczko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08F3E" id="TextBox 6" o:spid="_x0000_s1035" type="#_x0000_t202" style="position:absolute;left:0;text-align:left;margin-left:138.1pt;margin-top:2pt;width:39.85pt;height:20.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" stroked="f">
                      <v:textbox inset="0,0,0,0">
                        <w:txbxContent>
                          <w:p w14:paraId="08C6082C" w14:textId="77777777" w:rsidR="00BF6901" w:rsidRDefault="00BF6901" w:rsidP="00773927">
                            <w:pPr>
                              <w:pStyle w:val="NormalWeb"/>
                              <w:textAlignment w:val="baseline"/>
                              <w:rPr>
                                <w:sz w:val="16"/>
                                <w:szCs w:val="16"/>
                              </w:rPr>
                            </w:pPr>
                            <w:r w:rsidRPr="00D57E53">
                              <w:rPr>
                                <w:rFonts w:ascii="Arial" w:hAnsi="Arial"/>
                                <w:color w:val="000000"/>
                                <w:kern w:val="24"/>
                                <w:sz w:val="16"/>
                                <w:szCs w:val="16"/>
                                <w:lang w:val="de-CH"/>
                              </w:rPr>
                              <w:t>Wieczko</w:t>
                            </w:r>
                          </w:p>
                        </w:txbxContent>
                      </v:textbox>
                    </v:shape>
                  </w:pict>
                </mc:Fallback>
              </mc:AlternateContent>
            </w:r>
            <w:r w:rsidRPr="007E4DA1">
              <w:rPr>
                <w:rFonts w:ascii="Verdana" w:hAnsi="Verdana"/>
                <w:noProof/>
                <w:szCs w:val="22"/>
                <w:lang w:val="en-US" w:eastAsia="en-US"/>
              </w:rPr>
              <w:drawing>
                <wp:inline distT="0" distB="0" distL="0" distR="0" wp14:anchorId="6354F6FC" wp14:editId="4D940294">
                  <wp:extent cx="771525" cy="1065530"/>
                  <wp:effectExtent l="0" t="0" r="0" b="0"/>
                  <wp:docPr id="9" name="Picture 73" descr="Supply list 1-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upply list 1-01-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1525" cy="1065530"/>
                          </a:xfrm>
                          <a:prstGeom prst="rect">
                            <a:avLst/>
                          </a:prstGeom>
                          <a:noFill/>
                          <a:ln>
                            <a:noFill/>
                          </a:ln>
                        </pic:spPr>
                      </pic:pic>
                    </a:graphicData>
                  </a:graphic>
                </wp:inline>
              </w:drawing>
            </w:r>
          </w:p>
        </w:tc>
      </w:tr>
      <w:tr w:rsidR="002F6B62" w:rsidRPr="007E4DA1" w14:paraId="464DA621" w14:textId="77777777" w:rsidTr="00553AB7">
        <w:trPr>
          <w:cantSplit/>
          <w:trHeight w:val="1323"/>
        </w:trPr>
        <w:tc>
          <w:tcPr>
            <w:tcW w:w="5028" w:type="dxa"/>
          </w:tcPr>
          <w:p w14:paraId="29B9CAFE" w14:textId="77777777" w:rsidR="002F6B62" w:rsidRPr="007E4DA1" w:rsidRDefault="00493BCD" w:rsidP="00DE1596">
            <w:pPr>
              <w:tabs>
                <w:tab w:val="left" w:pos="274"/>
                <w:tab w:val="left" w:pos="567"/>
                <w:tab w:val="left" w:pos="720"/>
                <w:tab w:val="left" w:pos="821"/>
                <w:tab w:val="left" w:pos="994"/>
                <w:tab w:val="left" w:pos="1094"/>
              </w:tabs>
              <w:ind w:left="0" w:firstLine="0"/>
              <w:rPr>
                <w:strike/>
                <w:szCs w:val="22"/>
                <w:lang w:eastAsia="en-US"/>
              </w:rPr>
            </w:pPr>
            <w:r w:rsidRPr="007E4DA1">
              <w:rPr>
                <w:szCs w:val="22"/>
                <w:lang w:eastAsia="en-US"/>
              </w:rPr>
              <w:t>30</w:t>
            </w:r>
            <w:r w:rsidR="00FB2E78" w:rsidRPr="007E4DA1">
              <w:rPr>
                <w:szCs w:val="22"/>
                <w:lang w:eastAsia="en-US"/>
              </w:rPr>
              <w:t> </w:t>
            </w:r>
            <w:r w:rsidRPr="007E4DA1">
              <w:rPr>
                <w:szCs w:val="22"/>
                <w:lang w:eastAsia="en-US"/>
              </w:rPr>
              <w:t xml:space="preserve">doustnych </w:t>
            </w:r>
            <w:r w:rsidR="002F6B62" w:rsidRPr="007E4DA1">
              <w:rPr>
                <w:szCs w:val="22"/>
                <w:lang w:eastAsia="en-US"/>
              </w:rPr>
              <w:t>strzykaw</w:t>
            </w:r>
            <w:r w:rsidRPr="007E4DA1">
              <w:rPr>
                <w:szCs w:val="22"/>
                <w:lang w:eastAsia="en-US"/>
              </w:rPr>
              <w:t>ek</w:t>
            </w:r>
            <w:r w:rsidR="002F6B62" w:rsidRPr="007E4DA1">
              <w:rPr>
                <w:szCs w:val="22"/>
                <w:lang w:eastAsia="en-US"/>
              </w:rPr>
              <w:t xml:space="preserve"> </w:t>
            </w:r>
            <w:r w:rsidRPr="007E4DA1">
              <w:rPr>
                <w:szCs w:val="22"/>
                <w:lang w:eastAsia="en-US"/>
              </w:rPr>
              <w:t>dozujących jednorazowego użytku</w:t>
            </w:r>
          </w:p>
        </w:tc>
        <w:tc>
          <w:tcPr>
            <w:tcW w:w="4548" w:type="dxa"/>
            <w:vAlign w:val="center"/>
          </w:tcPr>
          <w:p w14:paraId="57AD2CF1" w14:textId="77777777" w:rsidR="008C398F" w:rsidRPr="007E4DA1" w:rsidRDefault="00665357" w:rsidP="00DE1596">
            <w:pPr>
              <w:tabs>
                <w:tab w:val="left" w:pos="274"/>
                <w:tab w:val="left" w:pos="720"/>
                <w:tab w:val="left" w:pos="821"/>
                <w:tab w:val="left" w:pos="994"/>
                <w:tab w:val="left" w:pos="1094"/>
              </w:tabs>
              <w:jc w:val="center"/>
              <w:rPr>
                <w:rFonts w:ascii="Verdana" w:hAnsi="Verdana"/>
                <w:noProof/>
                <w:szCs w:val="22"/>
              </w:rPr>
            </w:pPr>
            <w:r w:rsidRPr="007E4DA1">
              <w:rPr>
                <w:noProof/>
                <w:lang w:val="en-US" w:eastAsia="en-US"/>
              </w:rPr>
              <mc:AlternateContent>
                <mc:Choice Requires="wps">
                  <w:drawing>
                    <wp:anchor distT="0" distB="0" distL="114300" distR="114300" simplePos="0" relativeHeight="251653120" behindDoc="0" locked="0" layoutInCell="1" allowOverlap="1" wp14:anchorId="4233CA39" wp14:editId="57E1BA1B">
                      <wp:simplePos x="0" y="0"/>
                      <wp:positionH relativeFrom="column">
                        <wp:posOffset>1764665</wp:posOffset>
                      </wp:positionH>
                      <wp:positionV relativeFrom="margin">
                        <wp:posOffset>39370</wp:posOffset>
                      </wp:positionV>
                      <wp:extent cx="609600" cy="330200"/>
                      <wp:effectExtent l="0" t="0" r="0" b="0"/>
                      <wp:wrapNone/>
                      <wp:docPr id="20"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3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64EA83" w14:textId="77777777" w:rsidR="00BF6901" w:rsidRDefault="00BF6901" w:rsidP="008C398F">
                                  <w:pPr>
                                    <w:pStyle w:val="NormalWeb"/>
                                    <w:textAlignment w:val="baseline"/>
                                    <w:rPr>
                                      <w:sz w:val="16"/>
                                      <w:szCs w:val="16"/>
                                    </w:rPr>
                                  </w:pPr>
                                  <w:r>
                                    <w:rPr>
                                      <w:rFonts w:ascii="Arial" w:hAnsi="Arial"/>
                                      <w:color w:val="000000"/>
                                      <w:kern w:val="24"/>
                                      <w:sz w:val="16"/>
                                      <w:szCs w:val="16"/>
                                      <w:lang w:val="de-CH"/>
                                    </w:rPr>
                                    <w:t>Końcówka strzykawki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33CA39" id="_x0000_s1036" type="#_x0000_t202" style="position:absolute;left:0;text-align:left;margin-left:138.95pt;margin-top:3.1pt;width:48pt;height:2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" stroked="f">
                      <v:textbox style="mso-fit-shape-to-text:t" inset="0,0,0,0">
                        <w:txbxContent>
                          <w:p w14:paraId="5D64EA83" w14:textId="77777777" w:rsidR="00BF6901" w:rsidRDefault="00BF6901" w:rsidP="008C398F">
                            <w:pPr>
                              <w:pStyle w:val="NormalWeb"/>
                              <w:textAlignment w:val="baseline"/>
                              <w:rPr>
                                <w:sz w:val="16"/>
                                <w:szCs w:val="16"/>
                              </w:rPr>
                            </w:pPr>
                            <w:r>
                              <w:rPr>
                                <w:rFonts w:ascii="Arial" w:hAnsi="Arial"/>
                                <w:color w:val="000000"/>
                                <w:kern w:val="24"/>
                                <w:sz w:val="16"/>
                                <w:szCs w:val="16"/>
                                <w:lang w:val="de-CH"/>
                              </w:rPr>
                              <w:t>Końcówka strzykawki</w:t>
                            </w:r>
                          </w:p>
                        </w:txbxContent>
                      </v:textbox>
                      <w10:wrap anchory="margin"/>
                    </v:shape>
                  </w:pict>
                </mc:Fallback>
              </mc:AlternateContent>
            </w:r>
            <w:r w:rsidRPr="007E4DA1">
              <w:rPr>
                <w:noProof/>
                <w:lang w:val="en-US" w:eastAsia="en-US"/>
              </w:rPr>
              <mc:AlternateContent>
                <mc:Choice Requires="wps">
                  <w:drawing>
                    <wp:anchor distT="0" distB="0" distL="114300" distR="114300" simplePos="0" relativeHeight="251652096" behindDoc="0" locked="0" layoutInCell="1" allowOverlap="1" wp14:anchorId="09AD9001" wp14:editId="627A22F2">
                      <wp:simplePos x="0" y="0"/>
                      <wp:positionH relativeFrom="column">
                        <wp:posOffset>594360</wp:posOffset>
                      </wp:positionH>
                      <wp:positionV relativeFrom="margin">
                        <wp:posOffset>21590</wp:posOffset>
                      </wp:positionV>
                      <wp:extent cx="362585" cy="165100"/>
                      <wp:effectExtent l="0" t="0" r="0" b="0"/>
                      <wp:wrapNone/>
                      <wp:docPr id="19"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16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CD383E" w14:textId="77777777" w:rsidR="00BF6901" w:rsidRDefault="00BF6901" w:rsidP="008C398F">
                                  <w:pPr>
                                    <w:pStyle w:val="NormalWeb"/>
                                    <w:textAlignment w:val="baseline"/>
                                    <w:rPr>
                                      <w:sz w:val="16"/>
                                      <w:szCs w:val="16"/>
                                    </w:rPr>
                                  </w:pPr>
                                  <w:r>
                                    <w:rPr>
                                      <w:rFonts w:ascii="Arial" w:hAnsi="Arial"/>
                                      <w:color w:val="000000"/>
                                      <w:kern w:val="24"/>
                                      <w:sz w:val="16"/>
                                      <w:szCs w:val="16"/>
                                      <w:lang w:val="de-CH"/>
                                    </w:rPr>
                                    <w:t>Tłok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AD9001" id="_x0000_s1037" type="#_x0000_t202" style="position:absolute;left:0;text-align:left;margin-left:46.8pt;margin-top:1.7pt;width:28.55pt;height:1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" stroked="f">
                      <v:textbox style="mso-fit-shape-to-text:t" inset="0,0,0,0">
                        <w:txbxContent>
                          <w:p w14:paraId="35CD383E" w14:textId="77777777" w:rsidR="00BF6901" w:rsidRDefault="00BF6901" w:rsidP="008C398F">
                            <w:pPr>
                              <w:pStyle w:val="NormalWeb"/>
                              <w:textAlignment w:val="baseline"/>
                              <w:rPr>
                                <w:sz w:val="16"/>
                                <w:szCs w:val="16"/>
                              </w:rPr>
                            </w:pPr>
                            <w:r>
                              <w:rPr>
                                <w:rFonts w:ascii="Arial" w:hAnsi="Arial"/>
                                <w:color w:val="000000"/>
                                <w:kern w:val="24"/>
                                <w:sz w:val="16"/>
                                <w:szCs w:val="16"/>
                                <w:lang w:val="de-CH"/>
                              </w:rPr>
                              <w:t>Tłok</w:t>
                            </w:r>
                          </w:p>
                        </w:txbxContent>
                      </v:textbox>
                      <w10:wrap anchory="margin"/>
                    </v:shape>
                  </w:pict>
                </mc:Fallback>
              </mc:AlternateContent>
            </w:r>
          </w:p>
          <w:p w14:paraId="29A1FC02" w14:textId="77777777" w:rsidR="002F6B62" w:rsidRPr="007E4DA1" w:rsidRDefault="00665357" w:rsidP="00DE1596">
            <w:pPr>
              <w:tabs>
                <w:tab w:val="left" w:pos="274"/>
                <w:tab w:val="left" w:pos="567"/>
                <w:tab w:val="left" w:pos="720"/>
                <w:tab w:val="left" w:pos="821"/>
                <w:tab w:val="left" w:pos="994"/>
                <w:tab w:val="left" w:pos="1094"/>
              </w:tabs>
              <w:ind w:left="0" w:firstLine="0"/>
              <w:jc w:val="center"/>
              <w:rPr>
                <w:rFonts w:ascii="Verdana" w:hAnsi="Verdana"/>
                <w:szCs w:val="22"/>
                <w:lang w:eastAsia="en-US"/>
              </w:rPr>
            </w:pPr>
            <w:r w:rsidRPr="007E4DA1">
              <w:rPr>
                <w:rFonts w:ascii="Verdana" w:hAnsi="Verdana"/>
                <w:noProof/>
                <w:szCs w:val="22"/>
                <w:lang w:val="en-US" w:eastAsia="en-US"/>
              </w:rPr>
              <w:drawing>
                <wp:inline distT="0" distB="0" distL="0" distR="0" wp14:anchorId="029B7AAE" wp14:editId="21BE13BE">
                  <wp:extent cx="1590040" cy="628015"/>
                  <wp:effectExtent l="0" t="0" r="0" b="0"/>
                  <wp:docPr id="10" name="Picture 74" descr="Supply list 3-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upply list 3-01-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90040" cy="628015"/>
                          </a:xfrm>
                          <a:prstGeom prst="rect">
                            <a:avLst/>
                          </a:prstGeom>
                          <a:noFill/>
                          <a:ln>
                            <a:noFill/>
                          </a:ln>
                        </pic:spPr>
                      </pic:pic>
                    </a:graphicData>
                  </a:graphic>
                </wp:inline>
              </w:drawing>
            </w:r>
          </w:p>
        </w:tc>
      </w:tr>
    </w:tbl>
    <w:p w14:paraId="2BEB0BD1" w14:textId="77777777" w:rsidR="002F6B62" w:rsidRPr="007E4DA1" w:rsidRDefault="002F6B62" w:rsidP="00DE1596">
      <w:pPr>
        <w:tabs>
          <w:tab w:val="left" w:pos="720"/>
          <w:tab w:val="left" w:pos="994"/>
        </w:tabs>
        <w:ind w:left="0" w:firstLine="0"/>
        <w:rPr>
          <w:szCs w:val="22"/>
          <w:lang w:eastAsia="en-US"/>
        </w:rPr>
      </w:pPr>
    </w:p>
    <w:p w14:paraId="733123DE" w14:textId="77777777" w:rsidR="002F6B62" w:rsidRPr="007E4DA1" w:rsidRDefault="002F6B62" w:rsidP="00DE1596">
      <w:pPr>
        <w:tabs>
          <w:tab w:val="left" w:pos="720"/>
          <w:tab w:val="left" w:pos="994"/>
        </w:tabs>
        <w:ind w:left="0" w:firstLine="0"/>
        <w:rPr>
          <w:szCs w:val="22"/>
          <w:lang w:eastAsia="en-US"/>
        </w:rPr>
      </w:pPr>
      <w:r w:rsidRPr="007E4DA1">
        <w:rPr>
          <w:szCs w:val="22"/>
          <w:lang w:eastAsia="en-US"/>
        </w:rPr>
        <w:t xml:space="preserve">Aby przygotować i podać dawkę </w:t>
      </w:r>
      <w:r w:rsidR="009A5B3C" w:rsidRPr="007E4DA1">
        <w:rPr>
          <w:szCs w:val="22"/>
          <w:lang w:eastAsia="en-US"/>
        </w:rPr>
        <w:t xml:space="preserve">leku </w:t>
      </w:r>
      <w:r w:rsidRPr="007E4DA1">
        <w:rPr>
          <w:szCs w:val="22"/>
          <w:lang w:eastAsia="en-US"/>
        </w:rPr>
        <w:t>Revolade potrzebne będą:</w:t>
      </w:r>
    </w:p>
    <w:p w14:paraId="3F39FEC6" w14:textId="77777777" w:rsidR="002F6B62" w:rsidRPr="007E4DA1" w:rsidRDefault="002F6B62" w:rsidP="00DE1596">
      <w:pPr>
        <w:tabs>
          <w:tab w:val="num" w:pos="360"/>
          <w:tab w:val="left" w:pos="720"/>
          <w:tab w:val="left" w:pos="994"/>
        </w:tabs>
        <w:ind w:left="360" w:hanging="360"/>
        <w:rPr>
          <w:szCs w:val="20"/>
          <w:lang w:eastAsia="en-GB"/>
        </w:rPr>
      </w:pPr>
    </w:p>
    <w:p w14:paraId="2EEFC6FA" w14:textId="77777777" w:rsidR="002F6B62" w:rsidRPr="007E4DA1" w:rsidRDefault="002F6B62" w:rsidP="00DE1596">
      <w:pPr>
        <w:numPr>
          <w:ilvl w:val="0"/>
          <w:numId w:val="53"/>
        </w:numPr>
        <w:tabs>
          <w:tab w:val="left" w:pos="567"/>
        </w:tabs>
        <w:ind w:left="567" w:hanging="567"/>
        <w:rPr>
          <w:szCs w:val="20"/>
          <w:lang w:eastAsia="en-GB"/>
        </w:rPr>
      </w:pPr>
      <w:r w:rsidRPr="007E4DA1">
        <w:rPr>
          <w:szCs w:val="20"/>
          <w:lang w:eastAsia="en-GB"/>
        </w:rPr>
        <w:t>Odpowiednia liczba saszetek przepisana przez lekarza (w zestawie)</w:t>
      </w:r>
    </w:p>
    <w:p w14:paraId="3FB11E84" w14:textId="77777777" w:rsidR="002F6B62" w:rsidRPr="007E4DA1" w:rsidRDefault="002F6B62" w:rsidP="00DE1596">
      <w:pPr>
        <w:numPr>
          <w:ilvl w:val="0"/>
          <w:numId w:val="53"/>
        </w:numPr>
        <w:tabs>
          <w:tab w:val="left" w:pos="567"/>
        </w:tabs>
        <w:ind w:left="567" w:hanging="567"/>
        <w:rPr>
          <w:szCs w:val="20"/>
          <w:lang w:eastAsia="en-GB"/>
        </w:rPr>
      </w:pPr>
      <w:r w:rsidRPr="007E4DA1">
        <w:rPr>
          <w:szCs w:val="20"/>
          <w:lang w:eastAsia="en-GB"/>
        </w:rPr>
        <w:t xml:space="preserve">1 </w:t>
      </w:r>
      <w:r w:rsidRPr="007E4DA1">
        <w:rPr>
          <w:szCs w:val="22"/>
          <w:lang w:eastAsia="en-US"/>
        </w:rPr>
        <w:t>butelka wielorazowego użytku przeznaczona do mieszania leku, wyposażona w nakrętkę i przykrywkę</w:t>
      </w:r>
      <w:r w:rsidRPr="007E4DA1">
        <w:rPr>
          <w:szCs w:val="20"/>
          <w:lang w:eastAsia="en-GB"/>
        </w:rPr>
        <w:t xml:space="preserve"> (w zestawie)</w:t>
      </w:r>
    </w:p>
    <w:p w14:paraId="08EC828D" w14:textId="77777777" w:rsidR="002F6B62" w:rsidRPr="007E4DA1" w:rsidRDefault="002F6B62" w:rsidP="00DE1596">
      <w:pPr>
        <w:numPr>
          <w:ilvl w:val="0"/>
          <w:numId w:val="53"/>
        </w:numPr>
        <w:tabs>
          <w:tab w:val="left" w:pos="567"/>
        </w:tabs>
        <w:ind w:left="567" w:hanging="567"/>
        <w:rPr>
          <w:szCs w:val="20"/>
          <w:lang w:eastAsia="en-GB"/>
        </w:rPr>
      </w:pPr>
      <w:r w:rsidRPr="007E4DA1">
        <w:rPr>
          <w:szCs w:val="20"/>
          <w:lang w:eastAsia="en-GB"/>
        </w:rPr>
        <w:t xml:space="preserve">1 </w:t>
      </w:r>
      <w:r w:rsidRPr="007E4DA1">
        <w:rPr>
          <w:szCs w:val="22"/>
          <w:lang w:eastAsia="en-US"/>
        </w:rPr>
        <w:t xml:space="preserve">doustna strzykawka dozująca </w:t>
      </w:r>
      <w:r w:rsidR="00493BCD" w:rsidRPr="007E4DA1">
        <w:rPr>
          <w:szCs w:val="22"/>
          <w:lang w:eastAsia="en-US"/>
        </w:rPr>
        <w:t>jednorazowego użytku</w:t>
      </w:r>
      <w:r w:rsidRPr="007E4DA1">
        <w:rPr>
          <w:szCs w:val="20"/>
          <w:lang w:eastAsia="en-GB"/>
        </w:rPr>
        <w:t xml:space="preserve"> (w zestawie)</w:t>
      </w:r>
    </w:p>
    <w:p w14:paraId="74591178" w14:textId="77777777" w:rsidR="002F6B62" w:rsidRPr="007E4DA1" w:rsidRDefault="002F6B62" w:rsidP="00DE1596">
      <w:pPr>
        <w:numPr>
          <w:ilvl w:val="0"/>
          <w:numId w:val="53"/>
        </w:numPr>
        <w:tabs>
          <w:tab w:val="left" w:pos="567"/>
        </w:tabs>
        <w:ind w:left="567" w:hanging="567"/>
        <w:rPr>
          <w:szCs w:val="22"/>
          <w:lang w:eastAsia="en-GB"/>
        </w:rPr>
      </w:pPr>
      <w:r w:rsidRPr="007E4DA1">
        <w:rPr>
          <w:szCs w:val="20"/>
          <w:lang w:eastAsia="en-GB"/>
        </w:rPr>
        <w:t xml:space="preserve">1 czysta szklanka lub filiżanka wypełniona </w:t>
      </w:r>
      <w:r w:rsidRPr="007E4DA1">
        <w:rPr>
          <w:szCs w:val="22"/>
          <w:lang w:eastAsia="en-GB"/>
        </w:rPr>
        <w:t>wodą pitną (niedołączona do zestawu)</w:t>
      </w:r>
    </w:p>
    <w:p w14:paraId="180015EB" w14:textId="77777777" w:rsidR="002F6B62" w:rsidRPr="007E4DA1" w:rsidRDefault="002F6B62" w:rsidP="00DE1596">
      <w:pPr>
        <w:numPr>
          <w:ilvl w:val="0"/>
          <w:numId w:val="53"/>
        </w:numPr>
        <w:tabs>
          <w:tab w:val="left" w:pos="567"/>
        </w:tabs>
        <w:ind w:left="567" w:hanging="567"/>
        <w:rPr>
          <w:szCs w:val="22"/>
          <w:lang w:eastAsia="en-GB"/>
        </w:rPr>
      </w:pPr>
      <w:r w:rsidRPr="007E4DA1">
        <w:rPr>
          <w:szCs w:val="22"/>
          <w:lang w:eastAsia="en-GB"/>
        </w:rPr>
        <w:t>Nożyczki do rozcięcia saszetki (niedołączone do zestawu)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1"/>
        <w:gridCol w:w="2786"/>
        <w:gridCol w:w="43"/>
      </w:tblGrid>
      <w:tr w:rsidR="002F6B62" w:rsidRPr="007E4DA1" w14:paraId="4D58DE61" w14:textId="77777777" w:rsidTr="00291DF6">
        <w:trPr>
          <w:cantSplit/>
          <w:trHeight w:val="20"/>
        </w:trPr>
        <w:tc>
          <w:tcPr>
            <w:tcW w:w="9286" w:type="dxa"/>
            <w:gridSpan w:val="3"/>
            <w:tcBorders>
              <w:bottom w:val="single" w:sz="4" w:space="0" w:color="auto"/>
            </w:tcBorders>
          </w:tcPr>
          <w:p w14:paraId="56558C72" w14:textId="77777777" w:rsidR="002F6B62" w:rsidRPr="007E4DA1" w:rsidRDefault="002F6B62" w:rsidP="00DE1596">
            <w:pPr>
              <w:pageBreakBefore/>
              <w:ind w:left="0" w:firstLine="0"/>
              <w:contextualSpacing/>
              <w:rPr>
                <w:szCs w:val="22"/>
                <w:lang w:eastAsia="en-US"/>
              </w:rPr>
            </w:pPr>
            <w:r w:rsidRPr="007E4DA1">
              <w:rPr>
                <w:szCs w:val="22"/>
                <w:lang w:eastAsia="en-US"/>
              </w:rPr>
              <w:t xml:space="preserve">Przed użyciem </w:t>
            </w:r>
            <w:r w:rsidRPr="007E4DA1">
              <w:rPr>
                <w:b/>
                <w:szCs w:val="22"/>
                <w:lang w:eastAsia="en-US"/>
              </w:rPr>
              <w:t>należy sprawdzić, czy butelka, nakrętka</w:t>
            </w:r>
            <w:r w:rsidR="00493BCD" w:rsidRPr="007E4DA1">
              <w:rPr>
                <w:b/>
                <w:szCs w:val="22"/>
                <w:lang w:eastAsia="en-US"/>
              </w:rPr>
              <w:t xml:space="preserve"> i </w:t>
            </w:r>
            <w:r w:rsidR="002774B3" w:rsidRPr="007E4DA1">
              <w:rPr>
                <w:b/>
                <w:szCs w:val="22"/>
                <w:lang w:eastAsia="en-US"/>
              </w:rPr>
              <w:t>wieczko</w:t>
            </w:r>
            <w:r w:rsidRPr="007E4DA1">
              <w:rPr>
                <w:b/>
                <w:szCs w:val="22"/>
                <w:lang w:eastAsia="en-US"/>
              </w:rPr>
              <w:t xml:space="preserve"> są suche</w:t>
            </w:r>
            <w:r w:rsidRPr="007E4DA1">
              <w:rPr>
                <w:szCs w:val="22"/>
                <w:lang w:eastAsia="en-US"/>
              </w:rPr>
              <w:t>.</w:t>
            </w:r>
            <w:r w:rsidRPr="007E4DA1">
              <w:rPr>
                <w:szCs w:val="22"/>
                <w:lang w:eastAsia="en-US"/>
              </w:rPr>
              <w:br w:type="page"/>
            </w:r>
            <w:r w:rsidRPr="007E4DA1">
              <w:rPr>
                <w:szCs w:val="22"/>
                <w:lang w:eastAsia="en-US"/>
              </w:rPr>
              <w:br w:type="page"/>
            </w:r>
          </w:p>
          <w:p w14:paraId="2AF9D479" w14:textId="77777777" w:rsidR="002F6B62" w:rsidRPr="007E4DA1" w:rsidRDefault="002F6B62" w:rsidP="00DE1596">
            <w:pPr>
              <w:pageBreakBefore/>
              <w:ind w:left="0" w:firstLine="0"/>
              <w:contextualSpacing/>
              <w:rPr>
                <w:rFonts w:eastAsia="Calibri"/>
                <w:b/>
                <w:szCs w:val="22"/>
                <w:lang w:eastAsia="en-US"/>
              </w:rPr>
            </w:pPr>
            <w:r w:rsidRPr="007E4DA1">
              <w:rPr>
                <w:rFonts w:eastAsia="Calibri"/>
                <w:b/>
                <w:szCs w:val="22"/>
                <w:lang w:eastAsia="en-US"/>
              </w:rPr>
              <w:t>Aby przygotować dawkę</w:t>
            </w:r>
          </w:p>
        </w:tc>
      </w:tr>
      <w:tr w:rsidR="002F6B62" w:rsidRPr="007E4DA1" w14:paraId="7C1684CE" w14:textId="77777777" w:rsidTr="00291DF6">
        <w:trPr>
          <w:cantSplit/>
          <w:trHeight w:val="20"/>
        </w:trPr>
        <w:tc>
          <w:tcPr>
            <w:tcW w:w="9286" w:type="dxa"/>
            <w:gridSpan w:val="3"/>
            <w:tcBorders>
              <w:bottom w:val="single" w:sz="4" w:space="0" w:color="auto"/>
            </w:tcBorders>
          </w:tcPr>
          <w:p w14:paraId="65580075" w14:textId="77777777" w:rsidR="002F6B62" w:rsidRPr="007E4DA1" w:rsidRDefault="002F6B62" w:rsidP="00DE1596">
            <w:pPr>
              <w:tabs>
                <w:tab w:val="left" w:pos="720"/>
                <w:tab w:val="left" w:pos="994"/>
              </w:tabs>
              <w:ind w:left="0" w:firstLine="0"/>
              <w:rPr>
                <w:szCs w:val="22"/>
                <w:lang w:eastAsia="en-US"/>
              </w:rPr>
            </w:pPr>
            <w:r w:rsidRPr="007E4DA1">
              <w:rPr>
                <w:b/>
                <w:szCs w:val="22"/>
                <w:lang w:eastAsia="en-US"/>
              </w:rPr>
              <w:t>1.</w:t>
            </w:r>
            <w:r w:rsidRPr="007E4DA1">
              <w:rPr>
                <w:szCs w:val="22"/>
                <w:lang w:eastAsia="en-US"/>
              </w:rPr>
              <w:t xml:space="preserve">  Należy upewnić się, że nakrętka jest zdjęta z butelki.</w:t>
            </w:r>
          </w:p>
        </w:tc>
      </w:tr>
      <w:tr w:rsidR="002F6B62" w:rsidRPr="007E4DA1" w14:paraId="682D18A0" w14:textId="77777777" w:rsidTr="00291DF6">
        <w:trPr>
          <w:cantSplit/>
          <w:trHeight w:val="20"/>
        </w:trPr>
        <w:tc>
          <w:tcPr>
            <w:tcW w:w="6442" w:type="dxa"/>
            <w:tcBorders>
              <w:right w:val="single" w:sz="4" w:space="0" w:color="auto"/>
            </w:tcBorders>
          </w:tcPr>
          <w:p w14:paraId="06F1E028" w14:textId="77777777" w:rsidR="002F6B62" w:rsidRPr="007E4DA1" w:rsidRDefault="002F6B62" w:rsidP="00DE1596">
            <w:pPr>
              <w:ind w:left="0" w:firstLine="0"/>
              <w:contextualSpacing/>
              <w:rPr>
                <w:rFonts w:eastAsia="Calibri"/>
                <w:szCs w:val="22"/>
                <w:lang w:eastAsia="en-US"/>
              </w:rPr>
            </w:pPr>
            <w:r w:rsidRPr="007E4DA1">
              <w:rPr>
                <w:rFonts w:eastAsia="Calibri"/>
                <w:b/>
                <w:szCs w:val="22"/>
                <w:lang w:eastAsia="en-US"/>
              </w:rPr>
              <w:t>2.</w:t>
            </w:r>
            <w:r w:rsidRPr="007E4DA1">
              <w:rPr>
                <w:rFonts w:eastAsia="Calibri"/>
                <w:szCs w:val="22"/>
                <w:lang w:eastAsia="en-US"/>
              </w:rPr>
              <w:t xml:space="preserve">  </w:t>
            </w:r>
            <w:r w:rsidRPr="007E4DA1">
              <w:rPr>
                <w:rFonts w:eastAsia="Calibri"/>
                <w:b/>
                <w:szCs w:val="22"/>
                <w:lang w:eastAsia="en-US"/>
              </w:rPr>
              <w:t>Napełnić strzykawkę</w:t>
            </w:r>
            <w:r w:rsidRPr="007E4DA1">
              <w:rPr>
                <w:rFonts w:eastAsia="Calibri"/>
                <w:szCs w:val="22"/>
                <w:lang w:eastAsia="en-US"/>
              </w:rPr>
              <w:t xml:space="preserve"> 20 ml wody pitnej pobranej ze szklanki lub filiżanki.</w:t>
            </w:r>
            <w:r w:rsidR="003A03DB" w:rsidRPr="007E4DA1">
              <w:rPr>
                <w:rFonts w:eastAsia="Calibri"/>
                <w:szCs w:val="22"/>
                <w:lang w:eastAsia="en-US"/>
              </w:rPr>
              <w:t xml:space="preserve"> </w:t>
            </w:r>
            <w:r w:rsidR="003A03DB" w:rsidRPr="007E4DA1">
              <w:t>Do przygotowania każdej dawki produktu leczniczego Revolade</w:t>
            </w:r>
            <w:r w:rsidR="003A03DB" w:rsidRPr="007E4DA1">
              <w:rPr>
                <w:szCs w:val="22"/>
              </w:rPr>
              <w:t xml:space="preserve"> </w:t>
            </w:r>
            <w:r w:rsidR="000D1ADE" w:rsidRPr="007E4DA1">
              <w:rPr>
                <w:szCs w:val="22"/>
              </w:rPr>
              <w:t xml:space="preserve">w postaci </w:t>
            </w:r>
            <w:r w:rsidR="003A03DB" w:rsidRPr="007E4DA1">
              <w:rPr>
                <w:szCs w:val="22"/>
              </w:rPr>
              <w:t xml:space="preserve">zawiesiny doustnej, należy użyć nowej </w:t>
            </w:r>
            <w:r w:rsidR="00745EB9" w:rsidRPr="007E4DA1">
              <w:rPr>
                <w:szCs w:val="22"/>
              </w:rPr>
              <w:t xml:space="preserve">doustnej </w:t>
            </w:r>
            <w:r w:rsidR="003A03DB" w:rsidRPr="007E4DA1">
              <w:rPr>
                <w:szCs w:val="22"/>
              </w:rPr>
              <w:t>strzykawki jednorazowego użytku.</w:t>
            </w:r>
          </w:p>
          <w:p w14:paraId="083101D4" w14:textId="77777777" w:rsidR="002F6B62" w:rsidRPr="007E4DA1" w:rsidRDefault="002F6B62" w:rsidP="00DE1596">
            <w:pPr>
              <w:numPr>
                <w:ilvl w:val="0"/>
                <w:numId w:val="46"/>
              </w:numPr>
              <w:tabs>
                <w:tab w:val="left" w:pos="567"/>
              </w:tabs>
              <w:ind w:left="567" w:hanging="567"/>
              <w:contextualSpacing/>
              <w:rPr>
                <w:rFonts w:eastAsia="Calibri"/>
                <w:szCs w:val="22"/>
                <w:lang w:eastAsia="en-US"/>
              </w:rPr>
            </w:pPr>
            <w:r w:rsidRPr="007E4DA1">
              <w:rPr>
                <w:rFonts w:eastAsia="Calibri"/>
                <w:szCs w:val="22"/>
                <w:lang w:eastAsia="en-US"/>
              </w:rPr>
              <w:t>Rozpocząć od opuszczenia tłoku strzykawki do samego dołu.</w:t>
            </w:r>
          </w:p>
          <w:p w14:paraId="5B1FC455" w14:textId="535FFE4F" w:rsidR="002F6B62" w:rsidRPr="007E4DA1" w:rsidRDefault="002F6B62" w:rsidP="00DE1596">
            <w:pPr>
              <w:numPr>
                <w:ilvl w:val="0"/>
                <w:numId w:val="46"/>
              </w:numPr>
              <w:tabs>
                <w:tab w:val="left" w:pos="567"/>
              </w:tabs>
              <w:ind w:left="567" w:hanging="567"/>
              <w:contextualSpacing/>
              <w:rPr>
                <w:rFonts w:eastAsia="Calibri"/>
                <w:szCs w:val="22"/>
                <w:lang w:eastAsia="en-US"/>
              </w:rPr>
            </w:pPr>
            <w:r w:rsidRPr="007E4DA1">
              <w:rPr>
                <w:rFonts w:eastAsia="Calibri"/>
                <w:szCs w:val="22"/>
                <w:lang w:eastAsia="en-US"/>
              </w:rPr>
              <w:t>Zanurzyć końcówkę strzykawki w wodzie</w:t>
            </w:r>
            <w:r w:rsidR="004D3758">
              <w:rPr>
                <w:rFonts w:eastAsia="Calibri"/>
                <w:szCs w:val="22"/>
                <w:lang w:eastAsia="en-US"/>
              </w:rPr>
              <w:t>.</w:t>
            </w:r>
          </w:p>
          <w:p w14:paraId="6CBBD20F" w14:textId="77777777" w:rsidR="002F6B62" w:rsidRPr="007E4DA1" w:rsidRDefault="002F6B62" w:rsidP="00DE1596">
            <w:pPr>
              <w:numPr>
                <w:ilvl w:val="0"/>
                <w:numId w:val="46"/>
              </w:numPr>
              <w:tabs>
                <w:tab w:val="left" w:pos="567"/>
              </w:tabs>
              <w:ind w:left="567" w:hanging="567"/>
              <w:contextualSpacing/>
              <w:rPr>
                <w:rFonts w:eastAsia="Calibri"/>
                <w:szCs w:val="22"/>
                <w:lang w:eastAsia="en-US"/>
              </w:rPr>
            </w:pPr>
            <w:r w:rsidRPr="007E4DA1">
              <w:rPr>
                <w:rFonts w:eastAsia="Calibri"/>
                <w:szCs w:val="22"/>
                <w:lang w:eastAsia="en-US"/>
              </w:rPr>
              <w:t>Odciągnąć tłok do oznaczenia 20 ml na strzykawce.</w:t>
            </w:r>
          </w:p>
        </w:tc>
        <w:tc>
          <w:tcPr>
            <w:tcW w:w="2844" w:type="dxa"/>
            <w:gridSpan w:val="2"/>
            <w:tcBorders>
              <w:left w:val="single" w:sz="4" w:space="0" w:color="auto"/>
            </w:tcBorders>
          </w:tcPr>
          <w:p w14:paraId="7C7679D7" w14:textId="77777777" w:rsidR="002F6B62" w:rsidRPr="007E4DA1" w:rsidRDefault="00665357" w:rsidP="00DE1596">
            <w:pPr>
              <w:tabs>
                <w:tab w:val="left" w:pos="720"/>
                <w:tab w:val="left" w:pos="994"/>
              </w:tabs>
              <w:ind w:left="0" w:firstLine="0"/>
              <w:jc w:val="center"/>
              <w:rPr>
                <w:rFonts w:ascii="Verdana" w:hAnsi="Verdana"/>
                <w:szCs w:val="22"/>
                <w:lang w:eastAsia="en-US"/>
              </w:rPr>
            </w:pPr>
            <w:r w:rsidRPr="007E4DA1">
              <w:rPr>
                <w:rFonts w:ascii="Verdana" w:hAnsi="Verdana"/>
                <w:noProof/>
                <w:szCs w:val="22"/>
                <w:lang w:val="en-US" w:eastAsia="en-US"/>
              </w:rPr>
              <w:drawing>
                <wp:inline distT="0" distB="0" distL="0" distR="0" wp14:anchorId="14083226" wp14:editId="1978A949">
                  <wp:extent cx="731520" cy="1367790"/>
                  <wp:effectExtent l="0" t="0" r="0" b="0"/>
                  <wp:docPr id="11" name="Picture 75" descr="P IFU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 IFU 1-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1520" cy="1367790"/>
                          </a:xfrm>
                          <a:prstGeom prst="rect">
                            <a:avLst/>
                          </a:prstGeom>
                          <a:noFill/>
                          <a:ln>
                            <a:noFill/>
                          </a:ln>
                        </pic:spPr>
                      </pic:pic>
                    </a:graphicData>
                  </a:graphic>
                </wp:inline>
              </w:drawing>
            </w:r>
          </w:p>
        </w:tc>
      </w:tr>
      <w:tr w:rsidR="002F6B62" w:rsidRPr="007E4DA1" w14:paraId="71B533A0" w14:textId="77777777" w:rsidTr="00291DF6">
        <w:trPr>
          <w:cantSplit/>
          <w:trHeight w:val="20"/>
        </w:trPr>
        <w:tc>
          <w:tcPr>
            <w:tcW w:w="6442" w:type="dxa"/>
            <w:tcBorders>
              <w:right w:val="single" w:sz="4" w:space="0" w:color="auto"/>
            </w:tcBorders>
          </w:tcPr>
          <w:p w14:paraId="2516A524" w14:textId="77777777" w:rsidR="002F6B62" w:rsidRPr="007E4DA1" w:rsidRDefault="002F6B62" w:rsidP="00DE1596">
            <w:pPr>
              <w:tabs>
                <w:tab w:val="left" w:pos="720"/>
                <w:tab w:val="left" w:pos="994"/>
              </w:tabs>
              <w:ind w:left="0" w:firstLine="0"/>
              <w:rPr>
                <w:szCs w:val="22"/>
                <w:lang w:eastAsia="en-US"/>
              </w:rPr>
            </w:pPr>
            <w:r w:rsidRPr="007E4DA1">
              <w:rPr>
                <w:b/>
                <w:szCs w:val="22"/>
                <w:lang w:eastAsia="en-US"/>
              </w:rPr>
              <w:t>3.  Wstrzyknąć wodę do otwartej butelki</w:t>
            </w:r>
          </w:p>
          <w:p w14:paraId="70CA28F2" w14:textId="77777777" w:rsidR="002F6B62" w:rsidRPr="007E4DA1" w:rsidRDefault="002F6B62" w:rsidP="00DE1596">
            <w:pPr>
              <w:numPr>
                <w:ilvl w:val="0"/>
                <w:numId w:val="55"/>
              </w:numPr>
              <w:tabs>
                <w:tab w:val="left" w:pos="567"/>
              </w:tabs>
              <w:ind w:left="567" w:hanging="567"/>
              <w:rPr>
                <w:szCs w:val="22"/>
                <w:lang w:eastAsia="en-US"/>
              </w:rPr>
            </w:pPr>
            <w:r w:rsidRPr="007E4DA1">
              <w:rPr>
                <w:szCs w:val="22"/>
                <w:lang w:eastAsia="en-US"/>
              </w:rPr>
              <w:t>Powoli opuszczać tłok do samego dołu.</w:t>
            </w:r>
          </w:p>
        </w:tc>
        <w:tc>
          <w:tcPr>
            <w:tcW w:w="2844" w:type="dxa"/>
            <w:gridSpan w:val="2"/>
            <w:tcBorders>
              <w:left w:val="single" w:sz="4" w:space="0" w:color="auto"/>
            </w:tcBorders>
          </w:tcPr>
          <w:p w14:paraId="1691C813" w14:textId="77777777" w:rsidR="002F6B62" w:rsidRPr="007E4DA1" w:rsidRDefault="00665357" w:rsidP="00DE1596">
            <w:pPr>
              <w:tabs>
                <w:tab w:val="left" w:pos="720"/>
                <w:tab w:val="left" w:pos="994"/>
              </w:tabs>
              <w:ind w:left="0" w:firstLine="0"/>
              <w:jc w:val="center"/>
              <w:rPr>
                <w:rFonts w:ascii="Verdana" w:hAnsi="Verdana"/>
                <w:szCs w:val="22"/>
                <w:lang w:eastAsia="en-US"/>
              </w:rPr>
            </w:pPr>
            <w:r w:rsidRPr="007E4DA1">
              <w:rPr>
                <w:rFonts w:ascii="Verdana" w:hAnsi="Verdana"/>
                <w:noProof/>
                <w:szCs w:val="22"/>
                <w:lang w:val="en-US" w:eastAsia="en-US"/>
              </w:rPr>
              <w:drawing>
                <wp:inline distT="0" distB="0" distL="0" distR="0" wp14:anchorId="450301F4" wp14:editId="1F6EBC78">
                  <wp:extent cx="763270" cy="1296035"/>
                  <wp:effectExtent l="0" t="0" r="0" b="0"/>
                  <wp:docPr id="12" name="Picture 76" descr="P IFU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 IFU 2-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63270" cy="1296035"/>
                          </a:xfrm>
                          <a:prstGeom prst="rect">
                            <a:avLst/>
                          </a:prstGeom>
                          <a:noFill/>
                          <a:ln>
                            <a:noFill/>
                          </a:ln>
                        </pic:spPr>
                      </pic:pic>
                    </a:graphicData>
                  </a:graphic>
                </wp:inline>
              </w:drawing>
            </w:r>
          </w:p>
        </w:tc>
      </w:tr>
      <w:tr w:rsidR="002F6B62" w:rsidRPr="007E4DA1" w14:paraId="34A9742D" w14:textId="77777777" w:rsidTr="00291DF6">
        <w:trPr>
          <w:cantSplit/>
          <w:trHeight w:val="20"/>
        </w:trPr>
        <w:tc>
          <w:tcPr>
            <w:tcW w:w="9286" w:type="dxa"/>
            <w:gridSpan w:val="3"/>
          </w:tcPr>
          <w:p w14:paraId="4F8A8034" w14:textId="77777777" w:rsidR="002F6B62" w:rsidRPr="007E4DA1" w:rsidRDefault="002F6B62" w:rsidP="00DE1596">
            <w:pPr>
              <w:tabs>
                <w:tab w:val="left" w:pos="720"/>
                <w:tab w:val="left" w:pos="994"/>
              </w:tabs>
              <w:ind w:left="0" w:firstLine="0"/>
              <w:rPr>
                <w:szCs w:val="22"/>
                <w:lang w:eastAsia="en-US"/>
              </w:rPr>
            </w:pPr>
            <w:r w:rsidRPr="007E4DA1">
              <w:rPr>
                <w:b/>
                <w:szCs w:val="22"/>
                <w:lang w:eastAsia="en-US"/>
              </w:rPr>
              <w:t>4.</w:t>
            </w:r>
            <w:r w:rsidRPr="007E4DA1">
              <w:rPr>
                <w:szCs w:val="22"/>
                <w:lang w:eastAsia="en-US"/>
              </w:rPr>
              <w:t xml:space="preserve">  Wyjąć z zestawu odpowiednią liczbę saszetek przepisanych na jedną dawkę.</w:t>
            </w:r>
          </w:p>
          <w:p w14:paraId="0149FC9D" w14:textId="77777777" w:rsidR="00041A08" w:rsidRPr="00041A08" w:rsidRDefault="00C815B4" w:rsidP="00DE1596">
            <w:pPr>
              <w:numPr>
                <w:ilvl w:val="0"/>
                <w:numId w:val="55"/>
              </w:numPr>
              <w:tabs>
                <w:tab w:val="left" w:pos="567"/>
              </w:tabs>
              <w:ind w:left="567" w:hanging="567"/>
              <w:rPr>
                <w:szCs w:val="24"/>
                <w:lang w:eastAsia="en-GB"/>
              </w:rPr>
            </w:pPr>
            <w:r>
              <w:rPr>
                <w:b/>
                <w:szCs w:val="24"/>
                <w:lang w:eastAsia="en-GB"/>
              </w:rPr>
              <w:t>Dawka 12,5 mg – 1</w:t>
            </w:r>
            <w:r w:rsidR="00553AB7">
              <w:rPr>
                <w:b/>
                <w:szCs w:val="24"/>
                <w:lang w:eastAsia="en-GB"/>
              </w:rPr>
              <w:t> </w:t>
            </w:r>
            <w:r>
              <w:rPr>
                <w:b/>
                <w:szCs w:val="24"/>
                <w:lang w:eastAsia="en-GB"/>
              </w:rPr>
              <w:t>saszetka (patrz krok</w:t>
            </w:r>
            <w:r w:rsidR="00553AB7">
              <w:rPr>
                <w:b/>
                <w:szCs w:val="24"/>
                <w:lang w:eastAsia="en-GB"/>
              </w:rPr>
              <w:t> </w:t>
            </w:r>
            <w:r>
              <w:rPr>
                <w:b/>
                <w:szCs w:val="24"/>
                <w:lang w:eastAsia="en-GB"/>
              </w:rPr>
              <w:t>9 w instrukcji podawania dawki 12,5 mg przy użyciu saszetki 25 mg.)</w:t>
            </w:r>
          </w:p>
          <w:p w14:paraId="7CE8EE31" w14:textId="77777777" w:rsidR="00041A08" w:rsidRPr="00041A08" w:rsidRDefault="002F6B62" w:rsidP="00DE1596">
            <w:pPr>
              <w:numPr>
                <w:ilvl w:val="0"/>
                <w:numId w:val="55"/>
              </w:numPr>
              <w:tabs>
                <w:tab w:val="left" w:pos="567"/>
              </w:tabs>
              <w:ind w:left="567" w:hanging="567"/>
              <w:rPr>
                <w:szCs w:val="24"/>
                <w:lang w:eastAsia="en-GB"/>
              </w:rPr>
            </w:pPr>
            <w:r w:rsidRPr="007E4DA1">
              <w:rPr>
                <w:b/>
                <w:szCs w:val="24"/>
                <w:lang w:eastAsia="en-GB"/>
              </w:rPr>
              <w:t>Dawka 25 mg — 1 saszetka</w:t>
            </w:r>
          </w:p>
          <w:p w14:paraId="13465C25" w14:textId="77777777" w:rsidR="00041A08" w:rsidRPr="00041A08" w:rsidRDefault="002F6B62" w:rsidP="00DE1596">
            <w:pPr>
              <w:numPr>
                <w:ilvl w:val="0"/>
                <w:numId w:val="55"/>
              </w:numPr>
              <w:tabs>
                <w:tab w:val="left" w:pos="567"/>
              </w:tabs>
              <w:ind w:left="567" w:hanging="567"/>
              <w:rPr>
                <w:szCs w:val="24"/>
                <w:lang w:eastAsia="en-GB"/>
              </w:rPr>
            </w:pPr>
            <w:r w:rsidRPr="007E4DA1">
              <w:rPr>
                <w:b/>
                <w:szCs w:val="24"/>
                <w:lang w:eastAsia="en-GB"/>
              </w:rPr>
              <w:t>Dawka 50 mg — 2 saszetki</w:t>
            </w:r>
          </w:p>
          <w:p w14:paraId="619B8399" w14:textId="77777777" w:rsidR="00041A08" w:rsidRPr="00041A08" w:rsidRDefault="002F6B62" w:rsidP="00DE1596">
            <w:pPr>
              <w:numPr>
                <w:ilvl w:val="0"/>
                <w:numId w:val="55"/>
              </w:numPr>
              <w:tabs>
                <w:tab w:val="left" w:pos="567"/>
              </w:tabs>
              <w:ind w:left="567" w:hanging="567"/>
              <w:rPr>
                <w:szCs w:val="24"/>
                <w:lang w:eastAsia="en-GB"/>
              </w:rPr>
            </w:pPr>
            <w:r w:rsidRPr="007E4DA1">
              <w:rPr>
                <w:b/>
                <w:szCs w:val="24"/>
                <w:lang w:eastAsia="en-GB"/>
              </w:rPr>
              <w:t>Dawka 75 mg — 3 saszetki</w:t>
            </w:r>
          </w:p>
          <w:p w14:paraId="1B8411BE" w14:textId="0D49C1C6" w:rsidR="002F6B62" w:rsidRPr="007E4DA1" w:rsidRDefault="002F6B62" w:rsidP="00DE1596">
            <w:pPr>
              <w:tabs>
                <w:tab w:val="left" w:pos="567"/>
                <w:tab w:val="left" w:pos="851"/>
              </w:tabs>
              <w:ind w:left="1305" w:firstLine="0"/>
              <w:rPr>
                <w:b/>
                <w:szCs w:val="24"/>
                <w:lang w:eastAsia="en-GB"/>
              </w:rPr>
            </w:pPr>
          </w:p>
        </w:tc>
      </w:tr>
      <w:tr w:rsidR="002F6B62" w:rsidRPr="007E4DA1" w14:paraId="103F7D9C" w14:textId="77777777" w:rsidTr="00291DF6">
        <w:trPr>
          <w:cantSplit/>
          <w:trHeight w:val="20"/>
        </w:trPr>
        <w:tc>
          <w:tcPr>
            <w:tcW w:w="6442" w:type="dxa"/>
            <w:tcBorders>
              <w:right w:val="single" w:sz="4" w:space="0" w:color="auto"/>
            </w:tcBorders>
          </w:tcPr>
          <w:p w14:paraId="63DAA721" w14:textId="77777777" w:rsidR="002F6B62" w:rsidRPr="007E4DA1" w:rsidRDefault="002F6B62" w:rsidP="00DE1596">
            <w:pPr>
              <w:ind w:left="0" w:firstLine="0"/>
              <w:contextualSpacing/>
              <w:rPr>
                <w:rFonts w:eastAsia="Calibri"/>
                <w:szCs w:val="22"/>
                <w:lang w:eastAsia="en-US"/>
              </w:rPr>
            </w:pPr>
            <w:r w:rsidRPr="007E4DA1">
              <w:rPr>
                <w:rFonts w:eastAsia="Calibri"/>
                <w:b/>
                <w:szCs w:val="22"/>
                <w:lang w:eastAsia="en-US"/>
              </w:rPr>
              <w:t>5.</w:t>
            </w:r>
            <w:r w:rsidRPr="007E4DA1">
              <w:rPr>
                <w:rFonts w:eastAsia="Calibri"/>
                <w:szCs w:val="22"/>
                <w:lang w:eastAsia="en-US"/>
              </w:rPr>
              <w:t xml:space="preserve">  </w:t>
            </w:r>
            <w:r w:rsidRPr="007E4DA1">
              <w:rPr>
                <w:rFonts w:eastAsia="Calibri"/>
                <w:b/>
                <w:szCs w:val="22"/>
                <w:lang w:eastAsia="en-US"/>
              </w:rPr>
              <w:t>Wsypać proszek z przepisanej liczby saszetek do butelki</w:t>
            </w:r>
            <w:r w:rsidRPr="007E4DA1">
              <w:rPr>
                <w:rFonts w:eastAsia="Calibri"/>
                <w:szCs w:val="22"/>
                <w:lang w:eastAsia="en-US"/>
              </w:rPr>
              <w:t>.</w:t>
            </w:r>
          </w:p>
          <w:p w14:paraId="564A9373" w14:textId="77777777" w:rsidR="002F6B62" w:rsidRPr="007E4DA1" w:rsidRDefault="002F6B62" w:rsidP="00DE1596">
            <w:pPr>
              <w:numPr>
                <w:ilvl w:val="0"/>
                <w:numId w:val="56"/>
              </w:numPr>
              <w:tabs>
                <w:tab w:val="left" w:pos="567"/>
              </w:tabs>
              <w:ind w:left="567" w:hanging="567"/>
              <w:rPr>
                <w:rFonts w:eastAsia="Calibri"/>
                <w:szCs w:val="24"/>
                <w:lang w:eastAsia="en-GB"/>
              </w:rPr>
            </w:pPr>
            <w:r w:rsidRPr="007E4DA1">
              <w:rPr>
                <w:rFonts w:eastAsia="Calibri"/>
                <w:szCs w:val="24"/>
                <w:lang w:eastAsia="en-GB"/>
              </w:rPr>
              <w:t>Opukać palcami górną część saszetki tak, by zawarty w ni</w:t>
            </w:r>
            <w:r w:rsidR="0015491C" w:rsidRPr="007E4DA1">
              <w:rPr>
                <w:rFonts w:eastAsia="Calibri"/>
                <w:szCs w:val="24"/>
                <w:lang w:eastAsia="en-GB"/>
              </w:rPr>
              <w:t>ej</w:t>
            </w:r>
            <w:r w:rsidRPr="007E4DA1">
              <w:rPr>
                <w:rFonts w:eastAsia="Calibri"/>
                <w:szCs w:val="24"/>
                <w:lang w:eastAsia="en-GB"/>
              </w:rPr>
              <w:t xml:space="preserve"> proszek opadł na dół</w:t>
            </w:r>
            <w:r w:rsidR="0015491C" w:rsidRPr="007E4DA1">
              <w:rPr>
                <w:rFonts w:eastAsia="Calibri"/>
                <w:szCs w:val="24"/>
                <w:lang w:eastAsia="en-GB"/>
              </w:rPr>
              <w:t>.</w:t>
            </w:r>
          </w:p>
          <w:p w14:paraId="0607834A" w14:textId="77777777" w:rsidR="002F6B62" w:rsidRPr="007E4DA1" w:rsidRDefault="002F6B62" w:rsidP="00DE1596">
            <w:pPr>
              <w:numPr>
                <w:ilvl w:val="0"/>
                <w:numId w:val="56"/>
              </w:numPr>
              <w:tabs>
                <w:tab w:val="left" w:pos="567"/>
              </w:tabs>
              <w:ind w:left="567" w:hanging="567"/>
              <w:rPr>
                <w:rFonts w:eastAsia="Calibri"/>
                <w:szCs w:val="24"/>
                <w:lang w:eastAsia="en-GB"/>
              </w:rPr>
            </w:pPr>
            <w:r w:rsidRPr="007E4DA1">
              <w:rPr>
                <w:rFonts w:eastAsia="Calibri"/>
                <w:szCs w:val="22"/>
                <w:lang w:eastAsia="en-GB"/>
              </w:rPr>
              <w:t>Odciąć górną część każdej saszetki za pomocą nożyczek</w:t>
            </w:r>
            <w:r w:rsidR="0015491C" w:rsidRPr="007E4DA1">
              <w:rPr>
                <w:rFonts w:eastAsia="Calibri"/>
                <w:szCs w:val="22"/>
                <w:lang w:eastAsia="en-GB"/>
              </w:rPr>
              <w:t>.</w:t>
            </w:r>
          </w:p>
          <w:p w14:paraId="69445F8F" w14:textId="77777777" w:rsidR="002F6B62" w:rsidRPr="007E4DA1" w:rsidRDefault="002F6B62" w:rsidP="00DE1596">
            <w:pPr>
              <w:numPr>
                <w:ilvl w:val="0"/>
                <w:numId w:val="56"/>
              </w:numPr>
              <w:tabs>
                <w:tab w:val="left" w:pos="567"/>
              </w:tabs>
              <w:ind w:left="567" w:hanging="567"/>
              <w:rPr>
                <w:rFonts w:eastAsia="Calibri"/>
                <w:szCs w:val="24"/>
                <w:lang w:eastAsia="en-GB"/>
              </w:rPr>
            </w:pPr>
            <w:r w:rsidRPr="007E4DA1">
              <w:rPr>
                <w:rFonts w:eastAsia="Calibri"/>
                <w:szCs w:val="22"/>
                <w:lang w:eastAsia="en-GB"/>
              </w:rPr>
              <w:t>Wsypać całą zawartość każdej saszetki do butelki</w:t>
            </w:r>
            <w:r w:rsidR="0015491C" w:rsidRPr="007E4DA1">
              <w:rPr>
                <w:rFonts w:eastAsia="Calibri"/>
                <w:szCs w:val="22"/>
                <w:lang w:eastAsia="en-GB"/>
              </w:rPr>
              <w:t>.</w:t>
            </w:r>
          </w:p>
          <w:p w14:paraId="7F12DB32" w14:textId="77777777" w:rsidR="002F6B62" w:rsidRPr="007E4DA1" w:rsidRDefault="002F6B62" w:rsidP="00DE1596">
            <w:pPr>
              <w:numPr>
                <w:ilvl w:val="0"/>
                <w:numId w:val="56"/>
              </w:numPr>
              <w:tabs>
                <w:tab w:val="left" w:pos="567"/>
              </w:tabs>
              <w:ind w:left="567" w:hanging="567"/>
              <w:rPr>
                <w:rFonts w:eastAsia="Calibri"/>
                <w:szCs w:val="22"/>
                <w:lang w:eastAsia="en-GB"/>
              </w:rPr>
            </w:pPr>
            <w:r w:rsidRPr="007E4DA1">
              <w:rPr>
                <w:rFonts w:eastAsia="Calibri"/>
                <w:szCs w:val="24"/>
                <w:lang w:eastAsia="en-GB"/>
              </w:rPr>
              <w:t>Starać się nie rozsypać proszku poza butelkę.</w:t>
            </w:r>
          </w:p>
        </w:tc>
        <w:tc>
          <w:tcPr>
            <w:tcW w:w="2844" w:type="dxa"/>
            <w:gridSpan w:val="2"/>
            <w:tcBorders>
              <w:left w:val="single" w:sz="4" w:space="0" w:color="auto"/>
            </w:tcBorders>
          </w:tcPr>
          <w:p w14:paraId="116FFCBC" w14:textId="77777777" w:rsidR="002F6B62" w:rsidRPr="007E4DA1" w:rsidRDefault="00665357" w:rsidP="00DE1596">
            <w:pPr>
              <w:tabs>
                <w:tab w:val="left" w:pos="720"/>
                <w:tab w:val="left" w:pos="994"/>
              </w:tabs>
              <w:ind w:left="0" w:firstLine="0"/>
              <w:jc w:val="center"/>
              <w:rPr>
                <w:rFonts w:ascii="Verdana" w:hAnsi="Verdana"/>
                <w:szCs w:val="22"/>
                <w:lang w:eastAsia="en-US"/>
              </w:rPr>
            </w:pPr>
            <w:r w:rsidRPr="007E4DA1">
              <w:rPr>
                <w:rFonts w:ascii="Verdana" w:hAnsi="Verdana"/>
                <w:noProof/>
                <w:szCs w:val="22"/>
                <w:lang w:val="en-US" w:eastAsia="en-US"/>
              </w:rPr>
              <w:drawing>
                <wp:inline distT="0" distB="0" distL="0" distR="0" wp14:anchorId="7640FE5D" wp14:editId="366B2D86">
                  <wp:extent cx="691515" cy="1296035"/>
                  <wp:effectExtent l="0" t="0" r="0" b="0"/>
                  <wp:docPr id="13" name="Picture 77" descr="P IFU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 IFU 3-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1515" cy="1296035"/>
                          </a:xfrm>
                          <a:prstGeom prst="rect">
                            <a:avLst/>
                          </a:prstGeom>
                          <a:noFill/>
                          <a:ln>
                            <a:noFill/>
                          </a:ln>
                        </pic:spPr>
                      </pic:pic>
                    </a:graphicData>
                  </a:graphic>
                </wp:inline>
              </w:drawing>
            </w:r>
          </w:p>
        </w:tc>
      </w:tr>
      <w:tr w:rsidR="002F6B62" w:rsidRPr="007E4DA1" w14:paraId="3661CB50" w14:textId="77777777" w:rsidTr="00291DF6">
        <w:trPr>
          <w:cantSplit/>
          <w:trHeight w:val="20"/>
        </w:trPr>
        <w:tc>
          <w:tcPr>
            <w:tcW w:w="9286" w:type="dxa"/>
            <w:gridSpan w:val="3"/>
          </w:tcPr>
          <w:p w14:paraId="6EC27DD2" w14:textId="77777777" w:rsidR="002F6B62" w:rsidRPr="007E4DA1" w:rsidRDefault="002F6B62" w:rsidP="00DE1596">
            <w:pPr>
              <w:tabs>
                <w:tab w:val="left" w:pos="720"/>
                <w:tab w:val="left" w:pos="994"/>
              </w:tabs>
              <w:ind w:left="0" w:firstLine="0"/>
              <w:rPr>
                <w:rFonts w:ascii="Verdana" w:hAnsi="Verdana"/>
                <w:szCs w:val="22"/>
                <w:lang w:eastAsia="en-US"/>
              </w:rPr>
            </w:pPr>
            <w:r w:rsidRPr="007E4DA1">
              <w:rPr>
                <w:b/>
                <w:szCs w:val="22"/>
                <w:lang w:eastAsia="en-US"/>
              </w:rPr>
              <w:t>6.</w:t>
            </w:r>
            <w:r w:rsidRPr="007E4DA1">
              <w:rPr>
                <w:szCs w:val="22"/>
                <w:lang w:eastAsia="en-US"/>
              </w:rPr>
              <w:t xml:space="preserve">  </w:t>
            </w:r>
            <w:r w:rsidRPr="007E4DA1">
              <w:rPr>
                <w:b/>
                <w:szCs w:val="22"/>
                <w:lang w:eastAsia="en-US"/>
              </w:rPr>
              <w:t>Nakręcić nakrętkę na butelkę przeznaczoną do przygotowania zawiesiny</w:t>
            </w:r>
            <w:r w:rsidRPr="007E4DA1">
              <w:rPr>
                <w:szCs w:val="22"/>
                <w:lang w:eastAsia="en-US"/>
              </w:rPr>
              <w:t xml:space="preserve">. </w:t>
            </w:r>
            <w:r w:rsidR="002774B3" w:rsidRPr="007E4DA1">
              <w:rPr>
                <w:szCs w:val="22"/>
                <w:lang w:eastAsia="en-US"/>
              </w:rPr>
              <w:t>Zamkną</w:t>
            </w:r>
            <w:r w:rsidRPr="007E4DA1">
              <w:rPr>
                <w:szCs w:val="22"/>
                <w:lang w:eastAsia="en-US"/>
              </w:rPr>
              <w:t xml:space="preserve">ć </w:t>
            </w:r>
            <w:r w:rsidR="0015491C" w:rsidRPr="007E4DA1">
              <w:rPr>
                <w:szCs w:val="22"/>
                <w:lang w:eastAsia="en-US"/>
              </w:rPr>
              <w:t>wieczko</w:t>
            </w:r>
            <w:r w:rsidR="002774B3" w:rsidRPr="007E4DA1">
              <w:rPr>
                <w:szCs w:val="22"/>
                <w:lang w:eastAsia="en-US"/>
              </w:rPr>
              <w:t xml:space="preserve">, </w:t>
            </w:r>
            <w:r w:rsidRPr="007E4DA1">
              <w:rPr>
                <w:szCs w:val="22"/>
                <w:lang w:eastAsia="en-US"/>
              </w:rPr>
              <w:t>upewniając się, że mocno przylega on</w:t>
            </w:r>
            <w:r w:rsidR="002774B3" w:rsidRPr="007E4DA1">
              <w:rPr>
                <w:szCs w:val="22"/>
                <w:lang w:eastAsia="en-US"/>
              </w:rPr>
              <w:t>o</w:t>
            </w:r>
            <w:r w:rsidRPr="007E4DA1">
              <w:rPr>
                <w:szCs w:val="22"/>
                <w:lang w:eastAsia="en-US"/>
              </w:rPr>
              <w:t xml:space="preserve"> do nakrętki i butelka jest zamknięta.</w:t>
            </w:r>
          </w:p>
        </w:tc>
      </w:tr>
      <w:tr w:rsidR="002F6B62" w:rsidRPr="007E4DA1" w14:paraId="7DC30F09" w14:textId="77777777" w:rsidTr="00291DF6">
        <w:trPr>
          <w:cantSplit/>
          <w:trHeight w:val="20"/>
        </w:trPr>
        <w:tc>
          <w:tcPr>
            <w:tcW w:w="9286" w:type="dxa"/>
            <w:gridSpan w:val="3"/>
          </w:tcPr>
          <w:p w14:paraId="60C196CD" w14:textId="77777777" w:rsidR="002F6B62" w:rsidRPr="007E4DA1" w:rsidRDefault="002F6B62" w:rsidP="00DE1596">
            <w:pPr>
              <w:tabs>
                <w:tab w:val="left" w:pos="720"/>
                <w:tab w:val="left" w:pos="994"/>
              </w:tabs>
              <w:ind w:left="0" w:firstLine="0"/>
              <w:rPr>
                <w:szCs w:val="22"/>
                <w:lang w:eastAsia="en-US"/>
              </w:rPr>
            </w:pPr>
          </w:p>
        </w:tc>
      </w:tr>
      <w:tr w:rsidR="002F6B62" w:rsidRPr="007E4DA1" w14:paraId="77BCECA0" w14:textId="77777777" w:rsidTr="00291DF6">
        <w:trPr>
          <w:cantSplit/>
          <w:trHeight w:val="20"/>
        </w:trPr>
        <w:tc>
          <w:tcPr>
            <w:tcW w:w="6442" w:type="dxa"/>
            <w:tcBorders>
              <w:right w:val="single" w:sz="4" w:space="0" w:color="auto"/>
            </w:tcBorders>
          </w:tcPr>
          <w:p w14:paraId="3F24C0EF" w14:textId="77777777" w:rsidR="002F6B62" w:rsidRPr="007E4DA1" w:rsidRDefault="002F6B62" w:rsidP="00DE1596">
            <w:pPr>
              <w:ind w:left="0" w:firstLine="0"/>
              <w:contextualSpacing/>
              <w:rPr>
                <w:rFonts w:eastAsia="Calibri"/>
                <w:szCs w:val="22"/>
                <w:lang w:eastAsia="en-US"/>
              </w:rPr>
            </w:pPr>
            <w:r w:rsidRPr="007E4DA1">
              <w:rPr>
                <w:rFonts w:eastAsia="Calibri"/>
                <w:b/>
                <w:szCs w:val="22"/>
                <w:lang w:eastAsia="en-US"/>
              </w:rPr>
              <w:t xml:space="preserve">7.  Delikatnie i wolno potrząsać butelką </w:t>
            </w:r>
            <w:r w:rsidRPr="007E4DA1">
              <w:rPr>
                <w:rFonts w:eastAsia="Calibri"/>
                <w:szCs w:val="22"/>
                <w:lang w:eastAsia="en-US"/>
              </w:rPr>
              <w:t xml:space="preserve">do przodu i do tyłu przez </w:t>
            </w:r>
            <w:r w:rsidRPr="007E4DA1">
              <w:rPr>
                <w:rFonts w:eastAsia="Calibri"/>
                <w:b/>
                <w:szCs w:val="22"/>
                <w:lang w:eastAsia="en-US"/>
              </w:rPr>
              <w:t>co najmniej 20 sekund</w:t>
            </w:r>
            <w:r w:rsidRPr="007E4DA1">
              <w:rPr>
                <w:rFonts w:eastAsia="Calibri"/>
                <w:szCs w:val="22"/>
                <w:lang w:eastAsia="en-US"/>
              </w:rPr>
              <w:t>, aby wymieszać wodę z proszkiem.</w:t>
            </w:r>
          </w:p>
          <w:p w14:paraId="000A63A0" w14:textId="77777777" w:rsidR="002F6B62" w:rsidRPr="007E4DA1" w:rsidRDefault="002F6B62" w:rsidP="00DE1596">
            <w:pPr>
              <w:numPr>
                <w:ilvl w:val="0"/>
                <w:numId w:val="47"/>
              </w:numPr>
              <w:tabs>
                <w:tab w:val="left" w:pos="-8647"/>
                <w:tab w:val="left" w:pos="567"/>
              </w:tabs>
              <w:ind w:left="567" w:hanging="567"/>
              <w:contextualSpacing/>
              <w:rPr>
                <w:rFonts w:eastAsia="Calibri"/>
                <w:szCs w:val="22"/>
                <w:lang w:eastAsia="en-US"/>
              </w:rPr>
            </w:pPr>
            <w:r w:rsidRPr="007E4DA1">
              <w:rPr>
                <w:rFonts w:eastAsia="Calibri"/>
                <w:b/>
                <w:szCs w:val="22"/>
                <w:lang w:eastAsia="en-US"/>
              </w:rPr>
              <w:t>Nie potrząsać mocno</w:t>
            </w:r>
            <w:r w:rsidRPr="007E4DA1">
              <w:rPr>
                <w:rFonts w:eastAsia="Calibri"/>
                <w:szCs w:val="22"/>
                <w:lang w:eastAsia="en-US"/>
              </w:rPr>
              <w:t xml:space="preserve"> butelką — mogłoby to spowodować spienienie się leku.</w:t>
            </w:r>
          </w:p>
        </w:tc>
        <w:tc>
          <w:tcPr>
            <w:tcW w:w="2844" w:type="dxa"/>
            <w:gridSpan w:val="2"/>
            <w:tcBorders>
              <w:left w:val="single" w:sz="4" w:space="0" w:color="auto"/>
            </w:tcBorders>
          </w:tcPr>
          <w:p w14:paraId="299C9997" w14:textId="77777777" w:rsidR="002F6B62" w:rsidRPr="007E4DA1" w:rsidRDefault="00665357" w:rsidP="00DE1596">
            <w:pPr>
              <w:tabs>
                <w:tab w:val="left" w:pos="720"/>
                <w:tab w:val="left" w:pos="994"/>
              </w:tabs>
              <w:ind w:left="0" w:firstLine="0"/>
              <w:jc w:val="center"/>
              <w:rPr>
                <w:rFonts w:ascii="Verdana" w:hAnsi="Verdana"/>
                <w:szCs w:val="22"/>
                <w:lang w:eastAsia="en-US"/>
              </w:rPr>
            </w:pPr>
            <w:r w:rsidRPr="007E4DA1">
              <w:rPr>
                <w:rFonts w:ascii="Verdana" w:hAnsi="Verdana"/>
                <w:noProof/>
                <w:szCs w:val="22"/>
                <w:lang w:val="en-US" w:eastAsia="en-US"/>
              </w:rPr>
              <w:drawing>
                <wp:inline distT="0" distB="0" distL="0" distR="0" wp14:anchorId="48BE2B58" wp14:editId="4291BB9D">
                  <wp:extent cx="970280" cy="1065530"/>
                  <wp:effectExtent l="0" t="0" r="0" b="0"/>
                  <wp:docPr id="14" name="Picture 78" descr="P IFU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P IFU 4-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70280" cy="1065530"/>
                          </a:xfrm>
                          <a:prstGeom prst="rect">
                            <a:avLst/>
                          </a:prstGeom>
                          <a:noFill/>
                          <a:ln>
                            <a:noFill/>
                          </a:ln>
                        </pic:spPr>
                      </pic:pic>
                    </a:graphicData>
                  </a:graphic>
                </wp:inline>
              </w:drawing>
            </w:r>
          </w:p>
        </w:tc>
      </w:tr>
      <w:tr w:rsidR="002F6B62" w:rsidRPr="007E4DA1" w14:paraId="06FBDD45" w14:textId="77777777" w:rsidTr="00291DF6">
        <w:trPr>
          <w:cantSplit/>
          <w:trHeight w:val="20"/>
        </w:trPr>
        <w:tc>
          <w:tcPr>
            <w:tcW w:w="9286" w:type="dxa"/>
            <w:gridSpan w:val="3"/>
          </w:tcPr>
          <w:p w14:paraId="25CEBB80" w14:textId="7CDAAAAE" w:rsidR="002F6B62" w:rsidRPr="007E4DA1" w:rsidRDefault="002F6B62" w:rsidP="00DE1596">
            <w:pPr>
              <w:keepNext/>
              <w:tabs>
                <w:tab w:val="left" w:pos="720"/>
                <w:tab w:val="left" w:pos="994"/>
              </w:tabs>
              <w:ind w:left="0" w:firstLine="0"/>
              <w:rPr>
                <w:b/>
                <w:szCs w:val="22"/>
                <w:lang w:eastAsia="en-US"/>
              </w:rPr>
            </w:pPr>
            <w:r w:rsidRPr="007E4DA1">
              <w:rPr>
                <w:b/>
                <w:szCs w:val="22"/>
                <w:lang w:eastAsia="en-US"/>
              </w:rPr>
              <w:t xml:space="preserve">Aby podać dawkę leku </w:t>
            </w:r>
            <w:r w:rsidR="00E16DA1" w:rsidRPr="007E4DA1">
              <w:rPr>
                <w:b/>
                <w:szCs w:val="22"/>
                <w:lang w:eastAsia="en-US"/>
              </w:rPr>
              <w:t>pacjentowi</w:t>
            </w:r>
          </w:p>
        </w:tc>
      </w:tr>
      <w:tr w:rsidR="002F6B62" w:rsidRPr="007E4DA1" w14:paraId="70487950" w14:textId="77777777" w:rsidTr="00291DF6">
        <w:trPr>
          <w:cantSplit/>
          <w:trHeight w:val="20"/>
        </w:trPr>
        <w:tc>
          <w:tcPr>
            <w:tcW w:w="9286" w:type="dxa"/>
            <w:gridSpan w:val="3"/>
          </w:tcPr>
          <w:p w14:paraId="07644349" w14:textId="77777777" w:rsidR="002F6B62" w:rsidRPr="007E4DA1" w:rsidRDefault="002F6B62" w:rsidP="00DE1596">
            <w:pPr>
              <w:tabs>
                <w:tab w:val="left" w:pos="720"/>
                <w:tab w:val="left" w:pos="994"/>
              </w:tabs>
              <w:ind w:left="0" w:firstLine="0"/>
              <w:rPr>
                <w:szCs w:val="22"/>
                <w:lang w:eastAsia="en-US"/>
              </w:rPr>
            </w:pPr>
            <w:r w:rsidRPr="007E4DA1">
              <w:rPr>
                <w:b/>
                <w:szCs w:val="22"/>
                <w:lang w:eastAsia="en-US"/>
              </w:rPr>
              <w:t>8.</w:t>
            </w:r>
            <w:r w:rsidRPr="007E4DA1">
              <w:rPr>
                <w:szCs w:val="22"/>
                <w:lang w:eastAsia="en-US"/>
              </w:rPr>
              <w:t xml:space="preserve">  </w:t>
            </w:r>
            <w:r w:rsidRPr="007E4DA1">
              <w:rPr>
                <w:b/>
                <w:szCs w:val="22"/>
                <w:lang w:eastAsia="en-US"/>
              </w:rPr>
              <w:t>Sprawdzić</w:t>
            </w:r>
            <w:r w:rsidRPr="007E4DA1">
              <w:rPr>
                <w:szCs w:val="22"/>
                <w:lang w:eastAsia="en-US"/>
              </w:rPr>
              <w:t xml:space="preserve">, czy tłok strzykawki jest </w:t>
            </w:r>
            <w:r w:rsidR="0015491C" w:rsidRPr="007E4DA1">
              <w:rPr>
                <w:szCs w:val="22"/>
                <w:lang w:eastAsia="en-US"/>
              </w:rPr>
              <w:t>wciśnięt</w:t>
            </w:r>
            <w:r w:rsidRPr="007E4DA1">
              <w:rPr>
                <w:szCs w:val="22"/>
                <w:lang w:eastAsia="en-US"/>
              </w:rPr>
              <w:t>y do samego dołu.</w:t>
            </w:r>
          </w:p>
          <w:p w14:paraId="2C76093C" w14:textId="4BBEB206" w:rsidR="002F6B62" w:rsidRPr="007E4DA1" w:rsidRDefault="002F6B62" w:rsidP="00DE1596">
            <w:pPr>
              <w:numPr>
                <w:ilvl w:val="0"/>
                <w:numId w:val="57"/>
              </w:numPr>
              <w:tabs>
                <w:tab w:val="left" w:pos="567"/>
              </w:tabs>
              <w:ind w:left="567" w:hanging="567"/>
              <w:rPr>
                <w:szCs w:val="22"/>
                <w:lang w:eastAsia="en-US"/>
              </w:rPr>
            </w:pPr>
            <w:r w:rsidRPr="007E4DA1">
              <w:rPr>
                <w:b/>
                <w:szCs w:val="22"/>
                <w:lang w:eastAsia="en-US"/>
              </w:rPr>
              <w:t xml:space="preserve">Zdjąć </w:t>
            </w:r>
            <w:r w:rsidR="0015491C" w:rsidRPr="007E4DA1">
              <w:rPr>
                <w:b/>
                <w:szCs w:val="22"/>
                <w:lang w:eastAsia="en-US"/>
              </w:rPr>
              <w:t>wieczko</w:t>
            </w:r>
            <w:r w:rsidRPr="007E4DA1">
              <w:rPr>
                <w:b/>
                <w:szCs w:val="22"/>
                <w:lang w:eastAsia="en-US"/>
              </w:rPr>
              <w:t xml:space="preserve"> z </w:t>
            </w:r>
            <w:r w:rsidRPr="007E4DA1">
              <w:rPr>
                <w:szCs w:val="22"/>
                <w:lang w:eastAsia="en-US"/>
              </w:rPr>
              <w:t>nakrętki znajdującej się na butelce</w:t>
            </w:r>
            <w:r w:rsidR="00C815B4">
              <w:rPr>
                <w:szCs w:val="22"/>
                <w:lang w:eastAsia="en-US"/>
              </w:rPr>
              <w:t>.</w:t>
            </w:r>
          </w:p>
          <w:p w14:paraId="474D01BD" w14:textId="77777777" w:rsidR="002F6B62" w:rsidRPr="007E4DA1" w:rsidRDefault="002F6B62" w:rsidP="00DE1596">
            <w:pPr>
              <w:numPr>
                <w:ilvl w:val="0"/>
                <w:numId w:val="57"/>
              </w:numPr>
              <w:tabs>
                <w:tab w:val="left" w:pos="567"/>
              </w:tabs>
              <w:ind w:left="567" w:hanging="567"/>
              <w:rPr>
                <w:szCs w:val="22"/>
                <w:lang w:eastAsia="en-US"/>
              </w:rPr>
            </w:pPr>
            <w:r w:rsidRPr="007E4DA1">
              <w:rPr>
                <w:b/>
                <w:szCs w:val="22"/>
                <w:lang w:eastAsia="en-US"/>
              </w:rPr>
              <w:t>Wsunąć końcówkę strzykawki</w:t>
            </w:r>
            <w:r w:rsidRPr="007E4DA1">
              <w:rPr>
                <w:szCs w:val="22"/>
                <w:lang w:eastAsia="en-US"/>
              </w:rPr>
              <w:t xml:space="preserve"> do otworu w nakrętce butelki.</w:t>
            </w:r>
          </w:p>
        </w:tc>
      </w:tr>
      <w:tr w:rsidR="002F6B62" w:rsidRPr="007E4DA1" w14:paraId="6DE49367" w14:textId="77777777" w:rsidTr="00291DF6">
        <w:trPr>
          <w:cantSplit/>
          <w:trHeight w:val="20"/>
        </w:trPr>
        <w:tc>
          <w:tcPr>
            <w:tcW w:w="6442" w:type="dxa"/>
            <w:tcBorders>
              <w:right w:val="single" w:sz="4" w:space="0" w:color="auto"/>
            </w:tcBorders>
          </w:tcPr>
          <w:p w14:paraId="77C1B808" w14:textId="77777777" w:rsidR="00041A08" w:rsidRPr="00041A08" w:rsidRDefault="002F6B62" w:rsidP="00DE1596">
            <w:pPr>
              <w:tabs>
                <w:tab w:val="left" w:pos="720"/>
                <w:tab w:val="left" w:pos="994"/>
              </w:tabs>
              <w:ind w:left="0" w:firstLine="0"/>
              <w:contextualSpacing/>
              <w:rPr>
                <w:szCs w:val="22"/>
                <w:lang w:eastAsia="en-US"/>
              </w:rPr>
            </w:pPr>
            <w:r w:rsidRPr="007E4DA1">
              <w:rPr>
                <w:b/>
                <w:szCs w:val="22"/>
                <w:lang w:eastAsia="en-US"/>
              </w:rPr>
              <w:t>9.  Napełnić strzykawkę lekiem.</w:t>
            </w:r>
          </w:p>
          <w:p w14:paraId="1762AA25" w14:textId="2614670A" w:rsidR="002F6B62" w:rsidRPr="007E4DA1" w:rsidRDefault="002F6B62" w:rsidP="00DE1596">
            <w:pPr>
              <w:numPr>
                <w:ilvl w:val="0"/>
                <w:numId w:val="47"/>
              </w:numPr>
              <w:tabs>
                <w:tab w:val="left" w:pos="-8647"/>
                <w:tab w:val="left" w:pos="567"/>
              </w:tabs>
              <w:ind w:left="567" w:hanging="567"/>
              <w:rPr>
                <w:szCs w:val="22"/>
                <w:lang w:eastAsia="en-US"/>
              </w:rPr>
            </w:pPr>
            <w:r w:rsidRPr="007E4DA1">
              <w:rPr>
                <w:szCs w:val="22"/>
                <w:lang w:eastAsia="en-US"/>
              </w:rPr>
              <w:t>Obrócić butelkę ze strzykawką do góry dnem.</w:t>
            </w:r>
          </w:p>
          <w:p w14:paraId="3F25FF0B" w14:textId="55B5312E" w:rsidR="002F6B62" w:rsidRDefault="002F6B62" w:rsidP="00DE1596">
            <w:pPr>
              <w:numPr>
                <w:ilvl w:val="0"/>
                <w:numId w:val="47"/>
              </w:numPr>
              <w:tabs>
                <w:tab w:val="left" w:pos="-8647"/>
                <w:tab w:val="left" w:pos="567"/>
              </w:tabs>
              <w:ind w:left="567" w:hanging="567"/>
              <w:rPr>
                <w:szCs w:val="22"/>
                <w:lang w:eastAsia="en-US"/>
              </w:rPr>
            </w:pPr>
            <w:r w:rsidRPr="007E4DA1">
              <w:rPr>
                <w:szCs w:val="22"/>
                <w:lang w:eastAsia="en-US"/>
              </w:rPr>
              <w:t>Odciągać tłok</w:t>
            </w:r>
            <w:r w:rsidR="00C815B4">
              <w:rPr>
                <w:szCs w:val="22"/>
                <w:lang w:eastAsia="en-US"/>
              </w:rPr>
              <w:t>:</w:t>
            </w:r>
          </w:p>
          <w:p w14:paraId="6FC41688" w14:textId="72103308" w:rsidR="00C815B4" w:rsidRDefault="00C815B4" w:rsidP="00C815B4">
            <w:pPr>
              <w:pStyle w:val="ListParagraph"/>
              <w:numPr>
                <w:ilvl w:val="0"/>
                <w:numId w:val="76"/>
              </w:numPr>
              <w:tabs>
                <w:tab w:val="left" w:pos="-8647"/>
                <w:tab w:val="left" w:pos="567"/>
              </w:tabs>
              <w:ind w:left="1026" w:hanging="425"/>
              <w:rPr>
                <w:szCs w:val="22"/>
                <w:lang w:eastAsia="en-US"/>
              </w:rPr>
            </w:pPr>
            <w:r>
              <w:rPr>
                <w:szCs w:val="22"/>
                <w:lang w:eastAsia="en-US"/>
              </w:rPr>
              <w:t xml:space="preserve">do oznaczenia 10 ml na strzykawce </w:t>
            </w:r>
            <w:r w:rsidRPr="00553AB7">
              <w:rPr>
                <w:b/>
                <w:bCs/>
                <w:szCs w:val="22"/>
                <w:lang w:eastAsia="en-US"/>
              </w:rPr>
              <w:t>wyłącznie w celu podania dawki 12,5 mg</w:t>
            </w:r>
            <w:r>
              <w:rPr>
                <w:szCs w:val="22"/>
                <w:lang w:eastAsia="en-US"/>
              </w:rPr>
              <w:t>.</w:t>
            </w:r>
          </w:p>
          <w:p w14:paraId="5CA37B07" w14:textId="77777777" w:rsidR="00041A08" w:rsidRPr="00041A08" w:rsidRDefault="00C815B4" w:rsidP="00553AB7">
            <w:pPr>
              <w:tabs>
                <w:tab w:val="left" w:pos="-8647"/>
                <w:tab w:val="left" w:pos="567"/>
              </w:tabs>
              <w:ind w:left="601" w:firstLine="0"/>
              <w:rPr>
                <w:szCs w:val="22"/>
                <w:lang w:eastAsia="en-US"/>
              </w:rPr>
            </w:pPr>
            <w:r w:rsidRPr="00553AB7">
              <w:rPr>
                <w:b/>
                <w:bCs/>
                <w:szCs w:val="22"/>
                <w:lang w:eastAsia="en-US"/>
              </w:rPr>
              <w:t>LUB</w:t>
            </w:r>
          </w:p>
          <w:p w14:paraId="0CE23C83" w14:textId="5DBDFD18" w:rsidR="00C815B4" w:rsidRPr="00C815B4" w:rsidRDefault="00C815B4" w:rsidP="00C815B4">
            <w:pPr>
              <w:pStyle w:val="ListParagraph"/>
              <w:numPr>
                <w:ilvl w:val="0"/>
                <w:numId w:val="76"/>
              </w:numPr>
              <w:tabs>
                <w:tab w:val="left" w:pos="-8647"/>
                <w:tab w:val="left" w:pos="567"/>
              </w:tabs>
              <w:ind w:left="1026" w:hanging="425"/>
              <w:rPr>
                <w:szCs w:val="22"/>
                <w:lang w:eastAsia="en-US"/>
              </w:rPr>
            </w:pPr>
            <w:r>
              <w:rPr>
                <w:szCs w:val="22"/>
                <w:lang w:eastAsia="en-US"/>
              </w:rPr>
              <w:t xml:space="preserve">do czasu, gdy cały lek znajdzie się w strzykawkce </w:t>
            </w:r>
            <w:r w:rsidRPr="00553AB7">
              <w:rPr>
                <w:b/>
                <w:bCs/>
                <w:szCs w:val="22"/>
                <w:lang w:eastAsia="en-US"/>
              </w:rPr>
              <w:t>(w</w:t>
            </w:r>
            <w:r w:rsidR="00553AB7">
              <w:rPr>
                <w:b/>
                <w:bCs/>
                <w:szCs w:val="22"/>
                <w:lang w:eastAsia="en-US"/>
              </w:rPr>
              <w:t> </w:t>
            </w:r>
            <w:r w:rsidRPr="00553AB7">
              <w:rPr>
                <w:b/>
                <w:bCs/>
                <w:szCs w:val="22"/>
                <w:lang w:eastAsia="en-US"/>
              </w:rPr>
              <w:t>celu podania dawki 25 mg, 50 mg lub 75 mg)</w:t>
            </w:r>
            <w:r>
              <w:rPr>
                <w:szCs w:val="22"/>
                <w:lang w:eastAsia="en-US"/>
              </w:rPr>
              <w:t>.</w:t>
            </w:r>
          </w:p>
          <w:p w14:paraId="2FB62C47" w14:textId="77777777" w:rsidR="002F6B62" w:rsidRPr="007E4DA1" w:rsidRDefault="002F6B62" w:rsidP="00DE1596">
            <w:pPr>
              <w:numPr>
                <w:ilvl w:val="0"/>
                <w:numId w:val="47"/>
              </w:numPr>
              <w:tabs>
                <w:tab w:val="left" w:pos="-8647"/>
                <w:tab w:val="left" w:pos="567"/>
              </w:tabs>
              <w:ind w:left="567" w:hanging="567"/>
              <w:rPr>
                <w:szCs w:val="22"/>
                <w:lang w:eastAsia="en-US"/>
              </w:rPr>
            </w:pPr>
            <w:r w:rsidRPr="007E4DA1">
              <w:rPr>
                <w:szCs w:val="22"/>
                <w:lang w:eastAsia="en-US"/>
              </w:rPr>
              <w:t>Lek ma wygląd ciemnobrązowego płynu.</w:t>
            </w:r>
          </w:p>
          <w:p w14:paraId="7ACD6D1E" w14:textId="77777777" w:rsidR="002F6B62" w:rsidRPr="007E4DA1" w:rsidRDefault="002F6B62" w:rsidP="00DE1596">
            <w:pPr>
              <w:numPr>
                <w:ilvl w:val="0"/>
                <w:numId w:val="47"/>
              </w:numPr>
              <w:tabs>
                <w:tab w:val="left" w:pos="-8647"/>
                <w:tab w:val="left" w:pos="567"/>
              </w:tabs>
              <w:ind w:left="567" w:hanging="567"/>
              <w:rPr>
                <w:szCs w:val="22"/>
                <w:lang w:eastAsia="en-US"/>
              </w:rPr>
            </w:pPr>
            <w:r w:rsidRPr="007E4DA1">
              <w:rPr>
                <w:szCs w:val="22"/>
                <w:lang w:eastAsia="en-US"/>
              </w:rPr>
              <w:t>Wyjąć strzykawkę z butelki.</w:t>
            </w:r>
          </w:p>
        </w:tc>
        <w:tc>
          <w:tcPr>
            <w:tcW w:w="2844" w:type="dxa"/>
            <w:gridSpan w:val="2"/>
            <w:tcBorders>
              <w:left w:val="single" w:sz="4" w:space="0" w:color="auto"/>
            </w:tcBorders>
          </w:tcPr>
          <w:p w14:paraId="35E0031F" w14:textId="77777777" w:rsidR="002F6B62" w:rsidRPr="007E4DA1" w:rsidRDefault="00665357" w:rsidP="00DE1596">
            <w:pPr>
              <w:tabs>
                <w:tab w:val="left" w:pos="720"/>
                <w:tab w:val="left" w:pos="994"/>
              </w:tabs>
              <w:ind w:left="0" w:firstLine="0"/>
              <w:jc w:val="center"/>
              <w:rPr>
                <w:rFonts w:ascii="Verdana" w:hAnsi="Verdana"/>
                <w:szCs w:val="22"/>
                <w:lang w:eastAsia="en-US"/>
              </w:rPr>
            </w:pPr>
            <w:r w:rsidRPr="007E4DA1">
              <w:rPr>
                <w:rFonts w:ascii="Verdana" w:hAnsi="Verdana"/>
                <w:noProof/>
                <w:szCs w:val="22"/>
                <w:lang w:val="en-US" w:eastAsia="en-US"/>
              </w:rPr>
              <w:drawing>
                <wp:inline distT="0" distB="0" distL="0" distR="0" wp14:anchorId="6BD75E68" wp14:editId="404DBCF5">
                  <wp:extent cx="914400" cy="1375410"/>
                  <wp:effectExtent l="0" t="0" r="0" b="0"/>
                  <wp:docPr id="15" name="Picture 79" descr="P IFU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 IFU 5-0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4400" cy="1375410"/>
                          </a:xfrm>
                          <a:prstGeom prst="rect">
                            <a:avLst/>
                          </a:prstGeom>
                          <a:noFill/>
                          <a:ln>
                            <a:noFill/>
                          </a:ln>
                        </pic:spPr>
                      </pic:pic>
                    </a:graphicData>
                  </a:graphic>
                </wp:inline>
              </w:drawing>
            </w:r>
          </w:p>
        </w:tc>
      </w:tr>
      <w:tr w:rsidR="002F6B62" w:rsidRPr="007E4DA1" w14:paraId="283E6F5C" w14:textId="77777777" w:rsidTr="00291DF6">
        <w:trPr>
          <w:cantSplit/>
          <w:trHeight w:val="20"/>
        </w:trPr>
        <w:tc>
          <w:tcPr>
            <w:tcW w:w="6442" w:type="dxa"/>
            <w:tcBorders>
              <w:right w:val="single" w:sz="4" w:space="0" w:color="auto"/>
            </w:tcBorders>
          </w:tcPr>
          <w:p w14:paraId="32E6BD3B" w14:textId="77777777" w:rsidR="00041A08" w:rsidRPr="00041A08" w:rsidRDefault="002F6B62" w:rsidP="00DE1596">
            <w:pPr>
              <w:tabs>
                <w:tab w:val="left" w:pos="720"/>
                <w:tab w:val="left" w:pos="994"/>
              </w:tabs>
              <w:ind w:left="0" w:firstLine="0"/>
              <w:contextualSpacing/>
              <w:rPr>
                <w:szCs w:val="22"/>
                <w:lang w:eastAsia="en-US"/>
              </w:rPr>
            </w:pPr>
            <w:r w:rsidRPr="007E4DA1">
              <w:rPr>
                <w:b/>
                <w:szCs w:val="22"/>
                <w:lang w:eastAsia="en-US"/>
              </w:rPr>
              <w:t>10.</w:t>
            </w:r>
            <w:r w:rsidRPr="007E4DA1">
              <w:rPr>
                <w:szCs w:val="22"/>
                <w:lang w:eastAsia="en-US"/>
              </w:rPr>
              <w:t xml:space="preserve">  </w:t>
            </w:r>
            <w:r w:rsidRPr="007E4DA1">
              <w:rPr>
                <w:b/>
                <w:szCs w:val="22"/>
                <w:lang w:eastAsia="en-US"/>
              </w:rPr>
              <w:t xml:space="preserve">Podać lek </w:t>
            </w:r>
            <w:r w:rsidR="00E16DA1" w:rsidRPr="007E4DA1">
              <w:rPr>
                <w:b/>
                <w:szCs w:val="22"/>
                <w:lang w:eastAsia="en-US"/>
              </w:rPr>
              <w:t>pacjentowi</w:t>
            </w:r>
            <w:r w:rsidRPr="007E4DA1">
              <w:rPr>
                <w:b/>
                <w:szCs w:val="22"/>
                <w:lang w:eastAsia="en-US"/>
              </w:rPr>
              <w:t>.</w:t>
            </w:r>
            <w:r w:rsidRPr="007E4DA1">
              <w:rPr>
                <w:szCs w:val="22"/>
                <w:lang w:eastAsia="en-US"/>
              </w:rPr>
              <w:t xml:space="preserve"> Należy zrobić to natychmiast po wymieszaniu dawki leku.</w:t>
            </w:r>
          </w:p>
          <w:p w14:paraId="5E9EB55F" w14:textId="06B3984F" w:rsidR="002F6B62" w:rsidRPr="007E4DA1" w:rsidRDefault="002F6B62" w:rsidP="00DE1596">
            <w:pPr>
              <w:numPr>
                <w:ilvl w:val="0"/>
                <w:numId w:val="48"/>
              </w:numPr>
              <w:tabs>
                <w:tab w:val="left" w:pos="-8647"/>
                <w:tab w:val="left" w:pos="567"/>
              </w:tabs>
              <w:ind w:left="567" w:hanging="567"/>
              <w:rPr>
                <w:szCs w:val="22"/>
                <w:lang w:eastAsia="en-US"/>
              </w:rPr>
            </w:pPr>
            <w:r w:rsidRPr="007E4DA1">
              <w:rPr>
                <w:szCs w:val="22"/>
                <w:lang w:eastAsia="en-US"/>
              </w:rPr>
              <w:t xml:space="preserve">Umieścić końcówkę strzykawki w ustach </w:t>
            </w:r>
            <w:r w:rsidR="00E16DA1" w:rsidRPr="007E4DA1">
              <w:rPr>
                <w:szCs w:val="22"/>
                <w:lang w:eastAsia="en-US"/>
              </w:rPr>
              <w:t>pacjenta</w:t>
            </w:r>
            <w:r w:rsidRPr="007E4DA1">
              <w:rPr>
                <w:szCs w:val="22"/>
                <w:lang w:eastAsia="en-US"/>
              </w:rPr>
              <w:t>, po wewnętrznej stronie policzka.</w:t>
            </w:r>
          </w:p>
          <w:p w14:paraId="09A0F2A1" w14:textId="1FB68E3A" w:rsidR="00A52E8B" w:rsidRPr="007E4DA1" w:rsidRDefault="002F6B62" w:rsidP="00DE1596">
            <w:pPr>
              <w:numPr>
                <w:ilvl w:val="0"/>
                <w:numId w:val="47"/>
              </w:numPr>
              <w:tabs>
                <w:tab w:val="left" w:pos="-8647"/>
                <w:tab w:val="left" w:pos="567"/>
              </w:tabs>
              <w:ind w:left="567" w:hanging="567"/>
              <w:rPr>
                <w:rFonts w:ascii="Verdana" w:hAnsi="Verdana"/>
                <w:szCs w:val="22"/>
                <w:lang w:eastAsia="en-US"/>
              </w:rPr>
            </w:pPr>
            <w:r w:rsidRPr="007E4DA1">
              <w:rPr>
                <w:b/>
                <w:szCs w:val="22"/>
                <w:lang w:eastAsia="en-US"/>
              </w:rPr>
              <w:t xml:space="preserve">Powoli </w:t>
            </w:r>
            <w:r w:rsidR="0015491C" w:rsidRPr="007E4DA1">
              <w:rPr>
                <w:b/>
                <w:szCs w:val="22"/>
                <w:lang w:eastAsia="en-US"/>
              </w:rPr>
              <w:t>wcisk</w:t>
            </w:r>
            <w:r w:rsidRPr="007E4DA1">
              <w:rPr>
                <w:b/>
                <w:szCs w:val="22"/>
                <w:lang w:eastAsia="en-US"/>
              </w:rPr>
              <w:t>ać tłok strzykawki do samego końca</w:t>
            </w:r>
            <w:r w:rsidRPr="007E4DA1">
              <w:rPr>
                <w:szCs w:val="22"/>
                <w:lang w:eastAsia="en-US"/>
              </w:rPr>
              <w:t xml:space="preserve">, wlewając lek do ust </w:t>
            </w:r>
            <w:r w:rsidR="00E16DA1" w:rsidRPr="007E4DA1">
              <w:rPr>
                <w:szCs w:val="22"/>
                <w:lang w:eastAsia="en-US"/>
              </w:rPr>
              <w:t>pacjenta</w:t>
            </w:r>
            <w:r w:rsidRPr="007E4DA1">
              <w:rPr>
                <w:szCs w:val="22"/>
                <w:lang w:eastAsia="en-US"/>
              </w:rPr>
              <w:t>.</w:t>
            </w:r>
          </w:p>
          <w:p w14:paraId="7E88BA4A" w14:textId="397B1572" w:rsidR="002F6B62" w:rsidRPr="007E4DA1" w:rsidRDefault="002F6B62" w:rsidP="00DE1596">
            <w:pPr>
              <w:numPr>
                <w:ilvl w:val="0"/>
                <w:numId w:val="47"/>
              </w:numPr>
              <w:tabs>
                <w:tab w:val="left" w:pos="-8647"/>
                <w:tab w:val="left" w:pos="567"/>
              </w:tabs>
              <w:ind w:left="567" w:hanging="567"/>
              <w:rPr>
                <w:rFonts w:ascii="Verdana" w:hAnsi="Verdana"/>
                <w:szCs w:val="22"/>
                <w:lang w:eastAsia="en-US"/>
              </w:rPr>
            </w:pPr>
            <w:r w:rsidRPr="007E4DA1">
              <w:rPr>
                <w:szCs w:val="22"/>
                <w:lang w:eastAsia="en-US"/>
              </w:rPr>
              <w:t xml:space="preserve">Należy dać </w:t>
            </w:r>
            <w:r w:rsidR="00E16DA1" w:rsidRPr="007E4DA1">
              <w:rPr>
                <w:szCs w:val="22"/>
                <w:lang w:eastAsia="en-US"/>
              </w:rPr>
              <w:t>pacjentowi</w:t>
            </w:r>
            <w:r w:rsidRPr="007E4DA1">
              <w:rPr>
                <w:szCs w:val="22"/>
                <w:lang w:eastAsia="en-US"/>
              </w:rPr>
              <w:t xml:space="preserve"> czas na przełykanie.</w:t>
            </w:r>
          </w:p>
        </w:tc>
        <w:tc>
          <w:tcPr>
            <w:tcW w:w="2844" w:type="dxa"/>
            <w:gridSpan w:val="2"/>
            <w:tcBorders>
              <w:left w:val="single" w:sz="4" w:space="0" w:color="auto"/>
            </w:tcBorders>
          </w:tcPr>
          <w:p w14:paraId="5E5FA4BD" w14:textId="77777777" w:rsidR="002F6B62" w:rsidRPr="007E4DA1" w:rsidRDefault="002F6B62" w:rsidP="00DE1596">
            <w:pPr>
              <w:tabs>
                <w:tab w:val="left" w:pos="720"/>
                <w:tab w:val="left" w:pos="994"/>
              </w:tabs>
              <w:ind w:left="0" w:firstLine="0"/>
              <w:jc w:val="center"/>
              <w:rPr>
                <w:rFonts w:ascii="Verdana" w:hAnsi="Verdana"/>
                <w:szCs w:val="22"/>
                <w:lang w:eastAsia="en-US"/>
              </w:rPr>
            </w:pPr>
          </w:p>
          <w:p w14:paraId="163FCA3E" w14:textId="77777777" w:rsidR="002F6B62" w:rsidRPr="007E4DA1" w:rsidRDefault="00665357" w:rsidP="00DE1596">
            <w:pPr>
              <w:tabs>
                <w:tab w:val="left" w:pos="720"/>
                <w:tab w:val="left" w:pos="994"/>
              </w:tabs>
              <w:ind w:left="0" w:firstLine="0"/>
              <w:jc w:val="center"/>
              <w:rPr>
                <w:rFonts w:ascii="Verdana" w:hAnsi="Verdana"/>
                <w:szCs w:val="22"/>
                <w:lang w:eastAsia="en-US"/>
              </w:rPr>
            </w:pPr>
            <w:r w:rsidRPr="007E4DA1">
              <w:rPr>
                <w:rFonts w:ascii="Verdana" w:hAnsi="Verdana"/>
                <w:noProof/>
                <w:szCs w:val="22"/>
                <w:lang w:val="en-US" w:eastAsia="en-US"/>
              </w:rPr>
              <w:drawing>
                <wp:inline distT="0" distB="0" distL="0" distR="0" wp14:anchorId="0156E28B" wp14:editId="7D3D924F">
                  <wp:extent cx="954405" cy="858520"/>
                  <wp:effectExtent l="0" t="0" r="0" b="0"/>
                  <wp:docPr id="16" name="Picture 16" descr="Step_1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p_10b.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4405" cy="858520"/>
                          </a:xfrm>
                          <a:prstGeom prst="rect">
                            <a:avLst/>
                          </a:prstGeom>
                          <a:noFill/>
                          <a:ln>
                            <a:noFill/>
                          </a:ln>
                        </pic:spPr>
                      </pic:pic>
                    </a:graphicData>
                  </a:graphic>
                </wp:inline>
              </w:drawing>
            </w:r>
          </w:p>
        </w:tc>
      </w:tr>
      <w:tr w:rsidR="002F6B62" w:rsidRPr="007E4DA1" w14:paraId="62B2E515" w14:textId="77777777" w:rsidTr="00291DF6">
        <w:trPr>
          <w:cantSplit/>
          <w:trHeight w:val="20"/>
        </w:trPr>
        <w:tc>
          <w:tcPr>
            <w:tcW w:w="9286" w:type="dxa"/>
            <w:gridSpan w:val="3"/>
          </w:tcPr>
          <w:p w14:paraId="7E42F728" w14:textId="765FAD0C" w:rsidR="002F6B62" w:rsidRPr="007E4DA1" w:rsidRDefault="002F6B62" w:rsidP="00DE1596">
            <w:pPr>
              <w:tabs>
                <w:tab w:val="left" w:pos="720"/>
                <w:tab w:val="left" w:pos="994"/>
              </w:tabs>
              <w:ind w:left="0" w:firstLine="0"/>
              <w:rPr>
                <w:szCs w:val="22"/>
                <w:lang w:eastAsia="en-US"/>
              </w:rPr>
            </w:pPr>
            <w:r w:rsidRPr="007E4DA1">
              <w:rPr>
                <w:b/>
                <w:szCs w:val="22"/>
                <w:lang w:eastAsia="en-US"/>
              </w:rPr>
              <w:t>UWAGA</w:t>
            </w:r>
            <w:r w:rsidR="00C815B4">
              <w:rPr>
                <w:b/>
                <w:szCs w:val="22"/>
                <w:lang w:eastAsia="en-US"/>
              </w:rPr>
              <w:t xml:space="preserve"> dotycząca podawania dawki 25 mg, 50 mg lub 75 mg</w:t>
            </w:r>
            <w:r w:rsidRPr="007E4DA1">
              <w:rPr>
                <w:b/>
                <w:szCs w:val="22"/>
                <w:lang w:eastAsia="en-US"/>
              </w:rPr>
              <w:t>:</w:t>
            </w:r>
          </w:p>
          <w:p w14:paraId="6A10B875" w14:textId="118F1F8C" w:rsidR="002F6B62" w:rsidRPr="007E4DA1" w:rsidRDefault="002F6B62" w:rsidP="00DE1596">
            <w:pPr>
              <w:tabs>
                <w:tab w:val="left" w:pos="720"/>
                <w:tab w:val="left" w:pos="994"/>
              </w:tabs>
              <w:ind w:left="0" w:firstLine="0"/>
              <w:rPr>
                <w:szCs w:val="22"/>
                <w:lang w:eastAsia="en-US"/>
              </w:rPr>
            </w:pPr>
            <w:r w:rsidRPr="007E4DA1">
              <w:rPr>
                <w:szCs w:val="22"/>
                <w:lang w:eastAsia="en-US"/>
              </w:rPr>
              <w:t xml:space="preserve">Na tym etapie </w:t>
            </w:r>
            <w:r w:rsidR="00E16DA1" w:rsidRPr="007E4DA1">
              <w:rPr>
                <w:szCs w:val="22"/>
                <w:lang w:eastAsia="en-US"/>
              </w:rPr>
              <w:t>pacjent</w:t>
            </w:r>
            <w:r w:rsidRPr="007E4DA1">
              <w:rPr>
                <w:szCs w:val="22"/>
                <w:lang w:eastAsia="en-US"/>
              </w:rPr>
              <w:t xml:space="preserve"> otrzymał prawie pełną dawkę leku. Jednak w butelce nadal pozostaje pewna ilość leku, choć może ona być niewidoczna.</w:t>
            </w:r>
          </w:p>
          <w:p w14:paraId="1E815552" w14:textId="0B973478" w:rsidR="002F6B62" w:rsidRPr="007E4DA1" w:rsidRDefault="002F6B62" w:rsidP="00DE1596">
            <w:pPr>
              <w:tabs>
                <w:tab w:val="left" w:pos="720"/>
                <w:tab w:val="left" w:pos="994"/>
              </w:tabs>
              <w:ind w:left="0" w:firstLine="0"/>
              <w:rPr>
                <w:szCs w:val="22"/>
                <w:lang w:eastAsia="en-US"/>
              </w:rPr>
            </w:pPr>
            <w:r w:rsidRPr="007E4DA1">
              <w:rPr>
                <w:szCs w:val="22"/>
                <w:lang w:eastAsia="en-US"/>
              </w:rPr>
              <w:t xml:space="preserve">Teraz </w:t>
            </w:r>
            <w:r w:rsidRPr="007E4DA1">
              <w:rPr>
                <w:b/>
                <w:szCs w:val="22"/>
                <w:lang w:eastAsia="en-US"/>
              </w:rPr>
              <w:t>należy wykonać czynności opisane w punktach 11 – 13</w:t>
            </w:r>
            <w:r w:rsidRPr="007E4DA1">
              <w:rPr>
                <w:szCs w:val="22"/>
                <w:lang w:eastAsia="en-US"/>
              </w:rPr>
              <w:t xml:space="preserve">, aby upewnić się, że </w:t>
            </w:r>
            <w:r w:rsidR="00E16DA1" w:rsidRPr="007E4DA1">
              <w:rPr>
                <w:szCs w:val="22"/>
                <w:lang w:eastAsia="en-US"/>
              </w:rPr>
              <w:t>pacjent</w:t>
            </w:r>
            <w:r w:rsidRPr="007E4DA1">
              <w:rPr>
                <w:szCs w:val="22"/>
                <w:lang w:eastAsia="en-US"/>
              </w:rPr>
              <w:t xml:space="preserve"> otrzymał cały lek.</w:t>
            </w:r>
          </w:p>
        </w:tc>
      </w:tr>
      <w:tr w:rsidR="002F6B62" w:rsidRPr="007E4DA1" w14:paraId="0D964AF2" w14:textId="77777777" w:rsidTr="00291DF6">
        <w:trPr>
          <w:cantSplit/>
          <w:trHeight w:val="20"/>
        </w:trPr>
        <w:tc>
          <w:tcPr>
            <w:tcW w:w="6442" w:type="dxa"/>
            <w:tcBorders>
              <w:right w:val="single" w:sz="4" w:space="0" w:color="auto"/>
            </w:tcBorders>
          </w:tcPr>
          <w:p w14:paraId="040B3C9C" w14:textId="77777777" w:rsidR="002F6B62" w:rsidRPr="007E4DA1" w:rsidRDefault="002F6B62" w:rsidP="00DE1596">
            <w:pPr>
              <w:tabs>
                <w:tab w:val="left" w:pos="720"/>
                <w:tab w:val="left" w:pos="994"/>
              </w:tabs>
              <w:ind w:left="0" w:firstLine="0"/>
              <w:contextualSpacing/>
              <w:rPr>
                <w:szCs w:val="22"/>
                <w:lang w:eastAsia="en-US"/>
              </w:rPr>
            </w:pPr>
            <w:r w:rsidRPr="007E4DA1">
              <w:rPr>
                <w:b/>
                <w:szCs w:val="22"/>
                <w:lang w:eastAsia="en-US"/>
              </w:rPr>
              <w:t>11.</w:t>
            </w:r>
            <w:r w:rsidRPr="007E4DA1">
              <w:rPr>
                <w:szCs w:val="22"/>
                <w:lang w:eastAsia="en-US"/>
              </w:rPr>
              <w:t xml:space="preserve">  Ponownie </w:t>
            </w:r>
            <w:r w:rsidRPr="007E4DA1">
              <w:rPr>
                <w:b/>
                <w:szCs w:val="22"/>
                <w:lang w:eastAsia="en-US"/>
              </w:rPr>
              <w:t xml:space="preserve">napełnić strzykawkę, </w:t>
            </w:r>
            <w:r w:rsidRPr="007E4DA1">
              <w:rPr>
                <w:szCs w:val="22"/>
                <w:lang w:eastAsia="en-US"/>
              </w:rPr>
              <w:t>tym razem pobierając do niej 10 ml wody pitnej.</w:t>
            </w:r>
          </w:p>
          <w:p w14:paraId="3E20E851" w14:textId="77777777" w:rsidR="002F6B62" w:rsidRPr="007E4DA1" w:rsidRDefault="002F6B62" w:rsidP="00DE1596">
            <w:pPr>
              <w:numPr>
                <w:ilvl w:val="0"/>
                <w:numId w:val="49"/>
              </w:numPr>
              <w:tabs>
                <w:tab w:val="left" w:pos="567"/>
              </w:tabs>
              <w:ind w:left="567" w:hanging="567"/>
              <w:rPr>
                <w:szCs w:val="22"/>
                <w:lang w:eastAsia="en-US"/>
              </w:rPr>
            </w:pPr>
            <w:r w:rsidRPr="007E4DA1">
              <w:rPr>
                <w:szCs w:val="22"/>
                <w:lang w:eastAsia="en-US"/>
              </w:rPr>
              <w:t xml:space="preserve">Rozpocząć od </w:t>
            </w:r>
            <w:r w:rsidR="0015491C" w:rsidRPr="007E4DA1">
              <w:rPr>
                <w:szCs w:val="22"/>
                <w:lang w:eastAsia="en-US"/>
              </w:rPr>
              <w:t>wciśnięcia</w:t>
            </w:r>
            <w:r w:rsidRPr="007E4DA1">
              <w:rPr>
                <w:szCs w:val="22"/>
                <w:lang w:eastAsia="en-US"/>
              </w:rPr>
              <w:t xml:space="preserve"> tłok</w:t>
            </w:r>
            <w:r w:rsidR="0015491C" w:rsidRPr="007E4DA1">
              <w:rPr>
                <w:szCs w:val="22"/>
                <w:lang w:eastAsia="en-US"/>
              </w:rPr>
              <w:t>a</w:t>
            </w:r>
            <w:r w:rsidRPr="007E4DA1">
              <w:rPr>
                <w:szCs w:val="22"/>
                <w:lang w:eastAsia="en-US"/>
              </w:rPr>
              <w:t xml:space="preserve"> strzykawki do samego dołu.</w:t>
            </w:r>
          </w:p>
          <w:p w14:paraId="0F7D3562" w14:textId="77777777" w:rsidR="002F6B62" w:rsidRPr="007E4DA1" w:rsidRDefault="002F6B62" w:rsidP="00DE1596">
            <w:pPr>
              <w:numPr>
                <w:ilvl w:val="0"/>
                <w:numId w:val="49"/>
              </w:numPr>
              <w:tabs>
                <w:tab w:val="left" w:pos="567"/>
              </w:tabs>
              <w:ind w:left="567" w:hanging="567"/>
              <w:rPr>
                <w:szCs w:val="22"/>
                <w:lang w:eastAsia="en-US"/>
              </w:rPr>
            </w:pPr>
            <w:r w:rsidRPr="007E4DA1">
              <w:rPr>
                <w:szCs w:val="22"/>
                <w:lang w:eastAsia="en-US"/>
              </w:rPr>
              <w:t>Zanurzyć końcówkę strzykawki w wodzie</w:t>
            </w:r>
            <w:r w:rsidR="002774B3" w:rsidRPr="007E4DA1">
              <w:rPr>
                <w:szCs w:val="22"/>
                <w:lang w:eastAsia="en-US"/>
              </w:rPr>
              <w:t>.</w:t>
            </w:r>
          </w:p>
          <w:p w14:paraId="5175AECB" w14:textId="77777777" w:rsidR="002F6B62" w:rsidRPr="007E4DA1" w:rsidRDefault="002F6B62" w:rsidP="00DE1596">
            <w:pPr>
              <w:numPr>
                <w:ilvl w:val="0"/>
                <w:numId w:val="49"/>
              </w:numPr>
              <w:tabs>
                <w:tab w:val="left" w:pos="567"/>
              </w:tabs>
              <w:ind w:left="567" w:hanging="567"/>
              <w:rPr>
                <w:szCs w:val="22"/>
                <w:lang w:eastAsia="en-US"/>
              </w:rPr>
            </w:pPr>
            <w:r w:rsidRPr="007E4DA1">
              <w:rPr>
                <w:szCs w:val="22"/>
                <w:lang w:eastAsia="en-US"/>
              </w:rPr>
              <w:t>Odciągnąć tłok do oznaczenia 10 ml na strzykawce.</w:t>
            </w:r>
          </w:p>
        </w:tc>
        <w:tc>
          <w:tcPr>
            <w:tcW w:w="2844" w:type="dxa"/>
            <w:gridSpan w:val="2"/>
            <w:tcBorders>
              <w:left w:val="single" w:sz="4" w:space="0" w:color="auto"/>
            </w:tcBorders>
          </w:tcPr>
          <w:p w14:paraId="2ABF7272" w14:textId="77777777" w:rsidR="002F6B62" w:rsidRPr="007E4DA1" w:rsidRDefault="00665357" w:rsidP="00DE1596">
            <w:pPr>
              <w:tabs>
                <w:tab w:val="left" w:pos="720"/>
                <w:tab w:val="left" w:pos="994"/>
              </w:tabs>
              <w:ind w:left="0" w:firstLine="0"/>
              <w:jc w:val="center"/>
              <w:rPr>
                <w:rFonts w:ascii="Verdana" w:hAnsi="Verdana"/>
                <w:szCs w:val="22"/>
                <w:lang w:eastAsia="en-US"/>
              </w:rPr>
            </w:pPr>
            <w:r w:rsidRPr="007E4DA1">
              <w:rPr>
                <w:rFonts w:ascii="Verdana" w:hAnsi="Verdana"/>
                <w:noProof/>
                <w:szCs w:val="22"/>
                <w:lang w:val="en-US" w:eastAsia="en-US"/>
              </w:rPr>
              <w:drawing>
                <wp:inline distT="0" distB="0" distL="0" distR="0" wp14:anchorId="3E22DA29" wp14:editId="5A1826D7">
                  <wp:extent cx="819150" cy="1367790"/>
                  <wp:effectExtent l="0" t="0" r="0" b="0"/>
                  <wp:docPr id="17" name="Picture 81" descr="P IFU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 IFU 7-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19150" cy="1367790"/>
                          </a:xfrm>
                          <a:prstGeom prst="rect">
                            <a:avLst/>
                          </a:prstGeom>
                          <a:noFill/>
                          <a:ln>
                            <a:noFill/>
                          </a:ln>
                        </pic:spPr>
                      </pic:pic>
                    </a:graphicData>
                  </a:graphic>
                </wp:inline>
              </w:drawing>
            </w:r>
          </w:p>
        </w:tc>
      </w:tr>
      <w:tr w:rsidR="002F6B62" w:rsidRPr="007E4DA1" w14:paraId="7E503217" w14:textId="77777777" w:rsidTr="00291DF6">
        <w:trPr>
          <w:cantSplit/>
          <w:trHeight w:val="20"/>
        </w:trPr>
        <w:tc>
          <w:tcPr>
            <w:tcW w:w="6442" w:type="dxa"/>
            <w:tcBorders>
              <w:right w:val="single" w:sz="4" w:space="0" w:color="auto"/>
            </w:tcBorders>
          </w:tcPr>
          <w:p w14:paraId="59C5DCFC" w14:textId="77777777" w:rsidR="002F6B62" w:rsidRPr="007E4DA1" w:rsidRDefault="002F6B62" w:rsidP="00DE1596">
            <w:pPr>
              <w:tabs>
                <w:tab w:val="left" w:pos="720"/>
                <w:tab w:val="left" w:pos="994"/>
              </w:tabs>
              <w:ind w:left="0" w:firstLine="0"/>
              <w:contextualSpacing/>
              <w:rPr>
                <w:szCs w:val="22"/>
                <w:lang w:eastAsia="en-US"/>
              </w:rPr>
            </w:pPr>
            <w:r w:rsidRPr="007E4DA1">
              <w:rPr>
                <w:b/>
                <w:szCs w:val="22"/>
                <w:lang w:eastAsia="en-US"/>
              </w:rPr>
              <w:t>12.  Wstrzyknąć wodę do butelki.</w:t>
            </w:r>
          </w:p>
          <w:p w14:paraId="16BB9CCC" w14:textId="77777777" w:rsidR="002F6B62" w:rsidRPr="007E4DA1" w:rsidRDefault="002F6B62" w:rsidP="00DE1596">
            <w:pPr>
              <w:numPr>
                <w:ilvl w:val="0"/>
                <w:numId w:val="50"/>
              </w:numPr>
              <w:tabs>
                <w:tab w:val="left" w:pos="567"/>
              </w:tabs>
              <w:ind w:left="567" w:hanging="567"/>
              <w:rPr>
                <w:szCs w:val="22"/>
                <w:lang w:eastAsia="en-US"/>
              </w:rPr>
            </w:pPr>
            <w:r w:rsidRPr="007E4DA1">
              <w:rPr>
                <w:szCs w:val="22"/>
                <w:lang w:eastAsia="en-US"/>
              </w:rPr>
              <w:t>Wsunąć końcówkę strzykawki do otworu w nakrętce butelki.</w:t>
            </w:r>
          </w:p>
          <w:p w14:paraId="367AEB24" w14:textId="77777777" w:rsidR="002F6B62" w:rsidRPr="007E4DA1" w:rsidRDefault="002F6B62" w:rsidP="00DE1596">
            <w:pPr>
              <w:numPr>
                <w:ilvl w:val="0"/>
                <w:numId w:val="50"/>
              </w:numPr>
              <w:tabs>
                <w:tab w:val="left" w:pos="567"/>
              </w:tabs>
              <w:ind w:left="567" w:hanging="567"/>
              <w:rPr>
                <w:szCs w:val="22"/>
                <w:lang w:eastAsia="en-US"/>
              </w:rPr>
            </w:pPr>
            <w:r w:rsidRPr="007E4DA1">
              <w:rPr>
                <w:szCs w:val="22"/>
                <w:lang w:eastAsia="en-US"/>
              </w:rPr>
              <w:t xml:space="preserve">Powoli </w:t>
            </w:r>
            <w:r w:rsidR="002774B3" w:rsidRPr="007E4DA1">
              <w:rPr>
                <w:szCs w:val="22"/>
                <w:lang w:eastAsia="en-US"/>
              </w:rPr>
              <w:t>wcisk</w:t>
            </w:r>
            <w:r w:rsidRPr="007E4DA1">
              <w:rPr>
                <w:szCs w:val="22"/>
                <w:lang w:eastAsia="en-US"/>
              </w:rPr>
              <w:t>ać tłok strzykawki do samego dołu.</w:t>
            </w:r>
          </w:p>
          <w:p w14:paraId="249BA44A" w14:textId="77777777" w:rsidR="002F6B62" w:rsidRPr="007E4DA1" w:rsidRDefault="002F6B62" w:rsidP="00DE1596">
            <w:pPr>
              <w:numPr>
                <w:ilvl w:val="0"/>
                <w:numId w:val="50"/>
              </w:numPr>
              <w:tabs>
                <w:tab w:val="left" w:pos="567"/>
              </w:tabs>
              <w:ind w:left="567" w:hanging="567"/>
              <w:rPr>
                <w:szCs w:val="22"/>
                <w:lang w:eastAsia="en-US"/>
              </w:rPr>
            </w:pPr>
            <w:r w:rsidRPr="007E4DA1">
              <w:rPr>
                <w:szCs w:val="22"/>
                <w:lang w:eastAsia="en-US"/>
              </w:rPr>
              <w:t>Za</w:t>
            </w:r>
            <w:r w:rsidR="002774B3" w:rsidRPr="007E4DA1">
              <w:rPr>
                <w:szCs w:val="22"/>
                <w:lang w:eastAsia="en-US"/>
              </w:rPr>
              <w:t>mkną</w:t>
            </w:r>
            <w:r w:rsidRPr="007E4DA1">
              <w:rPr>
                <w:szCs w:val="22"/>
                <w:lang w:eastAsia="en-US"/>
              </w:rPr>
              <w:t xml:space="preserve">ć </w:t>
            </w:r>
            <w:r w:rsidR="0015491C" w:rsidRPr="007E4DA1">
              <w:rPr>
                <w:szCs w:val="22"/>
                <w:lang w:eastAsia="en-US"/>
              </w:rPr>
              <w:t>wieczko</w:t>
            </w:r>
            <w:r w:rsidRPr="007E4DA1">
              <w:rPr>
                <w:szCs w:val="22"/>
                <w:lang w:eastAsia="en-US"/>
              </w:rPr>
              <w:t xml:space="preserve"> dociskając j</w:t>
            </w:r>
            <w:r w:rsidR="0015491C" w:rsidRPr="007E4DA1">
              <w:rPr>
                <w:szCs w:val="22"/>
                <w:lang w:eastAsia="en-US"/>
              </w:rPr>
              <w:t>e</w:t>
            </w:r>
            <w:r w:rsidRPr="007E4DA1">
              <w:rPr>
                <w:szCs w:val="22"/>
                <w:lang w:eastAsia="en-US"/>
              </w:rPr>
              <w:t xml:space="preserve"> mocno do nakrętki na butelce.</w:t>
            </w:r>
          </w:p>
        </w:tc>
        <w:tc>
          <w:tcPr>
            <w:tcW w:w="2844" w:type="dxa"/>
            <w:gridSpan w:val="2"/>
            <w:tcBorders>
              <w:left w:val="single" w:sz="4" w:space="0" w:color="auto"/>
            </w:tcBorders>
          </w:tcPr>
          <w:p w14:paraId="01FA670E" w14:textId="77777777" w:rsidR="002F6B62" w:rsidRPr="007E4DA1" w:rsidRDefault="00665357" w:rsidP="00DE1596">
            <w:pPr>
              <w:tabs>
                <w:tab w:val="left" w:pos="720"/>
                <w:tab w:val="left" w:pos="994"/>
              </w:tabs>
              <w:ind w:left="0" w:firstLine="0"/>
              <w:jc w:val="center"/>
              <w:rPr>
                <w:rFonts w:ascii="Verdana" w:hAnsi="Verdana"/>
                <w:szCs w:val="22"/>
                <w:lang w:eastAsia="en-US"/>
              </w:rPr>
            </w:pPr>
            <w:r w:rsidRPr="007E4DA1">
              <w:rPr>
                <w:rFonts w:ascii="Verdana" w:hAnsi="Verdana"/>
                <w:noProof/>
                <w:szCs w:val="22"/>
                <w:lang w:val="en-US" w:eastAsia="en-US"/>
              </w:rPr>
              <w:drawing>
                <wp:inline distT="0" distB="0" distL="0" distR="0" wp14:anchorId="6B96FF0A" wp14:editId="1AC302EB">
                  <wp:extent cx="707390" cy="1367790"/>
                  <wp:effectExtent l="0" t="0" r="0" b="0"/>
                  <wp:docPr id="18" name="Picture 82" descr="P IFU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P IFU 8-0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07390" cy="1367790"/>
                          </a:xfrm>
                          <a:prstGeom prst="rect">
                            <a:avLst/>
                          </a:prstGeom>
                          <a:noFill/>
                          <a:ln>
                            <a:noFill/>
                          </a:ln>
                        </pic:spPr>
                      </pic:pic>
                    </a:graphicData>
                  </a:graphic>
                </wp:inline>
              </w:drawing>
            </w:r>
          </w:p>
        </w:tc>
      </w:tr>
      <w:tr w:rsidR="002F6B62" w:rsidRPr="007E4DA1" w14:paraId="0E3161ED" w14:textId="77777777" w:rsidTr="00291DF6">
        <w:trPr>
          <w:cantSplit/>
          <w:trHeight w:val="20"/>
        </w:trPr>
        <w:tc>
          <w:tcPr>
            <w:tcW w:w="9286" w:type="dxa"/>
            <w:gridSpan w:val="3"/>
          </w:tcPr>
          <w:p w14:paraId="659E8A6D" w14:textId="42C48C07" w:rsidR="002F6B62" w:rsidRPr="007E4DA1" w:rsidRDefault="002F6B62" w:rsidP="00DE1596">
            <w:pPr>
              <w:tabs>
                <w:tab w:val="left" w:pos="720"/>
                <w:tab w:val="left" w:pos="994"/>
              </w:tabs>
              <w:ind w:left="0" w:firstLine="0"/>
              <w:contextualSpacing/>
              <w:rPr>
                <w:szCs w:val="22"/>
                <w:lang w:eastAsia="en-US"/>
              </w:rPr>
            </w:pPr>
            <w:r w:rsidRPr="007E4DA1">
              <w:rPr>
                <w:b/>
                <w:szCs w:val="22"/>
                <w:lang w:eastAsia="en-US"/>
              </w:rPr>
              <w:t>13.</w:t>
            </w:r>
            <w:r w:rsidRPr="007E4DA1">
              <w:rPr>
                <w:szCs w:val="22"/>
                <w:lang w:eastAsia="en-US"/>
              </w:rPr>
              <w:t xml:space="preserve">  </w:t>
            </w:r>
            <w:r w:rsidRPr="007E4DA1">
              <w:rPr>
                <w:b/>
                <w:szCs w:val="22"/>
                <w:lang w:eastAsia="en-US"/>
              </w:rPr>
              <w:t>Powtórzyć czynności opisane w punktach 7 - 10</w:t>
            </w:r>
            <w:r w:rsidRPr="007E4DA1">
              <w:rPr>
                <w:szCs w:val="22"/>
                <w:lang w:eastAsia="en-US"/>
              </w:rPr>
              <w:t xml:space="preserve"> – delikatnie potrząsać butelką, aby wymieszać resztki leku, a następnie podać otrzymany płyn </w:t>
            </w:r>
            <w:r w:rsidR="00E16DA1" w:rsidRPr="007E4DA1">
              <w:rPr>
                <w:szCs w:val="22"/>
                <w:lang w:eastAsia="en-US"/>
              </w:rPr>
              <w:t>pacjentowi</w:t>
            </w:r>
            <w:r w:rsidRPr="007E4DA1">
              <w:rPr>
                <w:szCs w:val="22"/>
                <w:lang w:eastAsia="en-US"/>
              </w:rPr>
              <w:t>.</w:t>
            </w:r>
          </w:p>
        </w:tc>
      </w:tr>
      <w:tr w:rsidR="00C815B4" w:rsidRPr="007E4DA1" w14:paraId="403A7403" w14:textId="77777777" w:rsidTr="00291DF6">
        <w:trPr>
          <w:gridAfter w:val="1"/>
          <w:wAfter w:w="44" w:type="dxa"/>
          <w:cantSplit/>
          <w:trHeight w:val="20"/>
        </w:trPr>
        <w:tc>
          <w:tcPr>
            <w:tcW w:w="9286" w:type="dxa"/>
            <w:gridSpan w:val="2"/>
          </w:tcPr>
          <w:p w14:paraId="7CC9EE6B" w14:textId="77777777" w:rsidR="00041A08" w:rsidRPr="00041A08" w:rsidRDefault="00C815B4" w:rsidP="00DE1596">
            <w:pPr>
              <w:tabs>
                <w:tab w:val="left" w:pos="720"/>
                <w:tab w:val="left" w:pos="994"/>
              </w:tabs>
              <w:ind w:left="0" w:firstLine="0"/>
              <w:contextualSpacing/>
              <w:rPr>
                <w:szCs w:val="22"/>
                <w:lang w:eastAsia="en-US"/>
              </w:rPr>
            </w:pPr>
            <w:r>
              <w:rPr>
                <w:b/>
                <w:szCs w:val="22"/>
                <w:lang w:eastAsia="en-US"/>
              </w:rPr>
              <w:t>UWAGA dotycząca podawania dawki 12,5 mg:</w:t>
            </w:r>
          </w:p>
          <w:p w14:paraId="02470684" w14:textId="58F6528E" w:rsidR="00C815B4" w:rsidRDefault="00C815B4" w:rsidP="00DE1596">
            <w:pPr>
              <w:tabs>
                <w:tab w:val="left" w:pos="720"/>
                <w:tab w:val="left" w:pos="994"/>
              </w:tabs>
              <w:ind w:left="0" w:firstLine="0"/>
              <w:contextualSpacing/>
              <w:rPr>
                <w:bCs/>
                <w:szCs w:val="22"/>
                <w:lang w:eastAsia="en-US"/>
              </w:rPr>
            </w:pPr>
            <w:r>
              <w:rPr>
                <w:bCs/>
                <w:szCs w:val="22"/>
                <w:lang w:eastAsia="en-US"/>
              </w:rPr>
              <w:t>Nie używać mieszaniny pozostającej w butelce w celu podania kolejnej dawki.</w:t>
            </w:r>
          </w:p>
          <w:p w14:paraId="46AEF003" w14:textId="29524FF4" w:rsidR="00C815B4" w:rsidRPr="00553AB7" w:rsidRDefault="00C815B4" w:rsidP="00DE1596">
            <w:pPr>
              <w:tabs>
                <w:tab w:val="left" w:pos="720"/>
                <w:tab w:val="left" w:pos="994"/>
              </w:tabs>
              <w:ind w:left="0" w:firstLine="0"/>
              <w:contextualSpacing/>
              <w:rPr>
                <w:bCs/>
                <w:szCs w:val="22"/>
                <w:lang w:eastAsia="en-US"/>
              </w:rPr>
            </w:pPr>
            <w:r>
              <w:rPr>
                <w:bCs/>
                <w:szCs w:val="22"/>
                <w:lang w:eastAsia="en-US"/>
              </w:rPr>
              <w:t>Należy zapytać farmaceutę w jaki sposób wyrzucić mieszaninę pozostałą po podaniu leku.</w:t>
            </w:r>
          </w:p>
        </w:tc>
      </w:tr>
      <w:tr w:rsidR="002F6B62" w:rsidRPr="007E4DA1" w14:paraId="1AC02DC3" w14:textId="77777777" w:rsidTr="00291DF6">
        <w:trPr>
          <w:cantSplit/>
          <w:trHeight w:val="20"/>
        </w:trPr>
        <w:tc>
          <w:tcPr>
            <w:tcW w:w="9286" w:type="dxa"/>
            <w:gridSpan w:val="3"/>
          </w:tcPr>
          <w:p w14:paraId="17866AE9" w14:textId="77777777" w:rsidR="002F6B62" w:rsidRPr="007E4DA1" w:rsidRDefault="002F6B62" w:rsidP="00DE1596">
            <w:pPr>
              <w:keepNext/>
              <w:tabs>
                <w:tab w:val="left" w:pos="720"/>
                <w:tab w:val="left" w:pos="994"/>
              </w:tabs>
              <w:ind w:left="0" w:firstLine="0"/>
              <w:rPr>
                <w:b/>
                <w:szCs w:val="22"/>
                <w:lang w:eastAsia="en-US"/>
              </w:rPr>
            </w:pPr>
            <w:r w:rsidRPr="007E4DA1">
              <w:rPr>
                <w:b/>
                <w:szCs w:val="22"/>
                <w:lang w:eastAsia="en-US"/>
              </w:rPr>
              <w:t>Czyszczenie</w:t>
            </w:r>
          </w:p>
        </w:tc>
      </w:tr>
      <w:tr w:rsidR="002F6B62" w:rsidRPr="007E4DA1" w14:paraId="3AD4191C" w14:textId="77777777" w:rsidTr="00291DF6">
        <w:trPr>
          <w:cantSplit/>
          <w:trHeight w:val="20"/>
        </w:trPr>
        <w:tc>
          <w:tcPr>
            <w:tcW w:w="9286" w:type="dxa"/>
            <w:gridSpan w:val="3"/>
          </w:tcPr>
          <w:p w14:paraId="59A83F65" w14:textId="77777777" w:rsidR="002F6B62" w:rsidRPr="007E4DA1" w:rsidRDefault="002F6B62" w:rsidP="00DE1596">
            <w:pPr>
              <w:tabs>
                <w:tab w:val="left" w:pos="720"/>
                <w:tab w:val="left" w:pos="994"/>
              </w:tabs>
              <w:ind w:left="0" w:firstLine="0"/>
              <w:contextualSpacing/>
              <w:rPr>
                <w:szCs w:val="22"/>
                <w:lang w:eastAsia="en-US"/>
              </w:rPr>
            </w:pPr>
            <w:r w:rsidRPr="007E4DA1">
              <w:rPr>
                <w:b/>
                <w:szCs w:val="22"/>
                <w:lang w:eastAsia="en-US"/>
              </w:rPr>
              <w:t>14</w:t>
            </w:r>
            <w:r w:rsidRPr="007E4DA1">
              <w:rPr>
                <w:szCs w:val="22"/>
                <w:lang w:eastAsia="en-US"/>
              </w:rPr>
              <w:t xml:space="preserve">.  W przypadku wysypania proszku lub wylania zmieszanego płynu, </w:t>
            </w:r>
            <w:r w:rsidRPr="007E4DA1">
              <w:rPr>
                <w:b/>
                <w:szCs w:val="22"/>
                <w:lang w:eastAsia="en-US"/>
              </w:rPr>
              <w:t>należy oczyścić zabrudzone miejsce przecierając je wilgotną ściereczką do jednorazowego użytku</w:t>
            </w:r>
            <w:r w:rsidRPr="007E4DA1">
              <w:rPr>
                <w:szCs w:val="22"/>
                <w:lang w:eastAsia="en-US"/>
              </w:rPr>
              <w:t>. Można założyć jednorazowe rękawiczki ochronne, aby uniknąć kontaktu ze skórą.</w:t>
            </w:r>
          </w:p>
          <w:p w14:paraId="2694F051" w14:textId="77777777" w:rsidR="002F6B62" w:rsidRPr="007E4DA1" w:rsidRDefault="002F6B62" w:rsidP="00DE1596">
            <w:pPr>
              <w:numPr>
                <w:ilvl w:val="0"/>
                <w:numId w:val="51"/>
              </w:numPr>
              <w:ind w:left="567" w:hanging="567"/>
              <w:rPr>
                <w:b/>
                <w:szCs w:val="22"/>
                <w:lang w:eastAsia="en-US"/>
              </w:rPr>
            </w:pPr>
            <w:r w:rsidRPr="007E4DA1">
              <w:rPr>
                <w:szCs w:val="20"/>
                <w:lang w:eastAsia="en-US"/>
              </w:rPr>
              <w:t>Ściereczkę i rękawiczki używane do usunięcia wysypanego lub wylanego leku należy wyrzucić do domowego pojemnika na odpadki.</w:t>
            </w:r>
          </w:p>
        </w:tc>
      </w:tr>
      <w:tr w:rsidR="002F6B62" w:rsidRPr="007E4DA1" w14:paraId="2ED8CA57" w14:textId="77777777" w:rsidTr="00291DF6">
        <w:trPr>
          <w:cantSplit/>
          <w:trHeight w:val="20"/>
        </w:trPr>
        <w:tc>
          <w:tcPr>
            <w:tcW w:w="9286" w:type="dxa"/>
            <w:gridSpan w:val="3"/>
          </w:tcPr>
          <w:p w14:paraId="65816A3B" w14:textId="77777777" w:rsidR="00041A08" w:rsidRPr="00041A08" w:rsidRDefault="002F6B62" w:rsidP="00DE1596">
            <w:pPr>
              <w:tabs>
                <w:tab w:val="left" w:pos="720"/>
                <w:tab w:val="left" w:pos="994"/>
              </w:tabs>
              <w:ind w:left="0" w:firstLine="0"/>
              <w:contextualSpacing/>
              <w:rPr>
                <w:szCs w:val="22"/>
                <w:lang w:eastAsia="en-US"/>
              </w:rPr>
            </w:pPr>
            <w:r w:rsidRPr="007E4DA1">
              <w:rPr>
                <w:b/>
                <w:szCs w:val="22"/>
                <w:lang w:eastAsia="en-US"/>
              </w:rPr>
              <w:t>15.  Oczyścić materiały używane do przygotowania mieszaniny.</w:t>
            </w:r>
          </w:p>
          <w:p w14:paraId="659606AD" w14:textId="69CC8118" w:rsidR="003A03DB" w:rsidRPr="007E4DA1" w:rsidRDefault="003A03DB" w:rsidP="00DE1596">
            <w:pPr>
              <w:numPr>
                <w:ilvl w:val="0"/>
                <w:numId w:val="52"/>
              </w:numPr>
              <w:tabs>
                <w:tab w:val="left" w:pos="567"/>
              </w:tabs>
              <w:ind w:left="567" w:hanging="567"/>
              <w:rPr>
                <w:szCs w:val="22"/>
                <w:lang w:eastAsia="en-US"/>
              </w:rPr>
            </w:pPr>
            <w:r w:rsidRPr="007E4DA1">
              <w:t>Zużyt</w:t>
            </w:r>
            <w:r w:rsidR="006E7A11" w:rsidRPr="007E4DA1">
              <w:t>ą</w:t>
            </w:r>
            <w:r w:rsidRPr="007E4DA1">
              <w:t xml:space="preserve"> strzykawk</w:t>
            </w:r>
            <w:r w:rsidR="006E7A11" w:rsidRPr="007E4DA1">
              <w:t>ę</w:t>
            </w:r>
            <w:r w:rsidRPr="007E4DA1">
              <w:t xml:space="preserve"> doustn</w:t>
            </w:r>
            <w:r w:rsidR="006E7A11" w:rsidRPr="007E4DA1">
              <w:t>ą</w:t>
            </w:r>
            <w:r w:rsidRPr="007E4DA1">
              <w:t xml:space="preserve"> wyrzucić. Do przygotowania każdej dawki produktu leczniczego Revolade</w:t>
            </w:r>
            <w:r w:rsidR="000D1ADE" w:rsidRPr="007E4DA1">
              <w:t xml:space="preserve"> w postaci</w:t>
            </w:r>
            <w:r w:rsidRPr="007E4DA1">
              <w:rPr>
                <w:szCs w:val="22"/>
              </w:rPr>
              <w:t xml:space="preserve"> zawiesiny doustnej, należy użyć nowej strzykawki </w:t>
            </w:r>
            <w:r w:rsidR="000D1ADE" w:rsidRPr="007E4DA1">
              <w:rPr>
                <w:szCs w:val="22"/>
              </w:rPr>
              <w:t>doustnej.</w:t>
            </w:r>
          </w:p>
          <w:p w14:paraId="478AF762" w14:textId="768782AF" w:rsidR="002F6B62" w:rsidRPr="007E4DA1" w:rsidRDefault="002F6B62" w:rsidP="00DE1596">
            <w:pPr>
              <w:numPr>
                <w:ilvl w:val="0"/>
                <w:numId w:val="52"/>
              </w:numPr>
              <w:tabs>
                <w:tab w:val="left" w:pos="567"/>
              </w:tabs>
              <w:ind w:left="567" w:hanging="567"/>
              <w:rPr>
                <w:szCs w:val="22"/>
                <w:lang w:eastAsia="en-US"/>
              </w:rPr>
            </w:pPr>
            <w:r w:rsidRPr="007E4DA1">
              <w:rPr>
                <w:b/>
                <w:szCs w:val="22"/>
                <w:lang w:eastAsia="en-US"/>
              </w:rPr>
              <w:t>Przepłukać</w:t>
            </w:r>
            <w:r w:rsidRPr="007E4DA1">
              <w:rPr>
                <w:szCs w:val="22"/>
                <w:lang w:eastAsia="en-US"/>
              </w:rPr>
              <w:t xml:space="preserve"> butelkę</w:t>
            </w:r>
            <w:r w:rsidR="003A03DB" w:rsidRPr="007E4DA1">
              <w:rPr>
                <w:szCs w:val="22"/>
                <w:lang w:eastAsia="en-US"/>
              </w:rPr>
              <w:t xml:space="preserve"> i </w:t>
            </w:r>
            <w:r w:rsidRPr="007E4DA1">
              <w:rPr>
                <w:szCs w:val="22"/>
                <w:lang w:eastAsia="en-US"/>
              </w:rPr>
              <w:t>nakrętkę pod bieżącą wodą. (Butelka może ulec przebarwieniu pod wpływem leku. Jest to zjawisko normalne.)</w:t>
            </w:r>
            <w:r w:rsidR="00C815B4">
              <w:rPr>
                <w:szCs w:val="22"/>
                <w:lang w:eastAsia="en-US"/>
              </w:rPr>
              <w:t>.</w:t>
            </w:r>
          </w:p>
          <w:p w14:paraId="394150F4" w14:textId="77777777" w:rsidR="002F6B62" w:rsidRPr="007E4DA1" w:rsidRDefault="002F6B62" w:rsidP="00DE1596">
            <w:pPr>
              <w:numPr>
                <w:ilvl w:val="0"/>
                <w:numId w:val="52"/>
              </w:numPr>
              <w:tabs>
                <w:tab w:val="left" w:pos="567"/>
              </w:tabs>
              <w:ind w:left="567" w:hanging="567"/>
              <w:rPr>
                <w:szCs w:val="22"/>
                <w:lang w:eastAsia="en-US"/>
              </w:rPr>
            </w:pPr>
            <w:r w:rsidRPr="007E4DA1">
              <w:rPr>
                <w:szCs w:val="22"/>
                <w:lang w:eastAsia="en-US"/>
              </w:rPr>
              <w:t>Pozostawić wszystkie elementy do</w:t>
            </w:r>
            <w:r w:rsidRPr="007E4DA1">
              <w:rPr>
                <w:b/>
                <w:szCs w:val="22"/>
                <w:lang w:eastAsia="en-US"/>
              </w:rPr>
              <w:t xml:space="preserve"> wyschnięcia </w:t>
            </w:r>
            <w:r w:rsidRPr="007E4DA1">
              <w:rPr>
                <w:szCs w:val="22"/>
                <w:lang w:eastAsia="en-US"/>
              </w:rPr>
              <w:t>na powietrzu.</w:t>
            </w:r>
          </w:p>
          <w:p w14:paraId="19CB7F21" w14:textId="77777777" w:rsidR="002F6B62" w:rsidRPr="007E4DA1" w:rsidRDefault="002F6B62" w:rsidP="00DE1596">
            <w:pPr>
              <w:numPr>
                <w:ilvl w:val="0"/>
                <w:numId w:val="52"/>
              </w:numPr>
              <w:tabs>
                <w:tab w:val="left" w:pos="567"/>
              </w:tabs>
              <w:ind w:left="567" w:hanging="567"/>
              <w:rPr>
                <w:szCs w:val="22"/>
                <w:lang w:eastAsia="en-US"/>
              </w:rPr>
            </w:pPr>
            <w:r w:rsidRPr="007E4DA1">
              <w:rPr>
                <w:b/>
                <w:szCs w:val="22"/>
                <w:lang w:eastAsia="en-US"/>
              </w:rPr>
              <w:t>Umyć ręce</w:t>
            </w:r>
            <w:r w:rsidRPr="007E4DA1">
              <w:rPr>
                <w:szCs w:val="22"/>
                <w:lang w:eastAsia="en-US"/>
              </w:rPr>
              <w:t xml:space="preserve"> wodą z mydłem.</w:t>
            </w:r>
          </w:p>
        </w:tc>
      </w:tr>
      <w:tr w:rsidR="002F6B62" w:rsidRPr="007E4DA1" w14:paraId="52B32493" w14:textId="77777777" w:rsidTr="00291DF6">
        <w:trPr>
          <w:cantSplit/>
          <w:trHeight w:val="20"/>
        </w:trPr>
        <w:tc>
          <w:tcPr>
            <w:tcW w:w="9286" w:type="dxa"/>
            <w:gridSpan w:val="3"/>
          </w:tcPr>
          <w:p w14:paraId="4DD72BAB" w14:textId="77777777" w:rsidR="002F6B62" w:rsidRPr="007E4DA1" w:rsidDel="00604AA5" w:rsidRDefault="002F6B62" w:rsidP="00DE1596">
            <w:pPr>
              <w:tabs>
                <w:tab w:val="left" w:pos="720"/>
                <w:tab w:val="left" w:pos="994"/>
              </w:tabs>
              <w:ind w:left="0" w:firstLine="0"/>
              <w:contextualSpacing/>
              <w:rPr>
                <w:b/>
                <w:szCs w:val="22"/>
                <w:lang w:eastAsia="en-US"/>
              </w:rPr>
            </w:pPr>
            <w:r w:rsidRPr="007E4DA1">
              <w:rPr>
                <w:szCs w:val="22"/>
                <w:lang w:eastAsia="en-US"/>
              </w:rPr>
              <w:t xml:space="preserve">Po zużyciu wszystkich 30 saszetek znajdujących się w opakowaniu, </w:t>
            </w:r>
            <w:r w:rsidRPr="007E4DA1">
              <w:rPr>
                <w:b/>
                <w:szCs w:val="22"/>
                <w:lang w:eastAsia="en-US"/>
              </w:rPr>
              <w:t xml:space="preserve">wyrzucić butelkę. </w:t>
            </w:r>
            <w:r w:rsidRPr="007E4DA1">
              <w:rPr>
                <w:szCs w:val="22"/>
                <w:lang w:eastAsia="en-US"/>
              </w:rPr>
              <w:t>Rozpoczynając leczenie kolejnymi 30</w:t>
            </w:r>
            <w:r w:rsidR="0006656D" w:rsidRPr="007E4DA1">
              <w:rPr>
                <w:szCs w:val="22"/>
                <w:lang w:eastAsia="en-US"/>
              </w:rPr>
              <w:t> </w:t>
            </w:r>
            <w:r w:rsidRPr="007E4DA1">
              <w:rPr>
                <w:szCs w:val="22"/>
                <w:lang w:eastAsia="en-US"/>
              </w:rPr>
              <w:t>saszetkami należy zawsze używać nowego zestawu.</w:t>
            </w:r>
          </w:p>
        </w:tc>
      </w:tr>
    </w:tbl>
    <w:p w14:paraId="3D8EF2FE" w14:textId="77777777" w:rsidR="002F6B62" w:rsidRPr="007E4DA1" w:rsidRDefault="002F6B62" w:rsidP="00DE1596">
      <w:pPr>
        <w:tabs>
          <w:tab w:val="left" w:pos="720"/>
          <w:tab w:val="left" w:pos="994"/>
        </w:tabs>
        <w:ind w:left="0" w:firstLine="0"/>
        <w:rPr>
          <w:szCs w:val="22"/>
          <w:lang w:eastAsia="en-US"/>
        </w:rPr>
      </w:pPr>
    </w:p>
    <w:p w14:paraId="58D59B50" w14:textId="77777777" w:rsidR="00041A08" w:rsidRPr="00041A08" w:rsidRDefault="00854923" w:rsidP="00DE1596">
      <w:pPr>
        <w:tabs>
          <w:tab w:val="left" w:pos="720"/>
          <w:tab w:val="left" w:pos="994"/>
        </w:tabs>
        <w:ind w:left="0" w:firstLine="0"/>
        <w:rPr>
          <w:szCs w:val="22"/>
          <w:lang w:eastAsia="en-US"/>
        </w:rPr>
      </w:pPr>
      <w:r w:rsidRPr="007E4DA1">
        <w:rPr>
          <w:b/>
          <w:szCs w:val="22"/>
          <w:lang w:eastAsia="en-US"/>
        </w:rPr>
        <w:t>Lek</w:t>
      </w:r>
      <w:r w:rsidR="002F6B62" w:rsidRPr="007E4DA1">
        <w:rPr>
          <w:b/>
          <w:szCs w:val="22"/>
          <w:lang w:eastAsia="en-US"/>
        </w:rPr>
        <w:t xml:space="preserve"> Revolade proszek do sporządzania zawiesiny doustnej, w tym zestaw dozujący i wszystkie leki należy przechowywać w miejscu niedostępnym dla dzieci.</w:t>
      </w:r>
    </w:p>
    <w:p w14:paraId="792377D5" w14:textId="3D469BD9" w:rsidR="00015A85" w:rsidRPr="008674A2" w:rsidRDefault="00015A85" w:rsidP="00DE1596">
      <w:pPr>
        <w:ind w:left="0" w:firstLine="0"/>
        <w:rPr>
          <w:color w:val="000000"/>
          <w:szCs w:val="22"/>
        </w:rPr>
      </w:pPr>
    </w:p>
    <w:sectPr w:rsidR="00015A85" w:rsidRPr="008674A2">
      <w:footerReference w:type="default" r:id="rId26"/>
      <w:pgSz w:w="11906" w:h="16838"/>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354D8" w14:textId="77777777" w:rsidR="00CE10CD" w:rsidRDefault="00CE10CD">
      <w:r>
        <w:separator/>
      </w:r>
    </w:p>
  </w:endnote>
  <w:endnote w:type="continuationSeparator" w:id="0">
    <w:p w14:paraId="44DB0F37" w14:textId="77777777" w:rsidR="00CE10CD" w:rsidRDefault="00CE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Batang"/>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9ECDC" w14:textId="190AB75C" w:rsidR="00BF6901" w:rsidRDefault="00BF6901">
    <w:pPr>
      <w:pStyle w:val="Footer"/>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4E5FAC">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A0161" w14:textId="77777777" w:rsidR="00CE10CD" w:rsidRDefault="00CE10CD">
      <w:r>
        <w:separator/>
      </w:r>
    </w:p>
  </w:footnote>
  <w:footnote w:type="continuationSeparator" w:id="0">
    <w:p w14:paraId="6D516CB9" w14:textId="77777777" w:rsidR="00CE10CD" w:rsidRDefault="00CE1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EC3"/>
    <w:multiLevelType w:val="multilevel"/>
    <w:tmpl w:val="5686BCC2"/>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56525"/>
    <w:multiLevelType w:val="hybridMultilevel"/>
    <w:tmpl w:val="FDF0A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95425"/>
    <w:multiLevelType w:val="hybridMultilevel"/>
    <w:tmpl w:val="8A6A6BF2"/>
    <w:lvl w:ilvl="0" w:tplc="C096E37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6417AB"/>
    <w:multiLevelType w:val="hybridMultilevel"/>
    <w:tmpl w:val="625E2C8A"/>
    <w:lvl w:ilvl="0" w:tplc="3652460E">
      <w:start w:val="1"/>
      <w:numFmt w:val="bullet"/>
      <w:pStyle w:val="LBLBulletStyle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9061B5"/>
    <w:multiLevelType w:val="hybridMultilevel"/>
    <w:tmpl w:val="329E4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01BE4"/>
    <w:multiLevelType w:val="multilevel"/>
    <w:tmpl w:val="7C38D662"/>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9F2067"/>
    <w:multiLevelType w:val="hybridMultilevel"/>
    <w:tmpl w:val="A2168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C868FB"/>
    <w:multiLevelType w:val="multilevel"/>
    <w:tmpl w:val="306C192A"/>
    <w:lvl w:ilvl="0">
      <w:start w:val="6"/>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0C583813"/>
    <w:multiLevelType w:val="hybridMultilevel"/>
    <w:tmpl w:val="F3DE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44784"/>
    <w:multiLevelType w:val="hybridMultilevel"/>
    <w:tmpl w:val="A2029A2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DA57FF"/>
    <w:multiLevelType w:val="multilevel"/>
    <w:tmpl w:val="DCE2578C"/>
    <w:lvl w:ilvl="0">
      <w:start w:val="1"/>
      <w:numFmt w:val="bullet"/>
      <w:pStyle w:val="listdashnospace"/>
      <w:lvlText w:val="-"/>
      <w:lvlJc w:val="left"/>
      <w:pPr>
        <w:tabs>
          <w:tab w:val="num" w:pos="747"/>
        </w:tabs>
        <w:ind w:left="74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28718E"/>
    <w:multiLevelType w:val="hybridMultilevel"/>
    <w:tmpl w:val="2EBEB686"/>
    <w:lvl w:ilvl="0" w:tplc="04090001">
      <w:start w:val="1"/>
      <w:numFmt w:val="bullet"/>
      <w:lvlText w:val=""/>
      <w:lvlJc w:val="left"/>
      <w:pPr>
        <w:tabs>
          <w:tab w:val="num" w:pos="417"/>
        </w:tabs>
        <w:ind w:left="417" w:hanging="360"/>
      </w:pPr>
      <w:rPr>
        <w:rFonts w:ascii="Symbol" w:hAnsi="Symbol" w:hint="default"/>
      </w:rPr>
    </w:lvl>
    <w:lvl w:ilvl="1" w:tplc="FFFFFFFF">
      <w:start w:val="1"/>
      <w:numFmt w:val="bullet"/>
      <w:lvlText w:val="o"/>
      <w:lvlJc w:val="left"/>
      <w:pPr>
        <w:tabs>
          <w:tab w:val="num" w:pos="1497"/>
        </w:tabs>
        <w:ind w:left="1497" w:hanging="360"/>
      </w:pPr>
      <w:rPr>
        <w:rFonts w:ascii="Courier New" w:hAnsi="Courier New" w:cs="Courier New" w:hint="default"/>
      </w:rPr>
    </w:lvl>
    <w:lvl w:ilvl="2" w:tplc="FFFFFFFF">
      <w:start w:val="1"/>
      <w:numFmt w:val="bullet"/>
      <w:lvlText w:val=""/>
      <w:lvlJc w:val="left"/>
      <w:pPr>
        <w:tabs>
          <w:tab w:val="num" w:pos="2217"/>
        </w:tabs>
        <w:ind w:left="2217" w:hanging="360"/>
      </w:pPr>
      <w:rPr>
        <w:rFonts w:ascii="Wingdings" w:hAnsi="Wingdings" w:cs="Times New Roman" w:hint="default"/>
      </w:rPr>
    </w:lvl>
    <w:lvl w:ilvl="3" w:tplc="FFFFFFFF">
      <w:start w:val="1"/>
      <w:numFmt w:val="bullet"/>
      <w:lvlText w:val=""/>
      <w:lvlJc w:val="left"/>
      <w:pPr>
        <w:tabs>
          <w:tab w:val="num" w:pos="2937"/>
        </w:tabs>
        <w:ind w:left="2937" w:hanging="360"/>
      </w:pPr>
      <w:rPr>
        <w:rFonts w:ascii="Symbol" w:hAnsi="Symbol" w:cs="Times New Roman" w:hint="default"/>
      </w:rPr>
    </w:lvl>
    <w:lvl w:ilvl="4" w:tplc="FFFFFFFF">
      <w:start w:val="1"/>
      <w:numFmt w:val="bullet"/>
      <w:lvlText w:val="o"/>
      <w:lvlJc w:val="left"/>
      <w:pPr>
        <w:tabs>
          <w:tab w:val="num" w:pos="3657"/>
        </w:tabs>
        <w:ind w:left="3657" w:hanging="360"/>
      </w:pPr>
      <w:rPr>
        <w:rFonts w:ascii="Courier New" w:hAnsi="Courier New" w:cs="Courier New" w:hint="default"/>
      </w:rPr>
    </w:lvl>
    <w:lvl w:ilvl="5" w:tplc="FFFFFFFF">
      <w:start w:val="1"/>
      <w:numFmt w:val="bullet"/>
      <w:lvlText w:val=""/>
      <w:lvlJc w:val="left"/>
      <w:pPr>
        <w:tabs>
          <w:tab w:val="num" w:pos="4377"/>
        </w:tabs>
        <w:ind w:left="4377" w:hanging="360"/>
      </w:pPr>
      <w:rPr>
        <w:rFonts w:ascii="Wingdings" w:hAnsi="Wingdings" w:cs="Times New Roman" w:hint="default"/>
      </w:rPr>
    </w:lvl>
    <w:lvl w:ilvl="6" w:tplc="FFFFFFFF">
      <w:start w:val="1"/>
      <w:numFmt w:val="bullet"/>
      <w:lvlText w:val=""/>
      <w:lvlJc w:val="left"/>
      <w:pPr>
        <w:tabs>
          <w:tab w:val="num" w:pos="5097"/>
        </w:tabs>
        <w:ind w:left="5097" w:hanging="360"/>
      </w:pPr>
      <w:rPr>
        <w:rFonts w:ascii="Symbol" w:hAnsi="Symbol" w:cs="Times New Roman" w:hint="default"/>
      </w:rPr>
    </w:lvl>
    <w:lvl w:ilvl="7" w:tplc="FFFFFFFF">
      <w:start w:val="1"/>
      <w:numFmt w:val="bullet"/>
      <w:lvlText w:val="o"/>
      <w:lvlJc w:val="left"/>
      <w:pPr>
        <w:tabs>
          <w:tab w:val="num" w:pos="5817"/>
        </w:tabs>
        <w:ind w:left="5817" w:hanging="360"/>
      </w:pPr>
      <w:rPr>
        <w:rFonts w:ascii="Courier New" w:hAnsi="Courier New" w:cs="Courier New" w:hint="default"/>
      </w:rPr>
    </w:lvl>
    <w:lvl w:ilvl="8" w:tplc="FFFFFFFF">
      <w:start w:val="1"/>
      <w:numFmt w:val="bullet"/>
      <w:lvlText w:val=""/>
      <w:lvlJc w:val="left"/>
      <w:pPr>
        <w:tabs>
          <w:tab w:val="num" w:pos="6537"/>
        </w:tabs>
        <w:ind w:left="6537" w:hanging="360"/>
      </w:pPr>
      <w:rPr>
        <w:rFonts w:ascii="Wingdings" w:hAnsi="Wingdings" w:cs="Times New Roman" w:hint="default"/>
      </w:rPr>
    </w:lvl>
  </w:abstractNum>
  <w:abstractNum w:abstractNumId="12" w15:restartNumberingAfterBreak="0">
    <w:nsid w:val="16BD1443"/>
    <w:multiLevelType w:val="hybridMultilevel"/>
    <w:tmpl w:val="2A3CA304"/>
    <w:lvl w:ilvl="0" w:tplc="4AE6D7C0">
      <w:start w:val="1"/>
      <w:numFmt w:val="bullet"/>
      <w:pStyle w:val="LBLBulletStyle1"/>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9092C95"/>
    <w:multiLevelType w:val="hybridMultilevel"/>
    <w:tmpl w:val="38464330"/>
    <w:lvl w:ilvl="0" w:tplc="04090001">
      <w:start w:val="1"/>
      <w:numFmt w:val="bullet"/>
      <w:lvlText w:val=""/>
      <w:lvlJc w:val="left"/>
      <w:pPr>
        <w:ind w:left="1665" w:hanging="360"/>
      </w:pPr>
      <w:rPr>
        <w:rFonts w:ascii="Symbol" w:hAnsi="Symbol" w:hint="default"/>
      </w:rPr>
    </w:lvl>
    <w:lvl w:ilvl="1" w:tplc="04150003" w:tentative="1">
      <w:start w:val="1"/>
      <w:numFmt w:val="bullet"/>
      <w:lvlText w:val="o"/>
      <w:lvlJc w:val="left"/>
      <w:pPr>
        <w:ind w:left="2385" w:hanging="360"/>
      </w:pPr>
      <w:rPr>
        <w:rFonts w:ascii="Courier New" w:hAnsi="Courier New" w:cs="Courier New" w:hint="default"/>
      </w:rPr>
    </w:lvl>
    <w:lvl w:ilvl="2" w:tplc="04150005" w:tentative="1">
      <w:start w:val="1"/>
      <w:numFmt w:val="bullet"/>
      <w:lvlText w:val=""/>
      <w:lvlJc w:val="left"/>
      <w:pPr>
        <w:ind w:left="3105" w:hanging="360"/>
      </w:pPr>
      <w:rPr>
        <w:rFonts w:ascii="Wingdings" w:hAnsi="Wingdings" w:hint="default"/>
      </w:rPr>
    </w:lvl>
    <w:lvl w:ilvl="3" w:tplc="04150001" w:tentative="1">
      <w:start w:val="1"/>
      <w:numFmt w:val="bullet"/>
      <w:lvlText w:val=""/>
      <w:lvlJc w:val="left"/>
      <w:pPr>
        <w:ind w:left="3825" w:hanging="360"/>
      </w:pPr>
      <w:rPr>
        <w:rFonts w:ascii="Symbol" w:hAnsi="Symbol" w:hint="default"/>
      </w:rPr>
    </w:lvl>
    <w:lvl w:ilvl="4" w:tplc="04150003" w:tentative="1">
      <w:start w:val="1"/>
      <w:numFmt w:val="bullet"/>
      <w:lvlText w:val="o"/>
      <w:lvlJc w:val="left"/>
      <w:pPr>
        <w:ind w:left="4545" w:hanging="360"/>
      </w:pPr>
      <w:rPr>
        <w:rFonts w:ascii="Courier New" w:hAnsi="Courier New" w:cs="Courier New" w:hint="default"/>
      </w:rPr>
    </w:lvl>
    <w:lvl w:ilvl="5" w:tplc="04150005" w:tentative="1">
      <w:start w:val="1"/>
      <w:numFmt w:val="bullet"/>
      <w:lvlText w:val=""/>
      <w:lvlJc w:val="left"/>
      <w:pPr>
        <w:ind w:left="5265" w:hanging="360"/>
      </w:pPr>
      <w:rPr>
        <w:rFonts w:ascii="Wingdings" w:hAnsi="Wingdings" w:hint="default"/>
      </w:rPr>
    </w:lvl>
    <w:lvl w:ilvl="6" w:tplc="04150001" w:tentative="1">
      <w:start w:val="1"/>
      <w:numFmt w:val="bullet"/>
      <w:lvlText w:val=""/>
      <w:lvlJc w:val="left"/>
      <w:pPr>
        <w:ind w:left="5985" w:hanging="360"/>
      </w:pPr>
      <w:rPr>
        <w:rFonts w:ascii="Symbol" w:hAnsi="Symbol" w:hint="default"/>
      </w:rPr>
    </w:lvl>
    <w:lvl w:ilvl="7" w:tplc="04150003" w:tentative="1">
      <w:start w:val="1"/>
      <w:numFmt w:val="bullet"/>
      <w:lvlText w:val="o"/>
      <w:lvlJc w:val="left"/>
      <w:pPr>
        <w:ind w:left="6705" w:hanging="360"/>
      </w:pPr>
      <w:rPr>
        <w:rFonts w:ascii="Courier New" w:hAnsi="Courier New" w:cs="Courier New" w:hint="default"/>
      </w:rPr>
    </w:lvl>
    <w:lvl w:ilvl="8" w:tplc="04150005" w:tentative="1">
      <w:start w:val="1"/>
      <w:numFmt w:val="bullet"/>
      <w:lvlText w:val=""/>
      <w:lvlJc w:val="left"/>
      <w:pPr>
        <w:ind w:left="7425" w:hanging="360"/>
      </w:pPr>
      <w:rPr>
        <w:rFonts w:ascii="Wingdings" w:hAnsi="Wingdings" w:hint="default"/>
      </w:rPr>
    </w:lvl>
  </w:abstractNum>
  <w:abstractNum w:abstractNumId="14" w15:restartNumberingAfterBreak="0">
    <w:nsid w:val="195E7145"/>
    <w:multiLevelType w:val="hybridMultilevel"/>
    <w:tmpl w:val="B982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7426C7"/>
    <w:multiLevelType w:val="hybridMultilevel"/>
    <w:tmpl w:val="4EB01DD0"/>
    <w:lvl w:ilvl="0" w:tplc="251061E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5D40F1"/>
    <w:multiLevelType w:val="hybridMultilevel"/>
    <w:tmpl w:val="9CF4C79C"/>
    <w:lvl w:ilvl="0" w:tplc="8C8E944C">
      <w:start w:val="17"/>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1FDF5482"/>
    <w:multiLevelType w:val="multilevel"/>
    <w:tmpl w:val="664872B6"/>
    <w:lvl w:ilvl="0">
      <w:start w:val="1"/>
      <w:numFmt w:val="bullet"/>
      <w:lvlText w:val=""/>
      <w:lvlJc w:val="left"/>
      <w:pPr>
        <w:tabs>
          <w:tab w:val="num" w:pos="747"/>
        </w:tabs>
        <w:ind w:left="747" w:hanging="567"/>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9" w15:restartNumberingAfterBreak="0">
    <w:nsid w:val="20813001"/>
    <w:multiLevelType w:val="hybridMultilevel"/>
    <w:tmpl w:val="AECC7B9A"/>
    <w:lvl w:ilvl="0" w:tplc="51D4A8AE">
      <w:start w:val="1"/>
      <w:numFmt w:val="bullet"/>
      <w:pStyle w:val="Action"/>
      <w:lvlText w:val=""/>
      <w:lvlJc w:val="left"/>
      <w:pPr>
        <w:ind w:left="360" w:hanging="360"/>
      </w:pPr>
      <w:rPr>
        <w:rFonts w:ascii="ZapfDingbats" w:hAnsi="ZapfDingbats" w:hint="default"/>
        <w:b w:val="0"/>
        <w:i w:val="0"/>
        <w:color w:val="00000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5166AC"/>
    <w:multiLevelType w:val="singleLevel"/>
    <w:tmpl w:val="A3A44514"/>
    <w:lvl w:ilvl="0">
      <w:start w:val="1"/>
      <w:numFmt w:val="lowerLetter"/>
      <w:pStyle w:val="tablerefalpha"/>
      <w:lvlText w:val="%1."/>
      <w:lvlJc w:val="left"/>
      <w:pPr>
        <w:tabs>
          <w:tab w:val="num" w:pos="360"/>
        </w:tabs>
        <w:ind w:left="360" w:hanging="360"/>
      </w:pPr>
    </w:lvl>
  </w:abstractNum>
  <w:abstractNum w:abstractNumId="21" w15:restartNumberingAfterBreak="0">
    <w:nsid w:val="23D96B53"/>
    <w:multiLevelType w:val="hybridMultilevel"/>
    <w:tmpl w:val="4556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AB3246"/>
    <w:multiLevelType w:val="hybridMultilevel"/>
    <w:tmpl w:val="DA267B9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D318E7"/>
    <w:multiLevelType w:val="hybridMultilevel"/>
    <w:tmpl w:val="098EEC0C"/>
    <w:lvl w:ilvl="0" w:tplc="04090001">
      <w:start w:val="1"/>
      <w:numFmt w:val="bullet"/>
      <w:lvlText w:val=""/>
      <w:lvlJc w:val="left"/>
      <w:pPr>
        <w:ind w:left="1665" w:hanging="360"/>
      </w:pPr>
      <w:rPr>
        <w:rFonts w:ascii="Symbol" w:hAnsi="Symbol" w:hint="default"/>
      </w:rPr>
    </w:lvl>
    <w:lvl w:ilvl="1" w:tplc="04150003" w:tentative="1">
      <w:start w:val="1"/>
      <w:numFmt w:val="bullet"/>
      <w:lvlText w:val="o"/>
      <w:lvlJc w:val="left"/>
      <w:pPr>
        <w:ind w:left="2385" w:hanging="360"/>
      </w:pPr>
      <w:rPr>
        <w:rFonts w:ascii="Courier New" w:hAnsi="Courier New" w:cs="Courier New" w:hint="default"/>
      </w:rPr>
    </w:lvl>
    <w:lvl w:ilvl="2" w:tplc="04150005" w:tentative="1">
      <w:start w:val="1"/>
      <w:numFmt w:val="bullet"/>
      <w:lvlText w:val=""/>
      <w:lvlJc w:val="left"/>
      <w:pPr>
        <w:ind w:left="3105" w:hanging="360"/>
      </w:pPr>
      <w:rPr>
        <w:rFonts w:ascii="Wingdings" w:hAnsi="Wingdings" w:hint="default"/>
      </w:rPr>
    </w:lvl>
    <w:lvl w:ilvl="3" w:tplc="04150001" w:tentative="1">
      <w:start w:val="1"/>
      <w:numFmt w:val="bullet"/>
      <w:lvlText w:val=""/>
      <w:lvlJc w:val="left"/>
      <w:pPr>
        <w:ind w:left="3825" w:hanging="360"/>
      </w:pPr>
      <w:rPr>
        <w:rFonts w:ascii="Symbol" w:hAnsi="Symbol" w:hint="default"/>
      </w:rPr>
    </w:lvl>
    <w:lvl w:ilvl="4" w:tplc="04150003" w:tentative="1">
      <w:start w:val="1"/>
      <w:numFmt w:val="bullet"/>
      <w:lvlText w:val="o"/>
      <w:lvlJc w:val="left"/>
      <w:pPr>
        <w:ind w:left="4545" w:hanging="360"/>
      </w:pPr>
      <w:rPr>
        <w:rFonts w:ascii="Courier New" w:hAnsi="Courier New" w:cs="Courier New" w:hint="default"/>
      </w:rPr>
    </w:lvl>
    <w:lvl w:ilvl="5" w:tplc="04150005" w:tentative="1">
      <w:start w:val="1"/>
      <w:numFmt w:val="bullet"/>
      <w:lvlText w:val=""/>
      <w:lvlJc w:val="left"/>
      <w:pPr>
        <w:ind w:left="5265" w:hanging="360"/>
      </w:pPr>
      <w:rPr>
        <w:rFonts w:ascii="Wingdings" w:hAnsi="Wingdings" w:hint="default"/>
      </w:rPr>
    </w:lvl>
    <w:lvl w:ilvl="6" w:tplc="04150001" w:tentative="1">
      <w:start w:val="1"/>
      <w:numFmt w:val="bullet"/>
      <w:lvlText w:val=""/>
      <w:lvlJc w:val="left"/>
      <w:pPr>
        <w:ind w:left="5985" w:hanging="360"/>
      </w:pPr>
      <w:rPr>
        <w:rFonts w:ascii="Symbol" w:hAnsi="Symbol" w:hint="default"/>
      </w:rPr>
    </w:lvl>
    <w:lvl w:ilvl="7" w:tplc="04150003" w:tentative="1">
      <w:start w:val="1"/>
      <w:numFmt w:val="bullet"/>
      <w:lvlText w:val="o"/>
      <w:lvlJc w:val="left"/>
      <w:pPr>
        <w:ind w:left="6705" w:hanging="360"/>
      </w:pPr>
      <w:rPr>
        <w:rFonts w:ascii="Courier New" w:hAnsi="Courier New" w:cs="Courier New" w:hint="default"/>
      </w:rPr>
    </w:lvl>
    <w:lvl w:ilvl="8" w:tplc="04150005" w:tentative="1">
      <w:start w:val="1"/>
      <w:numFmt w:val="bullet"/>
      <w:lvlText w:val=""/>
      <w:lvlJc w:val="left"/>
      <w:pPr>
        <w:ind w:left="7425" w:hanging="360"/>
      </w:pPr>
      <w:rPr>
        <w:rFonts w:ascii="Wingdings" w:hAnsi="Wingdings" w:hint="default"/>
      </w:rPr>
    </w:lvl>
  </w:abstractNum>
  <w:abstractNum w:abstractNumId="24" w15:restartNumberingAfterBreak="0">
    <w:nsid w:val="2A2F106D"/>
    <w:multiLevelType w:val="multilevel"/>
    <w:tmpl w:val="A1DE6D9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CDB132B"/>
    <w:multiLevelType w:val="hybridMultilevel"/>
    <w:tmpl w:val="02CA5EC0"/>
    <w:lvl w:ilvl="0" w:tplc="7750C47E">
      <w:start w:val="1"/>
      <w:numFmt w:val="bullet"/>
      <w:lvlText w:val=""/>
      <w:lvlJc w:val="left"/>
      <w:pPr>
        <w:tabs>
          <w:tab w:val="num" w:pos="720"/>
        </w:tabs>
        <w:ind w:left="720" w:hanging="360"/>
      </w:pPr>
      <w:rPr>
        <w:rFonts w:ascii="Wingdings" w:hAnsi="Wingdings" w:hint="default"/>
        <w:b w:val="0"/>
        <w:i w:val="0"/>
        <w:color w:val="000000"/>
        <w:sz w:val="22"/>
        <w:szCs w:val="22"/>
      </w:rPr>
    </w:lvl>
    <w:lvl w:ilvl="1" w:tplc="E12276A0">
      <w:start w:val="1"/>
      <w:numFmt w:val="bullet"/>
      <w:lvlText w:val=""/>
      <w:lvlJc w:val="left"/>
      <w:pPr>
        <w:tabs>
          <w:tab w:val="num" w:pos="1894"/>
        </w:tabs>
        <w:ind w:left="1894" w:hanging="454"/>
      </w:pPr>
      <w:rPr>
        <w:rFonts w:ascii="Symbol" w:hAnsi="Symbol" w:cs="Times New Roman" w:hint="default"/>
        <w:b w:val="0"/>
        <w:i w:val="0"/>
        <w:color w:val="000000"/>
        <w:sz w:val="22"/>
        <w:szCs w:val="22"/>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2D11267B"/>
    <w:multiLevelType w:val="multilevel"/>
    <w:tmpl w:val="C9BE2540"/>
    <w:lvl w:ilvl="0">
      <w:start w:val="1"/>
      <w:numFmt w:val="bullet"/>
      <w:lvlText w:val="-"/>
      <w:lvlJc w:val="left"/>
      <w:pPr>
        <w:tabs>
          <w:tab w:val="num" w:pos="747"/>
        </w:tabs>
        <w:ind w:left="747" w:hanging="567"/>
      </w:pPr>
      <w:rPr>
        <w:rFonts w:ascii="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b w:val="0"/>
        <w:i w:val="0"/>
        <w:color w:val="000000"/>
        <w:sz w:val="22"/>
        <w:szCs w:val="22"/>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B97BEB"/>
    <w:multiLevelType w:val="hybridMultilevel"/>
    <w:tmpl w:val="7270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35190D"/>
    <w:multiLevelType w:val="singleLevel"/>
    <w:tmpl w:val="6EA66680"/>
    <w:lvl w:ilvl="0">
      <w:start w:val="1"/>
      <w:numFmt w:val="bullet"/>
      <w:pStyle w:val="listbull"/>
      <w:lvlText w:val=""/>
      <w:lvlJc w:val="left"/>
      <w:pPr>
        <w:tabs>
          <w:tab w:val="num" w:pos="1962"/>
        </w:tabs>
        <w:ind w:left="1962" w:hanging="432"/>
      </w:pPr>
      <w:rPr>
        <w:rFonts w:ascii="Symbol" w:hAnsi="Symbol" w:hint="default"/>
      </w:rPr>
    </w:lvl>
  </w:abstractNum>
  <w:abstractNum w:abstractNumId="29" w15:restartNumberingAfterBreak="0">
    <w:nsid w:val="32CF758B"/>
    <w:multiLevelType w:val="hybridMultilevel"/>
    <w:tmpl w:val="674A05B2"/>
    <w:lvl w:ilvl="0" w:tplc="9708A72C">
      <w:start w:val="21"/>
      <w:numFmt w:val="bullet"/>
      <w:lvlText w:val="-"/>
      <w:lvlJc w:val="left"/>
      <w:pPr>
        <w:tabs>
          <w:tab w:val="num" w:pos="417"/>
        </w:tabs>
        <w:ind w:left="567" w:hanging="567"/>
      </w:pPr>
      <w:rPr>
        <w:rFonts w:hint="default"/>
      </w:rPr>
    </w:lvl>
    <w:lvl w:ilvl="1" w:tplc="FFFFFFFF">
      <w:start w:val="1"/>
      <w:numFmt w:val="bullet"/>
      <w:lvlText w:val="o"/>
      <w:lvlJc w:val="left"/>
      <w:pPr>
        <w:tabs>
          <w:tab w:val="num" w:pos="1497"/>
        </w:tabs>
        <w:ind w:left="1497" w:hanging="360"/>
      </w:pPr>
      <w:rPr>
        <w:rFonts w:ascii="Courier New" w:hAnsi="Courier New" w:cs="Courier New" w:hint="default"/>
      </w:rPr>
    </w:lvl>
    <w:lvl w:ilvl="2" w:tplc="FFFFFFFF">
      <w:start w:val="1"/>
      <w:numFmt w:val="bullet"/>
      <w:lvlText w:val=""/>
      <w:lvlJc w:val="left"/>
      <w:pPr>
        <w:tabs>
          <w:tab w:val="num" w:pos="2217"/>
        </w:tabs>
        <w:ind w:left="2217" w:hanging="360"/>
      </w:pPr>
      <w:rPr>
        <w:rFonts w:ascii="Wingdings" w:hAnsi="Wingdings" w:cs="Times New Roman" w:hint="default"/>
      </w:rPr>
    </w:lvl>
    <w:lvl w:ilvl="3" w:tplc="FFFFFFFF">
      <w:start w:val="1"/>
      <w:numFmt w:val="bullet"/>
      <w:lvlText w:val=""/>
      <w:lvlJc w:val="left"/>
      <w:pPr>
        <w:tabs>
          <w:tab w:val="num" w:pos="2937"/>
        </w:tabs>
        <w:ind w:left="2937" w:hanging="360"/>
      </w:pPr>
      <w:rPr>
        <w:rFonts w:ascii="Symbol" w:hAnsi="Symbol" w:cs="Times New Roman" w:hint="default"/>
      </w:rPr>
    </w:lvl>
    <w:lvl w:ilvl="4" w:tplc="FFFFFFFF">
      <w:start w:val="1"/>
      <w:numFmt w:val="bullet"/>
      <w:lvlText w:val="o"/>
      <w:lvlJc w:val="left"/>
      <w:pPr>
        <w:tabs>
          <w:tab w:val="num" w:pos="3657"/>
        </w:tabs>
        <w:ind w:left="3657" w:hanging="360"/>
      </w:pPr>
      <w:rPr>
        <w:rFonts w:ascii="Courier New" w:hAnsi="Courier New" w:cs="Courier New" w:hint="default"/>
      </w:rPr>
    </w:lvl>
    <w:lvl w:ilvl="5" w:tplc="FFFFFFFF">
      <w:start w:val="1"/>
      <w:numFmt w:val="bullet"/>
      <w:lvlText w:val=""/>
      <w:lvlJc w:val="left"/>
      <w:pPr>
        <w:tabs>
          <w:tab w:val="num" w:pos="4377"/>
        </w:tabs>
        <w:ind w:left="4377" w:hanging="360"/>
      </w:pPr>
      <w:rPr>
        <w:rFonts w:ascii="Wingdings" w:hAnsi="Wingdings" w:cs="Times New Roman" w:hint="default"/>
      </w:rPr>
    </w:lvl>
    <w:lvl w:ilvl="6" w:tplc="FFFFFFFF">
      <w:start w:val="1"/>
      <w:numFmt w:val="bullet"/>
      <w:lvlText w:val=""/>
      <w:lvlJc w:val="left"/>
      <w:pPr>
        <w:tabs>
          <w:tab w:val="num" w:pos="5097"/>
        </w:tabs>
        <w:ind w:left="5097" w:hanging="360"/>
      </w:pPr>
      <w:rPr>
        <w:rFonts w:ascii="Symbol" w:hAnsi="Symbol" w:cs="Times New Roman" w:hint="default"/>
      </w:rPr>
    </w:lvl>
    <w:lvl w:ilvl="7" w:tplc="FFFFFFFF">
      <w:start w:val="1"/>
      <w:numFmt w:val="bullet"/>
      <w:lvlText w:val="o"/>
      <w:lvlJc w:val="left"/>
      <w:pPr>
        <w:tabs>
          <w:tab w:val="num" w:pos="5817"/>
        </w:tabs>
        <w:ind w:left="5817" w:hanging="360"/>
      </w:pPr>
      <w:rPr>
        <w:rFonts w:ascii="Courier New" w:hAnsi="Courier New" w:cs="Courier New" w:hint="default"/>
      </w:rPr>
    </w:lvl>
    <w:lvl w:ilvl="8" w:tplc="FFFFFFFF">
      <w:start w:val="1"/>
      <w:numFmt w:val="bullet"/>
      <w:lvlText w:val=""/>
      <w:lvlJc w:val="left"/>
      <w:pPr>
        <w:tabs>
          <w:tab w:val="num" w:pos="6537"/>
        </w:tabs>
        <w:ind w:left="6537" w:hanging="360"/>
      </w:pPr>
      <w:rPr>
        <w:rFonts w:ascii="Wingdings" w:hAnsi="Wingdings" w:cs="Times New Roman" w:hint="default"/>
      </w:rPr>
    </w:lvl>
  </w:abstractNum>
  <w:abstractNum w:abstractNumId="3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37101FB5"/>
    <w:multiLevelType w:val="hybridMultilevel"/>
    <w:tmpl w:val="332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1E1C13"/>
    <w:multiLevelType w:val="multilevel"/>
    <w:tmpl w:val="6E2C0C16"/>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AD244D5"/>
    <w:multiLevelType w:val="multilevel"/>
    <w:tmpl w:val="B9AC9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BCE0553"/>
    <w:multiLevelType w:val="hybridMultilevel"/>
    <w:tmpl w:val="D5F21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EAB5800"/>
    <w:multiLevelType w:val="multilevel"/>
    <w:tmpl w:val="913E6FAC"/>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F7350F9"/>
    <w:multiLevelType w:val="multilevel"/>
    <w:tmpl w:val="3F22688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AF56B5"/>
    <w:multiLevelType w:val="hybridMultilevel"/>
    <w:tmpl w:val="192C2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215118"/>
    <w:multiLevelType w:val="hybridMultilevel"/>
    <w:tmpl w:val="021088F4"/>
    <w:lvl w:ilvl="0" w:tplc="DA8E26CA">
      <w:start w:val="1"/>
      <w:numFmt w:val="bullet"/>
      <w:lvlText w:val=""/>
      <w:lvlJc w:val="righ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4DE36E4"/>
    <w:multiLevelType w:val="multilevel"/>
    <w:tmpl w:val="252EA07A"/>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50C29ED"/>
    <w:multiLevelType w:val="hybridMultilevel"/>
    <w:tmpl w:val="5E0C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6900F8"/>
    <w:multiLevelType w:val="multilevel"/>
    <w:tmpl w:val="92427DEE"/>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7DC7BFE"/>
    <w:multiLevelType w:val="multilevel"/>
    <w:tmpl w:val="3962EF4E"/>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97019EE"/>
    <w:multiLevelType w:val="hybridMultilevel"/>
    <w:tmpl w:val="F16EC8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49BE485F"/>
    <w:multiLevelType w:val="multilevel"/>
    <w:tmpl w:val="3BA803FC"/>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B152CE5"/>
    <w:multiLevelType w:val="hybridMultilevel"/>
    <w:tmpl w:val="36D4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0D06C1"/>
    <w:multiLevelType w:val="multilevel"/>
    <w:tmpl w:val="7ED07D1E"/>
    <w:lvl w:ilvl="0">
      <w:start w:val="1"/>
      <w:numFmt w:val="bullet"/>
      <w:lvlText w:val=""/>
      <w:lvlJc w:val="left"/>
      <w:pPr>
        <w:tabs>
          <w:tab w:val="num" w:pos="747"/>
        </w:tabs>
        <w:ind w:left="747"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F9413EC"/>
    <w:multiLevelType w:val="hybridMultilevel"/>
    <w:tmpl w:val="1606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784CEE"/>
    <w:multiLevelType w:val="hybridMultilevel"/>
    <w:tmpl w:val="90C8BC3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4F002E"/>
    <w:multiLevelType w:val="multilevel"/>
    <w:tmpl w:val="142E6E8E"/>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2210816"/>
    <w:multiLevelType w:val="hybridMultilevel"/>
    <w:tmpl w:val="4B28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0E266D"/>
    <w:multiLevelType w:val="multilevel"/>
    <w:tmpl w:val="B42811E0"/>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6BD5A5F"/>
    <w:multiLevelType w:val="hybridMultilevel"/>
    <w:tmpl w:val="2A542B14"/>
    <w:lvl w:ilvl="0" w:tplc="2DDEFDD4">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B0929C3"/>
    <w:multiLevelType w:val="multilevel"/>
    <w:tmpl w:val="97A07410"/>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B4D512A"/>
    <w:multiLevelType w:val="hybridMultilevel"/>
    <w:tmpl w:val="543A9870"/>
    <w:lvl w:ilvl="0" w:tplc="AE2A2B3E">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BF1082D"/>
    <w:multiLevelType w:val="multilevel"/>
    <w:tmpl w:val="98D47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E286C6D"/>
    <w:multiLevelType w:val="hybridMultilevel"/>
    <w:tmpl w:val="E10E6CAA"/>
    <w:lvl w:ilvl="0" w:tplc="0409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7" w15:restartNumberingAfterBreak="0">
    <w:nsid w:val="603E01ED"/>
    <w:multiLevelType w:val="hybridMultilevel"/>
    <w:tmpl w:val="15BE6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59" w15:restartNumberingAfterBreak="0">
    <w:nsid w:val="64EE5283"/>
    <w:multiLevelType w:val="hybridMultilevel"/>
    <w:tmpl w:val="9CF4C79C"/>
    <w:lvl w:ilvl="0" w:tplc="8C8E944C">
      <w:start w:val="17"/>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0" w15:restartNumberingAfterBreak="0">
    <w:nsid w:val="662C72A5"/>
    <w:multiLevelType w:val="hybridMultilevel"/>
    <w:tmpl w:val="67E8AE54"/>
    <w:lvl w:ilvl="0" w:tplc="8C8E944C">
      <w:start w:val="17"/>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1" w15:restartNumberingAfterBreak="0">
    <w:nsid w:val="66E81797"/>
    <w:multiLevelType w:val="hybridMultilevel"/>
    <w:tmpl w:val="5F1A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AF916F9"/>
    <w:multiLevelType w:val="hybridMultilevel"/>
    <w:tmpl w:val="23DAED04"/>
    <w:lvl w:ilvl="0" w:tplc="04090001">
      <w:start w:val="1"/>
      <w:numFmt w:val="bullet"/>
      <w:lvlText w:val=""/>
      <w:lvlJc w:val="left"/>
      <w:pPr>
        <w:ind w:left="874" w:hanging="360"/>
      </w:pPr>
      <w:rPr>
        <w:rFonts w:ascii="Symbol" w:hAnsi="Symbol" w:hint="default"/>
      </w:rPr>
    </w:lvl>
    <w:lvl w:ilvl="1" w:tplc="04150003" w:tentative="1">
      <w:start w:val="1"/>
      <w:numFmt w:val="bullet"/>
      <w:lvlText w:val="o"/>
      <w:lvlJc w:val="left"/>
      <w:pPr>
        <w:ind w:left="1594" w:hanging="360"/>
      </w:pPr>
      <w:rPr>
        <w:rFonts w:ascii="Courier New" w:hAnsi="Courier New" w:cs="Courier New" w:hint="default"/>
      </w:rPr>
    </w:lvl>
    <w:lvl w:ilvl="2" w:tplc="04150005" w:tentative="1">
      <w:start w:val="1"/>
      <w:numFmt w:val="bullet"/>
      <w:lvlText w:val=""/>
      <w:lvlJc w:val="left"/>
      <w:pPr>
        <w:ind w:left="2314" w:hanging="360"/>
      </w:pPr>
      <w:rPr>
        <w:rFonts w:ascii="Wingdings" w:hAnsi="Wingdings" w:hint="default"/>
      </w:rPr>
    </w:lvl>
    <w:lvl w:ilvl="3" w:tplc="04150001" w:tentative="1">
      <w:start w:val="1"/>
      <w:numFmt w:val="bullet"/>
      <w:lvlText w:val=""/>
      <w:lvlJc w:val="left"/>
      <w:pPr>
        <w:ind w:left="3034" w:hanging="360"/>
      </w:pPr>
      <w:rPr>
        <w:rFonts w:ascii="Symbol" w:hAnsi="Symbol" w:hint="default"/>
      </w:rPr>
    </w:lvl>
    <w:lvl w:ilvl="4" w:tplc="04150003" w:tentative="1">
      <w:start w:val="1"/>
      <w:numFmt w:val="bullet"/>
      <w:lvlText w:val="o"/>
      <w:lvlJc w:val="left"/>
      <w:pPr>
        <w:ind w:left="3754" w:hanging="360"/>
      </w:pPr>
      <w:rPr>
        <w:rFonts w:ascii="Courier New" w:hAnsi="Courier New" w:cs="Courier New" w:hint="default"/>
      </w:rPr>
    </w:lvl>
    <w:lvl w:ilvl="5" w:tplc="04150005" w:tentative="1">
      <w:start w:val="1"/>
      <w:numFmt w:val="bullet"/>
      <w:lvlText w:val=""/>
      <w:lvlJc w:val="left"/>
      <w:pPr>
        <w:ind w:left="4474" w:hanging="360"/>
      </w:pPr>
      <w:rPr>
        <w:rFonts w:ascii="Wingdings" w:hAnsi="Wingdings" w:hint="default"/>
      </w:rPr>
    </w:lvl>
    <w:lvl w:ilvl="6" w:tplc="04150001" w:tentative="1">
      <w:start w:val="1"/>
      <w:numFmt w:val="bullet"/>
      <w:lvlText w:val=""/>
      <w:lvlJc w:val="left"/>
      <w:pPr>
        <w:ind w:left="5194" w:hanging="360"/>
      </w:pPr>
      <w:rPr>
        <w:rFonts w:ascii="Symbol" w:hAnsi="Symbol" w:hint="default"/>
      </w:rPr>
    </w:lvl>
    <w:lvl w:ilvl="7" w:tplc="04150003" w:tentative="1">
      <w:start w:val="1"/>
      <w:numFmt w:val="bullet"/>
      <w:lvlText w:val="o"/>
      <w:lvlJc w:val="left"/>
      <w:pPr>
        <w:ind w:left="5914" w:hanging="360"/>
      </w:pPr>
      <w:rPr>
        <w:rFonts w:ascii="Courier New" w:hAnsi="Courier New" w:cs="Courier New" w:hint="default"/>
      </w:rPr>
    </w:lvl>
    <w:lvl w:ilvl="8" w:tplc="04150005" w:tentative="1">
      <w:start w:val="1"/>
      <w:numFmt w:val="bullet"/>
      <w:lvlText w:val=""/>
      <w:lvlJc w:val="left"/>
      <w:pPr>
        <w:ind w:left="6634" w:hanging="360"/>
      </w:pPr>
      <w:rPr>
        <w:rFonts w:ascii="Wingdings" w:hAnsi="Wingdings" w:hint="default"/>
      </w:rPr>
    </w:lvl>
  </w:abstractNum>
  <w:abstractNum w:abstractNumId="63" w15:restartNumberingAfterBreak="0">
    <w:nsid w:val="6B515F1D"/>
    <w:multiLevelType w:val="multilevel"/>
    <w:tmpl w:val="6E3A1B5C"/>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BC70091"/>
    <w:multiLevelType w:val="multilevel"/>
    <w:tmpl w:val="C7C6A196"/>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D4003EE"/>
    <w:multiLevelType w:val="hybridMultilevel"/>
    <w:tmpl w:val="315E33C2"/>
    <w:lvl w:ilvl="0" w:tplc="8C8E944C">
      <w:start w:val="17"/>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6" w15:restartNumberingAfterBreak="0">
    <w:nsid w:val="6D7F6B96"/>
    <w:multiLevelType w:val="hybridMultilevel"/>
    <w:tmpl w:val="6372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E10189E"/>
    <w:multiLevelType w:val="multilevel"/>
    <w:tmpl w:val="50A4FF8E"/>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E7B41B3"/>
    <w:multiLevelType w:val="hybridMultilevel"/>
    <w:tmpl w:val="894CBFB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ED93B86"/>
    <w:multiLevelType w:val="multilevel"/>
    <w:tmpl w:val="84DC73CE"/>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F9337D0"/>
    <w:multiLevelType w:val="hybridMultilevel"/>
    <w:tmpl w:val="2DD83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1406C3B"/>
    <w:multiLevelType w:val="hybridMultilevel"/>
    <w:tmpl w:val="821CEE7C"/>
    <w:lvl w:ilvl="0" w:tplc="7750C47E">
      <w:start w:val="1"/>
      <w:numFmt w:val="bullet"/>
      <w:lvlText w:val=""/>
      <w:lvlJc w:val="left"/>
      <w:pPr>
        <w:ind w:left="1146" w:hanging="360"/>
      </w:pPr>
      <w:rPr>
        <w:rFonts w:ascii="Wingdings" w:hAnsi="Wingdings" w:hint="default"/>
        <w:b w:val="0"/>
        <w:i w:val="0"/>
        <w:color w:val="000000"/>
        <w:sz w:val="22"/>
        <w:szCs w:val="22"/>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2" w15:restartNumberingAfterBreak="0">
    <w:nsid w:val="725272D4"/>
    <w:multiLevelType w:val="hybridMultilevel"/>
    <w:tmpl w:val="F91A0CF4"/>
    <w:lvl w:ilvl="0" w:tplc="04150003">
      <w:start w:val="1"/>
      <w:numFmt w:val="bullet"/>
      <w:lvlText w:val="o"/>
      <w:lvlJc w:val="left"/>
      <w:pPr>
        <w:ind w:left="1287" w:hanging="360"/>
      </w:pPr>
      <w:rPr>
        <w:rFonts w:ascii="Courier New" w:hAnsi="Courier New" w:cs="Courier New"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3" w15:restartNumberingAfterBreak="0">
    <w:nsid w:val="72766602"/>
    <w:multiLevelType w:val="hybridMultilevel"/>
    <w:tmpl w:val="7124EAA2"/>
    <w:lvl w:ilvl="0" w:tplc="8572FC94">
      <w:start w:val="1"/>
      <w:numFmt w:val="bullet"/>
      <w:pStyle w:val="Bullet"/>
      <w:lvlText w:val="l"/>
      <w:lvlJc w:val="left"/>
      <w:pPr>
        <w:ind w:left="927" w:hanging="360"/>
      </w:pPr>
      <w:rPr>
        <w:rFonts w:ascii="ZapfDingbats" w:hAnsi="ZapfDingbats"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598160B"/>
    <w:multiLevelType w:val="multilevel"/>
    <w:tmpl w:val="8EF0062C"/>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A100D28"/>
    <w:multiLevelType w:val="hybridMultilevel"/>
    <w:tmpl w:val="0C9AB372"/>
    <w:lvl w:ilvl="0" w:tplc="FD788292">
      <w:start w:val="1"/>
      <w:numFmt w:val="upperLetter"/>
      <w:lvlText w:val="%1."/>
      <w:lvlJc w:val="left"/>
      <w:pPr>
        <w:ind w:left="5670" w:hanging="5670"/>
      </w:pPr>
      <w:rPr>
        <w:rFonts w:hint="default"/>
        <w:b/>
      </w:rPr>
    </w:lvl>
    <w:lvl w:ilvl="1" w:tplc="8C8E944C">
      <w:start w:val="17"/>
      <w:numFmt w:val="decimal"/>
      <w:lvlText w:val="%2."/>
      <w:lvlJc w:val="left"/>
      <w:pPr>
        <w:ind w:left="712"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014266710">
    <w:abstractNumId w:val="29"/>
  </w:num>
  <w:num w:numId="2" w16cid:durableId="159202505">
    <w:abstractNumId w:val="10"/>
  </w:num>
  <w:num w:numId="3" w16cid:durableId="992370279">
    <w:abstractNumId w:val="19"/>
  </w:num>
  <w:num w:numId="4" w16cid:durableId="1168208475">
    <w:abstractNumId w:val="73"/>
  </w:num>
  <w:num w:numId="5" w16cid:durableId="2069575163">
    <w:abstractNumId w:val="25"/>
  </w:num>
  <w:num w:numId="6" w16cid:durableId="1068456418">
    <w:abstractNumId w:val="18"/>
  </w:num>
  <w:num w:numId="7" w16cid:durableId="1975479401">
    <w:abstractNumId w:val="28"/>
  </w:num>
  <w:num w:numId="8" w16cid:durableId="516968902">
    <w:abstractNumId w:val="12"/>
  </w:num>
  <w:num w:numId="9" w16cid:durableId="1794058855">
    <w:abstractNumId w:val="20"/>
  </w:num>
  <w:num w:numId="10" w16cid:durableId="717900954">
    <w:abstractNumId w:val="3"/>
  </w:num>
  <w:num w:numId="11" w16cid:durableId="747575117">
    <w:abstractNumId w:val="70"/>
  </w:num>
  <w:num w:numId="12" w16cid:durableId="215240090">
    <w:abstractNumId w:val="26"/>
  </w:num>
  <w:num w:numId="13" w16cid:durableId="1843354617">
    <w:abstractNumId w:val="71"/>
  </w:num>
  <w:num w:numId="14" w16cid:durableId="3180405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1962397">
    <w:abstractNumId w:val="70"/>
  </w:num>
  <w:num w:numId="16" w16cid:durableId="1661421016">
    <w:abstractNumId w:val="11"/>
  </w:num>
  <w:num w:numId="17" w16cid:durableId="88015648">
    <w:abstractNumId w:val="5"/>
  </w:num>
  <w:num w:numId="18" w16cid:durableId="1562785528">
    <w:abstractNumId w:val="42"/>
  </w:num>
  <w:num w:numId="19" w16cid:durableId="1063600055">
    <w:abstractNumId w:val="23"/>
  </w:num>
  <w:num w:numId="20" w16cid:durableId="1555771168">
    <w:abstractNumId w:val="39"/>
  </w:num>
  <w:num w:numId="21" w16cid:durableId="1076242800">
    <w:abstractNumId w:val="51"/>
  </w:num>
  <w:num w:numId="22" w16cid:durableId="1687974765">
    <w:abstractNumId w:val="46"/>
  </w:num>
  <w:num w:numId="23" w16cid:durableId="1230119568">
    <w:abstractNumId w:val="41"/>
  </w:num>
  <w:num w:numId="24" w16cid:durableId="628244562">
    <w:abstractNumId w:val="13"/>
  </w:num>
  <w:num w:numId="25" w16cid:durableId="992874896">
    <w:abstractNumId w:val="56"/>
  </w:num>
  <w:num w:numId="26" w16cid:durableId="590509401">
    <w:abstractNumId w:val="62"/>
  </w:num>
  <w:num w:numId="27" w16cid:durableId="180780174">
    <w:abstractNumId w:val="44"/>
  </w:num>
  <w:num w:numId="28" w16cid:durableId="1628121667">
    <w:abstractNumId w:val="64"/>
  </w:num>
  <w:num w:numId="29" w16cid:durableId="1074089956">
    <w:abstractNumId w:val="49"/>
  </w:num>
  <w:num w:numId="30" w16cid:durableId="1130317072">
    <w:abstractNumId w:val="35"/>
  </w:num>
  <w:num w:numId="31" w16cid:durableId="1290622451">
    <w:abstractNumId w:val="69"/>
  </w:num>
  <w:num w:numId="32" w16cid:durableId="1118721464">
    <w:abstractNumId w:val="67"/>
  </w:num>
  <w:num w:numId="33" w16cid:durableId="582103592">
    <w:abstractNumId w:val="0"/>
  </w:num>
  <w:num w:numId="34" w16cid:durableId="459958488">
    <w:abstractNumId w:val="63"/>
  </w:num>
  <w:num w:numId="35" w16cid:durableId="1669668786">
    <w:abstractNumId w:val="17"/>
  </w:num>
  <w:num w:numId="36" w16cid:durableId="2060936944">
    <w:abstractNumId w:val="48"/>
  </w:num>
  <w:num w:numId="37" w16cid:durableId="1996104964">
    <w:abstractNumId w:val="9"/>
  </w:num>
  <w:num w:numId="38" w16cid:durableId="1322656864">
    <w:abstractNumId w:val="22"/>
  </w:num>
  <w:num w:numId="39" w16cid:durableId="559099476">
    <w:abstractNumId w:val="68"/>
  </w:num>
  <w:num w:numId="40" w16cid:durableId="681515006">
    <w:abstractNumId w:val="7"/>
  </w:num>
  <w:num w:numId="41" w16cid:durableId="947081938">
    <w:abstractNumId w:val="61"/>
  </w:num>
  <w:num w:numId="42" w16cid:durableId="571233126">
    <w:abstractNumId w:val="38"/>
  </w:num>
  <w:num w:numId="43" w16cid:durableId="905990477">
    <w:abstractNumId w:val="33"/>
  </w:num>
  <w:num w:numId="44" w16cid:durableId="1360818410">
    <w:abstractNumId w:val="36"/>
  </w:num>
  <w:num w:numId="45" w16cid:durableId="925961163">
    <w:abstractNumId w:val="45"/>
  </w:num>
  <w:num w:numId="46" w16cid:durableId="1171485683">
    <w:abstractNumId w:val="14"/>
  </w:num>
  <w:num w:numId="47" w16cid:durableId="923807289">
    <w:abstractNumId w:val="21"/>
  </w:num>
  <w:num w:numId="48" w16cid:durableId="1074206009">
    <w:abstractNumId w:val="40"/>
  </w:num>
  <w:num w:numId="49" w16cid:durableId="945886336">
    <w:abstractNumId w:val="27"/>
  </w:num>
  <w:num w:numId="50" w16cid:durableId="1782459628">
    <w:abstractNumId w:val="8"/>
  </w:num>
  <w:num w:numId="51" w16cid:durableId="43800114">
    <w:abstractNumId w:val="66"/>
  </w:num>
  <w:num w:numId="52" w16cid:durableId="981696479">
    <w:abstractNumId w:val="4"/>
  </w:num>
  <w:num w:numId="53" w16cid:durableId="651983233">
    <w:abstractNumId w:val="47"/>
  </w:num>
  <w:num w:numId="54" w16cid:durableId="1439644879">
    <w:abstractNumId w:val="50"/>
  </w:num>
  <w:num w:numId="55" w16cid:durableId="39325423">
    <w:abstractNumId w:val="6"/>
  </w:num>
  <w:num w:numId="56" w16cid:durableId="1208182281">
    <w:abstractNumId w:val="43"/>
  </w:num>
  <w:num w:numId="57" w16cid:durableId="1236938511">
    <w:abstractNumId w:val="31"/>
  </w:num>
  <w:num w:numId="58" w16cid:durableId="259918651">
    <w:abstractNumId w:val="1"/>
  </w:num>
  <w:num w:numId="59" w16cid:durableId="1989943716">
    <w:abstractNumId w:val="75"/>
  </w:num>
  <w:num w:numId="60" w16cid:durableId="496846419">
    <w:abstractNumId w:val="60"/>
  </w:num>
  <w:num w:numId="61" w16cid:durableId="1579973634">
    <w:abstractNumId w:val="65"/>
  </w:num>
  <w:num w:numId="62" w16cid:durableId="1388146207">
    <w:abstractNumId w:val="16"/>
  </w:num>
  <w:num w:numId="63" w16cid:durableId="1465007452">
    <w:abstractNumId w:val="59"/>
  </w:num>
  <w:num w:numId="64" w16cid:durableId="1162623917">
    <w:abstractNumId w:val="30"/>
  </w:num>
  <w:num w:numId="65" w16cid:durableId="1729062236">
    <w:abstractNumId w:val="24"/>
  </w:num>
  <w:num w:numId="66" w16cid:durableId="2120492380">
    <w:abstractNumId w:val="74"/>
  </w:num>
  <w:num w:numId="67" w16cid:durableId="2079357741">
    <w:abstractNumId w:val="57"/>
  </w:num>
  <w:num w:numId="68" w16cid:durableId="13190299">
    <w:abstractNumId w:val="32"/>
  </w:num>
  <w:num w:numId="69" w16cid:durableId="2028099406">
    <w:abstractNumId w:val="55"/>
  </w:num>
  <w:num w:numId="70" w16cid:durableId="628359627">
    <w:abstractNumId w:val="53"/>
  </w:num>
  <w:num w:numId="71" w16cid:durableId="1548948346">
    <w:abstractNumId w:val="15"/>
  </w:num>
  <w:num w:numId="72" w16cid:durableId="329985936">
    <w:abstractNumId w:val="52"/>
  </w:num>
  <w:num w:numId="73" w16cid:durableId="1101026681">
    <w:abstractNumId w:val="54"/>
  </w:num>
  <w:num w:numId="74" w16cid:durableId="1762990039">
    <w:abstractNumId w:val="2"/>
  </w:num>
  <w:num w:numId="75" w16cid:durableId="692847253">
    <w:abstractNumId w:val="37"/>
  </w:num>
  <w:num w:numId="76" w16cid:durableId="1793667531">
    <w:abstractNumId w:val="72"/>
  </w:num>
  <w:num w:numId="77" w16cid:durableId="836767470">
    <w:abstractNumId w:val="5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hideSpellingErrors/>
  <w:activeWritingStyle w:appName="MSWord" w:lang="it-IT" w:vendorID="64" w:dllVersion="6" w:nlCheck="1" w:checkStyle="0"/>
  <w:activeWritingStyle w:appName="MSWord" w:lang="fr-CH" w:vendorID="64" w:dllVersion="6" w:nlCheck="1" w:checkStyle="0"/>
  <w:activeWritingStyle w:appName="MSWord" w:lang="en-US" w:vendorID="64" w:dllVersion="6" w:nlCheck="1" w:checkStyle="1"/>
  <w:activeWritingStyle w:appName="MSWord" w:lang="es-ES" w:vendorID="64" w:dllVersion="6" w:nlCheck="1" w:checkStyle="0"/>
  <w:activeWritingStyle w:appName="MSWord" w:lang="fr-BE" w:vendorID="64" w:dllVersion="6" w:nlCheck="1" w:checkStyle="0"/>
  <w:activeWritingStyle w:appName="MSWord" w:lang="fr-FR" w:vendorID="64" w:dllVersion="6" w:nlCheck="1" w:checkStyle="0"/>
  <w:activeWritingStyle w:appName="MSWord" w:lang="de-CH" w:vendorID="64" w:dllVersion="6" w:nlCheck="1" w:checkStyle="0"/>
  <w:activeWritingStyle w:appName="MSWord" w:lang="de-DE" w:vendorID="64" w:dllVersion="6" w:nlCheck="1" w:checkStyle="0"/>
  <w:activeWritingStyle w:appName="MSWord" w:lang="nb-NO" w:vendorID="64" w:dllVersion="6" w:nlCheck="1" w:checkStyle="0"/>
  <w:activeWritingStyle w:appName="MSWord" w:lang="de-AT" w:vendorID="64" w:dllVersion="6" w:nlCheck="1" w:checkStyle="0"/>
  <w:activeWritingStyle w:appName="MSWord" w:lang="en-GB" w:vendorID="64" w:dllVersion="6" w:nlCheck="1" w:checkStyle="1"/>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pt-BR" w:vendorID="64" w:dllVersion="6" w:nlCheck="1" w:checkStyle="0"/>
  <w:activeWritingStyle w:appName="MSWord" w:lang="pl-PL" w:vendorID="64" w:dllVersion="0" w:nlCheck="1" w:checkStyle="0"/>
  <w:activeWritingStyle w:appName="MSWord" w:lang="cs-CZ" w:vendorID="64" w:dllVersion="0" w:nlCheck="1" w:checkStyle="0"/>
  <w:activeWritingStyle w:appName="MSWord" w:lang="pt-BR" w:vendorID="64" w:dllVersion="0" w:nlCheck="1" w:checkStyle="0"/>
  <w:activeWritingStyle w:appName="MSWord" w:lang="de-CH"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de-AT" w:vendorID="64" w:dllVersion="0" w:nlCheck="1" w:checkStyle="0"/>
  <w:activeWritingStyle w:appName="MSWord" w:lang="es-ES" w:vendorID="64" w:dllVersion="0" w:nlCheck="1" w:checkStyle="0"/>
  <w:activeWritingStyle w:appName="MSWord" w:lang="fr-CH" w:vendorID="64" w:dllVersion="0" w:nlCheck="1" w:checkStyle="0"/>
  <w:activeWritingStyle w:appName="MSWord" w:lang="fr-BE" w:vendorID="64" w:dllVersion="0" w:nlCheck="1" w:checkStyle="0"/>
  <w:activeWritingStyle w:appName="MSWord" w:lang="fr-FR" w:vendorID="64" w:dllVersion="0" w:nlCheck="1" w:checkStyle="0"/>
  <w:activeWritingStyle w:appName="MSWord" w:lang="pl-PL" w:vendorID="12" w:dllVersion="512" w:checkStyle="1"/>
  <w:activeWritingStyle w:appName="MSWord" w:lang="it-IT" w:vendorID="3" w:dllVersion="517" w:checkStyle="1"/>
  <w:activeWritingStyle w:appName="MSWord" w:lang="sv-SE" w:vendorID="22" w:dllVersion="513" w:checkStyle="1"/>
  <w:activeWritingStyle w:appName="MSWord" w:lang="hu-HU" w:vendorID="7" w:dllVersion="513" w:checkStyle="1"/>
  <w:activeWritingStyle w:appName="MSWord" w:lang="nl-NL" w:vendorID="1" w:dllVersion="512" w:checkStyle="1"/>
  <w:activeWritingStyle w:appName="MSWord" w:lang="nb-NO" w:vendorID="22" w:dllVersion="513" w:checkStyle="1"/>
  <w:activeWritingStyle w:appName="MSWord" w:lang="pt-PT" w:vendorID="13" w:dllVersion="513" w:checkStyle="1"/>
  <w:activeWritingStyle w:appName="MSWord" w:lang="fi-FI" w:vendorID="22" w:dllVersion="513" w:checkStyle="1"/>
  <w:activeWritingStyle w:appName="MSWord" w:lang="cs-CZ" w:vendorID="7" w:dllVersion="514" w:checkStyle="1"/>
  <w:activeWritingStyle w:appName="MSWord" w:lang="pt-PT" w:vendorID="75"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3D1114"/>
    <w:rsid w:val="00001352"/>
    <w:rsid w:val="00001B2E"/>
    <w:rsid w:val="000070B3"/>
    <w:rsid w:val="00007487"/>
    <w:rsid w:val="000077CF"/>
    <w:rsid w:val="00011080"/>
    <w:rsid w:val="00015286"/>
    <w:rsid w:val="00015A85"/>
    <w:rsid w:val="00016A0F"/>
    <w:rsid w:val="0002064B"/>
    <w:rsid w:val="00020D13"/>
    <w:rsid w:val="00021D36"/>
    <w:rsid w:val="0002281B"/>
    <w:rsid w:val="00022AFB"/>
    <w:rsid w:val="00024442"/>
    <w:rsid w:val="00024553"/>
    <w:rsid w:val="00024627"/>
    <w:rsid w:val="0002528E"/>
    <w:rsid w:val="000253BD"/>
    <w:rsid w:val="00025C02"/>
    <w:rsid w:val="00026864"/>
    <w:rsid w:val="0002695F"/>
    <w:rsid w:val="00027B67"/>
    <w:rsid w:val="0003036C"/>
    <w:rsid w:val="000314C7"/>
    <w:rsid w:val="000319A0"/>
    <w:rsid w:val="00031D03"/>
    <w:rsid w:val="00032900"/>
    <w:rsid w:val="00032D88"/>
    <w:rsid w:val="00033003"/>
    <w:rsid w:val="0003392D"/>
    <w:rsid w:val="00033F29"/>
    <w:rsid w:val="00036F72"/>
    <w:rsid w:val="00037068"/>
    <w:rsid w:val="000377CC"/>
    <w:rsid w:val="000378A4"/>
    <w:rsid w:val="00037B14"/>
    <w:rsid w:val="00040C0D"/>
    <w:rsid w:val="00041A08"/>
    <w:rsid w:val="00042276"/>
    <w:rsid w:val="000460C5"/>
    <w:rsid w:val="000474E9"/>
    <w:rsid w:val="0005039A"/>
    <w:rsid w:val="000505C8"/>
    <w:rsid w:val="0005176B"/>
    <w:rsid w:val="00052EA5"/>
    <w:rsid w:val="000542C8"/>
    <w:rsid w:val="00054B8F"/>
    <w:rsid w:val="00054EFA"/>
    <w:rsid w:val="0005605F"/>
    <w:rsid w:val="00056189"/>
    <w:rsid w:val="00056281"/>
    <w:rsid w:val="00057834"/>
    <w:rsid w:val="00057FA3"/>
    <w:rsid w:val="00061DC3"/>
    <w:rsid w:val="00061F81"/>
    <w:rsid w:val="00063336"/>
    <w:rsid w:val="00065A85"/>
    <w:rsid w:val="00065B6E"/>
    <w:rsid w:val="0006656D"/>
    <w:rsid w:val="000675DA"/>
    <w:rsid w:val="00067792"/>
    <w:rsid w:val="0007062E"/>
    <w:rsid w:val="00071506"/>
    <w:rsid w:val="00072B47"/>
    <w:rsid w:val="000740C7"/>
    <w:rsid w:val="00074614"/>
    <w:rsid w:val="00074D4A"/>
    <w:rsid w:val="00075417"/>
    <w:rsid w:val="00075C78"/>
    <w:rsid w:val="0007658F"/>
    <w:rsid w:val="0007677D"/>
    <w:rsid w:val="00076FE9"/>
    <w:rsid w:val="0007719A"/>
    <w:rsid w:val="00077D84"/>
    <w:rsid w:val="00080089"/>
    <w:rsid w:val="00080A53"/>
    <w:rsid w:val="00080FF2"/>
    <w:rsid w:val="00081AA9"/>
    <w:rsid w:val="00082D27"/>
    <w:rsid w:val="00083910"/>
    <w:rsid w:val="00084063"/>
    <w:rsid w:val="00084499"/>
    <w:rsid w:val="00085B72"/>
    <w:rsid w:val="00086822"/>
    <w:rsid w:val="0009235A"/>
    <w:rsid w:val="00093299"/>
    <w:rsid w:val="00094AB9"/>
    <w:rsid w:val="00094CFC"/>
    <w:rsid w:val="000958B2"/>
    <w:rsid w:val="00097408"/>
    <w:rsid w:val="0009757D"/>
    <w:rsid w:val="000A0438"/>
    <w:rsid w:val="000A13A1"/>
    <w:rsid w:val="000A2B14"/>
    <w:rsid w:val="000A4342"/>
    <w:rsid w:val="000A6914"/>
    <w:rsid w:val="000A7130"/>
    <w:rsid w:val="000A7881"/>
    <w:rsid w:val="000A7CCF"/>
    <w:rsid w:val="000B12ED"/>
    <w:rsid w:val="000B1C85"/>
    <w:rsid w:val="000B3735"/>
    <w:rsid w:val="000B3F08"/>
    <w:rsid w:val="000B49CE"/>
    <w:rsid w:val="000B6785"/>
    <w:rsid w:val="000C37DF"/>
    <w:rsid w:val="000C40B0"/>
    <w:rsid w:val="000C54AB"/>
    <w:rsid w:val="000C5C0A"/>
    <w:rsid w:val="000C5EB2"/>
    <w:rsid w:val="000C6058"/>
    <w:rsid w:val="000C69DA"/>
    <w:rsid w:val="000C77F4"/>
    <w:rsid w:val="000D0947"/>
    <w:rsid w:val="000D1220"/>
    <w:rsid w:val="000D123F"/>
    <w:rsid w:val="000D1ADE"/>
    <w:rsid w:val="000D1CFB"/>
    <w:rsid w:val="000D2D76"/>
    <w:rsid w:val="000D36D0"/>
    <w:rsid w:val="000D3D77"/>
    <w:rsid w:val="000E1A1A"/>
    <w:rsid w:val="000E1F72"/>
    <w:rsid w:val="000E2773"/>
    <w:rsid w:val="000E28DE"/>
    <w:rsid w:val="000E2B84"/>
    <w:rsid w:val="000E361D"/>
    <w:rsid w:val="000E4499"/>
    <w:rsid w:val="000E5039"/>
    <w:rsid w:val="000E5190"/>
    <w:rsid w:val="000E584A"/>
    <w:rsid w:val="000E6D39"/>
    <w:rsid w:val="000E7306"/>
    <w:rsid w:val="000E79FB"/>
    <w:rsid w:val="000E7D21"/>
    <w:rsid w:val="000F0D53"/>
    <w:rsid w:val="000F14EC"/>
    <w:rsid w:val="000F1A71"/>
    <w:rsid w:val="000F1FDA"/>
    <w:rsid w:val="000F31A2"/>
    <w:rsid w:val="000F421A"/>
    <w:rsid w:val="000F55ED"/>
    <w:rsid w:val="000F5E2C"/>
    <w:rsid w:val="000F7C7C"/>
    <w:rsid w:val="001013F3"/>
    <w:rsid w:val="001040A0"/>
    <w:rsid w:val="00107147"/>
    <w:rsid w:val="001102C7"/>
    <w:rsid w:val="00110C66"/>
    <w:rsid w:val="00111A10"/>
    <w:rsid w:val="00112210"/>
    <w:rsid w:val="00112545"/>
    <w:rsid w:val="001128BB"/>
    <w:rsid w:val="001136FC"/>
    <w:rsid w:val="00114565"/>
    <w:rsid w:val="00115279"/>
    <w:rsid w:val="00115EFD"/>
    <w:rsid w:val="001163D1"/>
    <w:rsid w:val="001168A9"/>
    <w:rsid w:val="00117751"/>
    <w:rsid w:val="0012162F"/>
    <w:rsid w:val="00121BD7"/>
    <w:rsid w:val="00121DBF"/>
    <w:rsid w:val="00124AA8"/>
    <w:rsid w:val="00124E65"/>
    <w:rsid w:val="001260F0"/>
    <w:rsid w:val="00126582"/>
    <w:rsid w:val="00126753"/>
    <w:rsid w:val="00132808"/>
    <w:rsid w:val="001329DA"/>
    <w:rsid w:val="001353D5"/>
    <w:rsid w:val="00135549"/>
    <w:rsid w:val="00136170"/>
    <w:rsid w:val="001403EA"/>
    <w:rsid w:val="0014050B"/>
    <w:rsid w:val="001408B4"/>
    <w:rsid w:val="00141CCA"/>
    <w:rsid w:val="001428CF"/>
    <w:rsid w:val="001438D0"/>
    <w:rsid w:val="00144D66"/>
    <w:rsid w:val="00145322"/>
    <w:rsid w:val="00147387"/>
    <w:rsid w:val="0014760C"/>
    <w:rsid w:val="00147833"/>
    <w:rsid w:val="00150170"/>
    <w:rsid w:val="001503A5"/>
    <w:rsid w:val="00151A66"/>
    <w:rsid w:val="00152C73"/>
    <w:rsid w:val="001533A8"/>
    <w:rsid w:val="00153A08"/>
    <w:rsid w:val="00153CDB"/>
    <w:rsid w:val="001547B7"/>
    <w:rsid w:val="0015491C"/>
    <w:rsid w:val="00156649"/>
    <w:rsid w:val="00157D12"/>
    <w:rsid w:val="0016025F"/>
    <w:rsid w:val="00160652"/>
    <w:rsid w:val="00161C01"/>
    <w:rsid w:val="00163CE8"/>
    <w:rsid w:val="00164D21"/>
    <w:rsid w:val="00170043"/>
    <w:rsid w:val="0017007C"/>
    <w:rsid w:val="001706E8"/>
    <w:rsid w:val="001710DE"/>
    <w:rsid w:val="00171734"/>
    <w:rsid w:val="001719B6"/>
    <w:rsid w:val="00173E3B"/>
    <w:rsid w:val="00173FA8"/>
    <w:rsid w:val="001742B3"/>
    <w:rsid w:val="001749E3"/>
    <w:rsid w:val="00174EE3"/>
    <w:rsid w:val="001753E5"/>
    <w:rsid w:val="001756EC"/>
    <w:rsid w:val="00176A1B"/>
    <w:rsid w:val="001771F8"/>
    <w:rsid w:val="00177BD1"/>
    <w:rsid w:val="001815BE"/>
    <w:rsid w:val="0018408C"/>
    <w:rsid w:val="001852CC"/>
    <w:rsid w:val="001858F8"/>
    <w:rsid w:val="00187486"/>
    <w:rsid w:val="0018790C"/>
    <w:rsid w:val="001908E1"/>
    <w:rsid w:val="00191260"/>
    <w:rsid w:val="001922DF"/>
    <w:rsid w:val="00192764"/>
    <w:rsid w:val="00192908"/>
    <w:rsid w:val="00193736"/>
    <w:rsid w:val="0019379C"/>
    <w:rsid w:val="0019521B"/>
    <w:rsid w:val="001969AF"/>
    <w:rsid w:val="00197770"/>
    <w:rsid w:val="001A2BDF"/>
    <w:rsid w:val="001A399F"/>
    <w:rsid w:val="001A3C52"/>
    <w:rsid w:val="001A3D49"/>
    <w:rsid w:val="001A6584"/>
    <w:rsid w:val="001A689E"/>
    <w:rsid w:val="001B00B2"/>
    <w:rsid w:val="001B1D8E"/>
    <w:rsid w:val="001B215D"/>
    <w:rsid w:val="001B6455"/>
    <w:rsid w:val="001B6E3F"/>
    <w:rsid w:val="001C06FC"/>
    <w:rsid w:val="001C1380"/>
    <w:rsid w:val="001C15DF"/>
    <w:rsid w:val="001C19D4"/>
    <w:rsid w:val="001C1AF1"/>
    <w:rsid w:val="001C1D0B"/>
    <w:rsid w:val="001C2067"/>
    <w:rsid w:val="001C4D76"/>
    <w:rsid w:val="001C54CD"/>
    <w:rsid w:val="001C579C"/>
    <w:rsid w:val="001C66D4"/>
    <w:rsid w:val="001C6EF9"/>
    <w:rsid w:val="001C6FF0"/>
    <w:rsid w:val="001D1017"/>
    <w:rsid w:val="001D31C9"/>
    <w:rsid w:val="001D6935"/>
    <w:rsid w:val="001D766F"/>
    <w:rsid w:val="001D7908"/>
    <w:rsid w:val="001E0EBD"/>
    <w:rsid w:val="001E156A"/>
    <w:rsid w:val="001E2395"/>
    <w:rsid w:val="001E2EC5"/>
    <w:rsid w:val="001E37CC"/>
    <w:rsid w:val="001E37F5"/>
    <w:rsid w:val="001E44C5"/>
    <w:rsid w:val="001E45F4"/>
    <w:rsid w:val="001E4933"/>
    <w:rsid w:val="001E5564"/>
    <w:rsid w:val="001E5EF3"/>
    <w:rsid w:val="001E6044"/>
    <w:rsid w:val="001E6E7C"/>
    <w:rsid w:val="001E7B03"/>
    <w:rsid w:val="001E7C0D"/>
    <w:rsid w:val="001E7DC9"/>
    <w:rsid w:val="001F4FDF"/>
    <w:rsid w:val="001F69A9"/>
    <w:rsid w:val="00200715"/>
    <w:rsid w:val="00200F81"/>
    <w:rsid w:val="00203325"/>
    <w:rsid w:val="0020439B"/>
    <w:rsid w:val="00204FEA"/>
    <w:rsid w:val="0020595D"/>
    <w:rsid w:val="00205C1C"/>
    <w:rsid w:val="0020661C"/>
    <w:rsid w:val="00207756"/>
    <w:rsid w:val="002122A4"/>
    <w:rsid w:val="00214B03"/>
    <w:rsid w:val="002160A9"/>
    <w:rsid w:val="002163A9"/>
    <w:rsid w:val="0021669C"/>
    <w:rsid w:val="0022132E"/>
    <w:rsid w:val="0022155B"/>
    <w:rsid w:val="002215D8"/>
    <w:rsid w:val="002223A8"/>
    <w:rsid w:val="002224D7"/>
    <w:rsid w:val="00223833"/>
    <w:rsid w:val="00225153"/>
    <w:rsid w:val="00225242"/>
    <w:rsid w:val="002259DF"/>
    <w:rsid w:val="00231260"/>
    <w:rsid w:val="002327A3"/>
    <w:rsid w:val="0023377B"/>
    <w:rsid w:val="00233EB3"/>
    <w:rsid w:val="00234666"/>
    <w:rsid w:val="00234A4C"/>
    <w:rsid w:val="00236554"/>
    <w:rsid w:val="00236F5C"/>
    <w:rsid w:val="00237B46"/>
    <w:rsid w:val="00240198"/>
    <w:rsid w:val="00242147"/>
    <w:rsid w:val="0024233B"/>
    <w:rsid w:val="002443FD"/>
    <w:rsid w:val="00244746"/>
    <w:rsid w:val="00244C57"/>
    <w:rsid w:val="0024546C"/>
    <w:rsid w:val="002459E7"/>
    <w:rsid w:val="00245DD9"/>
    <w:rsid w:val="00245EEA"/>
    <w:rsid w:val="002462D4"/>
    <w:rsid w:val="002462F7"/>
    <w:rsid w:val="002463E0"/>
    <w:rsid w:val="0024672D"/>
    <w:rsid w:val="00246FEA"/>
    <w:rsid w:val="00250B6C"/>
    <w:rsid w:val="00250ED7"/>
    <w:rsid w:val="002513B7"/>
    <w:rsid w:val="00252477"/>
    <w:rsid w:val="00253AD7"/>
    <w:rsid w:val="00254A19"/>
    <w:rsid w:val="00254D3C"/>
    <w:rsid w:val="00254FC7"/>
    <w:rsid w:val="00255717"/>
    <w:rsid w:val="0025641A"/>
    <w:rsid w:val="002574FE"/>
    <w:rsid w:val="00260201"/>
    <w:rsid w:val="00260B83"/>
    <w:rsid w:val="0026312B"/>
    <w:rsid w:val="00265DFC"/>
    <w:rsid w:val="00265FB7"/>
    <w:rsid w:val="002667E3"/>
    <w:rsid w:val="00270D75"/>
    <w:rsid w:val="00270DC2"/>
    <w:rsid w:val="00270E50"/>
    <w:rsid w:val="002730A7"/>
    <w:rsid w:val="00273B4F"/>
    <w:rsid w:val="00273EE5"/>
    <w:rsid w:val="00274AFB"/>
    <w:rsid w:val="002753EF"/>
    <w:rsid w:val="002759A1"/>
    <w:rsid w:val="002774B3"/>
    <w:rsid w:val="00277650"/>
    <w:rsid w:val="00280D5C"/>
    <w:rsid w:val="00281328"/>
    <w:rsid w:val="00283016"/>
    <w:rsid w:val="00283A2D"/>
    <w:rsid w:val="00285D73"/>
    <w:rsid w:val="0029058C"/>
    <w:rsid w:val="002912DD"/>
    <w:rsid w:val="002914C0"/>
    <w:rsid w:val="00291D63"/>
    <w:rsid w:val="00291DF6"/>
    <w:rsid w:val="00294564"/>
    <w:rsid w:val="0029475F"/>
    <w:rsid w:val="002949EA"/>
    <w:rsid w:val="002965B9"/>
    <w:rsid w:val="002A0D2B"/>
    <w:rsid w:val="002A10AE"/>
    <w:rsid w:val="002A2591"/>
    <w:rsid w:val="002A3C64"/>
    <w:rsid w:val="002A5DC5"/>
    <w:rsid w:val="002A6D45"/>
    <w:rsid w:val="002A7DD9"/>
    <w:rsid w:val="002B026C"/>
    <w:rsid w:val="002B0E8A"/>
    <w:rsid w:val="002B1EE3"/>
    <w:rsid w:val="002B3D7F"/>
    <w:rsid w:val="002B4229"/>
    <w:rsid w:val="002B6EB7"/>
    <w:rsid w:val="002B7BBF"/>
    <w:rsid w:val="002B7D5B"/>
    <w:rsid w:val="002C0252"/>
    <w:rsid w:val="002C12E9"/>
    <w:rsid w:val="002C22C9"/>
    <w:rsid w:val="002C364A"/>
    <w:rsid w:val="002C3A30"/>
    <w:rsid w:val="002C44FE"/>
    <w:rsid w:val="002C6893"/>
    <w:rsid w:val="002C7327"/>
    <w:rsid w:val="002D0710"/>
    <w:rsid w:val="002D07B0"/>
    <w:rsid w:val="002D1730"/>
    <w:rsid w:val="002D352A"/>
    <w:rsid w:val="002D3675"/>
    <w:rsid w:val="002D3721"/>
    <w:rsid w:val="002D5994"/>
    <w:rsid w:val="002D7073"/>
    <w:rsid w:val="002D7332"/>
    <w:rsid w:val="002E074E"/>
    <w:rsid w:val="002E0C64"/>
    <w:rsid w:val="002E193C"/>
    <w:rsid w:val="002E2719"/>
    <w:rsid w:val="002E41BE"/>
    <w:rsid w:val="002E41F4"/>
    <w:rsid w:val="002E4D32"/>
    <w:rsid w:val="002E52D0"/>
    <w:rsid w:val="002E52DF"/>
    <w:rsid w:val="002E6AB9"/>
    <w:rsid w:val="002E77FB"/>
    <w:rsid w:val="002E795A"/>
    <w:rsid w:val="002F044F"/>
    <w:rsid w:val="002F1214"/>
    <w:rsid w:val="002F1C27"/>
    <w:rsid w:val="002F263C"/>
    <w:rsid w:val="002F2C4A"/>
    <w:rsid w:val="002F3597"/>
    <w:rsid w:val="002F3BF4"/>
    <w:rsid w:val="002F45B5"/>
    <w:rsid w:val="002F4B19"/>
    <w:rsid w:val="002F51AC"/>
    <w:rsid w:val="002F55D4"/>
    <w:rsid w:val="002F6672"/>
    <w:rsid w:val="002F6B62"/>
    <w:rsid w:val="002F7D40"/>
    <w:rsid w:val="002F7D8C"/>
    <w:rsid w:val="002F7DB9"/>
    <w:rsid w:val="002F7F75"/>
    <w:rsid w:val="00300991"/>
    <w:rsid w:val="00303ADC"/>
    <w:rsid w:val="0030442E"/>
    <w:rsid w:val="003050BA"/>
    <w:rsid w:val="00305449"/>
    <w:rsid w:val="003059B5"/>
    <w:rsid w:val="0030774B"/>
    <w:rsid w:val="00307A55"/>
    <w:rsid w:val="00307CA2"/>
    <w:rsid w:val="003106E7"/>
    <w:rsid w:val="003119C2"/>
    <w:rsid w:val="003123B9"/>
    <w:rsid w:val="00313584"/>
    <w:rsid w:val="00313CA1"/>
    <w:rsid w:val="003142EC"/>
    <w:rsid w:val="00314BCA"/>
    <w:rsid w:val="00314DDE"/>
    <w:rsid w:val="00315069"/>
    <w:rsid w:val="00315826"/>
    <w:rsid w:val="00316AE0"/>
    <w:rsid w:val="0031704D"/>
    <w:rsid w:val="00317255"/>
    <w:rsid w:val="00321E2C"/>
    <w:rsid w:val="0032696C"/>
    <w:rsid w:val="0033025A"/>
    <w:rsid w:val="00330491"/>
    <w:rsid w:val="00330800"/>
    <w:rsid w:val="0033086B"/>
    <w:rsid w:val="0033248D"/>
    <w:rsid w:val="00332F7E"/>
    <w:rsid w:val="00333DAA"/>
    <w:rsid w:val="00333E88"/>
    <w:rsid w:val="003342F8"/>
    <w:rsid w:val="00337F8C"/>
    <w:rsid w:val="00337FD2"/>
    <w:rsid w:val="0034113C"/>
    <w:rsid w:val="003423EA"/>
    <w:rsid w:val="00343A4D"/>
    <w:rsid w:val="00344895"/>
    <w:rsid w:val="00344BA1"/>
    <w:rsid w:val="00344DE6"/>
    <w:rsid w:val="00346352"/>
    <w:rsid w:val="003472B9"/>
    <w:rsid w:val="00347B71"/>
    <w:rsid w:val="003501C4"/>
    <w:rsid w:val="00350E5B"/>
    <w:rsid w:val="0035152C"/>
    <w:rsid w:val="0035222F"/>
    <w:rsid w:val="00353671"/>
    <w:rsid w:val="003543A8"/>
    <w:rsid w:val="003573F5"/>
    <w:rsid w:val="003577F9"/>
    <w:rsid w:val="00360AF2"/>
    <w:rsid w:val="00362021"/>
    <w:rsid w:val="003633AF"/>
    <w:rsid w:val="00363D06"/>
    <w:rsid w:val="00363D84"/>
    <w:rsid w:val="00363DE9"/>
    <w:rsid w:val="00364781"/>
    <w:rsid w:val="00364C19"/>
    <w:rsid w:val="00365224"/>
    <w:rsid w:val="00366A91"/>
    <w:rsid w:val="0037040E"/>
    <w:rsid w:val="00372A80"/>
    <w:rsid w:val="0037348A"/>
    <w:rsid w:val="0037440C"/>
    <w:rsid w:val="003760A6"/>
    <w:rsid w:val="0037656C"/>
    <w:rsid w:val="00376697"/>
    <w:rsid w:val="0037678E"/>
    <w:rsid w:val="00376AB3"/>
    <w:rsid w:val="00377441"/>
    <w:rsid w:val="00377C05"/>
    <w:rsid w:val="00377D82"/>
    <w:rsid w:val="00380443"/>
    <w:rsid w:val="003811FB"/>
    <w:rsid w:val="00381489"/>
    <w:rsid w:val="00381816"/>
    <w:rsid w:val="00381B0E"/>
    <w:rsid w:val="00382A23"/>
    <w:rsid w:val="00383146"/>
    <w:rsid w:val="00383321"/>
    <w:rsid w:val="003843D2"/>
    <w:rsid w:val="00384D10"/>
    <w:rsid w:val="00384ED1"/>
    <w:rsid w:val="00385434"/>
    <w:rsid w:val="00385A0C"/>
    <w:rsid w:val="003874F2"/>
    <w:rsid w:val="003908C1"/>
    <w:rsid w:val="00391492"/>
    <w:rsid w:val="00391900"/>
    <w:rsid w:val="00393325"/>
    <w:rsid w:val="003939E5"/>
    <w:rsid w:val="00394642"/>
    <w:rsid w:val="00395F1F"/>
    <w:rsid w:val="00396633"/>
    <w:rsid w:val="00396B44"/>
    <w:rsid w:val="003A03DB"/>
    <w:rsid w:val="003A133B"/>
    <w:rsid w:val="003A36F7"/>
    <w:rsid w:val="003A3E00"/>
    <w:rsid w:val="003A4E6D"/>
    <w:rsid w:val="003A59B1"/>
    <w:rsid w:val="003A6163"/>
    <w:rsid w:val="003A7A2B"/>
    <w:rsid w:val="003B08B9"/>
    <w:rsid w:val="003B181A"/>
    <w:rsid w:val="003B1CF4"/>
    <w:rsid w:val="003B3225"/>
    <w:rsid w:val="003B3568"/>
    <w:rsid w:val="003B4362"/>
    <w:rsid w:val="003B44B9"/>
    <w:rsid w:val="003B4F52"/>
    <w:rsid w:val="003B55EB"/>
    <w:rsid w:val="003B7E37"/>
    <w:rsid w:val="003C0411"/>
    <w:rsid w:val="003C04F4"/>
    <w:rsid w:val="003C0D73"/>
    <w:rsid w:val="003C16ED"/>
    <w:rsid w:val="003C1C76"/>
    <w:rsid w:val="003C3D3E"/>
    <w:rsid w:val="003C3EEC"/>
    <w:rsid w:val="003C61E2"/>
    <w:rsid w:val="003D0C1E"/>
    <w:rsid w:val="003D0D13"/>
    <w:rsid w:val="003D1114"/>
    <w:rsid w:val="003D2760"/>
    <w:rsid w:val="003D5181"/>
    <w:rsid w:val="003D6A06"/>
    <w:rsid w:val="003D6A2F"/>
    <w:rsid w:val="003D6E8F"/>
    <w:rsid w:val="003D790C"/>
    <w:rsid w:val="003E1B50"/>
    <w:rsid w:val="003E1ECF"/>
    <w:rsid w:val="003E3EB2"/>
    <w:rsid w:val="003E41FD"/>
    <w:rsid w:val="003E4CFD"/>
    <w:rsid w:val="003E7159"/>
    <w:rsid w:val="003E7611"/>
    <w:rsid w:val="003F0113"/>
    <w:rsid w:val="003F08A3"/>
    <w:rsid w:val="003F1C2B"/>
    <w:rsid w:val="003F374D"/>
    <w:rsid w:val="003F4B36"/>
    <w:rsid w:val="003F5237"/>
    <w:rsid w:val="003F5C2A"/>
    <w:rsid w:val="003F6AAC"/>
    <w:rsid w:val="003F723B"/>
    <w:rsid w:val="003F7AD8"/>
    <w:rsid w:val="003F7CF2"/>
    <w:rsid w:val="0040003D"/>
    <w:rsid w:val="0040153D"/>
    <w:rsid w:val="00401BBC"/>
    <w:rsid w:val="00403670"/>
    <w:rsid w:val="004037AA"/>
    <w:rsid w:val="004049CD"/>
    <w:rsid w:val="0040561E"/>
    <w:rsid w:val="00405688"/>
    <w:rsid w:val="00405D81"/>
    <w:rsid w:val="0040619A"/>
    <w:rsid w:val="00406FA8"/>
    <w:rsid w:val="00407D7E"/>
    <w:rsid w:val="00410505"/>
    <w:rsid w:val="00411084"/>
    <w:rsid w:val="004120EB"/>
    <w:rsid w:val="00413D2F"/>
    <w:rsid w:val="004146FA"/>
    <w:rsid w:val="00414F85"/>
    <w:rsid w:val="00415123"/>
    <w:rsid w:val="004157FD"/>
    <w:rsid w:val="00415929"/>
    <w:rsid w:val="0041689A"/>
    <w:rsid w:val="00416C42"/>
    <w:rsid w:val="00420677"/>
    <w:rsid w:val="004209F2"/>
    <w:rsid w:val="00420BF8"/>
    <w:rsid w:val="00422294"/>
    <w:rsid w:val="004237E1"/>
    <w:rsid w:val="00427914"/>
    <w:rsid w:val="004309D1"/>
    <w:rsid w:val="00430BB5"/>
    <w:rsid w:val="00431E73"/>
    <w:rsid w:val="004325B9"/>
    <w:rsid w:val="00432CB1"/>
    <w:rsid w:val="004348FB"/>
    <w:rsid w:val="0043585F"/>
    <w:rsid w:val="00435AB0"/>
    <w:rsid w:val="00436FE2"/>
    <w:rsid w:val="00437188"/>
    <w:rsid w:val="004377E1"/>
    <w:rsid w:val="00437E3E"/>
    <w:rsid w:val="0044065A"/>
    <w:rsid w:val="00442DC5"/>
    <w:rsid w:val="00445D7A"/>
    <w:rsid w:val="00446746"/>
    <w:rsid w:val="00447B56"/>
    <w:rsid w:val="00447DB4"/>
    <w:rsid w:val="00450D02"/>
    <w:rsid w:val="00450D9B"/>
    <w:rsid w:val="00451324"/>
    <w:rsid w:val="00451D26"/>
    <w:rsid w:val="00451DED"/>
    <w:rsid w:val="00452988"/>
    <w:rsid w:val="004536D2"/>
    <w:rsid w:val="00454660"/>
    <w:rsid w:val="0045712C"/>
    <w:rsid w:val="00457317"/>
    <w:rsid w:val="00457659"/>
    <w:rsid w:val="004613A1"/>
    <w:rsid w:val="004619AF"/>
    <w:rsid w:val="004628A4"/>
    <w:rsid w:val="004629CD"/>
    <w:rsid w:val="00462EA7"/>
    <w:rsid w:val="004636B7"/>
    <w:rsid w:val="00463F98"/>
    <w:rsid w:val="004645A1"/>
    <w:rsid w:val="004650AC"/>
    <w:rsid w:val="00466A69"/>
    <w:rsid w:val="00467037"/>
    <w:rsid w:val="00467E47"/>
    <w:rsid w:val="00467FB0"/>
    <w:rsid w:val="00471527"/>
    <w:rsid w:val="00472338"/>
    <w:rsid w:val="00473872"/>
    <w:rsid w:val="00475AF0"/>
    <w:rsid w:val="00477183"/>
    <w:rsid w:val="00482FD5"/>
    <w:rsid w:val="00483552"/>
    <w:rsid w:val="00483D7B"/>
    <w:rsid w:val="00483F95"/>
    <w:rsid w:val="00484AED"/>
    <w:rsid w:val="00484CD7"/>
    <w:rsid w:val="0048571C"/>
    <w:rsid w:val="004868E7"/>
    <w:rsid w:val="00486EE6"/>
    <w:rsid w:val="00493198"/>
    <w:rsid w:val="00493BCD"/>
    <w:rsid w:val="0049535D"/>
    <w:rsid w:val="00497E24"/>
    <w:rsid w:val="004A0FBA"/>
    <w:rsid w:val="004A1007"/>
    <w:rsid w:val="004A1034"/>
    <w:rsid w:val="004A21B7"/>
    <w:rsid w:val="004A3516"/>
    <w:rsid w:val="004A3729"/>
    <w:rsid w:val="004A3ACD"/>
    <w:rsid w:val="004A5921"/>
    <w:rsid w:val="004A5FEB"/>
    <w:rsid w:val="004A7832"/>
    <w:rsid w:val="004B1852"/>
    <w:rsid w:val="004B22C0"/>
    <w:rsid w:val="004B2BF2"/>
    <w:rsid w:val="004B332C"/>
    <w:rsid w:val="004B3C17"/>
    <w:rsid w:val="004B488E"/>
    <w:rsid w:val="004B5A0A"/>
    <w:rsid w:val="004B72A1"/>
    <w:rsid w:val="004B72FA"/>
    <w:rsid w:val="004B7B9A"/>
    <w:rsid w:val="004C008C"/>
    <w:rsid w:val="004C0EA2"/>
    <w:rsid w:val="004C17EF"/>
    <w:rsid w:val="004C249E"/>
    <w:rsid w:val="004C2A28"/>
    <w:rsid w:val="004C4586"/>
    <w:rsid w:val="004C64BF"/>
    <w:rsid w:val="004C6BB7"/>
    <w:rsid w:val="004D091F"/>
    <w:rsid w:val="004D1552"/>
    <w:rsid w:val="004D1555"/>
    <w:rsid w:val="004D3155"/>
    <w:rsid w:val="004D3758"/>
    <w:rsid w:val="004D444A"/>
    <w:rsid w:val="004D517C"/>
    <w:rsid w:val="004D5911"/>
    <w:rsid w:val="004D5B79"/>
    <w:rsid w:val="004D614E"/>
    <w:rsid w:val="004D6415"/>
    <w:rsid w:val="004D68EB"/>
    <w:rsid w:val="004D7624"/>
    <w:rsid w:val="004E0935"/>
    <w:rsid w:val="004E26BA"/>
    <w:rsid w:val="004E3073"/>
    <w:rsid w:val="004E30DF"/>
    <w:rsid w:val="004E3D5A"/>
    <w:rsid w:val="004E5641"/>
    <w:rsid w:val="004E5916"/>
    <w:rsid w:val="004E5FAC"/>
    <w:rsid w:val="004E6735"/>
    <w:rsid w:val="004E694F"/>
    <w:rsid w:val="004E7A5F"/>
    <w:rsid w:val="004F1F49"/>
    <w:rsid w:val="004F25EC"/>
    <w:rsid w:val="004F3194"/>
    <w:rsid w:val="004F3614"/>
    <w:rsid w:val="004F402D"/>
    <w:rsid w:val="004F4E57"/>
    <w:rsid w:val="00501B10"/>
    <w:rsid w:val="00501D63"/>
    <w:rsid w:val="0050224A"/>
    <w:rsid w:val="00502826"/>
    <w:rsid w:val="00502873"/>
    <w:rsid w:val="005044F0"/>
    <w:rsid w:val="00504B50"/>
    <w:rsid w:val="0050513F"/>
    <w:rsid w:val="00505BAA"/>
    <w:rsid w:val="0050769C"/>
    <w:rsid w:val="005077D8"/>
    <w:rsid w:val="005106C8"/>
    <w:rsid w:val="005118E6"/>
    <w:rsid w:val="005137FD"/>
    <w:rsid w:val="00513CD1"/>
    <w:rsid w:val="00513D74"/>
    <w:rsid w:val="00513EB1"/>
    <w:rsid w:val="00514474"/>
    <w:rsid w:val="00514DFD"/>
    <w:rsid w:val="00514EC1"/>
    <w:rsid w:val="0051523E"/>
    <w:rsid w:val="00516A9F"/>
    <w:rsid w:val="0052101E"/>
    <w:rsid w:val="00521E9F"/>
    <w:rsid w:val="00523743"/>
    <w:rsid w:val="00523B86"/>
    <w:rsid w:val="005242D0"/>
    <w:rsid w:val="00524C62"/>
    <w:rsid w:val="00524D67"/>
    <w:rsid w:val="00525422"/>
    <w:rsid w:val="0052598C"/>
    <w:rsid w:val="0052663D"/>
    <w:rsid w:val="00530450"/>
    <w:rsid w:val="00530A81"/>
    <w:rsid w:val="00532B5F"/>
    <w:rsid w:val="0053311F"/>
    <w:rsid w:val="005331E3"/>
    <w:rsid w:val="00533B23"/>
    <w:rsid w:val="00534898"/>
    <w:rsid w:val="00535EDC"/>
    <w:rsid w:val="00536350"/>
    <w:rsid w:val="00536498"/>
    <w:rsid w:val="00536919"/>
    <w:rsid w:val="005407EC"/>
    <w:rsid w:val="00541154"/>
    <w:rsid w:val="005414D8"/>
    <w:rsid w:val="00541655"/>
    <w:rsid w:val="00542787"/>
    <w:rsid w:val="00542A98"/>
    <w:rsid w:val="00543026"/>
    <w:rsid w:val="00543638"/>
    <w:rsid w:val="00543F35"/>
    <w:rsid w:val="005447EC"/>
    <w:rsid w:val="00544F49"/>
    <w:rsid w:val="00545228"/>
    <w:rsid w:val="00545251"/>
    <w:rsid w:val="00545C07"/>
    <w:rsid w:val="005509A6"/>
    <w:rsid w:val="00550EE8"/>
    <w:rsid w:val="00551363"/>
    <w:rsid w:val="00553AB7"/>
    <w:rsid w:val="005548A3"/>
    <w:rsid w:val="00554B55"/>
    <w:rsid w:val="00554CBD"/>
    <w:rsid w:val="005564F1"/>
    <w:rsid w:val="00557709"/>
    <w:rsid w:val="00557950"/>
    <w:rsid w:val="005603B2"/>
    <w:rsid w:val="00560E04"/>
    <w:rsid w:val="005612BB"/>
    <w:rsid w:val="00561862"/>
    <w:rsid w:val="00563397"/>
    <w:rsid w:val="00564F72"/>
    <w:rsid w:val="00565831"/>
    <w:rsid w:val="00565861"/>
    <w:rsid w:val="00565882"/>
    <w:rsid w:val="00567ED1"/>
    <w:rsid w:val="00567F01"/>
    <w:rsid w:val="00571AFC"/>
    <w:rsid w:val="005736ED"/>
    <w:rsid w:val="0057404E"/>
    <w:rsid w:val="00575260"/>
    <w:rsid w:val="0057529D"/>
    <w:rsid w:val="00575C22"/>
    <w:rsid w:val="0057666A"/>
    <w:rsid w:val="00577139"/>
    <w:rsid w:val="005772DC"/>
    <w:rsid w:val="00577CD1"/>
    <w:rsid w:val="00577DB5"/>
    <w:rsid w:val="00580C38"/>
    <w:rsid w:val="005835DF"/>
    <w:rsid w:val="0058393C"/>
    <w:rsid w:val="005846A5"/>
    <w:rsid w:val="00584D31"/>
    <w:rsid w:val="00585D61"/>
    <w:rsid w:val="005865E6"/>
    <w:rsid w:val="00587E0D"/>
    <w:rsid w:val="005905B6"/>
    <w:rsid w:val="005919B8"/>
    <w:rsid w:val="005925DF"/>
    <w:rsid w:val="005959FC"/>
    <w:rsid w:val="00596B70"/>
    <w:rsid w:val="00596BBB"/>
    <w:rsid w:val="005A0882"/>
    <w:rsid w:val="005A1098"/>
    <w:rsid w:val="005A14BB"/>
    <w:rsid w:val="005A18F4"/>
    <w:rsid w:val="005A1B17"/>
    <w:rsid w:val="005A24B8"/>
    <w:rsid w:val="005A24B9"/>
    <w:rsid w:val="005A2514"/>
    <w:rsid w:val="005A43B4"/>
    <w:rsid w:val="005A501F"/>
    <w:rsid w:val="005A618A"/>
    <w:rsid w:val="005B0395"/>
    <w:rsid w:val="005B1335"/>
    <w:rsid w:val="005B3C09"/>
    <w:rsid w:val="005B4981"/>
    <w:rsid w:val="005B4BC8"/>
    <w:rsid w:val="005B4DE2"/>
    <w:rsid w:val="005B517C"/>
    <w:rsid w:val="005B614F"/>
    <w:rsid w:val="005C0CBE"/>
    <w:rsid w:val="005C4998"/>
    <w:rsid w:val="005C4BC1"/>
    <w:rsid w:val="005C59ED"/>
    <w:rsid w:val="005C5D22"/>
    <w:rsid w:val="005C67BF"/>
    <w:rsid w:val="005C6AEF"/>
    <w:rsid w:val="005C7590"/>
    <w:rsid w:val="005D0C20"/>
    <w:rsid w:val="005D0D97"/>
    <w:rsid w:val="005D1364"/>
    <w:rsid w:val="005D1930"/>
    <w:rsid w:val="005D1AA0"/>
    <w:rsid w:val="005D3196"/>
    <w:rsid w:val="005D335E"/>
    <w:rsid w:val="005D3D1F"/>
    <w:rsid w:val="005D3E1A"/>
    <w:rsid w:val="005D4260"/>
    <w:rsid w:val="005D5343"/>
    <w:rsid w:val="005D6651"/>
    <w:rsid w:val="005D747F"/>
    <w:rsid w:val="005D74D1"/>
    <w:rsid w:val="005D7622"/>
    <w:rsid w:val="005D76F8"/>
    <w:rsid w:val="005E1C66"/>
    <w:rsid w:val="005E4F61"/>
    <w:rsid w:val="005E546F"/>
    <w:rsid w:val="005E6E9F"/>
    <w:rsid w:val="005E73F8"/>
    <w:rsid w:val="005E7536"/>
    <w:rsid w:val="005F162F"/>
    <w:rsid w:val="005F1952"/>
    <w:rsid w:val="005F20E3"/>
    <w:rsid w:val="005F3B8F"/>
    <w:rsid w:val="005F3D8D"/>
    <w:rsid w:val="005F4067"/>
    <w:rsid w:val="005F40C4"/>
    <w:rsid w:val="005F4348"/>
    <w:rsid w:val="005F4E9F"/>
    <w:rsid w:val="005F4FC6"/>
    <w:rsid w:val="005F5297"/>
    <w:rsid w:val="005F5B05"/>
    <w:rsid w:val="005F5DA1"/>
    <w:rsid w:val="005F6520"/>
    <w:rsid w:val="005F6AE3"/>
    <w:rsid w:val="005F77B0"/>
    <w:rsid w:val="006008A6"/>
    <w:rsid w:val="00601CEF"/>
    <w:rsid w:val="00602227"/>
    <w:rsid w:val="006025BF"/>
    <w:rsid w:val="00603A7A"/>
    <w:rsid w:val="006043DE"/>
    <w:rsid w:val="00606CD3"/>
    <w:rsid w:val="00606F27"/>
    <w:rsid w:val="00607847"/>
    <w:rsid w:val="00607C48"/>
    <w:rsid w:val="00607C9A"/>
    <w:rsid w:val="00612394"/>
    <w:rsid w:val="00612CD4"/>
    <w:rsid w:val="00615329"/>
    <w:rsid w:val="006156F7"/>
    <w:rsid w:val="00615E5B"/>
    <w:rsid w:val="00615F54"/>
    <w:rsid w:val="00616365"/>
    <w:rsid w:val="00616E42"/>
    <w:rsid w:val="00616F87"/>
    <w:rsid w:val="0061759F"/>
    <w:rsid w:val="00617B39"/>
    <w:rsid w:val="00620070"/>
    <w:rsid w:val="00620449"/>
    <w:rsid w:val="00620EA4"/>
    <w:rsid w:val="00622447"/>
    <w:rsid w:val="00622CB6"/>
    <w:rsid w:val="0062371E"/>
    <w:rsid w:val="00624F1D"/>
    <w:rsid w:val="00625012"/>
    <w:rsid w:val="006258D0"/>
    <w:rsid w:val="00625F31"/>
    <w:rsid w:val="006279D2"/>
    <w:rsid w:val="0063037E"/>
    <w:rsid w:val="006304CB"/>
    <w:rsid w:val="00630B42"/>
    <w:rsid w:val="00631750"/>
    <w:rsid w:val="00631A19"/>
    <w:rsid w:val="00634D6C"/>
    <w:rsid w:val="006350EE"/>
    <w:rsid w:val="006355D8"/>
    <w:rsid w:val="00636D10"/>
    <w:rsid w:val="006402D8"/>
    <w:rsid w:val="00640A59"/>
    <w:rsid w:val="00640A7D"/>
    <w:rsid w:val="00640C9D"/>
    <w:rsid w:val="00641531"/>
    <w:rsid w:val="0064330B"/>
    <w:rsid w:val="0064373F"/>
    <w:rsid w:val="0064396D"/>
    <w:rsid w:val="006468C3"/>
    <w:rsid w:val="00647648"/>
    <w:rsid w:val="0065038A"/>
    <w:rsid w:val="00650EE1"/>
    <w:rsid w:val="00652C45"/>
    <w:rsid w:val="0065308B"/>
    <w:rsid w:val="00653472"/>
    <w:rsid w:val="00653FA9"/>
    <w:rsid w:val="00654248"/>
    <w:rsid w:val="00655109"/>
    <w:rsid w:val="00655970"/>
    <w:rsid w:val="00656540"/>
    <w:rsid w:val="00656C4F"/>
    <w:rsid w:val="006574FF"/>
    <w:rsid w:val="006577AE"/>
    <w:rsid w:val="0065796F"/>
    <w:rsid w:val="00660DEB"/>
    <w:rsid w:val="006612D2"/>
    <w:rsid w:val="00662C7F"/>
    <w:rsid w:val="0066449B"/>
    <w:rsid w:val="0066466F"/>
    <w:rsid w:val="00665357"/>
    <w:rsid w:val="0066590A"/>
    <w:rsid w:val="00665A4C"/>
    <w:rsid w:val="006670D0"/>
    <w:rsid w:val="00670442"/>
    <w:rsid w:val="0067204E"/>
    <w:rsid w:val="00672F34"/>
    <w:rsid w:val="00673379"/>
    <w:rsid w:val="00673396"/>
    <w:rsid w:val="00674F9D"/>
    <w:rsid w:val="006758B6"/>
    <w:rsid w:val="006761C8"/>
    <w:rsid w:val="006773CD"/>
    <w:rsid w:val="00677511"/>
    <w:rsid w:val="00681A91"/>
    <w:rsid w:val="00681BCD"/>
    <w:rsid w:val="0068367F"/>
    <w:rsid w:val="006837F2"/>
    <w:rsid w:val="0068682B"/>
    <w:rsid w:val="00686DCC"/>
    <w:rsid w:val="00690B2F"/>
    <w:rsid w:val="00691A1E"/>
    <w:rsid w:val="00692B80"/>
    <w:rsid w:val="00695A02"/>
    <w:rsid w:val="00696BEC"/>
    <w:rsid w:val="006A3CA7"/>
    <w:rsid w:val="006A416A"/>
    <w:rsid w:val="006A4AB0"/>
    <w:rsid w:val="006A51DE"/>
    <w:rsid w:val="006A52A2"/>
    <w:rsid w:val="006A53E8"/>
    <w:rsid w:val="006A6CED"/>
    <w:rsid w:val="006A6D7B"/>
    <w:rsid w:val="006A7F46"/>
    <w:rsid w:val="006B02C0"/>
    <w:rsid w:val="006B1C1E"/>
    <w:rsid w:val="006B24B4"/>
    <w:rsid w:val="006B2879"/>
    <w:rsid w:val="006B3479"/>
    <w:rsid w:val="006B41F5"/>
    <w:rsid w:val="006B431D"/>
    <w:rsid w:val="006B46B9"/>
    <w:rsid w:val="006B507F"/>
    <w:rsid w:val="006B5933"/>
    <w:rsid w:val="006B623B"/>
    <w:rsid w:val="006B71C8"/>
    <w:rsid w:val="006B72FA"/>
    <w:rsid w:val="006B78E5"/>
    <w:rsid w:val="006B7AD7"/>
    <w:rsid w:val="006B7E69"/>
    <w:rsid w:val="006C39F5"/>
    <w:rsid w:val="006C40F6"/>
    <w:rsid w:val="006C485B"/>
    <w:rsid w:val="006C6740"/>
    <w:rsid w:val="006C6E0D"/>
    <w:rsid w:val="006D216E"/>
    <w:rsid w:val="006D22CC"/>
    <w:rsid w:val="006D247D"/>
    <w:rsid w:val="006D3092"/>
    <w:rsid w:val="006D309F"/>
    <w:rsid w:val="006D31E4"/>
    <w:rsid w:val="006D33C4"/>
    <w:rsid w:val="006D6424"/>
    <w:rsid w:val="006D656A"/>
    <w:rsid w:val="006D7A6F"/>
    <w:rsid w:val="006E022D"/>
    <w:rsid w:val="006E0299"/>
    <w:rsid w:val="006E1B75"/>
    <w:rsid w:val="006E1C1F"/>
    <w:rsid w:val="006E3BE8"/>
    <w:rsid w:val="006E3C09"/>
    <w:rsid w:val="006E4B02"/>
    <w:rsid w:val="006E743D"/>
    <w:rsid w:val="006E7A11"/>
    <w:rsid w:val="006F0E1E"/>
    <w:rsid w:val="006F13DF"/>
    <w:rsid w:val="006F146E"/>
    <w:rsid w:val="006F2A56"/>
    <w:rsid w:val="006F3435"/>
    <w:rsid w:val="006F5010"/>
    <w:rsid w:val="006F6EFA"/>
    <w:rsid w:val="006F74F7"/>
    <w:rsid w:val="006F7608"/>
    <w:rsid w:val="00701A87"/>
    <w:rsid w:val="007021E6"/>
    <w:rsid w:val="00702786"/>
    <w:rsid w:val="0070286C"/>
    <w:rsid w:val="007029A0"/>
    <w:rsid w:val="0070307C"/>
    <w:rsid w:val="00704218"/>
    <w:rsid w:val="00704924"/>
    <w:rsid w:val="007049C4"/>
    <w:rsid w:val="00706F3D"/>
    <w:rsid w:val="00706F4F"/>
    <w:rsid w:val="0071126A"/>
    <w:rsid w:val="00712793"/>
    <w:rsid w:val="00713A7F"/>
    <w:rsid w:val="00714FBB"/>
    <w:rsid w:val="007154BC"/>
    <w:rsid w:val="00715D70"/>
    <w:rsid w:val="00717D01"/>
    <w:rsid w:val="00720A27"/>
    <w:rsid w:val="007225AD"/>
    <w:rsid w:val="00723457"/>
    <w:rsid w:val="0072587B"/>
    <w:rsid w:val="00725B95"/>
    <w:rsid w:val="007278FB"/>
    <w:rsid w:val="00727F86"/>
    <w:rsid w:val="00730290"/>
    <w:rsid w:val="00730932"/>
    <w:rsid w:val="007337AA"/>
    <w:rsid w:val="00734780"/>
    <w:rsid w:val="0073654B"/>
    <w:rsid w:val="00736D42"/>
    <w:rsid w:val="00736F03"/>
    <w:rsid w:val="00736F1A"/>
    <w:rsid w:val="007408F7"/>
    <w:rsid w:val="00740FE7"/>
    <w:rsid w:val="007411A8"/>
    <w:rsid w:val="00741387"/>
    <w:rsid w:val="00741BD9"/>
    <w:rsid w:val="00741CF7"/>
    <w:rsid w:val="00742C37"/>
    <w:rsid w:val="00745EB9"/>
    <w:rsid w:val="007467CD"/>
    <w:rsid w:val="007469FF"/>
    <w:rsid w:val="007470D4"/>
    <w:rsid w:val="00750522"/>
    <w:rsid w:val="00750D73"/>
    <w:rsid w:val="007516ED"/>
    <w:rsid w:val="00752851"/>
    <w:rsid w:val="00753BAA"/>
    <w:rsid w:val="0075423D"/>
    <w:rsid w:val="00754F78"/>
    <w:rsid w:val="0075573A"/>
    <w:rsid w:val="0075687A"/>
    <w:rsid w:val="00756950"/>
    <w:rsid w:val="00757938"/>
    <w:rsid w:val="007611B1"/>
    <w:rsid w:val="00761A20"/>
    <w:rsid w:val="00763808"/>
    <w:rsid w:val="0076512D"/>
    <w:rsid w:val="007700E6"/>
    <w:rsid w:val="00770433"/>
    <w:rsid w:val="0077048D"/>
    <w:rsid w:val="00771658"/>
    <w:rsid w:val="0077237D"/>
    <w:rsid w:val="007736B7"/>
    <w:rsid w:val="00773927"/>
    <w:rsid w:val="0077584A"/>
    <w:rsid w:val="00776C2C"/>
    <w:rsid w:val="00777464"/>
    <w:rsid w:val="00777B40"/>
    <w:rsid w:val="007806F9"/>
    <w:rsid w:val="007807CB"/>
    <w:rsid w:val="00783C29"/>
    <w:rsid w:val="007841BA"/>
    <w:rsid w:val="0078460A"/>
    <w:rsid w:val="007849CE"/>
    <w:rsid w:val="00784D80"/>
    <w:rsid w:val="00786171"/>
    <w:rsid w:val="00792850"/>
    <w:rsid w:val="00792993"/>
    <w:rsid w:val="00792B09"/>
    <w:rsid w:val="00796343"/>
    <w:rsid w:val="00796E12"/>
    <w:rsid w:val="007976B5"/>
    <w:rsid w:val="00797DEC"/>
    <w:rsid w:val="007A1515"/>
    <w:rsid w:val="007A2037"/>
    <w:rsid w:val="007A2137"/>
    <w:rsid w:val="007A2CC6"/>
    <w:rsid w:val="007A3FF7"/>
    <w:rsid w:val="007A49CF"/>
    <w:rsid w:val="007A49F1"/>
    <w:rsid w:val="007A684F"/>
    <w:rsid w:val="007A6E02"/>
    <w:rsid w:val="007A776B"/>
    <w:rsid w:val="007A79DB"/>
    <w:rsid w:val="007B02EC"/>
    <w:rsid w:val="007B1099"/>
    <w:rsid w:val="007B20FC"/>
    <w:rsid w:val="007B213E"/>
    <w:rsid w:val="007B6697"/>
    <w:rsid w:val="007B7A56"/>
    <w:rsid w:val="007B7D17"/>
    <w:rsid w:val="007C135E"/>
    <w:rsid w:val="007C14FB"/>
    <w:rsid w:val="007C2944"/>
    <w:rsid w:val="007C32B2"/>
    <w:rsid w:val="007C3AC3"/>
    <w:rsid w:val="007C3CD8"/>
    <w:rsid w:val="007C3E47"/>
    <w:rsid w:val="007C5D13"/>
    <w:rsid w:val="007C64F1"/>
    <w:rsid w:val="007D03C8"/>
    <w:rsid w:val="007D17D5"/>
    <w:rsid w:val="007D195E"/>
    <w:rsid w:val="007D52F1"/>
    <w:rsid w:val="007D72F8"/>
    <w:rsid w:val="007D744F"/>
    <w:rsid w:val="007E05A2"/>
    <w:rsid w:val="007E08AE"/>
    <w:rsid w:val="007E0BA9"/>
    <w:rsid w:val="007E0DD4"/>
    <w:rsid w:val="007E1FB1"/>
    <w:rsid w:val="007E34CA"/>
    <w:rsid w:val="007E42CC"/>
    <w:rsid w:val="007E4DA1"/>
    <w:rsid w:val="007E7A1E"/>
    <w:rsid w:val="007F2126"/>
    <w:rsid w:val="007F22EC"/>
    <w:rsid w:val="007F258E"/>
    <w:rsid w:val="007F2A31"/>
    <w:rsid w:val="007F2CBD"/>
    <w:rsid w:val="007F3B1A"/>
    <w:rsid w:val="007F4791"/>
    <w:rsid w:val="007F4A9E"/>
    <w:rsid w:val="007F582C"/>
    <w:rsid w:val="007F5B50"/>
    <w:rsid w:val="007F74D5"/>
    <w:rsid w:val="007F7832"/>
    <w:rsid w:val="007F7B67"/>
    <w:rsid w:val="0080023C"/>
    <w:rsid w:val="00800481"/>
    <w:rsid w:val="00800EFE"/>
    <w:rsid w:val="0080110E"/>
    <w:rsid w:val="00802E02"/>
    <w:rsid w:val="00802FF6"/>
    <w:rsid w:val="008034A4"/>
    <w:rsid w:val="00803BF0"/>
    <w:rsid w:val="008068E8"/>
    <w:rsid w:val="00807577"/>
    <w:rsid w:val="008077CE"/>
    <w:rsid w:val="00812567"/>
    <w:rsid w:val="00812A45"/>
    <w:rsid w:val="00812D22"/>
    <w:rsid w:val="008139FF"/>
    <w:rsid w:val="00814441"/>
    <w:rsid w:val="0081467F"/>
    <w:rsid w:val="00814DD1"/>
    <w:rsid w:val="0081533E"/>
    <w:rsid w:val="00815D17"/>
    <w:rsid w:val="00816820"/>
    <w:rsid w:val="00816B10"/>
    <w:rsid w:val="008177F1"/>
    <w:rsid w:val="00822A14"/>
    <w:rsid w:val="00823A04"/>
    <w:rsid w:val="00823E10"/>
    <w:rsid w:val="00823F10"/>
    <w:rsid w:val="00824057"/>
    <w:rsid w:val="008258DA"/>
    <w:rsid w:val="00825FED"/>
    <w:rsid w:val="008266D5"/>
    <w:rsid w:val="00827346"/>
    <w:rsid w:val="00830E02"/>
    <w:rsid w:val="008315A9"/>
    <w:rsid w:val="00832D62"/>
    <w:rsid w:val="00833892"/>
    <w:rsid w:val="008341E0"/>
    <w:rsid w:val="00834877"/>
    <w:rsid w:val="00834C7D"/>
    <w:rsid w:val="00835F0A"/>
    <w:rsid w:val="00836912"/>
    <w:rsid w:val="008377F4"/>
    <w:rsid w:val="00837E78"/>
    <w:rsid w:val="00837E7F"/>
    <w:rsid w:val="008404F4"/>
    <w:rsid w:val="0084219F"/>
    <w:rsid w:val="00842A82"/>
    <w:rsid w:val="00843555"/>
    <w:rsid w:val="00843E7F"/>
    <w:rsid w:val="008454B4"/>
    <w:rsid w:val="00847231"/>
    <w:rsid w:val="00851248"/>
    <w:rsid w:val="00851B42"/>
    <w:rsid w:val="00853511"/>
    <w:rsid w:val="00854435"/>
    <w:rsid w:val="00854923"/>
    <w:rsid w:val="00854A5A"/>
    <w:rsid w:val="00855B04"/>
    <w:rsid w:val="00855CA0"/>
    <w:rsid w:val="00856813"/>
    <w:rsid w:val="00856D51"/>
    <w:rsid w:val="00856F99"/>
    <w:rsid w:val="0085746D"/>
    <w:rsid w:val="00857B0E"/>
    <w:rsid w:val="00860198"/>
    <w:rsid w:val="00860FE8"/>
    <w:rsid w:val="00861AAE"/>
    <w:rsid w:val="00861B26"/>
    <w:rsid w:val="008630A8"/>
    <w:rsid w:val="0086324B"/>
    <w:rsid w:val="008648C1"/>
    <w:rsid w:val="00865025"/>
    <w:rsid w:val="00865A45"/>
    <w:rsid w:val="008661FA"/>
    <w:rsid w:val="00866435"/>
    <w:rsid w:val="008674A2"/>
    <w:rsid w:val="00867936"/>
    <w:rsid w:val="00867A84"/>
    <w:rsid w:val="00870B90"/>
    <w:rsid w:val="00871444"/>
    <w:rsid w:val="008716D4"/>
    <w:rsid w:val="008717A5"/>
    <w:rsid w:val="00871AA9"/>
    <w:rsid w:val="00875682"/>
    <w:rsid w:val="00880214"/>
    <w:rsid w:val="00881BBA"/>
    <w:rsid w:val="00881D9D"/>
    <w:rsid w:val="00881DF1"/>
    <w:rsid w:val="00882E2F"/>
    <w:rsid w:val="008832D0"/>
    <w:rsid w:val="00885440"/>
    <w:rsid w:val="0088590A"/>
    <w:rsid w:val="00890B52"/>
    <w:rsid w:val="008914D2"/>
    <w:rsid w:val="0089225F"/>
    <w:rsid w:val="00892C3F"/>
    <w:rsid w:val="0089414B"/>
    <w:rsid w:val="008945A5"/>
    <w:rsid w:val="0089647E"/>
    <w:rsid w:val="00896695"/>
    <w:rsid w:val="008975EA"/>
    <w:rsid w:val="008A0182"/>
    <w:rsid w:val="008A0CCC"/>
    <w:rsid w:val="008A0EA1"/>
    <w:rsid w:val="008A1E9A"/>
    <w:rsid w:val="008A20CD"/>
    <w:rsid w:val="008A2509"/>
    <w:rsid w:val="008A2D5D"/>
    <w:rsid w:val="008A483C"/>
    <w:rsid w:val="008A4AA1"/>
    <w:rsid w:val="008A598B"/>
    <w:rsid w:val="008A61CB"/>
    <w:rsid w:val="008A61F9"/>
    <w:rsid w:val="008B0FBF"/>
    <w:rsid w:val="008B1151"/>
    <w:rsid w:val="008B1719"/>
    <w:rsid w:val="008B3008"/>
    <w:rsid w:val="008B4013"/>
    <w:rsid w:val="008B4CA4"/>
    <w:rsid w:val="008B5D46"/>
    <w:rsid w:val="008B6D86"/>
    <w:rsid w:val="008C0A82"/>
    <w:rsid w:val="008C1953"/>
    <w:rsid w:val="008C2C84"/>
    <w:rsid w:val="008C3842"/>
    <w:rsid w:val="008C398F"/>
    <w:rsid w:val="008C4256"/>
    <w:rsid w:val="008C4776"/>
    <w:rsid w:val="008C562C"/>
    <w:rsid w:val="008C75A7"/>
    <w:rsid w:val="008D051F"/>
    <w:rsid w:val="008D2CD6"/>
    <w:rsid w:val="008D3D65"/>
    <w:rsid w:val="008D5653"/>
    <w:rsid w:val="008D7A3A"/>
    <w:rsid w:val="008E0138"/>
    <w:rsid w:val="008E1B83"/>
    <w:rsid w:val="008E2506"/>
    <w:rsid w:val="008E31D4"/>
    <w:rsid w:val="008E3D76"/>
    <w:rsid w:val="008E4503"/>
    <w:rsid w:val="008E4730"/>
    <w:rsid w:val="008E477E"/>
    <w:rsid w:val="008E49F0"/>
    <w:rsid w:val="008E4EC9"/>
    <w:rsid w:val="008E5C30"/>
    <w:rsid w:val="008E5ECC"/>
    <w:rsid w:val="008E5F7C"/>
    <w:rsid w:val="008E6328"/>
    <w:rsid w:val="008E71AE"/>
    <w:rsid w:val="008E72E8"/>
    <w:rsid w:val="008E7426"/>
    <w:rsid w:val="008F2CA5"/>
    <w:rsid w:val="008F2E2A"/>
    <w:rsid w:val="008F32D4"/>
    <w:rsid w:val="008F38B4"/>
    <w:rsid w:val="008F3E34"/>
    <w:rsid w:val="008F5C75"/>
    <w:rsid w:val="008F5EEE"/>
    <w:rsid w:val="008F6830"/>
    <w:rsid w:val="0090150C"/>
    <w:rsid w:val="00902531"/>
    <w:rsid w:val="009025D0"/>
    <w:rsid w:val="009035D0"/>
    <w:rsid w:val="00903667"/>
    <w:rsid w:val="00903FD9"/>
    <w:rsid w:val="009046CB"/>
    <w:rsid w:val="00904AE3"/>
    <w:rsid w:val="00905F1D"/>
    <w:rsid w:val="00914C99"/>
    <w:rsid w:val="0091544F"/>
    <w:rsid w:val="00916ADC"/>
    <w:rsid w:val="00916E35"/>
    <w:rsid w:val="00916E76"/>
    <w:rsid w:val="00917181"/>
    <w:rsid w:val="00917620"/>
    <w:rsid w:val="00917804"/>
    <w:rsid w:val="0091785D"/>
    <w:rsid w:val="00920589"/>
    <w:rsid w:val="00920DEA"/>
    <w:rsid w:val="00921052"/>
    <w:rsid w:val="009211FC"/>
    <w:rsid w:val="00923100"/>
    <w:rsid w:val="009260A3"/>
    <w:rsid w:val="00926412"/>
    <w:rsid w:val="0092672A"/>
    <w:rsid w:val="00926913"/>
    <w:rsid w:val="00926919"/>
    <w:rsid w:val="00926F16"/>
    <w:rsid w:val="00927AC4"/>
    <w:rsid w:val="009301D9"/>
    <w:rsid w:val="009315B4"/>
    <w:rsid w:val="00935C66"/>
    <w:rsid w:val="0093747C"/>
    <w:rsid w:val="00937DE1"/>
    <w:rsid w:val="00940030"/>
    <w:rsid w:val="00940712"/>
    <w:rsid w:val="00940C13"/>
    <w:rsid w:val="00942670"/>
    <w:rsid w:val="0094368D"/>
    <w:rsid w:val="00943836"/>
    <w:rsid w:val="00943EE6"/>
    <w:rsid w:val="009462F2"/>
    <w:rsid w:val="009474F2"/>
    <w:rsid w:val="00947B2E"/>
    <w:rsid w:val="00947C7A"/>
    <w:rsid w:val="00950827"/>
    <w:rsid w:val="00951B96"/>
    <w:rsid w:val="00951D57"/>
    <w:rsid w:val="00951FDB"/>
    <w:rsid w:val="00953EAD"/>
    <w:rsid w:val="009547A9"/>
    <w:rsid w:val="009559AD"/>
    <w:rsid w:val="00960261"/>
    <w:rsid w:val="00961084"/>
    <w:rsid w:val="009610D4"/>
    <w:rsid w:val="00962847"/>
    <w:rsid w:val="00962EC2"/>
    <w:rsid w:val="0096305D"/>
    <w:rsid w:val="00963125"/>
    <w:rsid w:val="00964CBE"/>
    <w:rsid w:val="00970DC4"/>
    <w:rsid w:val="0097408B"/>
    <w:rsid w:val="009744EE"/>
    <w:rsid w:val="009745A6"/>
    <w:rsid w:val="00974D85"/>
    <w:rsid w:val="0097543C"/>
    <w:rsid w:val="0097556A"/>
    <w:rsid w:val="00976FC3"/>
    <w:rsid w:val="00980A5F"/>
    <w:rsid w:val="009821D1"/>
    <w:rsid w:val="00982496"/>
    <w:rsid w:val="00982F77"/>
    <w:rsid w:val="009838A4"/>
    <w:rsid w:val="009845D2"/>
    <w:rsid w:val="0098602C"/>
    <w:rsid w:val="00986478"/>
    <w:rsid w:val="009901A2"/>
    <w:rsid w:val="0099099E"/>
    <w:rsid w:val="00990A8B"/>
    <w:rsid w:val="00993A1D"/>
    <w:rsid w:val="00994700"/>
    <w:rsid w:val="0099486A"/>
    <w:rsid w:val="00994FDC"/>
    <w:rsid w:val="00995B83"/>
    <w:rsid w:val="00996C91"/>
    <w:rsid w:val="009A0734"/>
    <w:rsid w:val="009A0735"/>
    <w:rsid w:val="009A0FE4"/>
    <w:rsid w:val="009A1F7C"/>
    <w:rsid w:val="009A20D5"/>
    <w:rsid w:val="009A3FD9"/>
    <w:rsid w:val="009A4192"/>
    <w:rsid w:val="009A4D3F"/>
    <w:rsid w:val="009A5B3C"/>
    <w:rsid w:val="009A629E"/>
    <w:rsid w:val="009A642D"/>
    <w:rsid w:val="009A7375"/>
    <w:rsid w:val="009A79FD"/>
    <w:rsid w:val="009B1681"/>
    <w:rsid w:val="009B1E58"/>
    <w:rsid w:val="009B24EA"/>
    <w:rsid w:val="009B3E2A"/>
    <w:rsid w:val="009B40A7"/>
    <w:rsid w:val="009B4A2E"/>
    <w:rsid w:val="009B4A5C"/>
    <w:rsid w:val="009B5CC8"/>
    <w:rsid w:val="009B5CFD"/>
    <w:rsid w:val="009B6F76"/>
    <w:rsid w:val="009B751D"/>
    <w:rsid w:val="009C06B5"/>
    <w:rsid w:val="009C078A"/>
    <w:rsid w:val="009C0D16"/>
    <w:rsid w:val="009C0D5C"/>
    <w:rsid w:val="009C195E"/>
    <w:rsid w:val="009C1A24"/>
    <w:rsid w:val="009C2AB3"/>
    <w:rsid w:val="009C474F"/>
    <w:rsid w:val="009C50F6"/>
    <w:rsid w:val="009C511E"/>
    <w:rsid w:val="009C68FE"/>
    <w:rsid w:val="009C6B5F"/>
    <w:rsid w:val="009C6E6B"/>
    <w:rsid w:val="009C7C81"/>
    <w:rsid w:val="009D0174"/>
    <w:rsid w:val="009D064C"/>
    <w:rsid w:val="009D255C"/>
    <w:rsid w:val="009D2853"/>
    <w:rsid w:val="009D29A5"/>
    <w:rsid w:val="009D29D5"/>
    <w:rsid w:val="009D3527"/>
    <w:rsid w:val="009D3AF5"/>
    <w:rsid w:val="009D4F3C"/>
    <w:rsid w:val="009D4F69"/>
    <w:rsid w:val="009D50D5"/>
    <w:rsid w:val="009D5220"/>
    <w:rsid w:val="009D69EC"/>
    <w:rsid w:val="009E2040"/>
    <w:rsid w:val="009E22F6"/>
    <w:rsid w:val="009E2CBB"/>
    <w:rsid w:val="009E2DE5"/>
    <w:rsid w:val="009E3946"/>
    <w:rsid w:val="009E3E99"/>
    <w:rsid w:val="009E47AF"/>
    <w:rsid w:val="009E5645"/>
    <w:rsid w:val="009E6CB6"/>
    <w:rsid w:val="009E742E"/>
    <w:rsid w:val="009E7A7B"/>
    <w:rsid w:val="009F07F5"/>
    <w:rsid w:val="009F0DD5"/>
    <w:rsid w:val="009F1EE7"/>
    <w:rsid w:val="009F2C35"/>
    <w:rsid w:val="009F523A"/>
    <w:rsid w:val="009F568A"/>
    <w:rsid w:val="009F5839"/>
    <w:rsid w:val="009F6C28"/>
    <w:rsid w:val="009F7C99"/>
    <w:rsid w:val="00A03274"/>
    <w:rsid w:val="00A03620"/>
    <w:rsid w:val="00A06ECA"/>
    <w:rsid w:val="00A10084"/>
    <w:rsid w:val="00A10400"/>
    <w:rsid w:val="00A10718"/>
    <w:rsid w:val="00A11A08"/>
    <w:rsid w:val="00A12D2B"/>
    <w:rsid w:val="00A131E3"/>
    <w:rsid w:val="00A1482B"/>
    <w:rsid w:val="00A1595C"/>
    <w:rsid w:val="00A16BDD"/>
    <w:rsid w:val="00A178DF"/>
    <w:rsid w:val="00A17AA4"/>
    <w:rsid w:val="00A17AF6"/>
    <w:rsid w:val="00A2069E"/>
    <w:rsid w:val="00A2172A"/>
    <w:rsid w:val="00A21DC2"/>
    <w:rsid w:val="00A2200F"/>
    <w:rsid w:val="00A22571"/>
    <w:rsid w:val="00A2408C"/>
    <w:rsid w:val="00A248DF"/>
    <w:rsid w:val="00A24B84"/>
    <w:rsid w:val="00A257AF"/>
    <w:rsid w:val="00A260E0"/>
    <w:rsid w:val="00A30180"/>
    <w:rsid w:val="00A30803"/>
    <w:rsid w:val="00A30AB7"/>
    <w:rsid w:val="00A30C0A"/>
    <w:rsid w:val="00A313F5"/>
    <w:rsid w:val="00A31E39"/>
    <w:rsid w:val="00A32B5F"/>
    <w:rsid w:val="00A33663"/>
    <w:rsid w:val="00A341C8"/>
    <w:rsid w:val="00A34BB3"/>
    <w:rsid w:val="00A350DA"/>
    <w:rsid w:val="00A3669D"/>
    <w:rsid w:val="00A369B8"/>
    <w:rsid w:val="00A36AE7"/>
    <w:rsid w:val="00A36C04"/>
    <w:rsid w:val="00A37F1A"/>
    <w:rsid w:val="00A41BB7"/>
    <w:rsid w:val="00A41C67"/>
    <w:rsid w:val="00A420EB"/>
    <w:rsid w:val="00A43796"/>
    <w:rsid w:val="00A43C5D"/>
    <w:rsid w:val="00A506E0"/>
    <w:rsid w:val="00A50D7A"/>
    <w:rsid w:val="00A523BC"/>
    <w:rsid w:val="00A52E8B"/>
    <w:rsid w:val="00A53D9C"/>
    <w:rsid w:val="00A545C2"/>
    <w:rsid w:val="00A56CD6"/>
    <w:rsid w:val="00A57070"/>
    <w:rsid w:val="00A60B2E"/>
    <w:rsid w:val="00A6158A"/>
    <w:rsid w:val="00A61D49"/>
    <w:rsid w:val="00A6496C"/>
    <w:rsid w:val="00A64DFD"/>
    <w:rsid w:val="00A64F76"/>
    <w:rsid w:val="00A658DD"/>
    <w:rsid w:val="00A659AA"/>
    <w:rsid w:val="00A65BF1"/>
    <w:rsid w:val="00A65CFC"/>
    <w:rsid w:val="00A669F6"/>
    <w:rsid w:val="00A66BD0"/>
    <w:rsid w:val="00A72842"/>
    <w:rsid w:val="00A7631A"/>
    <w:rsid w:val="00A77528"/>
    <w:rsid w:val="00A77B11"/>
    <w:rsid w:val="00A809D4"/>
    <w:rsid w:val="00A82305"/>
    <w:rsid w:val="00A82770"/>
    <w:rsid w:val="00A8618B"/>
    <w:rsid w:val="00A86949"/>
    <w:rsid w:val="00A87A5C"/>
    <w:rsid w:val="00A87D15"/>
    <w:rsid w:val="00A901D5"/>
    <w:rsid w:val="00A90DF1"/>
    <w:rsid w:val="00A930FB"/>
    <w:rsid w:val="00A93AB4"/>
    <w:rsid w:val="00A94C31"/>
    <w:rsid w:val="00A954C4"/>
    <w:rsid w:val="00A95E72"/>
    <w:rsid w:val="00A96BE0"/>
    <w:rsid w:val="00A96CD7"/>
    <w:rsid w:val="00A96DD3"/>
    <w:rsid w:val="00A97F30"/>
    <w:rsid w:val="00AA3184"/>
    <w:rsid w:val="00AA321A"/>
    <w:rsid w:val="00AA3C45"/>
    <w:rsid w:val="00AA4175"/>
    <w:rsid w:val="00AA41D5"/>
    <w:rsid w:val="00AB158A"/>
    <w:rsid w:val="00AB2401"/>
    <w:rsid w:val="00AB4006"/>
    <w:rsid w:val="00AB516D"/>
    <w:rsid w:val="00AB5EBA"/>
    <w:rsid w:val="00AB725A"/>
    <w:rsid w:val="00AB74CC"/>
    <w:rsid w:val="00AB7C72"/>
    <w:rsid w:val="00AC1E3C"/>
    <w:rsid w:val="00AC222B"/>
    <w:rsid w:val="00AC2BEC"/>
    <w:rsid w:val="00AC2DFA"/>
    <w:rsid w:val="00AC34E1"/>
    <w:rsid w:val="00AC3930"/>
    <w:rsid w:val="00AC3E24"/>
    <w:rsid w:val="00AC746A"/>
    <w:rsid w:val="00AC79B4"/>
    <w:rsid w:val="00AD0001"/>
    <w:rsid w:val="00AD0242"/>
    <w:rsid w:val="00AD10B4"/>
    <w:rsid w:val="00AD1106"/>
    <w:rsid w:val="00AD2FD7"/>
    <w:rsid w:val="00AD31FA"/>
    <w:rsid w:val="00AD3DB4"/>
    <w:rsid w:val="00AD456F"/>
    <w:rsid w:val="00AD5BFC"/>
    <w:rsid w:val="00AE009D"/>
    <w:rsid w:val="00AE2767"/>
    <w:rsid w:val="00AE27F2"/>
    <w:rsid w:val="00AE28F1"/>
    <w:rsid w:val="00AE2E18"/>
    <w:rsid w:val="00AE5B66"/>
    <w:rsid w:val="00AE675F"/>
    <w:rsid w:val="00AE688A"/>
    <w:rsid w:val="00AE695B"/>
    <w:rsid w:val="00AE6FD5"/>
    <w:rsid w:val="00AF025E"/>
    <w:rsid w:val="00AF0AA3"/>
    <w:rsid w:val="00AF118E"/>
    <w:rsid w:val="00AF2756"/>
    <w:rsid w:val="00AF3033"/>
    <w:rsid w:val="00AF5733"/>
    <w:rsid w:val="00AF6956"/>
    <w:rsid w:val="00AF7307"/>
    <w:rsid w:val="00AF7DE4"/>
    <w:rsid w:val="00B00C6B"/>
    <w:rsid w:val="00B02231"/>
    <w:rsid w:val="00B02A82"/>
    <w:rsid w:val="00B02D1E"/>
    <w:rsid w:val="00B03C9E"/>
    <w:rsid w:val="00B04762"/>
    <w:rsid w:val="00B04971"/>
    <w:rsid w:val="00B05210"/>
    <w:rsid w:val="00B055F3"/>
    <w:rsid w:val="00B05820"/>
    <w:rsid w:val="00B06048"/>
    <w:rsid w:val="00B07282"/>
    <w:rsid w:val="00B101AD"/>
    <w:rsid w:val="00B10D04"/>
    <w:rsid w:val="00B13B50"/>
    <w:rsid w:val="00B1407D"/>
    <w:rsid w:val="00B14B8B"/>
    <w:rsid w:val="00B14F8D"/>
    <w:rsid w:val="00B1546B"/>
    <w:rsid w:val="00B15C2F"/>
    <w:rsid w:val="00B21D2D"/>
    <w:rsid w:val="00B2417D"/>
    <w:rsid w:val="00B25033"/>
    <w:rsid w:val="00B30A9A"/>
    <w:rsid w:val="00B30DA7"/>
    <w:rsid w:val="00B30E4A"/>
    <w:rsid w:val="00B33205"/>
    <w:rsid w:val="00B332F3"/>
    <w:rsid w:val="00B33A95"/>
    <w:rsid w:val="00B34261"/>
    <w:rsid w:val="00B35880"/>
    <w:rsid w:val="00B35E3A"/>
    <w:rsid w:val="00B368D5"/>
    <w:rsid w:val="00B41216"/>
    <w:rsid w:val="00B420C8"/>
    <w:rsid w:val="00B4278F"/>
    <w:rsid w:val="00B42B1F"/>
    <w:rsid w:val="00B43A2E"/>
    <w:rsid w:val="00B46070"/>
    <w:rsid w:val="00B4617A"/>
    <w:rsid w:val="00B471B2"/>
    <w:rsid w:val="00B471D0"/>
    <w:rsid w:val="00B474D1"/>
    <w:rsid w:val="00B47AFE"/>
    <w:rsid w:val="00B5026F"/>
    <w:rsid w:val="00B50D5E"/>
    <w:rsid w:val="00B52349"/>
    <w:rsid w:val="00B52749"/>
    <w:rsid w:val="00B53041"/>
    <w:rsid w:val="00B534A5"/>
    <w:rsid w:val="00B566C8"/>
    <w:rsid w:val="00B60DBE"/>
    <w:rsid w:val="00B612CB"/>
    <w:rsid w:val="00B617AB"/>
    <w:rsid w:val="00B61F5C"/>
    <w:rsid w:val="00B62876"/>
    <w:rsid w:val="00B628D5"/>
    <w:rsid w:val="00B62AEE"/>
    <w:rsid w:val="00B66846"/>
    <w:rsid w:val="00B66F67"/>
    <w:rsid w:val="00B67887"/>
    <w:rsid w:val="00B67F6E"/>
    <w:rsid w:val="00B711FD"/>
    <w:rsid w:val="00B71688"/>
    <w:rsid w:val="00B73D53"/>
    <w:rsid w:val="00B7446E"/>
    <w:rsid w:val="00B74DF1"/>
    <w:rsid w:val="00B81801"/>
    <w:rsid w:val="00B81CFE"/>
    <w:rsid w:val="00B834D4"/>
    <w:rsid w:val="00B83C9B"/>
    <w:rsid w:val="00B855AD"/>
    <w:rsid w:val="00B85B6D"/>
    <w:rsid w:val="00B85BB5"/>
    <w:rsid w:val="00B86489"/>
    <w:rsid w:val="00B91E09"/>
    <w:rsid w:val="00B91E53"/>
    <w:rsid w:val="00B925EF"/>
    <w:rsid w:val="00B92D37"/>
    <w:rsid w:val="00B94794"/>
    <w:rsid w:val="00B949C1"/>
    <w:rsid w:val="00B9543F"/>
    <w:rsid w:val="00B959A2"/>
    <w:rsid w:val="00B96A98"/>
    <w:rsid w:val="00B97053"/>
    <w:rsid w:val="00B974B2"/>
    <w:rsid w:val="00BA0031"/>
    <w:rsid w:val="00BA0543"/>
    <w:rsid w:val="00BA224B"/>
    <w:rsid w:val="00BA2C9A"/>
    <w:rsid w:val="00BA365E"/>
    <w:rsid w:val="00BA3D53"/>
    <w:rsid w:val="00BA40C1"/>
    <w:rsid w:val="00BA5E50"/>
    <w:rsid w:val="00BA66D2"/>
    <w:rsid w:val="00BA6D8A"/>
    <w:rsid w:val="00BA743A"/>
    <w:rsid w:val="00BA79D5"/>
    <w:rsid w:val="00BA7ECA"/>
    <w:rsid w:val="00BB0962"/>
    <w:rsid w:val="00BB12DB"/>
    <w:rsid w:val="00BB1563"/>
    <w:rsid w:val="00BB1DF9"/>
    <w:rsid w:val="00BB2350"/>
    <w:rsid w:val="00BB2FD7"/>
    <w:rsid w:val="00BB32C4"/>
    <w:rsid w:val="00BB43D4"/>
    <w:rsid w:val="00BB4D4F"/>
    <w:rsid w:val="00BB58CB"/>
    <w:rsid w:val="00BB65C7"/>
    <w:rsid w:val="00BB6E52"/>
    <w:rsid w:val="00BB7729"/>
    <w:rsid w:val="00BB782D"/>
    <w:rsid w:val="00BC0BEA"/>
    <w:rsid w:val="00BC1959"/>
    <w:rsid w:val="00BC48DC"/>
    <w:rsid w:val="00BC5F99"/>
    <w:rsid w:val="00BC74A3"/>
    <w:rsid w:val="00BD0B75"/>
    <w:rsid w:val="00BD27BA"/>
    <w:rsid w:val="00BD30D7"/>
    <w:rsid w:val="00BD31FF"/>
    <w:rsid w:val="00BD4490"/>
    <w:rsid w:val="00BD47DE"/>
    <w:rsid w:val="00BD4C0B"/>
    <w:rsid w:val="00BD5C76"/>
    <w:rsid w:val="00BD7F9D"/>
    <w:rsid w:val="00BE0416"/>
    <w:rsid w:val="00BE04D2"/>
    <w:rsid w:val="00BE0B06"/>
    <w:rsid w:val="00BE16FF"/>
    <w:rsid w:val="00BE1E41"/>
    <w:rsid w:val="00BE2F29"/>
    <w:rsid w:val="00BE611D"/>
    <w:rsid w:val="00BE7316"/>
    <w:rsid w:val="00BE7E51"/>
    <w:rsid w:val="00BF02A4"/>
    <w:rsid w:val="00BF3CBF"/>
    <w:rsid w:val="00BF3DDE"/>
    <w:rsid w:val="00BF4CAA"/>
    <w:rsid w:val="00BF4DB4"/>
    <w:rsid w:val="00BF4E92"/>
    <w:rsid w:val="00BF5987"/>
    <w:rsid w:val="00BF6901"/>
    <w:rsid w:val="00BF7F1B"/>
    <w:rsid w:val="00C0020B"/>
    <w:rsid w:val="00C00A76"/>
    <w:rsid w:val="00C010F8"/>
    <w:rsid w:val="00C02219"/>
    <w:rsid w:val="00C02CBB"/>
    <w:rsid w:val="00C04563"/>
    <w:rsid w:val="00C06792"/>
    <w:rsid w:val="00C06FAD"/>
    <w:rsid w:val="00C07686"/>
    <w:rsid w:val="00C10130"/>
    <w:rsid w:val="00C106CD"/>
    <w:rsid w:val="00C11D69"/>
    <w:rsid w:val="00C12D0D"/>
    <w:rsid w:val="00C1429B"/>
    <w:rsid w:val="00C160CC"/>
    <w:rsid w:val="00C17EB7"/>
    <w:rsid w:val="00C211DC"/>
    <w:rsid w:val="00C22D50"/>
    <w:rsid w:val="00C22EEC"/>
    <w:rsid w:val="00C25B9C"/>
    <w:rsid w:val="00C2626C"/>
    <w:rsid w:val="00C27DA9"/>
    <w:rsid w:val="00C27DAB"/>
    <w:rsid w:val="00C30729"/>
    <w:rsid w:val="00C308C0"/>
    <w:rsid w:val="00C30CB1"/>
    <w:rsid w:val="00C323BC"/>
    <w:rsid w:val="00C33972"/>
    <w:rsid w:val="00C339EC"/>
    <w:rsid w:val="00C34391"/>
    <w:rsid w:val="00C344E3"/>
    <w:rsid w:val="00C37C19"/>
    <w:rsid w:val="00C400F3"/>
    <w:rsid w:val="00C42D3F"/>
    <w:rsid w:val="00C44A4D"/>
    <w:rsid w:val="00C44E26"/>
    <w:rsid w:val="00C47417"/>
    <w:rsid w:val="00C50624"/>
    <w:rsid w:val="00C513EB"/>
    <w:rsid w:val="00C52119"/>
    <w:rsid w:val="00C527D2"/>
    <w:rsid w:val="00C52FA7"/>
    <w:rsid w:val="00C53BC9"/>
    <w:rsid w:val="00C551EC"/>
    <w:rsid w:val="00C561FE"/>
    <w:rsid w:val="00C5778D"/>
    <w:rsid w:val="00C60F74"/>
    <w:rsid w:val="00C61DDA"/>
    <w:rsid w:val="00C624CB"/>
    <w:rsid w:val="00C6259E"/>
    <w:rsid w:val="00C625E3"/>
    <w:rsid w:val="00C62632"/>
    <w:rsid w:val="00C62752"/>
    <w:rsid w:val="00C64272"/>
    <w:rsid w:val="00C6428D"/>
    <w:rsid w:val="00C66064"/>
    <w:rsid w:val="00C66C59"/>
    <w:rsid w:val="00C701A6"/>
    <w:rsid w:val="00C72113"/>
    <w:rsid w:val="00C7219F"/>
    <w:rsid w:val="00C725C4"/>
    <w:rsid w:val="00C7384F"/>
    <w:rsid w:val="00C74B25"/>
    <w:rsid w:val="00C75DA4"/>
    <w:rsid w:val="00C76E2A"/>
    <w:rsid w:val="00C775CE"/>
    <w:rsid w:val="00C815B4"/>
    <w:rsid w:val="00C81660"/>
    <w:rsid w:val="00C81E40"/>
    <w:rsid w:val="00C81F6E"/>
    <w:rsid w:val="00C82DDE"/>
    <w:rsid w:val="00C8430C"/>
    <w:rsid w:val="00C8461B"/>
    <w:rsid w:val="00C84CC9"/>
    <w:rsid w:val="00C86455"/>
    <w:rsid w:val="00C87755"/>
    <w:rsid w:val="00C879E6"/>
    <w:rsid w:val="00C90CFE"/>
    <w:rsid w:val="00C91D2C"/>
    <w:rsid w:val="00C922E2"/>
    <w:rsid w:val="00C9323A"/>
    <w:rsid w:val="00C933BA"/>
    <w:rsid w:val="00C93C3C"/>
    <w:rsid w:val="00C96100"/>
    <w:rsid w:val="00C97103"/>
    <w:rsid w:val="00C97395"/>
    <w:rsid w:val="00CA0027"/>
    <w:rsid w:val="00CA02C5"/>
    <w:rsid w:val="00CA121E"/>
    <w:rsid w:val="00CA1298"/>
    <w:rsid w:val="00CA2D3D"/>
    <w:rsid w:val="00CA300F"/>
    <w:rsid w:val="00CA3469"/>
    <w:rsid w:val="00CA64F4"/>
    <w:rsid w:val="00CA77AE"/>
    <w:rsid w:val="00CB14E0"/>
    <w:rsid w:val="00CB1E5B"/>
    <w:rsid w:val="00CB2D0A"/>
    <w:rsid w:val="00CB33CF"/>
    <w:rsid w:val="00CB380A"/>
    <w:rsid w:val="00CB3BFE"/>
    <w:rsid w:val="00CB3CD4"/>
    <w:rsid w:val="00CB5319"/>
    <w:rsid w:val="00CB66C7"/>
    <w:rsid w:val="00CB6C0B"/>
    <w:rsid w:val="00CB7F29"/>
    <w:rsid w:val="00CC053E"/>
    <w:rsid w:val="00CC2556"/>
    <w:rsid w:val="00CC6B4F"/>
    <w:rsid w:val="00CC71EE"/>
    <w:rsid w:val="00CC7383"/>
    <w:rsid w:val="00CC77ED"/>
    <w:rsid w:val="00CC7D68"/>
    <w:rsid w:val="00CC7D96"/>
    <w:rsid w:val="00CD176B"/>
    <w:rsid w:val="00CD1813"/>
    <w:rsid w:val="00CD2B17"/>
    <w:rsid w:val="00CD3A2C"/>
    <w:rsid w:val="00CD4879"/>
    <w:rsid w:val="00CD7AFF"/>
    <w:rsid w:val="00CE0FE2"/>
    <w:rsid w:val="00CE10CD"/>
    <w:rsid w:val="00CE2D7C"/>
    <w:rsid w:val="00CE3931"/>
    <w:rsid w:val="00CE3D23"/>
    <w:rsid w:val="00CE42CB"/>
    <w:rsid w:val="00CE45E0"/>
    <w:rsid w:val="00CE47B1"/>
    <w:rsid w:val="00CE70D0"/>
    <w:rsid w:val="00CE7D62"/>
    <w:rsid w:val="00CF0129"/>
    <w:rsid w:val="00CF1D0C"/>
    <w:rsid w:val="00CF2B05"/>
    <w:rsid w:val="00CF32B8"/>
    <w:rsid w:val="00CF3D1E"/>
    <w:rsid w:val="00CF4668"/>
    <w:rsid w:val="00CF4CA9"/>
    <w:rsid w:val="00CF64B0"/>
    <w:rsid w:val="00CF74E6"/>
    <w:rsid w:val="00D00EC2"/>
    <w:rsid w:val="00D01103"/>
    <w:rsid w:val="00D0160C"/>
    <w:rsid w:val="00D02716"/>
    <w:rsid w:val="00D03515"/>
    <w:rsid w:val="00D04302"/>
    <w:rsid w:val="00D04639"/>
    <w:rsid w:val="00D05046"/>
    <w:rsid w:val="00D05B82"/>
    <w:rsid w:val="00D07D72"/>
    <w:rsid w:val="00D07F15"/>
    <w:rsid w:val="00D10C7C"/>
    <w:rsid w:val="00D11CBD"/>
    <w:rsid w:val="00D1215B"/>
    <w:rsid w:val="00D1238D"/>
    <w:rsid w:val="00D144B3"/>
    <w:rsid w:val="00D14961"/>
    <w:rsid w:val="00D1668D"/>
    <w:rsid w:val="00D17119"/>
    <w:rsid w:val="00D176B2"/>
    <w:rsid w:val="00D200C8"/>
    <w:rsid w:val="00D20E2B"/>
    <w:rsid w:val="00D21718"/>
    <w:rsid w:val="00D2195B"/>
    <w:rsid w:val="00D22922"/>
    <w:rsid w:val="00D237C3"/>
    <w:rsid w:val="00D248C2"/>
    <w:rsid w:val="00D2576A"/>
    <w:rsid w:val="00D260DD"/>
    <w:rsid w:val="00D26BF8"/>
    <w:rsid w:val="00D26E5D"/>
    <w:rsid w:val="00D322B7"/>
    <w:rsid w:val="00D33F5D"/>
    <w:rsid w:val="00D34569"/>
    <w:rsid w:val="00D359D7"/>
    <w:rsid w:val="00D3600A"/>
    <w:rsid w:val="00D365C0"/>
    <w:rsid w:val="00D3699D"/>
    <w:rsid w:val="00D36EC0"/>
    <w:rsid w:val="00D36ECF"/>
    <w:rsid w:val="00D40BCA"/>
    <w:rsid w:val="00D414B6"/>
    <w:rsid w:val="00D41D3F"/>
    <w:rsid w:val="00D42A1B"/>
    <w:rsid w:val="00D44B2A"/>
    <w:rsid w:val="00D44C16"/>
    <w:rsid w:val="00D44CC0"/>
    <w:rsid w:val="00D450AA"/>
    <w:rsid w:val="00D451B5"/>
    <w:rsid w:val="00D45872"/>
    <w:rsid w:val="00D46396"/>
    <w:rsid w:val="00D479BC"/>
    <w:rsid w:val="00D47BCC"/>
    <w:rsid w:val="00D47CCE"/>
    <w:rsid w:val="00D53EDC"/>
    <w:rsid w:val="00D53EF9"/>
    <w:rsid w:val="00D551A9"/>
    <w:rsid w:val="00D55528"/>
    <w:rsid w:val="00D556A6"/>
    <w:rsid w:val="00D556BF"/>
    <w:rsid w:val="00D562E9"/>
    <w:rsid w:val="00D56AEC"/>
    <w:rsid w:val="00D578FB"/>
    <w:rsid w:val="00D57D69"/>
    <w:rsid w:val="00D57E53"/>
    <w:rsid w:val="00D614FA"/>
    <w:rsid w:val="00D61C02"/>
    <w:rsid w:val="00D62B80"/>
    <w:rsid w:val="00D63900"/>
    <w:rsid w:val="00D64589"/>
    <w:rsid w:val="00D64C66"/>
    <w:rsid w:val="00D64D4E"/>
    <w:rsid w:val="00D65F75"/>
    <w:rsid w:val="00D6621A"/>
    <w:rsid w:val="00D7042C"/>
    <w:rsid w:val="00D70D82"/>
    <w:rsid w:val="00D72197"/>
    <w:rsid w:val="00D728FE"/>
    <w:rsid w:val="00D729CE"/>
    <w:rsid w:val="00D7446F"/>
    <w:rsid w:val="00D7518A"/>
    <w:rsid w:val="00D75D4B"/>
    <w:rsid w:val="00D76006"/>
    <w:rsid w:val="00D80406"/>
    <w:rsid w:val="00D815B7"/>
    <w:rsid w:val="00D823B5"/>
    <w:rsid w:val="00D8280B"/>
    <w:rsid w:val="00D83AC6"/>
    <w:rsid w:val="00D87AB5"/>
    <w:rsid w:val="00D90837"/>
    <w:rsid w:val="00D90DFB"/>
    <w:rsid w:val="00D91DBA"/>
    <w:rsid w:val="00D9346B"/>
    <w:rsid w:val="00D945B5"/>
    <w:rsid w:val="00D960EC"/>
    <w:rsid w:val="00D96A7F"/>
    <w:rsid w:val="00D9791E"/>
    <w:rsid w:val="00D97B5F"/>
    <w:rsid w:val="00DA07DC"/>
    <w:rsid w:val="00DA0E8A"/>
    <w:rsid w:val="00DA1014"/>
    <w:rsid w:val="00DA117E"/>
    <w:rsid w:val="00DA11BA"/>
    <w:rsid w:val="00DA1937"/>
    <w:rsid w:val="00DA322F"/>
    <w:rsid w:val="00DA5013"/>
    <w:rsid w:val="00DA632D"/>
    <w:rsid w:val="00DA6511"/>
    <w:rsid w:val="00DB0C89"/>
    <w:rsid w:val="00DB110B"/>
    <w:rsid w:val="00DB1EE6"/>
    <w:rsid w:val="00DB3BE6"/>
    <w:rsid w:val="00DB407E"/>
    <w:rsid w:val="00DB4AD1"/>
    <w:rsid w:val="00DB4CEC"/>
    <w:rsid w:val="00DB5C14"/>
    <w:rsid w:val="00DB68C6"/>
    <w:rsid w:val="00DB6F6C"/>
    <w:rsid w:val="00DB76DE"/>
    <w:rsid w:val="00DC1144"/>
    <w:rsid w:val="00DC156A"/>
    <w:rsid w:val="00DC1C12"/>
    <w:rsid w:val="00DC22AE"/>
    <w:rsid w:val="00DC78D3"/>
    <w:rsid w:val="00DC7A8F"/>
    <w:rsid w:val="00DC7AC8"/>
    <w:rsid w:val="00DD01FB"/>
    <w:rsid w:val="00DD118B"/>
    <w:rsid w:val="00DD23F3"/>
    <w:rsid w:val="00DD3431"/>
    <w:rsid w:val="00DD42E6"/>
    <w:rsid w:val="00DD5816"/>
    <w:rsid w:val="00DD5CCD"/>
    <w:rsid w:val="00DD7549"/>
    <w:rsid w:val="00DE038F"/>
    <w:rsid w:val="00DE1270"/>
    <w:rsid w:val="00DE1596"/>
    <w:rsid w:val="00DE18BE"/>
    <w:rsid w:val="00DE24AD"/>
    <w:rsid w:val="00DE3EA1"/>
    <w:rsid w:val="00DE4A1E"/>
    <w:rsid w:val="00DF11E7"/>
    <w:rsid w:val="00DF1403"/>
    <w:rsid w:val="00DF16F2"/>
    <w:rsid w:val="00DF1FC5"/>
    <w:rsid w:val="00DF29A6"/>
    <w:rsid w:val="00DF2BFE"/>
    <w:rsid w:val="00DF33E4"/>
    <w:rsid w:val="00DF342E"/>
    <w:rsid w:val="00DF3447"/>
    <w:rsid w:val="00DF48B4"/>
    <w:rsid w:val="00E006C7"/>
    <w:rsid w:val="00E006E1"/>
    <w:rsid w:val="00E00BFF"/>
    <w:rsid w:val="00E01F60"/>
    <w:rsid w:val="00E0223F"/>
    <w:rsid w:val="00E025BB"/>
    <w:rsid w:val="00E04F5A"/>
    <w:rsid w:val="00E0534A"/>
    <w:rsid w:val="00E10279"/>
    <w:rsid w:val="00E1064F"/>
    <w:rsid w:val="00E10EAD"/>
    <w:rsid w:val="00E118CD"/>
    <w:rsid w:val="00E11B58"/>
    <w:rsid w:val="00E12419"/>
    <w:rsid w:val="00E13A3D"/>
    <w:rsid w:val="00E143EE"/>
    <w:rsid w:val="00E147B1"/>
    <w:rsid w:val="00E14EB9"/>
    <w:rsid w:val="00E1666A"/>
    <w:rsid w:val="00E16B3C"/>
    <w:rsid w:val="00E16DA1"/>
    <w:rsid w:val="00E178B9"/>
    <w:rsid w:val="00E204ED"/>
    <w:rsid w:val="00E20BC9"/>
    <w:rsid w:val="00E21164"/>
    <w:rsid w:val="00E22DAF"/>
    <w:rsid w:val="00E23DED"/>
    <w:rsid w:val="00E24922"/>
    <w:rsid w:val="00E25686"/>
    <w:rsid w:val="00E3093A"/>
    <w:rsid w:val="00E30C58"/>
    <w:rsid w:val="00E312CC"/>
    <w:rsid w:val="00E3147C"/>
    <w:rsid w:val="00E32587"/>
    <w:rsid w:val="00E327CC"/>
    <w:rsid w:val="00E3334C"/>
    <w:rsid w:val="00E33925"/>
    <w:rsid w:val="00E33A3F"/>
    <w:rsid w:val="00E33FC9"/>
    <w:rsid w:val="00E34BA9"/>
    <w:rsid w:val="00E34F0A"/>
    <w:rsid w:val="00E40A0A"/>
    <w:rsid w:val="00E450B9"/>
    <w:rsid w:val="00E4544F"/>
    <w:rsid w:val="00E45F61"/>
    <w:rsid w:val="00E4670E"/>
    <w:rsid w:val="00E46B1E"/>
    <w:rsid w:val="00E46BE0"/>
    <w:rsid w:val="00E46C4D"/>
    <w:rsid w:val="00E473D7"/>
    <w:rsid w:val="00E51059"/>
    <w:rsid w:val="00E510CB"/>
    <w:rsid w:val="00E52F84"/>
    <w:rsid w:val="00E530B8"/>
    <w:rsid w:val="00E53102"/>
    <w:rsid w:val="00E54BD4"/>
    <w:rsid w:val="00E562BF"/>
    <w:rsid w:val="00E57E46"/>
    <w:rsid w:val="00E6012C"/>
    <w:rsid w:val="00E619E9"/>
    <w:rsid w:val="00E644C5"/>
    <w:rsid w:val="00E648F9"/>
    <w:rsid w:val="00E674B3"/>
    <w:rsid w:val="00E674CB"/>
    <w:rsid w:val="00E67C77"/>
    <w:rsid w:val="00E67E24"/>
    <w:rsid w:val="00E7033C"/>
    <w:rsid w:val="00E72364"/>
    <w:rsid w:val="00E72786"/>
    <w:rsid w:val="00E741E4"/>
    <w:rsid w:val="00E7573C"/>
    <w:rsid w:val="00E7623C"/>
    <w:rsid w:val="00E77041"/>
    <w:rsid w:val="00E7762D"/>
    <w:rsid w:val="00E77EBA"/>
    <w:rsid w:val="00E80B34"/>
    <w:rsid w:val="00E8216D"/>
    <w:rsid w:val="00E828A3"/>
    <w:rsid w:val="00E82C84"/>
    <w:rsid w:val="00E83780"/>
    <w:rsid w:val="00E8381D"/>
    <w:rsid w:val="00E84E32"/>
    <w:rsid w:val="00E85D48"/>
    <w:rsid w:val="00E864B7"/>
    <w:rsid w:val="00E86772"/>
    <w:rsid w:val="00E876AF"/>
    <w:rsid w:val="00E87B12"/>
    <w:rsid w:val="00E90CEA"/>
    <w:rsid w:val="00E90E36"/>
    <w:rsid w:val="00E9147C"/>
    <w:rsid w:val="00E92048"/>
    <w:rsid w:val="00E92E49"/>
    <w:rsid w:val="00E93162"/>
    <w:rsid w:val="00E93183"/>
    <w:rsid w:val="00E93BDC"/>
    <w:rsid w:val="00E95298"/>
    <w:rsid w:val="00E95C12"/>
    <w:rsid w:val="00E95D95"/>
    <w:rsid w:val="00E97239"/>
    <w:rsid w:val="00E97EE8"/>
    <w:rsid w:val="00EA0F33"/>
    <w:rsid w:val="00EA1E10"/>
    <w:rsid w:val="00EA46C3"/>
    <w:rsid w:val="00EA5311"/>
    <w:rsid w:val="00EA6B7B"/>
    <w:rsid w:val="00EB1049"/>
    <w:rsid w:val="00EB1602"/>
    <w:rsid w:val="00EB207A"/>
    <w:rsid w:val="00EB332D"/>
    <w:rsid w:val="00EB37B7"/>
    <w:rsid w:val="00EB4299"/>
    <w:rsid w:val="00EB4A3B"/>
    <w:rsid w:val="00EB4F86"/>
    <w:rsid w:val="00EB663F"/>
    <w:rsid w:val="00EB6BD6"/>
    <w:rsid w:val="00EB76B8"/>
    <w:rsid w:val="00EC1352"/>
    <w:rsid w:val="00EC2472"/>
    <w:rsid w:val="00EC290A"/>
    <w:rsid w:val="00EC39A2"/>
    <w:rsid w:val="00EC4057"/>
    <w:rsid w:val="00EC4762"/>
    <w:rsid w:val="00EC5BF0"/>
    <w:rsid w:val="00EC7419"/>
    <w:rsid w:val="00ED0290"/>
    <w:rsid w:val="00ED067B"/>
    <w:rsid w:val="00ED08C0"/>
    <w:rsid w:val="00ED0E6C"/>
    <w:rsid w:val="00ED164B"/>
    <w:rsid w:val="00ED18A7"/>
    <w:rsid w:val="00ED198F"/>
    <w:rsid w:val="00ED19CE"/>
    <w:rsid w:val="00ED405D"/>
    <w:rsid w:val="00ED55DD"/>
    <w:rsid w:val="00ED73D1"/>
    <w:rsid w:val="00EE085A"/>
    <w:rsid w:val="00EE099B"/>
    <w:rsid w:val="00EE3105"/>
    <w:rsid w:val="00EE38B0"/>
    <w:rsid w:val="00EE4B41"/>
    <w:rsid w:val="00EE670D"/>
    <w:rsid w:val="00EE6C2F"/>
    <w:rsid w:val="00EE6F49"/>
    <w:rsid w:val="00EE7765"/>
    <w:rsid w:val="00EE77E4"/>
    <w:rsid w:val="00EE79C2"/>
    <w:rsid w:val="00EE7ADE"/>
    <w:rsid w:val="00EF1652"/>
    <w:rsid w:val="00EF1DA4"/>
    <w:rsid w:val="00EF3D5C"/>
    <w:rsid w:val="00EF43D2"/>
    <w:rsid w:val="00EF51BA"/>
    <w:rsid w:val="00EF5A9C"/>
    <w:rsid w:val="00EF69D7"/>
    <w:rsid w:val="00EF701A"/>
    <w:rsid w:val="00EF7BFA"/>
    <w:rsid w:val="00F00023"/>
    <w:rsid w:val="00F03BEC"/>
    <w:rsid w:val="00F04447"/>
    <w:rsid w:val="00F050A8"/>
    <w:rsid w:val="00F0591C"/>
    <w:rsid w:val="00F05F5B"/>
    <w:rsid w:val="00F075FF"/>
    <w:rsid w:val="00F10329"/>
    <w:rsid w:val="00F10713"/>
    <w:rsid w:val="00F12A74"/>
    <w:rsid w:val="00F12AFF"/>
    <w:rsid w:val="00F13911"/>
    <w:rsid w:val="00F13E9F"/>
    <w:rsid w:val="00F142DA"/>
    <w:rsid w:val="00F14B9B"/>
    <w:rsid w:val="00F1512B"/>
    <w:rsid w:val="00F15F87"/>
    <w:rsid w:val="00F16E2C"/>
    <w:rsid w:val="00F17F6F"/>
    <w:rsid w:val="00F2049B"/>
    <w:rsid w:val="00F22C21"/>
    <w:rsid w:val="00F2363C"/>
    <w:rsid w:val="00F24E3F"/>
    <w:rsid w:val="00F251AE"/>
    <w:rsid w:val="00F252B5"/>
    <w:rsid w:val="00F25AC0"/>
    <w:rsid w:val="00F25F6B"/>
    <w:rsid w:val="00F262B0"/>
    <w:rsid w:val="00F2699F"/>
    <w:rsid w:val="00F26B60"/>
    <w:rsid w:val="00F30199"/>
    <w:rsid w:val="00F326B0"/>
    <w:rsid w:val="00F330BB"/>
    <w:rsid w:val="00F34C95"/>
    <w:rsid w:val="00F37DF5"/>
    <w:rsid w:val="00F41011"/>
    <w:rsid w:val="00F41058"/>
    <w:rsid w:val="00F41FBF"/>
    <w:rsid w:val="00F4261D"/>
    <w:rsid w:val="00F43636"/>
    <w:rsid w:val="00F44B29"/>
    <w:rsid w:val="00F44EE1"/>
    <w:rsid w:val="00F4626E"/>
    <w:rsid w:val="00F46E55"/>
    <w:rsid w:val="00F47506"/>
    <w:rsid w:val="00F47B01"/>
    <w:rsid w:val="00F5326E"/>
    <w:rsid w:val="00F53277"/>
    <w:rsid w:val="00F53517"/>
    <w:rsid w:val="00F53591"/>
    <w:rsid w:val="00F53FD7"/>
    <w:rsid w:val="00F542A5"/>
    <w:rsid w:val="00F54A58"/>
    <w:rsid w:val="00F60B50"/>
    <w:rsid w:val="00F6133D"/>
    <w:rsid w:val="00F626B2"/>
    <w:rsid w:val="00F6292B"/>
    <w:rsid w:val="00F63040"/>
    <w:rsid w:val="00F651B4"/>
    <w:rsid w:val="00F654F3"/>
    <w:rsid w:val="00F655B6"/>
    <w:rsid w:val="00F668AA"/>
    <w:rsid w:val="00F67D7F"/>
    <w:rsid w:val="00F71674"/>
    <w:rsid w:val="00F72323"/>
    <w:rsid w:val="00F727F1"/>
    <w:rsid w:val="00F734B1"/>
    <w:rsid w:val="00F74F55"/>
    <w:rsid w:val="00F75269"/>
    <w:rsid w:val="00F76AD4"/>
    <w:rsid w:val="00F76DE1"/>
    <w:rsid w:val="00F76F7E"/>
    <w:rsid w:val="00F779EE"/>
    <w:rsid w:val="00F77C19"/>
    <w:rsid w:val="00F77D60"/>
    <w:rsid w:val="00F806CE"/>
    <w:rsid w:val="00F80D7A"/>
    <w:rsid w:val="00F81B0F"/>
    <w:rsid w:val="00F81CC2"/>
    <w:rsid w:val="00F8231E"/>
    <w:rsid w:val="00F82409"/>
    <w:rsid w:val="00F84C68"/>
    <w:rsid w:val="00F86029"/>
    <w:rsid w:val="00F865DC"/>
    <w:rsid w:val="00F868A0"/>
    <w:rsid w:val="00F91645"/>
    <w:rsid w:val="00F9168A"/>
    <w:rsid w:val="00F92B6F"/>
    <w:rsid w:val="00F9533A"/>
    <w:rsid w:val="00F95EF3"/>
    <w:rsid w:val="00F964C7"/>
    <w:rsid w:val="00F96CA2"/>
    <w:rsid w:val="00F978C3"/>
    <w:rsid w:val="00FA1419"/>
    <w:rsid w:val="00FA2531"/>
    <w:rsid w:val="00FA3F2C"/>
    <w:rsid w:val="00FA5CCC"/>
    <w:rsid w:val="00FA6049"/>
    <w:rsid w:val="00FA6A1A"/>
    <w:rsid w:val="00FA7022"/>
    <w:rsid w:val="00FA7342"/>
    <w:rsid w:val="00FA7996"/>
    <w:rsid w:val="00FB0BC6"/>
    <w:rsid w:val="00FB2E78"/>
    <w:rsid w:val="00FB38B4"/>
    <w:rsid w:val="00FB4AAE"/>
    <w:rsid w:val="00FB5548"/>
    <w:rsid w:val="00FB603B"/>
    <w:rsid w:val="00FB77FD"/>
    <w:rsid w:val="00FB7F0A"/>
    <w:rsid w:val="00FC088C"/>
    <w:rsid w:val="00FC16C4"/>
    <w:rsid w:val="00FC1C04"/>
    <w:rsid w:val="00FC1D7F"/>
    <w:rsid w:val="00FC1FBB"/>
    <w:rsid w:val="00FC2038"/>
    <w:rsid w:val="00FC26E6"/>
    <w:rsid w:val="00FC482A"/>
    <w:rsid w:val="00FC70A6"/>
    <w:rsid w:val="00FC74EE"/>
    <w:rsid w:val="00FC7F68"/>
    <w:rsid w:val="00FD080F"/>
    <w:rsid w:val="00FD1AB4"/>
    <w:rsid w:val="00FD2283"/>
    <w:rsid w:val="00FD2E41"/>
    <w:rsid w:val="00FD348C"/>
    <w:rsid w:val="00FD430B"/>
    <w:rsid w:val="00FD5302"/>
    <w:rsid w:val="00FD5326"/>
    <w:rsid w:val="00FD55D3"/>
    <w:rsid w:val="00FD6904"/>
    <w:rsid w:val="00FD7D87"/>
    <w:rsid w:val="00FE01E6"/>
    <w:rsid w:val="00FE1B63"/>
    <w:rsid w:val="00FE47A5"/>
    <w:rsid w:val="00FE5E42"/>
    <w:rsid w:val="00FE7702"/>
    <w:rsid w:val="00FE79AE"/>
    <w:rsid w:val="00FF06A6"/>
    <w:rsid w:val="00FF0F9C"/>
    <w:rsid w:val="00FF24D6"/>
    <w:rsid w:val="00FF4515"/>
    <w:rsid w:val="00FF5C95"/>
    <w:rsid w:val="00FF66FE"/>
    <w:rsid w:val="00FF6E69"/>
    <w:rsid w:val="00FF7689"/>
    <w:rsid w:val="00FF7B37"/>
    <w:rsid w:val="00FF7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schemas-GSKSiteLocations-com/fourthcoffee" w:name="flavor"/>
  <w:smartTagType w:namespaceuri="urn:schemas-microsoft-com:office:smarttags" w:name="metricconverter"/>
  <w:shapeDefaults>
    <o:shapedefaults v:ext="edit" spidmax="2050"/>
    <o:shapelayout v:ext="edit">
      <o:idmap v:ext="edit" data="2"/>
    </o:shapelayout>
  </w:shapeDefaults>
  <w:decimalSymbol w:val="."/>
  <w:listSeparator w:val=","/>
  <w14:docId w14:val="11FC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0C8"/>
    <w:pPr>
      <w:ind w:left="567" w:hanging="567"/>
    </w:pPr>
    <w:rPr>
      <w:sz w:val="22"/>
      <w:szCs w:val="28"/>
      <w:lang w:val="pl-PL" w:eastAsia="pl-PL"/>
    </w:rPr>
  </w:style>
  <w:style w:type="paragraph" w:styleId="Heading1">
    <w:name w:val="heading 1"/>
    <w:basedOn w:val="Normal"/>
    <w:next w:val="Normal"/>
    <w:qFormat/>
    <w:pPr>
      <w:tabs>
        <w:tab w:val="left" w:pos="567"/>
      </w:tabs>
      <w:spacing w:before="240" w:after="120" w:line="260" w:lineRule="exact"/>
      <w:ind w:left="357" w:hanging="357"/>
      <w:outlineLvl w:val="0"/>
    </w:pPr>
    <w:rPr>
      <w:b/>
      <w:caps/>
      <w:sz w:val="26"/>
      <w:szCs w:val="20"/>
      <w:lang w:val="en-US" w:eastAsia="en-US"/>
    </w:rPr>
  </w:style>
  <w:style w:type="paragraph" w:styleId="Heading2">
    <w:name w:val="heading 2"/>
    <w:basedOn w:val="Normal"/>
    <w:next w:val="Normal"/>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Heading3">
    <w:name w:val="heading 3"/>
    <w:basedOn w:val="Normal"/>
    <w:next w:val="Normal"/>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Heading4">
    <w:name w:val="heading 4"/>
    <w:basedOn w:val="Normal"/>
    <w:next w:val="Normal"/>
    <w:qFormat/>
    <w:pPr>
      <w:keepNext/>
      <w:tabs>
        <w:tab w:val="left" w:pos="567"/>
      </w:tabs>
      <w:spacing w:line="260" w:lineRule="exact"/>
      <w:ind w:left="0" w:firstLine="0"/>
      <w:jc w:val="both"/>
      <w:outlineLvl w:val="3"/>
    </w:pPr>
    <w:rPr>
      <w:b/>
      <w:noProof/>
      <w:szCs w:val="20"/>
      <w:lang w:val="cs-CZ" w:eastAsia="en-US"/>
    </w:rPr>
  </w:style>
  <w:style w:type="paragraph" w:styleId="Heading5">
    <w:name w:val="heading 5"/>
    <w:basedOn w:val="Normal"/>
    <w:next w:val="Normal"/>
    <w:qFormat/>
    <w:pPr>
      <w:keepNext/>
      <w:tabs>
        <w:tab w:val="left" w:pos="567"/>
      </w:tabs>
      <w:spacing w:line="260" w:lineRule="exact"/>
      <w:ind w:left="0" w:firstLine="0"/>
      <w:jc w:val="both"/>
      <w:outlineLvl w:val="4"/>
    </w:pPr>
    <w:rPr>
      <w:noProof/>
      <w:szCs w:val="20"/>
      <w:lang w:val="cs-CZ" w:eastAsia="en-US"/>
    </w:rPr>
  </w:style>
  <w:style w:type="paragraph" w:styleId="Heading6">
    <w:name w:val="heading 6"/>
    <w:basedOn w:val="Normal"/>
    <w:next w:val="Normal"/>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Heading7">
    <w:name w:val="heading 7"/>
    <w:basedOn w:val="Normal"/>
    <w:next w:val="Normal"/>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Heading8">
    <w:name w:val="heading 8"/>
    <w:basedOn w:val="Normal"/>
    <w:next w:val="Normal"/>
    <w:qFormat/>
    <w:pPr>
      <w:keepNext/>
      <w:tabs>
        <w:tab w:val="left" w:pos="567"/>
      </w:tabs>
      <w:spacing w:line="260" w:lineRule="exact"/>
      <w:jc w:val="both"/>
      <w:outlineLvl w:val="7"/>
    </w:pPr>
    <w:rPr>
      <w:b/>
      <w:i/>
      <w:szCs w:val="20"/>
      <w:lang w:val="cs-CZ" w:eastAsia="en-US"/>
    </w:rPr>
  </w:style>
  <w:style w:type="paragraph" w:styleId="Heading9">
    <w:name w:val="heading 9"/>
    <w:basedOn w:val="Normal"/>
    <w:next w:val="Normal"/>
    <w:qFormat/>
    <w:pPr>
      <w:keepNext/>
      <w:tabs>
        <w:tab w:val="left" w:pos="567"/>
      </w:tabs>
      <w:spacing w:line="260" w:lineRule="exact"/>
      <w:ind w:left="0" w:firstLine="0"/>
      <w:jc w:val="both"/>
      <w:outlineLvl w:val="8"/>
    </w:pPr>
    <w:rPr>
      <w:b/>
      <w:i/>
      <w:szCs w:val="20"/>
      <w:lang w:val="cs-C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left" w:pos="567"/>
        <w:tab w:val="center" w:pos="4536"/>
        <w:tab w:val="center" w:pos="8930"/>
      </w:tabs>
      <w:ind w:left="0" w:firstLine="0"/>
    </w:pPr>
    <w:rPr>
      <w:rFonts w:ascii="Helvetica" w:hAnsi="Helvetica"/>
      <w:sz w:val="16"/>
      <w:szCs w:val="20"/>
      <w:lang w:val="cs-CZ" w:eastAsia="en-US"/>
    </w:rPr>
  </w:style>
  <w:style w:type="character" w:styleId="PageNumber">
    <w:name w:val="page number"/>
    <w:basedOn w:val="DefaultParagraphFont"/>
  </w:style>
  <w:style w:type="paragraph" w:styleId="Header">
    <w:name w:val="header"/>
    <w:basedOn w:val="Normal"/>
    <w:link w:val="HeaderChar"/>
    <w:pPr>
      <w:tabs>
        <w:tab w:val="left" w:pos="567"/>
        <w:tab w:val="center" w:pos="4153"/>
        <w:tab w:val="right" w:pos="8306"/>
      </w:tabs>
      <w:ind w:left="0" w:firstLine="0"/>
    </w:pPr>
    <w:rPr>
      <w:rFonts w:ascii="Helvetica" w:hAnsi="Helvetica"/>
      <w:sz w:val="20"/>
      <w:szCs w:val="20"/>
      <w:lang w:val="cs-CZ" w:eastAsia="en-US"/>
    </w:rPr>
  </w:style>
  <w:style w:type="paragraph" w:customStyle="1" w:styleId="Tekstdymka1">
    <w:name w:val="Tekst dymka1"/>
    <w:basedOn w:val="Normal"/>
    <w:semiHidden/>
    <w:rPr>
      <w:rFonts w:ascii="Tahoma" w:hAnsi="Tahoma" w:cs="Tahoma"/>
      <w:sz w:val="16"/>
      <w:szCs w:val="16"/>
    </w:rPr>
  </w:style>
  <w:style w:type="character" w:styleId="Hyperlink">
    <w:name w:val="Hyperlink"/>
    <w:uiPriority w:val="99"/>
    <w:rPr>
      <w:color w:val="0000FF"/>
      <w:u w:val="single"/>
    </w:rPr>
  </w:style>
  <w:style w:type="paragraph" w:styleId="BalloonText">
    <w:name w:val="Balloon Text"/>
    <w:basedOn w:val="Normal"/>
    <w:link w:val="BalloonTextChar"/>
    <w:semiHidden/>
    <w:rPr>
      <w:rFonts w:ascii="Tahoma" w:hAnsi="Tahoma" w:cs="Tahoma"/>
      <w:sz w:val="16"/>
      <w:szCs w:val="16"/>
    </w:rPr>
  </w:style>
  <w:style w:type="character" w:styleId="FollowedHyperlink">
    <w:name w:val="FollowedHyperlink"/>
    <w:rPr>
      <w:color w:val="800080"/>
      <w:u w:val="single"/>
    </w:rPr>
  </w:style>
  <w:style w:type="paragraph" w:customStyle="1" w:styleId="listdashnospace">
    <w:name w:val="list:dashnospace"/>
    <w:basedOn w:val="Normal"/>
    <w:rsid w:val="002B1EE3"/>
    <w:pPr>
      <w:numPr>
        <w:numId w:val="2"/>
      </w:numPr>
    </w:pPr>
    <w:rPr>
      <w:sz w:val="24"/>
      <w:szCs w:val="20"/>
      <w:lang w:val="en-GB" w:eastAsia="en-US"/>
    </w:rPr>
  </w:style>
  <w:style w:type="paragraph" w:customStyle="1" w:styleId="Bullet">
    <w:name w:val="Bullet"/>
    <w:basedOn w:val="Normal"/>
    <w:qFormat/>
    <w:locked/>
    <w:rsid w:val="001969AF"/>
    <w:pPr>
      <w:numPr>
        <w:numId w:val="4"/>
      </w:numPr>
      <w:tabs>
        <w:tab w:val="left" w:pos="567"/>
        <w:tab w:val="left" w:pos="851"/>
      </w:tabs>
      <w:spacing w:before="80" w:line="260" w:lineRule="exact"/>
    </w:pPr>
    <w:rPr>
      <w:szCs w:val="24"/>
      <w:lang w:val="en-GB" w:eastAsia="en-GB"/>
    </w:rPr>
  </w:style>
  <w:style w:type="paragraph" w:customStyle="1" w:styleId="Action">
    <w:name w:val="Action"/>
    <w:qFormat/>
    <w:locked/>
    <w:rsid w:val="001969AF"/>
    <w:pPr>
      <w:numPr>
        <w:numId w:val="3"/>
      </w:numPr>
      <w:tabs>
        <w:tab w:val="left" w:pos="851"/>
      </w:tabs>
      <w:spacing w:before="120"/>
      <w:ind w:left="924" w:hanging="357"/>
    </w:pPr>
    <w:rPr>
      <w:color w:val="000000"/>
      <w:sz w:val="22"/>
      <w:szCs w:val="22"/>
    </w:rPr>
  </w:style>
  <w:style w:type="paragraph" w:customStyle="1" w:styleId="Bulletindent">
    <w:name w:val="Bullet indent"/>
    <w:basedOn w:val="Bullet"/>
    <w:qFormat/>
    <w:rsid w:val="001969AF"/>
    <w:pPr>
      <w:ind w:left="1305"/>
    </w:pPr>
    <w:rPr>
      <w:noProof/>
    </w:rPr>
  </w:style>
  <w:style w:type="paragraph" w:customStyle="1" w:styleId="Default">
    <w:name w:val="Default"/>
    <w:rsid w:val="001969AF"/>
    <w:pPr>
      <w:autoSpaceDE w:val="0"/>
      <w:autoSpaceDN w:val="0"/>
      <w:adjustRightInd w:val="0"/>
    </w:pPr>
    <w:rPr>
      <w:color w:val="000000"/>
      <w:sz w:val="24"/>
      <w:szCs w:val="24"/>
      <w:lang w:val="es-ES" w:eastAsia="es-ES"/>
    </w:rPr>
  </w:style>
  <w:style w:type="paragraph" w:customStyle="1" w:styleId="ListEnd">
    <w:name w:val="List End"/>
    <w:basedOn w:val="Normal"/>
    <w:autoRedefine/>
    <w:rsid w:val="00A32B5F"/>
    <w:pPr>
      <w:shd w:val="clear" w:color="000000" w:fill="FFFFFF"/>
      <w:ind w:left="0" w:firstLine="0"/>
    </w:pPr>
    <w:rPr>
      <w:sz w:val="24"/>
      <w:szCs w:val="24"/>
      <w:lang w:val="en-GB" w:eastAsia="en-US"/>
    </w:rPr>
  </w:style>
  <w:style w:type="paragraph" w:customStyle="1" w:styleId="Textbox">
    <w:name w:val="Text box"/>
    <w:basedOn w:val="Normal"/>
    <w:qFormat/>
    <w:rsid w:val="00920DEA"/>
    <w:pPr>
      <w:tabs>
        <w:tab w:val="left" w:pos="851"/>
      </w:tabs>
      <w:spacing w:line="180" w:lineRule="exact"/>
      <w:ind w:left="0" w:firstLine="0"/>
    </w:pPr>
    <w:rPr>
      <w:rFonts w:ascii="Arial" w:hAnsi="Arial"/>
      <w:b/>
      <w:sz w:val="16"/>
      <w:szCs w:val="24"/>
      <w:lang w:val="en-GB" w:eastAsia="en-GB"/>
    </w:rPr>
  </w:style>
  <w:style w:type="paragraph" w:customStyle="1" w:styleId="NoNumHead4">
    <w:name w:val="NoNum:Head4"/>
    <w:basedOn w:val="Normal"/>
    <w:next w:val="Normal"/>
    <w:rsid w:val="001E37CC"/>
    <w:pPr>
      <w:keepNext/>
      <w:spacing w:before="120" w:after="240"/>
      <w:ind w:left="0" w:firstLine="0"/>
      <w:outlineLvl w:val="0"/>
    </w:pPr>
    <w:rPr>
      <w:rFonts w:ascii="Arial" w:hAnsi="Arial"/>
      <w:b/>
      <w:szCs w:val="20"/>
      <w:lang w:val="en-GB" w:eastAsia="en-GB"/>
    </w:rPr>
  </w:style>
  <w:style w:type="paragraph" w:styleId="BodyTextIndent">
    <w:name w:val="Body Text Indent"/>
    <w:basedOn w:val="Normal"/>
    <w:rsid w:val="00493198"/>
    <w:pPr>
      <w:autoSpaceDE w:val="0"/>
      <w:autoSpaceDN w:val="0"/>
      <w:adjustRightInd w:val="0"/>
      <w:ind w:left="720" w:firstLine="0"/>
      <w:jc w:val="both"/>
    </w:pPr>
    <w:rPr>
      <w:szCs w:val="22"/>
      <w:lang w:val="en-GB" w:eastAsia="en-GB"/>
    </w:rPr>
  </w:style>
  <w:style w:type="paragraph" w:styleId="BodyText3">
    <w:name w:val="Body Text 3"/>
    <w:basedOn w:val="Normal"/>
    <w:rsid w:val="00493198"/>
    <w:pPr>
      <w:autoSpaceDE w:val="0"/>
      <w:autoSpaceDN w:val="0"/>
      <w:adjustRightInd w:val="0"/>
      <w:ind w:left="0" w:firstLine="0"/>
      <w:jc w:val="both"/>
    </w:pPr>
    <w:rPr>
      <w:color w:val="0000FF"/>
      <w:szCs w:val="22"/>
      <w:lang w:val="en-GB" w:eastAsia="en-GB"/>
    </w:rPr>
  </w:style>
  <w:style w:type="paragraph" w:styleId="BodyTextIndent2">
    <w:name w:val="Body Text Indent 2"/>
    <w:basedOn w:val="Normal"/>
    <w:rsid w:val="0049319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firstLine="0"/>
      <w:jc w:val="both"/>
    </w:pPr>
    <w:rPr>
      <w:b/>
      <w:bCs/>
      <w:color w:val="0000FF"/>
      <w:szCs w:val="22"/>
      <w:lang w:val="en-GB" w:eastAsia="en-US"/>
    </w:rPr>
  </w:style>
  <w:style w:type="paragraph" w:styleId="BodyText">
    <w:name w:val="Body Text"/>
    <w:basedOn w:val="Normal"/>
    <w:rsid w:val="00493198"/>
    <w:pPr>
      <w:ind w:left="0" w:firstLine="0"/>
    </w:pPr>
    <w:rPr>
      <w:i/>
      <w:color w:val="008000"/>
      <w:szCs w:val="20"/>
      <w:lang w:val="en-GB" w:eastAsia="en-US"/>
    </w:rPr>
  </w:style>
  <w:style w:type="paragraph" w:styleId="BodyText2">
    <w:name w:val="Body Text 2"/>
    <w:basedOn w:val="Normal"/>
    <w:rsid w:val="0049319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0" w:firstLine="0"/>
      <w:jc w:val="both"/>
    </w:pPr>
    <w:rPr>
      <w:b/>
      <w:bCs/>
      <w:color w:val="0000FF"/>
      <w:szCs w:val="22"/>
      <w:u w:val="single"/>
      <w:lang w:val="en-GB" w:eastAsia="en-US"/>
    </w:rPr>
  </w:style>
  <w:style w:type="character" w:styleId="CommentReference">
    <w:name w:val="annotation reference"/>
    <w:uiPriority w:val="99"/>
    <w:rsid w:val="00493198"/>
    <w:rPr>
      <w:sz w:val="16"/>
      <w:szCs w:val="16"/>
    </w:rPr>
  </w:style>
  <w:style w:type="paragraph" w:styleId="CommentText">
    <w:name w:val="annotation text"/>
    <w:aliases w:val="Comment Text Char1 Char,Comment Text Char Char Char,Comment Text Char1,comment text,Annotationtext,Car17,Car17 Car,Char,Char Char Char,Comment Text Char Char,Comment Text Char Char1,Comment Text Char2 Char,Char Char1,- H19,Car6"/>
    <w:basedOn w:val="Normal"/>
    <w:link w:val="CommentTextChar"/>
    <w:qFormat/>
    <w:rsid w:val="00493198"/>
    <w:pPr>
      <w:tabs>
        <w:tab w:val="left" w:pos="567"/>
      </w:tabs>
      <w:spacing w:line="260" w:lineRule="exact"/>
      <w:ind w:left="0" w:firstLine="0"/>
    </w:pPr>
    <w:rPr>
      <w:sz w:val="20"/>
      <w:szCs w:val="20"/>
      <w:lang w:val="en-GB" w:eastAsia="en-US"/>
    </w:rPr>
  </w:style>
  <w:style w:type="paragraph" w:customStyle="1" w:styleId="EMEAEnBodyText">
    <w:name w:val="EMEA En Body Text"/>
    <w:basedOn w:val="Normal"/>
    <w:rsid w:val="00493198"/>
    <w:pPr>
      <w:spacing w:before="120" w:after="120"/>
      <w:ind w:left="0" w:firstLine="0"/>
      <w:jc w:val="both"/>
    </w:pPr>
    <w:rPr>
      <w:szCs w:val="20"/>
      <w:lang w:val="en-US" w:eastAsia="en-US"/>
    </w:rPr>
  </w:style>
  <w:style w:type="paragraph" w:styleId="DocumentMap">
    <w:name w:val="Document Map"/>
    <w:basedOn w:val="Normal"/>
    <w:semiHidden/>
    <w:rsid w:val="00493198"/>
    <w:pPr>
      <w:shd w:val="clear" w:color="auto" w:fill="000080"/>
      <w:tabs>
        <w:tab w:val="left" w:pos="567"/>
      </w:tabs>
      <w:spacing w:line="260" w:lineRule="exact"/>
      <w:ind w:left="0" w:firstLine="0"/>
    </w:pPr>
    <w:rPr>
      <w:rFonts w:ascii="Tahoma" w:hAnsi="Tahoma" w:cs="Tahoma"/>
      <w:szCs w:val="20"/>
      <w:lang w:val="en-GB" w:eastAsia="en-US"/>
    </w:rPr>
  </w:style>
  <w:style w:type="paragraph" w:customStyle="1" w:styleId="AHeader1">
    <w:name w:val="AHeader 1"/>
    <w:basedOn w:val="Normal"/>
    <w:rsid w:val="00493198"/>
    <w:pPr>
      <w:numPr>
        <w:numId w:val="6"/>
      </w:numPr>
      <w:spacing w:after="120"/>
    </w:pPr>
    <w:rPr>
      <w:rFonts w:ascii="Arial" w:hAnsi="Arial" w:cs="Arial"/>
      <w:b/>
      <w:bCs/>
      <w:sz w:val="24"/>
      <w:szCs w:val="20"/>
      <w:lang w:val="en-GB" w:eastAsia="en-US"/>
    </w:rPr>
  </w:style>
  <w:style w:type="paragraph" w:customStyle="1" w:styleId="AHeader2">
    <w:name w:val="AHeader 2"/>
    <w:basedOn w:val="AHeader1"/>
    <w:rsid w:val="00493198"/>
    <w:pPr>
      <w:numPr>
        <w:ilvl w:val="1"/>
      </w:numPr>
      <w:tabs>
        <w:tab w:val="clear" w:pos="709"/>
        <w:tab w:val="num" w:pos="360"/>
      </w:tabs>
    </w:pPr>
    <w:rPr>
      <w:sz w:val="22"/>
    </w:rPr>
  </w:style>
  <w:style w:type="paragraph" w:customStyle="1" w:styleId="AHeader3">
    <w:name w:val="AHeader 3"/>
    <w:basedOn w:val="AHeader2"/>
    <w:rsid w:val="00493198"/>
    <w:pPr>
      <w:numPr>
        <w:ilvl w:val="2"/>
      </w:numPr>
      <w:tabs>
        <w:tab w:val="clear" w:pos="1276"/>
        <w:tab w:val="num" w:pos="360"/>
      </w:tabs>
    </w:pPr>
  </w:style>
  <w:style w:type="paragraph" w:customStyle="1" w:styleId="AHeader2abc">
    <w:name w:val="AHeader 2 abc"/>
    <w:basedOn w:val="AHeader3"/>
    <w:rsid w:val="00493198"/>
    <w:pPr>
      <w:numPr>
        <w:ilvl w:val="3"/>
      </w:numPr>
      <w:tabs>
        <w:tab w:val="clear" w:pos="1276"/>
        <w:tab w:val="num" w:pos="360"/>
      </w:tabs>
      <w:jc w:val="both"/>
    </w:pPr>
    <w:rPr>
      <w:b w:val="0"/>
      <w:bCs w:val="0"/>
    </w:rPr>
  </w:style>
  <w:style w:type="paragraph" w:customStyle="1" w:styleId="AHeader3abc">
    <w:name w:val="AHeader 3 abc"/>
    <w:basedOn w:val="AHeader2abc"/>
    <w:rsid w:val="00493198"/>
    <w:pPr>
      <w:numPr>
        <w:ilvl w:val="4"/>
      </w:numPr>
      <w:tabs>
        <w:tab w:val="clear" w:pos="1701"/>
        <w:tab w:val="num" w:pos="360"/>
      </w:tabs>
    </w:pPr>
  </w:style>
  <w:style w:type="paragraph" w:styleId="BodyTextIndent3">
    <w:name w:val="Body Text Indent 3"/>
    <w:basedOn w:val="Normal"/>
    <w:rsid w:val="00493198"/>
    <w:pPr>
      <w:tabs>
        <w:tab w:val="left" w:pos="567"/>
        <w:tab w:val="left" w:pos="1134"/>
      </w:tabs>
      <w:autoSpaceDE w:val="0"/>
      <w:autoSpaceDN w:val="0"/>
      <w:adjustRightInd w:val="0"/>
      <w:spacing w:line="260" w:lineRule="exact"/>
      <w:ind w:left="633" w:firstLine="0"/>
      <w:jc w:val="both"/>
    </w:pPr>
    <w:rPr>
      <w:szCs w:val="21"/>
      <w:lang w:val="en-GB" w:eastAsia="en-US"/>
    </w:rPr>
  </w:style>
  <w:style w:type="paragraph" w:customStyle="1" w:styleId="listbull">
    <w:name w:val="list:bull"/>
    <w:basedOn w:val="Normal"/>
    <w:link w:val="listbullChar"/>
    <w:rsid w:val="00493198"/>
    <w:pPr>
      <w:numPr>
        <w:numId w:val="7"/>
      </w:numPr>
      <w:spacing w:after="120"/>
    </w:pPr>
    <w:rPr>
      <w:sz w:val="24"/>
      <w:lang w:val="en-GB" w:eastAsia="en-GB"/>
    </w:rPr>
  </w:style>
  <w:style w:type="character" w:customStyle="1" w:styleId="CSIchar">
    <w:name w:val="CSIchar"/>
    <w:rsid w:val="00493198"/>
    <w:rPr>
      <w:shd w:val="clear" w:color="auto" w:fill="CCCCCC"/>
    </w:rPr>
  </w:style>
  <w:style w:type="paragraph" w:customStyle="1" w:styleId="LBLLevel2">
    <w:name w:val="LBLLevel 2"/>
    <w:basedOn w:val="Normal"/>
    <w:next w:val="Normal"/>
    <w:link w:val="LBLLevel2Char"/>
    <w:rsid w:val="00493198"/>
    <w:pPr>
      <w:tabs>
        <w:tab w:val="left" w:pos="720"/>
        <w:tab w:val="left" w:pos="990"/>
        <w:tab w:val="left" w:pos="1260"/>
      </w:tabs>
      <w:spacing w:line="320" w:lineRule="atLeast"/>
      <w:ind w:left="0" w:firstLine="0"/>
    </w:pPr>
    <w:rPr>
      <w:rFonts w:ascii="Arial" w:hAnsi="Arial"/>
      <w:b/>
      <w:sz w:val="24"/>
      <w:szCs w:val="24"/>
      <w:lang w:val="en-US" w:eastAsia="en-US"/>
    </w:rPr>
  </w:style>
  <w:style w:type="character" w:customStyle="1" w:styleId="LBLLevel2Char">
    <w:name w:val="LBLLevel 2 Char"/>
    <w:link w:val="LBLLevel2"/>
    <w:rsid w:val="00493198"/>
    <w:rPr>
      <w:rFonts w:ascii="Arial" w:hAnsi="Arial"/>
      <w:b/>
      <w:sz w:val="24"/>
      <w:szCs w:val="24"/>
      <w:lang w:val="en-US" w:eastAsia="en-US" w:bidi="ar-SA"/>
    </w:rPr>
  </w:style>
  <w:style w:type="paragraph" w:styleId="Caption">
    <w:name w:val="caption"/>
    <w:basedOn w:val="Normal"/>
    <w:next w:val="Normal"/>
    <w:link w:val="CaptionChar"/>
    <w:qFormat/>
    <w:rsid w:val="00493198"/>
    <w:pPr>
      <w:spacing w:before="120" w:after="120"/>
      <w:ind w:left="0" w:firstLine="0"/>
    </w:pPr>
    <w:rPr>
      <w:b/>
      <w:sz w:val="24"/>
      <w:lang w:val="en-GB" w:eastAsia="en-GB"/>
    </w:rPr>
  </w:style>
  <w:style w:type="paragraph" w:customStyle="1" w:styleId="LBLTableFootnotes">
    <w:name w:val="LBL Table Footnotes"/>
    <w:basedOn w:val="Normal"/>
    <w:link w:val="LBLTableFootnotesChar"/>
    <w:rsid w:val="00493198"/>
    <w:pPr>
      <w:tabs>
        <w:tab w:val="left" w:pos="720"/>
        <w:tab w:val="left" w:pos="994"/>
      </w:tabs>
      <w:spacing w:line="320" w:lineRule="atLeast"/>
      <w:ind w:left="274" w:hanging="274"/>
    </w:pPr>
    <w:rPr>
      <w:sz w:val="24"/>
      <w:lang w:val="en-US" w:eastAsia="en-US"/>
    </w:rPr>
  </w:style>
  <w:style w:type="character" w:customStyle="1" w:styleId="LBLTableFootnotesChar">
    <w:name w:val="LBL Table Footnotes Char"/>
    <w:link w:val="LBLTableFootnotes"/>
    <w:rsid w:val="00493198"/>
    <w:rPr>
      <w:sz w:val="24"/>
      <w:szCs w:val="28"/>
      <w:lang w:val="en-US" w:eastAsia="en-US" w:bidi="ar-SA"/>
    </w:rPr>
  </w:style>
  <w:style w:type="character" w:customStyle="1" w:styleId="CaptionChar">
    <w:name w:val="Caption Char"/>
    <w:link w:val="Caption"/>
    <w:rsid w:val="00493198"/>
    <w:rPr>
      <w:b/>
      <w:sz w:val="24"/>
      <w:szCs w:val="28"/>
      <w:lang w:val="en-GB" w:eastAsia="en-GB" w:bidi="ar-SA"/>
    </w:rPr>
  </w:style>
  <w:style w:type="paragraph" w:customStyle="1" w:styleId="TableCell">
    <w:name w:val="TableCell"/>
    <w:basedOn w:val="Normal"/>
    <w:rsid w:val="00493198"/>
    <w:pPr>
      <w:ind w:left="0" w:firstLine="0"/>
    </w:pPr>
    <w:rPr>
      <w:sz w:val="24"/>
      <w:szCs w:val="20"/>
      <w:lang w:val="en-GB" w:eastAsia="en-US"/>
    </w:rPr>
  </w:style>
  <w:style w:type="paragraph" w:customStyle="1" w:styleId="NoNumHead5">
    <w:name w:val="NoNum:Head5"/>
    <w:basedOn w:val="NoNumHead4"/>
    <w:next w:val="Normal"/>
    <w:rsid w:val="00493198"/>
    <w:pPr>
      <w:spacing w:before="0"/>
    </w:pPr>
    <w:rPr>
      <w:i/>
    </w:rPr>
  </w:style>
  <w:style w:type="paragraph" w:customStyle="1" w:styleId="tabletextNS">
    <w:name w:val="table:textNS"/>
    <w:basedOn w:val="Normal"/>
    <w:link w:val="tabletextNSChar"/>
    <w:rsid w:val="00493198"/>
    <w:pPr>
      <w:ind w:left="0" w:firstLine="0"/>
    </w:pPr>
    <w:rPr>
      <w:rFonts w:ascii="Arial Narrow" w:hAnsi="Arial Narrow"/>
      <w:sz w:val="24"/>
      <w:lang w:val="en-GB" w:eastAsia="en-GB"/>
    </w:rPr>
  </w:style>
  <w:style w:type="character" w:customStyle="1" w:styleId="tabletextNSChar">
    <w:name w:val="table:textNS Char"/>
    <w:link w:val="tabletextNS"/>
    <w:rsid w:val="00493198"/>
    <w:rPr>
      <w:rFonts w:ascii="Arial Narrow" w:hAnsi="Arial Narrow"/>
      <w:sz w:val="24"/>
      <w:szCs w:val="28"/>
      <w:lang w:val="en-GB" w:eastAsia="en-GB" w:bidi="ar-SA"/>
    </w:rPr>
  </w:style>
  <w:style w:type="paragraph" w:styleId="EndnoteText">
    <w:name w:val="endnote text"/>
    <w:basedOn w:val="Normal"/>
    <w:semiHidden/>
    <w:rsid w:val="00493198"/>
    <w:pPr>
      <w:tabs>
        <w:tab w:val="left" w:pos="567"/>
      </w:tabs>
      <w:ind w:left="0" w:firstLine="0"/>
    </w:pPr>
    <w:rPr>
      <w:szCs w:val="20"/>
      <w:lang w:val="en-GB" w:eastAsia="en-US"/>
    </w:rPr>
  </w:style>
  <w:style w:type="character" w:customStyle="1" w:styleId="LBLLevel3">
    <w:name w:val="LBLLevel 3"/>
    <w:rsid w:val="00493198"/>
    <w:rPr>
      <w:rFonts w:ascii="Arial" w:hAnsi="Arial"/>
      <w:u w:val="single"/>
    </w:rPr>
  </w:style>
  <w:style w:type="paragraph" w:customStyle="1" w:styleId="LBLBulletStyle1">
    <w:name w:val="LBL BulletStyle 1"/>
    <w:basedOn w:val="Normal"/>
    <w:rsid w:val="00493198"/>
    <w:pPr>
      <w:numPr>
        <w:numId w:val="8"/>
      </w:numPr>
      <w:tabs>
        <w:tab w:val="left" w:pos="720"/>
        <w:tab w:val="left" w:pos="994"/>
      </w:tabs>
      <w:spacing w:line="320" w:lineRule="atLeast"/>
    </w:pPr>
    <w:rPr>
      <w:sz w:val="24"/>
      <w:szCs w:val="20"/>
      <w:lang w:val="en-US" w:eastAsia="en-US"/>
    </w:rPr>
  </w:style>
  <w:style w:type="paragraph" w:customStyle="1" w:styleId="CharChar">
    <w:name w:val="Char Char"/>
    <w:basedOn w:val="Normal"/>
    <w:rsid w:val="00493198"/>
    <w:pPr>
      <w:widowControl w:val="0"/>
      <w:adjustRightInd w:val="0"/>
      <w:spacing w:after="160" w:line="240" w:lineRule="exact"/>
      <w:ind w:left="0" w:firstLine="0"/>
      <w:jc w:val="both"/>
      <w:textAlignment w:val="baseline"/>
    </w:pPr>
    <w:rPr>
      <w:rFonts w:ascii="Verdana" w:hAnsi="Verdana" w:cs="Verdana"/>
      <w:sz w:val="20"/>
      <w:szCs w:val="20"/>
      <w:lang w:val="en-US" w:eastAsia="en-US"/>
    </w:rPr>
  </w:style>
  <w:style w:type="character" w:customStyle="1" w:styleId="listbullChar">
    <w:name w:val="list:bull Char"/>
    <w:link w:val="listbull"/>
    <w:rsid w:val="00493198"/>
    <w:rPr>
      <w:sz w:val="24"/>
      <w:szCs w:val="28"/>
      <w:lang w:val="en-GB" w:eastAsia="en-GB"/>
    </w:rPr>
  </w:style>
  <w:style w:type="character" w:customStyle="1" w:styleId="tabletextNSChar1">
    <w:name w:val="table:textNS Char1"/>
    <w:rsid w:val="00493198"/>
    <w:rPr>
      <w:rFonts w:ascii="Arial Narrow" w:hAnsi="Arial Narrow" w:cs="Arial Narrow"/>
      <w:sz w:val="24"/>
      <w:szCs w:val="24"/>
      <w:lang w:val="en-GB" w:eastAsia="en-US" w:bidi="ar-SA"/>
    </w:rPr>
  </w:style>
  <w:style w:type="paragraph" w:customStyle="1" w:styleId="tablerefalpha">
    <w:name w:val="table:ref (alpha)"/>
    <w:basedOn w:val="Normal"/>
    <w:link w:val="tablerefalphaChar"/>
    <w:rsid w:val="00493198"/>
    <w:pPr>
      <w:numPr>
        <w:numId w:val="9"/>
      </w:numPr>
    </w:pPr>
    <w:rPr>
      <w:rFonts w:ascii="Arial Narrow" w:hAnsi="Arial Narrow" w:cs="Arial Narrow"/>
      <w:sz w:val="24"/>
      <w:szCs w:val="24"/>
      <w:lang w:val="en-GB" w:eastAsia="en-US"/>
    </w:rPr>
  </w:style>
  <w:style w:type="character" w:customStyle="1" w:styleId="tablerefalphaChar">
    <w:name w:val="table:ref (alpha) Char"/>
    <w:link w:val="tablerefalpha"/>
    <w:rsid w:val="00493198"/>
    <w:rPr>
      <w:rFonts w:ascii="Arial Narrow" w:hAnsi="Arial Narrow" w:cs="Arial Narrow"/>
      <w:sz w:val="24"/>
      <w:szCs w:val="24"/>
      <w:lang w:val="en-GB" w:eastAsia="en-US"/>
    </w:rPr>
  </w:style>
  <w:style w:type="table" w:styleId="TableGrid">
    <w:name w:val="Table Grid"/>
    <w:basedOn w:val="TableNormal"/>
    <w:rsid w:val="00493198"/>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493198"/>
    <w:rPr>
      <w:b/>
      <w:bCs/>
    </w:rPr>
  </w:style>
  <w:style w:type="paragraph" w:customStyle="1" w:styleId="captionfigure">
    <w:name w:val="caption:figure"/>
    <w:basedOn w:val="Normal"/>
    <w:next w:val="Normal"/>
    <w:rsid w:val="00493198"/>
    <w:pPr>
      <w:keepNext/>
      <w:spacing w:after="240"/>
      <w:ind w:left="1440" w:hanging="1440"/>
    </w:pPr>
    <w:rPr>
      <w:rFonts w:ascii="Arial" w:hAnsi="Arial" w:cs="Arial"/>
      <w:b/>
      <w:bCs/>
      <w:szCs w:val="22"/>
      <w:lang w:val="en-US" w:eastAsia="en-US"/>
    </w:rPr>
  </w:style>
  <w:style w:type="paragraph" w:customStyle="1" w:styleId="Char1">
    <w:name w:val="Char1"/>
    <w:basedOn w:val="Normal"/>
    <w:rsid w:val="00493198"/>
    <w:pPr>
      <w:spacing w:after="160" w:line="240" w:lineRule="exact"/>
      <w:ind w:left="0" w:firstLine="0"/>
    </w:pPr>
    <w:rPr>
      <w:sz w:val="24"/>
      <w:szCs w:val="24"/>
      <w:lang w:val="en-US" w:eastAsia="en-US"/>
    </w:rPr>
  </w:style>
  <w:style w:type="paragraph" w:customStyle="1" w:styleId="tabletext">
    <w:name w:val="table:text"/>
    <w:basedOn w:val="Normal"/>
    <w:rsid w:val="00493198"/>
    <w:pPr>
      <w:spacing w:before="120" w:after="120"/>
      <w:ind w:left="0" w:firstLine="0"/>
    </w:pPr>
    <w:rPr>
      <w:rFonts w:ascii="Arial Narrow" w:hAnsi="Arial Narrow" w:cs="Arial Narrow"/>
      <w:sz w:val="24"/>
      <w:szCs w:val="24"/>
      <w:lang w:val="en-GB" w:eastAsia="en-US"/>
    </w:rPr>
  </w:style>
  <w:style w:type="paragraph" w:customStyle="1" w:styleId="LBLBulletStyle2">
    <w:name w:val="LBL BulletStyle 2"/>
    <w:basedOn w:val="Normal"/>
    <w:rsid w:val="00493198"/>
    <w:pPr>
      <w:numPr>
        <w:numId w:val="10"/>
      </w:numPr>
      <w:tabs>
        <w:tab w:val="left" w:pos="994"/>
      </w:tabs>
      <w:spacing w:line="320" w:lineRule="atLeast"/>
    </w:pPr>
    <w:rPr>
      <w:sz w:val="24"/>
      <w:szCs w:val="20"/>
      <w:lang w:val="en-US" w:eastAsia="en-US"/>
    </w:rPr>
  </w:style>
  <w:style w:type="paragraph" w:customStyle="1" w:styleId="CharChar2">
    <w:name w:val="Char Char2"/>
    <w:basedOn w:val="Normal"/>
    <w:rsid w:val="00493198"/>
    <w:pPr>
      <w:spacing w:after="160" w:line="240" w:lineRule="exact"/>
      <w:ind w:left="0" w:firstLine="0"/>
    </w:pPr>
    <w:rPr>
      <w:sz w:val="24"/>
      <w:szCs w:val="24"/>
      <w:lang w:val="en-US" w:eastAsia="en-US"/>
    </w:rPr>
  </w:style>
  <w:style w:type="paragraph" w:customStyle="1" w:styleId="Char1CharCharCarCarChar">
    <w:name w:val="Char1 Char Char Car Car Char"/>
    <w:basedOn w:val="Normal"/>
    <w:rsid w:val="009C7C81"/>
    <w:pPr>
      <w:spacing w:after="160" w:line="240" w:lineRule="exact"/>
      <w:ind w:left="0" w:firstLine="0"/>
    </w:pPr>
    <w:rPr>
      <w:sz w:val="24"/>
      <w:szCs w:val="24"/>
      <w:lang w:val="en-US" w:eastAsia="en-US"/>
    </w:rPr>
  </w:style>
  <w:style w:type="character" w:styleId="LineNumber">
    <w:name w:val="line number"/>
    <w:basedOn w:val="DefaultParagraphFont"/>
    <w:rsid w:val="009C7C81"/>
  </w:style>
  <w:style w:type="character" w:customStyle="1" w:styleId="BalloonTextChar">
    <w:name w:val="Balloon Text Char"/>
    <w:link w:val="BalloonText"/>
    <w:semiHidden/>
    <w:rsid w:val="00396633"/>
    <w:rPr>
      <w:rFonts w:ascii="Tahoma" w:hAnsi="Tahoma" w:cs="Tahoma"/>
      <w:sz w:val="16"/>
      <w:szCs w:val="16"/>
      <w:lang w:val="pl-PL" w:eastAsia="pl-PL" w:bidi="ar-SA"/>
    </w:rPr>
  </w:style>
  <w:style w:type="paragraph" w:styleId="Date">
    <w:name w:val="Date"/>
    <w:basedOn w:val="Normal"/>
    <w:next w:val="Normal"/>
    <w:semiHidden/>
    <w:rsid w:val="00B92D37"/>
    <w:pPr>
      <w:ind w:left="0" w:firstLine="0"/>
    </w:pPr>
    <w:rPr>
      <w:szCs w:val="20"/>
      <w:lang w:val="en-GB" w:eastAsia="en-US"/>
    </w:rPr>
  </w:style>
  <w:style w:type="paragraph" w:customStyle="1" w:styleId="TitleA">
    <w:name w:val="Title A"/>
    <w:basedOn w:val="Normal"/>
    <w:rsid w:val="00080A53"/>
    <w:pPr>
      <w:jc w:val="center"/>
    </w:pPr>
    <w:rPr>
      <w:b/>
    </w:rPr>
  </w:style>
  <w:style w:type="paragraph" w:customStyle="1" w:styleId="TitleB">
    <w:name w:val="Title B"/>
    <w:basedOn w:val="Normal"/>
    <w:rsid w:val="00080A53"/>
    <w:rPr>
      <w:b/>
    </w:rPr>
  </w:style>
  <w:style w:type="paragraph" w:customStyle="1" w:styleId="Poprawka1">
    <w:name w:val="Poprawka1"/>
    <w:hidden/>
    <w:uiPriority w:val="99"/>
    <w:semiHidden/>
    <w:rsid w:val="00615F54"/>
    <w:rPr>
      <w:sz w:val="22"/>
      <w:szCs w:val="28"/>
      <w:lang w:val="pl-PL" w:eastAsia="pl-PL"/>
    </w:rPr>
  </w:style>
  <w:style w:type="paragraph" w:customStyle="1" w:styleId="Akapitzlist1">
    <w:name w:val="Akapit z listą1"/>
    <w:basedOn w:val="Normal"/>
    <w:uiPriority w:val="34"/>
    <w:qFormat/>
    <w:rsid w:val="00C96100"/>
    <w:pPr>
      <w:ind w:left="708"/>
    </w:pPr>
  </w:style>
  <w:style w:type="paragraph" w:customStyle="1" w:styleId="a">
    <w:basedOn w:val="Normal"/>
    <w:next w:val="DocumentMap"/>
    <w:rsid w:val="00802FF6"/>
    <w:pPr>
      <w:shd w:val="clear" w:color="auto" w:fill="000080"/>
      <w:tabs>
        <w:tab w:val="left" w:pos="567"/>
      </w:tabs>
      <w:spacing w:line="260" w:lineRule="exact"/>
      <w:ind w:left="0" w:firstLine="0"/>
    </w:pPr>
    <w:rPr>
      <w:rFonts w:ascii="Tahoma" w:hAnsi="Tahoma" w:cs="Tahoma"/>
      <w:szCs w:val="20"/>
      <w:lang w:val="en-GB" w:eastAsia="en-US"/>
    </w:rPr>
  </w:style>
  <w:style w:type="character" w:customStyle="1" w:styleId="CSI">
    <w:name w:val="CSI"/>
    <w:uiPriority w:val="1"/>
    <w:qFormat/>
    <w:rsid w:val="00802FF6"/>
    <w:rPr>
      <w:bdr w:val="none" w:sz="0" w:space="0" w:color="auto"/>
      <w:shd w:val="clear" w:color="auto" w:fill="BFBFBF"/>
    </w:rPr>
  </w:style>
  <w:style w:type="character" w:customStyle="1" w:styleId="CommentTextChar">
    <w:name w:val="Comment Text Char"/>
    <w:aliases w:val="Comment Text Char1 Char Char,Comment Text Char Char Char Char,Comment Text Char1 Char1,comment text Char,Annotationtext Char,Car17 Char,Car17 Car Char,Char Char3,Char Char Char Char,Comment Text Char Char Char1,Char Char1 Char"/>
    <w:link w:val="CommentText"/>
    <w:locked/>
    <w:rsid w:val="00317255"/>
    <w:rPr>
      <w:lang w:val="en-GB" w:eastAsia="en-US" w:bidi="ar-SA"/>
    </w:rPr>
  </w:style>
  <w:style w:type="character" w:styleId="Strong">
    <w:name w:val="Strong"/>
    <w:uiPriority w:val="22"/>
    <w:qFormat/>
    <w:rsid w:val="002E77FB"/>
    <w:rPr>
      <w:b/>
      <w:bCs/>
    </w:rPr>
  </w:style>
  <w:style w:type="character" w:customStyle="1" w:styleId="ZnakZnak">
    <w:name w:val="Znak Znak"/>
    <w:semiHidden/>
    <w:locked/>
    <w:rsid w:val="00F53FD7"/>
    <w:rPr>
      <w:bCs/>
      <w:color w:val="000000"/>
      <w:lang w:val="pl-PL" w:eastAsia="pl-PL" w:bidi="ar-SA"/>
    </w:rPr>
  </w:style>
  <w:style w:type="paragraph" w:styleId="NormalWeb">
    <w:name w:val="Normal (Web)"/>
    <w:basedOn w:val="Normal"/>
    <w:uiPriority w:val="99"/>
    <w:unhideWhenUsed/>
    <w:rsid w:val="00730932"/>
    <w:pPr>
      <w:tabs>
        <w:tab w:val="left" w:pos="567"/>
      </w:tabs>
      <w:spacing w:line="260" w:lineRule="exact"/>
      <w:ind w:left="0" w:firstLine="0"/>
    </w:pPr>
    <w:rPr>
      <w:sz w:val="24"/>
      <w:szCs w:val="24"/>
      <w:lang w:val="en-GB" w:eastAsia="en-US"/>
    </w:rPr>
  </w:style>
  <w:style w:type="character" w:customStyle="1" w:styleId="HeaderChar">
    <w:name w:val="Header Char"/>
    <w:link w:val="Header"/>
    <w:rsid w:val="00730932"/>
    <w:rPr>
      <w:rFonts w:ascii="Helvetica" w:hAnsi="Helvetica"/>
      <w:lang w:val="cs-CZ"/>
    </w:rPr>
  </w:style>
  <w:style w:type="table" w:customStyle="1" w:styleId="TableGrid1">
    <w:name w:val="Table Grid1"/>
    <w:basedOn w:val="TableNormal"/>
    <w:next w:val="TableGrid"/>
    <w:uiPriority w:val="59"/>
    <w:rsid w:val="00DC78D3"/>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al"/>
    <w:link w:val="BodytextAgencyChar"/>
    <w:qFormat/>
    <w:rsid w:val="00940030"/>
    <w:pPr>
      <w:spacing w:after="140" w:line="280" w:lineRule="atLeast"/>
      <w:ind w:left="0" w:firstLine="0"/>
    </w:pPr>
    <w:rPr>
      <w:rFonts w:ascii="Verdana" w:eastAsia="SimSun" w:hAnsi="Verdana"/>
      <w:sz w:val="18"/>
      <w:szCs w:val="20"/>
    </w:rPr>
  </w:style>
  <w:style w:type="paragraph" w:customStyle="1" w:styleId="No-numheading3Agency">
    <w:name w:val="No-num heading 3 (Agency)"/>
    <w:basedOn w:val="Normal"/>
    <w:next w:val="BodytextAgency"/>
    <w:link w:val="No-numheading3AgencyChar"/>
    <w:uiPriority w:val="99"/>
    <w:rsid w:val="00940030"/>
    <w:pPr>
      <w:keepNext/>
      <w:spacing w:before="280" w:after="220"/>
      <w:ind w:left="0" w:firstLine="0"/>
      <w:outlineLvl w:val="2"/>
    </w:pPr>
    <w:rPr>
      <w:rFonts w:ascii="Verdana" w:eastAsia="SimSun" w:hAnsi="Verdana"/>
      <w:b/>
      <w:kern w:val="32"/>
      <w:szCs w:val="20"/>
    </w:rPr>
  </w:style>
  <w:style w:type="character" w:customStyle="1" w:styleId="BodytextAgencyChar">
    <w:name w:val="Body text (Agency) Char"/>
    <w:link w:val="BodytextAgency"/>
    <w:locked/>
    <w:rsid w:val="00940030"/>
    <w:rPr>
      <w:rFonts w:ascii="Verdana" w:eastAsia="SimSun" w:hAnsi="Verdana"/>
      <w:sz w:val="18"/>
      <w:lang w:val="pl-PL" w:eastAsia="pl-PL"/>
    </w:rPr>
  </w:style>
  <w:style w:type="character" w:customStyle="1" w:styleId="No-numheading3AgencyChar">
    <w:name w:val="No-num heading 3 (Agency) Char"/>
    <w:link w:val="No-numheading3Agency"/>
    <w:uiPriority w:val="99"/>
    <w:locked/>
    <w:rsid w:val="00940030"/>
    <w:rPr>
      <w:rFonts w:ascii="Verdana" w:eastAsia="SimSun" w:hAnsi="Verdana"/>
      <w:b/>
      <w:kern w:val="32"/>
      <w:sz w:val="22"/>
      <w:lang w:val="pl-PL" w:eastAsia="pl-PL"/>
    </w:rPr>
  </w:style>
  <w:style w:type="paragraph" w:customStyle="1" w:styleId="DraftingNotesAgency">
    <w:name w:val="Drafting Notes (Agency)"/>
    <w:basedOn w:val="Normal"/>
    <w:next w:val="BodytextAgency"/>
    <w:link w:val="DraftingNotesAgencyChar"/>
    <w:rsid w:val="00940030"/>
    <w:pPr>
      <w:spacing w:after="140" w:line="280" w:lineRule="atLeast"/>
      <w:ind w:left="0" w:firstLine="0"/>
    </w:pPr>
    <w:rPr>
      <w:rFonts w:ascii="Courier New" w:eastAsia="SimSun" w:hAnsi="Courier New"/>
      <w:i/>
      <w:color w:val="339966"/>
      <w:sz w:val="18"/>
      <w:szCs w:val="20"/>
    </w:rPr>
  </w:style>
  <w:style w:type="character" w:customStyle="1" w:styleId="DraftingNotesAgencyChar">
    <w:name w:val="Drafting Notes (Agency) Char"/>
    <w:link w:val="DraftingNotesAgency"/>
    <w:locked/>
    <w:rsid w:val="00940030"/>
    <w:rPr>
      <w:rFonts w:ascii="Courier New" w:eastAsia="SimSun" w:hAnsi="Courier New"/>
      <w:i/>
      <w:color w:val="339966"/>
      <w:sz w:val="18"/>
      <w:lang w:val="pl-PL" w:eastAsia="pl-PL"/>
    </w:rPr>
  </w:style>
  <w:style w:type="paragraph" w:customStyle="1" w:styleId="Text">
    <w:name w:val="Text"/>
    <w:aliases w:val="Graphic,Graphic Char Char,Graphic Char Char Char Char Char,Graphic Char Char Char Char Char Char Char C"/>
    <w:basedOn w:val="Normal"/>
    <w:link w:val="TextChar"/>
    <w:qFormat/>
    <w:rsid w:val="00D578FB"/>
    <w:pPr>
      <w:spacing w:before="120"/>
      <w:ind w:left="0" w:firstLine="0"/>
      <w:jc w:val="both"/>
    </w:pPr>
    <w:rPr>
      <w:rFonts w:eastAsia="MS Mincho"/>
      <w:sz w:val="24"/>
      <w:szCs w:val="20"/>
      <w:lang w:val="en-US" w:eastAsia="zh-CN"/>
    </w:rPr>
  </w:style>
  <w:style w:type="character" w:customStyle="1" w:styleId="TextChar">
    <w:name w:val="Text Char"/>
    <w:link w:val="Text"/>
    <w:rsid w:val="00D578FB"/>
    <w:rPr>
      <w:rFonts w:eastAsia="MS Mincho"/>
      <w:sz w:val="24"/>
      <w:lang w:val="en-US" w:eastAsia="zh-CN"/>
    </w:rPr>
  </w:style>
  <w:style w:type="paragraph" w:customStyle="1" w:styleId="Nottoc-headings">
    <w:name w:val="Not toc-headings"/>
    <w:basedOn w:val="Normal"/>
    <w:next w:val="Text"/>
    <w:link w:val="Nottoc-headingsChar"/>
    <w:rsid w:val="00D578FB"/>
    <w:pPr>
      <w:keepNext/>
      <w:keepLines/>
      <w:spacing w:before="240" w:after="60"/>
      <w:ind w:left="0" w:firstLine="0"/>
    </w:pPr>
    <w:rPr>
      <w:rFonts w:ascii="Arial" w:eastAsia="MS Gothic" w:hAnsi="Arial" w:cs="Arial"/>
      <w:b/>
      <w:sz w:val="24"/>
      <w:szCs w:val="24"/>
      <w:lang w:val="en-US" w:eastAsia="zh-CN"/>
    </w:rPr>
  </w:style>
  <w:style w:type="character" w:customStyle="1" w:styleId="Nottoc-headingsChar">
    <w:name w:val="Not toc-headings Char"/>
    <w:link w:val="Nottoc-headings"/>
    <w:rsid w:val="00D578FB"/>
    <w:rPr>
      <w:rFonts w:ascii="Arial" w:eastAsia="MS Gothic" w:hAnsi="Arial" w:cs="Arial"/>
      <w:b/>
      <w:sz w:val="24"/>
      <w:szCs w:val="24"/>
      <w:lang w:val="en-US" w:eastAsia="zh-CN"/>
    </w:rPr>
  </w:style>
  <w:style w:type="paragraph" w:customStyle="1" w:styleId="Poprawka2">
    <w:name w:val="Poprawka2"/>
    <w:hidden/>
    <w:uiPriority w:val="99"/>
    <w:semiHidden/>
    <w:rsid w:val="00E13A3D"/>
    <w:rPr>
      <w:sz w:val="22"/>
      <w:szCs w:val="28"/>
      <w:lang w:val="pl-PL" w:eastAsia="pl-PL"/>
    </w:rPr>
  </w:style>
  <w:style w:type="paragraph" w:styleId="Revision">
    <w:name w:val="Revision"/>
    <w:hidden/>
    <w:uiPriority w:val="99"/>
    <w:semiHidden/>
    <w:rsid w:val="007736B7"/>
    <w:rPr>
      <w:sz w:val="22"/>
      <w:szCs w:val="28"/>
      <w:lang w:val="pl-PL" w:eastAsia="pl-PL"/>
    </w:rPr>
  </w:style>
  <w:style w:type="character" w:customStyle="1" w:styleId="normaltextrun">
    <w:name w:val="normaltextrun"/>
    <w:basedOn w:val="DefaultParagraphFont"/>
    <w:rsid w:val="00BD31FF"/>
  </w:style>
  <w:style w:type="character" w:styleId="UnresolvedMention">
    <w:name w:val="Unresolved Mention"/>
    <w:basedOn w:val="DefaultParagraphFont"/>
    <w:uiPriority w:val="99"/>
    <w:semiHidden/>
    <w:unhideWhenUsed/>
    <w:rsid w:val="00BF3DDE"/>
    <w:rPr>
      <w:color w:val="605E5C"/>
      <w:shd w:val="clear" w:color="auto" w:fill="E1DFDD"/>
    </w:rPr>
  </w:style>
  <w:style w:type="paragraph" w:styleId="ListParagraph">
    <w:name w:val="List Paragraph"/>
    <w:basedOn w:val="Normal"/>
    <w:uiPriority w:val="34"/>
    <w:qFormat/>
    <w:rsid w:val="00C81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34032">
      <w:bodyDiv w:val="1"/>
      <w:marLeft w:val="0"/>
      <w:marRight w:val="0"/>
      <w:marTop w:val="0"/>
      <w:marBottom w:val="0"/>
      <w:divBdr>
        <w:top w:val="none" w:sz="0" w:space="0" w:color="auto"/>
        <w:left w:val="none" w:sz="0" w:space="0" w:color="auto"/>
        <w:bottom w:val="none" w:sz="0" w:space="0" w:color="auto"/>
        <w:right w:val="none" w:sz="0" w:space="0" w:color="auto"/>
      </w:divBdr>
    </w:div>
    <w:div w:id="311495446">
      <w:bodyDiv w:val="1"/>
      <w:marLeft w:val="0"/>
      <w:marRight w:val="0"/>
      <w:marTop w:val="0"/>
      <w:marBottom w:val="0"/>
      <w:divBdr>
        <w:top w:val="none" w:sz="0" w:space="0" w:color="auto"/>
        <w:left w:val="none" w:sz="0" w:space="0" w:color="auto"/>
        <w:bottom w:val="none" w:sz="0" w:space="0" w:color="auto"/>
        <w:right w:val="none" w:sz="0" w:space="0" w:color="auto"/>
      </w:divBdr>
    </w:div>
    <w:div w:id="364209170">
      <w:bodyDiv w:val="1"/>
      <w:marLeft w:val="0"/>
      <w:marRight w:val="0"/>
      <w:marTop w:val="0"/>
      <w:marBottom w:val="0"/>
      <w:divBdr>
        <w:top w:val="none" w:sz="0" w:space="0" w:color="auto"/>
        <w:left w:val="none" w:sz="0" w:space="0" w:color="auto"/>
        <w:bottom w:val="none" w:sz="0" w:space="0" w:color="auto"/>
        <w:right w:val="none" w:sz="0" w:space="0" w:color="auto"/>
      </w:divBdr>
    </w:div>
    <w:div w:id="562180724">
      <w:bodyDiv w:val="1"/>
      <w:marLeft w:val="0"/>
      <w:marRight w:val="0"/>
      <w:marTop w:val="0"/>
      <w:marBottom w:val="0"/>
      <w:divBdr>
        <w:top w:val="none" w:sz="0" w:space="0" w:color="auto"/>
        <w:left w:val="none" w:sz="0" w:space="0" w:color="auto"/>
        <w:bottom w:val="none" w:sz="0" w:space="0" w:color="auto"/>
        <w:right w:val="none" w:sz="0" w:space="0" w:color="auto"/>
      </w:divBdr>
    </w:div>
    <w:div w:id="994648411">
      <w:bodyDiv w:val="1"/>
      <w:marLeft w:val="0"/>
      <w:marRight w:val="0"/>
      <w:marTop w:val="0"/>
      <w:marBottom w:val="0"/>
      <w:divBdr>
        <w:top w:val="none" w:sz="0" w:space="0" w:color="auto"/>
        <w:left w:val="none" w:sz="0" w:space="0" w:color="auto"/>
        <w:bottom w:val="none" w:sz="0" w:space="0" w:color="auto"/>
        <w:right w:val="none" w:sz="0" w:space="0" w:color="auto"/>
      </w:divBdr>
    </w:div>
    <w:div w:id="1877617551">
      <w:bodyDiv w:val="1"/>
      <w:marLeft w:val="0"/>
      <w:marRight w:val="0"/>
      <w:marTop w:val="0"/>
      <w:marBottom w:val="0"/>
      <w:divBdr>
        <w:top w:val="none" w:sz="0" w:space="0" w:color="auto"/>
        <w:left w:val="none" w:sz="0" w:space="0" w:color="auto"/>
        <w:bottom w:val="none" w:sz="0" w:space="0" w:color="auto"/>
        <w:right w:val="none" w:sz="0" w:space="0" w:color="auto"/>
      </w:divBdr>
    </w:div>
    <w:div w:id="1880585763">
      <w:bodyDiv w:val="1"/>
      <w:marLeft w:val="0"/>
      <w:marRight w:val="0"/>
      <w:marTop w:val="0"/>
      <w:marBottom w:val="0"/>
      <w:divBdr>
        <w:top w:val="none" w:sz="0" w:space="0" w:color="auto"/>
        <w:left w:val="none" w:sz="0" w:space="0" w:color="auto"/>
        <w:bottom w:val="none" w:sz="0" w:space="0" w:color="auto"/>
        <w:right w:val="none" w:sz="0" w:space="0" w:color="auto"/>
      </w:divBdr>
    </w:div>
    <w:div w:id="1881821784">
      <w:bodyDiv w:val="1"/>
      <w:marLeft w:val="0"/>
      <w:marRight w:val="0"/>
      <w:marTop w:val="0"/>
      <w:marBottom w:val="0"/>
      <w:divBdr>
        <w:top w:val="none" w:sz="0" w:space="0" w:color="auto"/>
        <w:left w:val="none" w:sz="0" w:space="0" w:color="auto"/>
        <w:bottom w:val="none" w:sz="0" w:space="0" w:color="auto"/>
        <w:right w:val="none" w:sz="0" w:space="0" w:color="auto"/>
      </w:divBdr>
    </w:div>
    <w:div w:id="189191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revolade" TargetMode="External"/><Relationship Id="rId13" Type="http://schemas.openxmlformats.org/officeDocument/2006/relationships/hyperlink" Target="https://www.ema.europa.eu" TargetMode="External"/><Relationship Id="rId18" Type="http://schemas.openxmlformats.org/officeDocument/2006/relationships/image" Target="media/image7.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3.jpeg"/><Relationship Id="rId32"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hyperlink" Target="https://www.ema.europa.eu/en" TargetMode="External"/><Relationship Id="rId19" Type="http://schemas.openxmlformats.org/officeDocument/2006/relationships/image" Target="media/image8.jpeg"/><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image" Target="media/image3.png"/><Relationship Id="rId22" Type="http://schemas.openxmlformats.org/officeDocument/2006/relationships/image" Target="media/image11.jpeg"/><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EMADOC-1700519818-2601308</_dlc_DocId>
    <_dlc_DocIdUrl xmlns="a034c160-bfb7-45f5-8632-2eb7e0508071">
      <Url>https://euema.sharepoint.com/sites/CRM/_layouts/15/DocIdRedir.aspx?ID=EMADOC-1700519818-2601308</Url>
      <Description>EMADOC-1700519818-2601308</Description>
    </_dlc_DocIdUrl>
  </documentManagement>
</p:properties>
</file>

<file path=customXml/itemProps1.xml><?xml version="1.0" encoding="utf-8"?>
<ds:datastoreItem xmlns:ds="http://schemas.openxmlformats.org/officeDocument/2006/customXml" ds:itemID="{A2D1649B-75B4-4857-A28E-CDE6A647F2D1}">
  <ds:schemaRefs>
    <ds:schemaRef ds:uri="http://schemas.openxmlformats.org/officeDocument/2006/bibliography"/>
  </ds:schemaRefs>
</ds:datastoreItem>
</file>

<file path=customXml/itemProps2.xml><?xml version="1.0" encoding="utf-8"?>
<ds:datastoreItem xmlns:ds="http://schemas.openxmlformats.org/officeDocument/2006/customXml" ds:itemID="{E190ECDF-EBDA-44DA-8256-1671E0BF80FC}"/>
</file>

<file path=customXml/itemProps3.xml><?xml version="1.0" encoding="utf-8"?>
<ds:datastoreItem xmlns:ds="http://schemas.openxmlformats.org/officeDocument/2006/customXml" ds:itemID="{7C6DD5F8-5618-489C-9BEB-5F48935A6D93}"/>
</file>

<file path=customXml/itemProps4.xml><?xml version="1.0" encoding="utf-8"?>
<ds:datastoreItem xmlns:ds="http://schemas.openxmlformats.org/officeDocument/2006/customXml" ds:itemID="{23060518-A591-414B-B961-F66E7BFB9CD6}"/>
</file>

<file path=customXml/itemProps5.xml><?xml version="1.0" encoding="utf-8"?>
<ds:datastoreItem xmlns:ds="http://schemas.openxmlformats.org/officeDocument/2006/customXml" ds:itemID="{38AA67E1-B851-4FFF-BC00-1050EE1D1623}"/>
</file>

<file path=docProps/app.xml><?xml version="1.0" encoding="utf-8"?>
<Properties xmlns="http://schemas.openxmlformats.org/officeDocument/2006/extended-properties" xmlns:vt="http://schemas.openxmlformats.org/officeDocument/2006/docPropsVTypes">
  <Template>Normal.dotm</Template>
  <TotalTime>0</TotalTime>
  <Pages>75</Pages>
  <Words>57606</Words>
  <Characters>328358</Characters>
  <Application>Microsoft Office Word</Application>
  <DocSecurity>0</DocSecurity>
  <Lines>2736</Lines>
  <Paragraphs>770</Paragraphs>
  <ScaleCrop>false</ScaleCrop>
  <HeadingPairs>
    <vt:vector size="2" baseType="variant">
      <vt:variant>
        <vt:lpstr>Title</vt:lpstr>
      </vt:variant>
      <vt:variant>
        <vt:i4>1</vt:i4>
      </vt:variant>
    </vt:vector>
  </HeadingPairs>
  <TitlesOfParts>
    <vt:vector size="1" baseType="lpstr">
      <vt:lpstr>Revolade: EPAR - Product information - tracked changes</vt:lpstr>
    </vt:vector>
  </TitlesOfParts>
  <Company/>
  <LinksUpToDate>false</LinksUpToDate>
  <CharactersWithSpaces>385194</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Revolade: EPAR - Product information - tracked changes</dc:title>
  <dc:subject/>
  <dc:creator/>
  <cp:keywords/>
  <cp:lastModifiedBy/>
  <cp:revision>1</cp:revision>
  <dcterms:created xsi:type="dcterms:W3CDTF">2025-07-21T11:38:00Z</dcterms:created>
  <dcterms:modified xsi:type="dcterms:W3CDTF">2025-07-21T13:29:00Z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2025-07-21T11:38:50Z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00e8642e-2e8b-4560-a2fe-e92307966021</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faa528de-633d-424e-9ac1-347bd4926042</vt:lpwstr>
  </property>
</Properties>
</file>