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bookmarkStart w:id="0" w:name="_GoBack"/>
      <w:bookmarkEnd w:id="0"/>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jc w:val="center"/>
        <w:rPr>
          <w:b/>
          <w:bCs/>
          <w:lang w:val="pl-PL"/>
        </w:rPr>
      </w:pPr>
      <w:r>
        <w:rPr>
          <w:b/>
          <w:bCs/>
          <w:szCs w:val="22"/>
          <w:lang w:val="pl-PL"/>
        </w:rPr>
        <w:t>ANEKS I</w:t>
      </w:r>
    </w:p>
    <w:p>
      <w:pPr>
        <w:spacing w:line="240" w:lineRule="auto"/>
        <w:rPr>
          <w:highlight w:val="yellow"/>
          <w:lang w:val="pl-PL"/>
        </w:rPr>
      </w:pPr>
    </w:p>
    <w:p>
      <w:pPr>
        <w:pStyle w:val="TitleA"/>
      </w:pPr>
      <w:r>
        <w:t>CHARAKTERYSTYKA PRODUKTU LECZNICZEGO</w:t>
      </w:r>
      <w:r>
        <w:rPr>
          <w:highlight w:val="yellow"/>
        </w:rPr>
        <w:fldChar w:fldCharType="begin"/>
      </w:r>
      <w:r>
        <w:rPr>
          <w:highlight w:val="yellow"/>
        </w:rPr>
        <w:instrText xml:space="preserve"> DOCVARIABLE VAULT_ND_45a35422-195b-41a9-abcc-849fc2e66216 \* MERGEFORMAT </w:instrText>
      </w:r>
      <w:r>
        <w:rPr>
          <w:highlight w:val="yellow"/>
        </w:rPr>
        <w:fldChar w:fldCharType="separate"/>
      </w:r>
      <w:r>
        <w:rPr>
          <w:highlight w:val="yellow"/>
        </w:rPr>
        <w:t xml:space="preserve"> </w:t>
      </w:r>
      <w:r>
        <w:rPr>
          <w:highlight w:val="yellow"/>
        </w:rPr>
        <w:fldChar w:fldCharType="end"/>
      </w:r>
    </w:p>
    <w:p>
      <w:pPr>
        <w:spacing w:line="240" w:lineRule="auto"/>
        <w:rPr>
          <w:szCs w:val="22"/>
          <w:lang w:val="pl-PL"/>
        </w:rPr>
      </w:pPr>
      <w:r>
        <w:rPr>
          <w:szCs w:val="22"/>
          <w:highlight w:val="yellow"/>
          <w:lang w:val="pl-PL"/>
        </w:rPr>
        <w:br w:type="page"/>
      </w:r>
      <w:r>
        <w:rPr>
          <w:noProof/>
          <w:lang w:val="pl-PL"/>
        </w:rPr>
        <w:lastRenderedPageBreak/>
        <w:pict>
          <v:shape id="_x0000_i1026" type="#_x0000_t75" alt="" style="width:14.85pt;height:13.3pt;visibility:visible;mso-wrap-style:square;mso-width-percent:0;mso-height-percent:0;mso-width-percent:0;mso-height-percent:0">
            <v:imagedata r:id="rId11" o:title=""/>
          </v:shape>
        </w:pict>
      </w:r>
      <w:r>
        <w:rPr>
          <w:szCs w:val="22"/>
          <w:lang w:val="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pPr>
        <w:spacing w:line="240" w:lineRule="auto"/>
        <w:rPr>
          <w:szCs w:val="22"/>
          <w:lang w:val="pl-PL"/>
        </w:rPr>
      </w:pPr>
    </w:p>
    <w:p>
      <w:pPr>
        <w:spacing w:line="240" w:lineRule="auto"/>
        <w:rPr>
          <w:szCs w:val="22"/>
          <w:lang w:val="pl-PL"/>
        </w:rPr>
      </w:pPr>
    </w:p>
    <w:p>
      <w:pPr>
        <w:suppressAutoHyphens/>
        <w:spacing w:line="240" w:lineRule="auto"/>
        <w:ind w:left="567" w:hanging="567"/>
        <w:rPr>
          <w:szCs w:val="22"/>
          <w:lang w:val="pl-PL"/>
        </w:rPr>
      </w:pPr>
      <w:r>
        <w:rPr>
          <w:b/>
          <w:bCs/>
          <w:szCs w:val="22"/>
          <w:lang w:val="pl-PL"/>
        </w:rPr>
        <w:t>1.</w:t>
      </w:r>
      <w:r>
        <w:rPr>
          <w:b/>
          <w:bCs/>
          <w:szCs w:val="22"/>
          <w:lang w:val="pl-PL"/>
        </w:rPr>
        <w:tab/>
        <w:t>NAZWA PRODUKTU LECZNICZEGO</w:t>
      </w:r>
    </w:p>
    <w:p>
      <w:pPr>
        <w:widowControl w:val="0"/>
        <w:spacing w:line="240" w:lineRule="auto"/>
        <w:rPr>
          <w:szCs w:val="22"/>
          <w:lang w:val="pl-PL"/>
        </w:rPr>
      </w:pPr>
    </w:p>
    <w:p>
      <w:pPr>
        <w:widowControl w:val="0"/>
        <w:spacing w:line="240" w:lineRule="auto"/>
        <w:rPr>
          <w:szCs w:val="22"/>
          <w:lang w:val="pl-PL"/>
        </w:rPr>
      </w:pPr>
      <w:r>
        <w:rPr>
          <w:szCs w:val="22"/>
          <w:lang w:val="pl-PL"/>
        </w:rPr>
        <w:t>Sephience 250 mg proszek doustny w saszetce</w:t>
      </w:r>
    </w:p>
    <w:p>
      <w:pPr>
        <w:widowControl w:val="0"/>
        <w:spacing w:line="240" w:lineRule="auto"/>
        <w:rPr>
          <w:szCs w:val="22"/>
          <w:lang w:val="pl-PL"/>
        </w:rPr>
      </w:pPr>
      <w:r>
        <w:rPr>
          <w:szCs w:val="22"/>
          <w:lang w:val="pl-PL"/>
        </w:rPr>
        <w:t>Sephience 1 000 mg proszek doustny w saszetce</w:t>
      </w:r>
    </w:p>
    <w:p>
      <w:pPr>
        <w:widowControl w:val="0"/>
        <w:spacing w:line="240" w:lineRule="auto"/>
        <w:rPr>
          <w:szCs w:val="22"/>
          <w:lang w:val="pl-PL"/>
        </w:rPr>
      </w:pPr>
    </w:p>
    <w:p>
      <w:pPr>
        <w:widowControl w:val="0"/>
        <w:spacing w:line="240" w:lineRule="auto"/>
        <w:rPr>
          <w:szCs w:val="22"/>
          <w:lang w:val="pl-PL"/>
        </w:rPr>
      </w:pPr>
    </w:p>
    <w:p>
      <w:pPr>
        <w:suppressAutoHyphens/>
        <w:spacing w:line="240" w:lineRule="auto"/>
        <w:ind w:left="567" w:hanging="567"/>
        <w:rPr>
          <w:szCs w:val="22"/>
          <w:lang w:val="pl-PL"/>
        </w:rPr>
      </w:pPr>
      <w:r>
        <w:rPr>
          <w:b/>
          <w:bCs/>
          <w:szCs w:val="22"/>
          <w:lang w:val="pl-PL"/>
        </w:rPr>
        <w:t>2.</w:t>
      </w:r>
      <w:r>
        <w:rPr>
          <w:b/>
          <w:bCs/>
          <w:szCs w:val="22"/>
          <w:lang w:val="pl-PL"/>
        </w:rPr>
        <w:tab/>
        <w:t>SKŁAD JAKOŚCIOWY I ILOŚCIOWY</w:t>
      </w:r>
    </w:p>
    <w:p>
      <w:pPr>
        <w:spacing w:line="240" w:lineRule="auto"/>
        <w:rPr>
          <w:szCs w:val="22"/>
          <w:u w:val="single"/>
          <w:lang w:val="pl-PL"/>
        </w:rPr>
      </w:pPr>
    </w:p>
    <w:p>
      <w:pPr>
        <w:spacing w:line="240" w:lineRule="auto"/>
        <w:rPr>
          <w:szCs w:val="22"/>
          <w:u w:val="single"/>
          <w:lang w:val="pl-PL"/>
        </w:rPr>
      </w:pPr>
      <w:r>
        <w:rPr>
          <w:szCs w:val="22"/>
          <w:u w:val="single"/>
          <w:lang w:val="pl-PL"/>
        </w:rPr>
        <w:t>Sephience 250 mg proszek doustny w saszetce</w:t>
      </w:r>
    </w:p>
    <w:p>
      <w:pPr>
        <w:spacing w:line="240" w:lineRule="auto"/>
        <w:rPr>
          <w:szCs w:val="22"/>
          <w:u w:val="single"/>
          <w:lang w:val="pl-PL"/>
        </w:rPr>
      </w:pPr>
    </w:p>
    <w:p>
      <w:pPr>
        <w:spacing w:line="240" w:lineRule="auto"/>
        <w:rPr>
          <w:szCs w:val="22"/>
          <w:lang w:val="pl-PL"/>
        </w:rPr>
      </w:pPr>
      <w:r>
        <w:rPr>
          <w:szCs w:val="22"/>
          <w:lang w:val="pl-PL"/>
        </w:rPr>
        <w:t>Każda saszetka zawiera 250 mg sepiapteryny.</w:t>
      </w:r>
    </w:p>
    <w:p>
      <w:pPr>
        <w:spacing w:line="240" w:lineRule="auto"/>
        <w:rPr>
          <w:szCs w:val="22"/>
          <w:u w:val="single"/>
          <w:lang w:val="pl-PL"/>
        </w:rPr>
      </w:pPr>
    </w:p>
    <w:p>
      <w:pPr>
        <w:spacing w:line="240" w:lineRule="auto"/>
        <w:rPr>
          <w:szCs w:val="22"/>
          <w:u w:val="single"/>
          <w:lang w:val="pl-PL"/>
        </w:rPr>
      </w:pPr>
      <w:r>
        <w:rPr>
          <w:szCs w:val="22"/>
          <w:u w:val="single"/>
          <w:lang w:val="pl-PL"/>
        </w:rPr>
        <w:t>Sephience 1 000 mg proszek doustny w saszetce</w:t>
      </w:r>
    </w:p>
    <w:p>
      <w:pPr>
        <w:spacing w:line="240" w:lineRule="auto"/>
        <w:rPr>
          <w:szCs w:val="22"/>
          <w:lang w:val="pl-PL"/>
        </w:rPr>
      </w:pPr>
    </w:p>
    <w:p>
      <w:pPr>
        <w:spacing w:line="240" w:lineRule="auto"/>
        <w:rPr>
          <w:szCs w:val="22"/>
          <w:lang w:val="pl-PL"/>
        </w:rPr>
      </w:pPr>
      <w:r>
        <w:rPr>
          <w:szCs w:val="22"/>
          <w:lang w:val="pl-PL"/>
        </w:rPr>
        <w:t>Każda saszetka zawiera 1 000 mg sepiapteryny.</w:t>
      </w:r>
    </w:p>
    <w:p>
      <w:pPr>
        <w:spacing w:line="240" w:lineRule="auto"/>
        <w:rPr>
          <w:szCs w:val="22"/>
          <w:u w:val="single"/>
          <w:lang w:val="pl-PL"/>
        </w:rPr>
      </w:pPr>
    </w:p>
    <w:p>
      <w:pPr>
        <w:spacing w:line="240" w:lineRule="auto"/>
        <w:rPr>
          <w:szCs w:val="22"/>
          <w:u w:val="single"/>
          <w:lang w:val="pl-PL"/>
        </w:rPr>
      </w:pPr>
      <w:r>
        <w:rPr>
          <w:szCs w:val="22"/>
          <w:u w:val="single"/>
          <w:lang w:val="pl-PL"/>
        </w:rPr>
        <w:t>Substancja pomocnicza (substancje pomocnicze) o znanym działaniu</w:t>
      </w:r>
    </w:p>
    <w:p>
      <w:pPr>
        <w:spacing w:line="240" w:lineRule="auto"/>
        <w:rPr>
          <w:szCs w:val="22"/>
          <w:u w:val="single"/>
          <w:lang w:val="pl-PL"/>
        </w:rPr>
      </w:pPr>
    </w:p>
    <w:p>
      <w:pPr>
        <w:spacing w:line="240" w:lineRule="auto"/>
        <w:rPr>
          <w:szCs w:val="22"/>
          <w:lang w:val="pl-PL"/>
        </w:rPr>
      </w:pPr>
      <w:r>
        <w:rPr>
          <w:i/>
          <w:iCs/>
          <w:szCs w:val="22"/>
          <w:lang w:val="pl-PL"/>
        </w:rPr>
        <w:t>Sephience 250 mg proszku doustnego w saszetce</w:t>
      </w:r>
      <w:r>
        <w:rPr>
          <w:szCs w:val="22"/>
          <w:lang w:val="pl-PL"/>
        </w:rPr>
        <w:t xml:space="preserve"> </w:t>
      </w:r>
    </w:p>
    <w:p>
      <w:pPr>
        <w:spacing w:line="240" w:lineRule="auto"/>
        <w:rPr>
          <w:szCs w:val="22"/>
          <w:lang w:val="pl-PL"/>
        </w:rPr>
      </w:pPr>
      <w:r>
        <w:rPr>
          <w:szCs w:val="22"/>
          <w:lang w:val="pl-PL"/>
        </w:rPr>
        <w:t>Każda saszetka zawiera 400 mg izomaltu.</w:t>
      </w:r>
    </w:p>
    <w:p>
      <w:pPr>
        <w:spacing w:line="240" w:lineRule="auto"/>
        <w:rPr>
          <w:szCs w:val="22"/>
          <w:lang w:val="pl-PL"/>
        </w:rPr>
      </w:pPr>
    </w:p>
    <w:p>
      <w:pPr>
        <w:spacing w:line="240" w:lineRule="auto"/>
        <w:rPr>
          <w:szCs w:val="22"/>
          <w:lang w:val="pl-PL"/>
        </w:rPr>
      </w:pPr>
      <w:r>
        <w:rPr>
          <w:i/>
          <w:iCs/>
          <w:szCs w:val="22"/>
          <w:lang w:val="pl-PL"/>
        </w:rPr>
        <w:t>Sephience 1 000 mg proszku doustnego w saszetce</w:t>
      </w:r>
      <w:r>
        <w:rPr>
          <w:szCs w:val="22"/>
          <w:lang w:val="pl-PL"/>
        </w:rPr>
        <w:t xml:space="preserve"> </w:t>
      </w:r>
    </w:p>
    <w:p>
      <w:pPr>
        <w:spacing w:line="240" w:lineRule="auto"/>
        <w:rPr>
          <w:szCs w:val="22"/>
          <w:lang w:val="pl-PL"/>
        </w:rPr>
      </w:pPr>
      <w:r>
        <w:rPr>
          <w:szCs w:val="22"/>
          <w:lang w:val="pl-PL"/>
        </w:rPr>
        <w:t>Każda saszetka zawiera 1 600 mg izomaltu.</w:t>
      </w:r>
    </w:p>
    <w:p>
      <w:pPr>
        <w:spacing w:line="240" w:lineRule="auto"/>
        <w:rPr>
          <w:szCs w:val="22"/>
          <w:lang w:val="pl-PL"/>
        </w:rPr>
      </w:pPr>
    </w:p>
    <w:p>
      <w:pPr>
        <w:spacing w:line="240" w:lineRule="auto"/>
        <w:rPr>
          <w:szCs w:val="22"/>
          <w:lang w:val="pl-PL"/>
        </w:rPr>
      </w:pPr>
      <w:r>
        <w:rPr>
          <w:szCs w:val="22"/>
          <w:lang w:val="pl-PL"/>
        </w:rPr>
        <w:t>Pełny wykaz substancji pomocniczych, patrz punkt 6.1.</w:t>
      </w:r>
    </w:p>
    <w:p>
      <w:pPr>
        <w:spacing w:line="240" w:lineRule="auto"/>
        <w:rPr>
          <w:szCs w:val="22"/>
          <w:lang w:val="pl-PL"/>
        </w:rPr>
      </w:pPr>
    </w:p>
    <w:p>
      <w:pPr>
        <w:spacing w:line="240" w:lineRule="auto"/>
        <w:rPr>
          <w:szCs w:val="22"/>
          <w:lang w:val="pl-PL"/>
        </w:rPr>
      </w:pPr>
    </w:p>
    <w:p>
      <w:pPr>
        <w:suppressAutoHyphens/>
        <w:spacing w:line="240" w:lineRule="auto"/>
        <w:ind w:left="567" w:hanging="567"/>
        <w:rPr>
          <w:caps/>
          <w:szCs w:val="22"/>
          <w:lang w:val="pl-PL"/>
        </w:rPr>
      </w:pPr>
      <w:r>
        <w:rPr>
          <w:b/>
          <w:bCs/>
          <w:szCs w:val="22"/>
          <w:lang w:val="pl-PL"/>
        </w:rPr>
        <w:t>3.</w:t>
      </w:r>
      <w:r>
        <w:rPr>
          <w:b/>
          <w:bCs/>
          <w:szCs w:val="22"/>
          <w:lang w:val="pl-PL"/>
        </w:rPr>
        <w:tab/>
        <w:t>POSTAĆ FARMACEUTYCZNA</w:t>
      </w:r>
    </w:p>
    <w:p>
      <w:pPr>
        <w:spacing w:line="240" w:lineRule="auto"/>
        <w:rPr>
          <w:szCs w:val="22"/>
          <w:lang w:val="pl-PL"/>
        </w:rPr>
      </w:pPr>
    </w:p>
    <w:p>
      <w:pPr>
        <w:spacing w:line="240" w:lineRule="auto"/>
        <w:rPr>
          <w:szCs w:val="22"/>
          <w:lang w:val="pl-PL"/>
        </w:rPr>
      </w:pPr>
      <w:r>
        <w:rPr>
          <w:szCs w:val="22"/>
          <w:lang w:val="pl-PL"/>
        </w:rPr>
        <w:t>Proszek doustny.</w:t>
      </w:r>
    </w:p>
    <w:p>
      <w:pPr>
        <w:spacing w:line="240" w:lineRule="auto"/>
        <w:rPr>
          <w:szCs w:val="22"/>
          <w:lang w:val="pl-PL"/>
        </w:rPr>
      </w:pPr>
    </w:p>
    <w:p>
      <w:pPr>
        <w:spacing w:line="240" w:lineRule="auto"/>
        <w:rPr>
          <w:szCs w:val="22"/>
          <w:lang w:val="pl-PL"/>
        </w:rPr>
      </w:pPr>
      <w:r>
        <w:rPr>
          <w:szCs w:val="22"/>
          <w:lang w:val="pl-PL"/>
        </w:rPr>
        <w:t>Proszek w kolorze żółtym do pomarańczowego.</w:t>
      </w:r>
    </w:p>
    <w:p>
      <w:pPr>
        <w:spacing w:line="240" w:lineRule="auto"/>
        <w:rPr>
          <w:szCs w:val="22"/>
          <w:lang w:val="pl-PL"/>
        </w:rPr>
      </w:pPr>
    </w:p>
    <w:p>
      <w:pPr>
        <w:spacing w:line="240" w:lineRule="auto"/>
        <w:rPr>
          <w:szCs w:val="22"/>
          <w:lang w:val="pl-PL"/>
        </w:rPr>
      </w:pPr>
    </w:p>
    <w:p>
      <w:pPr>
        <w:suppressAutoHyphens/>
        <w:spacing w:line="240" w:lineRule="auto"/>
        <w:ind w:left="567" w:hanging="567"/>
        <w:rPr>
          <w:b/>
          <w:szCs w:val="22"/>
          <w:highlight w:val="yellow"/>
          <w:lang w:val="pl-PL"/>
        </w:rPr>
      </w:pPr>
      <w:r>
        <w:rPr>
          <w:b/>
          <w:bCs/>
          <w:caps/>
          <w:szCs w:val="22"/>
          <w:lang w:val="pl-PL"/>
        </w:rPr>
        <w:t>4.</w:t>
      </w:r>
      <w:r>
        <w:rPr>
          <w:b/>
          <w:bCs/>
          <w:caps/>
          <w:szCs w:val="22"/>
          <w:lang w:val="pl-PL"/>
        </w:rPr>
        <w:tab/>
      </w:r>
      <w:r>
        <w:rPr>
          <w:b/>
          <w:bCs/>
          <w:szCs w:val="22"/>
          <w:lang w:val="pl-PL"/>
        </w:rPr>
        <w:t>SZCZEGÓŁOWE DANE KLINICZNE</w:t>
      </w:r>
    </w:p>
    <w:p>
      <w:pPr>
        <w:suppressAutoHyphens/>
        <w:spacing w:line="240" w:lineRule="auto"/>
        <w:ind w:left="567" w:hanging="567"/>
        <w:rPr>
          <w:caps/>
          <w:szCs w:val="22"/>
          <w:highlight w:val="yellow"/>
          <w:lang w:val="pl-PL"/>
        </w:rPr>
      </w:pPr>
    </w:p>
    <w:p>
      <w:pPr>
        <w:spacing w:line="240" w:lineRule="auto"/>
        <w:ind w:left="567" w:hanging="567"/>
        <w:rPr>
          <w:b/>
          <w:szCs w:val="22"/>
          <w:lang w:val="pl-PL"/>
        </w:rPr>
      </w:pPr>
      <w:r>
        <w:rPr>
          <w:b/>
          <w:bCs/>
          <w:szCs w:val="22"/>
          <w:lang w:val="pl-PL"/>
        </w:rPr>
        <w:t>4.1</w:t>
      </w:r>
      <w:r>
        <w:rPr>
          <w:b/>
          <w:bCs/>
          <w:szCs w:val="22"/>
          <w:lang w:val="pl-PL"/>
        </w:rPr>
        <w:tab/>
        <w:t>Wskazania do stosowania</w:t>
      </w:r>
      <w:r>
        <w:rPr>
          <w:b/>
          <w:szCs w:val="22"/>
          <w:highlight w:val="yellow"/>
          <w:lang w:val="pl-PL"/>
        </w:rPr>
        <w:fldChar w:fldCharType="begin"/>
      </w:r>
      <w:r>
        <w:rPr>
          <w:b/>
          <w:szCs w:val="22"/>
          <w:highlight w:val="yellow"/>
          <w:lang w:val="pl-PL"/>
        </w:rPr>
        <w:instrText xml:space="preserve"> DOCVARIABLE vault_nd_9b8de20a-3872-4166-ac84-b2d8c40a917d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left="567" w:hanging="567"/>
        <w:rPr>
          <w:szCs w:val="22"/>
          <w:lang w:val="pl-PL"/>
        </w:rPr>
      </w:pPr>
    </w:p>
    <w:p>
      <w:pPr>
        <w:spacing w:line="240" w:lineRule="auto"/>
        <w:rPr>
          <w:szCs w:val="22"/>
          <w:lang w:val="pl-PL"/>
        </w:rPr>
      </w:pPr>
      <w:r>
        <w:rPr>
          <w:szCs w:val="22"/>
          <w:lang w:val="pl-PL"/>
        </w:rPr>
        <w:t xml:space="preserve">Produkt leczniczy Sephience jest wskazany w leczeniu hiperfenyloalaninemii (HPA) u dorosłych </w:t>
      </w:r>
    </w:p>
    <w:p>
      <w:pPr>
        <w:spacing w:line="240" w:lineRule="auto"/>
        <w:rPr>
          <w:szCs w:val="22"/>
          <w:lang w:val="pl-PL"/>
        </w:rPr>
      </w:pPr>
      <w:r>
        <w:rPr>
          <w:szCs w:val="22"/>
          <w:lang w:val="pl-PL"/>
        </w:rPr>
        <w:t xml:space="preserve">i dzieci z fenyloketonurią (PKU). </w:t>
      </w:r>
    </w:p>
    <w:p>
      <w:pPr>
        <w:spacing w:line="240" w:lineRule="auto"/>
        <w:rPr>
          <w:szCs w:val="22"/>
          <w:lang w:val="pl-PL"/>
        </w:rPr>
      </w:pPr>
    </w:p>
    <w:p>
      <w:pPr>
        <w:pStyle w:val="StyleBoldBefore12ptAfter6ptLinespacingsingle"/>
        <w:spacing w:before="0" w:after="0"/>
        <w:ind w:left="567" w:hanging="567"/>
        <w:rPr>
          <w:lang w:val="pl-PL"/>
        </w:rPr>
      </w:pPr>
      <w:r>
        <w:rPr>
          <w:szCs w:val="22"/>
          <w:lang w:val="pl-PL"/>
        </w:rPr>
        <w:t>4.2</w:t>
      </w:r>
      <w:r>
        <w:rPr>
          <w:szCs w:val="22"/>
          <w:lang w:val="pl-PL"/>
        </w:rPr>
        <w:tab/>
        <w:t>Dawkowanie i sposób podawania</w:t>
      </w:r>
    </w:p>
    <w:p>
      <w:pPr>
        <w:pStyle w:val="StyleBoldBefore12ptAfter6ptLinespacingsingle"/>
        <w:spacing w:before="0" w:after="0"/>
        <w:rPr>
          <w:lang w:val="pl-PL"/>
        </w:rPr>
      </w:pPr>
    </w:p>
    <w:p>
      <w:pPr>
        <w:spacing w:line="240" w:lineRule="auto"/>
        <w:rPr>
          <w:lang w:val="pl-PL"/>
        </w:rPr>
      </w:pPr>
      <w:r>
        <w:rPr>
          <w:szCs w:val="22"/>
          <w:lang w:val="pl-PL"/>
        </w:rPr>
        <w:t>Leczenie  produktem leczniczym Sephience musi zostać wdrożone i nadzorowane przez lekarza posiadającego doświadczenie w leczeniu PKU.</w:t>
      </w:r>
    </w:p>
    <w:p>
      <w:pPr>
        <w:spacing w:line="240" w:lineRule="auto"/>
        <w:rPr>
          <w:lang w:val="pl-PL"/>
        </w:rPr>
      </w:pPr>
    </w:p>
    <w:p>
      <w:pPr>
        <w:spacing w:line="240" w:lineRule="auto"/>
        <w:rPr>
          <w:u w:val="single"/>
          <w:lang w:val="pl-PL"/>
        </w:rPr>
      </w:pPr>
      <w:r>
        <w:rPr>
          <w:szCs w:val="22"/>
          <w:u w:val="single"/>
          <w:lang w:val="pl-PL"/>
        </w:rPr>
        <w:t>Dawkowanie</w:t>
      </w:r>
    </w:p>
    <w:p>
      <w:pPr>
        <w:spacing w:line="240" w:lineRule="auto"/>
        <w:rPr>
          <w:szCs w:val="22"/>
          <w:lang w:val="pl-PL"/>
        </w:rPr>
      </w:pPr>
    </w:p>
    <w:p>
      <w:pPr>
        <w:spacing w:line="240" w:lineRule="auto"/>
        <w:rPr>
          <w:szCs w:val="22"/>
          <w:lang w:val="pl-PL"/>
        </w:rPr>
      </w:pPr>
      <w:r>
        <w:rPr>
          <w:szCs w:val="22"/>
          <w:lang w:val="pl-PL"/>
        </w:rPr>
        <w:t xml:space="preserve">Zalecana dawka (mg/kg mc./dobę) produktu leczniczego Sephience, którą należy podawać doustnie raz na dobę zależy od wieku i masy ciała (patrz Tabela 1). Maksymalna zalecana dawka wynosi 60 mg/kg mc./dobę. Zalecana dawka produktu leczniczego Sephience u pacjentów w wieku ≥ 2 lat </w:t>
      </w:r>
      <w:r>
        <w:rPr>
          <w:szCs w:val="22"/>
          <w:lang w:val="pl-PL"/>
        </w:rPr>
        <w:lastRenderedPageBreak/>
        <w:t xml:space="preserve">wynosi 60 mg/kg mc./dobę. Jednak dawkę można zmniejszyć, jeśli lekarz uzna to za konieczne lub właściwe. </w:t>
      </w:r>
    </w:p>
    <w:p>
      <w:pPr>
        <w:spacing w:line="240" w:lineRule="auto"/>
        <w:rPr>
          <w:szCs w:val="22"/>
          <w:lang w:val="pl-PL"/>
        </w:rPr>
      </w:pPr>
    </w:p>
    <w:p>
      <w:pPr>
        <w:keepNext/>
        <w:keepLines/>
        <w:spacing w:line="240" w:lineRule="auto"/>
        <w:ind w:right="720"/>
        <w:rPr>
          <w:b/>
          <w:bCs/>
          <w:szCs w:val="22"/>
          <w:lang w:val="pl-PL"/>
        </w:rPr>
      </w:pPr>
      <w:r>
        <w:rPr>
          <w:b/>
          <w:bCs/>
          <w:szCs w:val="22"/>
          <w:lang w:val="pl-PL"/>
        </w:rPr>
        <w:t>Tabela 1: Zalecana dawka na podstawie wieku i masy ciała pacjenta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pl-PL"/>
              </w:rPr>
            </w:pPr>
            <w:r>
              <w:rPr>
                <w:b/>
                <w:bCs/>
                <w:color w:val="000000"/>
                <w:szCs w:val="22"/>
                <w:lang w:val="pl-PL"/>
              </w:rPr>
              <w:t>Wiek</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pl-PL"/>
              </w:rPr>
            </w:pPr>
            <w:r>
              <w:rPr>
                <w:b/>
                <w:bCs/>
                <w:color w:val="000000"/>
                <w:szCs w:val="22"/>
                <w:lang w:val="pl-PL"/>
              </w:rPr>
              <w:t>Zalecana dawka: (mg/kg mc.) produktu leczniczego Sephience na dobę</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pl-PL"/>
              </w:rPr>
            </w:pPr>
            <w:r>
              <w:rPr>
                <w:color w:val="000000"/>
                <w:szCs w:val="22"/>
                <w:lang w:val="pl-PL"/>
              </w:rPr>
              <w:t>0 do &lt; 6 miesięcy</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pl-PL"/>
              </w:rPr>
            </w:pPr>
            <w:r>
              <w:rPr>
                <w:color w:val="000000"/>
                <w:szCs w:val="22"/>
                <w:lang w:val="pl-PL"/>
              </w:rPr>
              <w:t>7,5 mg/kg mc./dobę</w:t>
            </w:r>
          </w:p>
        </w:tc>
      </w:tr>
      <w:tr>
        <w:trPr>
          <w:trHeight w:val="22"/>
        </w:trPr>
        <w:tc>
          <w:tcPr>
            <w:tcW w:w="1690" w:type="pct"/>
            <w:tcBorders>
              <w:top w:val="single" w:sz="6" w:space="0" w:color="auto"/>
            </w:tcBorders>
          </w:tcPr>
          <w:p>
            <w:pPr>
              <w:keepNext/>
              <w:keepLines/>
              <w:spacing w:line="240" w:lineRule="auto"/>
              <w:rPr>
                <w:color w:val="000000"/>
                <w:szCs w:val="22"/>
                <w:lang w:val="pl-PL"/>
              </w:rPr>
            </w:pPr>
            <w:r>
              <w:rPr>
                <w:color w:val="000000"/>
                <w:szCs w:val="22"/>
                <w:lang w:val="pl-PL"/>
              </w:rPr>
              <w:t>6 do &lt; 12 miesięcy</w:t>
            </w:r>
          </w:p>
        </w:tc>
        <w:tc>
          <w:tcPr>
            <w:tcW w:w="3310" w:type="pct"/>
            <w:tcBorders>
              <w:top w:val="single" w:sz="6" w:space="0" w:color="auto"/>
            </w:tcBorders>
          </w:tcPr>
          <w:p>
            <w:pPr>
              <w:keepNext/>
              <w:keepLines/>
              <w:spacing w:line="240" w:lineRule="auto"/>
              <w:rPr>
                <w:color w:val="000000"/>
                <w:szCs w:val="22"/>
                <w:lang w:val="pl-PL"/>
              </w:rPr>
            </w:pPr>
            <w:r>
              <w:rPr>
                <w:color w:val="000000"/>
                <w:szCs w:val="22"/>
                <w:lang w:val="pl-PL"/>
              </w:rPr>
              <w:t>15 mg/kg mc./dobę</w:t>
            </w:r>
          </w:p>
        </w:tc>
      </w:tr>
      <w:tr>
        <w:trPr>
          <w:trHeight w:val="22"/>
        </w:trPr>
        <w:tc>
          <w:tcPr>
            <w:tcW w:w="1690" w:type="pct"/>
          </w:tcPr>
          <w:p>
            <w:pPr>
              <w:keepNext/>
              <w:keepLines/>
              <w:spacing w:line="240" w:lineRule="auto"/>
              <w:rPr>
                <w:color w:val="000000"/>
                <w:szCs w:val="22"/>
                <w:lang w:val="pl-PL"/>
              </w:rPr>
            </w:pPr>
            <w:r>
              <w:rPr>
                <w:color w:val="000000"/>
                <w:szCs w:val="22"/>
                <w:lang w:val="pl-PL"/>
              </w:rPr>
              <w:t>12 miesięcy do &lt; 2 lat</w:t>
            </w:r>
          </w:p>
        </w:tc>
        <w:tc>
          <w:tcPr>
            <w:tcW w:w="3310" w:type="pct"/>
          </w:tcPr>
          <w:p>
            <w:pPr>
              <w:keepNext/>
              <w:keepLines/>
              <w:spacing w:line="240" w:lineRule="auto"/>
              <w:rPr>
                <w:color w:val="000000"/>
                <w:szCs w:val="22"/>
                <w:lang w:val="pl-PL"/>
              </w:rPr>
            </w:pPr>
            <w:r>
              <w:rPr>
                <w:color w:val="000000"/>
                <w:szCs w:val="22"/>
                <w:lang w:val="pl-PL"/>
              </w:rPr>
              <w:t>30 mg/kg mc./dobę</w:t>
            </w:r>
          </w:p>
        </w:tc>
      </w:tr>
      <w:tr>
        <w:trPr>
          <w:trHeight w:val="22"/>
        </w:trPr>
        <w:tc>
          <w:tcPr>
            <w:tcW w:w="1690" w:type="pct"/>
          </w:tcPr>
          <w:p>
            <w:pPr>
              <w:keepNext/>
              <w:keepLines/>
              <w:spacing w:line="240" w:lineRule="auto"/>
              <w:rPr>
                <w:color w:val="000000"/>
                <w:szCs w:val="22"/>
                <w:lang w:val="pl-PL"/>
              </w:rPr>
            </w:pPr>
            <w:r>
              <w:rPr>
                <w:color w:val="000000"/>
                <w:szCs w:val="22"/>
                <w:lang w:val="pl-PL"/>
              </w:rPr>
              <w:t>≥ 2 lat</w:t>
            </w:r>
          </w:p>
        </w:tc>
        <w:tc>
          <w:tcPr>
            <w:tcW w:w="3310" w:type="pct"/>
          </w:tcPr>
          <w:p>
            <w:pPr>
              <w:keepNext/>
              <w:keepLines/>
              <w:spacing w:line="240" w:lineRule="auto"/>
              <w:rPr>
                <w:color w:val="000000"/>
                <w:szCs w:val="22"/>
                <w:lang w:val="pl-PL"/>
              </w:rPr>
            </w:pPr>
            <w:r>
              <w:rPr>
                <w:color w:val="000000"/>
                <w:szCs w:val="22"/>
                <w:lang w:val="pl-PL"/>
              </w:rPr>
              <w:t>60 mg/kg mc./dobę</w:t>
            </w:r>
          </w:p>
        </w:tc>
      </w:tr>
    </w:tbl>
    <w:p>
      <w:pPr>
        <w:spacing w:line="240" w:lineRule="auto"/>
        <w:rPr>
          <w:i/>
          <w:szCs w:val="22"/>
          <w:lang w:val="pl-PL"/>
        </w:rPr>
      </w:pPr>
    </w:p>
    <w:p>
      <w:pPr>
        <w:spacing w:line="240" w:lineRule="auto"/>
        <w:rPr>
          <w:szCs w:val="22"/>
          <w:lang w:val="pl-PL"/>
        </w:rPr>
      </w:pPr>
      <w:r>
        <w:rPr>
          <w:szCs w:val="22"/>
          <w:lang w:val="pl-PL"/>
        </w:rPr>
        <w:t>W poniższych tabelach 2 do 5 przedstawiono informacje dotyczące dawkowania dla poszczególnych grup wiekowych pacjentów o masie ciała 16 kg lub mniejszej w różnych dawkach (7,5, 15, 30 i 60 mg/kg mc./dobę).</w:t>
      </w:r>
    </w:p>
    <w:p>
      <w:pPr>
        <w:spacing w:line="240" w:lineRule="auto"/>
        <w:rPr>
          <w:szCs w:val="22"/>
          <w:lang w:val="pl-PL"/>
        </w:rPr>
      </w:pPr>
    </w:p>
    <w:p>
      <w:pPr>
        <w:keepNext/>
        <w:keepLines/>
        <w:spacing w:line="240" w:lineRule="auto"/>
        <w:rPr>
          <w:b/>
          <w:bCs/>
          <w:szCs w:val="22"/>
          <w:lang w:val="pl-PL"/>
        </w:rPr>
      </w:pPr>
      <w:r>
        <w:rPr>
          <w:b/>
          <w:bCs/>
          <w:szCs w:val="22"/>
          <w:lang w:val="pl-PL"/>
        </w:rPr>
        <w:t>Tabela 2: Zalecana dawka produktu leczniczego Sephience proszek doustny w saszetce zależnie od masy ciała u dzieci w wieku poniżej 6 miesięcy</w:t>
      </w:r>
    </w:p>
    <w:p>
      <w:pPr>
        <w:keepNext/>
        <w:keepLines/>
        <w:spacing w:line="240" w:lineRule="auto"/>
        <w:rPr>
          <w:b/>
          <w:bCs/>
          <w:szCs w:val="22"/>
          <w:lang w:val="pl-PL"/>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pl-PL"/>
              </w:rPr>
            </w:pPr>
            <w:r>
              <w:rPr>
                <w:b/>
                <w:bCs/>
                <w:szCs w:val="22"/>
                <w:lang w:val="pl-PL"/>
              </w:rPr>
              <w:t>Dawka</w:t>
            </w:r>
          </w:p>
        </w:tc>
        <w:tc>
          <w:tcPr>
            <w:tcW w:w="4290" w:type="pct"/>
            <w:gridSpan w:val="3"/>
          </w:tcPr>
          <w:p>
            <w:pPr>
              <w:spacing w:line="240" w:lineRule="auto"/>
              <w:jc w:val="center"/>
              <w:rPr>
                <w:b/>
                <w:szCs w:val="22"/>
                <w:lang w:val="pl-PL"/>
              </w:rPr>
            </w:pPr>
            <w:r>
              <w:rPr>
                <w:b/>
                <w:bCs/>
                <w:color w:val="000000"/>
                <w:szCs w:val="22"/>
                <w:lang w:val="pl-PL"/>
              </w:rPr>
              <w:t>7,5 mg/kg mc./dobę</w:t>
            </w:r>
          </w:p>
        </w:tc>
      </w:tr>
      <w:tr>
        <w:trPr>
          <w:trHeight w:val="152"/>
          <w:tblHeader/>
        </w:trPr>
        <w:tc>
          <w:tcPr>
            <w:tcW w:w="710" w:type="pct"/>
          </w:tcPr>
          <w:p>
            <w:pPr>
              <w:spacing w:line="240" w:lineRule="auto"/>
              <w:rPr>
                <w:rFonts w:eastAsia="Arial"/>
                <w:b/>
                <w:bCs/>
                <w:color w:val="000000"/>
                <w:szCs w:val="22"/>
                <w:lang w:val="pl-PL"/>
              </w:rPr>
            </w:pPr>
            <w:r>
              <w:rPr>
                <w:rFonts w:eastAsia="Arial"/>
                <w:b/>
                <w:bCs/>
                <w:color w:val="000000"/>
                <w:szCs w:val="22"/>
                <w:lang w:val="pl-PL"/>
              </w:rPr>
              <w:t>Wiek</w:t>
            </w:r>
          </w:p>
        </w:tc>
        <w:tc>
          <w:tcPr>
            <w:tcW w:w="4290" w:type="pct"/>
            <w:gridSpan w:val="3"/>
          </w:tcPr>
          <w:p>
            <w:pPr>
              <w:spacing w:line="240" w:lineRule="auto"/>
              <w:jc w:val="center"/>
              <w:rPr>
                <w:rFonts w:eastAsia="Arial"/>
                <w:b/>
                <w:bCs/>
                <w:color w:val="000000"/>
                <w:szCs w:val="22"/>
                <w:lang w:val="pl-PL"/>
              </w:rPr>
            </w:pPr>
            <w:r>
              <w:rPr>
                <w:b/>
                <w:bCs/>
                <w:color w:val="000000"/>
                <w:szCs w:val="22"/>
                <w:lang w:val="pl-PL"/>
              </w:rPr>
              <w:t>0 do &lt; 6 miesięcy</w:t>
            </w:r>
          </w:p>
        </w:tc>
      </w:tr>
      <w:tr>
        <w:trPr>
          <w:trHeight w:val="652"/>
          <w:tblHeader/>
        </w:trPr>
        <w:tc>
          <w:tcPr>
            <w:tcW w:w="710" w:type="pct"/>
          </w:tcPr>
          <w:p>
            <w:pPr>
              <w:spacing w:line="240" w:lineRule="auto"/>
              <w:rPr>
                <w:szCs w:val="22"/>
                <w:lang w:val="pl-PL"/>
              </w:rPr>
            </w:pPr>
            <w:r>
              <w:rPr>
                <w:b/>
                <w:bCs/>
                <w:color w:val="000000"/>
                <w:szCs w:val="22"/>
                <w:lang w:val="pl-PL"/>
              </w:rPr>
              <w:t xml:space="preserve">Masa ciała (kg) </w:t>
            </w:r>
          </w:p>
        </w:tc>
        <w:tc>
          <w:tcPr>
            <w:tcW w:w="1034" w:type="pct"/>
          </w:tcPr>
          <w:p>
            <w:pPr>
              <w:spacing w:line="240" w:lineRule="auto"/>
              <w:jc w:val="center"/>
              <w:rPr>
                <w:szCs w:val="22"/>
                <w:lang w:val="pl-PL"/>
              </w:rPr>
            </w:pPr>
            <w:r>
              <w:rPr>
                <w:b/>
                <w:bCs/>
                <w:color w:val="000000"/>
                <w:szCs w:val="22"/>
                <w:lang w:val="pl-PL"/>
              </w:rPr>
              <w:t>Całkowita dawka (mg)</w:t>
            </w:r>
          </w:p>
        </w:tc>
        <w:tc>
          <w:tcPr>
            <w:tcW w:w="1570" w:type="pct"/>
          </w:tcPr>
          <w:p>
            <w:pPr>
              <w:spacing w:line="240" w:lineRule="auto"/>
              <w:jc w:val="center"/>
              <w:rPr>
                <w:szCs w:val="22"/>
                <w:lang w:val="pl-PL"/>
              </w:rPr>
            </w:pPr>
            <w:r>
              <w:rPr>
                <w:b/>
                <w:bCs/>
                <w:color w:val="000000"/>
                <w:szCs w:val="22"/>
                <w:lang w:val="pl-PL"/>
              </w:rPr>
              <w:t>Liczba saszetek (250 mg)</w:t>
            </w:r>
          </w:p>
        </w:tc>
        <w:tc>
          <w:tcPr>
            <w:tcW w:w="1686" w:type="pct"/>
          </w:tcPr>
          <w:p>
            <w:pPr>
              <w:spacing w:line="240" w:lineRule="auto"/>
              <w:jc w:val="center"/>
              <w:rPr>
                <w:szCs w:val="22"/>
                <w:lang w:val="pl-PL"/>
              </w:rPr>
            </w:pPr>
            <w:r>
              <w:rPr>
                <w:b/>
                <w:bCs/>
                <w:color w:val="000000"/>
                <w:szCs w:val="22"/>
                <w:lang w:val="pl-PL"/>
              </w:rPr>
              <w:t>Objętość do podania (ml) (25 mg/ml)</w:t>
            </w:r>
          </w:p>
        </w:tc>
      </w:tr>
      <w:tr>
        <w:trPr>
          <w:trHeight w:val="222"/>
        </w:trPr>
        <w:tc>
          <w:tcPr>
            <w:tcW w:w="710" w:type="pct"/>
          </w:tcPr>
          <w:p>
            <w:pPr>
              <w:spacing w:line="240" w:lineRule="auto"/>
              <w:rPr>
                <w:szCs w:val="22"/>
                <w:lang w:val="pl-PL"/>
              </w:rPr>
            </w:pPr>
            <w:r>
              <w:rPr>
                <w:color w:val="000000"/>
                <w:szCs w:val="22"/>
                <w:lang w:val="pl-PL"/>
              </w:rPr>
              <w:t>2</w:t>
            </w:r>
          </w:p>
        </w:tc>
        <w:tc>
          <w:tcPr>
            <w:tcW w:w="1034" w:type="pct"/>
          </w:tcPr>
          <w:p>
            <w:pPr>
              <w:spacing w:line="240" w:lineRule="auto"/>
              <w:jc w:val="center"/>
              <w:rPr>
                <w:szCs w:val="22"/>
                <w:lang w:val="pl-PL"/>
              </w:rPr>
            </w:pPr>
            <w:r>
              <w:rPr>
                <w:color w:val="000000"/>
                <w:szCs w:val="22"/>
                <w:lang w:val="pl-PL"/>
              </w:rPr>
              <w:t>15</w:t>
            </w:r>
          </w:p>
        </w:tc>
        <w:tc>
          <w:tcPr>
            <w:tcW w:w="1570" w:type="pct"/>
          </w:tcPr>
          <w:p>
            <w:pPr>
              <w:spacing w:line="240" w:lineRule="auto"/>
              <w:jc w:val="center"/>
              <w:rPr>
                <w:szCs w:val="22"/>
                <w:lang w:val="pl-PL"/>
              </w:rPr>
            </w:pPr>
            <w:r>
              <w:rPr>
                <w:color w:val="000000"/>
                <w:szCs w:val="22"/>
                <w:lang w:val="pl-PL"/>
              </w:rPr>
              <w:t>1</w:t>
            </w:r>
          </w:p>
        </w:tc>
        <w:tc>
          <w:tcPr>
            <w:tcW w:w="1686" w:type="pct"/>
          </w:tcPr>
          <w:p>
            <w:pPr>
              <w:spacing w:line="240" w:lineRule="auto"/>
              <w:jc w:val="center"/>
              <w:rPr>
                <w:szCs w:val="22"/>
                <w:lang w:val="pl-PL"/>
              </w:rPr>
            </w:pPr>
            <w:r>
              <w:rPr>
                <w:color w:val="000000"/>
                <w:szCs w:val="22"/>
                <w:lang w:val="pl-PL"/>
              </w:rPr>
              <w:t>0,6</w:t>
            </w:r>
          </w:p>
        </w:tc>
      </w:tr>
      <w:tr>
        <w:trPr>
          <w:trHeight w:val="206"/>
        </w:trPr>
        <w:tc>
          <w:tcPr>
            <w:tcW w:w="710" w:type="pct"/>
          </w:tcPr>
          <w:p>
            <w:pPr>
              <w:spacing w:line="240" w:lineRule="auto"/>
              <w:rPr>
                <w:szCs w:val="22"/>
                <w:lang w:val="pl-PL"/>
              </w:rPr>
            </w:pPr>
            <w:r>
              <w:rPr>
                <w:color w:val="000000"/>
                <w:szCs w:val="22"/>
                <w:lang w:val="pl-PL"/>
              </w:rPr>
              <w:t>3</w:t>
            </w:r>
          </w:p>
        </w:tc>
        <w:tc>
          <w:tcPr>
            <w:tcW w:w="1034" w:type="pct"/>
          </w:tcPr>
          <w:p>
            <w:pPr>
              <w:spacing w:line="240" w:lineRule="auto"/>
              <w:jc w:val="center"/>
              <w:rPr>
                <w:szCs w:val="22"/>
                <w:lang w:val="pl-PL"/>
              </w:rPr>
            </w:pPr>
            <w:r>
              <w:rPr>
                <w:color w:val="000000"/>
                <w:szCs w:val="22"/>
                <w:lang w:val="pl-PL"/>
              </w:rPr>
              <w:t>22,5</w:t>
            </w:r>
          </w:p>
        </w:tc>
        <w:tc>
          <w:tcPr>
            <w:tcW w:w="1570" w:type="pct"/>
          </w:tcPr>
          <w:p>
            <w:pPr>
              <w:spacing w:line="240" w:lineRule="auto"/>
              <w:jc w:val="center"/>
              <w:rPr>
                <w:szCs w:val="22"/>
                <w:lang w:val="pl-PL"/>
              </w:rPr>
            </w:pPr>
            <w:r>
              <w:rPr>
                <w:color w:val="000000"/>
                <w:szCs w:val="22"/>
                <w:lang w:val="pl-PL"/>
              </w:rPr>
              <w:t>1</w:t>
            </w:r>
          </w:p>
        </w:tc>
        <w:tc>
          <w:tcPr>
            <w:tcW w:w="1686" w:type="pct"/>
          </w:tcPr>
          <w:p>
            <w:pPr>
              <w:spacing w:line="240" w:lineRule="auto"/>
              <w:jc w:val="center"/>
              <w:rPr>
                <w:szCs w:val="22"/>
                <w:lang w:val="pl-PL"/>
              </w:rPr>
            </w:pPr>
            <w:r>
              <w:rPr>
                <w:color w:val="000000"/>
                <w:szCs w:val="22"/>
                <w:lang w:val="pl-PL"/>
              </w:rPr>
              <w:t>0,9</w:t>
            </w:r>
          </w:p>
        </w:tc>
      </w:tr>
      <w:tr>
        <w:trPr>
          <w:trHeight w:val="222"/>
        </w:trPr>
        <w:tc>
          <w:tcPr>
            <w:tcW w:w="710" w:type="pct"/>
          </w:tcPr>
          <w:p>
            <w:pPr>
              <w:spacing w:line="240" w:lineRule="auto"/>
              <w:rPr>
                <w:szCs w:val="22"/>
                <w:lang w:val="pl-PL"/>
              </w:rPr>
            </w:pPr>
            <w:r>
              <w:rPr>
                <w:color w:val="000000"/>
                <w:szCs w:val="22"/>
                <w:lang w:val="pl-PL"/>
              </w:rPr>
              <w:t>4</w:t>
            </w:r>
          </w:p>
        </w:tc>
        <w:tc>
          <w:tcPr>
            <w:tcW w:w="1034" w:type="pct"/>
          </w:tcPr>
          <w:p>
            <w:pPr>
              <w:spacing w:line="240" w:lineRule="auto"/>
              <w:jc w:val="center"/>
              <w:rPr>
                <w:szCs w:val="22"/>
                <w:lang w:val="pl-PL"/>
              </w:rPr>
            </w:pPr>
            <w:r>
              <w:rPr>
                <w:color w:val="000000"/>
                <w:szCs w:val="22"/>
                <w:lang w:val="pl-PL"/>
              </w:rPr>
              <w:t>30</w:t>
            </w:r>
          </w:p>
        </w:tc>
        <w:tc>
          <w:tcPr>
            <w:tcW w:w="1570" w:type="pct"/>
          </w:tcPr>
          <w:p>
            <w:pPr>
              <w:spacing w:line="240" w:lineRule="auto"/>
              <w:jc w:val="center"/>
              <w:rPr>
                <w:szCs w:val="22"/>
                <w:lang w:val="pl-PL"/>
              </w:rPr>
            </w:pPr>
            <w:r>
              <w:rPr>
                <w:color w:val="000000"/>
                <w:szCs w:val="22"/>
                <w:lang w:val="pl-PL"/>
              </w:rPr>
              <w:t>1</w:t>
            </w:r>
          </w:p>
        </w:tc>
        <w:tc>
          <w:tcPr>
            <w:tcW w:w="1686" w:type="pct"/>
          </w:tcPr>
          <w:p>
            <w:pPr>
              <w:spacing w:line="240" w:lineRule="auto"/>
              <w:jc w:val="center"/>
              <w:rPr>
                <w:szCs w:val="22"/>
                <w:lang w:val="pl-PL"/>
              </w:rPr>
            </w:pPr>
            <w:r>
              <w:rPr>
                <w:color w:val="000000"/>
                <w:szCs w:val="22"/>
                <w:lang w:val="pl-PL"/>
              </w:rPr>
              <w:t>1,2</w:t>
            </w:r>
          </w:p>
        </w:tc>
      </w:tr>
      <w:tr>
        <w:trPr>
          <w:trHeight w:val="206"/>
        </w:trPr>
        <w:tc>
          <w:tcPr>
            <w:tcW w:w="710" w:type="pct"/>
          </w:tcPr>
          <w:p>
            <w:pPr>
              <w:spacing w:line="240" w:lineRule="auto"/>
              <w:rPr>
                <w:szCs w:val="22"/>
                <w:lang w:val="pl-PL"/>
              </w:rPr>
            </w:pPr>
            <w:r>
              <w:rPr>
                <w:color w:val="000000"/>
                <w:szCs w:val="22"/>
                <w:lang w:val="pl-PL"/>
              </w:rPr>
              <w:t>5</w:t>
            </w:r>
          </w:p>
        </w:tc>
        <w:tc>
          <w:tcPr>
            <w:tcW w:w="1034" w:type="pct"/>
          </w:tcPr>
          <w:p>
            <w:pPr>
              <w:spacing w:line="240" w:lineRule="auto"/>
              <w:jc w:val="center"/>
              <w:rPr>
                <w:szCs w:val="22"/>
                <w:lang w:val="pl-PL"/>
              </w:rPr>
            </w:pPr>
            <w:r>
              <w:rPr>
                <w:color w:val="000000"/>
                <w:szCs w:val="22"/>
                <w:lang w:val="pl-PL"/>
              </w:rPr>
              <w:t>37,5</w:t>
            </w:r>
          </w:p>
        </w:tc>
        <w:tc>
          <w:tcPr>
            <w:tcW w:w="1570" w:type="pct"/>
          </w:tcPr>
          <w:p>
            <w:pPr>
              <w:spacing w:line="240" w:lineRule="auto"/>
              <w:jc w:val="center"/>
              <w:rPr>
                <w:szCs w:val="22"/>
                <w:lang w:val="pl-PL"/>
              </w:rPr>
            </w:pPr>
            <w:r>
              <w:rPr>
                <w:color w:val="000000"/>
                <w:szCs w:val="22"/>
                <w:lang w:val="pl-PL"/>
              </w:rPr>
              <w:t>1</w:t>
            </w:r>
          </w:p>
        </w:tc>
        <w:tc>
          <w:tcPr>
            <w:tcW w:w="1686" w:type="pct"/>
          </w:tcPr>
          <w:p>
            <w:pPr>
              <w:spacing w:line="240" w:lineRule="auto"/>
              <w:jc w:val="center"/>
              <w:rPr>
                <w:szCs w:val="22"/>
                <w:lang w:val="pl-PL"/>
              </w:rPr>
            </w:pPr>
            <w:r>
              <w:rPr>
                <w:color w:val="000000"/>
                <w:szCs w:val="22"/>
                <w:lang w:val="pl-PL"/>
              </w:rPr>
              <w:t>1,5</w:t>
            </w:r>
          </w:p>
        </w:tc>
      </w:tr>
      <w:tr>
        <w:trPr>
          <w:trHeight w:val="222"/>
        </w:trPr>
        <w:tc>
          <w:tcPr>
            <w:tcW w:w="710" w:type="pct"/>
          </w:tcPr>
          <w:p>
            <w:pPr>
              <w:spacing w:line="240" w:lineRule="auto"/>
              <w:rPr>
                <w:szCs w:val="22"/>
                <w:lang w:val="pl-PL"/>
              </w:rPr>
            </w:pPr>
            <w:r>
              <w:rPr>
                <w:color w:val="000000"/>
                <w:szCs w:val="22"/>
                <w:lang w:val="pl-PL"/>
              </w:rPr>
              <w:t>6</w:t>
            </w:r>
          </w:p>
        </w:tc>
        <w:tc>
          <w:tcPr>
            <w:tcW w:w="1034" w:type="pct"/>
          </w:tcPr>
          <w:p>
            <w:pPr>
              <w:spacing w:line="240" w:lineRule="auto"/>
              <w:jc w:val="center"/>
              <w:rPr>
                <w:szCs w:val="22"/>
                <w:lang w:val="pl-PL"/>
              </w:rPr>
            </w:pPr>
            <w:r>
              <w:rPr>
                <w:color w:val="000000"/>
                <w:szCs w:val="22"/>
                <w:lang w:val="pl-PL"/>
              </w:rPr>
              <w:t>45</w:t>
            </w:r>
          </w:p>
        </w:tc>
        <w:tc>
          <w:tcPr>
            <w:tcW w:w="1570" w:type="pct"/>
          </w:tcPr>
          <w:p>
            <w:pPr>
              <w:spacing w:line="240" w:lineRule="auto"/>
              <w:jc w:val="center"/>
              <w:rPr>
                <w:szCs w:val="22"/>
                <w:lang w:val="pl-PL"/>
              </w:rPr>
            </w:pPr>
            <w:r>
              <w:rPr>
                <w:color w:val="000000"/>
                <w:szCs w:val="22"/>
                <w:lang w:val="pl-PL"/>
              </w:rPr>
              <w:t>1</w:t>
            </w:r>
          </w:p>
        </w:tc>
        <w:tc>
          <w:tcPr>
            <w:tcW w:w="1686" w:type="pct"/>
          </w:tcPr>
          <w:p>
            <w:pPr>
              <w:spacing w:line="240" w:lineRule="auto"/>
              <w:jc w:val="center"/>
              <w:rPr>
                <w:szCs w:val="22"/>
                <w:lang w:val="pl-PL"/>
              </w:rPr>
            </w:pPr>
            <w:r>
              <w:rPr>
                <w:color w:val="000000"/>
                <w:szCs w:val="22"/>
                <w:lang w:val="pl-PL"/>
              </w:rPr>
              <w:t>1,8</w:t>
            </w:r>
          </w:p>
        </w:tc>
      </w:tr>
      <w:tr>
        <w:trPr>
          <w:trHeight w:val="206"/>
        </w:trPr>
        <w:tc>
          <w:tcPr>
            <w:tcW w:w="710" w:type="pct"/>
          </w:tcPr>
          <w:p>
            <w:pPr>
              <w:spacing w:line="240" w:lineRule="auto"/>
              <w:rPr>
                <w:color w:val="000000"/>
                <w:szCs w:val="22"/>
                <w:lang w:val="pl-PL"/>
              </w:rPr>
            </w:pPr>
            <w:r>
              <w:rPr>
                <w:color w:val="000000"/>
                <w:szCs w:val="22"/>
                <w:lang w:val="pl-PL"/>
              </w:rPr>
              <w:t>7</w:t>
            </w:r>
          </w:p>
        </w:tc>
        <w:tc>
          <w:tcPr>
            <w:tcW w:w="1034" w:type="pct"/>
          </w:tcPr>
          <w:p>
            <w:pPr>
              <w:spacing w:line="240" w:lineRule="auto"/>
              <w:jc w:val="center"/>
              <w:rPr>
                <w:color w:val="000000"/>
                <w:szCs w:val="22"/>
                <w:lang w:val="pl-PL"/>
              </w:rPr>
            </w:pPr>
            <w:r>
              <w:rPr>
                <w:color w:val="000000"/>
                <w:szCs w:val="22"/>
                <w:lang w:val="pl-PL"/>
              </w:rPr>
              <w:t>52,5</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2,1</w:t>
            </w:r>
          </w:p>
        </w:tc>
      </w:tr>
      <w:tr>
        <w:trPr>
          <w:trHeight w:val="222"/>
        </w:trPr>
        <w:tc>
          <w:tcPr>
            <w:tcW w:w="710" w:type="pct"/>
          </w:tcPr>
          <w:p>
            <w:pPr>
              <w:spacing w:line="240" w:lineRule="auto"/>
              <w:rPr>
                <w:color w:val="000000"/>
                <w:szCs w:val="22"/>
                <w:lang w:val="pl-PL"/>
              </w:rPr>
            </w:pPr>
            <w:r>
              <w:rPr>
                <w:color w:val="000000"/>
                <w:szCs w:val="22"/>
                <w:lang w:val="pl-PL"/>
              </w:rPr>
              <w:t>8</w:t>
            </w:r>
          </w:p>
        </w:tc>
        <w:tc>
          <w:tcPr>
            <w:tcW w:w="1034" w:type="pct"/>
          </w:tcPr>
          <w:p>
            <w:pPr>
              <w:spacing w:line="240" w:lineRule="auto"/>
              <w:jc w:val="center"/>
              <w:rPr>
                <w:color w:val="000000"/>
                <w:szCs w:val="22"/>
                <w:lang w:val="pl-PL"/>
              </w:rPr>
            </w:pPr>
            <w:r>
              <w:rPr>
                <w:color w:val="000000"/>
                <w:szCs w:val="22"/>
                <w:lang w:val="pl-PL"/>
              </w:rPr>
              <w:t>60</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2,4</w:t>
            </w:r>
          </w:p>
        </w:tc>
      </w:tr>
      <w:tr>
        <w:trPr>
          <w:trHeight w:val="206"/>
        </w:trPr>
        <w:tc>
          <w:tcPr>
            <w:tcW w:w="710" w:type="pct"/>
          </w:tcPr>
          <w:p>
            <w:pPr>
              <w:spacing w:line="240" w:lineRule="auto"/>
              <w:rPr>
                <w:color w:val="000000"/>
                <w:szCs w:val="22"/>
                <w:lang w:val="pl-PL"/>
              </w:rPr>
            </w:pPr>
            <w:r>
              <w:rPr>
                <w:color w:val="000000"/>
                <w:szCs w:val="22"/>
                <w:lang w:val="pl-PL"/>
              </w:rPr>
              <w:t>9</w:t>
            </w:r>
          </w:p>
        </w:tc>
        <w:tc>
          <w:tcPr>
            <w:tcW w:w="1034" w:type="pct"/>
          </w:tcPr>
          <w:p>
            <w:pPr>
              <w:spacing w:line="240" w:lineRule="auto"/>
              <w:jc w:val="center"/>
              <w:rPr>
                <w:color w:val="000000"/>
                <w:szCs w:val="22"/>
                <w:lang w:val="pl-PL"/>
              </w:rPr>
            </w:pPr>
            <w:r>
              <w:rPr>
                <w:color w:val="000000"/>
                <w:szCs w:val="22"/>
                <w:lang w:val="pl-PL"/>
              </w:rPr>
              <w:t>67,5</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2,7</w:t>
            </w:r>
          </w:p>
        </w:tc>
      </w:tr>
      <w:tr>
        <w:trPr>
          <w:trHeight w:val="222"/>
        </w:trPr>
        <w:tc>
          <w:tcPr>
            <w:tcW w:w="710" w:type="pct"/>
          </w:tcPr>
          <w:p>
            <w:pPr>
              <w:spacing w:line="240" w:lineRule="auto"/>
              <w:rPr>
                <w:color w:val="000000"/>
                <w:szCs w:val="22"/>
                <w:lang w:val="pl-PL"/>
              </w:rPr>
            </w:pPr>
            <w:r>
              <w:rPr>
                <w:color w:val="000000"/>
                <w:szCs w:val="22"/>
                <w:lang w:val="pl-PL"/>
              </w:rPr>
              <w:t>10</w:t>
            </w:r>
          </w:p>
        </w:tc>
        <w:tc>
          <w:tcPr>
            <w:tcW w:w="1034" w:type="pct"/>
          </w:tcPr>
          <w:p>
            <w:pPr>
              <w:spacing w:line="240" w:lineRule="auto"/>
              <w:jc w:val="center"/>
              <w:rPr>
                <w:color w:val="000000"/>
                <w:szCs w:val="22"/>
                <w:lang w:val="pl-PL"/>
              </w:rPr>
            </w:pPr>
            <w:r>
              <w:rPr>
                <w:color w:val="000000"/>
                <w:szCs w:val="22"/>
                <w:lang w:val="pl-PL"/>
              </w:rPr>
              <w:t>75</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3</w:t>
            </w:r>
          </w:p>
        </w:tc>
      </w:tr>
      <w:tr>
        <w:trPr>
          <w:trHeight w:val="206"/>
        </w:trPr>
        <w:tc>
          <w:tcPr>
            <w:tcW w:w="710" w:type="pct"/>
          </w:tcPr>
          <w:p>
            <w:pPr>
              <w:spacing w:line="240" w:lineRule="auto"/>
              <w:rPr>
                <w:color w:val="000000"/>
                <w:szCs w:val="22"/>
                <w:lang w:val="pl-PL"/>
              </w:rPr>
            </w:pPr>
            <w:r>
              <w:rPr>
                <w:color w:val="000000"/>
                <w:szCs w:val="22"/>
                <w:lang w:val="pl-PL"/>
              </w:rPr>
              <w:t>11</w:t>
            </w:r>
          </w:p>
        </w:tc>
        <w:tc>
          <w:tcPr>
            <w:tcW w:w="1034" w:type="pct"/>
          </w:tcPr>
          <w:p>
            <w:pPr>
              <w:spacing w:line="240" w:lineRule="auto"/>
              <w:jc w:val="center"/>
              <w:rPr>
                <w:color w:val="000000"/>
                <w:szCs w:val="22"/>
                <w:lang w:val="pl-PL"/>
              </w:rPr>
            </w:pPr>
            <w:r>
              <w:rPr>
                <w:color w:val="000000"/>
                <w:szCs w:val="22"/>
                <w:lang w:val="pl-PL"/>
              </w:rPr>
              <w:t>82,5</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3,3</w:t>
            </w:r>
          </w:p>
        </w:tc>
      </w:tr>
      <w:tr>
        <w:trPr>
          <w:trHeight w:val="222"/>
        </w:trPr>
        <w:tc>
          <w:tcPr>
            <w:tcW w:w="710" w:type="pct"/>
          </w:tcPr>
          <w:p>
            <w:pPr>
              <w:spacing w:line="240" w:lineRule="auto"/>
              <w:rPr>
                <w:color w:val="000000"/>
                <w:szCs w:val="22"/>
                <w:lang w:val="pl-PL"/>
              </w:rPr>
            </w:pPr>
            <w:r>
              <w:rPr>
                <w:color w:val="000000"/>
                <w:szCs w:val="22"/>
                <w:lang w:val="pl-PL"/>
              </w:rPr>
              <w:t>12</w:t>
            </w:r>
          </w:p>
        </w:tc>
        <w:tc>
          <w:tcPr>
            <w:tcW w:w="1034" w:type="pct"/>
          </w:tcPr>
          <w:p>
            <w:pPr>
              <w:spacing w:line="240" w:lineRule="auto"/>
              <w:jc w:val="center"/>
              <w:rPr>
                <w:color w:val="000000"/>
                <w:szCs w:val="22"/>
                <w:lang w:val="pl-PL"/>
              </w:rPr>
            </w:pPr>
            <w:r>
              <w:rPr>
                <w:color w:val="000000"/>
                <w:szCs w:val="22"/>
                <w:lang w:val="pl-PL"/>
              </w:rPr>
              <w:t>90</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3,6</w:t>
            </w:r>
          </w:p>
        </w:tc>
      </w:tr>
      <w:tr>
        <w:trPr>
          <w:trHeight w:val="206"/>
        </w:trPr>
        <w:tc>
          <w:tcPr>
            <w:tcW w:w="710" w:type="pct"/>
          </w:tcPr>
          <w:p>
            <w:pPr>
              <w:spacing w:line="240" w:lineRule="auto"/>
              <w:rPr>
                <w:color w:val="000000"/>
                <w:szCs w:val="22"/>
                <w:lang w:val="pl-PL"/>
              </w:rPr>
            </w:pPr>
            <w:r>
              <w:rPr>
                <w:color w:val="000000"/>
                <w:szCs w:val="22"/>
                <w:lang w:val="pl-PL"/>
              </w:rPr>
              <w:t>13</w:t>
            </w:r>
          </w:p>
        </w:tc>
        <w:tc>
          <w:tcPr>
            <w:tcW w:w="1034" w:type="pct"/>
          </w:tcPr>
          <w:p>
            <w:pPr>
              <w:spacing w:line="240" w:lineRule="auto"/>
              <w:jc w:val="center"/>
              <w:rPr>
                <w:color w:val="000000"/>
                <w:szCs w:val="22"/>
                <w:lang w:val="pl-PL"/>
              </w:rPr>
            </w:pPr>
            <w:r>
              <w:rPr>
                <w:color w:val="000000"/>
                <w:szCs w:val="22"/>
                <w:lang w:val="pl-PL"/>
              </w:rPr>
              <w:t>97,5</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3,9</w:t>
            </w:r>
          </w:p>
        </w:tc>
      </w:tr>
      <w:tr>
        <w:trPr>
          <w:trHeight w:val="222"/>
        </w:trPr>
        <w:tc>
          <w:tcPr>
            <w:tcW w:w="710" w:type="pct"/>
          </w:tcPr>
          <w:p>
            <w:pPr>
              <w:spacing w:line="240" w:lineRule="auto"/>
              <w:rPr>
                <w:color w:val="000000"/>
                <w:szCs w:val="22"/>
                <w:lang w:val="pl-PL"/>
              </w:rPr>
            </w:pPr>
            <w:r>
              <w:rPr>
                <w:color w:val="000000"/>
                <w:szCs w:val="22"/>
                <w:lang w:val="pl-PL"/>
              </w:rPr>
              <w:t>14</w:t>
            </w:r>
          </w:p>
        </w:tc>
        <w:tc>
          <w:tcPr>
            <w:tcW w:w="1034" w:type="pct"/>
          </w:tcPr>
          <w:p>
            <w:pPr>
              <w:spacing w:line="240" w:lineRule="auto"/>
              <w:jc w:val="center"/>
              <w:rPr>
                <w:color w:val="000000"/>
                <w:szCs w:val="22"/>
                <w:lang w:val="pl-PL"/>
              </w:rPr>
            </w:pPr>
            <w:r>
              <w:rPr>
                <w:color w:val="000000"/>
                <w:szCs w:val="22"/>
                <w:lang w:val="pl-PL"/>
              </w:rPr>
              <w:t>105</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4,2</w:t>
            </w:r>
          </w:p>
        </w:tc>
      </w:tr>
      <w:tr>
        <w:trPr>
          <w:trHeight w:val="206"/>
        </w:trPr>
        <w:tc>
          <w:tcPr>
            <w:tcW w:w="710" w:type="pct"/>
          </w:tcPr>
          <w:p>
            <w:pPr>
              <w:spacing w:line="240" w:lineRule="auto"/>
              <w:rPr>
                <w:color w:val="000000"/>
                <w:szCs w:val="22"/>
                <w:lang w:val="pl-PL"/>
              </w:rPr>
            </w:pPr>
            <w:r>
              <w:rPr>
                <w:color w:val="000000"/>
                <w:szCs w:val="22"/>
                <w:lang w:val="pl-PL"/>
              </w:rPr>
              <w:t>15</w:t>
            </w:r>
          </w:p>
        </w:tc>
        <w:tc>
          <w:tcPr>
            <w:tcW w:w="1034" w:type="pct"/>
          </w:tcPr>
          <w:p>
            <w:pPr>
              <w:spacing w:line="240" w:lineRule="auto"/>
              <w:jc w:val="center"/>
              <w:rPr>
                <w:color w:val="000000"/>
                <w:szCs w:val="22"/>
                <w:lang w:val="pl-PL"/>
              </w:rPr>
            </w:pPr>
            <w:r>
              <w:rPr>
                <w:color w:val="000000"/>
                <w:szCs w:val="22"/>
                <w:lang w:val="pl-PL"/>
              </w:rPr>
              <w:t>112,5</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4,5</w:t>
            </w:r>
          </w:p>
        </w:tc>
      </w:tr>
      <w:tr>
        <w:trPr>
          <w:trHeight w:val="206"/>
        </w:trPr>
        <w:tc>
          <w:tcPr>
            <w:tcW w:w="710" w:type="pct"/>
          </w:tcPr>
          <w:p>
            <w:pPr>
              <w:spacing w:line="240" w:lineRule="auto"/>
              <w:rPr>
                <w:color w:val="000000"/>
                <w:szCs w:val="22"/>
                <w:lang w:val="pl-PL"/>
              </w:rPr>
            </w:pPr>
            <w:r>
              <w:rPr>
                <w:color w:val="000000"/>
                <w:szCs w:val="22"/>
                <w:lang w:val="pl-PL"/>
              </w:rPr>
              <w:t>16</w:t>
            </w:r>
          </w:p>
        </w:tc>
        <w:tc>
          <w:tcPr>
            <w:tcW w:w="1034" w:type="pct"/>
          </w:tcPr>
          <w:p>
            <w:pPr>
              <w:spacing w:line="240" w:lineRule="auto"/>
              <w:jc w:val="center"/>
              <w:rPr>
                <w:color w:val="000000"/>
                <w:szCs w:val="22"/>
                <w:lang w:val="pl-PL"/>
              </w:rPr>
            </w:pPr>
            <w:r>
              <w:rPr>
                <w:color w:val="000000"/>
                <w:szCs w:val="22"/>
                <w:lang w:val="pl-PL"/>
              </w:rPr>
              <w:t>120</w:t>
            </w:r>
          </w:p>
        </w:tc>
        <w:tc>
          <w:tcPr>
            <w:tcW w:w="1570" w:type="pct"/>
          </w:tcPr>
          <w:p>
            <w:pPr>
              <w:spacing w:line="240" w:lineRule="auto"/>
              <w:jc w:val="center"/>
              <w:rPr>
                <w:color w:val="000000"/>
                <w:szCs w:val="22"/>
                <w:lang w:val="pl-PL"/>
              </w:rPr>
            </w:pPr>
            <w:r>
              <w:rPr>
                <w:color w:val="000000"/>
                <w:szCs w:val="22"/>
                <w:lang w:val="pl-PL"/>
              </w:rPr>
              <w:t>1</w:t>
            </w:r>
          </w:p>
        </w:tc>
        <w:tc>
          <w:tcPr>
            <w:tcW w:w="1686" w:type="pct"/>
          </w:tcPr>
          <w:p>
            <w:pPr>
              <w:spacing w:line="240" w:lineRule="auto"/>
              <w:jc w:val="center"/>
              <w:rPr>
                <w:color w:val="000000"/>
                <w:szCs w:val="22"/>
                <w:lang w:val="pl-PL"/>
              </w:rPr>
            </w:pPr>
            <w:r>
              <w:rPr>
                <w:color w:val="000000"/>
                <w:szCs w:val="22"/>
                <w:lang w:val="pl-PL"/>
              </w:rPr>
              <w:t>4,8</w:t>
            </w:r>
          </w:p>
        </w:tc>
      </w:tr>
    </w:tbl>
    <w:p>
      <w:pPr>
        <w:spacing w:line="240" w:lineRule="auto"/>
        <w:rPr>
          <w:lang w:val="pl-PL"/>
        </w:rPr>
      </w:pPr>
    </w:p>
    <w:p>
      <w:pPr>
        <w:spacing w:line="240" w:lineRule="auto"/>
        <w:rPr>
          <w:b/>
          <w:bCs/>
          <w:szCs w:val="22"/>
          <w:lang w:val="pl-PL"/>
        </w:rPr>
      </w:pPr>
      <w:r>
        <w:rPr>
          <w:b/>
          <w:bCs/>
          <w:szCs w:val="22"/>
          <w:lang w:val="pl-PL"/>
        </w:rPr>
        <w:t>Tabela 3: Zalecana dawka produktu leczniczego Sephience proszek doustny w saszetce zależnie od masy ciała u dzieci w wieku od 6 miesięcy do poniżej 12 miesięcy</w:t>
      </w:r>
    </w:p>
    <w:p>
      <w:pPr>
        <w:spacing w:line="240" w:lineRule="auto"/>
        <w:rPr>
          <w:lang w:val="pl-PL"/>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lang w:val="pl-PL"/>
              </w:rPr>
            </w:pPr>
            <w:r>
              <w:rPr>
                <w:b/>
                <w:bCs/>
                <w:szCs w:val="22"/>
                <w:lang w:val="pl-PL"/>
              </w:rPr>
              <w:t>Dawka</w:t>
            </w:r>
          </w:p>
        </w:tc>
        <w:tc>
          <w:tcPr>
            <w:tcW w:w="4362" w:type="pct"/>
            <w:gridSpan w:val="3"/>
          </w:tcPr>
          <w:p>
            <w:pPr>
              <w:keepNext/>
              <w:keepLines/>
              <w:spacing w:line="240" w:lineRule="auto"/>
              <w:jc w:val="center"/>
              <w:rPr>
                <w:b/>
                <w:szCs w:val="22"/>
                <w:lang w:val="pl-PL"/>
              </w:rPr>
            </w:pPr>
            <w:r>
              <w:rPr>
                <w:b/>
                <w:bCs/>
                <w:color w:val="000000"/>
                <w:szCs w:val="22"/>
                <w:lang w:val="pl-PL"/>
              </w:rPr>
              <w:t>15 mg/kg mc./dobę</w:t>
            </w:r>
          </w:p>
        </w:tc>
      </w:tr>
      <w:tr>
        <w:trPr>
          <w:trHeight w:val="152"/>
          <w:tblHeader/>
        </w:trPr>
        <w:tc>
          <w:tcPr>
            <w:tcW w:w="638" w:type="pct"/>
          </w:tcPr>
          <w:p>
            <w:pPr>
              <w:keepNext/>
              <w:keepLines/>
              <w:spacing w:line="240" w:lineRule="auto"/>
              <w:rPr>
                <w:rFonts w:eastAsia="Arial"/>
                <w:b/>
                <w:bCs/>
                <w:color w:val="000000"/>
                <w:szCs w:val="22"/>
                <w:lang w:val="pl-PL"/>
              </w:rPr>
            </w:pPr>
            <w:r>
              <w:rPr>
                <w:rFonts w:eastAsia="Arial"/>
                <w:b/>
                <w:bCs/>
                <w:color w:val="000000"/>
                <w:szCs w:val="22"/>
                <w:lang w:val="pl-PL"/>
              </w:rPr>
              <w:t>Wiek</w:t>
            </w:r>
          </w:p>
        </w:tc>
        <w:tc>
          <w:tcPr>
            <w:tcW w:w="4362" w:type="pct"/>
            <w:gridSpan w:val="3"/>
          </w:tcPr>
          <w:p>
            <w:pPr>
              <w:keepNext/>
              <w:keepLines/>
              <w:spacing w:line="240" w:lineRule="auto"/>
              <w:jc w:val="center"/>
              <w:rPr>
                <w:rFonts w:eastAsia="Arial"/>
                <w:b/>
                <w:bCs/>
                <w:color w:val="000000"/>
                <w:szCs w:val="22"/>
                <w:lang w:val="pl-PL"/>
              </w:rPr>
            </w:pPr>
            <w:r>
              <w:rPr>
                <w:b/>
                <w:bCs/>
                <w:color w:val="000000"/>
                <w:szCs w:val="22"/>
                <w:lang w:val="pl-PL"/>
              </w:rPr>
              <w:t>6 miesięcy do &lt; 12 miesięcy</w:t>
            </w:r>
          </w:p>
        </w:tc>
      </w:tr>
      <w:tr>
        <w:trPr>
          <w:trHeight w:val="652"/>
          <w:tblHeader/>
        </w:trPr>
        <w:tc>
          <w:tcPr>
            <w:tcW w:w="638" w:type="pct"/>
          </w:tcPr>
          <w:p>
            <w:pPr>
              <w:spacing w:line="240" w:lineRule="auto"/>
              <w:rPr>
                <w:szCs w:val="22"/>
                <w:lang w:val="pl-PL"/>
              </w:rPr>
            </w:pPr>
            <w:r>
              <w:rPr>
                <w:b/>
                <w:bCs/>
                <w:color w:val="000000"/>
                <w:szCs w:val="22"/>
                <w:lang w:val="pl-PL"/>
              </w:rPr>
              <w:t xml:space="preserve">Masa ciała (kg) </w:t>
            </w:r>
          </w:p>
        </w:tc>
        <w:tc>
          <w:tcPr>
            <w:tcW w:w="1058" w:type="pct"/>
          </w:tcPr>
          <w:p>
            <w:pPr>
              <w:spacing w:line="240" w:lineRule="auto"/>
              <w:jc w:val="center"/>
              <w:rPr>
                <w:szCs w:val="22"/>
                <w:lang w:val="pl-PL"/>
              </w:rPr>
            </w:pPr>
            <w:r>
              <w:rPr>
                <w:b/>
                <w:bCs/>
                <w:color w:val="000000"/>
                <w:szCs w:val="22"/>
                <w:lang w:val="pl-PL"/>
              </w:rPr>
              <w:t>Całkowita dawka (mg)</w:t>
            </w:r>
          </w:p>
        </w:tc>
        <w:tc>
          <w:tcPr>
            <w:tcW w:w="1594" w:type="pct"/>
          </w:tcPr>
          <w:p>
            <w:pPr>
              <w:spacing w:line="240" w:lineRule="auto"/>
              <w:jc w:val="center"/>
              <w:rPr>
                <w:szCs w:val="22"/>
                <w:lang w:val="pl-PL"/>
              </w:rPr>
            </w:pPr>
            <w:r>
              <w:rPr>
                <w:b/>
                <w:bCs/>
                <w:color w:val="000000"/>
                <w:szCs w:val="22"/>
                <w:lang w:val="pl-PL"/>
              </w:rPr>
              <w:t>Liczba saszetek (250 mg)</w:t>
            </w:r>
          </w:p>
        </w:tc>
        <w:tc>
          <w:tcPr>
            <w:tcW w:w="1710" w:type="pct"/>
          </w:tcPr>
          <w:p>
            <w:pPr>
              <w:spacing w:line="240" w:lineRule="auto"/>
              <w:jc w:val="center"/>
              <w:rPr>
                <w:szCs w:val="22"/>
                <w:lang w:val="pl-PL"/>
              </w:rPr>
            </w:pPr>
            <w:r>
              <w:rPr>
                <w:b/>
                <w:bCs/>
                <w:color w:val="000000"/>
                <w:szCs w:val="22"/>
                <w:lang w:val="pl-PL"/>
              </w:rPr>
              <w:t>Objętość do podania (ml) (25 mg/ml)</w:t>
            </w:r>
          </w:p>
        </w:tc>
      </w:tr>
      <w:tr>
        <w:trPr>
          <w:trHeight w:val="222"/>
        </w:trPr>
        <w:tc>
          <w:tcPr>
            <w:tcW w:w="638" w:type="pct"/>
          </w:tcPr>
          <w:p>
            <w:pPr>
              <w:spacing w:line="240" w:lineRule="auto"/>
              <w:rPr>
                <w:szCs w:val="22"/>
                <w:lang w:val="pl-PL"/>
              </w:rPr>
            </w:pPr>
            <w:r>
              <w:rPr>
                <w:color w:val="000000"/>
                <w:szCs w:val="22"/>
                <w:lang w:val="pl-PL"/>
              </w:rPr>
              <w:t>2</w:t>
            </w:r>
          </w:p>
        </w:tc>
        <w:tc>
          <w:tcPr>
            <w:tcW w:w="1058" w:type="pct"/>
          </w:tcPr>
          <w:p>
            <w:pPr>
              <w:spacing w:line="240" w:lineRule="auto"/>
              <w:jc w:val="center"/>
              <w:rPr>
                <w:szCs w:val="22"/>
                <w:lang w:val="pl-PL"/>
              </w:rPr>
            </w:pPr>
            <w:r>
              <w:rPr>
                <w:color w:val="000000"/>
                <w:szCs w:val="22"/>
                <w:lang w:val="pl-PL"/>
              </w:rPr>
              <w:t>30</w:t>
            </w:r>
          </w:p>
        </w:tc>
        <w:tc>
          <w:tcPr>
            <w:tcW w:w="1594" w:type="pct"/>
          </w:tcPr>
          <w:p>
            <w:pPr>
              <w:spacing w:line="240" w:lineRule="auto"/>
              <w:jc w:val="center"/>
              <w:rPr>
                <w:szCs w:val="22"/>
                <w:lang w:val="pl-PL"/>
              </w:rPr>
            </w:pPr>
            <w:r>
              <w:rPr>
                <w:color w:val="000000"/>
                <w:szCs w:val="22"/>
                <w:lang w:val="pl-PL"/>
              </w:rPr>
              <w:t>1</w:t>
            </w:r>
          </w:p>
        </w:tc>
        <w:tc>
          <w:tcPr>
            <w:tcW w:w="1710" w:type="pct"/>
          </w:tcPr>
          <w:p>
            <w:pPr>
              <w:spacing w:line="240" w:lineRule="auto"/>
              <w:jc w:val="center"/>
              <w:rPr>
                <w:szCs w:val="22"/>
                <w:lang w:val="pl-PL"/>
              </w:rPr>
            </w:pPr>
            <w:r>
              <w:rPr>
                <w:color w:val="000000"/>
                <w:szCs w:val="22"/>
                <w:lang w:val="pl-PL"/>
              </w:rPr>
              <w:t>1,2</w:t>
            </w:r>
          </w:p>
        </w:tc>
      </w:tr>
      <w:tr>
        <w:trPr>
          <w:trHeight w:val="206"/>
        </w:trPr>
        <w:tc>
          <w:tcPr>
            <w:tcW w:w="638" w:type="pct"/>
          </w:tcPr>
          <w:p>
            <w:pPr>
              <w:spacing w:line="240" w:lineRule="auto"/>
              <w:rPr>
                <w:szCs w:val="22"/>
                <w:lang w:val="pl-PL"/>
              </w:rPr>
            </w:pPr>
            <w:r>
              <w:rPr>
                <w:color w:val="000000"/>
                <w:szCs w:val="22"/>
                <w:lang w:val="pl-PL"/>
              </w:rPr>
              <w:t>3</w:t>
            </w:r>
          </w:p>
        </w:tc>
        <w:tc>
          <w:tcPr>
            <w:tcW w:w="1058" w:type="pct"/>
          </w:tcPr>
          <w:p>
            <w:pPr>
              <w:spacing w:line="240" w:lineRule="auto"/>
              <w:jc w:val="center"/>
              <w:rPr>
                <w:szCs w:val="22"/>
                <w:lang w:val="pl-PL"/>
              </w:rPr>
            </w:pPr>
            <w:r>
              <w:rPr>
                <w:color w:val="000000"/>
                <w:szCs w:val="22"/>
                <w:lang w:val="pl-PL"/>
              </w:rPr>
              <w:t>45</w:t>
            </w:r>
          </w:p>
        </w:tc>
        <w:tc>
          <w:tcPr>
            <w:tcW w:w="1594" w:type="pct"/>
          </w:tcPr>
          <w:p>
            <w:pPr>
              <w:spacing w:line="240" w:lineRule="auto"/>
              <w:jc w:val="center"/>
              <w:rPr>
                <w:szCs w:val="22"/>
                <w:lang w:val="pl-PL"/>
              </w:rPr>
            </w:pPr>
            <w:r>
              <w:rPr>
                <w:color w:val="000000"/>
                <w:szCs w:val="22"/>
                <w:lang w:val="pl-PL"/>
              </w:rPr>
              <w:t>1</w:t>
            </w:r>
          </w:p>
        </w:tc>
        <w:tc>
          <w:tcPr>
            <w:tcW w:w="1710" w:type="pct"/>
          </w:tcPr>
          <w:p>
            <w:pPr>
              <w:spacing w:line="240" w:lineRule="auto"/>
              <w:jc w:val="center"/>
              <w:rPr>
                <w:szCs w:val="22"/>
                <w:lang w:val="pl-PL"/>
              </w:rPr>
            </w:pPr>
            <w:r>
              <w:rPr>
                <w:color w:val="000000"/>
                <w:szCs w:val="22"/>
                <w:lang w:val="pl-PL"/>
              </w:rPr>
              <w:t>1,8</w:t>
            </w:r>
          </w:p>
        </w:tc>
      </w:tr>
      <w:tr>
        <w:trPr>
          <w:trHeight w:val="222"/>
        </w:trPr>
        <w:tc>
          <w:tcPr>
            <w:tcW w:w="638" w:type="pct"/>
          </w:tcPr>
          <w:p>
            <w:pPr>
              <w:spacing w:line="240" w:lineRule="auto"/>
              <w:rPr>
                <w:szCs w:val="22"/>
                <w:lang w:val="pl-PL"/>
              </w:rPr>
            </w:pPr>
            <w:r>
              <w:rPr>
                <w:color w:val="000000"/>
                <w:szCs w:val="22"/>
                <w:lang w:val="pl-PL"/>
              </w:rPr>
              <w:t>4</w:t>
            </w:r>
          </w:p>
        </w:tc>
        <w:tc>
          <w:tcPr>
            <w:tcW w:w="1058" w:type="pct"/>
          </w:tcPr>
          <w:p>
            <w:pPr>
              <w:spacing w:line="240" w:lineRule="auto"/>
              <w:jc w:val="center"/>
              <w:rPr>
                <w:szCs w:val="22"/>
                <w:lang w:val="pl-PL"/>
              </w:rPr>
            </w:pPr>
            <w:r>
              <w:rPr>
                <w:color w:val="000000"/>
                <w:szCs w:val="22"/>
                <w:lang w:val="pl-PL"/>
              </w:rPr>
              <w:t>60</w:t>
            </w:r>
          </w:p>
        </w:tc>
        <w:tc>
          <w:tcPr>
            <w:tcW w:w="1594" w:type="pct"/>
          </w:tcPr>
          <w:p>
            <w:pPr>
              <w:spacing w:line="240" w:lineRule="auto"/>
              <w:jc w:val="center"/>
              <w:rPr>
                <w:szCs w:val="22"/>
                <w:lang w:val="pl-PL"/>
              </w:rPr>
            </w:pPr>
            <w:r>
              <w:rPr>
                <w:color w:val="000000"/>
                <w:szCs w:val="22"/>
                <w:lang w:val="pl-PL"/>
              </w:rPr>
              <w:t>1</w:t>
            </w:r>
          </w:p>
        </w:tc>
        <w:tc>
          <w:tcPr>
            <w:tcW w:w="1710" w:type="pct"/>
          </w:tcPr>
          <w:p>
            <w:pPr>
              <w:spacing w:line="240" w:lineRule="auto"/>
              <w:jc w:val="center"/>
              <w:rPr>
                <w:szCs w:val="22"/>
                <w:lang w:val="pl-PL"/>
              </w:rPr>
            </w:pPr>
            <w:r>
              <w:rPr>
                <w:color w:val="000000"/>
                <w:szCs w:val="22"/>
                <w:lang w:val="pl-PL"/>
              </w:rPr>
              <w:t>2,4</w:t>
            </w:r>
          </w:p>
        </w:tc>
      </w:tr>
      <w:tr>
        <w:trPr>
          <w:trHeight w:val="206"/>
        </w:trPr>
        <w:tc>
          <w:tcPr>
            <w:tcW w:w="638" w:type="pct"/>
          </w:tcPr>
          <w:p>
            <w:pPr>
              <w:spacing w:line="240" w:lineRule="auto"/>
              <w:rPr>
                <w:szCs w:val="22"/>
                <w:lang w:val="pl-PL"/>
              </w:rPr>
            </w:pPr>
            <w:r>
              <w:rPr>
                <w:color w:val="000000"/>
                <w:szCs w:val="22"/>
                <w:lang w:val="pl-PL"/>
              </w:rPr>
              <w:t>5</w:t>
            </w:r>
          </w:p>
        </w:tc>
        <w:tc>
          <w:tcPr>
            <w:tcW w:w="1058" w:type="pct"/>
          </w:tcPr>
          <w:p>
            <w:pPr>
              <w:spacing w:line="240" w:lineRule="auto"/>
              <w:jc w:val="center"/>
              <w:rPr>
                <w:szCs w:val="22"/>
                <w:lang w:val="pl-PL"/>
              </w:rPr>
            </w:pPr>
            <w:r>
              <w:rPr>
                <w:color w:val="000000"/>
                <w:szCs w:val="22"/>
                <w:lang w:val="pl-PL"/>
              </w:rPr>
              <w:t>75</w:t>
            </w:r>
          </w:p>
        </w:tc>
        <w:tc>
          <w:tcPr>
            <w:tcW w:w="1594" w:type="pct"/>
          </w:tcPr>
          <w:p>
            <w:pPr>
              <w:spacing w:line="240" w:lineRule="auto"/>
              <w:jc w:val="center"/>
              <w:rPr>
                <w:szCs w:val="22"/>
                <w:lang w:val="pl-PL"/>
              </w:rPr>
            </w:pPr>
            <w:r>
              <w:rPr>
                <w:color w:val="000000"/>
                <w:szCs w:val="22"/>
                <w:lang w:val="pl-PL"/>
              </w:rPr>
              <w:t>1</w:t>
            </w:r>
          </w:p>
        </w:tc>
        <w:tc>
          <w:tcPr>
            <w:tcW w:w="1710" w:type="pct"/>
          </w:tcPr>
          <w:p>
            <w:pPr>
              <w:spacing w:line="240" w:lineRule="auto"/>
              <w:jc w:val="center"/>
              <w:rPr>
                <w:szCs w:val="22"/>
                <w:lang w:val="pl-PL"/>
              </w:rPr>
            </w:pPr>
            <w:r>
              <w:rPr>
                <w:color w:val="000000"/>
                <w:szCs w:val="22"/>
                <w:lang w:val="pl-PL"/>
              </w:rPr>
              <w:t>3</w:t>
            </w:r>
          </w:p>
        </w:tc>
      </w:tr>
      <w:tr>
        <w:trPr>
          <w:trHeight w:val="222"/>
        </w:trPr>
        <w:tc>
          <w:tcPr>
            <w:tcW w:w="638" w:type="pct"/>
          </w:tcPr>
          <w:p>
            <w:pPr>
              <w:spacing w:line="240" w:lineRule="auto"/>
              <w:rPr>
                <w:szCs w:val="22"/>
                <w:lang w:val="pl-PL"/>
              </w:rPr>
            </w:pPr>
            <w:r>
              <w:rPr>
                <w:color w:val="000000"/>
                <w:szCs w:val="22"/>
                <w:lang w:val="pl-PL"/>
              </w:rPr>
              <w:t>6</w:t>
            </w:r>
          </w:p>
        </w:tc>
        <w:tc>
          <w:tcPr>
            <w:tcW w:w="1058" w:type="pct"/>
          </w:tcPr>
          <w:p>
            <w:pPr>
              <w:spacing w:line="240" w:lineRule="auto"/>
              <w:jc w:val="center"/>
              <w:rPr>
                <w:szCs w:val="22"/>
                <w:lang w:val="pl-PL"/>
              </w:rPr>
            </w:pPr>
            <w:r>
              <w:rPr>
                <w:color w:val="000000"/>
                <w:szCs w:val="22"/>
                <w:lang w:val="pl-PL"/>
              </w:rPr>
              <w:t>90</w:t>
            </w:r>
          </w:p>
        </w:tc>
        <w:tc>
          <w:tcPr>
            <w:tcW w:w="1594" w:type="pct"/>
          </w:tcPr>
          <w:p>
            <w:pPr>
              <w:spacing w:line="240" w:lineRule="auto"/>
              <w:jc w:val="center"/>
              <w:rPr>
                <w:szCs w:val="22"/>
                <w:lang w:val="pl-PL"/>
              </w:rPr>
            </w:pPr>
            <w:r>
              <w:rPr>
                <w:color w:val="000000"/>
                <w:szCs w:val="22"/>
                <w:lang w:val="pl-PL"/>
              </w:rPr>
              <w:t>1</w:t>
            </w:r>
          </w:p>
        </w:tc>
        <w:tc>
          <w:tcPr>
            <w:tcW w:w="1710" w:type="pct"/>
          </w:tcPr>
          <w:p>
            <w:pPr>
              <w:spacing w:line="240" w:lineRule="auto"/>
              <w:jc w:val="center"/>
              <w:rPr>
                <w:szCs w:val="22"/>
                <w:lang w:val="pl-PL"/>
              </w:rPr>
            </w:pPr>
            <w:r>
              <w:rPr>
                <w:color w:val="000000"/>
                <w:szCs w:val="22"/>
                <w:lang w:val="pl-PL"/>
              </w:rPr>
              <w:t>3,6</w:t>
            </w:r>
          </w:p>
        </w:tc>
      </w:tr>
      <w:tr>
        <w:trPr>
          <w:trHeight w:val="206"/>
        </w:trPr>
        <w:tc>
          <w:tcPr>
            <w:tcW w:w="638" w:type="pct"/>
          </w:tcPr>
          <w:p>
            <w:pPr>
              <w:spacing w:line="240" w:lineRule="auto"/>
              <w:rPr>
                <w:color w:val="000000"/>
                <w:szCs w:val="22"/>
                <w:lang w:val="pl-PL"/>
              </w:rPr>
            </w:pPr>
            <w:r>
              <w:rPr>
                <w:color w:val="000000"/>
                <w:szCs w:val="22"/>
                <w:lang w:val="pl-PL"/>
              </w:rPr>
              <w:t>7</w:t>
            </w:r>
          </w:p>
        </w:tc>
        <w:tc>
          <w:tcPr>
            <w:tcW w:w="1058" w:type="pct"/>
          </w:tcPr>
          <w:p>
            <w:pPr>
              <w:spacing w:line="240" w:lineRule="auto"/>
              <w:jc w:val="center"/>
              <w:rPr>
                <w:color w:val="000000"/>
                <w:szCs w:val="22"/>
                <w:lang w:val="pl-PL"/>
              </w:rPr>
            </w:pPr>
            <w:r>
              <w:rPr>
                <w:color w:val="000000"/>
                <w:szCs w:val="22"/>
                <w:lang w:val="pl-PL"/>
              </w:rPr>
              <w:t>105</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4,2</w:t>
            </w:r>
          </w:p>
        </w:tc>
      </w:tr>
      <w:tr>
        <w:trPr>
          <w:trHeight w:val="222"/>
        </w:trPr>
        <w:tc>
          <w:tcPr>
            <w:tcW w:w="638" w:type="pct"/>
          </w:tcPr>
          <w:p>
            <w:pPr>
              <w:spacing w:line="240" w:lineRule="auto"/>
              <w:rPr>
                <w:color w:val="000000"/>
                <w:szCs w:val="22"/>
                <w:lang w:val="pl-PL"/>
              </w:rPr>
            </w:pPr>
            <w:r>
              <w:rPr>
                <w:color w:val="000000"/>
                <w:szCs w:val="22"/>
                <w:lang w:val="pl-PL"/>
              </w:rPr>
              <w:t>8</w:t>
            </w:r>
          </w:p>
        </w:tc>
        <w:tc>
          <w:tcPr>
            <w:tcW w:w="1058" w:type="pct"/>
          </w:tcPr>
          <w:p>
            <w:pPr>
              <w:spacing w:line="240" w:lineRule="auto"/>
              <w:jc w:val="center"/>
              <w:rPr>
                <w:color w:val="000000"/>
                <w:szCs w:val="22"/>
                <w:lang w:val="pl-PL"/>
              </w:rPr>
            </w:pPr>
            <w:r>
              <w:rPr>
                <w:color w:val="000000"/>
                <w:szCs w:val="22"/>
                <w:lang w:val="pl-PL"/>
              </w:rPr>
              <w:t>120</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4,8</w:t>
            </w:r>
          </w:p>
        </w:tc>
      </w:tr>
      <w:tr>
        <w:trPr>
          <w:trHeight w:val="206"/>
        </w:trPr>
        <w:tc>
          <w:tcPr>
            <w:tcW w:w="638" w:type="pct"/>
          </w:tcPr>
          <w:p>
            <w:pPr>
              <w:spacing w:line="240" w:lineRule="auto"/>
              <w:rPr>
                <w:color w:val="000000"/>
                <w:szCs w:val="22"/>
                <w:lang w:val="pl-PL"/>
              </w:rPr>
            </w:pPr>
            <w:r>
              <w:rPr>
                <w:color w:val="000000"/>
                <w:szCs w:val="22"/>
                <w:lang w:val="pl-PL"/>
              </w:rPr>
              <w:t>9</w:t>
            </w:r>
          </w:p>
        </w:tc>
        <w:tc>
          <w:tcPr>
            <w:tcW w:w="1058" w:type="pct"/>
          </w:tcPr>
          <w:p>
            <w:pPr>
              <w:spacing w:line="240" w:lineRule="auto"/>
              <w:jc w:val="center"/>
              <w:rPr>
                <w:color w:val="000000"/>
                <w:szCs w:val="22"/>
                <w:lang w:val="pl-PL"/>
              </w:rPr>
            </w:pPr>
            <w:r>
              <w:rPr>
                <w:color w:val="000000"/>
                <w:szCs w:val="22"/>
                <w:lang w:val="pl-PL"/>
              </w:rPr>
              <w:t>135</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5,4</w:t>
            </w:r>
          </w:p>
        </w:tc>
      </w:tr>
      <w:tr>
        <w:trPr>
          <w:trHeight w:val="222"/>
        </w:trPr>
        <w:tc>
          <w:tcPr>
            <w:tcW w:w="638" w:type="pct"/>
          </w:tcPr>
          <w:p>
            <w:pPr>
              <w:spacing w:line="240" w:lineRule="auto"/>
              <w:rPr>
                <w:color w:val="000000"/>
                <w:szCs w:val="22"/>
                <w:lang w:val="pl-PL"/>
              </w:rPr>
            </w:pPr>
            <w:r>
              <w:rPr>
                <w:color w:val="000000"/>
                <w:szCs w:val="22"/>
                <w:lang w:val="pl-PL"/>
              </w:rPr>
              <w:t>10</w:t>
            </w:r>
          </w:p>
        </w:tc>
        <w:tc>
          <w:tcPr>
            <w:tcW w:w="1058" w:type="pct"/>
          </w:tcPr>
          <w:p>
            <w:pPr>
              <w:spacing w:line="240" w:lineRule="auto"/>
              <w:jc w:val="center"/>
              <w:rPr>
                <w:color w:val="000000"/>
                <w:szCs w:val="22"/>
                <w:lang w:val="pl-PL"/>
              </w:rPr>
            </w:pPr>
            <w:r>
              <w:rPr>
                <w:color w:val="000000"/>
                <w:szCs w:val="22"/>
                <w:lang w:val="pl-PL"/>
              </w:rPr>
              <w:t>150</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6</w:t>
            </w:r>
          </w:p>
        </w:tc>
      </w:tr>
      <w:tr>
        <w:trPr>
          <w:trHeight w:val="206"/>
        </w:trPr>
        <w:tc>
          <w:tcPr>
            <w:tcW w:w="638" w:type="pct"/>
          </w:tcPr>
          <w:p>
            <w:pPr>
              <w:spacing w:line="240" w:lineRule="auto"/>
              <w:rPr>
                <w:color w:val="000000"/>
                <w:szCs w:val="22"/>
                <w:lang w:val="pl-PL"/>
              </w:rPr>
            </w:pPr>
            <w:r>
              <w:rPr>
                <w:color w:val="000000"/>
                <w:szCs w:val="22"/>
                <w:lang w:val="pl-PL"/>
              </w:rPr>
              <w:lastRenderedPageBreak/>
              <w:t>11</w:t>
            </w:r>
          </w:p>
        </w:tc>
        <w:tc>
          <w:tcPr>
            <w:tcW w:w="1058" w:type="pct"/>
          </w:tcPr>
          <w:p>
            <w:pPr>
              <w:spacing w:line="240" w:lineRule="auto"/>
              <w:jc w:val="center"/>
              <w:rPr>
                <w:color w:val="000000"/>
                <w:szCs w:val="22"/>
                <w:lang w:val="pl-PL"/>
              </w:rPr>
            </w:pPr>
            <w:r>
              <w:rPr>
                <w:color w:val="000000"/>
                <w:szCs w:val="22"/>
                <w:lang w:val="pl-PL"/>
              </w:rPr>
              <w:t>165</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6,6</w:t>
            </w:r>
          </w:p>
        </w:tc>
      </w:tr>
      <w:tr>
        <w:trPr>
          <w:trHeight w:val="222"/>
        </w:trPr>
        <w:tc>
          <w:tcPr>
            <w:tcW w:w="638" w:type="pct"/>
          </w:tcPr>
          <w:p>
            <w:pPr>
              <w:spacing w:line="240" w:lineRule="auto"/>
              <w:rPr>
                <w:color w:val="000000"/>
                <w:szCs w:val="22"/>
                <w:lang w:val="pl-PL"/>
              </w:rPr>
            </w:pPr>
            <w:r>
              <w:rPr>
                <w:color w:val="000000"/>
                <w:szCs w:val="22"/>
                <w:lang w:val="pl-PL"/>
              </w:rPr>
              <w:t>12</w:t>
            </w:r>
          </w:p>
        </w:tc>
        <w:tc>
          <w:tcPr>
            <w:tcW w:w="1058" w:type="pct"/>
          </w:tcPr>
          <w:p>
            <w:pPr>
              <w:spacing w:line="240" w:lineRule="auto"/>
              <w:jc w:val="center"/>
              <w:rPr>
                <w:color w:val="000000"/>
                <w:szCs w:val="22"/>
                <w:lang w:val="pl-PL"/>
              </w:rPr>
            </w:pPr>
            <w:r>
              <w:rPr>
                <w:color w:val="000000"/>
                <w:szCs w:val="22"/>
                <w:lang w:val="pl-PL"/>
              </w:rPr>
              <w:t>180</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7,2</w:t>
            </w:r>
          </w:p>
        </w:tc>
      </w:tr>
      <w:tr>
        <w:trPr>
          <w:trHeight w:val="206"/>
        </w:trPr>
        <w:tc>
          <w:tcPr>
            <w:tcW w:w="638" w:type="pct"/>
          </w:tcPr>
          <w:p>
            <w:pPr>
              <w:spacing w:line="240" w:lineRule="auto"/>
              <w:rPr>
                <w:color w:val="000000"/>
                <w:szCs w:val="22"/>
                <w:lang w:val="pl-PL"/>
              </w:rPr>
            </w:pPr>
            <w:r>
              <w:rPr>
                <w:color w:val="000000"/>
                <w:szCs w:val="22"/>
                <w:lang w:val="pl-PL"/>
              </w:rPr>
              <w:t>13</w:t>
            </w:r>
          </w:p>
        </w:tc>
        <w:tc>
          <w:tcPr>
            <w:tcW w:w="1058" w:type="pct"/>
          </w:tcPr>
          <w:p>
            <w:pPr>
              <w:spacing w:line="240" w:lineRule="auto"/>
              <w:jc w:val="center"/>
              <w:rPr>
                <w:color w:val="000000"/>
                <w:szCs w:val="22"/>
                <w:lang w:val="pl-PL"/>
              </w:rPr>
            </w:pPr>
            <w:r>
              <w:rPr>
                <w:color w:val="000000"/>
                <w:szCs w:val="22"/>
                <w:lang w:val="pl-PL"/>
              </w:rPr>
              <w:t>195</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7,8</w:t>
            </w:r>
          </w:p>
        </w:tc>
      </w:tr>
      <w:tr>
        <w:trPr>
          <w:trHeight w:val="222"/>
        </w:trPr>
        <w:tc>
          <w:tcPr>
            <w:tcW w:w="638" w:type="pct"/>
          </w:tcPr>
          <w:p>
            <w:pPr>
              <w:spacing w:line="240" w:lineRule="auto"/>
              <w:rPr>
                <w:color w:val="000000"/>
                <w:szCs w:val="22"/>
                <w:lang w:val="pl-PL"/>
              </w:rPr>
            </w:pPr>
            <w:r>
              <w:rPr>
                <w:color w:val="000000"/>
                <w:szCs w:val="22"/>
                <w:lang w:val="pl-PL"/>
              </w:rPr>
              <w:t>14</w:t>
            </w:r>
          </w:p>
        </w:tc>
        <w:tc>
          <w:tcPr>
            <w:tcW w:w="1058" w:type="pct"/>
          </w:tcPr>
          <w:p>
            <w:pPr>
              <w:spacing w:line="240" w:lineRule="auto"/>
              <w:jc w:val="center"/>
              <w:rPr>
                <w:color w:val="000000"/>
                <w:szCs w:val="22"/>
                <w:lang w:val="pl-PL"/>
              </w:rPr>
            </w:pPr>
            <w:r>
              <w:rPr>
                <w:color w:val="000000"/>
                <w:szCs w:val="22"/>
                <w:lang w:val="pl-PL"/>
              </w:rPr>
              <w:t>210</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8,4</w:t>
            </w:r>
          </w:p>
        </w:tc>
      </w:tr>
      <w:tr>
        <w:trPr>
          <w:trHeight w:val="206"/>
        </w:trPr>
        <w:tc>
          <w:tcPr>
            <w:tcW w:w="638" w:type="pct"/>
          </w:tcPr>
          <w:p>
            <w:pPr>
              <w:spacing w:line="240" w:lineRule="auto"/>
              <w:rPr>
                <w:color w:val="000000"/>
                <w:szCs w:val="22"/>
                <w:lang w:val="pl-PL"/>
              </w:rPr>
            </w:pPr>
            <w:r>
              <w:rPr>
                <w:color w:val="000000"/>
                <w:szCs w:val="22"/>
                <w:lang w:val="pl-PL"/>
              </w:rPr>
              <w:t>15</w:t>
            </w:r>
          </w:p>
        </w:tc>
        <w:tc>
          <w:tcPr>
            <w:tcW w:w="1058" w:type="pct"/>
          </w:tcPr>
          <w:p>
            <w:pPr>
              <w:spacing w:line="240" w:lineRule="auto"/>
              <w:jc w:val="center"/>
              <w:rPr>
                <w:color w:val="000000"/>
                <w:szCs w:val="22"/>
                <w:lang w:val="pl-PL"/>
              </w:rPr>
            </w:pPr>
            <w:r>
              <w:rPr>
                <w:color w:val="000000"/>
                <w:szCs w:val="22"/>
                <w:lang w:val="pl-PL"/>
              </w:rPr>
              <w:t>225</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9</w:t>
            </w:r>
          </w:p>
        </w:tc>
      </w:tr>
      <w:tr>
        <w:trPr>
          <w:trHeight w:val="206"/>
        </w:trPr>
        <w:tc>
          <w:tcPr>
            <w:tcW w:w="638" w:type="pct"/>
          </w:tcPr>
          <w:p>
            <w:pPr>
              <w:spacing w:line="240" w:lineRule="auto"/>
              <w:rPr>
                <w:color w:val="000000"/>
                <w:szCs w:val="22"/>
                <w:lang w:val="pl-PL"/>
              </w:rPr>
            </w:pPr>
            <w:r>
              <w:rPr>
                <w:color w:val="000000"/>
                <w:szCs w:val="22"/>
                <w:lang w:val="pl-PL"/>
              </w:rPr>
              <w:t>16</w:t>
            </w:r>
          </w:p>
        </w:tc>
        <w:tc>
          <w:tcPr>
            <w:tcW w:w="1058" w:type="pct"/>
          </w:tcPr>
          <w:p>
            <w:pPr>
              <w:spacing w:line="240" w:lineRule="auto"/>
              <w:jc w:val="center"/>
              <w:rPr>
                <w:color w:val="000000"/>
                <w:szCs w:val="22"/>
                <w:lang w:val="pl-PL"/>
              </w:rPr>
            </w:pPr>
            <w:r>
              <w:rPr>
                <w:color w:val="000000"/>
                <w:szCs w:val="22"/>
                <w:lang w:val="pl-PL"/>
              </w:rPr>
              <w:t>240</w:t>
            </w:r>
          </w:p>
        </w:tc>
        <w:tc>
          <w:tcPr>
            <w:tcW w:w="1594" w:type="pct"/>
          </w:tcPr>
          <w:p>
            <w:pPr>
              <w:spacing w:line="240" w:lineRule="auto"/>
              <w:jc w:val="center"/>
              <w:rPr>
                <w:color w:val="000000"/>
                <w:szCs w:val="22"/>
                <w:lang w:val="pl-PL"/>
              </w:rPr>
            </w:pPr>
            <w:r>
              <w:rPr>
                <w:color w:val="000000"/>
                <w:szCs w:val="22"/>
                <w:lang w:val="pl-PL"/>
              </w:rPr>
              <w:t>1</w:t>
            </w:r>
          </w:p>
        </w:tc>
        <w:tc>
          <w:tcPr>
            <w:tcW w:w="1710" w:type="pct"/>
          </w:tcPr>
          <w:p>
            <w:pPr>
              <w:spacing w:line="240" w:lineRule="auto"/>
              <w:jc w:val="center"/>
              <w:rPr>
                <w:color w:val="000000"/>
                <w:szCs w:val="22"/>
                <w:lang w:val="pl-PL"/>
              </w:rPr>
            </w:pPr>
            <w:r>
              <w:rPr>
                <w:color w:val="000000"/>
                <w:szCs w:val="22"/>
                <w:lang w:val="pl-PL"/>
              </w:rPr>
              <w:t>9,6</w:t>
            </w:r>
          </w:p>
        </w:tc>
      </w:tr>
    </w:tbl>
    <w:p>
      <w:pPr>
        <w:tabs>
          <w:tab w:val="clear" w:pos="567"/>
        </w:tabs>
        <w:spacing w:line="240" w:lineRule="auto"/>
        <w:ind w:right="716"/>
        <w:rPr>
          <w:b/>
          <w:bCs/>
          <w:szCs w:val="22"/>
          <w:lang w:val="pl-PL"/>
        </w:rPr>
      </w:pPr>
    </w:p>
    <w:p>
      <w:pPr>
        <w:tabs>
          <w:tab w:val="clear" w:pos="567"/>
        </w:tabs>
        <w:spacing w:line="240" w:lineRule="auto"/>
        <w:ind w:right="716"/>
        <w:rPr>
          <w:b/>
          <w:bCs/>
          <w:szCs w:val="22"/>
          <w:lang w:val="pl-PL"/>
        </w:rPr>
      </w:pPr>
      <w:r>
        <w:rPr>
          <w:b/>
          <w:bCs/>
          <w:szCs w:val="22"/>
          <w:lang w:val="pl-PL"/>
        </w:rPr>
        <w:t>Tabela 4: Zalecana dawka produktu leczniczego Sephience proszek doustny w saszetce zależnie od masy ciała u dzieci w wieku od 12 miesięcy do poniżej 2 lat</w:t>
      </w:r>
    </w:p>
    <w:p>
      <w:pPr>
        <w:tabs>
          <w:tab w:val="clear" w:pos="567"/>
        </w:tabs>
        <w:spacing w:line="240" w:lineRule="auto"/>
        <w:ind w:right="716"/>
        <w:rPr>
          <w:lang w:val="pl-PL"/>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lang w:val="pl-PL"/>
              </w:rPr>
            </w:pPr>
            <w:r>
              <w:rPr>
                <w:b/>
                <w:bCs/>
                <w:szCs w:val="22"/>
                <w:lang w:val="pl-PL"/>
              </w:rPr>
              <w:t>Dawka</w:t>
            </w:r>
          </w:p>
        </w:tc>
        <w:tc>
          <w:tcPr>
            <w:tcW w:w="4305" w:type="pct"/>
            <w:gridSpan w:val="3"/>
          </w:tcPr>
          <w:p>
            <w:pPr>
              <w:spacing w:line="240" w:lineRule="auto"/>
              <w:jc w:val="center"/>
              <w:rPr>
                <w:b/>
                <w:szCs w:val="22"/>
                <w:lang w:val="pl-PL"/>
              </w:rPr>
            </w:pPr>
            <w:r>
              <w:rPr>
                <w:b/>
                <w:bCs/>
                <w:color w:val="000000"/>
                <w:szCs w:val="22"/>
                <w:lang w:val="pl-PL"/>
              </w:rPr>
              <w:t>30 mg/kg mc./dobę</w:t>
            </w:r>
          </w:p>
        </w:tc>
      </w:tr>
      <w:tr>
        <w:trPr>
          <w:trHeight w:val="166"/>
          <w:tblHeader/>
        </w:trPr>
        <w:tc>
          <w:tcPr>
            <w:tcW w:w="695" w:type="pct"/>
          </w:tcPr>
          <w:p>
            <w:pPr>
              <w:spacing w:line="240" w:lineRule="auto"/>
              <w:rPr>
                <w:rFonts w:eastAsia="Arial"/>
                <w:b/>
                <w:bCs/>
                <w:color w:val="000000"/>
                <w:szCs w:val="22"/>
                <w:lang w:val="pl-PL"/>
              </w:rPr>
            </w:pPr>
            <w:r>
              <w:rPr>
                <w:rFonts w:eastAsia="Arial"/>
                <w:b/>
                <w:bCs/>
                <w:color w:val="000000"/>
                <w:szCs w:val="22"/>
                <w:lang w:val="pl-PL"/>
              </w:rPr>
              <w:t>Wiek</w:t>
            </w:r>
          </w:p>
        </w:tc>
        <w:tc>
          <w:tcPr>
            <w:tcW w:w="4305" w:type="pct"/>
            <w:gridSpan w:val="3"/>
          </w:tcPr>
          <w:p>
            <w:pPr>
              <w:spacing w:line="240" w:lineRule="auto"/>
              <w:jc w:val="center"/>
              <w:rPr>
                <w:rFonts w:eastAsia="Arial"/>
                <w:b/>
                <w:bCs/>
                <w:color w:val="000000"/>
                <w:szCs w:val="22"/>
                <w:lang w:val="pl-PL"/>
              </w:rPr>
            </w:pPr>
            <w:r>
              <w:rPr>
                <w:b/>
                <w:bCs/>
                <w:color w:val="000000"/>
                <w:szCs w:val="22"/>
                <w:lang w:val="pl-PL"/>
              </w:rPr>
              <w:t>12 miesięcy do &lt; 2 lat</w:t>
            </w:r>
          </w:p>
        </w:tc>
      </w:tr>
      <w:tr>
        <w:trPr>
          <w:trHeight w:val="712"/>
          <w:tblHeader/>
        </w:trPr>
        <w:tc>
          <w:tcPr>
            <w:tcW w:w="695" w:type="pct"/>
          </w:tcPr>
          <w:p>
            <w:pPr>
              <w:spacing w:line="240" w:lineRule="auto"/>
              <w:rPr>
                <w:szCs w:val="22"/>
                <w:lang w:val="pl-PL"/>
              </w:rPr>
            </w:pPr>
            <w:r>
              <w:rPr>
                <w:b/>
                <w:bCs/>
                <w:color w:val="000000"/>
                <w:szCs w:val="22"/>
                <w:lang w:val="pl-PL"/>
              </w:rPr>
              <w:t xml:space="preserve">Masa ciała (kg) </w:t>
            </w:r>
          </w:p>
        </w:tc>
        <w:tc>
          <w:tcPr>
            <w:tcW w:w="1040" w:type="pct"/>
          </w:tcPr>
          <w:p>
            <w:pPr>
              <w:spacing w:line="240" w:lineRule="auto"/>
              <w:jc w:val="center"/>
              <w:rPr>
                <w:szCs w:val="22"/>
                <w:lang w:val="pl-PL"/>
              </w:rPr>
            </w:pPr>
            <w:r>
              <w:rPr>
                <w:b/>
                <w:bCs/>
                <w:color w:val="000000"/>
                <w:szCs w:val="22"/>
                <w:lang w:val="pl-PL"/>
              </w:rPr>
              <w:t>Całkowita dawka (mg)</w:t>
            </w:r>
          </w:p>
        </w:tc>
        <w:tc>
          <w:tcPr>
            <w:tcW w:w="1572" w:type="pct"/>
          </w:tcPr>
          <w:p>
            <w:pPr>
              <w:spacing w:line="240" w:lineRule="auto"/>
              <w:jc w:val="center"/>
              <w:rPr>
                <w:szCs w:val="22"/>
                <w:lang w:val="pl-PL"/>
              </w:rPr>
            </w:pPr>
            <w:r>
              <w:rPr>
                <w:b/>
                <w:bCs/>
                <w:color w:val="000000"/>
                <w:szCs w:val="22"/>
                <w:lang w:val="pl-PL"/>
              </w:rPr>
              <w:t>Liczba saszetek (250 mg)</w:t>
            </w:r>
          </w:p>
        </w:tc>
        <w:tc>
          <w:tcPr>
            <w:tcW w:w="1693" w:type="pct"/>
          </w:tcPr>
          <w:p>
            <w:pPr>
              <w:spacing w:line="240" w:lineRule="auto"/>
              <w:jc w:val="center"/>
              <w:rPr>
                <w:szCs w:val="22"/>
                <w:lang w:val="pl-PL"/>
              </w:rPr>
            </w:pPr>
            <w:r>
              <w:rPr>
                <w:b/>
                <w:bCs/>
                <w:color w:val="000000"/>
                <w:szCs w:val="22"/>
                <w:lang w:val="pl-PL"/>
              </w:rPr>
              <w:t>Objętość do podania (ml) (25 mg/ml)</w:t>
            </w:r>
          </w:p>
        </w:tc>
      </w:tr>
      <w:tr>
        <w:trPr>
          <w:trHeight w:val="243"/>
        </w:trPr>
        <w:tc>
          <w:tcPr>
            <w:tcW w:w="695" w:type="pct"/>
          </w:tcPr>
          <w:p>
            <w:pPr>
              <w:spacing w:line="240" w:lineRule="auto"/>
              <w:rPr>
                <w:szCs w:val="22"/>
                <w:lang w:val="pl-PL"/>
              </w:rPr>
            </w:pPr>
            <w:r>
              <w:rPr>
                <w:color w:val="000000"/>
                <w:szCs w:val="22"/>
                <w:lang w:val="pl-PL"/>
              </w:rPr>
              <w:t>2</w:t>
            </w:r>
          </w:p>
        </w:tc>
        <w:tc>
          <w:tcPr>
            <w:tcW w:w="1040" w:type="pct"/>
          </w:tcPr>
          <w:p>
            <w:pPr>
              <w:spacing w:line="240" w:lineRule="auto"/>
              <w:jc w:val="center"/>
              <w:rPr>
                <w:szCs w:val="22"/>
                <w:lang w:val="pl-PL"/>
              </w:rPr>
            </w:pPr>
            <w:r>
              <w:rPr>
                <w:color w:val="000000"/>
                <w:szCs w:val="22"/>
                <w:lang w:val="pl-PL"/>
              </w:rPr>
              <w:t>60</w:t>
            </w:r>
          </w:p>
        </w:tc>
        <w:tc>
          <w:tcPr>
            <w:tcW w:w="1572" w:type="pct"/>
          </w:tcPr>
          <w:p>
            <w:pPr>
              <w:spacing w:line="240" w:lineRule="auto"/>
              <w:jc w:val="center"/>
              <w:rPr>
                <w:szCs w:val="22"/>
                <w:lang w:val="pl-PL"/>
              </w:rPr>
            </w:pPr>
            <w:r>
              <w:rPr>
                <w:color w:val="000000"/>
                <w:szCs w:val="22"/>
                <w:lang w:val="pl-PL"/>
              </w:rPr>
              <w:t>1</w:t>
            </w:r>
          </w:p>
        </w:tc>
        <w:tc>
          <w:tcPr>
            <w:tcW w:w="1693" w:type="pct"/>
          </w:tcPr>
          <w:p>
            <w:pPr>
              <w:spacing w:line="240" w:lineRule="auto"/>
              <w:jc w:val="center"/>
              <w:rPr>
                <w:szCs w:val="22"/>
                <w:lang w:val="pl-PL"/>
              </w:rPr>
            </w:pPr>
            <w:r>
              <w:rPr>
                <w:color w:val="000000"/>
                <w:szCs w:val="22"/>
                <w:lang w:val="pl-PL"/>
              </w:rPr>
              <w:t>2,4</w:t>
            </w:r>
          </w:p>
        </w:tc>
      </w:tr>
      <w:tr>
        <w:trPr>
          <w:trHeight w:val="225"/>
        </w:trPr>
        <w:tc>
          <w:tcPr>
            <w:tcW w:w="695" w:type="pct"/>
          </w:tcPr>
          <w:p>
            <w:pPr>
              <w:spacing w:line="240" w:lineRule="auto"/>
              <w:rPr>
                <w:szCs w:val="22"/>
                <w:lang w:val="pl-PL"/>
              </w:rPr>
            </w:pPr>
            <w:r>
              <w:rPr>
                <w:color w:val="000000"/>
                <w:szCs w:val="22"/>
                <w:lang w:val="pl-PL"/>
              </w:rPr>
              <w:t>3</w:t>
            </w:r>
          </w:p>
        </w:tc>
        <w:tc>
          <w:tcPr>
            <w:tcW w:w="1040" w:type="pct"/>
          </w:tcPr>
          <w:p>
            <w:pPr>
              <w:spacing w:line="240" w:lineRule="auto"/>
              <w:jc w:val="center"/>
              <w:rPr>
                <w:szCs w:val="22"/>
                <w:lang w:val="pl-PL"/>
              </w:rPr>
            </w:pPr>
            <w:r>
              <w:rPr>
                <w:color w:val="000000"/>
                <w:szCs w:val="22"/>
                <w:lang w:val="pl-PL"/>
              </w:rPr>
              <w:t>90</w:t>
            </w:r>
          </w:p>
        </w:tc>
        <w:tc>
          <w:tcPr>
            <w:tcW w:w="1572" w:type="pct"/>
          </w:tcPr>
          <w:p>
            <w:pPr>
              <w:spacing w:line="240" w:lineRule="auto"/>
              <w:jc w:val="center"/>
              <w:rPr>
                <w:szCs w:val="22"/>
                <w:lang w:val="pl-PL"/>
              </w:rPr>
            </w:pPr>
            <w:r>
              <w:rPr>
                <w:color w:val="000000"/>
                <w:szCs w:val="22"/>
                <w:lang w:val="pl-PL"/>
              </w:rPr>
              <w:t>1</w:t>
            </w:r>
          </w:p>
        </w:tc>
        <w:tc>
          <w:tcPr>
            <w:tcW w:w="1693" w:type="pct"/>
          </w:tcPr>
          <w:p>
            <w:pPr>
              <w:spacing w:line="240" w:lineRule="auto"/>
              <w:jc w:val="center"/>
              <w:rPr>
                <w:szCs w:val="22"/>
                <w:lang w:val="pl-PL"/>
              </w:rPr>
            </w:pPr>
            <w:r>
              <w:rPr>
                <w:color w:val="000000"/>
                <w:szCs w:val="22"/>
                <w:lang w:val="pl-PL"/>
              </w:rPr>
              <w:t>3,6</w:t>
            </w:r>
          </w:p>
        </w:tc>
      </w:tr>
      <w:tr>
        <w:trPr>
          <w:trHeight w:val="243"/>
        </w:trPr>
        <w:tc>
          <w:tcPr>
            <w:tcW w:w="695" w:type="pct"/>
          </w:tcPr>
          <w:p>
            <w:pPr>
              <w:spacing w:line="240" w:lineRule="auto"/>
              <w:rPr>
                <w:szCs w:val="22"/>
                <w:lang w:val="pl-PL"/>
              </w:rPr>
            </w:pPr>
            <w:r>
              <w:rPr>
                <w:color w:val="000000"/>
                <w:szCs w:val="22"/>
                <w:lang w:val="pl-PL"/>
              </w:rPr>
              <w:t>4</w:t>
            </w:r>
          </w:p>
        </w:tc>
        <w:tc>
          <w:tcPr>
            <w:tcW w:w="1040" w:type="pct"/>
          </w:tcPr>
          <w:p>
            <w:pPr>
              <w:spacing w:line="240" w:lineRule="auto"/>
              <w:jc w:val="center"/>
              <w:rPr>
                <w:szCs w:val="22"/>
                <w:lang w:val="pl-PL"/>
              </w:rPr>
            </w:pPr>
            <w:r>
              <w:rPr>
                <w:color w:val="000000"/>
                <w:szCs w:val="22"/>
                <w:lang w:val="pl-PL"/>
              </w:rPr>
              <w:t>120</w:t>
            </w:r>
          </w:p>
        </w:tc>
        <w:tc>
          <w:tcPr>
            <w:tcW w:w="1572" w:type="pct"/>
          </w:tcPr>
          <w:p>
            <w:pPr>
              <w:spacing w:line="240" w:lineRule="auto"/>
              <w:jc w:val="center"/>
              <w:rPr>
                <w:szCs w:val="22"/>
                <w:lang w:val="pl-PL"/>
              </w:rPr>
            </w:pPr>
            <w:r>
              <w:rPr>
                <w:color w:val="000000"/>
                <w:szCs w:val="22"/>
                <w:lang w:val="pl-PL"/>
              </w:rPr>
              <w:t>1</w:t>
            </w:r>
          </w:p>
        </w:tc>
        <w:tc>
          <w:tcPr>
            <w:tcW w:w="1693" w:type="pct"/>
          </w:tcPr>
          <w:p>
            <w:pPr>
              <w:spacing w:line="240" w:lineRule="auto"/>
              <w:jc w:val="center"/>
              <w:rPr>
                <w:szCs w:val="22"/>
                <w:lang w:val="pl-PL"/>
              </w:rPr>
            </w:pPr>
            <w:r>
              <w:rPr>
                <w:color w:val="000000"/>
                <w:szCs w:val="22"/>
                <w:lang w:val="pl-PL"/>
              </w:rPr>
              <w:t>4,8</w:t>
            </w:r>
          </w:p>
        </w:tc>
      </w:tr>
      <w:tr>
        <w:trPr>
          <w:trHeight w:val="225"/>
        </w:trPr>
        <w:tc>
          <w:tcPr>
            <w:tcW w:w="695" w:type="pct"/>
          </w:tcPr>
          <w:p>
            <w:pPr>
              <w:spacing w:line="240" w:lineRule="auto"/>
              <w:rPr>
                <w:szCs w:val="22"/>
                <w:lang w:val="pl-PL"/>
              </w:rPr>
            </w:pPr>
            <w:r>
              <w:rPr>
                <w:color w:val="000000"/>
                <w:szCs w:val="22"/>
                <w:lang w:val="pl-PL"/>
              </w:rPr>
              <w:t>5</w:t>
            </w:r>
          </w:p>
        </w:tc>
        <w:tc>
          <w:tcPr>
            <w:tcW w:w="1040" w:type="pct"/>
          </w:tcPr>
          <w:p>
            <w:pPr>
              <w:spacing w:line="240" w:lineRule="auto"/>
              <w:jc w:val="center"/>
              <w:rPr>
                <w:szCs w:val="22"/>
                <w:lang w:val="pl-PL"/>
              </w:rPr>
            </w:pPr>
            <w:r>
              <w:rPr>
                <w:color w:val="000000"/>
                <w:szCs w:val="22"/>
                <w:lang w:val="pl-PL"/>
              </w:rPr>
              <w:t>150</w:t>
            </w:r>
          </w:p>
        </w:tc>
        <w:tc>
          <w:tcPr>
            <w:tcW w:w="1572" w:type="pct"/>
          </w:tcPr>
          <w:p>
            <w:pPr>
              <w:spacing w:line="240" w:lineRule="auto"/>
              <w:jc w:val="center"/>
              <w:rPr>
                <w:szCs w:val="22"/>
                <w:lang w:val="pl-PL"/>
              </w:rPr>
            </w:pPr>
            <w:r>
              <w:rPr>
                <w:color w:val="000000"/>
                <w:szCs w:val="22"/>
                <w:lang w:val="pl-PL"/>
              </w:rPr>
              <w:t>1</w:t>
            </w:r>
          </w:p>
        </w:tc>
        <w:tc>
          <w:tcPr>
            <w:tcW w:w="1693" w:type="pct"/>
          </w:tcPr>
          <w:p>
            <w:pPr>
              <w:spacing w:line="240" w:lineRule="auto"/>
              <w:jc w:val="center"/>
              <w:rPr>
                <w:szCs w:val="22"/>
                <w:lang w:val="pl-PL"/>
              </w:rPr>
            </w:pPr>
            <w:r>
              <w:rPr>
                <w:color w:val="000000"/>
                <w:szCs w:val="22"/>
                <w:lang w:val="pl-PL"/>
              </w:rPr>
              <w:t>6</w:t>
            </w:r>
          </w:p>
        </w:tc>
      </w:tr>
      <w:tr>
        <w:trPr>
          <w:trHeight w:val="243"/>
        </w:trPr>
        <w:tc>
          <w:tcPr>
            <w:tcW w:w="695" w:type="pct"/>
          </w:tcPr>
          <w:p>
            <w:pPr>
              <w:spacing w:line="240" w:lineRule="auto"/>
              <w:rPr>
                <w:szCs w:val="22"/>
                <w:lang w:val="pl-PL"/>
              </w:rPr>
            </w:pPr>
            <w:r>
              <w:rPr>
                <w:color w:val="000000"/>
                <w:szCs w:val="22"/>
                <w:lang w:val="pl-PL"/>
              </w:rPr>
              <w:t>6</w:t>
            </w:r>
          </w:p>
        </w:tc>
        <w:tc>
          <w:tcPr>
            <w:tcW w:w="1040" w:type="pct"/>
          </w:tcPr>
          <w:p>
            <w:pPr>
              <w:spacing w:line="240" w:lineRule="auto"/>
              <w:jc w:val="center"/>
              <w:rPr>
                <w:szCs w:val="22"/>
                <w:lang w:val="pl-PL"/>
              </w:rPr>
            </w:pPr>
            <w:r>
              <w:rPr>
                <w:color w:val="000000"/>
                <w:szCs w:val="22"/>
                <w:lang w:val="pl-PL"/>
              </w:rPr>
              <w:t>180</w:t>
            </w:r>
          </w:p>
        </w:tc>
        <w:tc>
          <w:tcPr>
            <w:tcW w:w="1572" w:type="pct"/>
          </w:tcPr>
          <w:p>
            <w:pPr>
              <w:spacing w:line="240" w:lineRule="auto"/>
              <w:jc w:val="center"/>
              <w:rPr>
                <w:szCs w:val="22"/>
                <w:lang w:val="pl-PL"/>
              </w:rPr>
            </w:pPr>
            <w:r>
              <w:rPr>
                <w:color w:val="000000"/>
                <w:szCs w:val="22"/>
                <w:lang w:val="pl-PL"/>
              </w:rPr>
              <w:t>1</w:t>
            </w:r>
          </w:p>
        </w:tc>
        <w:tc>
          <w:tcPr>
            <w:tcW w:w="1693" w:type="pct"/>
          </w:tcPr>
          <w:p>
            <w:pPr>
              <w:spacing w:line="240" w:lineRule="auto"/>
              <w:jc w:val="center"/>
              <w:rPr>
                <w:szCs w:val="22"/>
                <w:lang w:val="pl-PL"/>
              </w:rPr>
            </w:pPr>
            <w:r>
              <w:rPr>
                <w:color w:val="000000"/>
                <w:szCs w:val="22"/>
                <w:lang w:val="pl-PL"/>
              </w:rPr>
              <w:t>7,2</w:t>
            </w:r>
          </w:p>
        </w:tc>
      </w:tr>
      <w:tr>
        <w:trPr>
          <w:trHeight w:val="225"/>
        </w:trPr>
        <w:tc>
          <w:tcPr>
            <w:tcW w:w="695" w:type="pct"/>
          </w:tcPr>
          <w:p>
            <w:pPr>
              <w:spacing w:line="240" w:lineRule="auto"/>
              <w:rPr>
                <w:color w:val="000000"/>
                <w:szCs w:val="22"/>
                <w:lang w:val="pl-PL"/>
              </w:rPr>
            </w:pPr>
            <w:r>
              <w:rPr>
                <w:color w:val="000000"/>
                <w:szCs w:val="22"/>
                <w:lang w:val="pl-PL"/>
              </w:rPr>
              <w:t>7</w:t>
            </w:r>
          </w:p>
        </w:tc>
        <w:tc>
          <w:tcPr>
            <w:tcW w:w="1040" w:type="pct"/>
          </w:tcPr>
          <w:p>
            <w:pPr>
              <w:spacing w:line="240" w:lineRule="auto"/>
              <w:jc w:val="center"/>
              <w:rPr>
                <w:color w:val="000000"/>
                <w:szCs w:val="22"/>
                <w:lang w:val="pl-PL"/>
              </w:rPr>
            </w:pPr>
            <w:r>
              <w:rPr>
                <w:color w:val="000000"/>
                <w:szCs w:val="22"/>
                <w:lang w:val="pl-PL"/>
              </w:rPr>
              <w:t>210</w:t>
            </w:r>
          </w:p>
        </w:tc>
        <w:tc>
          <w:tcPr>
            <w:tcW w:w="1572" w:type="pct"/>
          </w:tcPr>
          <w:p>
            <w:pPr>
              <w:spacing w:line="240" w:lineRule="auto"/>
              <w:jc w:val="center"/>
              <w:rPr>
                <w:color w:val="000000"/>
                <w:szCs w:val="22"/>
                <w:lang w:val="pl-PL"/>
              </w:rPr>
            </w:pPr>
            <w:r>
              <w:rPr>
                <w:color w:val="000000"/>
                <w:szCs w:val="22"/>
                <w:lang w:val="pl-PL"/>
              </w:rPr>
              <w:t>1</w:t>
            </w:r>
          </w:p>
        </w:tc>
        <w:tc>
          <w:tcPr>
            <w:tcW w:w="1693" w:type="pct"/>
          </w:tcPr>
          <w:p>
            <w:pPr>
              <w:spacing w:line="240" w:lineRule="auto"/>
              <w:jc w:val="center"/>
              <w:rPr>
                <w:color w:val="000000"/>
                <w:szCs w:val="22"/>
                <w:lang w:val="pl-PL"/>
              </w:rPr>
            </w:pPr>
            <w:r>
              <w:rPr>
                <w:color w:val="000000"/>
                <w:szCs w:val="22"/>
                <w:lang w:val="pl-PL"/>
              </w:rPr>
              <w:t>8,4</w:t>
            </w:r>
          </w:p>
        </w:tc>
      </w:tr>
      <w:tr>
        <w:trPr>
          <w:trHeight w:val="243"/>
        </w:trPr>
        <w:tc>
          <w:tcPr>
            <w:tcW w:w="695" w:type="pct"/>
          </w:tcPr>
          <w:p>
            <w:pPr>
              <w:spacing w:line="240" w:lineRule="auto"/>
              <w:rPr>
                <w:color w:val="000000"/>
                <w:szCs w:val="22"/>
                <w:lang w:val="pl-PL"/>
              </w:rPr>
            </w:pPr>
            <w:r>
              <w:rPr>
                <w:color w:val="000000"/>
                <w:szCs w:val="22"/>
                <w:lang w:val="pl-PL"/>
              </w:rPr>
              <w:t>8</w:t>
            </w:r>
          </w:p>
        </w:tc>
        <w:tc>
          <w:tcPr>
            <w:tcW w:w="1040" w:type="pct"/>
          </w:tcPr>
          <w:p>
            <w:pPr>
              <w:spacing w:line="240" w:lineRule="auto"/>
              <w:jc w:val="center"/>
              <w:rPr>
                <w:color w:val="000000"/>
                <w:szCs w:val="22"/>
                <w:lang w:val="pl-PL"/>
              </w:rPr>
            </w:pPr>
            <w:r>
              <w:rPr>
                <w:color w:val="000000"/>
                <w:szCs w:val="22"/>
                <w:lang w:val="pl-PL"/>
              </w:rPr>
              <w:t>240</w:t>
            </w:r>
          </w:p>
        </w:tc>
        <w:tc>
          <w:tcPr>
            <w:tcW w:w="1572" w:type="pct"/>
          </w:tcPr>
          <w:p>
            <w:pPr>
              <w:spacing w:line="240" w:lineRule="auto"/>
              <w:jc w:val="center"/>
              <w:rPr>
                <w:color w:val="000000"/>
                <w:szCs w:val="22"/>
                <w:lang w:val="pl-PL"/>
              </w:rPr>
            </w:pPr>
            <w:r>
              <w:rPr>
                <w:color w:val="000000"/>
                <w:szCs w:val="22"/>
                <w:lang w:val="pl-PL"/>
              </w:rPr>
              <w:t>1</w:t>
            </w:r>
          </w:p>
        </w:tc>
        <w:tc>
          <w:tcPr>
            <w:tcW w:w="1693" w:type="pct"/>
          </w:tcPr>
          <w:p>
            <w:pPr>
              <w:spacing w:line="240" w:lineRule="auto"/>
              <w:jc w:val="center"/>
              <w:rPr>
                <w:color w:val="000000"/>
                <w:szCs w:val="22"/>
                <w:lang w:val="pl-PL"/>
              </w:rPr>
            </w:pPr>
            <w:r>
              <w:rPr>
                <w:color w:val="000000"/>
                <w:szCs w:val="22"/>
                <w:lang w:val="pl-PL"/>
              </w:rPr>
              <w:t>9,6</w:t>
            </w:r>
          </w:p>
        </w:tc>
      </w:tr>
      <w:tr>
        <w:trPr>
          <w:trHeight w:val="225"/>
        </w:trPr>
        <w:tc>
          <w:tcPr>
            <w:tcW w:w="695" w:type="pct"/>
          </w:tcPr>
          <w:p>
            <w:pPr>
              <w:spacing w:line="240" w:lineRule="auto"/>
              <w:rPr>
                <w:color w:val="000000"/>
                <w:szCs w:val="22"/>
                <w:lang w:val="pl-PL"/>
              </w:rPr>
            </w:pPr>
            <w:r>
              <w:rPr>
                <w:color w:val="000000"/>
                <w:szCs w:val="22"/>
                <w:lang w:val="pl-PL"/>
              </w:rPr>
              <w:t>9</w:t>
            </w:r>
          </w:p>
        </w:tc>
        <w:tc>
          <w:tcPr>
            <w:tcW w:w="1040" w:type="pct"/>
          </w:tcPr>
          <w:p>
            <w:pPr>
              <w:spacing w:line="240" w:lineRule="auto"/>
              <w:jc w:val="center"/>
              <w:rPr>
                <w:color w:val="000000"/>
                <w:szCs w:val="22"/>
                <w:lang w:val="pl-PL"/>
              </w:rPr>
            </w:pPr>
            <w:r>
              <w:rPr>
                <w:color w:val="000000"/>
                <w:szCs w:val="22"/>
                <w:lang w:val="pl-PL"/>
              </w:rPr>
              <w:t>270</w:t>
            </w:r>
          </w:p>
        </w:tc>
        <w:tc>
          <w:tcPr>
            <w:tcW w:w="1572" w:type="pct"/>
          </w:tcPr>
          <w:p>
            <w:pPr>
              <w:spacing w:line="240" w:lineRule="auto"/>
              <w:jc w:val="center"/>
              <w:rPr>
                <w:color w:val="000000"/>
                <w:szCs w:val="22"/>
                <w:lang w:val="pl-PL"/>
              </w:rPr>
            </w:pPr>
            <w:r>
              <w:rPr>
                <w:color w:val="000000"/>
                <w:szCs w:val="22"/>
                <w:lang w:val="pl-PL"/>
              </w:rPr>
              <w:t>2</w:t>
            </w:r>
          </w:p>
        </w:tc>
        <w:tc>
          <w:tcPr>
            <w:tcW w:w="1693" w:type="pct"/>
          </w:tcPr>
          <w:p>
            <w:pPr>
              <w:spacing w:line="240" w:lineRule="auto"/>
              <w:jc w:val="center"/>
              <w:rPr>
                <w:color w:val="000000"/>
                <w:szCs w:val="22"/>
                <w:lang w:val="pl-PL"/>
              </w:rPr>
            </w:pPr>
            <w:r>
              <w:rPr>
                <w:color w:val="000000"/>
                <w:szCs w:val="22"/>
                <w:lang w:val="pl-PL"/>
              </w:rPr>
              <w:t>10,8</w:t>
            </w:r>
          </w:p>
        </w:tc>
      </w:tr>
      <w:tr>
        <w:trPr>
          <w:trHeight w:val="243"/>
        </w:trPr>
        <w:tc>
          <w:tcPr>
            <w:tcW w:w="695" w:type="pct"/>
          </w:tcPr>
          <w:p>
            <w:pPr>
              <w:spacing w:line="240" w:lineRule="auto"/>
              <w:rPr>
                <w:color w:val="000000"/>
                <w:szCs w:val="22"/>
                <w:lang w:val="pl-PL"/>
              </w:rPr>
            </w:pPr>
            <w:r>
              <w:rPr>
                <w:color w:val="000000"/>
                <w:szCs w:val="22"/>
                <w:lang w:val="pl-PL"/>
              </w:rPr>
              <w:t>10</w:t>
            </w:r>
          </w:p>
        </w:tc>
        <w:tc>
          <w:tcPr>
            <w:tcW w:w="1040" w:type="pct"/>
          </w:tcPr>
          <w:p>
            <w:pPr>
              <w:spacing w:line="240" w:lineRule="auto"/>
              <w:jc w:val="center"/>
              <w:rPr>
                <w:color w:val="000000"/>
                <w:szCs w:val="22"/>
                <w:lang w:val="pl-PL"/>
              </w:rPr>
            </w:pPr>
            <w:r>
              <w:rPr>
                <w:color w:val="000000"/>
                <w:szCs w:val="22"/>
                <w:lang w:val="pl-PL"/>
              </w:rPr>
              <w:t>300</w:t>
            </w:r>
          </w:p>
        </w:tc>
        <w:tc>
          <w:tcPr>
            <w:tcW w:w="1572" w:type="pct"/>
          </w:tcPr>
          <w:p>
            <w:pPr>
              <w:spacing w:line="240" w:lineRule="auto"/>
              <w:jc w:val="center"/>
              <w:rPr>
                <w:color w:val="000000"/>
                <w:szCs w:val="22"/>
                <w:lang w:val="pl-PL"/>
              </w:rPr>
            </w:pPr>
            <w:r>
              <w:rPr>
                <w:color w:val="000000"/>
                <w:szCs w:val="22"/>
                <w:lang w:val="pl-PL"/>
              </w:rPr>
              <w:t>2</w:t>
            </w:r>
          </w:p>
        </w:tc>
        <w:tc>
          <w:tcPr>
            <w:tcW w:w="1693" w:type="pct"/>
          </w:tcPr>
          <w:p>
            <w:pPr>
              <w:spacing w:line="240" w:lineRule="auto"/>
              <w:jc w:val="center"/>
              <w:rPr>
                <w:color w:val="000000"/>
                <w:szCs w:val="22"/>
                <w:lang w:val="pl-PL"/>
              </w:rPr>
            </w:pPr>
            <w:r>
              <w:rPr>
                <w:color w:val="000000"/>
                <w:szCs w:val="22"/>
                <w:lang w:val="pl-PL"/>
              </w:rPr>
              <w:t>12</w:t>
            </w:r>
          </w:p>
        </w:tc>
      </w:tr>
      <w:tr>
        <w:trPr>
          <w:trHeight w:val="225"/>
        </w:trPr>
        <w:tc>
          <w:tcPr>
            <w:tcW w:w="695" w:type="pct"/>
          </w:tcPr>
          <w:p>
            <w:pPr>
              <w:spacing w:line="240" w:lineRule="auto"/>
              <w:rPr>
                <w:color w:val="000000"/>
                <w:szCs w:val="22"/>
                <w:lang w:val="pl-PL"/>
              </w:rPr>
            </w:pPr>
            <w:r>
              <w:rPr>
                <w:color w:val="000000"/>
                <w:szCs w:val="22"/>
                <w:lang w:val="pl-PL"/>
              </w:rPr>
              <w:t>11</w:t>
            </w:r>
          </w:p>
        </w:tc>
        <w:tc>
          <w:tcPr>
            <w:tcW w:w="1040" w:type="pct"/>
          </w:tcPr>
          <w:p>
            <w:pPr>
              <w:spacing w:line="240" w:lineRule="auto"/>
              <w:jc w:val="center"/>
              <w:rPr>
                <w:color w:val="000000"/>
                <w:szCs w:val="22"/>
                <w:lang w:val="pl-PL"/>
              </w:rPr>
            </w:pPr>
            <w:r>
              <w:rPr>
                <w:color w:val="000000"/>
                <w:szCs w:val="22"/>
                <w:lang w:val="pl-PL"/>
              </w:rPr>
              <w:t>330</w:t>
            </w:r>
          </w:p>
        </w:tc>
        <w:tc>
          <w:tcPr>
            <w:tcW w:w="1572" w:type="pct"/>
          </w:tcPr>
          <w:p>
            <w:pPr>
              <w:spacing w:line="240" w:lineRule="auto"/>
              <w:jc w:val="center"/>
              <w:rPr>
                <w:color w:val="000000"/>
                <w:szCs w:val="22"/>
                <w:lang w:val="pl-PL"/>
              </w:rPr>
            </w:pPr>
            <w:r>
              <w:rPr>
                <w:color w:val="000000"/>
                <w:szCs w:val="22"/>
                <w:lang w:val="pl-PL"/>
              </w:rPr>
              <w:t>2</w:t>
            </w:r>
          </w:p>
        </w:tc>
        <w:tc>
          <w:tcPr>
            <w:tcW w:w="1693" w:type="pct"/>
          </w:tcPr>
          <w:p>
            <w:pPr>
              <w:spacing w:line="240" w:lineRule="auto"/>
              <w:jc w:val="center"/>
              <w:rPr>
                <w:color w:val="000000"/>
                <w:szCs w:val="22"/>
                <w:lang w:val="pl-PL"/>
              </w:rPr>
            </w:pPr>
            <w:r>
              <w:rPr>
                <w:color w:val="000000"/>
                <w:szCs w:val="22"/>
                <w:lang w:val="pl-PL"/>
              </w:rPr>
              <w:t>13,2</w:t>
            </w:r>
          </w:p>
        </w:tc>
      </w:tr>
      <w:tr>
        <w:trPr>
          <w:trHeight w:val="243"/>
        </w:trPr>
        <w:tc>
          <w:tcPr>
            <w:tcW w:w="695" w:type="pct"/>
          </w:tcPr>
          <w:p>
            <w:pPr>
              <w:spacing w:line="240" w:lineRule="auto"/>
              <w:rPr>
                <w:color w:val="000000"/>
                <w:szCs w:val="22"/>
                <w:lang w:val="pl-PL"/>
              </w:rPr>
            </w:pPr>
            <w:r>
              <w:rPr>
                <w:color w:val="000000"/>
                <w:szCs w:val="22"/>
                <w:lang w:val="pl-PL"/>
              </w:rPr>
              <w:t>12</w:t>
            </w:r>
          </w:p>
        </w:tc>
        <w:tc>
          <w:tcPr>
            <w:tcW w:w="1040" w:type="pct"/>
          </w:tcPr>
          <w:p>
            <w:pPr>
              <w:spacing w:line="240" w:lineRule="auto"/>
              <w:jc w:val="center"/>
              <w:rPr>
                <w:color w:val="000000"/>
                <w:szCs w:val="22"/>
                <w:lang w:val="pl-PL"/>
              </w:rPr>
            </w:pPr>
            <w:r>
              <w:rPr>
                <w:color w:val="000000"/>
                <w:szCs w:val="22"/>
                <w:lang w:val="pl-PL"/>
              </w:rPr>
              <w:t>360</w:t>
            </w:r>
          </w:p>
        </w:tc>
        <w:tc>
          <w:tcPr>
            <w:tcW w:w="1572" w:type="pct"/>
          </w:tcPr>
          <w:p>
            <w:pPr>
              <w:spacing w:line="240" w:lineRule="auto"/>
              <w:jc w:val="center"/>
              <w:rPr>
                <w:color w:val="000000"/>
                <w:szCs w:val="22"/>
                <w:lang w:val="pl-PL"/>
              </w:rPr>
            </w:pPr>
            <w:r>
              <w:rPr>
                <w:color w:val="000000"/>
                <w:szCs w:val="22"/>
                <w:lang w:val="pl-PL"/>
              </w:rPr>
              <w:t>2</w:t>
            </w:r>
          </w:p>
        </w:tc>
        <w:tc>
          <w:tcPr>
            <w:tcW w:w="1693" w:type="pct"/>
          </w:tcPr>
          <w:p>
            <w:pPr>
              <w:spacing w:line="240" w:lineRule="auto"/>
              <w:jc w:val="center"/>
              <w:rPr>
                <w:color w:val="000000"/>
                <w:szCs w:val="22"/>
                <w:lang w:val="pl-PL"/>
              </w:rPr>
            </w:pPr>
            <w:r>
              <w:rPr>
                <w:color w:val="000000"/>
                <w:szCs w:val="22"/>
                <w:lang w:val="pl-PL"/>
              </w:rPr>
              <w:t>14,4</w:t>
            </w:r>
          </w:p>
        </w:tc>
      </w:tr>
      <w:tr>
        <w:trPr>
          <w:trHeight w:val="225"/>
        </w:trPr>
        <w:tc>
          <w:tcPr>
            <w:tcW w:w="695" w:type="pct"/>
          </w:tcPr>
          <w:p>
            <w:pPr>
              <w:spacing w:line="240" w:lineRule="auto"/>
              <w:rPr>
                <w:color w:val="000000"/>
                <w:szCs w:val="22"/>
                <w:lang w:val="pl-PL"/>
              </w:rPr>
            </w:pPr>
            <w:r>
              <w:rPr>
                <w:color w:val="000000"/>
                <w:szCs w:val="22"/>
                <w:lang w:val="pl-PL"/>
              </w:rPr>
              <w:t>13</w:t>
            </w:r>
          </w:p>
        </w:tc>
        <w:tc>
          <w:tcPr>
            <w:tcW w:w="1040" w:type="pct"/>
          </w:tcPr>
          <w:p>
            <w:pPr>
              <w:spacing w:line="240" w:lineRule="auto"/>
              <w:jc w:val="center"/>
              <w:rPr>
                <w:color w:val="000000"/>
                <w:szCs w:val="22"/>
                <w:lang w:val="pl-PL"/>
              </w:rPr>
            </w:pPr>
            <w:r>
              <w:rPr>
                <w:color w:val="000000"/>
                <w:szCs w:val="22"/>
                <w:lang w:val="pl-PL"/>
              </w:rPr>
              <w:t>390</w:t>
            </w:r>
          </w:p>
        </w:tc>
        <w:tc>
          <w:tcPr>
            <w:tcW w:w="1572" w:type="pct"/>
          </w:tcPr>
          <w:p>
            <w:pPr>
              <w:spacing w:line="240" w:lineRule="auto"/>
              <w:jc w:val="center"/>
              <w:rPr>
                <w:color w:val="000000"/>
                <w:szCs w:val="22"/>
                <w:lang w:val="pl-PL"/>
              </w:rPr>
            </w:pPr>
            <w:r>
              <w:rPr>
                <w:color w:val="000000"/>
                <w:szCs w:val="22"/>
                <w:lang w:val="pl-PL"/>
              </w:rPr>
              <w:t>2</w:t>
            </w:r>
          </w:p>
        </w:tc>
        <w:tc>
          <w:tcPr>
            <w:tcW w:w="1693" w:type="pct"/>
          </w:tcPr>
          <w:p>
            <w:pPr>
              <w:spacing w:line="240" w:lineRule="auto"/>
              <w:jc w:val="center"/>
              <w:rPr>
                <w:color w:val="000000"/>
                <w:szCs w:val="22"/>
                <w:lang w:val="pl-PL"/>
              </w:rPr>
            </w:pPr>
            <w:r>
              <w:rPr>
                <w:color w:val="000000"/>
                <w:szCs w:val="22"/>
                <w:lang w:val="pl-PL"/>
              </w:rPr>
              <w:t>15,6</w:t>
            </w:r>
          </w:p>
        </w:tc>
      </w:tr>
      <w:tr>
        <w:trPr>
          <w:trHeight w:val="243"/>
        </w:trPr>
        <w:tc>
          <w:tcPr>
            <w:tcW w:w="695" w:type="pct"/>
          </w:tcPr>
          <w:p>
            <w:pPr>
              <w:spacing w:line="240" w:lineRule="auto"/>
              <w:rPr>
                <w:color w:val="000000"/>
                <w:szCs w:val="22"/>
                <w:lang w:val="pl-PL"/>
              </w:rPr>
            </w:pPr>
            <w:r>
              <w:rPr>
                <w:color w:val="000000"/>
                <w:szCs w:val="22"/>
                <w:lang w:val="pl-PL"/>
              </w:rPr>
              <w:t>14</w:t>
            </w:r>
          </w:p>
        </w:tc>
        <w:tc>
          <w:tcPr>
            <w:tcW w:w="1040" w:type="pct"/>
          </w:tcPr>
          <w:p>
            <w:pPr>
              <w:spacing w:line="240" w:lineRule="auto"/>
              <w:jc w:val="center"/>
              <w:rPr>
                <w:color w:val="000000"/>
                <w:szCs w:val="22"/>
                <w:lang w:val="pl-PL"/>
              </w:rPr>
            </w:pPr>
            <w:r>
              <w:rPr>
                <w:color w:val="000000"/>
                <w:szCs w:val="22"/>
                <w:lang w:val="pl-PL"/>
              </w:rPr>
              <w:t>420</w:t>
            </w:r>
          </w:p>
        </w:tc>
        <w:tc>
          <w:tcPr>
            <w:tcW w:w="1572" w:type="pct"/>
          </w:tcPr>
          <w:p>
            <w:pPr>
              <w:spacing w:line="240" w:lineRule="auto"/>
              <w:jc w:val="center"/>
              <w:rPr>
                <w:color w:val="000000"/>
                <w:szCs w:val="22"/>
                <w:lang w:val="pl-PL"/>
              </w:rPr>
            </w:pPr>
            <w:r>
              <w:rPr>
                <w:color w:val="000000"/>
                <w:szCs w:val="22"/>
                <w:lang w:val="pl-PL"/>
              </w:rPr>
              <w:t>2</w:t>
            </w:r>
          </w:p>
        </w:tc>
        <w:tc>
          <w:tcPr>
            <w:tcW w:w="1693" w:type="pct"/>
          </w:tcPr>
          <w:p>
            <w:pPr>
              <w:spacing w:line="240" w:lineRule="auto"/>
              <w:jc w:val="center"/>
              <w:rPr>
                <w:color w:val="000000"/>
                <w:szCs w:val="22"/>
                <w:lang w:val="pl-PL"/>
              </w:rPr>
            </w:pPr>
            <w:r>
              <w:rPr>
                <w:color w:val="000000"/>
                <w:szCs w:val="22"/>
                <w:lang w:val="pl-PL"/>
              </w:rPr>
              <w:t>16,8</w:t>
            </w:r>
          </w:p>
        </w:tc>
      </w:tr>
      <w:tr>
        <w:trPr>
          <w:trHeight w:val="225"/>
        </w:trPr>
        <w:tc>
          <w:tcPr>
            <w:tcW w:w="695" w:type="pct"/>
          </w:tcPr>
          <w:p>
            <w:pPr>
              <w:spacing w:line="240" w:lineRule="auto"/>
              <w:rPr>
                <w:color w:val="000000"/>
                <w:szCs w:val="22"/>
                <w:lang w:val="pl-PL"/>
              </w:rPr>
            </w:pPr>
            <w:r>
              <w:rPr>
                <w:color w:val="000000"/>
                <w:szCs w:val="22"/>
                <w:lang w:val="pl-PL"/>
              </w:rPr>
              <w:t>15</w:t>
            </w:r>
          </w:p>
        </w:tc>
        <w:tc>
          <w:tcPr>
            <w:tcW w:w="1040" w:type="pct"/>
          </w:tcPr>
          <w:p>
            <w:pPr>
              <w:spacing w:line="240" w:lineRule="auto"/>
              <w:jc w:val="center"/>
              <w:rPr>
                <w:color w:val="000000"/>
                <w:szCs w:val="22"/>
                <w:lang w:val="pl-PL"/>
              </w:rPr>
            </w:pPr>
            <w:r>
              <w:rPr>
                <w:color w:val="000000"/>
                <w:szCs w:val="22"/>
                <w:lang w:val="pl-PL"/>
              </w:rPr>
              <w:t>450</w:t>
            </w:r>
          </w:p>
        </w:tc>
        <w:tc>
          <w:tcPr>
            <w:tcW w:w="1572" w:type="pct"/>
          </w:tcPr>
          <w:p>
            <w:pPr>
              <w:spacing w:line="240" w:lineRule="auto"/>
              <w:jc w:val="center"/>
              <w:rPr>
                <w:color w:val="000000"/>
                <w:szCs w:val="22"/>
                <w:lang w:val="pl-PL"/>
              </w:rPr>
            </w:pPr>
            <w:r>
              <w:rPr>
                <w:color w:val="000000"/>
                <w:szCs w:val="22"/>
                <w:lang w:val="pl-PL"/>
              </w:rPr>
              <w:t>2</w:t>
            </w:r>
          </w:p>
        </w:tc>
        <w:tc>
          <w:tcPr>
            <w:tcW w:w="1693" w:type="pct"/>
          </w:tcPr>
          <w:p>
            <w:pPr>
              <w:spacing w:line="240" w:lineRule="auto"/>
              <w:jc w:val="center"/>
              <w:rPr>
                <w:color w:val="000000"/>
                <w:szCs w:val="22"/>
                <w:lang w:val="pl-PL"/>
              </w:rPr>
            </w:pPr>
            <w:r>
              <w:rPr>
                <w:color w:val="000000"/>
                <w:szCs w:val="22"/>
                <w:lang w:val="pl-PL"/>
              </w:rPr>
              <w:t>18</w:t>
            </w:r>
          </w:p>
        </w:tc>
      </w:tr>
      <w:tr>
        <w:trPr>
          <w:trHeight w:val="225"/>
        </w:trPr>
        <w:tc>
          <w:tcPr>
            <w:tcW w:w="695" w:type="pct"/>
          </w:tcPr>
          <w:p>
            <w:pPr>
              <w:spacing w:line="240" w:lineRule="auto"/>
              <w:rPr>
                <w:color w:val="000000"/>
                <w:szCs w:val="22"/>
                <w:lang w:val="pl-PL"/>
              </w:rPr>
            </w:pPr>
            <w:r>
              <w:rPr>
                <w:color w:val="000000"/>
                <w:szCs w:val="22"/>
                <w:lang w:val="pl-PL"/>
              </w:rPr>
              <w:t>16</w:t>
            </w:r>
          </w:p>
        </w:tc>
        <w:tc>
          <w:tcPr>
            <w:tcW w:w="1040" w:type="pct"/>
          </w:tcPr>
          <w:p>
            <w:pPr>
              <w:spacing w:line="240" w:lineRule="auto"/>
              <w:jc w:val="center"/>
              <w:rPr>
                <w:color w:val="000000"/>
                <w:szCs w:val="22"/>
                <w:lang w:val="pl-PL"/>
              </w:rPr>
            </w:pPr>
            <w:r>
              <w:rPr>
                <w:color w:val="000000"/>
                <w:szCs w:val="22"/>
                <w:lang w:val="pl-PL"/>
              </w:rPr>
              <w:t>480</w:t>
            </w:r>
          </w:p>
        </w:tc>
        <w:tc>
          <w:tcPr>
            <w:tcW w:w="1572" w:type="pct"/>
          </w:tcPr>
          <w:p>
            <w:pPr>
              <w:spacing w:line="240" w:lineRule="auto"/>
              <w:jc w:val="center"/>
              <w:rPr>
                <w:color w:val="000000"/>
                <w:szCs w:val="22"/>
                <w:lang w:val="pl-PL"/>
              </w:rPr>
            </w:pPr>
            <w:r>
              <w:rPr>
                <w:color w:val="000000"/>
                <w:szCs w:val="22"/>
                <w:lang w:val="pl-PL"/>
              </w:rPr>
              <w:t>2</w:t>
            </w:r>
          </w:p>
        </w:tc>
        <w:tc>
          <w:tcPr>
            <w:tcW w:w="1693" w:type="pct"/>
          </w:tcPr>
          <w:p>
            <w:pPr>
              <w:spacing w:line="240" w:lineRule="auto"/>
              <w:jc w:val="center"/>
              <w:rPr>
                <w:color w:val="000000"/>
                <w:szCs w:val="22"/>
                <w:lang w:val="pl-PL"/>
              </w:rPr>
            </w:pPr>
            <w:r>
              <w:rPr>
                <w:color w:val="000000"/>
                <w:szCs w:val="22"/>
                <w:lang w:val="pl-PL"/>
              </w:rPr>
              <w:t>19,2</w:t>
            </w:r>
          </w:p>
        </w:tc>
      </w:tr>
    </w:tbl>
    <w:p>
      <w:pPr>
        <w:spacing w:line="240" w:lineRule="auto"/>
        <w:rPr>
          <w:lang w:val="pl-PL"/>
        </w:rPr>
      </w:pPr>
    </w:p>
    <w:p>
      <w:pPr>
        <w:keepNext/>
        <w:tabs>
          <w:tab w:val="clear" w:pos="567"/>
        </w:tabs>
        <w:spacing w:line="240" w:lineRule="auto"/>
        <w:ind w:right="716"/>
        <w:rPr>
          <w:b/>
          <w:bCs/>
          <w:szCs w:val="22"/>
          <w:lang w:val="pl-PL"/>
        </w:rPr>
      </w:pPr>
      <w:r>
        <w:rPr>
          <w:b/>
          <w:bCs/>
          <w:szCs w:val="22"/>
          <w:lang w:val="pl-PL"/>
        </w:rPr>
        <w:t>Tabela 5: Zalecana dawka produktu leczniczego Sephience proszek doustny w saszetce zależnie od masy ciała u dzieci w wieku 2 lat i starszych</w:t>
      </w:r>
    </w:p>
    <w:p>
      <w:pPr>
        <w:keepNext/>
        <w:tabs>
          <w:tab w:val="clear" w:pos="567"/>
        </w:tabs>
        <w:spacing w:line="240" w:lineRule="auto"/>
        <w:ind w:right="716"/>
        <w:rPr>
          <w:b/>
          <w:bCs/>
          <w:szCs w:val="22"/>
          <w:lang w:val="pl-PL"/>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pl-PL"/>
              </w:rPr>
            </w:pPr>
            <w:r>
              <w:rPr>
                <w:b/>
                <w:bCs/>
                <w:szCs w:val="22"/>
                <w:lang w:val="pl-PL"/>
              </w:rPr>
              <w:t>Dawka</w:t>
            </w:r>
          </w:p>
        </w:tc>
        <w:tc>
          <w:tcPr>
            <w:tcW w:w="4382" w:type="pct"/>
            <w:gridSpan w:val="3"/>
          </w:tcPr>
          <w:p>
            <w:pPr>
              <w:keepNext/>
              <w:spacing w:line="240" w:lineRule="auto"/>
              <w:jc w:val="center"/>
              <w:rPr>
                <w:b/>
                <w:bCs/>
                <w:szCs w:val="22"/>
                <w:lang w:val="pl-PL"/>
              </w:rPr>
            </w:pPr>
            <w:r>
              <w:rPr>
                <w:b/>
                <w:bCs/>
                <w:color w:val="000000"/>
                <w:szCs w:val="22"/>
                <w:lang w:val="pl-PL"/>
              </w:rPr>
              <w:t>60 mg/kg mc./dobę</w:t>
            </w:r>
          </w:p>
        </w:tc>
      </w:tr>
      <w:tr>
        <w:trPr>
          <w:trHeight w:val="145"/>
          <w:tblHeader/>
        </w:trPr>
        <w:tc>
          <w:tcPr>
            <w:tcW w:w="618" w:type="pct"/>
          </w:tcPr>
          <w:p>
            <w:pPr>
              <w:keepNext/>
              <w:spacing w:line="240" w:lineRule="auto"/>
              <w:rPr>
                <w:rFonts w:eastAsia="Arial"/>
                <w:b/>
                <w:bCs/>
                <w:color w:val="000000"/>
                <w:szCs w:val="22"/>
                <w:lang w:val="pl-PL"/>
              </w:rPr>
            </w:pPr>
            <w:r>
              <w:rPr>
                <w:rFonts w:eastAsia="Arial"/>
                <w:b/>
                <w:bCs/>
                <w:color w:val="000000"/>
                <w:szCs w:val="22"/>
                <w:lang w:val="pl-PL"/>
              </w:rPr>
              <w:t>Wiek</w:t>
            </w:r>
          </w:p>
        </w:tc>
        <w:tc>
          <w:tcPr>
            <w:tcW w:w="4382" w:type="pct"/>
            <w:gridSpan w:val="3"/>
          </w:tcPr>
          <w:p>
            <w:pPr>
              <w:keepNext/>
              <w:spacing w:line="240" w:lineRule="auto"/>
              <w:jc w:val="center"/>
              <w:rPr>
                <w:rFonts w:eastAsia="Arial"/>
                <w:b/>
                <w:bCs/>
                <w:color w:val="000000"/>
                <w:szCs w:val="22"/>
                <w:lang w:val="pl-PL"/>
              </w:rPr>
            </w:pPr>
            <w:r>
              <w:rPr>
                <w:b/>
                <w:bCs/>
                <w:color w:val="000000"/>
                <w:szCs w:val="22"/>
                <w:lang w:val="pl-PL"/>
              </w:rPr>
              <w:t>≥ 2 lat</w:t>
            </w:r>
          </w:p>
        </w:tc>
      </w:tr>
      <w:tr>
        <w:trPr>
          <w:trHeight w:val="837"/>
          <w:tblHeader/>
        </w:trPr>
        <w:tc>
          <w:tcPr>
            <w:tcW w:w="618" w:type="pct"/>
          </w:tcPr>
          <w:p>
            <w:pPr>
              <w:keepNext/>
              <w:spacing w:line="240" w:lineRule="auto"/>
              <w:rPr>
                <w:szCs w:val="22"/>
                <w:lang w:val="pl-PL"/>
              </w:rPr>
            </w:pPr>
            <w:r>
              <w:rPr>
                <w:b/>
                <w:bCs/>
                <w:color w:val="000000"/>
                <w:szCs w:val="22"/>
                <w:lang w:val="pl-PL"/>
              </w:rPr>
              <w:t xml:space="preserve">Masa ciała (kg) </w:t>
            </w:r>
          </w:p>
        </w:tc>
        <w:tc>
          <w:tcPr>
            <w:tcW w:w="1010" w:type="pct"/>
          </w:tcPr>
          <w:p>
            <w:pPr>
              <w:keepNext/>
              <w:spacing w:line="240" w:lineRule="auto"/>
              <w:jc w:val="center"/>
              <w:rPr>
                <w:szCs w:val="22"/>
                <w:lang w:val="pl-PL"/>
              </w:rPr>
            </w:pPr>
            <w:r>
              <w:rPr>
                <w:b/>
                <w:bCs/>
                <w:color w:val="000000"/>
                <w:szCs w:val="22"/>
                <w:lang w:val="pl-PL"/>
              </w:rPr>
              <w:t>Całkowita dawka (mg)</w:t>
            </w:r>
          </w:p>
        </w:tc>
        <w:tc>
          <w:tcPr>
            <w:tcW w:w="1511" w:type="pct"/>
          </w:tcPr>
          <w:p>
            <w:pPr>
              <w:keepNext/>
              <w:spacing w:line="240" w:lineRule="auto"/>
              <w:jc w:val="center"/>
              <w:rPr>
                <w:szCs w:val="22"/>
                <w:lang w:val="pl-PL"/>
              </w:rPr>
            </w:pPr>
            <w:r>
              <w:rPr>
                <w:b/>
                <w:bCs/>
                <w:color w:val="000000"/>
                <w:szCs w:val="22"/>
                <w:lang w:val="pl-PL"/>
              </w:rPr>
              <w:t>Liczba rozpuszczonych saszetek (250 mg)</w:t>
            </w:r>
          </w:p>
        </w:tc>
        <w:tc>
          <w:tcPr>
            <w:tcW w:w="1861" w:type="pct"/>
          </w:tcPr>
          <w:p>
            <w:pPr>
              <w:keepNext/>
              <w:spacing w:line="240" w:lineRule="auto"/>
              <w:jc w:val="center"/>
              <w:rPr>
                <w:szCs w:val="22"/>
                <w:lang w:val="pl-PL"/>
              </w:rPr>
            </w:pPr>
            <w:r>
              <w:rPr>
                <w:b/>
                <w:bCs/>
                <w:color w:val="000000"/>
                <w:szCs w:val="22"/>
                <w:lang w:val="pl-PL"/>
              </w:rPr>
              <w:t>Objętość do podania (ml) (25 mg/ml)</w:t>
            </w:r>
          </w:p>
        </w:tc>
      </w:tr>
      <w:tr>
        <w:trPr>
          <w:trHeight w:val="202"/>
        </w:trPr>
        <w:tc>
          <w:tcPr>
            <w:tcW w:w="618" w:type="pct"/>
          </w:tcPr>
          <w:p>
            <w:pPr>
              <w:spacing w:line="240" w:lineRule="auto"/>
              <w:rPr>
                <w:szCs w:val="22"/>
                <w:lang w:val="pl-PL"/>
              </w:rPr>
            </w:pPr>
            <w:r>
              <w:rPr>
                <w:color w:val="000000"/>
                <w:szCs w:val="22"/>
                <w:lang w:val="pl-PL"/>
              </w:rPr>
              <w:t>5</w:t>
            </w:r>
          </w:p>
        </w:tc>
        <w:tc>
          <w:tcPr>
            <w:tcW w:w="1010" w:type="pct"/>
          </w:tcPr>
          <w:p>
            <w:pPr>
              <w:spacing w:line="240" w:lineRule="auto"/>
              <w:jc w:val="center"/>
              <w:rPr>
                <w:szCs w:val="22"/>
                <w:lang w:val="pl-PL"/>
              </w:rPr>
            </w:pPr>
            <w:r>
              <w:rPr>
                <w:color w:val="000000"/>
                <w:szCs w:val="22"/>
                <w:lang w:val="pl-PL"/>
              </w:rPr>
              <w:t>300</w:t>
            </w:r>
          </w:p>
        </w:tc>
        <w:tc>
          <w:tcPr>
            <w:tcW w:w="1511" w:type="pct"/>
          </w:tcPr>
          <w:p>
            <w:pPr>
              <w:spacing w:line="240" w:lineRule="auto"/>
              <w:jc w:val="center"/>
              <w:rPr>
                <w:szCs w:val="22"/>
                <w:lang w:val="pl-PL"/>
              </w:rPr>
            </w:pPr>
            <w:r>
              <w:rPr>
                <w:color w:val="000000"/>
                <w:szCs w:val="22"/>
                <w:lang w:val="pl-PL"/>
              </w:rPr>
              <w:t>2</w:t>
            </w:r>
          </w:p>
        </w:tc>
        <w:tc>
          <w:tcPr>
            <w:tcW w:w="1861" w:type="pct"/>
          </w:tcPr>
          <w:p>
            <w:pPr>
              <w:spacing w:line="240" w:lineRule="auto"/>
              <w:jc w:val="center"/>
              <w:rPr>
                <w:szCs w:val="22"/>
                <w:lang w:val="pl-PL"/>
              </w:rPr>
            </w:pPr>
            <w:r>
              <w:rPr>
                <w:color w:val="000000"/>
                <w:szCs w:val="22"/>
                <w:lang w:val="pl-PL"/>
              </w:rPr>
              <w:t>12</w:t>
            </w:r>
          </w:p>
        </w:tc>
      </w:tr>
      <w:tr>
        <w:trPr>
          <w:trHeight w:val="215"/>
        </w:trPr>
        <w:tc>
          <w:tcPr>
            <w:tcW w:w="618" w:type="pct"/>
          </w:tcPr>
          <w:p>
            <w:pPr>
              <w:spacing w:line="240" w:lineRule="auto"/>
              <w:rPr>
                <w:szCs w:val="22"/>
                <w:lang w:val="pl-PL"/>
              </w:rPr>
            </w:pPr>
            <w:r>
              <w:rPr>
                <w:color w:val="000000"/>
                <w:szCs w:val="22"/>
                <w:lang w:val="pl-PL"/>
              </w:rPr>
              <w:t>6</w:t>
            </w:r>
          </w:p>
        </w:tc>
        <w:tc>
          <w:tcPr>
            <w:tcW w:w="1010" w:type="pct"/>
          </w:tcPr>
          <w:p>
            <w:pPr>
              <w:spacing w:line="240" w:lineRule="auto"/>
              <w:jc w:val="center"/>
              <w:rPr>
                <w:szCs w:val="22"/>
                <w:lang w:val="pl-PL"/>
              </w:rPr>
            </w:pPr>
            <w:r>
              <w:rPr>
                <w:color w:val="000000"/>
                <w:szCs w:val="22"/>
                <w:lang w:val="pl-PL"/>
              </w:rPr>
              <w:t>360</w:t>
            </w:r>
          </w:p>
        </w:tc>
        <w:tc>
          <w:tcPr>
            <w:tcW w:w="1511" w:type="pct"/>
          </w:tcPr>
          <w:p>
            <w:pPr>
              <w:spacing w:line="240" w:lineRule="auto"/>
              <w:jc w:val="center"/>
              <w:rPr>
                <w:szCs w:val="22"/>
                <w:lang w:val="pl-PL"/>
              </w:rPr>
            </w:pPr>
            <w:r>
              <w:rPr>
                <w:color w:val="000000"/>
                <w:szCs w:val="22"/>
                <w:lang w:val="pl-PL"/>
              </w:rPr>
              <w:t>2</w:t>
            </w:r>
          </w:p>
        </w:tc>
        <w:tc>
          <w:tcPr>
            <w:tcW w:w="1861" w:type="pct"/>
          </w:tcPr>
          <w:p>
            <w:pPr>
              <w:spacing w:line="240" w:lineRule="auto"/>
              <w:jc w:val="center"/>
              <w:rPr>
                <w:szCs w:val="22"/>
                <w:lang w:val="pl-PL"/>
              </w:rPr>
            </w:pPr>
            <w:r>
              <w:rPr>
                <w:color w:val="000000"/>
                <w:szCs w:val="22"/>
                <w:lang w:val="pl-PL"/>
              </w:rPr>
              <w:t>14,4</w:t>
            </w:r>
          </w:p>
        </w:tc>
      </w:tr>
      <w:tr>
        <w:trPr>
          <w:trHeight w:val="202"/>
        </w:trPr>
        <w:tc>
          <w:tcPr>
            <w:tcW w:w="618" w:type="pct"/>
          </w:tcPr>
          <w:p>
            <w:pPr>
              <w:spacing w:line="240" w:lineRule="auto"/>
              <w:rPr>
                <w:color w:val="000000"/>
                <w:szCs w:val="22"/>
                <w:lang w:val="pl-PL"/>
              </w:rPr>
            </w:pPr>
            <w:r>
              <w:rPr>
                <w:color w:val="000000"/>
                <w:szCs w:val="22"/>
                <w:lang w:val="pl-PL"/>
              </w:rPr>
              <w:t>7</w:t>
            </w:r>
          </w:p>
        </w:tc>
        <w:tc>
          <w:tcPr>
            <w:tcW w:w="1010" w:type="pct"/>
          </w:tcPr>
          <w:p>
            <w:pPr>
              <w:spacing w:line="240" w:lineRule="auto"/>
              <w:jc w:val="center"/>
              <w:rPr>
                <w:color w:val="000000"/>
                <w:szCs w:val="22"/>
                <w:lang w:val="pl-PL"/>
              </w:rPr>
            </w:pPr>
            <w:r>
              <w:rPr>
                <w:color w:val="000000"/>
                <w:szCs w:val="22"/>
                <w:lang w:val="pl-PL"/>
              </w:rPr>
              <w:t>420</w:t>
            </w:r>
          </w:p>
        </w:tc>
        <w:tc>
          <w:tcPr>
            <w:tcW w:w="1511" w:type="pct"/>
          </w:tcPr>
          <w:p>
            <w:pPr>
              <w:spacing w:line="240" w:lineRule="auto"/>
              <w:jc w:val="center"/>
              <w:rPr>
                <w:color w:val="000000"/>
                <w:szCs w:val="22"/>
                <w:lang w:val="pl-PL"/>
              </w:rPr>
            </w:pPr>
            <w:r>
              <w:rPr>
                <w:color w:val="000000"/>
                <w:szCs w:val="22"/>
                <w:lang w:val="pl-PL"/>
              </w:rPr>
              <w:t>2</w:t>
            </w:r>
          </w:p>
        </w:tc>
        <w:tc>
          <w:tcPr>
            <w:tcW w:w="1861" w:type="pct"/>
          </w:tcPr>
          <w:p>
            <w:pPr>
              <w:spacing w:line="240" w:lineRule="auto"/>
              <w:jc w:val="center"/>
              <w:rPr>
                <w:color w:val="000000"/>
                <w:szCs w:val="22"/>
                <w:lang w:val="pl-PL"/>
              </w:rPr>
            </w:pPr>
            <w:r>
              <w:rPr>
                <w:color w:val="000000"/>
                <w:szCs w:val="22"/>
                <w:lang w:val="pl-PL"/>
              </w:rPr>
              <w:t>16,8</w:t>
            </w:r>
          </w:p>
        </w:tc>
      </w:tr>
      <w:tr>
        <w:trPr>
          <w:trHeight w:val="202"/>
        </w:trPr>
        <w:tc>
          <w:tcPr>
            <w:tcW w:w="618" w:type="pct"/>
          </w:tcPr>
          <w:p>
            <w:pPr>
              <w:spacing w:line="240" w:lineRule="auto"/>
              <w:rPr>
                <w:color w:val="000000"/>
                <w:szCs w:val="22"/>
                <w:lang w:val="pl-PL"/>
              </w:rPr>
            </w:pPr>
            <w:r>
              <w:rPr>
                <w:color w:val="000000"/>
                <w:szCs w:val="22"/>
                <w:lang w:val="pl-PL"/>
              </w:rPr>
              <w:t>8</w:t>
            </w:r>
          </w:p>
        </w:tc>
        <w:tc>
          <w:tcPr>
            <w:tcW w:w="1010" w:type="pct"/>
          </w:tcPr>
          <w:p>
            <w:pPr>
              <w:spacing w:line="240" w:lineRule="auto"/>
              <w:jc w:val="center"/>
              <w:rPr>
                <w:color w:val="000000"/>
                <w:szCs w:val="22"/>
                <w:lang w:val="pl-PL"/>
              </w:rPr>
            </w:pPr>
            <w:r>
              <w:rPr>
                <w:color w:val="000000"/>
                <w:szCs w:val="22"/>
                <w:lang w:val="pl-PL"/>
              </w:rPr>
              <w:t>480</w:t>
            </w:r>
          </w:p>
        </w:tc>
        <w:tc>
          <w:tcPr>
            <w:tcW w:w="1511" w:type="pct"/>
          </w:tcPr>
          <w:p>
            <w:pPr>
              <w:spacing w:line="240" w:lineRule="auto"/>
              <w:jc w:val="center"/>
              <w:rPr>
                <w:color w:val="000000"/>
                <w:szCs w:val="22"/>
                <w:lang w:val="pl-PL"/>
              </w:rPr>
            </w:pPr>
            <w:r>
              <w:rPr>
                <w:color w:val="000000"/>
                <w:szCs w:val="22"/>
                <w:lang w:val="pl-PL"/>
              </w:rPr>
              <w:t>2</w:t>
            </w:r>
          </w:p>
        </w:tc>
        <w:tc>
          <w:tcPr>
            <w:tcW w:w="1861" w:type="pct"/>
          </w:tcPr>
          <w:p>
            <w:pPr>
              <w:spacing w:line="240" w:lineRule="auto"/>
              <w:jc w:val="center"/>
              <w:rPr>
                <w:color w:val="000000"/>
                <w:szCs w:val="22"/>
                <w:lang w:val="pl-PL"/>
              </w:rPr>
            </w:pPr>
            <w:r>
              <w:rPr>
                <w:color w:val="000000"/>
                <w:szCs w:val="22"/>
                <w:lang w:val="pl-PL"/>
              </w:rPr>
              <w:t>19,2</w:t>
            </w:r>
          </w:p>
        </w:tc>
      </w:tr>
      <w:tr>
        <w:trPr>
          <w:trHeight w:val="215"/>
        </w:trPr>
        <w:tc>
          <w:tcPr>
            <w:tcW w:w="618" w:type="pct"/>
          </w:tcPr>
          <w:p>
            <w:pPr>
              <w:spacing w:line="240" w:lineRule="auto"/>
              <w:rPr>
                <w:color w:val="000000"/>
                <w:szCs w:val="22"/>
                <w:lang w:val="pl-PL"/>
              </w:rPr>
            </w:pPr>
            <w:r>
              <w:rPr>
                <w:color w:val="000000"/>
                <w:szCs w:val="22"/>
                <w:lang w:val="pl-PL"/>
              </w:rPr>
              <w:t>9</w:t>
            </w:r>
          </w:p>
        </w:tc>
        <w:tc>
          <w:tcPr>
            <w:tcW w:w="1010" w:type="pct"/>
          </w:tcPr>
          <w:p>
            <w:pPr>
              <w:spacing w:line="240" w:lineRule="auto"/>
              <w:jc w:val="center"/>
              <w:rPr>
                <w:color w:val="000000"/>
                <w:szCs w:val="22"/>
                <w:lang w:val="pl-PL"/>
              </w:rPr>
            </w:pPr>
            <w:r>
              <w:rPr>
                <w:color w:val="000000"/>
                <w:szCs w:val="22"/>
                <w:lang w:val="pl-PL"/>
              </w:rPr>
              <w:t>540</w:t>
            </w:r>
          </w:p>
        </w:tc>
        <w:tc>
          <w:tcPr>
            <w:tcW w:w="1511" w:type="pct"/>
          </w:tcPr>
          <w:p>
            <w:pPr>
              <w:spacing w:line="240" w:lineRule="auto"/>
              <w:jc w:val="center"/>
              <w:rPr>
                <w:color w:val="000000"/>
                <w:szCs w:val="22"/>
                <w:lang w:val="pl-PL"/>
              </w:rPr>
            </w:pPr>
            <w:r>
              <w:rPr>
                <w:color w:val="000000"/>
                <w:szCs w:val="22"/>
                <w:lang w:val="pl-PL"/>
              </w:rPr>
              <w:t>3</w:t>
            </w:r>
          </w:p>
        </w:tc>
        <w:tc>
          <w:tcPr>
            <w:tcW w:w="1861" w:type="pct"/>
          </w:tcPr>
          <w:p>
            <w:pPr>
              <w:spacing w:line="240" w:lineRule="auto"/>
              <w:jc w:val="center"/>
              <w:rPr>
                <w:color w:val="000000"/>
                <w:szCs w:val="22"/>
                <w:lang w:val="pl-PL"/>
              </w:rPr>
            </w:pPr>
            <w:r>
              <w:rPr>
                <w:color w:val="000000"/>
                <w:szCs w:val="22"/>
                <w:lang w:val="pl-PL"/>
              </w:rPr>
              <w:t>21,6</w:t>
            </w:r>
          </w:p>
        </w:tc>
      </w:tr>
      <w:tr>
        <w:trPr>
          <w:trHeight w:val="202"/>
        </w:trPr>
        <w:tc>
          <w:tcPr>
            <w:tcW w:w="618" w:type="pct"/>
          </w:tcPr>
          <w:p>
            <w:pPr>
              <w:spacing w:line="240" w:lineRule="auto"/>
              <w:rPr>
                <w:color w:val="000000"/>
                <w:szCs w:val="22"/>
                <w:lang w:val="pl-PL"/>
              </w:rPr>
            </w:pPr>
            <w:r>
              <w:rPr>
                <w:color w:val="000000"/>
                <w:szCs w:val="22"/>
                <w:lang w:val="pl-PL"/>
              </w:rPr>
              <w:t>10</w:t>
            </w:r>
          </w:p>
        </w:tc>
        <w:tc>
          <w:tcPr>
            <w:tcW w:w="1010" w:type="pct"/>
          </w:tcPr>
          <w:p>
            <w:pPr>
              <w:spacing w:line="240" w:lineRule="auto"/>
              <w:jc w:val="center"/>
              <w:rPr>
                <w:color w:val="000000"/>
                <w:szCs w:val="22"/>
                <w:lang w:val="pl-PL"/>
              </w:rPr>
            </w:pPr>
            <w:r>
              <w:rPr>
                <w:color w:val="000000"/>
                <w:szCs w:val="22"/>
                <w:lang w:val="pl-PL"/>
              </w:rPr>
              <w:t>600</w:t>
            </w:r>
          </w:p>
        </w:tc>
        <w:tc>
          <w:tcPr>
            <w:tcW w:w="1511" w:type="pct"/>
          </w:tcPr>
          <w:p>
            <w:pPr>
              <w:spacing w:line="240" w:lineRule="auto"/>
              <w:jc w:val="center"/>
              <w:rPr>
                <w:color w:val="000000"/>
                <w:szCs w:val="22"/>
                <w:lang w:val="pl-PL"/>
              </w:rPr>
            </w:pPr>
            <w:r>
              <w:rPr>
                <w:color w:val="000000"/>
                <w:szCs w:val="22"/>
                <w:lang w:val="pl-PL"/>
              </w:rPr>
              <w:t>3</w:t>
            </w:r>
          </w:p>
        </w:tc>
        <w:tc>
          <w:tcPr>
            <w:tcW w:w="1861" w:type="pct"/>
          </w:tcPr>
          <w:p>
            <w:pPr>
              <w:spacing w:line="240" w:lineRule="auto"/>
              <w:jc w:val="center"/>
              <w:rPr>
                <w:color w:val="000000"/>
                <w:szCs w:val="22"/>
                <w:lang w:val="pl-PL"/>
              </w:rPr>
            </w:pPr>
            <w:r>
              <w:rPr>
                <w:color w:val="000000"/>
                <w:szCs w:val="22"/>
                <w:lang w:val="pl-PL"/>
              </w:rPr>
              <w:t>24</w:t>
            </w:r>
          </w:p>
        </w:tc>
      </w:tr>
      <w:tr>
        <w:trPr>
          <w:trHeight w:val="202"/>
        </w:trPr>
        <w:tc>
          <w:tcPr>
            <w:tcW w:w="618" w:type="pct"/>
          </w:tcPr>
          <w:p>
            <w:pPr>
              <w:spacing w:line="240" w:lineRule="auto"/>
              <w:rPr>
                <w:color w:val="000000"/>
                <w:szCs w:val="22"/>
                <w:lang w:val="pl-PL"/>
              </w:rPr>
            </w:pPr>
            <w:r>
              <w:rPr>
                <w:color w:val="000000"/>
                <w:szCs w:val="22"/>
                <w:lang w:val="pl-PL"/>
              </w:rPr>
              <w:t>11</w:t>
            </w:r>
          </w:p>
        </w:tc>
        <w:tc>
          <w:tcPr>
            <w:tcW w:w="1010" w:type="pct"/>
          </w:tcPr>
          <w:p>
            <w:pPr>
              <w:spacing w:line="240" w:lineRule="auto"/>
              <w:jc w:val="center"/>
              <w:rPr>
                <w:color w:val="000000"/>
                <w:szCs w:val="22"/>
                <w:lang w:val="pl-PL"/>
              </w:rPr>
            </w:pPr>
            <w:r>
              <w:rPr>
                <w:color w:val="000000"/>
                <w:szCs w:val="22"/>
                <w:lang w:val="pl-PL"/>
              </w:rPr>
              <w:t>660</w:t>
            </w:r>
          </w:p>
        </w:tc>
        <w:tc>
          <w:tcPr>
            <w:tcW w:w="1511" w:type="pct"/>
          </w:tcPr>
          <w:p>
            <w:pPr>
              <w:spacing w:line="240" w:lineRule="auto"/>
              <w:jc w:val="center"/>
              <w:rPr>
                <w:color w:val="000000"/>
                <w:szCs w:val="22"/>
                <w:lang w:val="pl-PL"/>
              </w:rPr>
            </w:pPr>
            <w:r>
              <w:rPr>
                <w:color w:val="000000"/>
                <w:szCs w:val="22"/>
                <w:lang w:val="pl-PL"/>
              </w:rPr>
              <w:t>3</w:t>
            </w:r>
          </w:p>
        </w:tc>
        <w:tc>
          <w:tcPr>
            <w:tcW w:w="1861" w:type="pct"/>
          </w:tcPr>
          <w:p>
            <w:pPr>
              <w:spacing w:line="240" w:lineRule="auto"/>
              <w:jc w:val="center"/>
              <w:rPr>
                <w:color w:val="000000"/>
                <w:szCs w:val="22"/>
                <w:lang w:val="pl-PL"/>
              </w:rPr>
            </w:pPr>
            <w:r>
              <w:rPr>
                <w:color w:val="000000"/>
                <w:szCs w:val="22"/>
                <w:lang w:val="pl-PL"/>
              </w:rPr>
              <w:t>26,4</w:t>
            </w:r>
          </w:p>
        </w:tc>
      </w:tr>
      <w:tr>
        <w:trPr>
          <w:trHeight w:val="215"/>
        </w:trPr>
        <w:tc>
          <w:tcPr>
            <w:tcW w:w="618" w:type="pct"/>
          </w:tcPr>
          <w:p>
            <w:pPr>
              <w:spacing w:line="240" w:lineRule="auto"/>
              <w:rPr>
                <w:color w:val="000000"/>
                <w:szCs w:val="22"/>
                <w:lang w:val="pl-PL"/>
              </w:rPr>
            </w:pPr>
            <w:r>
              <w:rPr>
                <w:color w:val="000000"/>
                <w:szCs w:val="22"/>
                <w:lang w:val="pl-PL"/>
              </w:rPr>
              <w:t>12</w:t>
            </w:r>
          </w:p>
        </w:tc>
        <w:tc>
          <w:tcPr>
            <w:tcW w:w="1010" w:type="pct"/>
          </w:tcPr>
          <w:p>
            <w:pPr>
              <w:spacing w:line="240" w:lineRule="auto"/>
              <w:jc w:val="center"/>
              <w:rPr>
                <w:color w:val="000000"/>
                <w:szCs w:val="22"/>
                <w:lang w:val="pl-PL"/>
              </w:rPr>
            </w:pPr>
            <w:r>
              <w:rPr>
                <w:color w:val="000000"/>
                <w:szCs w:val="22"/>
                <w:lang w:val="pl-PL"/>
              </w:rPr>
              <w:t>720</w:t>
            </w:r>
          </w:p>
        </w:tc>
        <w:tc>
          <w:tcPr>
            <w:tcW w:w="1511" w:type="pct"/>
          </w:tcPr>
          <w:p>
            <w:pPr>
              <w:spacing w:line="240" w:lineRule="auto"/>
              <w:jc w:val="center"/>
              <w:rPr>
                <w:color w:val="000000"/>
                <w:szCs w:val="22"/>
                <w:lang w:val="pl-PL"/>
              </w:rPr>
            </w:pPr>
            <w:r>
              <w:rPr>
                <w:color w:val="000000"/>
                <w:szCs w:val="22"/>
                <w:lang w:val="pl-PL"/>
              </w:rPr>
              <w:t>3</w:t>
            </w:r>
          </w:p>
        </w:tc>
        <w:tc>
          <w:tcPr>
            <w:tcW w:w="1861" w:type="pct"/>
          </w:tcPr>
          <w:p>
            <w:pPr>
              <w:spacing w:line="240" w:lineRule="auto"/>
              <w:jc w:val="center"/>
              <w:rPr>
                <w:color w:val="000000"/>
                <w:szCs w:val="22"/>
                <w:lang w:val="pl-PL"/>
              </w:rPr>
            </w:pPr>
            <w:r>
              <w:rPr>
                <w:color w:val="000000"/>
                <w:szCs w:val="22"/>
                <w:lang w:val="pl-PL"/>
              </w:rPr>
              <w:t>28,8</w:t>
            </w:r>
          </w:p>
        </w:tc>
      </w:tr>
      <w:tr>
        <w:trPr>
          <w:trHeight w:val="202"/>
        </w:trPr>
        <w:tc>
          <w:tcPr>
            <w:tcW w:w="618" w:type="pct"/>
          </w:tcPr>
          <w:p>
            <w:pPr>
              <w:spacing w:line="240" w:lineRule="auto"/>
              <w:rPr>
                <w:color w:val="000000"/>
                <w:szCs w:val="22"/>
                <w:lang w:val="pl-PL"/>
              </w:rPr>
            </w:pPr>
            <w:r>
              <w:rPr>
                <w:color w:val="000000"/>
                <w:szCs w:val="22"/>
                <w:lang w:val="pl-PL"/>
              </w:rPr>
              <w:t>13</w:t>
            </w:r>
          </w:p>
        </w:tc>
        <w:tc>
          <w:tcPr>
            <w:tcW w:w="1010" w:type="pct"/>
          </w:tcPr>
          <w:p>
            <w:pPr>
              <w:spacing w:line="240" w:lineRule="auto"/>
              <w:jc w:val="center"/>
              <w:rPr>
                <w:color w:val="000000"/>
                <w:szCs w:val="22"/>
                <w:lang w:val="pl-PL"/>
              </w:rPr>
            </w:pPr>
            <w:r>
              <w:rPr>
                <w:color w:val="000000"/>
                <w:szCs w:val="22"/>
                <w:lang w:val="pl-PL"/>
              </w:rPr>
              <w:t>780</w:t>
            </w:r>
          </w:p>
        </w:tc>
        <w:tc>
          <w:tcPr>
            <w:tcW w:w="1511" w:type="pct"/>
          </w:tcPr>
          <w:p>
            <w:pPr>
              <w:spacing w:line="240" w:lineRule="auto"/>
              <w:jc w:val="center"/>
              <w:rPr>
                <w:color w:val="000000"/>
                <w:szCs w:val="22"/>
                <w:lang w:val="pl-PL"/>
              </w:rPr>
            </w:pPr>
            <w:r>
              <w:rPr>
                <w:color w:val="000000"/>
                <w:szCs w:val="22"/>
                <w:lang w:val="pl-PL"/>
              </w:rPr>
              <w:t>4*</w:t>
            </w:r>
          </w:p>
        </w:tc>
        <w:tc>
          <w:tcPr>
            <w:tcW w:w="1861" w:type="pct"/>
          </w:tcPr>
          <w:p>
            <w:pPr>
              <w:spacing w:line="240" w:lineRule="auto"/>
              <w:jc w:val="center"/>
              <w:rPr>
                <w:color w:val="000000"/>
                <w:szCs w:val="22"/>
                <w:lang w:val="pl-PL"/>
              </w:rPr>
            </w:pPr>
            <w:r>
              <w:rPr>
                <w:color w:val="000000"/>
                <w:szCs w:val="22"/>
                <w:lang w:val="pl-PL"/>
              </w:rPr>
              <w:t>31,2</w:t>
            </w:r>
          </w:p>
        </w:tc>
      </w:tr>
      <w:tr>
        <w:trPr>
          <w:trHeight w:val="202"/>
        </w:trPr>
        <w:tc>
          <w:tcPr>
            <w:tcW w:w="618" w:type="pct"/>
          </w:tcPr>
          <w:p>
            <w:pPr>
              <w:spacing w:line="240" w:lineRule="auto"/>
              <w:rPr>
                <w:color w:val="000000"/>
                <w:szCs w:val="22"/>
                <w:lang w:val="pl-PL"/>
              </w:rPr>
            </w:pPr>
            <w:r>
              <w:rPr>
                <w:color w:val="000000"/>
                <w:szCs w:val="22"/>
                <w:lang w:val="pl-PL"/>
              </w:rPr>
              <w:t>14</w:t>
            </w:r>
          </w:p>
        </w:tc>
        <w:tc>
          <w:tcPr>
            <w:tcW w:w="1010" w:type="pct"/>
          </w:tcPr>
          <w:p>
            <w:pPr>
              <w:spacing w:line="240" w:lineRule="auto"/>
              <w:jc w:val="center"/>
              <w:rPr>
                <w:color w:val="000000"/>
                <w:szCs w:val="22"/>
                <w:lang w:val="pl-PL"/>
              </w:rPr>
            </w:pPr>
            <w:r>
              <w:rPr>
                <w:color w:val="000000"/>
                <w:szCs w:val="22"/>
                <w:lang w:val="pl-PL"/>
              </w:rPr>
              <w:t>840</w:t>
            </w:r>
          </w:p>
        </w:tc>
        <w:tc>
          <w:tcPr>
            <w:tcW w:w="1511" w:type="pct"/>
          </w:tcPr>
          <w:p>
            <w:pPr>
              <w:spacing w:line="240" w:lineRule="auto"/>
              <w:jc w:val="center"/>
              <w:rPr>
                <w:color w:val="000000"/>
                <w:szCs w:val="22"/>
                <w:lang w:val="pl-PL"/>
              </w:rPr>
            </w:pPr>
            <w:r>
              <w:rPr>
                <w:color w:val="000000"/>
                <w:szCs w:val="22"/>
                <w:lang w:val="pl-PL"/>
              </w:rPr>
              <w:t>4*</w:t>
            </w:r>
          </w:p>
        </w:tc>
        <w:tc>
          <w:tcPr>
            <w:tcW w:w="1861" w:type="pct"/>
          </w:tcPr>
          <w:p>
            <w:pPr>
              <w:spacing w:line="240" w:lineRule="auto"/>
              <w:jc w:val="center"/>
              <w:rPr>
                <w:color w:val="000000"/>
                <w:szCs w:val="22"/>
                <w:lang w:val="pl-PL"/>
              </w:rPr>
            </w:pPr>
            <w:r>
              <w:rPr>
                <w:color w:val="000000"/>
                <w:szCs w:val="22"/>
                <w:lang w:val="pl-PL"/>
              </w:rPr>
              <w:t>33,6</w:t>
            </w:r>
          </w:p>
        </w:tc>
      </w:tr>
      <w:tr>
        <w:trPr>
          <w:trHeight w:val="215"/>
        </w:trPr>
        <w:tc>
          <w:tcPr>
            <w:tcW w:w="618" w:type="pct"/>
          </w:tcPr>
          <w:p>
            <w:pPr>
              <w:spacing w:line="240" w:lineRule="auto"/>
              <w:rPr>
                <w:color w:val="000000"/>
                <w:szCs w:val="22"/>
                <w:lang w:val="pl-PL"/>
              </w:rPr>
            </w:pPr>
            <w:r>
              <w:rPr>
                <w:color w:val="000000"/>
                <w:szCs w:val="22"/>
                <w:lang w:val="pl-PL"/>
              </w:rPr>
              <w:t>15</w:t>
            </w:r>
          </w:p>
        </w:tc>
        <w:tc>
          <w:tcPr>
            <w:tcW w:w="1010" w:type="pct"/>
          </w:tcPr>
          <w:p>
            <w:pPr>
              <w:spacing w:line="240" w:lineRule="auto"/>
              <w:jc w:val="center"/>
              <w:rPr>
                <w:color w:val="000000"/>
                <w:szCs w:val="22"/>
                <w:lang w:val="pl-PL"/>
              </w:rPr>
            </w:pPr>
            <w:r>
              <w:rPr>
                <w:color w:val="000000"/>
                <w:szCs w:val="22"/>
                <w:lang w:val="pl-PL"/>
              </w:rPr>
              <w:t>900</w:t>
            </w:r>
          </w:p>
        </w:tc>
        <w:tc>
          <w:tcPr>
            <w:tcW w:w="1511" w:type="pct"/>
          </w:tcPr>
          <w:p>
            <w:pPr>
              <w:spacing w:line="240" w:lineRule="auto"/>
              <w:jc w:val="center"/>
              <w:rPr>
                <w:color w:val="000000"/>
                <w:szCs w:val="22"/>
                <w:lang w:val="pl-PL"/>
              </w:rPr>
            </w:pPr>
            <w:r>
              <w:rPr>
                <w:color w:val="000000"/>
                <w:szCs w:val="22"/>
                <w:lang w:val="pl-PL"/>
              </w:rPr>
              <w:t>4*</w:t>
            </w:r>
          </w:p>
        </w:tc>
        <w:tc>
          <w:tcPr>
            <w:tcW w:w="1861" w:type="pct"/>
          </w:tcPr>
          <w:p>
            <w:pPr>
              <w:spacing w:line="240" w:lineRule="auto"/>
              <w:jc w:val="center"/>
              <w:rPr>
                <w:color w:val="000000"/>
                <w:szCs w:val="22"/>
                <w:lang w:val="pl-PL"/>
              </w:rPr>
            </w:pPr>
            <w:r>
              <w:rPr>
                <w:color w:val="000000"/>
                <w:szCs w:val="22"/>
                <w:lang w:val="pl-PL"/>
              </w:rPr>
              <w:t>36</w:t>
            </w:r>
          </w:p>
        </w:tc>
      </w:tr>
      <w:tr>
        <w:trPr>
          <w:trHeight w:val="215"/>
        </w:trPr>
        <w:tc>
          <w:tcPr>
            <w:tcW w:w="618" w:type="pct"/>
            <w:tcBorders>
              <w:bottom w:val="single" w:sz="4" w:space="0" w:color="auto"/>
            </w:tcBorders>
          </w:tcPr>
          <w:p>
            <w:pPr>
              <w:spacing w:line="240" w:lineRule="auto"/>
              <w:rPr>
                <w:color w:val="000000"/>
                <w:szCs w:val="22"/>
                <w:lang w:val="pl-PL"/>
              </w:rPr>
            </w:pPr>
            <w:r>
              <w:rPr>
                <w:color w:val="000000"/>
                <w:szCs w:val="22"/>
                <w:lang w:val="pl-PL"/>
              </w:rPr>
              <w:t>16</w:t>
            </w:r>
          </w:p>
        </w:tc>
        <w:tc>
          <w:tcPr>
            <w:tcW w:w="1010" w:type="pct"/>
            <w:tcBorders>
              <w:bottom w:val="single" w:sz="4" w:space="0" w:color="auto"/>
            </w:tcBorders>
          </w:tcPr>
          <w:p>
            <w:pPr>
              <w:spacing w:line="240" w:lineRule="auto"/>
              <w:jc w:val="center"/>
              <w:rPr>
                <w:color w:val="000000"/>
                <w:szCs w:val="22"/>
                <w:lang w:val="pl-PL"/>
              </w:rPr>
            </w:pPr>
            <w:r>
              <w:rPr>
                <w:color w:val="000000"/>
                <w:szCs w:val="22"/>
                <w:lang w:val="pl-PL"/>
              </w:rPr>
              <w:t>960</w:t>
            </w:r>
          </w:p>
        </w:tc>
        <w:tc>
          <w:tcPr>
            <w:tcW w:w="1511" w:type="pct"/>
            <w:tcBorders>
              <w:bottom w:val="single" w:sz="4" w:space="0" w:color="auto"/>
            </w:tcBorders>
          </w:tcPr>
          <w:p>
            <w:pPr>
              <w:spacing w:line="240" w:lineRule="auto"/>
              <w:jc w:val="center"/>
              <w:rPr>
                <w:color w:val="000000"/>
                <w:szCs w:val="22"/>
                <w:lang w:val="pl-PL"/>
              </w:rPr>
            </w:pPr>
            <w:r>
              <w:rPr>
                <w:color w:val="000000"/>
                <w:szCs w:val="22"/>
                <w:lang w:val="pl-PL"/>
              </w:rPr>
              <w:t>4*</w:t>
            </w:r>
          </w:p>
        </w:tc>
        <w:tc>
          <w:tcPr>
            <w:tcW w:w="1861" w:type="pct"/>
            <w:tcBorders>
              <w:bottom w:val="single" w:sz="4" w:space="0" w:color="auto"/>
            </w:tcBorders>
          </w:tcPr>
          <w:p>
            <w:pPr>
              <w:spacing w:line="240" w:lineRule="auto"/>
              <w:jc w:val="center"/>
              <w:rPr>
                <w:color w:val="000000"/>
                <w:szCs w:val="22"/>
                <w:lang w:val="pl-PL"/>
              </w:rPr>
            </w:pPr>
            <w:r>
              <w:rPr>
                <w:color w:val="000000"/>
                <w:szCs w:val="22"/>
                <w:lang w:val="pl-PL"/>
              </w:rPr>
              <w:t>38,4</w:t>
            </w:r>
          </w:p>
        </w:tc>
      </w:tr>
    </w:tbl>
    <w:p>
      <w:pPr>
        <w:pStyle w:val="C-Footnote"/>
        <w:rPr>
          <w:rFonts w:ascii="Times New Roman" w:hAnsi="Times New Roman" w:cs="Times New Roman"/>
          <w:sz w:val="22"/>
          <w:szCs w:val="24"/>
          <w:lang w:val="pl-PL"/>
        </w:rPr>
      </w:pPr>
      <w:r>
        <w:rPr>
          <w:rFonts w:ascii="Times New Roman" w:hAnsi="Times New Roman" w:cs="Times New Roman"/>
          <w:sz w:val="20"/>
          <w:lang w:val="pl-PL"/>
        </w:rPr>
        <w:lastRenderedPageBreak/>
        <w:t>* Zamiast czterech saszetek 250 mg, jedną pełną saszetkę 1 000 mg można zmieszać z 36 ml wody lub soku jabłkowego. Mieszaninę tę należy podawać za pomocą strzykawki, zgodnie z objętością do podania wyszczególnioną w tabeli 5.</w:t>
      </w:r>
    </w:p>
    <w:p>
      <w:pPr>
        <w:spacing w:line="240" w:lineRule="auto"/>
        <w:rPr>
          <w:szCs w:val="22"/>
          <w:lang w:val="pl-PL"/>
        </w:rPr>
      </w:pPr>
    </w:p>
    <w:p>
      <w:pPr>
        <w:keepNext/>
        <w:keepLines/>
        <w:tabs>
          <w:tab w:val="clear" w:pos="567"/>
          <w:tab w:val="left" w:pos="720"/>
        </w:tabs>
        <w:spacing w:line="240" w:lineRule="auto"/>
        <w:rPr>
          <w:i/>
          <w:iCs/>
          <w:szCs w:val="22"/>
          <w:lang w:val="pl-PL"/>
        </w:rPr>
      </w:pPr>
      <w:r>
        <w:rPr>
          <w:i/>
          <w:iCs/>
          <w:szCs w:val="22"/>
          <w:lang w:val="pl-PL"/>
        </w:rPr>
        <w:t>Zalecana dawka produktu leczniczego Sephience proszek doustny w saszetce zależnie od masy ciała u pacjentów w wieku 2 lat i starszych o masie ciała powyżej 16 kg</w:t>
      </w:r>
      <w:r>
        <w:rPr>
          <w:i/>
          <w:iCs/>
          <w:szCs w:val="22"/>
          <w:lang w:val="pl-PL"/>
        </w:rPr>
        <w:fldChar w:fldCharType="begin"/>
      </w:r>
      <w:r>
        <w:rPr>
          <w:i/>
          <w:iCs/>
          <w:szCs w:val="22"/>
          <w:lang w:val="pl-PL"/>
        </w:rPr>
        <w:instrText xml:space="preserve"> DOCVARIABLE vault_nd_bcdfb54a-e9d7-484b-ba2d-5c27e0894972 \* MERGEFORMAT </w:instrText>
      </w:r>
      <w:r>
        <w:rPr>
          <w:i/>
          <w:iCs/>
          <w:szCs w:val="22"/>
          <w:lang w:val="pl-PL"/>
        </w:rPr>
        <w:fldChar w:fldCharType="separate"/>
      </w:r>
      <w:r>
        <w:rPr>
          <w:i/>
          <w:iCs/>
          <w:szCs w:val="22"/>
          <w:lang w:val="pl-PL"/>
        </w:rPr>
        <w:t xml:space="preserve"> </w:t>
      </w:r>
      <w:r>
        <w:rPr>
          <w:i/>
          <w:iCs/>
          <w:szCs w:val="22"/>
          <w:lang w:val="pl-PL"/>
        </w:rPr>
        <w:fldChar w:fldCharType="end"/>
      </w:r>
    </w:p>
    <w:p>
      <w:pPr>
        <w:tabs>
          <w:tab w:val="clear" w:pos="567"/>
        </w:tabs>
        <w:spacing w:line="240" w:lineRule="auto"/>
        <w:ind w:right="716"/>
        <w:rPr>
          <w:szCs w:val="22"/>
          <w:lang w:val="pl-PL"/>
        </w:rPr>
      </w:pPr>
    </w:p>
    <w:p>
      <w:pPr>
        <w:tabs>
          <w:tab w:val="clear" w:pos="567"/>
        </w:tabs>
        <w:spacing w:line="240" w:lineRule="auto"/>
        <w:ind w:right="716"/>
        <w:rPr>
          <w:szCs w:val="22"/>
          <w:lang w:val="pl-PL"/>
        </w:rPr>
      </w:pPr>
      <w:r>
        <w:rPr>
          <w:szCs w:val="22"/>
          <w:lang w:val="pl-PL"/>
        </w:rPr>
        <w:t>Zalecana dawka wynosi 60 mg/kg mc./dobę.</w:t>
      </w:r>
    </w:p>
    <w:p>
      <w:pPr>
        <w:tabs>
          <w:tab w:val="clear" w:pos="567"/>
        </w:tabs>
        <w:spacing w:line="240" w:lineRule="auto"/>
        <w:ind w:right="716"/>
        <w:rPr>
          <w:szCs w:val="22"/>
          <w:lang w:val="pl-PL"/>
        </w:rPr>
      </w:pPr>
      <w:r>
        <w:rPr>
          <w:szCs w:val="22"/>
          <w:lang w:val="pl-PL"/>
        </w:rPr>
        <w:t>Obliczoną dawkę dobową należy odpowiednio zaokrąglić do najbliższej wielokrotności 250 mg lub 1 000 mg. Na przykład obliczoną dawkę w przedziale od 1 251 do 1 374 mg należy zaokrąglić w dół do 1 250 mg, co odpowiada 1 saszetce 250 mg i 1 saszetce 1 000 mg. Obliczoną dawkę w przedziale od 1 375 do 1 499 mg należy zaokrąglić do 1 500 mg, co odpowiada 2 saszetkom 250 mg i 1 saszetce 1 000 mg.</w:t>
      </w:r>
    </w:p>
    <w:p>
      <w:pPr>
        <w:tabs>
          <w:tab w:val="clear" w:pos="567"/>
        </w:tabs>
        <w:spacing w:line="240" w:lineRule="auto"/>
        <w:ind w:right="716"/>
        <w:rPr>
          <w:szCs w:val="22"/>
          <w:lang w:val="pl-PL"/>
        </w:rPr>
      </w:pPr>
    </w:p>
    <w:p>
      <w:pPr>
        <w:keepNext/>
        <w:spacing w:line="240" w:lineRule="auto"/>
        <w:rPr>
          <w:i/>
          <w:lang w:val="pl-PL"/>
        </w:rPr>
      </w:pPr>
      <w:r>
        <w:rPr>
          <w:i/>
          <w:iCs/>
          <w:szCs w:val="22"/>
          <w:lang w:val="pl-PL"/>
        </w:rPr>
        <w:t>Pominięcie dawki</w:t>
      </w:r>
    </w:p>
    <w:p>
      <w:pPr>
        <w:spacing w:line="240" w:lineRule="auto"/>
        <w:rPr>
          <w:szCs w:val="22"/>
          <w:lang w:val="pl-PL"/>
        </w:rPr>
      </w:pPr>
      <w:r>
        <w:rPr>
          <w:szCs w:val="22"/>
          <w:lang w:val="pl-PL"/>
        </w:rPr>
        <w:t>Pominiętą dawkę należy przyjąć jak najszybciej. Następnego dnia należy wznowić dawkowanie zgodnie z harmonogramem.</w:t>
      </w:r>
    </w:p>
    <w:p>
      <w:pPr>
        <w:spacing w:line="240" w:lineRule="auto"/>
        <w:rPr>
          <w:szCs w:val="22"/>
          <w:lang w:val="pl-PL"/>
        </w:rPr>
      </w:pPr>
    </w:p>
    <w:p>
      <w:pPr>
        <w:spacing w:line="240" w:lineRule="auto"/>
        <w:rPr>
          <w:szCs w:val="22"/>
          <w:u w:val="single"/>
          <w:lang w:val="pl-PL"/>
        </w:rPr>
      </w:pPr>
      <w:r>
        <w:rPr>
          <w:szCs w:val="22"/>
          <w:u w:val="single"/>
          <w:lang w:val="pl-PL"/>
        </w:rPr>
        <w:t>Przerwanie leczenia</w:t>
      </w:r>
    </w:p>
    <w:p>
      <w:pPr>
        <w:spacing w:line="240" w:lineRule="auto"/>
        <w:rPr>
          <w:szCs w:val="22"/>
          <w:lang w:val="pl-PL"/>
        </w:rPr>
      </w:pPr>
    </w:p>
    <w:p>
      <w:pPr>
        <w:spacing w:line="240" w:lineRule="auto"/>
        <w:rPr>
          <w:szCs w:val="22"/>
          <w:lang w:val="pl-PL"/>
        </w:rPr>
      </w:pPr>
      <w:r>
        <w:rPr>
          <w:szCs w:val="22"/>
          <w:lang w:val="pl-PL"/>
        </w:rPr>
        <w:t>W głównym badaniu fazy III do określenia odpowiedzi wykorzystano próg obniżenia stężenia fenyloalaniny (Phe) we krwi o co najmniej 15%.</w:t>
      </w:r>
    </w:p>
    <w:p>
      <w:pPr>
        <w:spacing w:line="240" w:lineRule="auto"/>
        <w:rPr>
          <w:szCs w:val="22"/>
          <w:lang w:val="pl-PL"/>
        </w:rPr>
      </w:pPr>
      <w:r>
        <w:rPr>
          <w:szCs w:val="22"/>
          <w:lang w:val="pl-PL"/>
        </w:rPr>
        <w:t>Brak kontrolowany danych dotyczących skuteczności i bezpieczeństwa u pacjentów, u których nie wystąpiło obniżenie stężenia Phe we krwi o 15% lub więcej po otrzymywaniu sepiapteryny przez 14 dni.</w:t>
      </w:r>
    </w:p>
    <w:p>
      <w:pPr>
        <w:spacing w:line="240" w:lineRule="auto"/>
        <w:rPr>
          <w:szCs w:val="22"/>
          <w:lang w:val="pl-PL"/>
        </w:rPr>
      </w:pPr>
      <w:r>
        <w:rPr>
          <w:szCs w:val="22"/>
          <w:lang w:val="pl-PL"/>
        </w:rPr>
        <w:t>Określenie zdolności pacjenta z PKU do odpowiedzi na leczenie i przerwanie stosowania produktu leczniczego zależy od decyzji lekarza.</w:t>
      </w:r>
    </w:p>
    <w:p>
      <w:pPr>
        <w:spacing w:line="240" w:lineRule="auto"/>
        <w:rPr>
          <w:szCs w:val="22"/>
          <w:u w:val="single"/>
          <w:lang w:val="pl-PL"/>
        </w:rPr>
      </w:pPr>
    </w:p>
    <w:p>
      <w:pPr>
        <w:spacing w:line="240" w:lineRule="auto"/>
        <w:rPr>
          <w:szCs w:val="22"/>
          <w:u w:val="single"/>
          <w:lang w:val="pl-PL"/>
        </w:rPr>
      </w:pPr>
      <w:r>
        <w:rPr>
          <w:szCs w:val="22"/>
          <w:u w:val="single"/>
          <w:lang w:val="pl-PL"/>
        </w:rPr>
        <w:t>Szczególne grupy pacjentów</w:t>
      </w:r>
    </w:p>
    <w:p>
      <w:pPr>
        <w:spacing w:line="240" w:lineRule="auto"/>
        <w:rPr>
          <w:szCs w:val="22"/>
          <w:u w:val="single"/>
          <w:lang w:val="pl-PL"/>
        </w:rPr>
      </w:pPr>
    </w:p>
    <w:p>
      <w:pPr>
        <w:spacing w:line="240" w:lineRule="auto"/>
        <w:rPr>
          <w:i/>
          <w:szCs w:val="22"/>
          <w:lang w:val="pl-PL"/>
        </w:rPr>
      </w:pPr>
      <w:r>
        <w:rPr>
          <w:i/>
          <w:iCs/>
          <w:szCs w:val="22"/>
          <w:lang w:val="pl-PL"/>
        </w:rPr>
        <w:t>Osoby w podeszłym wieku</w:t>
      </w:r>
    </w:p>
    <w:p>
      <w:pPr>
        <w:spacing w:line="240" w:lineRule="auto"/>
        <w:rPr>
          <w:szCs w:val="22"/>
          <w:lang w:val="pl-PL"/>
        </w:rPr>
      </w:pPr>
      <w:r>
        <w:rPr>
          <w:szCs w:val="22"/>
          <w:lang w:val="pl-PL"/>
        </w:rPr>
        <w:t>Nie określono bezpieczeństwa stosowania ani skuteczności produktu leczniczego Sephience u pacjentów w wieku 65 lat i starszych. Należy zachować ostrożność, przepisując produkt pacjentom w wieku 65 lat i starszym.</w:t>
      </w:r>
    </w:p>
    <w:p>
      <w:pPr>
        <w:spacing w:line="240" w:lineRule="auto"/>
        <w:rPr>
          <w:szCs w:val="22"/>
          <w:lang w:val="pl-PL"/>
        </w:rPr>
      </w:pPr>
    </w:p>
    <w:p>
      <w:pPr>
        <w:keepNext/>
        <w:spacing w:line="240" w:lineRule="auto"/>
        <w:rPr>
          <w:i/>
          <w:szCs w:val="22"/>
          <w:lang w:val="pl-PL"/>
        </w:rPr>
      </w:pPr>
      <w:r>
        <w:rPr>
          <w:i/>
          <w:iCs/>
          <w:szCs w:val="22"/>
          <w:lang w:val="pl-PL"/>
        </w:rPr>
        <w:t>Zaburzenia czynności nerek</w:t>
      </w:r>
    </w:p>
    <w:p>
      <w:pPr>
        <w:spacing w:line="240" w:lineRule="auto"/>
        <w:rPr>
          <w:szCs w:val="22"/>
          <w:lang w:val="pl-PL"/>
        </w:rPr>
      </w:pPr>
      <w:r>
        <w:rPr>
          <w:szCs w:val="22"/>
          <w:lang w:val="pl-PL"/>
        </w:rPr>
        <w:t>Nie określono dotychczas bezpieczeństwa stosowania ani skuteczności produktu leczniczego Sephience u pacjentów z zaburzeniami czynności nerek. Dane nie są dostępne (patrz punkt 5.2).</w:t>
      </w:r>
    </w:p>
    <w:p>
      <w:pPr>
        <w:spacing w:line="240" w:lineRule="auto"/>
        <w:rPr>
          <w:szCs w:val="22"/>
          <w:lang w:val="pl-PL"/>
        </w:rPr>
      </w:pPr>
    </w:p>
    <w:p>
      <w:pPr>
        <w:keepNext/>
        <w:spacing w:line="240" w:lineRule="auto"/>
        <w:rPr>
          <w:i/>
          <w:szCs w:val="22"/>
          <w:lang w:val="pl-PL"/>
        </w:rPr>
      </w:pPr>
      <w:r>
        <w:rPr>
          <w:i/>
          <w:iCs/>
          <w:szCs w:val="22"/>
          <w:lang w:val="pl-PL"/>
        </w:rPr>
        <w:t>Zaburzenia czynności wątroby</w:t>
      </w:r>
    </w:p>
    <w:p>
      <w:pPr>
        <w:spacing w:line="240" w:lineRule="auto"/>
        <w:rPr>
          <w:szCs w:val="22"/>
          <w:lang w:val="pl-PL"/>
        </w:rPr>
      </w:pPr>
      <w:r>
        <w:rPr>
          <w:szCs w:val="22"/>
          <w:lang w:val="pl-PL"/>
        </w:rPr>
        <w:t>Nie określono dotychczas bezpieczeństwa stosowania ani skuteczności produktu leczniczego Sephience u pacjentów z zaburzeniami czynności wątroby. Dane nie są dostępne (patrz punkt 5.2).</w:t>
      </w:r>
    </w:p>
    <w:p>
      <w:pPr>
        <w:spacing w:line="240" w:lineRule="auto"/>
        <w:rPr>
          <w:szCs w:val="22"/>
          <w:lang w:val="pl-PL"/>
        </w:rPr>
      </w:pPr>
    </w:p>
    <w:p>
      <w:pPr>
        <w:spacing w:line="240" w:lineRule="auto"/>
        <w:rPr>
          <w:i/>
          <w:iCs/>
          <w:szCs w:val="22"/>
          <w:lang w:val="pl-PL"/>
        </w:rPr>
      </w:pPr>
      <w:r>
        <w:rPr>
          <w:i/>
          <w:iCs/>
          <w:szCs w:val="22"/>
          <w:lang w:val="pl-PL"/>
        </w:rPr>
        <w:t>Dzieci i młodzież</w:t>
      </w:r>
    </w:p>
    <w:p>
      <w:pPr>
        <w:spacing w:line="240" w:lineRule="auto"/>
        <w:rPr>
          <w:szCs w:val="22"/>
          <w:lang w:val="pl-PL"/>
        </w:rPr>
      </w:pPr>
      <w:r>
        <w:rPr>
          <w:szCs w:val="22"/>
          <w:lang w:val="pl-PL"/>
        </w:rPr>
        <w:t>W badaniach klinicznych fazy III dotyczących produktu leczniczego Sephience u niektórych pacjentów z grupy dzieci i młodzieży wystąpiła hipofenyloalaninemia, w tym u niektórych pacjentów z różnymi poziomami małego stężenia Phe we krwi (patrz punkt 4.8).</w:t>
      </w:r>
    </w:p>
    <w:p>
      <w:pPr>
        <w:spacing w:line="240" w:lineRule="auto"/>
        <w:rPr>
          <w:szCs w:val="22"/>
          <w:lang w:val="pl-PL"/>
        </w:rPr>
      </w:pPr>
    </w:p>
    <w:p>
      <w:pPr>
        <w:spacing w:line="240" w:lineRule="auto"/>
        <w:rPr>
          <w:szCs w:val="22"/>
          <w:u w:val="single"/>
          <w:lang w:val="pl-PL"/>
        </w:rPr>
      </w:pPr>
      <w:r>
        <w:rPr>
          <w:szCs w:val="22"/>
          <w:u w:val="single"/>
          <w:lang w:val="pl-PL"/>
        </w:rPr>
        <w:t xml:space="preserve">Sposób podawania </w:t>
      </w:r>
    </w:p>
    <w:p>
      <w:pPr>
        <w:spacing w:line="240" w:lineRule="auto"/>
        <w:rPr>
          <w:szCs w:val="22"/>
          <w:u w:val="single"/>
          <w:lang w:val="pl-PL"/>
        </w:rPr>
      </w:pPr>
    </w:p>
    <w:p>
      <w:pPr>
        <w:spacing w:line="240" w:lineRule="auto"/>
        <w:rPr>
          <w:szCs w:val="22"/>
          <w:u w:val="single"/>
          <w:lang w:val="pl-PL"/>
        </w:rPr>
      </w:pPr>
      <w:r>
        <w:rPr>
          <w:szCs w:val="22"/>
          <w:lang w:val="pl-PL"/>
        </w:rPr>
        <w:t>Podanie doustne.</w:t>
      </w:r>
    </w:p>
    <w:p>
      <w:pPr>
        <w:spacing w:line="240" w:lineRule="auto"/>
        <w:rPr>
          <w:szCs w:val="22"/>
          <w:lang w:val="pl-PL"/>
        </w:rPr>
      </w:pPr>
      <w:r>
        <w:rPr>
          <w:szCs w:val="22"/>
          <w:lang w:val="pl-PL"/>
        </w:rPr>
        <w:t xml:space="preserve">Produkt leczniczy Sephience należy podawać raz na dobę, doustnie z posiłkiem, podając wskazaną dawkę w mg/kg mc. </w:t>
      </w:r>
    </w:p>
    <w:p>
      <w:pPr>
        <w:spacing w:line="240" w:lineRule="auto"/>
        <w:rPr>
          <w:szCs w:val="22"/>
          <w:lang w:val="pl-PL"/>
        </w:rPr>
      </w:pPr>
    </w:p>
    <w:p>
      <w:pPr>
        <w:spacing w:line="240" w:lineRule="auto"/>
        <w:rPr>
          <w:szCs w:val="22"/>
          <w:lang w:val="pl-PL"/>
        </w:rPr>
      </w:pPr>
      <w:r>
        <w:rPr>
          <w:szCs w:val="22"/>
          <w:lang w:val="pl-PL"/>
        </w:rPr>
        <w:t>Produkt leczniczy Sephience proszek doustny jest dostępny w pojedynczych saszetkach 250 mg lub 1 000 mg i należy go wymieszać z wodą, sokiem jabłkowym lub niewielką ilością pokarmu o delikatnej konsystencji, takiego jak mus jabłkowy lub dżem.</w:t>
      </w:r>
    </w:p>
    <w:p>
      <w:pPr>
        <w:spacing w:line="240" w:lineRule="auto"/>
        <w:rPr>
          <w:szCs w:val="22"/>
          <w:lang w:val="pl-PL"/>
        </w:rPr>
      </w:pPr>
    </w:p>
    <w:p>
      <w:pPr>
        <w:keepNext/>
        <w:spacing w:line="240" w:lineRule="auto"/>
        <w:rPr>
          <w:szCs w:val="22"/>
          <w:lang w:val="pl-PL"/>
        </w:rPr>
      </w:pPr>
      <w:r>
        <w:rPr>
          <w:szCs w:val="22"/>
          <w:lang w:val="pl-PL"/>
        </w:rPr>
        <w:t xml:space="preserve">Produkt leczniczy Sephience jest przeznaczony do długotrwałego stosowania. </w:t>
      </w:r>
    </w:p>
    <w:p>
      <w:pPr>
        <w:keepNext/>
        <w:spacing w:line="240" w:lineRule="auto"/>
        <w:rPr>
          <w:szCs w:val="22"/>
          <w:lang w:val="pl-PL"/>
        </w:rPr>
      </w:pPr>
    </w:p>
    <w:p>
      <w:pPr>
        <w:spacing w:line="240" w:lineRule="auto"/>
        <w:rPr>
          <w:i/>
          <w:szCs w:val="22"/>
          <w:lang w:val="pl-PL"/>
        </w:rPr>
      </w:pPr>
      <w:r>
        <w:rPr>
          <w:i/>
          <w:iCs/>
          <w:szCs w:val="22"/>
          <w:lang w:val="pl-PL"/>
        </w:rPr>
        <w:t>Pacjenci o masie ciała 16 kg lub mniej</w:t>
      </w:r>
    </w:p>
    <w:p>
      <w:pPr>
        <w:rPr>
          <w:szCs w:val="22"/>
          <w:lang w:val="pl-PL"/>
        </w:rPr>
      </w:pPr>
      <w:r>
        <w:rPr>
          <w:szCs w:val="22"/>
          <w:lang w:val="pl-PL"/>
        </w:rPr>
        <w:t xml:space="preserve">Produkt leczniczy Sephience należy wymieszać z wodą lub sokiem jabłkowym (9 ml na każdą saszetkę 250 mg, 36 ml na każdą saszetkę 1 000 mg). Część tej mieszaniny odpowiadającą wymaganej dawce należy podać doustnie za pomocą strzykawki dozującej. Przed pobraniem do strzykawki dozującej produkt należy dobrze wymieszać przez 30 sekund lub dłużej, do uzyskania jednolitej masy niezawierającej grudek. Po wymieszaniu, dawkę należy podać natychmiast. Jeżeli płynna mieszanina nie zostanie podana natychmiast, można ją podać w ciągu, odpowiednio, 6 lub 24 godzin, jeżeli była przechowywana w temperaturze pokojowej (poniżej </w:t>
      </w:r>
      <w:r>
        <w:rPr>
          <w:lang w:val="pl-PL"/>
        </w:rPr>
        <w:t>25</w:t>
      </w:r>
      <w:r>
        <w:rPr>
          <w:bCs/>
          <w:szCs w:val="22"/>
          <w:lang w:val="pl-PL"/>
        </w:rPr>
        <w:t>°</w:t>
      </w:r>
      <w:r>
        <w:rPr>
          <w:lang w:val="pl-PL"/>
        </w:rPr>
        <w:t>C)</w:t>
      </w:r>
      <w:r>
        <w:rPr>
          <w:szCs w:val="22"/>
          <w:lang w:val="pl-PL"/>
        </w:rPr>
        <w:t xml:space="preserve"> lub w lodówce </w:t>
      </w:r>
      <w:r>
        <w:rPr>
          <w:lang w:val="pl-PL"/>
        </w:rPr>
        <w:t>(2°C - 8°C)</w:t>
      </w:r>
      <w:r>
        <w:rPr>
          <w:szCs w:val="22"/>
          <w:lang w:val="pl-PL"/>
        </w:rPr>
        <w:t>. Przed podaniem mieszaninę należy ponownie mieszać przez co najmniej 30 sekund. Aby zapewnić podanie pełnej dawki, strzykawkę należy przepłukać dodatkową porcją wody lub soku (o objętości co najmniej 15 ml), którą należy natychmiast połknąć.</w:t>
      </w:r>
    </w:p>
    <w:p>
      <w:pPr>
        <w:tabs>
          <w:tab w:val="clear" w:pos="567"/>
        </w:tabs>
        <w:spacing w:line="240" w:lineRule="auto"/>
        <w:ind w:right="716"/>
        <w:rPr>
          <w:szCs w:val="22"/>
          <w:lang w:val="pl-PL"/>
        </w:rPr>
      </w:pPr>
    </w:p>
    <w:p>
      <w:pPr>
        <w:keepNext/>
        <w:spacing w:line="240" w:lineRule="auto"/>
        <w:rPr>
          <w:szCs w:val="22"/>
          <w:lang w:val="pl-PL"/>
        </w:rPr>
      </w:pPr>
      <w:r>
        <w:rPr>
          <w:i/>
          <w:iCs/>
          <w:szCs w:val="22"/>
          <w:lang w:val="pl-PL"/>
        </w:rPr>
        <w:t>Pacjenci o masie ciała powyżej 16 kg</w:t>
      </w:r>
    </w:p>
    <w:p>
      <w:pPr>
        <w:tabs>
          <w:tab w:val="clear" w:pos="567"/>
        </w:tabs>
        <w:spacing w:line="240" w:lineRule="auto"/>
        <w:ind w:right="716"/>
        <w:jc w:val="both"/>
        <w:rPr>
          <w:szCs w:val="22"/>
          <w:lang w:val="pl-PL"/>
        </w:rPr>
      </w:pPr>
      <w:r>
        <w:rPr>
          <w:szCs w:val="22"/>
          <w:lang w:val="pl-PL"/>
        </w:rPr>
        <w:t xml:space="preserve">Całą zawartość każdej saszetki Sephience należy wymieszać z wodą lub sokiem jabłkowym (9 ml na każdą saszetkę 250 mg; 20 ml na każdą saszetkę 1 000 mg) lub pokarmami o delikatnej konsystencji (łącznie 2 łyżki stołowe). Proszek należy dobrze wymieszać przez co najmniej 30 sekund z wodą lub sokiem jabłkowym i przez co najmniej 60 sekund z pokarmami o delikatnej konsystencji do uzyskania jednolitej masy niezawierającej grudek. Po wymieszaniu, należną dawkę należy podać natychmiast. Jeżeli mieszanina w formie płynnej lub pokarmu o delikatnej konsystencji nie zostanie podana natychmiast, można ją podać w ciągu, odpowiednio, 6 lub 24 godzin, jeżeli była przechowywana w temperaturze pokojowej (poniżej </w:t>
      </w:r>
      <w:r>
        <w:rPr>
          <w:lang w:val="pl-PL"/>
        </w:rPr>
        <w:t>25</w:t>
      </w:r>
      <w:r>
        <w:rPr>
          <w:bCs/>
          <w:szCs w:val="22"/>
          <w:lang w:val="pl-PL"/>
        </w:rPr>
        <w:t>°</w:t>
      </w:r>
      <w:r>
        <w:rPr>
          <w:lang w:val="pl-PL"/>
        </w:rPr>
        <w:t>C)</w:t>
      </w:r>
      <w:r>
        <w:rPr>
          <w:szCs w:val="22"/>
          <w:lang w:val="pl-PL"/>
        </w:rPr>
        <w:t xml:space="preserve"> lub w lodówce </w:t>
      </w:r>
      <w:r>
        <w:rPr>
          <w:lang w:val="pl-PL"/>
        </w:rPr>
        <w:t>(2°C - 8°C)</w:t>
      </w:r>
      <w:r>
        <w:rPr>
          <w:szCs w:val="22"/>
          <w:lang w:val="pl-PL"/>
        </w:rPr>
        <w:t>. Przed podaniem, mieszaninę w formie płynnej lub pokarmu o delikatnej konsystencji należy ponownie wymieszać, odpowiednio, przez co najmniej 30 sekund i 60 sekund. Aby zapewnić podanie pełnej dawki, pojemnik, w którym przygotowywano mieszaninę należy przepłukać dodatkową porcją wody lub soku (o objętości co najmniej 15 ml), którą należy natychmiast połknąć</w:t>
      </w:r>
    </w:p>
    <w:p>
      <w:pPr>
        <w:tabs>
          <w:tab w:val="clear" w:pos="567"/>
        </w:tabs>
        <w:spacing w:line="240" w:lineRule="auto"/>
        <w:ind w:right="716"/>
        <w:rPr>
          <w:szCs w:val="22"/>
          <w:lang w:val="pl-PL"/>
        </w:rPr>
      </w:pPr>
    </w:p>
    <w:p>
      <w:pPr>
        <w:tabs>
          <w:tab w:val="clear" w:pos="567"/>
        </w:tabs>
        <w:spacing w:line="240" w:lineRule="auto"/>
        <w:ind w:right="716"/>
        <w:rPr>
          <w:szCs w:val="22"/>
          <w:lang w:val="pl-PL"/>
        </w:rPr>
      </w:pPr>
      <w:r>
        <w:rPr>
          <w:szCs w:val="22"/>
          <w:u w:val="single"/>
          <w:lang w:val="pl-PL"/>
        </w:rPr>
        <w:t>Podawanie przez zgłębnik dojelitowy</w:t>
      </w:r>
    </w:p>
    <w:p>
      <w:pPr>
        <w:spacing w:line="240" w:lineRule="auto"/>
        <w:rPr>
          <w:szCs w:val="22"/>
          <w:lang w:val="pl-PL"/>
        </w:rPr>
      </w:pPr>
      <w:r>
        <w:rPr>
          <w:szCs w:val="22"/>
          <w:lang w:val="pl-PL"/>
        </w:rPr>
        <w:t>Proszek doustny Sephience można podawać przez zgłębnik dojelitowy 6 Fr lub 8 Fr po zmieszaniu z wodą. W celu podania produktu leczniczego należy postępować zgodnie z instrukcjami producenta zgłębnika. Instrukcje dotyczące przygotowania produktu leczniczego Sephience przed podaniem, patrz punkt 6.6.</w:t>
      </w:r>
    </w:p>
    <w:p>
      <w:pPr>
        <w:spacing w:line="240" w:lineRule="auto"/>
        <w:rPr>
          <w:szCs w:val="22"/>
          <w:lang w:val="pl-PL"/>
        </w:rPr>
      </w:pPr>
    </w:p>
    <w:p>
      <w:pPr>
        <w:keepNext/>
        <w:spacing w:line="240" w:lineRule="auto"/>
        <w:ind w:left="562" w:hanging="562"/>
        <w:rPr>
          <w:b/>
          <w:szCs w:val="22"/>
          <w:lang w:val="pl-PL"/>
        </w:rPr>
      </w:pPr>
      <w:r>
        <w:rPr>
          <w:b/>
          <w:bCs/>
          <w:szCs w:val="22"/>
          <w:lang w:val="pl-PL"/>
        </w:rPr>
        <w:t>4.3</w:t>
      </w:r>
      <w:r>
        <w:rPr>
          <w:b/>
          <w:bCs/>
          <w:szCs w:val="22"/>
          <w:lang w:val="pl-PL"/>
        </w:rPr>
        <w:tab/>
        <w:t>Przeciwwskazania</w:t>
      </w:r>
    </w:p>
    <w:p>
      <w:pPr>
        <w:keepNext/>
        <w:spacing w:line="240" w:lineRule="auto"/>
        <w:ind w:left="562" w:hanging="562"/>
        <w:rPr>
          <w:szCs w:val="22"/>
          <w:lang w:val="pl-PL"/>
        </w:rPr>
      </w:pPr>
    </w:p>
    <w:p>
      <w:pPr>
        <w:spacing w:line="240" w:lineRule="auto"/>
        <w:rPr>
          <w:szCs w:val="22"/>
          <w:lang w:val="pl-PL"/>
        </w:rPr>
      </w:pPr>
      <w:r>
        <w:rPr>
          <w:szCs w:val="22"/>
          <w:lang w:val="pl-PL"/>
        </w:rPr>
        <w:t>Nadwrażliwość na substancję czynną lub na którąkolwiek substancję pomocniczą wymienioną w punkcie 6.1.</w:t>
      </w:r>
    </w:p>
    <w:p>
      <w:pPr>
        <w:spacing w:line="240" w:lineRule="auto"/>
        <w:rPr>
          <w:szCs w:val="22"/>
          <w:lang w:val="pl-PL"/>
        </w:rPr>
      </w:pPr>
    </w:p>
    <w:p>
      <w:pPr>
        <w:spacing w:line="240" w:lineRule="auto"/>
        <w:ind w:left="567" w:hanging="567"/>
        <w:rPr>
          <w:b/>
          <w:szCs w:val="22"/>
          <w:lang w:val="pl-PL"/>
        </w:rPr>
      </w:pPr>
      <w:r>
        <w:rPr>
          <w:b/>
          <w:bCs/>
          <w:szCs w:val="22"/>
          <w:lang w:val="pl-PL"/>
        </w:rPr>
        <w:t>4.4</w:t>
      </w:r>
      <w:r>
        <w:rPr>
          <w:b/>
          <w:bCs/>
          <w:szCs w:val="22"/>
          <w:lang w:val="pl-PL"/>
        </w:rPr>
        <w:tab/>
        <w:t>Specjalne ostrzeżenia i środki ostrożności dotyczące stosowania</w:t>
      </w:r>
    </w:p>
    <w:p>
      <w:pPr>
        <w:spacing w:line="240" w:lineRule="auto"/>
        <w:ind w:left="567" w:hanging="567"/>
        <w:rPr>
          <w:b/>
          <w:szCs w:val="22"/>
          <w:lang w:val="pl-PL"/>
        </w:rPr>
      </w:pPr>
    </w:p>
    <w:p>
      <w:pPr>
        <w:tabs>
          <w:tab w:val="clear" w:pos="567"/>
        </w:tabs>
        <w:spacing w:line="240" w:lineRule="auto"/>
        <w:rPr>
          <w:u w:val="single"/>
          <w:lang w:val="pl-PL"/>
        </w:rPr>
      </w:pPr>
      <w:r>
        <w:rPr>
          <w:szCs w:val="22"/>
          <w:u w:val="single"/>
          <w:lang w:val="pl-PL"/>
        </w:rPr>
        <w:t>Spożywanie pokarmu</w:t>
      </w:r>
    </w:p>
    <w:p>
      <w:pPr>
        <w:tabs>
          <w:tab w:val="clear" w:pos="567"/>
        </w:tabs>
        <w:spacing w:line="240" w:lineRule="auto"/>
        <w:rPr>
          <w:szCs w:val="22"/>
          <w:lang w:val="pl-PL"/>
        </w:rPr>
      </w:pPr>
    </w:p>
    <w:p>
      <w:pPr>
        <w:tabs>
          <w:tab w:val="clear" w:pos="567"/>
        </w:tabs>
        <w:spacing w:line="240" w:lineRule="auto"/>
        <w:rPr>
          <w:lang w:val="pl-PL"/>
        </w:rPr>
      </w:pPr>
      <w:r>
        <w:rPr>
          <w:szCs w:val="22"/>
          <w:lang w:val="pl-PL"/>
        </w:rPr>
        <w:t xml:space="preserve">Pacjenci leczeni produktem leczniczym Sephience powinni podlegać regularnej ocenie stanu klinicznego (kontrola stężenia fenyloalaniny i tyrozyny we krwi oraz spożywania składników odżywczych), aby ustalić ze swoim lekarzem odpowiednią ilość fenyloalaniny przyjmowaną z pokarmem. </w:t>
      </w:r>
    </w:p>
    <w:p>
      <w:pPr>
        <w:tabs>
          <w:tab w:val="clear" w:pos="567"/>
        </w:tabs>
        <w:spacing w:line="240" w:lineRule="auto"/>
        <w:rPr>
          <w:lang w:val="pl-PL"/>
        </w:rPr>
      </w:pPr>
    </w:p>
    <w:p>
      <w:pPr>
        <w:keepNext/>
        <w:keepLines/>
        <w:spacing w:line="240" w:lineRule="auto"/>
        <w:rPr>
          <w:szCs w:val="22"/>
          <w:u w:val="single"/>
          <w:lang w:val="pl-PL"/>
        </w:rPr>
      </w:pPr>
      <w:r>
        <w:rPr>
          <w:szCs w:val="22"/>
          <w:u w:val="single"/>
          <w:lang w:val="pl-PL"/>
        </w:rPr>
        <w:lastRenderedPageBreak/>
        <w:t xml:space="preserve">Jednoczesne stosowanie z inhibitorami reduktazy dihydrofolianowej (ang. </w:t>
      </w:r>
      <w:r>
        <w:rPr>
          <w:noProof/>
          <w:szCs w:val="22"/>
          <w:u w:val="single"/>
          <w:lang w:val="pl-PL"/>
        </w:rPr>
        <w:t xml:space="preserve">dihydrofolate reductase, </w:t>
      </w:r>
      <w:r>
        <w:rPr>
          <w:szCs w:val="22"/>
          <w:u w:val="single"/>
          <w:lang w:val="pl-PL"/>
        </w:rPr>
        <w:t>DHFR)</w:t>
      </w:r>
    </w:p>
    <w:p>
      <w:pPr>
        <w:keepNext/>
        <w:keepLines/>
        <w:tabs>
          <w:tab w:val="clear" w:pos="567"/>
        </w:tabs>
        <w:spacing w:line="240" w:lineRule="auto"/>
        <w:rPr>
          <w:szCs w:val="22"/>
          <w:lang w:val="pl-PL"/>
        </w:rPr>
      </w:pPr>
    </w:p>
    <w:p>
      <w:pPr>
        <w:tabs>
          <w:tab w:val="clear" w:pos="567"/>
        </w:tabs>
        <w:spacing w:line="240" w:lineRule="auto"/>
        <w:rPr>
          <w:szCs w:val="22"/>
          <w:lang w:val="pl-PL"/>
        </w:rPr>
      </w:pPr>
      <w:r>
        <w:rPr>
          <w:szCs w:val="22"/>
          <w:lang w:val="pl-PL"/>
        </w:rPr>
        <w:t>Jednoczesne podawanie sepiapteryny z inhibitorami DHFR (np. trimetoprymem, metotreksatem, pemetreksedem, pralatreksatem i trimetreksatem) może wymagać częstszej kontroli stężenia fenyloalaniny we krwi (patrz punkt 4.5).</w:t>
      </w:r>
    </w:p>
    <w:p>
      <w:pPr>
        <w:tabs>
          <w:tab w:val="clear" w:pos="567"/>
        </w:tabs>
        <w:spacing w:line="240" w:lineRule="auto"/>
        <w:rPr>
          <w:szCs w:val="22"/>
          <w:lang w:val="pl-PL"/>
        </w:rPr>
      </w:pPr>
    </w:p>
    <w:p>
      <w:pPr>
        <w:spacing w:line="240" w:lineRule="auto"/>
        <w:rPr>
          <w:szCs w:val="22"/>
          <w:u w:val="single"/>
          <w:lang w:val="pl-PL"/>
        </w:rPr>
      </w:pPr>
      <w:r>
        <w:rPr>
          <w:szCs w:val="22"/>
          <w:u w:val="single"/>
          <w:lang w:val="pl-PL"/>
        </w:rPr>
        <w:t xml:space="preserve">Dane dotyczące długoterminowego bezpieczeństwa </w:t>
      </w:r>
      <w:r>
        <w:rPr>
          <w:szCs w:val="22"/>
          <w:lang w:val="pl-PL"/>
        </w:rPr>
        <w:t>stosowania</w:t>
      </w:r>
    </w:p>
    <w:p>
      <w:pPr>
        <w:spacing w:line="240" w:lineRule="auto"/>
        <w:rPr>
          <w:szCs w:val="22"/>
          <w:lang w:val="pl-PL"/>
        </w:rPr>
      </w:pPr>
    </w:p>
    <w:p>
      <w:pPr>
        <w:spacing w:line="240" w:lineRule="auto"/>
        <w:rPr>
          <w:szCs w:val="22"/>
          <w:u w:val="single"/>
          <w:lang w:val="pl-PL"/>
        </w:rPr>
      </w:pPr>
      <w:r>
        <w:rPr>
          <w:szCs w:val="22"/>
          <w:lang w:val="pl-PL"/>
        </w:rPr>
        <w:t>Dane dotyczące długoterminowego bezpieczeństwa stosowania u pacjentów z PKU są ograniczone (patrz punkt 4.8 dotyczący działań niepożądanych ocenianych dotychczas dla sepiapteryny).</w:t>
      </w:r>
      <w:r>
        <w:rPr>
          <w:szCs w:val="22"/>
          <w:u w:val="single"/>
          <w:lang w:val="pl-PL"/>
        </w:rPr>
        <w:t xml:space="preserve"> </w:t>
      </w:r>
    </w:p>
    <w:p>
      <w:pPr>
        <w:spacing w:line="240" w:lineRule="auto"/>
        <w:rPr>
          <w:szCs w:val="22"/>
          <w:lang w:val="pl-PL"/>
        </w:rPr>
      </w:pPr>
    </w:p>
    <w:p>
      <w:pPr>
        <w:keepNext/>
        <w:spacing w:line="240" w:lineRule="auto"/>
        <w:rPr>
          <w:szCs w:val="22"/>
          <w:u w:val="single"/>
          <w:lang w:val="pl-PL"/>
        </w:rPr>
      </w:pPr>
      <w:r>
        <w:rPr>
          <w:szCs w:val="22"/>
          <w:u w:val="single"/>
          <w:lang w:val="pl-PL"/>
        </w:rPr>
        <w:t>Substancje pomocnicze o znanym działaniu</w:t>
      </w:r>
    </w:p>
    <w:p>
      <w:pPr>
        <w:keepNext/>
        <w:spacing w:line="240" w:lineRule="auto"/>
        <w:rPr>
          <w:i/>
          <w:iCs/>
          <w:szCs w:val="22"/>
          <w:lang w:val="pl-PL"/>
        </w:rPr>
      </w:pPr>
    </w:p>
    <w:p>
      <w:pPr>
        <w:keepNext/>
        <w:spacing w:line="240" w:lineRule="auto"/>
        <w:rPr>
          <w:i/>
          <w:iCs/>
          <w:szCs w:val="22"/>
          <w:lang w:val="pl-PL"/>
        </w:rPr>
      </w:pPr>
      <w:r>
        <w:rPr>
          <w:i/>
          <w:iCs/>
          <w:szCs w:val="22"/>
          <w:lang w:val="pl-PL"/>
        </w:rPr>
        <w:t>Zawartość sodu</w:t>
      </w:r>
    </w:p>
    <w:p>
      <w:pPr>
        <w:spacing w:line="240" w:lineRule="auto"/>
        <w:rPr>
          <w:szCs w:val="22"/>
          <w:lang w:val="pl-PL"/>
        </w:rPr>
      </w:pPr>
      <w:r>
        <w:rPr>
          <w:szCs w:val="22"/>
          <w:lang w:val="pl-PL"/>
        </w:rPr>
        <w:t xml:space="preserve">Produkt leczniczy zawiera mniej niż 1 mmol (23 mg) sodu na saszetkę, to znaczy produkt uznaje się za „wolny od sodu”. </w:t>
      </w:r>
    </w:p>
    <w:p>
      <w:pPr>
        <w:spacing w:line="240" w:lineRule="auto"/>
        <w:rPr>
          <w:szCs w:val="22"/>
          <w:lang w:val="pl-PL"/>
        </w:rPr>
      </w:pPr>
    </w:p>
    <w:p>
      <w:pPr>
        <w:spacing w:line="240" w:lineRule="auto"/>
        <w:rPr>
          <w:i/>
          <w:iCs/>
          <w:szCs w:val="22"/>
          <w:lang w:val="pl-PL"/>
        </w:rPr>
      </w:pPr>
      <w:r>
        <w:rPr>
          <w:i/>
          <w:iCs/>
          <w:szCs w:val="22"/>
          <w:lang w:val="pl-PL"/>
        </w:rPr>
        <w:t>Zawartość izomaltu</w:t>
      </w:r>
    </w:p>
    <w:p>
      <w:pPr>
        <w:spacing w:line="240" w:lineRule="auto"/>
        <w:rPr>
          <w:szCs w:val="22"/>
          <w:lang w:val="pl-PL"/>
        </w:rPr>
      </w:pPr>
      <w:r>
        <w:rPr>
          <w:szCs w:val="22"/>
          <w:lang w:val="pl-PL"/>
        </w:rPr>
        <w:t>Produkt leczniczy nie powinien być stosowany u pacjentów z rzadko występującą, dziedziczną nietolerancją fruktozy.</w:t>
      </w:r>
    </w:p>
    <w:p>
      <w:pPr>
        <w:spacing w:line="240" w:lineRule="auto"/>
        <w:rPr>
          <w:szCs w:val="22"/>
          <w:lang w:val="pl-PL"/>
        </w:rPr>
      </w:pPr>
    </w:p>
    <w:p>
      <w:pPr>
        <w:spacing w:line="240" w:lineRule="auto"/>
        <w:ind w:left="567" w:hanging="567"/>
        <w:rPr>
          <w:szCs w:val="22"/>
          <w:lang w:val="pl-PL"/>
        </w:rPr>
      </w:pPr>
      <w:r>
        <w:rPr>
          <w:b/>
          <w:bCs/>
          <w:szCs w:val="22"/>
          <w:lang w:val="pl-PL"/>
        </w:rPr>
        <w:t>4.5</w:t>
      </w:r>
      <w:r>
        <w:rPr>
          <w:b/>
          <w:bCs/>
          <w:szCs w:val="22"/>
          <w:lang w:val="pl-PL"/>
        </w:rPr>
        <w:tab/>
        <w:t>Interakcje z innymi produktami leczniczymi i inne rodzaje interakcji</w:t>
      </w:r>
      <w:r>
        <w:rPr>
          <w:b/>
          <w:szCs w:val="22"/>
          <w:highlight w:val="yellow"/>
          <w:lang w:val="pl-PL"/>
        </w:rPr>
        <w:fldChar w:fldCharType="begin"/>
      </w:r>
      <w:r>
        <w:rPr>
          <w:b/>
          <w:szCs w:val="22"/>
          <w:highlight w:val="yellow"/>
          <w:lang w:val="pl-PL"/>
        </w:rPr>
        <w:instrText xml:space="preserve"> DOCVARIABLE vault_nd_e9a8b698-bf64-4ee0-8af5-130ea1f86e1a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szCs w:val="22"/>
          <w:u w:val="single"/>
          <w:lang w:val="pl-PL"/>
        </w:rPr>
      </w:pPr>
    </w:p>
    <w:p>
      <w:pPr>
        <w:spacing w:line="240" w:lineRule="auto"/>
        <w:rPr>
          <w:szCs w:val="22"/>
          <w:u w:val="single"/>
        </w:rPr>
      </w:pPr>
      <w:r>
        <w:rPr>
          <w:szCs w:val="22"/>
          <w:u w:val="single"/>
        </w:rPr>
        <w:t xml:space="preserve">Inhibitory reduktazy sepiapteryny (ang. </w:t>
      </w:r>
      <w:r>
        <w:rPr>
          <w:i/>
          <w:noProof/>
          <w:szCs w:val="22"/>
          <w:u w:val="single"/>
        </w:rPr>
        <w:t>sepiapterin reductase</w:t>
      </w:r>
      <w:r>
        <w:rPr>
          <w:noProof/>
          <w:szCs w:val="22"/>
          <w:u w:val="single"/>
        </w:rPr>
        <w:t xml:space="preserve">, </w:t>
      </w:r>
      <w:r>
        <w:rPr>
          <w:szCs w:val="22"/>
          <w:u w:val="single"/>
        </w:rPr>
        <w:t>SR)</w:t>
      </w:r>
    </w:p>
    <w:p>
      <w:pPr>
        <w:spacing w:line="240" w:lineRule="auto"/>
        <w:rPr>
          <w:szCs w:val="22"/>
        </w:rPr>
      </w:pPr>
    </w:p>
    <w:p>
      <w:pPr>
        <w:keepNext/>
        <w:numPr>
          <w:ilvl w:val="12"/>
          <w:numId w:val="0"/>
        </w:numPr>
        <w:ind w:right="-2"/>
        <w:rPr>
          <w:szCs w:val="22"/>
          <w:lang w:val="pl-PL"/>
        </w:rPr>
      </w:pPr>
      <w:r>
        <w:rPr>
          <w:szCs w:val="22"/>
          <w:lang w:val="pl-PL"/>
        </w:rPr>
        <w:t>Podana doustnie sepiapteryna jest szybko wchłaniana oraz szybko i intensywnie przekształcana przez SR i reduktazę karbonylową do 7,8-dihydrobiopteryny (BH2), która jest następnie jednokierunkowo przekształcana do BH4 przez DHFR. Oczekuje się, że jednoczesne podawanie inhibitora SR będzie miało minimalny wpływ na biotransformację sepiapteryny ze względu na efekt kompensacyjny reduktazy karbonylowej. U pacjentów z niedoborem SR odnotowano prawidłowe stężenie fenyloalaniny we krwi. Niemniej jednak zaleca się ostrożność i częstszą kontrolę stężenia fenyloalaniny we krwi podczas jednoczesnego podawania produktu leczniczego Sephience z inhibitorami SR, takimi jak sulfasalazyna lub sulfametoksazol.</w:t>
      </w:r>
    </w:p>
    <w:p>
      <w:pPr>
        <w:spacing w:line="240" w:lineRule="auto"/>
        <w:rPr>
          <w:szCs w:val="22"/>
          <w:u w:val="single"/>
          <w:lang w:val="pl-PL"/>
        </w:rPr>
      </w:pPr>
      <w:bookmarkStart w:id="1" w:name="_Hlk160619283"/>
    </w:p>
    <w:p>
      <w:pPr>
        <w:spacing w:line="240" w:lineRule="auto"/>
        <w:rPr>
          <w:szCs w:val="22"/>
          <w:u w:val="single"/>
          <w:lang w:val="pl-PL"/>
        </w:rPr>
      </w:pPr>
      <w:r>
        <w:rPr>
          <w:szCs w:val="22"/>
          <w:u w:val="single"/>
          <w:lang w:val="pl-PL"/>
        </w:rPr>
        <w:t>Inhibitory DHFR</w:t>
      </w:r>
    </w:p>
    <w:p>
      <w:pPr>
        <w:spacing w:line="240" w:lineRule="auto"/>
        <w:rPr>
          <w:szCs w:val="22"/>
          <w:u w:val="single"/>
          <w:lang w:val="pl-PL"/>
        </w:rPr>
      </w:pPr>
    </w:p>
    <w:bookmarkEnd w:id="1"/>
    <w:p>
      <w:pPr>
        <w:spacing w:line="240" w:lineRule="auto"/>
        <w:rPr>
          <w:szCs w:val="22"/>
          <w:lang w:val="pl-PL"/>
        </w:rPr>
      </w:pPr>
      <w:r>
        <w:rPr>
          <w:szCs w:val="22"/>
          <w:lang w:val="pl-PL"/>
        </w:rPr>
        <w:t>DHFR pośredniczy w konwersji BH2 do BH4, hamowanie DHFR może potencjalnie skutkować mniejszym stężeniem BH4. Oczekuje się jednak, że wpływ na stężenie sepiapteryny będzie minimalny ze względu na istnienie wielu dróg eliminacji. Należy zachować ostrożność i częściej kontrolować stężenie fenyloalaniny we krwi u pacjentów, u których sepiapteryna jest podawana jednocześnie z inhibitorami DHFR, takimi jak trimetoprym, metotreksat, pemetreksed, pralatreksat i trimetreksat (patrz punkt 4.4).</w:t>
      </w:r>
    </w:p>
    <w:p>
      <w:pPr>
        <w:spacing w:line="240" w:lineRule="auto"/>
        <w:rPr>
          <w:szCs w:val="22"/>
          <w:lang w:val="pl-PL"/>
        </w:rPr>
      </w:pPr>
    </w:p>
    <w:p>
      <w:pPr>
        <w:spacing w:line="240" w:lineRule="auto"/>
        <w:rPr>
          <w:szCs w:val="22"/>
          <w:lang w:val="pl-PL"/>
        </w:rPr>
      </w:pPr>
      <w:r>
        <w:rPr>
          <w:szCs w:val="22"/>
          <w:u w:val="single"/>
          <w:lang w:val="pl-PL"/>
        </w:rPr>
        <w:t>Produkty lecznicze rozszerzające naczynia krwionośne</w:t>
      </w:r>
      <w:r>
        <w:rPr>
          <w:szCs w:val="22"/>
          <w:lang w:val="pl-PL"/>
        </w:rPr>
        <w:t xml:space="preserve"> </w:t>
      </w:r>
    </w:p>
    <w:p>
      <w:pPr>
        <w:spacing w:line="240" w:lineRule="auto"/>
        <w:rPr>
          <w:szCs w:val="22"/>
          <w:lang w:val="pl-PL"/>
        </w:rPr>
      </w:pPr>
    </w:p>
    <w:p>
      <w:pPr>
        <w:spacing w:line="240" w:lineRule="auto"/>
        <w:rPr>
          <w:szCs w:val="22"/>
          <w:lang w:val="pl-PL"/>
        </w:rPr>
      </w:pPr>
      <w:r>
        <w:rPr>
          <w:szCs w:val="22"/>
          <w:lang w:val="pl-PL"/>
        </w:rPr>
        <w:t xml:space="preserve">Zaleca się ostrożność podczas jednoczesnego stosowania produktu leczniczego Sephience z produktami leczniczymi, które powodują rozszerzenie naczyń krwionośnych poprzez wpływ na metabolizm lub działanie tlenku azotu (NO), w tym klasycznymi donorami NO (np. triazotan glicerolu [GTN], diazotan izosorbidu [ISDN], nitroprusydek sodu [SNP] i molsydomina), inhibitorami fosfodiesterazy typu 5 (PDE-5) (np. syldenafil, wardenafil lub tadalafil) i minoksydylem. W badaniach na zwierzętach BH4 podawany doustnie w skojarzeniu z inhibitorem PDE-5 nie miał wpływu na ciśnienie tętnicze krwi. </w:t>
      </w:r>
    </w:p>
    <w:p>
      <w:pPr>
        <w:spacing w:line="240" w:lineRule="auto"/>
        <w:rPr>
          <w:szCs w:val="22"/>
          <w:lang w:val="pl-PL"/>
        </w:rPr>
      </w:pPr>
    </w:p>
    <w:p>
      <w:pPr>
        <w:keepNext/>
        <w:keepLines/>
        <w:spacing w:line="240" w:lineRule="auto"/>
        <w:rPr>
          <w:szCs w:val="22"/>
          <w:lang w:val="pl-PL"/>
        </w:rPr>
      </w:pPr>
      <w:r>
        <w:rPr>
          <w:szCs w:val="22"/>
          <w:u w:val="single"/>
          <w:lang w:val="pl-PL"/>
        </w:rPr>
        <w:lastRenderedPageBreak/>
        <w:t>Lewodopa</w:t>
      </w:r>
      <w:r>
        <w:rPr>
          <w:szCs w:val="22"/>
          <w:lang w:val="pl-PL"/>
        </w:rPr>
        <w:t xml:space="preserve"> </w:t>
      </w:r>
    </w:p>
    <w:p>
      <w:pPr>
        <w:keepNext/>
        <w:keepLines/>
        <w:spacing w:line="240" w:lineRule="auto"/>
        <w:rPr>
          <w:szCs w:val="22"/>
          <w:lang w:val="pl-PL"/>
        </w:rPr>
      </w:pPr>
    </w:p>
    <w:p>
      <w:pPr>
        <w:spacing w:line="240" w:lineRule="auto"/>
        <w:rPr>
          <w:szCs w:val="22"/>
          <w:lang w:val="pl-PL"/>
        </w:rPr>
      </w:pPr>
      <w:r>
        <w:rPr>
          <w:szCs w:val="22"/>
          <w:lang w:val="pl-PL"/>
        </w:rPr>
        <w:t>Należy zachować ostrożność podczas przepisywania produktu leczniczego Sephience pacjentom leczonym lewodopą w celu monitorowania zaburzeń neurologicznych, takich jak nasilenie drgawek, zwiększona pobudliwość i drażliwość, drgawki i zaostrzenie drgawek.</w:t>
      </w:r>
    </w:p>
    <w:p>
      <w:pPr>
        <w:spacing w:line="240" w:lineRule="auto"/>
        <w:rPr>
          <w:szCs w:val="22"/>
          <w:lang w:val="pl-PL"/>
        </w:rPr>
      </w:pPr>
    </w:p>
    <w:p>
      <w:pPr>
        <w:keepNext/>
        <w:spacing w:line="240" w:lineRule="auto"/>
        <w:ind w:left="567" w:hanging="567"/>
        <w:rPr>
          <w:b/>
          <w:szCs w:val="22"/>
          <w:highlight w:val="yellow"/>
          <w:lang w:val="pl-PL"/>
        </w:rPr>
      </w:pPr>
      <w:r>
        <w:rPr>
          <w:b/>
          <w:bCs/>
          <w:szCs w:val="22"/>
          <w:lang w:val="pl-PL"/>
        </w:rPr>
        <w:t>4.6</w:t>
      </w:r>
      <w:r>
        <w:rPr>
          <w:szCs w:val="22"/>
          <w:lang w:val="pl-PL"/>
        </w:rPr>
        <w:tab/>
      </w:r>
      <w:r>
        <w:rPr>
          <w:b/>
          <w:bCs/>
          <w:szCs w:val="22"/>
          <w:lang w:val="pl-PL"/>
        </w:rPr>
        <w:t>Wpływ na płodność, ciążę i laktację</w:t>
      </w:r>
    </w:p>
    <w:p>
      <w:pPr>
        <w:keepNext/>
        <w:spacing w:line="240" w:lineRule="auto"/>
        <w:ind w:left="567" w:hanging="567"/>
        <w:rPr>
          <w:szCs w:val="22"/>
          <w:highlight w:val="yellow"/>
          <w:lang w:val="pl-PL"/>
        </w:rPr>
      </w:pPr>
    </w:p>
    <w:p>
      <w:pPr>
        <w:keepNext/>
        <w:spacing w:line="240" w:lineRule="auto"/>
        <w:rPr>
          <w:szCs w:val="22"/>
          <w:u w:val="single"/>
          <w:lang w:val="pl-PL"/>
        </w:rPr>
      </w:pPr>
      <w:r>
        <w:rPr>
          <w:szCs w:val="22"/>
          <w:u w:val="single"/>
          <w:lang w:val="pl-PL"/>
        </w:rPr>
        <w:t>Ciąża</w:t>
      </w:r>
    </w:p>
    <w:p>
      <w:pPr>
        <w:keepNext/>
        <w:spacing w:line="240" w:lineRule="auto"/>
        <w:rPr>
          <w:szCs w:val="22"/>
          <w:lang w:val="pl-PL"/>
        </w:rPr>
      </w:pPr>
    </w:p>
    <w:p>
      <w:pPr>
        <w:spacing w:line="240" w:lineRule="auto"/>
        <w:rPr>
          <w:sz w:val="24"/>
          <w:szCs w:val="24"/>
          <w:lang w:val="pl-PL"/>
        </w:rPr>
      </w:pPr>
      <w:r>
        <w:rPr>
          <w:rFonts w:eastAsia="SimSun"/>
          <w:color w:val="000000"/>
          <w:szCs w:val="22"/>
          <w:lang w:val="pl-PL" w:eastAsia="en-GB"/>
        </w:rPr>
        <w:t>Istnieje ograniczona liczba danych dotyczących stosowania</w:t>
      </w:r>
      <w:r>
        <w:rPr>
          <w:szCs w:val="22"/>
          <w:lang w:val="pl-PL"/>
        </w:rPr>
        <w:t xml:space="preserve"> </w:t>
      </w:r>
      <w:r>
        <w:rPr>
          <w:szCs w:val="22"/>
          <w:u w:val="single"/>
          <w:lang w:val="pl-PL"/>
        </w:rPr>
        <w:t xml:space="preserve">sepiapteryny </w:t>
      </w:r>
      <w:r>
        <w:rPr>
          <w:szCs w:val="22"/>
          <w:lang w:val="pl-PL"/>
        </w:rPr>
        <w:t>u kobiet w ciąży</w:t>
      </w:r>
      <w:r>
        <w:rPr>
          <w:sz w:val="24"/>
          <w:szCs w:val="24"/>
          <w:lang w:val="pl-PL"/>
        </w:rPr>
        <w:t>.</w:t>
      </w:r>
    </w:p>
    <w:p>
      <w:pPr>
        <w:spacing w:line="240" w:lineRule="auto"/>
        <w:rPr>
          <w:szCs w:val="22"/>
          <w:lang w:val="pl-PL"/>
        </w:rPr>
      </w:pPr>
      <w:r>
        <w:rPr>
          <w:szCs w:val="22"/>
          <w:lang w:val="pl-PL"/>
        </w:rPr>
        <w:t>Badania na zwierzętach nie wykazały bezpośredniego ani pośredniego szkodliwego wpływu na reprodukcję (patrz punkt 5.3). Nie przeprowadzono odpowiednich i prawidłowo kontrolowanych badań z udziałem kobiet w ciąży.</w:t>
      </w:r>
    </w:p>
    <w:p>
      <w:pPr>
        <w:spacing w:line="240" w:lineRule="auto"/>
        <w:rPr>
          <w:szCs w:val="22"/>
          <w:lang w:val="pl-PL"/>
        </w:rPr>
      </w:pPr>
      <w:r>
        <w:rPr>
          <w:szCs w:val="22"/>
          <w:lang w:val="pl-PL"/>
        </w:rPr>
        <w:t>W celu zachowania ostrożności zaleca się unikanie stosowania produktu Sephience w okresie ciąży.</w:t>
      </w:r>
    </w:p>
    <w:p>
      <w:pPr>
        <w:spacing w:line="240" w:lineRule="auto"/>
        <w:rPr>
          <w:lang w:val="pl-PL"/>
        </w:rPr>
      </w:pPr>
    </w:p>
    <w:p>
      <w:pPr>
        <w:keepNext/>
        <w:keepLines/>
        <w:spacing w:line="240" w:lineRule="auto"/>
        <w:rPr>
          <w:szCs w:val="22"/>
          <w:u w:val="single"/>
          <w:lang w:val="pl-PL"/>
        </w:rPr>
      </w:pPr>
      <w:r>
        <w:rPr>
          <w:szCs w:val="22"/>
          <w:u w:val="single"/>
          <w:lang w:val="pl-PL"/>
        </w:rPr>
        <w:t>Karmienie piersią</w:t>
      </w:r>
    </w:p>
    <w:p>
      <w:pPr>
        <w:spacing w:line="240" w:lineRule="auto"/>
        <w:rPr>
          <w:szCs w:val="22"/>
          <w:lang w:val="pl-PL"/>
        </w:rPr>
      </w:pPr>
    </w:p>
    <w:p>
      <w:pPr>
        <w:spacing w:line="240" w:lineRule="auto"/>
        <w:rPr>
          <w:szCs w:val="22"/>
          <w:lang w:val="pl-PL"/>
        </w:rPr>
      </w:pPr>
      <w:r>
        <w:rPr>
          <w:szCs w:val="22"/>
          <w:lang w:val="pl-PL"/>
        </w:rPr>
        <w:t>Nie wiadomo, czy sepiapteryna/metabolity przenikają do mleka ludzkiego. Nie można wykluczyć zagrożenia dla noworodków/dzieci. Należy podjąć decyzję czy przerwać karmienie piersią czy przerwać/wstrzymać podawanie Sephience, biorąc pod uwagę korzyści z karmienia piersią dla dziecka i korzyści z leczenia dla matki.</w:t>
      </w:r>
    </w:p>
    <w:p>
      <w:pPr>
        <w:spacing w:line="240" w:lineRule="auto"/>
        <w:rPr>
          <w:szCs w:val="22"/>
          <w:lang w:val="pl-PL"/>
        </w:rPr>
      </w:pPr>
    </w:p>
    <w:p>
      <w:pPr>
        <w:spacing w:line="240" w:lineRule="auto"/>
        <w:rPr>
          <w:szCs w:val="22"/>
          <w:u w:val="single"/>
          <w:lang w:val="pl-PL"/>
        </w:rPr>
      </w:pPr>
      <w:r>
        <w:rPr>
          <w:szCs w:val="22"/>
          <w:u w:val="single"/>
          <w:lang w:val="pl-PL"/>
        </w:rPr>
        <w:t>Płodność</w:t>
      </w:r>
    </w:p>
    <w:p>
      <w:pPr>
        <w:spacing w:line="240" w:lineRule="auto"/>
        <w:rPr>
          <w:szCs w:val="22"/>
          <w:lang w:val="pl-PL"/>
        </w:rPr>
      </w:pPr>
    </w:p>
    <w:p>
      <w:pPr>
        <w:spacing w:line="240" w:lineRule="auto"/>
        <w:rPr>
          <w:szCs w:val="22"/>
          <w:lang w:val="pl-PL"/>
        </w:rPr>
      </w:pPr>
      <w:r>
        <w:rPr>
          <w:szCs w:val="22"/>
          <w:lang w:val="pl-PL"/>
        </w:rPr>
        <w:t>Nie przeprowadzono badań klinicznych dotyczących wpływu sepiapteryny na płodność u ludzi. Badania na zwierzętach nie wykazały bezpośredniego ani pośredniego szkodliwego wpływu na płodność (patrz punkt 5.3).</w:t>
      </w:r>
    </w:p>
    <w:p>
      <w:pPr>
        <w:spacing w:line="240" w:lineRule="auto"/>
        <w:rPr>
          <w:szCs w:val="22"/>
          <w:lang w:val="pl-PL"/>
        </w:rPr>
      </w:pPr>
    </w:p>
    <w:p>
      <w:pPr>
        <w:keepNext/>
        <w:spacing w:line="240" w:lineRule="auto"/>
        <w:ind w:left="562" w:hanging="562"/>
        <w:rPr>
          <w:b/>
          <w:szCs w:val="22"/>
          <w:lang w:val="pl-PL"/>
        </w:rPr>
      </w:pPr>
      <w:r>
        <w:rPr>
          <w:b/>
          <w:bCs/>
          <w:szCs w:val="22"/>
          <w:lang w:val="pl-PL"/>
        </w:rPr>
        <w:t>4.7</w:t>
      </w:r>
      <w:r>
        <w:rPr>
          <w:b/>
          <w:bCs/>
          <w:szCs w:val="22"/>
          <w:lang w:val="pl-PL"/>
        </w:rPr>
        <w:tab/>
        <w:t>Wpływ na zdolność prowadzenia pojazdów i obsługiwania maszyn</w:t>
      </w:r>
      <w:r>
        <w:rPr>
          <w:b/>
          <w:szCs w:val="22"/>
          <w:highlight w:val="yellow"/>
          <w:lang w:val="pl-PL"/>
        </w:rPr>
        <w:fldChar w:fldCharType="begin"/>
      </w:r>
      <w:r>
        <w:rPr>
          <w:b/>
          <w:szCs w:val="22"/>
          <w:highlight w:val="yellow"/>
          <w:lang w:val="pl-PL"/>
        </w:rPr>
        <w:instrText xml:space="preserve"> DOCVARIABLE vault_nd_44b004c9-f2ef-4978-a180-5aee3c9cda50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keepNext/>
        <w:spacing w:line="240" w:lineRule="auto"/>
        <w:ind w:left="561" w:hanging="561"/>
        <w:rPr>
          <w:szCs w:val="22"/>
          <w:lang w:val="pl-PL"/>
        </w:rPr>
      </w:pPr>
    </w:p>
    <w:p>
      <w:pPr>
        <w:spacing w:line="240" w:lineRule="auto"/>
        <w:rPr>
          <w:szCs w:val="22"/>
          <w:lang w:val="pl-PL"/>
        </w:rPr>
      </w:pPr>
      <w:r>
        <w:rPr>
          <w:szCs w:val="22"/>
          <w:lang w:val="pl-PL"/>
        </w:rPr>
        <w:t>Sephience nie ma wpływu lub wywiera nieistotny wpływ na zdolność prowadzenia pojazdów i obsługiwania maszyn.</w:t>
      </w:r>
    </w:p>
    <w:p>
      <w:pPr>
        <w:spacing w:line="240" w:lineRule="auto"/>
        <w:rPr>
          <w:szCs w:val="22"/>
          <w:lang w:val="pl-PL"/>
        </w:rPr>
      </w:pPr>
    </w:p>
    <w:p>
      <w:pPr>
        <w:spacing w:line="240" w:lineRule="auto"/>
        <w:rPr>
          <w:b/>
          <w:szCs w:val="22"/>
          <w:lang w:val="pl-PL"/>
        </w:rPr>
      </w:pPr>
      <w:r>
        <w:rPr>
          <w:b/>
          <w:bCs/>
          <w:szCs w:val="22"/>
          <w:lang w:val="pl-PL"/>
        </w:rPr>
        <w:t>4.8</w:t>
      </w:r>
      <w:r>
        <w:rPr>
          <w:b/>
          <w:bCs/>
          <w:szCs w:val="22"/>
          <w:lang w:val="pl-PL"/>
        </w:rPr>
        <w:tab/>
        <w:t>Działania niepożądane</w:t>
      </w:r>
      <w:r>
        <w:rPr>
          <w:b/>
          <w:szCs w:val="22"/>
          <w:highlight w:val="yellow"/>
          <w:lang w:val="pl-PL"/>
        </w:rPr>
        <w:fldChar w:fldCharType="begin"/>
      </w:r>
      <w:r>
        <w:rPr>
          <w:b/>
          <w:szCs w:val="22"/>
          <w:highlight w:val="yellow"/>
          <w:lang w:val="pl-PL"/>
        </w:rPr>
        <w:instrText xml:space="preserve"> DOCVARIABLE vault_nd_faf92d7f-6b3c-4efb-8d85-3ec87c580de5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b/>
          <w:szCs w:val="22"/>
          <w:lang w:val="pl-PL"/>
        </w:rPr>
      </w:pPr>
    </w:p>
    <w:p>
      <w:pPr>
        <w:autoSpaceDE w:val="0"/>
        <w:autoSpaceDN w:val="0"/>
        <w:adjustRightInd w:val="0"/>
        <w:spacing w:line="240" w:lineRule="auto"/>
        <w:rPr>
          <w:iCs/>
          <w:szCs w:val="22"/>
          <w:u w:val="single"/>
          <w:lang w:val="pl-PL"/>
        </w:rPr>
      </w:pPr>
      <w:r>
        <w:rPr>
          <w:iCs/>
          <w:szCs w:val="22"/>
          <w:u w:val="single"/>
          <w:lang w:val="pl-PL"/>
        </w:rPr>
        <w:t xml:space="preserve">Podsumowanie profilu bezpieczeństwa </w:t>
      </w:r>
    </w:p>
    <w:p>
      <w:pPr>
        <w:tabs>
          <w:tab w:val="clear" w:pos="567"/>
          <w:tab w:val="left" w:pos="144"/>
        </w:tabs>
        <w:spacing w:line="240" w:lineRule="auto"/>
        <w:rPr>
          <w:szCs w:val="22"/>
          <w:lang w:val="pl-PL"/>
        </w:rPr>
      </w:pPr>
    </w:p>
    <w:p>
      <w:pPr>
        <w:tabs>
          <w:tab w:val="clear" w:pos="567"/>
          <w:tab w:val="left" w:pos="144"/>
        </w:tabs>
        <w:spacing w:line="240" w:lineRule="auto"/>
        <w:rPr>
          <w:szCs w:val="22"/>
          <w:lang w:val="pl-PL"/>
        </w:rPr>
      </w:pPr>
      <w:r>
        <w:rPr>
          <w:szCs w:val="22"/>
          <w:lang w:val="pl-PL"/>
        </w:rPr>
        <w:t xml:space="preserve">Jak przedstawiono w tabeli poniżej, najczęstszymi działaniami niepożądanymi były zakażenie górnych dróg oddechowych (19,8%), ból głowy (15,3%), biegunka (14,9%), a następnie ból brzucha (12,2%), zmiany zabarwienia stolca (4,5%) i hipofenyloalaninemia (2,7%). </w:t>
      </w:r>
    </w:p>
    <w:p>
      <w:pPr>
        <w:autoSpaceDE w:val="0"/>
        <w:autoSpaceDN w:val="0"/>
        <w:adjustRightInd w:val="0"/>
        <w:spacing w:line="240" w:lineRule="auto"/>
        <w:rPr>
          <w:iCs/>
          <w:szCs w:val="22"/>
          <w:u w:val="single"/>
          <w:lang w:val="pl-PL"/>
        </w:rPr>
      </w:pPr>
    </w:p>
    <w:p>
      <w:pPr>
        <w:autoSpaceDE w:val="0"/>
        <w:autoSpaceDN w:val="0"/>
        <w:adjustRightInd w:val="0"/>
        <w:spacing w:line="240" w:lineRule="auto"/>
        <w:rPr>
          <w:szCs w:val="22"/>
          <w:u w:val="single"/>
          <w:lang w:val="pl-PL"/>
        </w:rPr>
      </w:pPr>
      <w:r>
        <w:rPr>
          <w:szCs w:val="22"/>
          <w:u w:val="single"/>
          <w:lang w:val="pl-PL"/>
        </w:rPr>
        <w:t>Tabelaryczne zestawienie działań niepożądanych</w:t>
      </w:r>
    </w:p>
    <w:p>
      <w:pPr>
        <w:autoSpaceDE w:val="0"/>
        <w:autoSpaceDN w:val="0"/>
        <w:adjustRightInd w:val="0"/>
        <w:spacing w:line="240" w:lineRule="auto"/>
        <w:rPr>
          <w:iCs/>
          <w:szCs w:val="22"/>
          <w:u w:val="single"/>
          <w:lang w:val="pl-PL"/>
        </w:rPr>
      </w:pPr>
    </w:p>
    <w:p>
      <w:pPr>
        <w:autoSpaceDE w:val="0"/>
        <w:autoSpaceDN w:val="0"/>
        <w:adjustRightInd w:val="0"/>
        <w:spacing w:line="240" w:lineRule="auto"/>
        <w:rPr>
          <w:szCs w:val="22"/>
          <w:lang w:val="pl-PL"/>
        </w:rPr>
      </w:pPr>
      <w:r>
        <w:rPr>
          <w:szCs w:val="22"/>
          <w:lang w:val="pl-PL"/>
        </w:rPr>
        <w:t xml:space="preserve">Wybór działań niepożądanych sepiapteryny opierał się na dowodach z badań klinicznych. Częstość występowania działań niepożądanych przedstawiona w poniższym zestawieniu tabelarycznym została obliczona na podstawie połączonych danych z dwóch głównych badań klinicznych prowadzonych z udziałem pacjentów z PKU (badanie PTC923-MD-003-PKU i PTC923‐MD‐004‐PKU). Dane te obejmowały 222 pacjentów, którzy byli narażeni na działanie sepiapteryny w dawce do </w:t>
      </w:r>
    </w:p>
    <w:p>
      <w:pPr>
        <w:autoSpaceDE w:val="0"/>
        <w:autoSpaceDN w:val="0"/>
        <w:adjustRightInd w:val="0"/>
        <w:spacing w:line="240" w:lineRule="auto"/>
        <w:rPr>
          <w:szCs w:val="22"/>
          <w:lang w:val="pl-PL"/>
        </w:rPr>
      </w:pPr>
      <w:r>
        <w:rPr>
          <w:szCs w:val="22"/>
          <w:lang w:val="pl-PL"/>
        </w:rPr>
        <w:t>60 mg/kg mc./dobę, z czego: 15 (6,8%) było w wieku &lt; 2 lat, 25 (11,3%) było w wieku od 2 do &lt; 6 lat, 46 (20,7%) było w wieku od 6 do &lt; 12 lat, 55 (24,8%) było w wieku od 12 do &lt; 18 lat, a 81 (36,5%) było w wieku ≥ 18 lat, zaś mediana czasu trwania leczenia (w tygodniach) wynosiła 34,286.</w:t>
      </w:r>
    </w:p>
    <w:p>
      <w:pPr>
        <w:autoSpaceDE w:val="0"/>
        <w:autoSpaceDN w:val="0"/>
        <w:adjustRightInd w:val="0"/>
        <w:spacing w:line="240" w:lineRule="auto"/>
        <w:rPr>
          <w:szCs w:val="22"/>
          <w:u w:val="single"/>
          <w:lang w:val="pl-PL"/>
        </w:rPr>
      </w:pPr>
    </w:p>
    <w:p>
      <w:pPr>
        <w:autoSpaceDE w:val="0"/>
        <w:autoSpaceDN w:val="0"/>
        <w:adjustRightInd w:val="0"/>
        <w:spacing w:line="240" w:lineRule="auto"/>
        <w:rPr>
          <w:szCs w:val="22"/>
          <w:lang w:val="pl-PL"/>
        </w:rPr>
      </w:pPr>
      <w:r>
        <w:rPr>
          <w:szCs w:val="22"/>
          <w:lang w:val="pl-PL"/>
        </w:rPr>
        <w:t xml:space="preserve">Działania niepożądane są zestawione poniżej (Tabela 7) zgodnie z klasyfikacją układów i narządów (SOC) według MedDRA. W ramach każdego układu i narządu działania niepożądane zestawiono według malejącej częstości. Częstość występowania definiuje się w następujący sposób: „bardzo często” (≥ 1/10); „często” (≥ 1/100 do &lt; 1/10); „niezbyt często” (≥ 1/1 000 do &lt; 1/100); „rzadko” </w:t>
      </w:r>
      <w:r>
        <w:rPr>
          <w:szCs w:val="22"/>
          <w:lang w:val="pl-PL"/>
        </w:rPr>
        <w:lastRenderedPageBreak/>
        <w:t>(≥ 1/10 000 do &lt; 1/1 000); „bardzo rzadko” (&lt; 1/10 000) i „nieznana” (częstość nie może być określona na podstawie dostępnych danych).</w:t>
      </w:r>
    </w:p>
    <w:p>
      <w:pPr>
        <w:autoSpaceDE w:val="0"/>
        <w:autoSpaceDN w:val="0"/>
        <w:adjustRightInd w:val="0"/>
        <w:spacing w:line="240" w:lineRule="auto"/>
        <w:rPr>
          <w:szCs w:val="22"/>
          <w:lang w:val="pl-PL"/>
        </w:rPr>
      </w:pPr>
    </w:p>
    <w:p>
      <w:pPr>
        <w:keepNext/>
        <w:autoSpaceDE w:val="0"/>
        <w:autoSpaceDN w:val="0"/>
        <w:adjustRightInd w:val="0"/>
        <w:spacing w:line="240" w:lineRule="auto"/>
        <w:jc w:val="both"/>
        <w:rPr>
          <w:i/>
          <w:szCs w:val="22"/>
          <w:lang w:val="pl-PL"/>
        </w:rPr>
      </w:pPr>
      <w:r>
        <w:rPr>
          <w:b/>
          <w:bCs/>
          <w:szCs w:val="22"/>
          <w:lang w:val="pl-PL"/>
        </w:rPr>
        <w:t>Tabela 6: Działania niepożądane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759"/>
          <w:tblHeader/>
        </w:trPr>
        <w:tc>
          <w:tcPr>
            <w:tcW w:w="1557" w:type="pct"/>
          </w:tcPr>
          <w:p>
            <w:pPr>
              <w:keepNext/>
              <w:keepLines/>
              <w:spacing w:line="240" w:lineRule="auto"/>
              <w:rPr>
                <w:b/>
                <w:bCs/>
                <w:color w:val="000000"/>
                <w:szCs w:val="22"/>
                <w:lang w:val="pl-PL"/>
              </w:rPr>
            </w:pPr>
            <w:r>
              <w:rPr>
                <w:b/>
                <w:bCs/>
                <w:color w:val="000000"/>
                <w:szCs w:val="22"/>
                <w:lang w:val="pl-PL"/>
              </w:rPr>
              <w:t>MedDRA</w:t>
            </w:r>
          </w:p>
          <w:p>
            <w:pPr>
              <w:keepNext/>
              <w:keepLines/>
              <w:spacing w:line="240" w:lineRule="auto"/>
              <w:rPr>
                <w:b/>
                <w:bCs/>
                <w:color w:val="000000"/>
                <w:szCs w:val="22"/>
                <w:lang w:val="pl-PL"/>
              </w:rPr>
            </w:pPr>
            <w:r>
              <w:rPr>
                <w:b/>
                <w:bCs/>
                <w:color w:val="000000"/>
                <w:szCs w:val="22"/>
                <w:lang w:val="pl-PL"/>
              </w:rPr>
              <w:t xml:space="preserve">Klasyfikacja układów i narządów </w:t>
            </w:r>
          </w:p>
        </w:tc>
        <w:tc>
          <w:tcPr>
            <w:tcW w:w="1643" w:type="pct"/>
          </w:tcPr>
          <w:p>
            <w:pPr>
              <w:keepNext/>
              <w:keepLines/>
              <w:spacing w:line="240" w:lineRule="auto"/>
              <w:rPr>
                <w:b/>
                <w:bCs/>
                <w:color w:val="000000"/>
                <w:szCs w:val="22"/>
                <w:lang w:val="pl-PL"/>
              </w:rPr>
            </w:pPr>
            <w:r>
              <w:rPr>
                <w:b/>
                <w:bCs/>
                <w:color w:val="000000"/>
                <w:szCs w:val="22"/>
                <w:lang w:val="pl-PL"/>
              </w:rPr>
              <w:t xml:space="preserve">Częstość </w:t>
            </w:r>
          </w:p>
          <w:p>
            <w:pPr>
              <w:keepNext/>
              <w:keepLines/>
              <w:spacing w:line="240" w:lineRule="auto"/>
              <w:rPr>
                <w:b/>
                <w:bCs/>
                <w:color w:val="000000"/>
                <w:szCs w:val="22"/>
                <w:lang w:val="pl-PL"/>
              </w:rPr>
            </w:pPr>
          </w:p>
        </w:tc>
        <w:tc>
          <w:tcPr>
            <w:tcW w:w="1800" w:type="pct"/>
          </w:tcPr>
          <w:p>
            <w:pPr>
              <w:keepNext/>
              <w:keepLines/>
              <w:spacing w:line="240" w:lineRule="auto"/>
              <w:rPr>
                <w:b/>
                <w:bCs/>
                <w:color w:val="000000"/>
                <w:szCs w:val="22"/>
                <w:lang w:val="pl-PL"/>
              </w:rPr>
            </w:pPr>
            <w:r>
              <w:rPr>
                <w:b/>
                <w:bCs/>
                <w:szCs w:val="22"/>
                <w:lang w:val="pl-PL"/>
              </w:rPr>
              <w:t xml:space="preserve"> Działanie niepożądane</w:t>
            </w:r>
          </w:p>
        </w:tc>
      </w:tr>
      <w:tr>
        <w:trPr>
          <w:trHeight w:val="285"/>
        </w:trPr>
        <w:tc>
          <w:tcPr>
            <w:tcW w:w="1557" w:type="pct"/>
          </w:tcPr>
          <w:p>
            <w:pPr>
              <w:keepNext/>
              <w:keepLines/>
              <w:spacing w:line="240" w:lineRule="auto"/>
              <w:rPr>
                <w:b/>
                <w:bCs/>
                <w:color w:val="000000"/>
                <w:szCs w:val="22"/>
                <w:lang w:val="pl-PL"/>
              </w:rPr>
            </w:pPr>
            <w:r>
              <w:rPr>
                <w:b/>
                <w:bCs/>
                <w:color w:val="000000"/>
                <w:szCs w:val="22"/>
                <w:lang w:val="pl-PL"/>
              </w:rPr>
              <w:t>Zakażenia i zarażenia pasożytnicze</w:t>
            </w:r>
          </w:p>
        </w:tc>
        <w:tc>
          <w:tcPr>
            <w:tcW w:w="1643" w:type="pct"/>
          </w:tcPr>
          <w:p>
            <w:pPr>
              <w:keepNext/>
              <w:keepLines/>
              <w:spacing w:line="240" w:lineRule="auto"/>
              <w:rPr>
                <w:color w:val="000000"/>
                <w:szCs w:val="22"/>
                <w:lang w:val="pl-PL"/>
              </w:rPr>
            </w:pPr>
            <w:r>
              <w:rPr>
                <w:color w:val="000000"/>
                <w:szCs w:val="22"/>
                <w:lang w:val="pl-PL"/>
              </w:rPr>
              <w:t>Bardzo często</w:t>
            </w:r>
          </w:p>
        </w:tc>
        <w:tc>
          <w:tcPr>
            <w:tcW w:w="1800" w:type="pct"/>
          </w:tcPr>
          <w:p>
            <w:pPr>
              <w:keepNext/>
              <w:keepLines/>
              <w:spacing w:line="240" w:lineRule="auto"/>
              <w:rPr>
                <w:color w:val="000000"/>
                <w:szCs w:val="22"/>
                <w:lang w:val="pl-PL"/>
              </w:rPr>
            </w:pPr>
            <w:r>
              <w:rPr>
                <w:color w:val="000000"/>
                <w:szCs w:val="22"/>
                <w:lang w:val="pl-PL"/>
              </w:rPr>
              <w:t xml:space="preserve">Zakażenie górnych dróg oddechowych </w:t>
            </w:r>
          </w:p>
        </w:tc>
      </w:tr>
      <w:tr>
        <w:trPr>
          <w:trHeight w:val="180"/>
        </w:trPr>
        <w:tc>
          <w:tcPr>
            <w:tcW w:w="1557" w:type="pct"/>
          </w:tcPr>
          <w:p>
            <w:pPr>
              <w:keepNext/>
              <w:keepLines/>
              <w:spacing w:line="240" w:lineRule="auto"/>
              <w:rPr>
                <w:b/>
                <w:bCs/>
                <w:color w:val="000000"/>
                <w:szCs w:val="22"/>
                <w:lang w:val="pl-PL"/>
              </w:rPr>
            </w:pPr>
            <w:r>
              <w:rPr>
                <w:b/>
                <w:bCs/>
                <w:color w:val="000000"/>
                <w:szCs w:val="22"/>
                <w:lang w:val="pl-PL"/>
              </w:rPr>
              <w:t xml:space="preserve">Zaburzenia układu nerwowego </w:t>
            </w:r>
          </w:p>
        </w:tc>
        <w:tc>
          <w:tcPr>
            <w:tcW w:w="1643" w:type="pct"/>
          </w:tcPr>
          <w:p>
            <w:pPr>
              <w:keepNext/>
              <w:keepLines/>
              <w:spacing w:line="240" w:lineRule="auto"/>
              <w:rPr>
                <w:color w:val="000000"/>
                <w:szCs w:val="22"/>
                <w:lang w:val="pl-PL"/>
              </w:rPr>
            </w:pPr>
            <w:r>
              <w:rPr>
                <w:color w:val="000000"/>
                <w:szCs w:val="22"/>
                <w:lang w:val="pl-PL"/>
              </w:rPr>
              <w:t>Bardzo często</w:t>
            </w:r>
          </w:p>
        </w:tc>
        <w:tc>
          <w:tcPr>
            <w:tcW w:w="1800" w:type="pct"/>
          </w:tcPr>
          <w:p>
            <w:pPr>
              <w:keepNext/>
              <w:keepLines/>
              <w:spacing w:line="240" w:lineRule="auto"/>
              <w:rPr>
                <w:color w:val="000000"/>
                <w:szCs w:val="22"/>
                <w:lang w:val="pl-PL"/>
              </w:rPr>
            </w:pPr>
            <w:r>
              <w:rPr>
                <w:color w:val="000000"/>
                <w:szCs w:val="22"/>
                <w:lang w:val="pl-PL"/>
              </w:rPr>
              <w:t xml:space="preserve">Ból głowy </w:t>
            </w:r>
          </w:p>
        </w:tc>
      </w:tr>
      <w:tr>
        <w:trPr>
          <w:trHeight w:val="525"/>
        </w:trPr>
        <w:tc>
          <w:tcPr>
            <w:tcW w:w="1557" w:type="pct"/>
            <w:vMerge w:val="restart"/>
          </w:tcPr>
          <w:p>
            <w:pPr>
              <w:keepNext/>
              <w:keepLines/>
              <w:spacing w:line="240" w:lineRule="auto"/>
              <w:rPr>
                <w:b/>
                <w:bCs/>
                <w:color w:val="000000"/>
                <w:szCs w:val="22"/>
                <w:lang w:val="pl-PL"/>
              </w:rPr>
            </w:pPr>
            <w:r>
              <w:rPr>
                <w:b/>
                <w:bCs/>
                <w:color w:val="000000"/>
                <w:szCs w:val="22"/>
                <w:lang w:val="pl-PL"/>
              </w:rPr>
              <w:t xml:space="preserve">Zaburzenia żołądka i jelit </w:t>
            </w:r>
          </w:p>
        </w:tc>
        <w:tc>
          <w:tcPr>
            <w:tcW w:w="1643" w:type="pct"/>
          </w:tcPr>
          <w:p>
            <w:pPr>
              <w:keepNext/>
              <w:keepLines/>
              <w:spacing w:line="240" w:lineRule="auto"/>
              <w:rPr>
                <w:color w:val="000000"/>
                <w:szCs w:val="22"/>
                <w:lang w:val="pl-PL"/>
              </w:rPr>
            </w:pPr>
            <w:r>
              <w:rPr>
                <w:color w:val="000000"/>
                <w:szCs w:val="22"/>
                <w:lang w:val="pl-PL"/>
              </w:rPr>
              <w:t>Bardzo często</w:t>
            </w:r>
          </w:p>
        </w:tc>
        <w:tc>
          <w:tcPr>
            <w:tcW w:w="1800" w:type="pct"/>
          </w:tcPr>
          <w:p>
            <w:pPr>
              <w:keepNext/>
              <w:keepLines/>
              <w:spacing w:line="240" w:lineRule="auto"/>
              <w:rPr>
                <w:color w:val="000000"/>
                <w:szCs w:val="22"/>
                <w:lang w:val="pl-PL"/>
              </w:rPr>
            </w:pPr>
            <w:r>
              <w:rPr>
                <w:color w:val="000000"/>
                <w:szCs w:val="22"/>
                <w:lang w:val="pl-PL"/>
              </w:rPr>
              <w:t xml:space="preserve">Biegunka </w:t>
            </w:r>
          </w:p>
          <w:p>
            <w:pPr>
              <w:keepNext/>
              <w:keepLines/>
              <w:spacing w:line="240" w:lineRule="auto"/>
              <w:rPr>
                <w:color w:val="000000"/>
                <w:szCs w:val="22"/>
                <w:lang w:val="pl-PL"/>
              </w:rPr>
            </w:pPr>
            <w:r>
              <w:rPr>
                <w:color w:val="000000"/>
                <w:szCs w:val="22"/>
                <w:lang w:val="pl-PL"/>
              </w:rPr>
              <w:t>Ból brzucha*</w:t>
            </w:r>
          </w:p>
        </w:tc>
      </w:tr>
      <w:tr>
        <w:trPr>
          <w:trHeight w:val="525"/>
        </w:trPr>
        <w:tc>
          <w:tcPr>
            <w:tcW w:w="1557" w:type="pct"/>
            <w:vMerge/>
          </w:tcPr>
          <w:p>
            <w:pPr>
              <w:keepNext/>
              <w:keepLines/>
              <w:spacing w:line="240" w:lineRule="auto"/>
              <w:rPr>
                <w:b/>
                <w:bCs/>
                <w:color w:val="000000"/>
                <w:szCs w:val="22"/>
                <w:lang w:val="pl-PL"/>
              </w:rPr>
            </w:pPr>
          </w:p>
        </w:tc>
        <w:tc>
          <w:tcPr>
            <w:tcW w:w="1643" w:type="pct"/>
          </w:tcPr>
          <w:p>
            <w:pPr>
              <w:keepNext/>
              <w:keepLines/>
              <w:spacing w:line="240" w:lineRule="auto"/>
              <w:rPr>
                <w:color w:val="000000"/>
                <w:szCs w:val="22"/>
                <w:lang w:val="pl-PL"/>
              </w:rPr>
            </w:pPr>
            <w:r>
              <w:rPr>
                <w:color w:val="000000"/>
                <w:szCs w:val="22"/>
                <w:lang w:val="pl-PL"/>
              </w:rPr>
              <w:t>Często</w:t>
            </w:r>
          </w:p>
        </w:tc>
        <w:tc>
          <w:tcPr>
            <w:tcW w:w="1800" w:type="pct"/>
          </w:tcPr>
          <w:p>
            <w:pPr>
              <w:keepNext/>
              <w:keepLines/>
              <w:spacing w:line="240" w:lineRule="auto"/>
              <w:rPr>
                <w:color w:val="000000"/>
                <w:szCs w:val="22"/>
                <w:lang w:val="pl-PL"/>
              </w:rPr>
            </w:pPr>
            <w:r>
              <w:rPr>
                <w:color w:val="000000"/>
                <w:szCs w:val="22"/>
                <w:lang w:val="pl-PL"/>
              </w:rPr>
              <w:t>Zmiana zabarwienia stolca</w:t>
            </w:r>
          </w:p>
        </w:tc>
      </w:tr>
      <w:tr>
        <w:trPr>
          <w:trHeight w:val="525"/>
        </w:trPr>
        <w:tc>
          <w:tcPr>
            <w:tcW w:w="1557" w:type="pct"/>
          </w:tcPr>
          <w:p>
            <w:pPr>
              <w:keepNext/>
              <w:keepLines/>
              <w:spacing w:line="240" w:lineRule="auto"/>
              <w:rPr>
                <w:b/>
                <w:bCs/>
                <w:color w:val="000000"/>
                <w:szCs w:val="22"/>
                <w:lang w:val="pl-PL"/>
              </w:rPr>
            </w:pPr>
            <w:r>
              <w:rPr>
                <w:b/>
                <w:bCs/>
                <w:color w:val="000000"/>
                <w:szCs w:val="22"/>
                <w:lang w:val="pl-PL"/>
              </w:rPr>
              <w:t>Zaburzenia metabolizmu i odżywiania</w:t>
            </w:r>
          </w:p>
        </w:tc>
        <w:tc>
          <w:tcPr>
            <w:tcW w:w="1643" w:type="pct"/>
          </w:tcPr>
          <w:p>
            <w:pPr>
              <w:keepNext/>
              <w:keepLines/>
              <w:spacing w:line="240" w:lineRule="auto"/>
              <w:rPr>
                <w:color w:val="000000"/>
                <w:szCs w:val="22"/>
                <w:lang w:val="pl-PL"/>
              </w:rPr>
            </w:pPr>
            <w:r>
              <w:rPr>
                <w:color w:val="000000"/>
                <w:szCs w:val="22"/>
                <w:lang w:val="pl-PL"/>
              </w:rPr>
              <w:t>Często</w:t>
            </w:r>
          </w:p>
        </w:tc>
        <w:tc>
          <w:tcPr>
            <w:tcW w:w="1800" w:type="pct"/>
          </w:tcPr>
          <w:p>
            <w:pPr>
              <w:keepNext/>
              <w:keepLines/>
              <w:spacing w:line="240" w:lineRule="auto"/>
              <w:rPr>
                <w:color w:val="000000"/>
                <w:szCs w:val="22"/>
                <w:lang w:val="pl-PL"/>
              </w:rPr>
            </w:pPr>
            <w:r>
              <w:rPr>
                <w:color w:val="000000"/>
                <w:szCs w:val="22"/>
                <w:lang w:val="pl-PL"/>
              </w:rPr>
              <w:t>Hipofenyloalaninemia</w:t>
            </w:r>
          </w:p>
        </w:tc>
      </w:tr>
    </w:tbl>
    <w:p>
      <w:pPr>
        <w:tabs>
          <w:tab w:val="clear" w:pos="567"/>
          <w:tab w:val="left" w:pos="144"/>
        </w:tabs>
        <w:spacing w:line="240" w:lineRule="auto"/>
        <w:rPr>
          <w:szCs w:val="22"/>
          <w:lang w:val="pl-PL"/>
        </w:rPr>
      </w:pPr>
      <w:r>
        <w:rPr>
          <w:szCs w:val="22"/>
          <w:lang w:val="pl-PL"/>
        </w:rPr>
        <w:t xml:space="preserve">* Obejmuje 3 preferowane terminy MedDRA: ból brzucha, ból w nadbrzuszu, dyskomfort w obrębie brzucha </w:t>
      </w:r>
    </w:p>
    <w:p>
      <w:pPr>
        <w:tabs>
          <w:tab w:val="clear" w:pos="567"/>
          <w:tab w:val="left" w:pos="144"/>
        </w:tabs>
        <w:spacing w:line="240" w:lineRule="auto"/>
        <w:rPr>
          <w:szCs w:val="22"/>
          <w:lang w:val="pl-PL"/>
        </w:rPr>
      </w:pPr>
    </w:p>
    <w:p>
      <w:pPr>
        <w:keepNext/>
        <w:keepLines/>
        <w:autoSpaceDE w:val="0"/>
        <w:autoSpaceDN w:val="0"/>
        <w:adjustRightInd w:val="0"/>
        <w:spacing w:line="240" w:lineRule="auto"/>
        <w:jc w:val="both"/>
        <w:rPr>
          <w:szCs w:val="22"/>
          <w:u w:val="single"/>
          <w:lang w:val="pl-PL"/>
        </w:rPr>
      </w:pPr>
      <w:r>
        <w:rPr>
          <w:szCs w:val="22"/>
          <w:u w:val="single"/>
          <w:lang w:val="pl-PL"/>
        </w:rPr>
        <w:t>Dzieci i młodzież</w:t>
      </w:r>
    </w:p>
    <w:p>
      <w:pPr>
        <w:keepNext/>
        <w:keepLines/>
        <w:autoSpaceDE w:val="0"/>
        <w:autoSpaceDN w:val="0"/>
        <w:adjustRightInd w:val="0"/>
        <w:spacing w:line="240" w:lineRule="auto"/>
        <w:jc w:val="both"/>
        <w:rPr>
          <w:szCs w:val="22"/>
          <w:lang w:val="pl-PL"/>
        </w:rPr>
      </w:pPr>
    </w:p>
    <w:p>
      <w:pPr>
        <w:autoSpaceDE w:val="0"/>
        <w:autoSpaceDN w:val="0"/>
        <w:adjustRightInd w:val="0"/>
        <w:spacing w:line="240" w:lineRule="auto"/>
        <w:rPr>
          <w:szCs w:val="22"/>
          <w:lang w:val="pl-PL"/>
        </w:rPr>
      </w:pPr>
      <w:r>
        <w:rPr>
          <w:szCs w:val="22"/>
          <w:lang w:val="pl-PL"/>
        </w:rPr>
        <w:t>Ogólnie rzecz biorąc, w badaniach klinicznych dotyczących PKU, sepiapteryna była dobrze tolerowana przez dzieci i młodzież. Częstość występowania, charakter i nasilenie działań niepożądanych we wszystkich grupach wiekowych pacjentów z grupy dzieci i młodzieży były zgodne z częstością występowania i charakterem działań niepożądanych u dorosłych. Dane dotyczące długoterminowego bezpieczeństwa są ograniczone.</w:t>
      </w:r>
    </w:p>
    <w:p>
      <w:pPr>
        <w:autoSpaceDE w:val="0"/>
        <w:autoSpaceDN w:val="0"/>
        <w:adjustRightInd w:val="0"/>
        <w:spacing w:line="240" w:lineRule="auto"/>
        <w:jc w:val="both"/>
        <w:rPr>
          <w:szCs w:val="22"/>
          <w:lang w:val="pl-PL"/>
        </w:rPr>
      </w:pPr>
    </w:p>
    <w:p>
      <w:pPr>
        <w:keepNext/>
        <w:autoSpaceDE w:val="0"/>
        <w:autoSpaceDN w:val="0"/>
        <w:adjustRightInd w:val="0"/>
        <w:spacing w:line="240" w:lineRule="auto"/>
        <w:rPr>
          <w:szCs w:val="22"/>
          <w:u w:val="single"/>
          <w:lang w:val="pl-PL"/>
        </w:rPr>
      </w:pPr>
      <w:r>
        <w:rPr>
          <w:szCs w:val="22"/>
          <w:u w:val="single"/>
          <w:lang w:val="pl-PL"/>
        </w:rPr>
        <w:t>Zgłaszanie podejrzewanych działań niepożądanych</w:t>
      </w:r>
    </w:p>
    <w:p>
      <w:pPr>
        <w:autoSpaceDE w:val="0"/>
        <w:autoSpaceDN w:val="0"/>
        <w:adjustRightInd w:val="0"/>
        <w:spacing w:line="240" w:lineRule="auto"/>
        <w:rPr>
          <w:szCs w:val="22"/>
          <w:lang w:val="pl-PL"/>
        </w:rPr>
      </w:pPr>
      <w:r>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szCs w:val="22"/>
          <w:shd w:val="pct15" w:color="auto" w:fill="FFFFFF"/>
          <w:lang w:val="pl-PL"/>
        </w:rPr>
        <w:t xml:space="preserve">krajowego systemu zgłaszania wymienionego w </w:t>
      </w:r>
      <w:hyperlink r:id="rId12" w:history="1">
        <w:r>
          <w:rPr>
            <w:color w:val="0000FF"/>
            <w:szCs w:val="22"/>
            <w:u w:val="single"/>
            <w:shd w:val="pct15" w:color="auto" w:fill="FFFFFF"/>
            <w:lang w:val="pl-PL"/>
          </w:rPr>
          <w:t>załączniku V</w:t>
        </w:r>
      </w:hyperlink>
      <w:r>
        <w:rPr>
          <w:szCs w:val="22"/>
          <w:lang w:val="pl-PL"/>
        </w:rPr>
        <w:t>.</w:t>
      </w:r>
    </w:p>
    <w:p>
      <w:pPr>
        <w:autoSpaceDE w:val="0"/>
        <w:autoSpaceDN w:val="0"/>
        <w:adjustRightInd w:val="0"/>
        <w:spacing w:line="240" w:lineRule="auto"/>
        <w:rPr>
          <w:szCs w:val="22"/>
          <w:lang w:val="pl-PL"/>
        </w:rPr>
      </w:pPr>
    </w:p>
    <w:p>
      <w:pPr>
        <w:spacing w:line="240" w:lineRule="auto"/>
        <w:ind w:left="567" w:hanging="567"/>
        <w:rPr>
          <w:b/>
          <w:szCs w:val="22"/>
          <w:lang w:val="pl-PL"/>
        </w:rPr>
      </w:pPr>
      <w:r>
        <w:rPr>
          <w:b/>
          <w:bCs/>
          <w:szCs w:val="22"/>
          <w:lang w:val="pl-PL"/>
        </w:rPr>
        <w:t>4.9</w:t>
      </w:r>
      <w:r>
        <w:rPr>
          <w:b/>
          <w:bCs/>
          <w:szCs w:val="22"/>
          <w:lang w:val="pl-PL"/>
        </w:rPr>
        <w:tab/>
        <w:t>Przedawkowanie</w:t>
      </w:r>
      <w:r>
        <w:rPr>
          <w:b/>
          <w:szCs w:val="22"/>
          <w:highlight w:val="yellow"/>
          <w:lang w:val="pl-PL"/>
        </w:rPr>
        <w:fldChar w:fldCharType="begin"/>
      </w:r>
      <w:r>
        <w:rPr>
          <w:b/>
          <w:szCs w:val="22"/>
          <w:highlight w:val="yellow"/>
          <w:lang w:val="pl-PL"/>
        </w:rPr>
        <w:instrText xml:space="preserve"> DOCVARIABLE vault_nd_2af66b3e-8b05-4d77-abc9-e2a2b09252b1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left="567" w:hanging="567"/>
        <w:rPr>
          <w:szCs w:val="22"/>
          <w:lang w:val="pl-PL"/>
        </w:rPr>
      </w:pPr>
    </w:p>
    <w:p>
      <w:pPr>
        <w:spacing w:line="240" w:lineRule="auto"/>
        <w:rPr>
          <w:szCs w:val="22"/>
          <w:lang w:val="pl-PL"/>
        </w:rPr>
      </w:pPr>
      <w:r>
        <w:rPr>
          <w:szCs w:val="22"/>
          <w:lang w:val="pl-PL"/>
        </w:rPr>
        <w:t>Nie istnieje specjalne antidotum w przypadku przedawkowania produktu leczniczego Sephience. Leczenie przedawkowania produktu leczniczego Sephience powinno obejmować medyczną opiekę wspomagającą, w tym kontrolowanie parametrów życiowych i obserwację stanu klinicznego pacjenta.</w:t>
      </w:r>
    </w:p>
    <w:p>
      <w:pPr>
        <w:spacing w:line="240" w:lineRule="auto"/>
        <w:rPr>
          <w:szCs w:val="22"/>
          <w:lang w:val="pl-PL"/>
        </w:rPr>
      </w:pPr>
    </w:p>
    <w:p>
      <w:pPr>
        <w:spacing w:line="240" w:lineRule="auto"/>
        <w:rPr>
          <w:szCs w:val="22"/>
          <w:lang w:val="pl-PL"/>
        </w:rPr>
      </w:pPr>
    </w:p>
    <w:p>
      <w:pPr>
        <w:spacing w:line="240" w:lineRule="auto"/>
        <w:rPr>
          <w:b/>
          <w:szCs w:val="22"/>
          <w:highlight w:val="yellow"/>
          <w:lang w:val="pl-PL"/>
        </w:rPr>
      </w:pPr>
      <w:r>
        <w:rPr>
          <w:b/>
          <w:bCs/>
          <w:szCs w:val="22"/>
          <w:lang w:val="pl-PL"/>
        </w:rPr>
        <w:t>5.</w:t>
      </w:r>
      <w:r>
        <w:rPr>
          <w:b/>
          <w:bCs/>
          <w:szCs w:val="22"/>
          <w:lang w:val="pl-PL"/>
        </w:rPr>
        <w:tab/>
        <w:t>WŁAŚCIWOŚCI FARMAKOLOGICZNE</w:t>
      </w:r>
    </w:p>
    <w:p>
      <w:pPr>
        <w:spacing w:line="240" w:lineRule="auto"/>
        <w:rPr>
          <w:szCs w:val="22"/>
          <w:highlight w:val="yellow"/>
          <w:lang w:val="pl-PL"/>
        </w:rPr>
      </w:pPr>
    </w:p>
    <w:p>
      <w:pPr>
        <w:spacing w:line="240" w:lineRule="auto"/>
        <w:ind w:left="567" w:hanging="567"/>
        <w:rPr>
          <w:szCs w:val="22"/>
          <w:lang w:val="pl-PL"/>
        </w:rPr>
      </w:pPr>
      <w:r>
        <w:rPr>
          <w:b/>
          <w:bCs/>
          <w:szCs w:val="22"/>
          <w:lang w:val="pl-PL"/>
        </w:rPr>
        <w:t>5.1</w:t>
      </w:r>
      <w:r>
        <w:rPr>
          <w:b/>
          <w:bCs/>
          <w:szCs w:val="22"/>
          <w:lang w:val="pl-PL"/>
        </w:rPr>
        <w:tab/>
        <w:t>Właściwości farmakodynamiczne</w:t>
      </w:r>
      <w:r>
        <w:rPr>
          <w:b/>
          <w:szCs w:val="22"/>
          <w:highlight w:val="yellow"/>
          <w:lang w:val="pl-PL"/>
        </w:rPr>
        <w:fldChar w:fldCharType="begin"/>
      </w:r>
      <w:r>
        <w:rPr>
          <w:b/>
          <w:szCs w:val="22"/>
          <w:highlight w:val="yellow"/>
          <w:lang w:val="pl-PL"/>
        </w:rPr>
        <w:instrText xml:space="preserve"> DOCVARIABLE vault_nd_98afb4ae-5e0c-4d55-9007-18ab7b20d41d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szCs w:val="22"/>
          <w:lang w:val="pl-PL"/>
        </w:rPr>
      </w:pPr>
    </w:p>
    <w:p>
      <w:pPr>
        <w:spacing w:line="240" w:lineRule="auto"/>
        <w:rPr>
          <w:szCs w:val="22"/>
          <w:lang w:val="pl-PL"/>
        </w:rPr>
      </w:pPr>
      <w:r>
        <w:rPr>
          <w:szCs w:val="22"/>
          <w:lang w:val="pl-PL"/>
        </w:rPr>
        <w:t xml:space="preserve">Grupa farmakoterapeutyczna: Inne leki stosowane w chorobach przewodu pokarmowego </w:t>
      </w:r>
      <w:r>
        <w:rPr>
          <w:szCs w:val="22"/>
          <w:lang w:val="pl-PL"/>
        </w:rPr>
        <w:br/>
        <w:t>i zaburzeniach metabolizmu, kod ATC: A16AX28</w:t>
      </w:r>
      <w:r>
        <w:rPr>
          <w:szCs w:val="22"/>
          <w:lang w:val="pl-PL"/>
        </w:rPr>
        <w:fldChar w:fldCharType="begin"/>
      </w:r>
      <w:r>
        <w:rPr>
          <w:szCs w:val="22"/>
          <w:lang w:val="pl-PL"/>
        </w:rPr>
        <w:instrText xml:space="preserve"> DOCVARIABLE vault_nd_41631c0d-c757-4661-a763-f21acb5620da \* MERGEFORMAT </w:instrText>
      </w:r>
      <w:r>
        <w:rPr>
          <w:szCs w:val="22"/>
          <w:lang w:val="pl-PL"/>
        </w:rPr>
        <w:fldChar w:fldCharType="separate"/>
      </w:r>
      <w:r>
        <w:rPr>
          <w:szCs w:val="22"/>
          <w:lang w:val="pl-PL"/>
        </w:rPr>
        <w:t xml:space="preserve"> </w:t>
      </w:r>
      <w:r>
        <w:rPr>
          <w:szCs w:val="22"/>
          <w:lang w:val="pl-PL"/>
        </w:rPr>
        <w:fldChar w:fldCharType="end"/>
      </w:r>
    </w:p>
    <w:p>
      <w:pPr>
        <w:spacing w:line="240" w:lineRule="auto"/>
        <w:rPr>
          <w:szCs w:val="22"/>
          <w:lang w:val="pl-PL"/>
        </w:rPr>
      </w:pPr>
    </w:p>
    <w:p>
      <w:pPr>
        <w:autoSpaceDE w:val="0"/>
        <w:autoSpaceDN w:val="0"/>
        <w:adjustRightInd w:val="0"/>
        <w:spacing w:line="240" w:lineRule="auto"/>
        <w:rPr>
          <w:szCs w:val="22"/>
          <w:u w:val="single"/>
          <w:lang w:val="pl-PL"/>
        </w:rPr>
      </w:pPr>
      <w:r>
        <w:rPr>
          <w:szCs w:val="22"/>
          <w:u w:val="single"/>
          <w:lang w:val="pl-PL"/>
        </w:rPr>
        <w:t>Mechanizm działania</w:t>
      </w:r>
    </w:p>
    <w:p>
      <w:pPr>
        <w:autoSpaceDE w:val="0"/>
        <w:autoSpaceDN w:val="0"/>
        <w:adjustRightInd w:val="0"/>
        <w:spacing w:line="240" w:lineRule="auto"/>
        <w:rPr>
          <w:szCs w:val="22"/>
          <w:lang w:val="pl-PL"/>
        </w:rPr>
      </w:pPr>
    </w:p>
    <w:p>
      <w:pPr>
        <w:autoSpaceDE w:val="0"/>
        <w:autoSpaceDN w:val="0"/>
        <w:adjustRightInd w:val="0"/>
        <w:spacing w:line="240" w:lineRule="auto"/>
        <w:rPr>
          <w:szCs w:val="22"/>
          <w:lang w:val="pl-PL"/>
        </w:rPr>
      </w:pPr>
      <w:r>
        <w:rPr>
          <w:szCs w:val="22"/>
          <w:lang w:val="pl-PL"/>
        </w:rPr>
        <w:t>Sepiapteryna jest naturalnym prekursorem kofaktora enzymatycznego BH</w:t>
      </w:r>
      <w:r>
        <w:rPr>
          <w:szCs w:val="22"/>
          <w:vertAlign w:val="subscript"/>
          <w:lang w:val="pl-PL"/>
        </w:rPr>
        <w:t>4</w:t>
      </w:r>
      <w:r>
        <w:rPr>
          <w:szCs w:val="22"/>
          <w:lang w:val="pl-PL"/>
        </w:rPr>
        <w:t xml:space="preserve">, kluczowego kofaktora hydroksylazy fenyloalaninowej (ang. </w:t>
      </w:r>
      <w:r>
        <w:rPr>
          <w:lang w:val="pl-PL"/>
        </w:rPr>
        <w:t xml:space="preserve">phenylalanine hydroxylase, </w:t>
      </w:r>
      <w:r>
        <w:rPr>
          <w:szCs w:val="22"/>
          <w:lang w:val="pl-PL"/>
        </w:rPr>
        <w:t>PAH). Sepiapteryna działa jako farmakologiczny chaperon o podwójnym działaniu (sepiapteryna i BH</w:t>
      </w:r>
      <w:r>
        <w:rPr>
          <w:szCs w:val="22"/>
          <w:vertAlign w:val="subscript"/>
          <w:lang w:val="pl-PL"/>
        </w:rPr>
        <w:t>4</w:t>
      </w:r>
      <w:r>
        <w:rPr>
          <w:szCs w:val="22"/>
          <w:lang w:val="pl-PL"/>
        </w:rPr>
        <w:t>, każda z własnym powinowactwem wiązania z wariantem PAH, w tym z wariantami PAH powszechnie występującymi w PKU, które nie są wrażliwe na BH</w:t>
      </w:r>
      <w:r>
        <w:rPr>
          <w:szCs w:val="22"/>
          <w:vertAlign w:val="subscript"/>
          <w:lang w:val="pl-PL"/>
        </w:rPr>
        <w:t>4</w:t>
      </w:r>
      <w:r>
        <w:rPr>
          <w:szCs w:val="22"/>
          <w:lang w:val="pl-PL"/>
        </w:rPr>
        <w:t>), co ma na celu nasilenie aktywności wadliwego enzymu PAH dzięki osiągnięciu wysokiego wewnątrzkomórkowego stężenia BH</w:t>
      </w:r>
      <w:r>
        <w:rPr>
          <w:szCs w:val="22"/>
          <w:vertAlign w:val="subscript"/>
          <w:lang w:val="pl-PL"/>
        </w:rPr>
        <w:t>4</w:t>
      </w:r>
      <w:r>
        <w:rPr>
          <w:szCs w:val="22"/>
          <w:lang w:val="pl-PL"/>
        </w:rPr>
        <w:t xml:space="preserve">. Poprzez zwiększenie stabilności </w:t>
      </w:r>
      <w:r>
        <w:rPr>
          <w:szCs w:val="22"/>
          <w:lang w:val="pl-PL"/>
        </w:rPr>
        <w:lastRenderedPageBreak/>
        <w:t>konformacyjnej nieprawidłowo sfałdowanego enzymu PAH i podwyższenie wewnątrzkomórkowych stężeń BH</w:t>
      </w:r>
      <w:r>
        <w:rPr>
          <w:szCs w:val="22"/>
          <w:vertAlign w:val="subscript"/>
          <w:lang w:val="pl-PL"/>
        </w:rPr>
        <w:t>4</w:t>
      </w:r>
      <w:r>
        <w:rPr>
          <w:szCs w:val="22"/>
          <w:lang w:val="pl-PL"/>
        </w:rPr>
        <w:t>, sepiapteryna jest w stanie skutecznie obniżyć stężenie fenyloalaniny we krwi.</w:t>
      </w:r>
    </w:p>
    <w:p>
      <w:pPr>
        <w:autoSpaceDE w:val="0"/>
        <w:autoSpaceDN w:val="0"/>
        <w:adjustRightInd w:val="0"/>
        <w:spacing w:line="240" w:lineRule="auto"/>
        <w:rPr>
          <w:szCs w:val="22"/>
          <w:lang w:val="pl-PL"/>
        </w:rPr>
      </w:pPr>
    </w:p>
    <w:p>
      <w:pPr>
        <w:keepNext/>
        <w:autoSpaceDE w:val="0"/>
        <w:autoSpaceDN w:val="0"/>
        <w:adjustRightInd w:val="0"/>
        <w:spacing w:line="240" w:lineRule="auto"/>
        <w:rPr>
          <w:szCs w:val="22"/>
          <w:u w:val="single"/>
          <w:lang w:val="pl-PL"/>
        </w:rPr>
      </w:pPr>
      <w:r>
        <w:rPr>
          <w:szCs w:val="22"/>
          <w:u w:val="single"/>
          <w:lang w:val="pl-PL"/>
        </w:rPr>
        <w:t>Skuteczność kliniczna i bezpieczeństwo stosowania</w:t>
      </w:r>
    </w:p>
    <w:p>
      <w:pPr>
        <w:keepNext/>
        <w:autoSpaceDE w:val="0"/>
        <w:autoSpaceDN w:val="0"/>
        <w:adjustRightInd w:val="0"/>
        <w:spacing w:line="240" w:lineRule="auto"/>
        <w:rPr>
          <w:szCs w:val="22"/>
          <w:lang w:val="pl-PL"/>
        </w:rPr>
      </w:pPr>
    </w:p>
    <w:p>
      <w:pPr>
        <w:autoSpaceDE w:val="0"/>
        <w:autoSpaceDN w:val="0"/>
        <w:adjustRightInd w:val="0"/>
        <w:spacing w:line="240" w:lineRule="auto"/>
        <w:rPr>
          <w:szCs w:val="22"/>
          <w:lang w:val="pl-PL"/>
        </w:rPr>
      </w:pPr>
      <w:r>
        <w:rPr>
          <w:szCs w:val="22"/>
          <w:lang w:val="pl-PL"/>
        </w:rPr>
        <w:t xml:space="preserve">Skuteczność </w:t>
      </w:r>
      <w:r>
        <w:rPr>
          <w:lang w:val="pl-PL"/>
        </w:rPr>
        <w:t xml:space="preserve">sepiapteryny </w:t>
      </w:r>
      <w:r>
        <w:rPr>
          <w:szCs w:val="22"/>
          <w:lang w:val="pl-PL"/>
        </w:rPr>
        <w:t>oceniano w ramach czterech badań klinicznych prowadzonych z udziałem pacjentów z PKU.</w:t>
      </w:r>
    </w:p>
    <w:p>
      <w:pPr>
        <w:autoSpaceDE w:val="0"/>
        <w:autoSpaceDN w:val="0"/>
        <w:adjustRightInd w:val="0"/>
        <w:spacing w:line="240" w:lineRule="auto"/>
        <w:rPr>
          <w:b/>
          <w:bCs/>
          <w:szCs w:val="22"/>
          <w:lang w:val="pl-PL"/>
        </w:rPr>
      </w:pPr>
    </w:p>
    <w:p>
      <w:pPr>
        <w:autoSpaceDE w:val="0"/>
        <w:autoSpaceDN w:val="0"/>
        <w:adjustRightInd w:val="0"/>
        <w:spacing w:line="240" w:lineRule="auto"/>
        <w:rPr>
          <w:szCs w:val="22"/>
          <w:lang w:val="pl-PL"/>
        </w:rPr>
      </w:pPr>
      <w:r>
        <w:rPr>
          <w:b/>
          <w:bCs/>
          <w:szCs w:val="22"/>
          <w:lang w:val="pl-PL"/>
        </w:rPr>
        <w:t>Badanie 1 (PTC923-MD-003-PKU)</w:t>
      </w:r>
      <w:r>
        <w:rPr>
          <w:szCs w:val="22"/>
          <w:lang w:val="pl-PL"/>
        </w:rPr>
        <w:t xml:space="preserve"> było 2-częściowym, globalnym, randomizowanym, prowadzonym metodą podwójnie ślepej próby, badaniem klinicznym z grupą kontrolną otrzymującą placebo, w którym uczestniczyło 157 pacjentów w różnym wieku z PKU. </w:t>
      </w:r>
    </w:p>
    <w:p>
      <w:pPr>
        <w:autoSpaceDE w:val="0"/>
        <w:autoSpaceDN w:val="0"/>
        <w:adjustRightInd w:val="0"/>
        <w:spacing w:line="240" w:lineRule="auto"/>
        <w:rPr>
          <w:szCs w:val="22"/>
          <w:lang w:val="pl-PL"/>
        </w:rPr>
      </w:pPr>
    </w:p>
    <w:p>
      <w:pPr>
        <w:autoSpaceDE w:val="0"/>
        <w:autoSpaceDN w:val="0"/>
        <w:adjustRightInd w:val="0"/>
        <w:spacing w:line="240" w:lineRule="auto"/>
        <w:rPr>
          <w:szCs w:val="22"/>
          <w:lang w:val="pl-PL"/>
        </w:rPr>
      </w:pPr>
      <w:r>
        <w:rPr>
          <w:szCs w:val="22"/>
          <w:lang w:val="pl-PL"/>
        </w:rPr>
        <w:t>W części 1 badania sprawdzano odpowiedź na sepiapterynę, stosując 14-dniowy okres leczenia sepiapteryną prowadzonego metodą otwartej próby, a następnie co najmniej 14-dniowy okres wypłukiwania sepiapteryny. U 73,1% (114/156) uczestników badania wystąpiło obniżenie stężenia fenyloalaniny we krwi o ≥ 15% w odpowiedzi na sepiapterynę. Dawka sepiapteryny u pacjentów w wieku ≥ 2 lat wynosiła 60 mg/kg mc./dobę.</w:t>
      </w:r>
    </w:p>
    <w:p>
      <w:pPr>
        <w:autoSpaceDE w:val="0"/>
        <w:autoSpaceDN w:val="0"/>
        <w:adjustRightInd w:val="0"/>
        <w:spacing w:line="240" w:lineRule="auto"/>
        <w:rPr>
          <w:szCs w:val="22"/>
          <w:lang w:val="pl-PL"/>
        </w:rPr>
      </w:pPr>
    </w:p>
    <w:p>
      <w:pPr>
        <w:autoSpaceDE w:val="0"/>
        <w:autoSpaceDN w:val="0"/>
        <w:adjustRightInd w:val="0"/>
        <w:spacing w:line="240" w:lineRule="auto"/>
        <w:rPr>
          <w:szCs w:val="22"/>
          <w:lang w:val="pl-PL"/>
        </w:rPr>
      </w:pPr>
      <w:r>
        <w:rPr>
          <w:szCs w:val="22"/>
          <w:lang w:val="pl-PL"/>
        </w:rPr>
        <w:t>Uczestnikom zalecono kontynuację dotychczasowej diety bez zmian.</w:t>
      </w:r>
    </w:p>
    <w:p>
      <w:pPr>
        <w:autoSpaceDE w:val="0"/>
        <w:autoSpaceDN w:val="0"/>
        <w:adjustRightInd w:val="0"/>
        <w:spacing w:line="240" w:lineRule="auto"/>
        <w:rPr>
          <w:szCs w:val="22"/>
          <w:lang w:val="pl-PL"/>
        </w:rPr>
      </w:pPr>
      <w:r>
        <w:rPr>
          <w:szCs w:val="22"/>
          <w:lang w:val="pl-PL"/>
        </w:rPr>
        <w:t>Pacjenci w wieku ≥ 2 lat, u których nastąpiło obniżenie stężenie fenyloalaniny we krwi o ≥ 15%, zostali sklasyfikowani jako wykazujący odpowiedź i przeszli do części 2 (n = 110). Po okresie wypłukiwania w części 1 pacjenci zostali losowo przypisani w równych proporcjach do grupy przyjmującej sepiapterynę w dawce 20 mg/kg mc. na dobę w tygodniu 1. i 2., 40 mg/kg mc. na dobę w tygodniu 3. i 4., 60 mg/kg mc. na dobę w tygodniu 5. i 6. (n = 56) lub placebo (n = 54) przez 6 tygodni. Skuteczność oceniano na podstawie średniej zmiany stężenia fenyloalaniny we krwi od punktu wyjściowego do tygodnia 5. i 6. w grupie leczonej sepiapteryną w porównaniu ze średnią zmianą w grupie otrzymującej placebo u pacjentów, u których wystąpiło ≥ 30% obniżenie stężenia fenyloalaniny we krwi podczas części 1. W części 2 badania 2 grupy leczenia były dobrze zrównoważone pod względem danych demograficznych (Tabela 7). Mediana wieku w momencie udzielania świadomej zgody wynosiła 14 lat (zakres: 2‐54), a uczestnicy byli w większości rasy białej (91,8%). U ponad połowy (65,5%) ze 110 uczestników PKU rozpoznano tuż po urodzeniu, a u większości (82,7%) występowała „definiowana biochemicznie” nieklasyczna postać PKU.</w:t>
      </w:r>
    </w:p>
    <w:p>
      <w:pPr>
        <w:autoSpaceDE w:val="0"/>
        <w:autoSpaceDN w:val="0"/>
        <w:adjustRightInd w:val="0"/>
        <w:spacing w:line="240" w:lineRule="auto"/>
        <w:rPr>
          <w:szCs w:val="22"/>
          <w:lang w:val="pl-PL"/>
        </w:rPr>
      </w:pPr>
    </w:p>
    <w:p>
      <w:pPr>
        <w:keepNext/>
        <w:tabs>
          <w:tab w:val="clear" w:pos="567"/>
        </w:tabs>
        <w:spacing w:line="240" w:lineRule="auto"/>
        <w:ind w:left="1440" w:hanging="1440"/>
        <w:rPr>
          <w:b/>
          <w:bCs/>
          <w:szCs w:val="22"/>
          <w:lang w:val="pl-PL"/>
        </w:rPr>
      </w:pPr>
      <w:bookmarkStart w:id="2" w:name="_Ref135739286"/>
      <w:bookmarkStart w:id="3" w:name="_Toc161055365"/>
      <w:r>
        <w:rPr>
          <w:b/>
          <w:bCs/>
          <w:szCs w:val="22"/>
          <w:lang w:val="pl-PL"/>
        </w:rPr>
        <w:t>Tabela </w:t>
      </w:r>
      <w:bookmarkEnd w:id="2"/>
      <w:r>
        <w:rPr>
          <w:b/>
          <w:bCs/>
          <w:szCs w:val="22"/>
          <w:lang w:val="pl-PL"/>
        </w:rPr>
        <w:t xml:space="preserve">7: Dane demograficzne i charakterystyka w punkcie wyjściowym </w:t>
      </w:r>
      <w:bookmarkEnd w:id="3"/>
    </w:p>
    <w:p>
      <w:pPr>
        <w:keepNext/>
        <w:tabs>
          <w:tab w:val="clear" w:pos="567"/>
        </w:tabs>
        <w:spacing w:line="240" w:lineRule="auto"/>
        <w:ind w:left="1440" w:hanging="1440"/>
        <w:rPr>
          <w:b/>
          <w:szCs w:val="22"/>
          <w:lang w:val="pl-PL"/>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pl-PL"/>
              </w:rPr>
            </w:pPr>
          </w:p>
        </w:tc>
        <w:tc>
          <w:tcPr>
            <w:tcW w:w="1620" w:type="dxa"/>
            <w:vMerge w:val="restart"/>
          </w:tcPr>
          <w:p>
            <w:pPr>
              <w:keepNext/>
              <w:tabs>
                <w:tab w:val="clear" w:pos="567"/>
              </w:tabs>
              <w:spacing w:line="240" w:lineRule="auto"/>
              <w:jc w:val="center"/>
              <w:rPr>
                <w:b/>
                <w:szCs w:val="22"/>
                <w:lang w:val="pl-PL"/>
              </w:rPr>
            </w:pPr>
            <w:r>
              <w:rPr>
                <w:b/>
                <w:bCs/>
                <w:szCs w:val="22"/>
                <w:lang w:val="pl-PL"/>
              </w:rPr>
              <w:t>Uczestnicy tylko części 1</w:t>
            </w:r>
            <w:r>
              <w:rPr>
                <w:b/>
                <w:bCs/>
                <w:szCs w:val="22"/>
                <w:lang w:val="pl-PL"/>
              </w:rPr>
              <w:br/>
              <w:t>(N = 47)</w:t>
            </w:r>
          </w:p>
        </w:tc>
        <w:tc>
          <w:tcPr>
            <w:tcW w:w="4230" w:type="dxa"/>
            <w:gridSpan w:val="3"/>
          </w:tcPr>
          <w:p>
            <w:pPr>
              <w:keepNext/>
              <w:tabs>
                <w:tab w:val="clear" w:pos="567"/>
              </w:tabs>
              <w:spacing w:line="240" w:lineRule="auto"/>
              <w:jc w:val="center"/>
              <w:rPr>
                <w:b/>
                <w:szCs w:val="22"/>
                <w:lang w:val="pl-PL"/>
              </w:rPr>
            </w:pPr>
            <w:r>
              <w:rPr>
                <w:b/>
                <w:bCs/>
                <w:szCs w:val="22"/>
                <w:lang w:val="pl-PL"/>
              </w:rPr>
              <w:t xml:space="preserve">Uczestnicy poddani randomizacji i leczeniu w części 2 </w:t>
            </w:r>
          </w:p>
        </w:tc>
        <w:tc>
          <w:tcPr>
            <w:tcW w:w="1535" w:type="dxa"/>
            <w:vMerge w:val="restart"/>
          </w:tcPr>
          <w:p>
            <w:pPr>
              <w:keepNext/>
              <w:tabs>
                <w:tab w:val="clear" w:pos="567"/>
              </w:tabs>
              <w:spacing w:line="240" w:lineRule="auto"/>
              <w:jc w:val="center"/>
              <w:rPr>
                <w:b/>
                <w:szCs w:val="22"/>
                <w:lang w:val="pl-PL"/>
              </w:rPr>
            </w:pPr>
            <w:r>
              <w:rPr>
                <w:b/>
                <w:bCs/>
                <w:szCs w:val="22"/>
                <w:lang w:val="pl-PL"/>
              </w:rPr>
              <w:t>Uczestnicy poddani leczeniu ogółem</w:t>
            </w:r>
            <w:r>
              <w:rPr>
                <w:b/>
                <w:bCs/>
                <w:szCs w:val="22"/>
                <w:lang w:val="pl-PL"/>
              </w:rPr>
              <w:br/>
              <w:t>(N = 157)</w:t>
            </w:r>
          </w:p>
        </w:tc>
      </w:tr>
      <w:tr>
        <w:trPr>
          <w:tblHeader/>
        </w:trPr>
        <w:tc>
          <w:tcPr>
            <w:tcW w:w="1975" w:type="dxa"/>
            <w:vMerge/>
          </w:tcPr>
          <w:p>
            <w:pPr>
              <w:keepNext/>
              <w:tabs>
                <w:tab w:val="clear" w:pos="567"/>
              </w:tabs>
              <w:spacing w:line="240" w:lineRule="auto"/>
              <w:jc w:val="both"/>
              <w:rPr>
                <w:b/>
                <w:szCs w:val="22"/>
                <w:lang w:val="pl-PL"/>
              </w:rPr>
            </w:pPr>
          </w:p>
        </w:tc>
        <w:tc>
          <w:tcPr>
            <w:tcW w:w="1620" w:type="dxa"/>
            <w:vMerge/>
          </w:tcPr>
          <w:p>
            <w:pPr>
              <w:keepNext/>
              <w:tabs>
                <w:tab w:val="clear" w:pos="567"/>
              </w:tabs>
              <w:spacing w:line="240" w:lineRule="auto"/>
              <w:jc w:val="both"/>
              <w:rPr>
                <w:b/>
                <w:szCs w:val="22"/>
                <w:lang w:val="pl-PL"/>
              </w:rPr>
            </w:pPr>
          </w:p>
        </w:tc>
        <w:tc>
          <w:tcPr>
            <w:tcW w:w="1530" w:type="dxa"/>
          </w:tcPr>
          <w:p>
            <w:pPr>
              <w:keepNext/>
              <w:tabs>
                <w:tab w:val="clear" w:pos="567"/>
              </w:tabs>
              <w:spacing w:line="240" w:lineRule="auto"/>
              <w:jc w:val="center"/>
              <w:rPr>
                <w:b/>
                <w:szCs w:val="22"/>
                <w:lang w:val="pl-PL"/>
              </w:rPr>
            </w:pPr>
            <w:r>
              <w:rPr>
                <w:b/>
                <w:bCs/>
                <w:szCs w:val="22"/>
                <w:lang w:val="pl-PL"/>
              </w:rPr>
              <w:t>Sepiapteryna</w:t>
            </w:r>
            <w:r>
              <w:rPr>
                <w:b/>
                <w:bCs/>
                <w:szCs w:val="22"/>
                <w:lang w:val="pl-PL"/>
              </w:rPr>
              <w:br/>
              <w:t>(N = 56)</w:t>
            </w:r>
          </w:p>
        </w:tc>
        <w:tc>
          <w:tcPr>
            <w:tcW w:w="1440" w:type="dxa"/>
          </w:tcPr>
          <w:p>
            <w:pPr>
              <w:keepNext/>
              <w:tabs>
                <w:tab w:val="clear" w:pos="567"/>
              </w:tabs>
              <w:spacing w:line="240" w:lineRule="auto"/>
              <w:jc w:val="center"/>
              <w:rPr>
                <w:b/>
                <w:szCs w:val="22"/>
                <w:lang w:val="pl-PL"/>
              </w:rPr>
            </w:pPr>
            <w:r>
              <w:rPr>
                <w:b/>
                <w:bCs/>
                <w:szCs w:val="22"/>
                <w:lang w:val="pl-PL"/>
              </w:rPr>
              <w:t>Placebo</w:t>
            </w:r>
            <w:r>
              <w:rPr>
                <w:b/>
                <w:bCs/>
                <w:szCs w:val="22"/>
                <w:lang w:val="pl-PL"/>
              </w:rPr>
              <w:br/>
              <w:t>(N = 54)</w:t>
            </w:r>
          </w:p>
        </w:tc>
        <w:tc>
          <w:tcPr>
            <w:tcW w:w="1260" w:type="dxa"/>
          </w:tcPr>
          <w:p>
            <w:pPr>
              <w:keepNext/>
              <w:tabs>
                <w:tab w:val="clear" w:pos="567"/>
              </w:tabs>
              <w:spacing w:line="240" w:lineRule="auto"/>
              <w:jc w:val="center"/>
              <w:rPr>
                <w:b/>
                <w:szCs w:val="22"/>
                <w:lang w:val="pl-PL"/>
              </w:rPr>
            </w:pPr>
            <w:r>
              <w:rPr>
                <w:b/>
                <w:bCs/>
                <w:szCs w:val="22"/>
                <w:lang w:val="pl-PL"/>
              </w:rPr>
              <w:t xml:space="preserve">Łącznie </w:t>
            </w:r>
            <w:r>
              <w:rPr>
                <w:b/>
                <w:bCs/>
                <w:szCs w:val="22"/>
                <w:lang w:val="pl-PL"/>
              </w:rPr>
              <w:br/>
              <w:t>(N = 110)</w:t>
            </w:r>
          </w:p>
        </w:tc>
        <w:tc>
          <w:tcPr>
            <w:tcW w:w="1535" w:type="dxa"/>
            <w:vMerge/>
          </w:tcPr>
          <w:p>
            <w:pPr>
              <w:keepNext/>
              <w:tabs>
                <w:tab w:val="clear" w:pos="567"/>
              </w:tabs>
              <w:spacing w:line="240" w:lineRule="auto"/>
              <w:jc w:val="both"/>
              <w:rPr>
                <w:b/>
                <w:szCs w:val="22"/>
                <w:lang w:val="pl-PL"/>
              </w:rPr>
            </w:pPr>
          </w:p>
        </w:tc>
      </w:tr>
      <w:tr>
        <w:tc>
          <w:tcPr>
            <w:tcW w:w="9360" w:type="dxa"/>
            <w:gridSpan w:val="6"/>
          </w:tcPr>
          <w:p>
            <w:pPr>
              <w:tabs>
                <w:tab w:val="clear" w:pos="567"/>
              </w:tabs>
              <w:spacing w:line="240" w:lineRule="auto"/>
              <w:jc w:val="both"/>
              <w:rPr>
                <w:b/>
                <w:szCs w:val="22"/>
                <w:lang w:val="pl-PL"/>
              </w:rPr>
            </w:pPr>
            <w:r>
              <w:rPr>
                <w:b/>
                <w:bCs/>
                <w:szCs w:val="22"/>
                <w:lang w:val="pl-PL"/>
              </w:rPr>
              <w:t>Wiek (w latach)</w:t>
            </w:r>
          </w:p>
        </w:tc>
      </w:tr>
      <w:tr>
        <w:tc>
          <w:tcPr>
            <w:tcW w:w="1975" w:type="dxa"/>
          </w:tcPr>
          <w:p>
            <w:pPr>
              <w:tabs>
                <w:tab w:val="clear" w:pos="567"/>
              </w:tabs>
              <w:spacing w:line="240" w:lineRule="auto"/>
              <w:rPr>
                <w:szCs w:val="22"/>
                <w:lang w:val="pl-PL"/>
              </w:rPr>
            </w:pPr>
            <w:r>
              <w:rPr>
                <w:szCs w:val="22"/>
                <w:lang w:val="pl-PL"/>
              </w:rPr>
              <w:t>N</w:t>
            </w:r>
          </w:p>
        </w:tc>
        <w:tc>
          <w:tcPr>
            <w:tcW w:w="1620" w:type="dxa"/>
          </w:tcPr>
          <w:p>
            <w:pPr>
              <w:tabs>
                <w:tab w:val="clear" w:pos="567"/>
              </w:tabs>
              <w:spacing w:line="240" w:lineRule="auto"/>
              <w:jc w:val="center"/>
              <w:rPr>
                <w:szCs w:val="22"/>
                <w:lang w:val="pl-PL"/>
              </w:rPr>
            </w:pPr>
            <w:r>
              <w:rPr>
                <w:szCs w:val="22"/>
                <w:lang w:val="pl-PL"/>
              </w:rPr>
              <w:t>47</w:t>
            </w:r>
          </w:p>
        </w:tc>
        <w:tc>
          <w:tcPr>
            <w:tcW w:w="1530" w:type="dxa"/>
          </w:tcPr>
          <w:p>
            <w:pPr>
              <w:tabs>
                <w:tab w:val="clear" w:pos="567"/>
              </w:tabs>
              <w:spacing w:line="240" w:lineRule="auto"/>
              <w:jc w:val="center"/>
              <w:rPr>
                <w:szCs w:val="22"/>
                <w:lang w:val="pl-PL"/>
              </w:rPr>
            </w:pPr>
            <w:r>
              <w:rPr>
                <w:szCs w:val="22"/>
                <w:lang w:val="pl-PL"/>
              </w:rPr>
              <w:t>56</w:t>
            </w:r>
          </w:p>
        </w:tc>
        <w:tc>
          <w:tcPr>
            <w:tcW w:w="1440" w:type="dxa"/>
          </w:tcPr>
          <w:p>
            <w:pPr>
              <w:tabs>
                <w:tab w:val="clear" w:pos="567"/>
              </w:tabs>
              <w:spacing w:line="240" w:lineRule="auto"/>
              <w:jc w:val="center"/>
              <w:rPr>
                <w:szCs w:val="22"/>
                <w:lang w:val="pl-PL"/>
              </w:rPr>
            </w:pPr>
            <w:r>
              <w:rPr>
                <w:szCs w:val="22"/>
                <w:lang w:val="pl-PL"/>
              </w:rPr>
              <w:t>54</w:t>
            </w:r>
          </w:p>
        </w:tc>
        <w:tc>
          <w:tcPr>
            <w:tcW w:w="1260" w:type="dxa"/>
          </w:tcPr>
          <w:p>
            <w:pPr>
              <w:tabs>
                <w:tab w:val="clear" w:pos="567"/>
              </w:tabs>
              <w:spacing w:line="240" w:lineRule="auto"/>
              <w:jc w:val="center"/>
              <w:rPr>
                <w:szCs w:val="22"/>
                <w:lang w:val="pl-PL"/>
              </w:rPr>
            </w:pPr>
            <w:r>
              <w:rPr>
                <w:szCs w:val="22"/>
                <w:lang w:val="pl-PL"/>
              </w:rPr>
              <w:t>110</w:t>
            </w:r>
          </w:p>
        </w:tc>
        <w:tc>
          <w:tcPr>
            <w:tcW w:w="1535" w:type="dxa"/>
          </w:tcPr>
          <w:p>
            <w:pPr>
              <w:tabs>
                <w:tab w:val="clear" w:pos="567"/>
              </w:tabs>
              <w:spacing w:line="240" w:lineRule="auto"/>
              <w:jc w:val="center"/>
              <w:rPr>
                <w:szCs w:val="22"/>
                <w:lang w:val="pl-PL"/>
              </w:rPr>
            </w:pPr>
            <w:r>
              <w:rPr>
                <w:szCs w:val="22"/>
                <w:lang w:val="pl-PL"/>
              </w:rPr>
              <w:t>157</w:t>
            </w:r>
          </w:p>
        </w:tc>
      </w:tr>
      <w:tr>
        <w:tc>
          <w:tcPr>
            <w:tcW w:w="1975" w:type="dxa"/>
          </w:tcPr>
          <w:p>
            <w:pPr>
              <w:tabs>
                <w:tab w:val="clear" w:pos="567"/>
              </w:tabs>
              <w:spacing w:line="240" w:lineRule="auto"/>
              <w:rPr>
                <w:szCs w:val="22"/>
                <w:lang w:val="pl-PL"/>
              </w:rPr>
            </w:pPr>
            <w:r>
              <w:rPr>
                <w:szCs w:val="22"/>
                <w:lang w:val="pl-PL"/>
              </w:rPr>
              <w:t>Średnia (SD)</w:t>
            </w:r>
          </w:p>
        </w:tc>
        <w:tc>
          <w:tcPr>
            <w:tcW w:w="1620" w:type="dxa"/>
          </w:tcPr>
          <w:p>
            <w:pPr>
              <w:tabs>
                <w:tab w:val="clear" w:pos="567"/>
              </w:tabs>
              <w:spacing w:line="240" w:lineRule="auto"/>
              <w:jc w:val="center"/>
              <w:rPr>
                <w:szCs w:val="22"/>
                <w:lang w:val="pl-PL"/>
              </w:rPr>
            </w:pPr>
            <w:r>
              <w:rPr>
                <w:szCs w:val="22"/>
                <w:lang w:val="pl-PL"/>
              </w:rPr>
              <w:t>18,4 (15,07)</w:t>
            </w:r>
          </w:p>
        </w:tc>
        <w:tc>
          <w:tcPr>
            <w:tcW w:w="1530" w:type="dxa"/>
          </w:tcPr>
          <w:p>
            <w:pPr>
              <w:tabs>
                <w:tab w:val="clear" w:pos="567"/>
              </w:tabs>
              <w:spacing w:line="240" w:lineRule="auto"/>
              <w:jc w:val="center"/>
              <w:rPr>
                <w:szCs w:val="22"/>
                <w:lang w:val="pl-PL"/>
              </w:rPr>
            </w:pPr>
            <w:r>
              <w:rPr>
                <w:szCs w:val="22"/>
                <w:lang w:val="pl-PL"/>
              </w:rPr>
              <w:t>16,5 (11,12)</w:t>
            </w:r>
          </w:p>
        </w:tc>
        <w:tc>
          <w:tcPr>
            <w:tcW w:w="1440" w:type="dxa"/>
          </w:tcPr>
          <w:p>
            <w:pPr>
              <w:tabs>
                <w:tab w:val="clear" w:pos="567"/>
              </w:tabs>
              <w:spacing w:line="240" w:lineRule="auto"/>
              <w:jc w:val="center"/>
              <w:rPr>
                <w:szCs w:val="22"/>
                <w:lang w:val="pl-PL"/>
              </w:rPr>
            </w:pPr>
            <w:r>
              <w:rPr>
                <w:szCs w:val="22"/>
                <w:lang w:val="pl-PL"/>
              </w:rPr>
              <w:t>18,4 (10,65)</w:t>
            </w:r>
          </w:p>
        </w:tc>
        <w:tc>
          <w:tcPr>
            <w:tcW w:w="1260" w:type="dxa"/>
          </w:tcPr>
          <w:p>
            <w:pPr>
              <w:tabs>
                <w:tab w:val="clear" w:pos="567"/>
              </w:tabs>
              <w:spacing w:line="240" w:lineRule="auto"/>
              <w:jc w:val="center"/>
              <w:rPr>
                <w:szCs w:val="22"/>
                <w:lang w:val="pl-PL"/>
              </w:rPr>
            </w:pPr>
            <w:r>
              <w:rPr>
                <w:szCs w:val="22"/>
                <w:lang w:val="pl-PL"/>
              </w:rPr>
              <w:t>17,4 (10,88)</w:t>
            </w:r>
          </w:p>
        </w:tc>
        <w:tc>
          <w:tcPr>
            <w:tcW w:w="1535" w:type="dxa"/>
          </w:tcPr>
          <w:p>
            <w:pPr>
              <w:tabs>
                <w:tab w:val="clear" w:pos="567"/>
              </w:tabs>
              <w:spacing w:line="240" w:lineRule="auto"/>
              <w:jc w:val="center"/>
              <w:rPr>
                <w:szCs w:val="22"/>
                <w:lang w:val="pl-PL"/>
              </w:rPr>
            </w:pPr>
            <w:r>
              <w:rPr>
                <w:szCs w:val="22"/>
                <w:lang w:val="pl-PL"/>
              </w:rPr>
              <w:t>17,7 (12,24)</w:t>
            </w:r>
          </w:p>
        </w:tc>
      </w:tr>
      <w:tr>
        <w:tc>
          <w:tcPr>
            <w:tcW w:w="1975" w:type="dxa"/>
          </w:tcPr>
          <w:p>
            <w:pPr>
              <w:tabs>
                <w:tab w:val="clear" w:pos="567"/>
              </w:tabs>
              <w:spacing w:line="240" w:lineRule="auto"/>
              <w:rPr>
                <w:szCs w:val="22"/>
                <w:lang w:val="pl-PL"/>
              </w:rPr>
            </w:pPr>
            <w:r>
              <w:rPr>
                <w:szCs w:val="22"/>
                <w:lang w:val="pl-PL"/>
              </w:rPr>
              <w:t>Mediana (min., maks.)</w:t>
            </w:r>
          </w:p>
        </w:tc>
        <w:tc>
          <w:tcPr>
            <w:tcW w:w="1620" w:type="dxa"/>
          </w:tcPr>
          <w:p>
            <w:pPr>
              <w:tabs>
                <w:tab w:val="clear" w:pos="567"/>
              </w:tabs>
              <w:spacing w:line="240" w:lineRule="auto"/>
              <w:jc w:val="center"/>
              <w:rPr>
                <w:szCs w:val="22"/>
                <w:lang w:val="pl-PL"/>
              </w:rPr>
            </w:pPr>
            <w:r>
              <w:rPr>
                <w:szCs w:val="22"/>
                <w:lang w:val="pl-PL"/>
              </w:rPr>
              <w:t>15,0 (1,61)</w:t>
            </w:r>
          </w:p>
        </w:tc>
        <w:tc>
          <w:tcPr>
            <w:tcW w:w="1530" w:type="dxa"/>
          </w:tcPr>
          <w:p>
            <w:pPr>
              <w:tabs>
                <w:tab w:val="clear" w:pos="567"/>
              </w:tabs>
              <w:spacing w:line="240" w:lineRule="auto"/>
              <w:jc w:val="center"/>
              <w:rPr>
                <w:szCs w:val="22"/>
                <w:lang w:val="pl-PL"/>
              </w:rPr>
            </w:pPr>
            <w:r>
              <w:rPr>
                <w:szCs w:val="22"/>
                <w:lang w:val="pl-PL"/>
              </w:rPr>
              <w:t>13,0 (2,47)</w:t>
            </w:r>
          </w:p>
        </w:tc>
        <w:tc>
          <w:tcPr>
            <w:tcW w:w="1440" w:type="dxa"/>
          </w:tcPr>
          <w:p>
            <w:pPr>
              <w:tabs>
                <w:tab w:val="clear" w:pos="567"/>
              </w:tabs>
              <w:spacing w:line="240" w:lineRule="auto"/>
              <w:jc w:val="center"/>
              <w:rPr>
                <w:szCs w:val="22"/>
                <w:lang w:val="pl-PL"/>
              </w:rPr>
            </w:pPr>
            <w:r>
              <w:rPr>
                <w:szCs w:val="22"/>
                <w:lang w:val="pl-PL"/>
              </w:rPr>
              <w:t>15,0 (4,54)</w:t>
            </w:r>
          </w:p>
        </w:tc>
        <w:tc>
          <w:tcPr>
            <w:tcW w:w="1260" w:type="dxa"/>
          </w:tcPr>
          <w:p>
            <w:pPr>
              <w:tabs>
                <w:tab w:val="clear" w:pos="567"/>
              </w:tabs>
              <w:spacing w:line="240" w:lineRule="auto"/>
              <w:jc w:val="center"/>
              <w:rPr>
                <w:szCs w:val="22"/>
                <w:lang w:val="pl-PL"/>
              </w:rPr>
            </w:pPr>
            <w:r>
              <w:rPr>
                <w:szCs w:val="22"/>
                <w:lang w:val="pl-PL"/>
              </w:rPr>
              <w:t>14,0 (2,54)</w:t>
            </w:r>
          </w:p>
        </w:tc>
        <w:tc>
          <w:tcPr>
            <w:tcW w:w="1535" w:type="dxa"/>
          </w:tcPr>
          <w:p>
            <w:pPr>
              <w:tabs>
                <w:tab w:val="clear" w:pos="567"/>
              </w:tabs>
              <w:spacing w:line="240" w:lineRule="auto"/>
              <w:jc w:val="center"/>
              <w:rPr>
                <w:szCs w:val="22"/>
                <w:lang w:val="pl-PL"/>
              </w:rPr>
            </w:pPr>
            <w:r>
              <w:rPr>
                <w:szCs w:val="22"/>
                <w:lang w:val="pl-PL"/>
              </w:rPr>
              <w:t>14,0 (1,61)</w:t>
            </w:r>
          </w:p>
        </w:tc>
      </w:tr>
      <w:tr>
        <w:tc>
          <w:tcPr>
            <w:tcW w:w="9360" w:type="dxa"/>
            <w:gridSpan w:val="6"/>
          </w:tcPr>
          <w:p>
            <w:pPr>
              <w:tabs>
                <w:tab w:val="clear" w:pos="567"/>
              </w:tabs>
              <w:spacing w:line="240" w:lineRule="auto"/>
              <w:jc w:val="both"/>
              <w:rPr>
                <w:b/>
                <w:szCs w:val="22"/>
                <w:lang w:val="pl-PL"/>
              </w:rPr>
            </w:pPr>
            <w:r>
              <w:rPr>
                <w:b/>
                <w:bCs/>
                <w:szCs w:val="22"/>
                <w:lang w:val="pl-PL"/>
              </w:rPr>
              <w:t>Kategoria wiekowa, n (%)</w:t>
            </w:r>
          </w:p>
        </w:tc>
      </w:tr>
      <w:tr>
        <w:tc>
          <w:tcPr>
            <w:tcW w:w="1975" w:type="dxa"/>
          </w:tcPr>
          <w:p>
            <w:pPr>
              <w:tabs>
                <w:tab w:val="clear" w:pos="567"/>
              </w:tabs>
              <w:spacing w:line="240" w:lineRule="auto"/>
              <w:jc w:val="both"/>
              <w:rPr>
                <w:szCs w:val="22"/>
                <w:lang w:val="pl-PL"/>
              </w:rPr>
            </w:pPr>
            <w:r>
              <w:rPr>
                <w:szCs w:val="22"/>
                <w:lang w:val="pl-PL"/>
              </w:rPr>
              <w:t>≥ 1 - &lt; 2 lata</w:t>
            </w:r>
          </w:p>
        </w:tc>
        <w:tc>
          <w:tcPr>
            <w:tcW w:w="1620" w:type="dxa"/>
          </w:tcPr>
          <w:p>
            <w:pPr>
              <w:tabs>
                <w:tab w:val="clear" w:pos="567"/>
              </w:tabs>
              <w:spacing w:line="240" w:lineRule="auto"/>
              <w:jc w:val="center"/>
              <w:rPr>
                <w:szCs w:val="22"/>
                <w:lang w:val="pl-PL"/>
              </w:rPr>
            </w:pPr>
            <w:r>
              <w:rPr>
                <w:szCs w:val="22"/>
                <w:lang w:val="pl-PL"/>
              </w:rPr>
              <w:t>3 (6,4)</w:t>
            </w:r>
          </w:p>
        </w:tc>
        <w:tc>
          <w:tcPr>
            <w:tcW w:w="1530" w:type="dxa"/>
          </w:tcPr>
          <w:p>
            <w:pPr>
              <w:tabs>
                <w:tab w:val="clear" w:pos="567"/>
              </w:tabs>
              <w:spacing w:line="240" w:lineRule="auto"/>
              <w:jc w:val="center"/>
              <w:rPr>
                <w:szCs w:val="22"/>
                <w:lang w:val="pl-PL"/>
              </w:rPr>
            </w:pPr>
            <w:r>
              <w:rPr>
                <w:szCs w:val="22"/>
                <w:lang w:val="pl-PL"/>
              </w:rPr>
              <w:t>0</w:t>
            </w:r>
          </w:p>
        </w:tc>
        <w:tc>
          <w:tcPr>
            <w:tcW w:w="1440" w:type="dxa"/>
          </w:tcPr>
          <w:p>
            <w:pPr>
              <w:tabs>
                <w:tab w:val="clear" w:pos="567"/>
              </w:tabs>
              <w:spacing w:line="240" w:lineRule="auto"/>
              <w:jc w:val="center"/>
              <w:rPr>
                <w:szCs w:val="22"/>
                <w:lang w:val="pl-PL"/>
              </w:rPr>
            </w:pPr>
            <w:r>
              <w:rPr>
                <w:szCs w:val="22"/>
                <w:lang w:val="pl-PL"/>
              </w:rPr>
              <w:t>0</w:t>
            </w:r>
          </w:p>
        </w:tc>
        <w:tc>
          <w:tcPr>
            <w:tcW w:w="1260" w:type="dxa"/>
          </w:tcPr>
          <w:p>
            <w:pPr>
              <w:tabs>
                <w:tab w:val="clear" w:pos="567"/>
              </w:tabs>
              <w:spacing w:line="240" w:lineRule="auto"/>
              <w:jc w:val="center"/>
              <w:rPr>
                <w:szCs w:val="22"/>
                <w:lang w:val="pl-PL"/>
              </w:rPr>
            </w:pPr>
            <w:r>
              <w:rPr>
                <w:szCs w:val="22"/>
                <w:lang w:val="pl-PL"/>
              </w:rPr>
              <w:t>0</w:t>
            </w:r>
          </w:p>
        </w:tc>
        <w:tc>
          <w:tcPr>
            <w:tcW w:w="1535" w:type="dxa"/>
          </w:tcPr>
          <w:p>
            <w:pPr>
              <w:tabs>
                <w:tab w:val="clear" w:pos="567"/>
              </w:tabs>
              <w:spacing w:line="240" w:lineRule="auto"/>
              <w:jc w:val="center"/>
              <w:rPr>
                <w:szCs w:val="22"/>
                <w:lang w:val="pl-PL"/>
              </w:rPr>
            </w:pPr>
            <w:r>
              <w:rPr>
                <w:szCs w:val="22"/>
                <w:lang w:val="pl-PL"/>
              </w:rPr>
              <w:t>3 (1,9)</w:t>
            </w:r>
          </w:p>
        </w:tc>
      </w:tr>
      <w:tr>
        <w:tc>
          <w:tcPr>
            <w:tcW w:w="1975" w:type="dxa"/>
          </w:tcPr>
          <w:p>
            <w:pPr>
              <w:tabs>
                <w:tab w:val="clear" w:pos="567"/>
              </w:tabs>
              <w:spacing w:line="240" w:lineRule="auto"/>
              <w:jc w:val="both"/>
              <w:rPr>
                <w:szCs w:val="22"/>
                <w:lang w:val="pl-PL"/>
              </w:rPr>
            </w:pPr>
            <w:r>
              <w:rPr>
                <w:szCs w:val="22"/>
                <w:lang w:val="pl-PL"/>
              </w:rPr>
              <w:t>≥ 2 – &lt; 6 lat</w:t>
            </w:r>
          </w:p>
        </w:tc>
        <w:tc>
          <w:tcPr>
            <w:tcW w:w="1620" w:type="dxa"/>
          </w:tcPr>
          <w:p>
            <w:pPr>
              <w:tabs>
                <w:tab w:val="clear" w:pos="567"/>
              </w:tabs>
              <w:spacing w:line="240" w:lineRule="auto"/>
              <w:jc w:val="center"/>
              <w:rPr>
                <w:szCs w:val="22"/>
                <w:lang w:val="pl-PL"/>
              </w:rPr>
            </w:pPr>
            <w:r>
              <w:rPr>
                <w:szCs w:val="22"/>
                <w:lang w:val="pl-PL"/>
              </w:rPr>
              <w:t>5 (10,6)</w:t>
            </w:r>
          </w:p>
        </w:tc>
        <w:tc>
          <w:tcPr>
            <w:tcW w:w="1530" w:type="dxa"/>
          </w:tcPr>
          <w:p>
            <w:pPr>
              <w:tabs>
                <w:tab w:val="clear" w:pos="567"/>
              </w:tabs>
              <w:spacing w:line="240" w:lineRule="auto"/>
              <w:jc w:val="center"/>
              <w:rPr>
                <w:szCs w:val="22"/>
                <w:lang w:val="pl-PL"/>
              </w:rPr>
            </w:pPr>
            <w:r>
              <w:rPr>
                <w:szCs w:val="22"/>
                <w:lang w:val="pl-PL"/>
              </w:rPr>
              <w:t>7 (12,5)</w:t>
            </w:r>
          </w:p>
        </w:tc>
        <w:tc>
          <w:tcPr>
            <w:tcW w:w="1440" w:type="dxa"/>
          </w:tcPr>
          <w:p>
            <w:pPr>
              <w:tabs>
                <w:tab w:val="clear" w:pos="567"/>
              </w:tabs>
              <w:spacing w:line="240" w:lineRule="auto"/>
              <w:jc w:val="center"/>
              <w:rPr>
                <w:szCs w:val="22"/>
                <w:lang w:val="pl-PL"/>
              </w:rPr>
            </w:pPr>
            <w:r>
              <w:rPr>
                <w:szCs w:val="22"/>
                <w:lang w:val="pl-PL"/>
              </w:rPr>
              <w:t>3 (5,6)</w:t>
            </w:r>
          </w:p>
        </w:tc>
        <w:tc>
          <w:tcPr>
            <w:tcW w:w="1260" w:type="dxa"/>
          </w:tcPr>
          <w:p>
            <w:pPr>
              <w:tabs>
                <w:tab w:val="clear" w:pos="567"/>
              </w:tabs>
              <w:spacing w:line="240" w:lineRule="auto"/>
              <w:jc w:val="center"/>
              <w:rPr>
                <w:szCs w:val="22"/>
                <w:lang w:val="pl-PL"/>
              </w:rPr>
            </w:pPr>
            <w:r>
              <w:rPr>
                <w:szCs w:val="22"/>
                <w:lang w:val="pl-PL"/>
              </w:rPr>
              <w:t>10 (9,1)</w:t>
            </w:r>
          </w:p>
        </w:tc>
        <w:tc>
          <w:tcPr>
            <w:tcW w:w="1535" w:type="dxa"/>
          </w:tcPr>
          <w:p>
            <w:pPr>
              <w:tabs>
                <w:tab w:val="clear" w:pos="567"/>
              </w:tabs>
              <w:spacing w:line="240" w:lineRule="auto"/>
              <w:jc w:val="center"/>
              <w:rPr>
                <w:szCs w:val="22"/>
                <w:lang w:val="pl-PL"/>
              </w:rPr>
            </w:pPr>
            <w:r>
              <w:rPr>
                <w:szCs w:val="22"/>
                <w:lang w:val="pl-PL"/>
              </w:rPr>
              <w:t>15 (9,6)</w:t>
            </w:r>
          </w:p>
        </w:tc>
      </w:tr>
      <w:tr>
        <w:tc>
          <w:tcPr>
            <w:tcW w:w="1975" w:type="dxa"/>
          </w:tcPr>
          <w:p>
            <w:pPr>
              <w:tabs>
                <w:tab w:val="clear" w:pos="567"/>
              </w:tabs>
              <w:spacing w:line="240" w:lineRule="auto"/>
              <w:jc w:val="both"/>
              <w:rPr>
                <w:szCs w:val="22"/>
                <w:lang w:val="pl-PL"/>
              </w:rPr>
            </w:pPr>
            <w:r>
              <w:rPr>
                <w:szCs w:val="22"/>
                <w:lang w:val="pl-PL"/>
              </w:rPr>
              <w:t>≥ 6 - &lt; 12 lat</w:t>
            </w:r>
          </w:p>
        </w:tc>
        <w:tc>
          <w:tcPr>
            <w:tcW w:w="1620" w:type="dxa"/>
          </w:tcPr>
          <w:p>
            <w:pPr>
              <w:tabs>
                <w:tab w:val="clear" w:pos="567"/>
              </w:tabs>
              <w:spacing w:line="240" w:lineRule="auto"/>
              <w:jc w:val="center"/>
              <w:rPr>
                <w:szCs w:val="22"/>
                <w:lang w:val="pl-PL"/>
              </w:rPr>
            </w:pPr>
            <w:r>
              <w:rPr>
                <w:szCs w:val="22"/>
                <w:lang w:val="pl-PL"/>
              </w:rPr>
              <w:t>11 (23,4)</w:t>
            </w:r>
          </w:p>
        </w:tc>
        <w:tc>
          <w:tcPr>
            <w:tcW w:w="1530" w:type="dxa"/>
          </w:tcPr>
          <w:p>
            <w:pPr>
              <w:tabs>
                <w:tab w:val="clear" w:pos="567"/>
              </w:tabs>
              <w:spacing w:line="240" w:lineRule="auto"/>
              <w:jc w:val="center"/>
              <w:rPr>
                <w:szCs w:val="22"/>
                <w:lang w:val="pl-PL"/>
              </w:rPr>
            </w:pPr>
            <w:r>
              <w:rPr>
                <w:szCs w:val="22"/>
                <w:lang w:val="pl-PL"/>
              </w:rPr>
              <w:t>17 (30,4)</w:t>
            </w:r>
          </w:p>
        </w:tc>
        <w:tc>
          <w:tcPr>
            <w:tcW w:w="1440" w:type="dxa"/>
          </w:tcPr>
          <w:p>
            <w:pPr>
              <w:tabs>
                <w:tab w:val="clear" w:pos="567"/>
              </w:tabs>
              <w:spacing w:line="240" w:lineRule="auto"/>
              <w:jc w:val="center"/>
              <w:rPr>
                <w:szCs w:val="22"/>
                <w:lang w:val="pl-PL"/>
              </w:rPr>
            </w:pPr>
            <w:r>
              <w:rPr>
                <w:szCs w:val="22"/>
                <w:lang w:val="pl-PL"/>
              </w:rPr>
              <w:t>12 (22,2)</w:t>
            </w:r>
          </w:p>
        </w:tc>
        <w:tc>
          <w:tcPr>
            <w:tcW w:w="1260" w:type="dxa"/>
          </w:tcPr>
          <w:p>
            <w:pPr>
              <w:tabs>
                <w:tab w:val="clear" w:pos="567"/>
              </w:tabs>
              <w:spacing w:line="240" w:lineRule="auto"/>
              <w:jc w:val="center"/>
              <w:rPr>
                <w:szCs w:val="22"/>
                <w:lang w:val="pl-PL"/>
              </w:rPr>
            </w:pPr>
            <w:r>
              <w:rPr>
                <w:szCs w:val="22"/>
                <w:lang w:val="pl-PL"/>
              </w:rPr>
              <w:t>29 (26,4)</w:t>
            </w:r>
          </w:p>
        </w:tc>
        <w:tc>
          <w:tcPr>
            <w:tcW w:w="1535" w:type="dxa"/>
          </w:tcPr>
          <w:p>
            <w:pPr>
              <w:tabs>
                <w:tab w:val="clear" w:pos="567"/>
              </w:tabs>
              <w:spacing w:line="240" w:lineRule="auto"/>
              <w:jc w:val="center"/>
              <w:rPr>
                <w:szCs w:val="22"/>
                <w:lang w:val="pl-PL"/>
              </w:rPr>
            </w:pPr>
            <w:r>
              <w:rPr>
                <w:szCs w:val="22"/>
                <w:lang w:val="pl-PL"/>
              </w:rPr>
              <w:t>40 (25,5)</w:t>
            </w:r>
          </w:p>
        </w:tc>
      </w:tr>
      <w:tr>
        <w:tc>
          <w:tcPr>
            <w:tcW w:w="1975" w:type="dxa"/>
          </w:tcPr>
          <w:p>
            <w:pPr>
              <w:tabs>
                <w:tab w:val="clear" w:pos="567"/>
              </w:tabs>
              <w:spacing w:line="240" w:lineRule="auto"/>
              <w:jc w:val="both"/>
              <w:rPr>
                <w:szCs w:val="22"/>
                <w:lang w:val="pl-PL"/>
              </w:rPr>
            </w:pPr>
            <w:r>
              <w:rPr>
                <w:szCs w:val="22"/>
                <w:lang w:val="pl-PL"/>
              </w:rPr>
              <w:t>≥ 12 - &lt; 18 lat</w:t>
            </w:r>
          </w:p>
        </w:tc>
        <w:tc>
          <w:tcPr>
            <w:tcW w:w="1620" w:type="dxa"/>
          </w:tcPr>
          <w:p>
            <w:pPr>
              <w:tabs>
                <w:tab w:val="clear" w:pos="567"/>
              </w:tabs>
              <w:spacing w:line="240" w:lineRule="auto"/>
              <w:jc w:val="center"/>
              <w:rPr>
                <w:szCs w:val="22"/>
                <w:lang w:val="pl-PL"/>
              </w:rPr>
            </w:pPr>
            <w:r>
              <w:rPr>
                <w:szCs w:val="22"/>
                <w:lang w:val="pl-PL"/>
              </w:rPr>
              <w:t>10 (21,3)</w:t>
            </w:r>
          </w:p>
        </w:tc>
        <w:tc>
          <w:tcPr>
            <w:tcW w:w="1530" w:type="dxa"/>
          </w:tcPr>
          <w:p>
            <w:pPr>
              <w:tabs>
                <w:tab w:val="clear" w:pos="567"/>
              </w:tabs>
              <w:spacing w:line="240" w:lineRule="auto"/>
              <w:jc w:val="center"/>
              <w:rPr>
                <w:szCs w:val="22"/>
                <w:lang w:val="pl-PL"/>
              </w:rPr>
            </w:pPr>
            <w:r>
              <w:rPr>
                <w:szCs w:val="22"/>
                <w:lang w:val="pl-PL"/>
              </w:rPr>
              <w:t>14 (25,0)</w:t>
            </w:r>
          </w:p>
        </w:tc>
        <w:tc>
          <w:tcPr>
            <w:tcW w:w="1440" w:type="dxa"/>
          </w:tcPr>
          <w:p>
            <w:pPr>
              <w:tabs>
                <w:tab w:val="clear" w:pos="567"/>
              </w:tabs>
              <w:spacing w:line="240" w:lineRule="auto"/>
              <w:jc w:val="center"/>
              <w:rPr>
                <w:szCs w:val="22"/>
                <w:lang w:val="pl-PL"/>
              </w:rPr>
            </w:pPr>
            <w:r>
              <w:rPr>
                <w:szCs w:val="22"/>
                <w:lang w:val="pl-PL"/>
              </w:rPr>
              <w:t>19 (35,2)</w:t>
            </w:r>
          </w:p>
        </w:tc>
        <w:tc>
          <w:tcPr>
            <w:tcW w:w="1260" w:type="dxa"/>
          </w:tcPr>
          <w:p>
            <w:pPr>
              <w:tabs>
                <w:tab w:val="clear" w:pos="567"/>
              </w:tabs>
              <w:spacing w:line="240" w:lineRule="auto"/>
              <w:jc w:val="center"/>
              <w:rPr>
                <w:szCs w:val="22"/>
                <w:lang w:val="pl-PL"/>
              </w:rPr>
            </w:pPr>
            <w:r>
              <w:rPr>
                <w:szCs w:val="22"/>
                <w:lang w:val="pl-PL"/>
              </w:rPr>
              <w:t>33 (30,0)</w:t>
            </w:r>
          </w:p>
        </w:tc>
        <w:tc>
          <w:tcPr>
            <w:tcW w:w="1535" w:type="dxa"/>
          </w:tcPr>
          <w:p>
            <w:pPr>
              <w:tabs>
                <w:tab w:val="clear" w:pos="567"/>
              </w:tabs>
              <w:spacing w:line="240" w:lineRule="auto"/>
              <w:jc w:val="center"/>
              <w:rPr>
                <w:szCs w:val="22"/>
                <w:lang w:val="pl-PL"/>
              </w:rPr>
            </w:pPr>
            <w:r>
              <w:rPr>
                <w:szCs w:val="22"/>
                <w:lang w:val="pl-PL"/>
              </w:rPr>
              <w:t>43 (27,4)</w:t>
            </w:r>
          </w:p>
        </w:tc>
      </w:tr>
      <w:tr>
        <w:tc>
          <w:tcPr>
            <w:tcW w:w="1975" w:type="dxa"/>
          </w:tcPr>
          <w:p>
            <w:pPr>
              <w:tabs>
                <w:tab w:val="clear" w:pos="567"/>
              </w:tabs>
              <w:spacing w:line="240" w:lineRule="auto"/>
              <w:jc w:val="both"/>
              <w:rPr>
                <w:szCs w:val="22"/>
                <w:lang w:val="pl-PL"/>
              </w:rPr>
            </w:pPr>
            <w:r>
              <w:rPr>
                <w:szCs w:val="22"/>
                <w:lang w:val="pl-PL"/>
              </w:rPr>
              <w:t>≥ 18 lat</w:t>
            </w:r>
          </w:p>
        </w:tc>
        <w:tc>
          <w:tcPr>
            <w:tcW w:w="1620" w:type="dxa"/>
          </w:tcPr>
          <w:p>
            <w:pPr>
              <w:tabs>
                <w:tab w:val="clear" w:pos="567"/>
              </w:tabs>
              <w:spacing w:line="240" w:lineRule="auto"/>
              <w:jc w:val="center"/>
              <w:rPr>
                <w:szCs w:val="22"/>
                <w:lang w:val="pl-PL"/>
              </w:rPr>
            </w:pPr>
            <w:r>
              <w:rPr>
                <w:szCs w:val="22"/>
                <w:lang w:val="pl-PL"/>
              </w:rPr>
              <w:t>18 (38,3)</w:t>
            </w:r>
          </w:p>
        </w:tc>
        <w:tc>
          <w:tcPr>
            <w:tcW w:w="1530" w:type="dxa"/>
          </w:tcPr>
          <w:p>
            <w:pPr>
              <w:tabs>
                <w:tab w:val="clear" w:pos="567"/>
              </w:tabs>
              <w:spacing w:line="240" w:lineRule="auto"/>
              <w:jc w:val="center"/>
              <w:rPr>
                <w:szCs w:val="22"/>
                <w:lang w:val="pl-PL"/>
              </w:rPr>
            </w:pPr>
            <w:r>
              <w:rPr>
                <w:szCs w:val="22"/>
                <w:lang w:val="pl-PL"/>
              </w:rPr>
              <w:t>18 (32,1)</w:t>
            </w:r>
          </w:p>
        </w:tc>
        <w:tc>
          <w:tcPr>
            <w:tcW w:w="1440" w:type="dxa"/>
          </w:tcPr>
          <w:p>
            <w:pPr>
              <w:tabs>
                <w:tab w:val="clear" w:pos="567"/>
              </w:tabs>
              <w:spacing w:line="240" w:lineRule="auto"/>
              <w:jc w:val="center"/>
              <w:rPr>
                <w:szCs w:val="22"/>
                <w:lang w:val="pl-PL"/>
              </w:rPr>
            </w:pPr>
            <w:r>
              <w:rPr>
                <w:szCs w:val="22"/>
                <w:lang w:val="pl-PL"/>
              </w:rPr>
              <w:t>20 (37,0)</w:t>
            </w:r>
          </w:p>
        </w:tc>
        <w:tc>
          <w:tcPr>
            <w:tcW w:w="1260" w:type="dxa"/>
          </w:tcPr>
          <w:p>
            <w:pPr>
              <w:tabs>
                <w:tab w:val="clear" w:pos="567"/>
              </w:tabs>
              <w:spacing w:line="240" w:lineRule="auto"/>
              <w:jc w:val="center"/>
              <w:rPr>
                <w:szCs w:val="22"/>
                <w:lang w:val="pl-PL"/>
              </w:rPr>
            </w:pPr>
            <w:r>
              <w:rPr>
                <w:szCs w:val="22"/>
                <w:lang w:val="pl-PL"/>
              </w:rPr>
              <w:t>38 (34,5)</w:t>
            </w:r>
          </w:p>
        </w:tc>
        <w:tc>
          <w:tcPr>
            <w:tcW w:w="1535" w:type="dxa"/>
          </w:tcPr>
          <w:p>
            <w:pPr>
              <w:tabs>
                <w:tab w:val="clear" w:pos="567"/>
              </w:tabs>
              <w:spacing w:line="240" w:lineRule="auto"/>
              <w:jc w:val="center"/>
              <w:rPr>
                <w:szCs w:val="22"/>
                <w:lang w:val="pl-PL"/>
              </w:rPr>
            </w:pPr>
            <w:r>
              <w:rPr>
                <w:szCs w:val="22"/>
                <w:lang w:val="pl-PL"/>
              </w:rPr>
              <w:t>56 (35,7)</w:t>
            </w:r>
          </w:p>
        </w:tc>
      </w:tr>
    </w:tbl>
    <w:p>
      <w:pPr>
        <w:spacing w:line="240" w:lineRule="auto"/>
        <w:rPr>
          <w:szCs w:val="22"/>
          <w:lang w:val="pl-PL"/>
        </w:rPr>
      </w:pPr>
      <w:r>
        <w:rPr>
          <w:szCs w:val="22"/>
          <w:lang w:val="pl-PL"/>
        </w:rPr>
        <w:t>SD, odchylenie standardowe</w:t>
      </w:r>
    </w:p>
    <w:p>
      <w:pPr>
        <w:autoSpaceDE w:val="0"/>
        <w:autoSpaceDN w:val="0"/>
        <w:adjustRightInd w:val="0"/>
        <w:spacing w:line="240" w:lineRule="auto"/>
        <w:rPr>
          <w:szCs w:val="22"/>
          <w:lang w:val="pl-PL"/>
        </w:rPr>
      </w:pPr>
    </w:p>
    <w:p>
      <w:pPr>
        <w:autoSpaceDE w:val="0"/>
        <w:autoSpaceDN w:val="0"/>
        <w:adjustRightInd w:val="0"/>
        <w:spacing w:line="240" w:lineRule="auto"/>
        <w:rPr>
          <w:szCs w:val="22"/>
          <w:lang w:val="pl-PL"/>
        </w:rPr>
      </w:pPr>
      <w:r>
        <w:rPr>
          <w:szCs w:val="22"/>
          <w:lang w:val="pl-PL"/>
        </w:rPr>
        <w:t>Różnica pomiędzy 2 grupami leczenia była statystycznie istotna (p &lt; 0,0001) (Tabela 8).</w:t>
      </w:r>
    </w:p>
    <w:p>
      <w:pPr>
        <w:autoSpaceDE w:val="0"/>
        <w:autoSpaceDN w:val="0"/>
        <w:adjustRightInd w:val="0"/>
        <w:spacing w:line="240" w:lineRule="auto"/>
        <w:rPr>
          <w:szCs w:val="22"/>
          <w:lang w:val="pl-PL"/>
        </w:rPr>
      </w:pPr>
    </w:p>
    <w:p>
      <w:pPr>
        <w:keepNext/>
        <w:autoSpaceDE w:val="0"/>
        <w:autoSpaceDN w:val="0"/>
        <w:adjustRightInd w:val="0"/>
        <w:spacing w:line="240" w:lineRule="auto"/>
        <w:rPr>
          <w:b/>
          <w:bCs/>
          <w:szCs w:val="22"/>
          <w:lang w:val="pl-PL"/>
        </w:rPr>
      </w:pPr>
      <w:r>
        <w:rPr>
          <w:b/>
          <w:bCs/>
          <w:szCs w:val="22"/>
          <w:lang w:val="pl-PL"/>
        </w:rPr>
        <w:lastRenderedPageBreak/>
        <w:t>Tabela 8: Średnia zmiana stężenia Phe we krwi od punktu wyjściowego do tygodnia 5. i tygodnia 6. podczas części 2 (zbiór poddawany analizie głównej z obniżeniem stężenia Phe od punktu wyjściowego ≥ 30% podczas części 1)</w:t>
      </w:r>
    </w:p>
    <w:p>
      <w:pPr>
        <w:keepNext/>
        <w:autoSpaceDE w:val="0"/>
        <w:autoSpaceDN w:val="0"/>
        <w:adjustRightInd w:val="0"/>
        <w:spacing w:line="240" w:lineRule="auto"/>
        <w:rPr>
          <w:b/>
          <w:bCs/>
          <w:szCs w:val="22"/>
          <w:lang w:val="pl-P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24"/>
        <w:gridCol w:w="1463"/>
        <w:gridCol w:w="2258"/>
        <w:gridCol w:w="1722"/>
        <w:gridCol w:w="1188"/>
      </w:tblGrid>
      <w:tr>
        <w:trPr>
          <w:cantSplit/>
          <w:trHeight w:val="743"/>
          <w:tblHeader/>
        </w:trPr>
        <w:tc>
          <w:tcPr>
            <w:tcW w:w="1338" w:type="pct"/>
          </w:tcPr>
          <w:p>
            <w:pPr>
              <w:keepNext/>
              <w:tabs>
                <w:tab w:val="clear" w:pos="567"/>
              </w:tabs>
              <w:spacing w:line="240" w:lineRule="auto"/>
              <w:jc w:val="both"/>
              <w:rPr>
                <w:color w:val="000000"/>
                <w:szCs w:val="22"/>
                <w:lang w:val="pl-PL"/>
              </w:rPr>
            </w:pPr>
          </w:p>
        </w:tc>
        <w:tc>
          <w:tcPr>
            <w:tcW w:w="808" w:type="pct"/>
          </w:tcPr>
          <w:p>
            <w:pPr>
              <w:keepNext/>
              <w:tabs>
                <w:tab w:val="clear" w:pos="567"/>
              </w:tabs>
              <w:spacing w:line="240" w:lineRule="auto"/>
              <w:jc w:val="center"/>
              <w:rPr>
                <w:b/>
                <w:bCs/>
                <w:color w:val="000000"/>
                <w:szCs w:val="22"/>
                <w:lang w:val="pl-PL"/>
              </w:rPr>
            </w:pPr>
            <w:r>
              <w:rPr>
                <w:b/>
                <w:bCs/>
                <w:color w:val="000000"/>
                <w:szCs w:val="22"/>
                <w:lang w:val="pl-PL"/>
              </w:rPr>
              <w:t>Sepiapteryna</w:t>
            </w:r>
            <w:r>
              <w:rPr>
                <w:b/>
                <w:bCs/>
                <w:color w:val="000000"/>
                <w:szCs w:val="22"/>
                <w:lang w:val="pl-PL"/>
              </w:rPr>
              <w:br/>
              <w:t>(N = 49)</w:t>
            </w:r>
          </w:p>
        </w:tc>
        <w:tc>
          <w:tcPr>
            <w:tcW w:w="1247" w:type="pct"/>
          </w:tcPr>
          <w:p>
            <w:pPr>
              <w:keepNext/>
              <w:tabs>
                <w:tab w:val="clear" w:pos="567"/>
              </w:tabs>
              <w:spacing w:line="240" w:lineRule="auto"/>
              <w:jc w:val="center"/>
              <w:rPr>
                <w:b/>
                <w:bCs/>
                <w:color w:val="000000"/>
                <w:szCs w:val="22"/>
                <w:lang w:val="pl-PL"/>
              </w:rPr>
            </w:pPr>
            <w:r>
              <w:rPr>
                <w:b/>
                <w:bCs/>
                <w:color w:val="000000"/>
                <w:szCs w:val="22"/>
                <w:lang w:val="pl-PL"/>
              </w:rPr>
              <w:t>Placebo</w:t>
            </w:r>
            <w:r>
              <w:rPr>
                <w:b/>
                <w:bCs/>
                <w:color w:val="000000"/>
                <w:szCs w:val="22"/>
                <w:lang w:val="pl-PL"/>
              </w:rPr>
              <w:br/>
              <w:t>(N = 49)</w:t>
            </w:r>
          </w:p>
        </w:tc>
        <w:tc>
          <w:tcPr>
            <w:tcW w:w="951" w:type="pct"/>
          </w:tcPr>
          <w:p>
            <w:pPr>
              <w:keepNext/>
              <w:tabs>
                <w:tab w:val="clear" w:pos="567"/>
              </w:tabs>
              <w:spacing w:line="240" w:lineRule="auto"/>
              <w:jc w:val="center"/>
              <w:rPr>
                <w:b/>
                <w:bCs/>
                <w:color w:val="000000"/>
                <w:szCs w:val="22"/>
                <w:lang w:val="pl-PL"/>
              </w:rPr>
            </w:pPr>
            <w:r>
              <w:rPr>
                <w:b/>
                <w:bCs/>
                <w:color w:val="000000"/>
                <w:szCs w:val="22"/>
                <w:lang w:val="pl-PL"/>
              </w:rPr>
              <w:t>Różnica pomiędzy sepiapteryną a placebo</w:t>
            </w:r>
          </w:p>
        </w:tc>
        <w:tc>
          <w:tcPr>
            <w:tcW w:w="656" w:type="pct"/>
          </w:tcPr>
          <w:p>
            <w:pPr>
              <w:keepNext/>
              <w:tabs>
                <w:tab w:val="clear" w:pos="567"/>
              </w:tabs>
              <w:spacing w:line="240" w:lineRule="auto"/>
              <w:jc w:val="center"/>
              <w:rPr>
                <w:b/>
                <w:bCs/>
                <w:color w:val="000000"/>
                <w:szCs w:val="22"/>
                <w:lang w:val="pl-PL"/>
              </w:rPr>
            </w:pPr>
            <w:r>
              <w:rPr>
                <w:b/>
                <w:bCs/>
                <w:color w:val="000000"/>
                <w:szCs w:val="22"/>
                <w:lang w:val="pl-PL"/>
              </w:rPr>
              <w:t>Wartość p</w:t>
            </w:r>
          </w:p>
        </w:tc>
      </w:tr>
      <w:tr>
        <w:trPr>
          <w:cantSplit/>
          <w:trHeight w:val="362"/>
        </w:trPr>
        <w:tc>
          <w:tcPr>
            <w:tcW w:w="5000" w:type="pct"/>
            <w:gridSpan w:val="5"/>
          </w:tcPr>
          <w:p>
            <w:pPr>
              <w:tabs>
                <w:tab w:val="clear" w:pos="567"/>
              </w:tabs>
              <w:spacing w:line="240" w:lineRule="auto"/>
              <w:rPr>
                <w:color w:val="000000"/>
                <w:szCs w:val="22"/>
                <w:lang w:val="pl-PL"/>
              </w:rPr>
            </w:pPr>
            <w:r>
              <w:rPr>
                <w:b/>
                <w:bCs/>
                <w:color w:val="000000"/>
                <w:szCs w:val="22"/>
                <w:lang w:val="pl-PL"/>
              </w:rPr>
              <w:t>Punkt wyjściowy</w:t>
            </w:r>
            <w:r>
              <w:rPr>
                <w:color w:val="000000"/>
                <w:szCs w:val="22"/>
                <w:lang w:val="pl-PL"/>
              </w:rPr>
              <w:t>*</w:t>
            </w:r>
          </w:p>
        </w:tc>
      </w:tr>
      <w:tr>
        <w:trPr>
          <w:cantSplit/>
          <w:trHeight w:val="362"/>
        </w:trPr>
        <w:tc>
          <w:tcPr>
            <w:tcW w:w="1338" w:type="pct"/>
          </w:tcPr>
          <w:p>
            <w:pPr>
              <w:tabs>
                <w:tab w:val="clear" w:pos="567"/>
              </w:tabs>
              <w:spacing w:line="240" w:lineRule="auto"/>
              <w:ind w:left="113"/>
              <w:rPr>
                <w:color w:val="000000"/>
                <w:szCs w:val="22"/>
                <w:lang w:val="pl-PL"/>
              </w:rPr>
            </w:pPr>
            <w:r>
              <w:rPr>
                <w:color w:val="000000"/>
                <w:szCs w:val="22"/>
                <w:lang w:val="pl-PL"/>
              </w:rPr>
              <w:t>Średnia (SD)</w:t>
            </w:r>
          </w:p>
        </w:tc>
        <w:tc>
          <w:tcPr>
            <w:tcW w:w="808" w:type="pct"/>
          </w:tcPr>
          <w:p>
            <w:pPr>
              <w:tabs>
                <w:tab w:val="clear" w:pos="567"/>
              </w:tabs>
              <w:spacing w:line="240" w:lineRule="auto"/>
              <w:jc w:val="center"/>
              <w:rPr>
                <w:color w:val="000000"/>
                <w:szCs w:val="22"/>
                <w:lang w:val="pl-PL"/>
              </w:rPr>
            </w:pPr>
            <w:r>
              <w:rPr>
                <w:color w:val="000000"/>
                <w:szCs w:val="22"/>
                <w:lang w:val="pl-PL"/>
              </w:rPr>
              <w:t>646,11 (253,007)</w:t>
            </w:r>
          </w:p>
        </w:tc>
        <w:tc>
          <w:tcPr>
            <w:tcW w:w="1247" w:type="pct"/>
          </w:tcPr>
          <w:p>
            <w:pPr>
              <w:tabs>
                <w:tab w:val="clear" w:pos="567"/>
              </w:tabs>
              <w:spacing w:line="240" w:lineRule="auto"/>
              <w:jc w:val="center"/>
              <w:rPr>
                <w:color w:val="000000"/>
                <w:szCs w:val="22"/>
                <w:lang w:val="pl-PL"/>
              </w:rPr>
            </w:pPr>
            <w:r>
              <w:rPr>
                <w:color w:val="000000"/>
                <w:szCs w:val="22"/>
                <w:lang w:val="pl-PL"/>
              </w:rPr>
              <w:t>654,04 (261,542)</w:t>
            </w:r>
          </w:p>
        </w:tc>
        <w:tc>
          <w:tcPr>
            <w:tcW w:w="1607" w:type="pct"/>
            <w:gridSpan w:val="2"/>
          </w:tcPr>
          <w:p>
            <w:pPr>
              <w:tabs>
                <w:tab w:val="clear" w:pos="567"/>
              </w:tabs>
              <w:spacing w:line="240" w:lineRule="auto"/>
              <w:jc w:val="both"/>
              <w:rPr>
                <w:color w:val="000000"/>
                <w:szCs w:val="22"/>
                <w:lang w:val="pl-PL"/>
              </w:rPr>
            </w:pPr>
          </w:p>
        </w:tc>
      </w:tr>
      <w:tr>
        <w:trPr>
          <w:cantSplit/>
          <w:trHeight w:val="362"/>
        </w:trPr>
        <w:tc>
          <w:tcPr>
            <w:tcW w:w="5000" w:type="pct"/>
            <w:gridSpan w:val="5"/>
          </w:tcPr>
          <w:p>
            <w:pPr>
              <w:tabs>
                <w:tab w:val="clear" w:pos="567"/>
              </w:tabs>
              <w:spacing w:line="240" w:lineRule="auto"/>
              <w:rPr>
                <w:color w:val="000000"/>
                <w:szCs w:val="22"/>
                <w:lang w:val="pl-PL"/>
              </w:rPr>
            </w:pPr>
            <w:r>
              <w:rPr>
                <w:b/>
                <w:bCs/>
                <w:color w:val="000000"/>
                <w:szCs w:val="22"/>
                <w:lang w:val="pl-PL"/>
              </w:rPr>
              <w:t>Tydzień 5. i 6.</w:t>
            </w:r>
            <w:r>
              <w:rPr>
                <w:color w:val="000000"/>
                <w:szCs w:val="22"/>
                <w:lang w:val="pl-PL"/>
              </w:rPr>
              <w:t>**</w:t>
            </w:r>
          </w:p>
        </w:tc>
      </w:tr>
      <w:tr>
        <w:trPr>
          <w:cantSplit/>
          <w:trHeight w:val="336"/>
        </w:trPr>
        <w:tc>
          <w:tcPr>
            <w:tcW w:w="1338" w:type="pct"/>
            <w:tcBorders>
              <w:bottom w:val="single" w:sz="6" w:space="0" w:color="auto"/>
            </w:tcBorders>
          </w:tcPr>
          <w:p>
            <w:pPr>
              <w:tabs>
                <w:tab w:val="clear" w:pos="567"/>
              </w:tabs>
              <w:spacing w:line="240" w:lineRule="auto"/>
              <w:ind w:left="113"/>
              <w:rPr>
                <w:color w:val="000000"/>
                <w:szCs w:val="22"/>
                <w:lang w:val="pl-PL"/>
              </w:rPr>
            </w:pPr>
            <w:r>
              <w:rPr>
                <w:color w:val="000000"/>
                <w:szCs w:val="22"/>
                <w:lang w:val="pl-PL"/>
              </w:rPr>
              <w:t>Średnia (SD)</w:t>
            </w:r>
          </w:p>
        </w:tc>
        <w:tc>
          <w:tcPr>
            <w:tcW w:w="808" w:type="pct"/>
            <w:tcBorders>
              <w:bottom w:val="single" w:sz="6" w:space="0" w:color="auto"/>
            </w:tcBorders>
          </w:tcPr>
          <w:p>
            <w:pPr>
              <w:tabs>
                <w:tab w:val="clear" w:pos="567"/>
              </w:tabs>
              <w:spacing w:line="240" w:lineRule="auto"/>
              <w:jc w:val="center"/>
              <w:rPr>
                <w:color w:val="000000"/>
                <w:szCs w:val="22"/>
                <w:lang w:val="pl-PL"/>
              </w:rPr>
            </w:pPr>
            <w:r>
              <w:rPr>
                <w:color w:val="000000"/>
                <w:szCs w:val="22"/>
                <w:lang w:val="pl-PL"/>
              </w:rPr>
              <w:t>236,04 (174,942)</w:t>
            </w:r>
          </w:p>
        </w:tc>
        <w:tc>
          <w:tcPr>
            <w:tcW w:w="1247" w:type="pct"/>
            <w:tcBorders>
              <w:bottom w:val="single" w:sz="6" w:space="0" w:color="auto"/>
            </w:tcBorders>
          </w:tcPr>
          <w:p>
            <w:pPr>
              <w:tabs>
                <w:tab w:val="clear" w:pos="567"/>
              </w:tabs>
              <w:spacing w:line="240" w:lineRule="auto"/>
              <w:jc w:val="center"/>
              <w:rPr>
                <w:color w:val="000000"/>
                <w:szCs w:val="22"/>
                <w:lang w:val="pl-PL"/>
              </w:rPr>
            </w:pPr>
            <w:r>
              <w:rPr>
                <w:color w:val="000000"/>
                <w:szCs w:val="22"/>
                <w:lang w:val="pl-PL"/>
              </w:rPr>
              <w:t>637,85 (259,886)</w:t>
            </w:r>
          </w:p>
        </w:tc>
        <w:tc>
          <w:tcPr>
            <w:tcW w:w="1607" w:type="pct"/>
            <w:gridSpan w:val="2"/>
            <w:vMerge w:val="restart"/>
          </w:tcPr>
          <w:p>
            <w:pPr>
              <w:tabs>
                <w:tab w:val="clear" w:pos="567"/>
              </w:tabs>
              <w:spacing w:line="240" w:lineRule="auto"/>
              <w:jc w:val="center"/>
              <w:rPr>
                <w:color w:val="000000"/>
                <w:szCs w:val="22"/>
                <w:lang w:val="pl-PL"/>
              </w:rPr>
            </w:pPr>
          </w:p>
        </w:tc>
      </w:tr>
      <w:tr>
        <w:trPr>
          <w:cantSplit/>
          <w:trHeight w:val="362"/>
        </w:trPr>
        <w:tc>
          <w:tcPr>
            <w:tcW w:w="1338" w:type="pct"/>
          </w:tcPr>
          <w:p>
            <w:pPr>
              <w:tabs>
                <w:tab w:val="clear" w:pos="567"/>
              </w:tabs>
              <w:spacing w:line="240" w:lineRule="auto"/>
              <w:ind w:left="113"/>
              <w:rPr>
                <w:color w:val="000000"/>
                <w:szCs w:val="22"/>
                <w:lang w:val="pl-PL"/>
              </w:rPr>
            </w:pPr>
            <w:r>
              <w:rPr>
                <w:color w:val="000000"/>
                <w:szCs w:val="22"/>
                <w:lang w:val="pl-PL"/>
              </w:rPr>
              <w:t>Średnia zmiana w stosunku do punktu wyjściowego (μmol/l)</w:t>
            </w:r>
          </w:p>
        </w:tc>
        <w:tc>
          <w:tcPr>
            <w:tcW w:w="808" w:type="pct"/>
          </w:tcPr>
          <w:p>
            <w:pPr>
              <w:tabs>
                <w:tab w:val="clear" w:pos="567"/>
              </w:tabs>
              <w:spacing w:line="240" w:lineRule="auto"/>
              <w:jc w:val="center"/>
              <w:rPr>
                <w:color w:val="000000"/>
                <w:szCs w:val="22"/>
                <w:lang w:val="pl-PL"/>
              </w:rPr>
            </w:pPr>
            <w:r>
              <w:rPr>
                <w:color w:val="000000"/>
                <w:szCs w:val="22"/>
                <w:lang w:val="pl-PL"/>
              </w:rPr>
              <w:t>-410,07 (204,442)</w:t>
            </w:r>
          </w:p>
        </w:tc>
        <w:tc>
          <w:tcPr>
            <w:tcW w:w="1247" w:type="pct"/>
          </w:tcPr>
          <w:p>
            <w:pPr>
              <w:tabs>
                <w:tab w:val="clear" w:pos="567"/>
              </w:tabs>
              <w:spacing w:line="240" w:lineRule="auto"/>
              <w:jc w:val="center"/>
              <w:rPr>
                <w:color w:val="000000"/>
                <w:szCs w:val="22"/>
                <w:lang w:val="pl-PL"/>
              </w:rPr>
            </w:pPr>
            <w:r>
              <w:rPr>
                <w:color w:val="000000"/>
                <w:szCs w:val="22"/>
                <w:lang w:val="pl-PL"/>
              </w:rPr>
              <w:t>-16,19 (198,642)</w:t>
            </w:r>
          </w:p>
        </w:tc>
        <w:tc>
          <w:tcPr>
            <w:tcW w:w="1607" w:type="pct"/>
            <w:gridSpan w:val="2"/>
            <w:vMerge/>
          </w:tcPr>
          <w:p>
            <w:pPr>
              <w:tabs>
                <w:tab w:val="clear" w:pos="567"/>
              </w:tabs>
              <w:spacing w:line="240" w:lineRule="auto"/>
              <w:jc w:val="center"/>
              <w:rPr>
                <w:color w:val="000000"/>
                <w:szCs w:val="22"/>
                <w:lang w:val="pl-PL"/>
              </w:rPr>
            </w:pPr>
          </w:p>
        </w:tc>
      </w:tr>
      <w:tr>
        <w:trPr>
          <w:cantSplit/>
          <w:trHeight w:val="362"/>
        </w:trPr>
        <w:tc>
          <w:tcPr>
            <w:tcW w:w="1338" w:type="pct"/>
          </w:tcPr>
          <w:p>
            <w:pPr>
              <w:tabs>
                <w:tab w:val="clear" w:pos="567"/>
              </w:tabs>
              <w:spacing w:line="240" w:lineRule="auto"/>
              <w:ind w:left="113"/>
              <w:rPr>
                <w:color w:val="000000"/>
                <w:szCs w:val="22"/>
                <w:lang w:val="pl-PL"/>
              </w:rPr>
            </w:pPr>
            <w:r>
              <w:rPr>
                <w:color w:val="000000"/>
                <w:szCs w:val="22"/>
                <w:lang w:val="pl-PL"/>
              </w:rPr>
              <w:t>Średnia procentowa zmiana w stosunku do punktu wyjściowego (%)</w:t>
            </w:r>
          </w:p>
        </w:tc>
        <w:tc>
          <w:tcPr>
            <w:tcW w:w="808" w:type="pct"/>
          </w:tcPr>
          <w:p>
            <w:pPr>
              <w:tabs>
                <w:tab w:val="clear" w:pos="567"/>
              </w:tabs>
              <w:spacing w:line="240" w:lineRule="auto"/>
              <w:jc w:val="center"/>
              <w:rPr>
                <w:color w:val="000000"/>
                <w:szCs w:val="22"/>
                <w:lang w:val="pl-PL"/>
              </w:rPr>
            </w:pPr>
            <w:r>
              <w:rPr>
                <w:color w:val="000000"/>
                <w:szCs w:val="22"/>
                <w:lang w:val="pl-PL"/>
              </w:rPr>
              <w:t>-62,8%</w:t>
            </w:r>
          </w:p>
        </w:tc>
        <w:tc>
          <w:tcPr>
            <w:tcW w:w="1247" w:type="pct"/>
          </w:tcPr>
          <w:p>
            <w:pPr>
              <w:tabs>
                <w:tab w:val="clear" w:pos="567"/>
              </w:tabs>
              <w:spacing w:line="240" w:lineRule="auto"/>
              <w:jc w:val="center"/>
              <w:rPr>
                <w:color w:val="000000"/>
                <w:szCs w:val="22"/>
                <w:lang w:val="pl-PL"/>
              </w:rPr>
            </w:pPr>
            <w:r>
              <w:rPr>
                <w:color w:val="000000"/>
                <w:szCs w:val="22"/>
                <w:lang w:val="pl-PL"/>
              </w:rPr>
              <w:t>1,4%</w:t>
            </w:r>
          </w:p>
        </w:tc>
        <w:tc>
          <w:tcPr>
            <w:tcW w:w="1607" w:type="pct"/>
            <w:gridSpan w:val="2"/>
            <w:vMerge/>
          </w:tcPr>
          <w:p>
            <w:pPr>
              <w:tabs>
                <w:tab w:val="clear" w:pos="567"/>
              </w:tabs>
              <w:spacing w:line="240" w:lineRule="auto"/>
              <w:jc w:val="center"/>
              <w:rPr>
                <w:color w:val="000000"/>
                <w:szCs w:val="22"/>
                <w:lang w:val="pl-PL"/>
              </w:rPr>
            </w:pPr>
          </w:p>
        </w:tc>
      </w:tr>
      <w:tr>
        <w:trPr>
          <w:cantSplit/>
          <w:trHeight w:val="362"/>
        </w:trPr>
        <w:tc>
          <w:tcPr>
            <w:tcW w:w="5000" w:type="pct"/>
            <w:gridSpan w:val="5"/>
          </w:tcPr>
          <w:p>
            <w:pPr>
              <w:tabs>
                <w:tab w:val="clear" w:pos="567"/>
              </w:tabs>
              <w:spacing w:line="240" w:lineRule="auto"/>
              <w:rPr>
                <w:b/>
                <w:bCs/>
                <w:color w:val="000000"/>
                <w:szCs w:val="22"/>
                <w:lang w:val="pl-PL"/>
              </w:rPr>
            </w:pPr>
            <w:r>
              <w:rPr>
                <w:b/>
                <w:bCs/>
                <w:color w:val="000000"/>
                <w:szCs w:val="22"/>
                <w:lang w:val="pl-PL"/>
              </w:rPr>
              <w:t>Estymator LS średniej dla średniej zmiany od punktu wyjściowego</w:t>
            </w:r>
          </w:p>
        </w:tc>
      </w:tr>
      <w:tr>
        <w:trPr>
          <w:cantSplit/>
          <w:trHeight w:val="362"/>
        </w:trPr>
        <w:tc>
          <w:tcPr>
            <w:tcW w:w="1338" w:type="pct"/>
          </w:tcPr>
          <w:p>
            <w:pPr>
              <w:tabs>
                <w:tab w:val="clear" w:pos="567"/>
              </w:tabs>
              <w:spacing w:line="240" w:lineRule="auto"/>
              <w:ind w:left="113"/>
              <w:rPr>
                <w:color w:val="000000"/>
                <w:szCs w:val="22"/>
                <w:lang w:val="pl-PL"/>
              </w:rPr>
            </w:pPr>
            <w:r>
              <w:rPr>
                <w:color w:val="000000"/>
                <w:szCs w:val="22"/>
                <w:lang w:val="pl-PL"/>
              </w:rPr>
              <w:t>Średnia LS (SE)</w:t>
            </w:r>
          </w:p>
        </w:tc>
        <w:tc>
          <w:tcPr>
            <w:tcW w:w="808" w:type="pct"/>
          </w:tcPr>
          <w:p>
            <w:pPr>
              <w:tabs>
                <w:tab w:val="clear" w:pos="567"/>
              </w:tabs>
              <w:spacing w:line="240" w:lineRule="auto"/>
              <w:jc w:val="center"/>
              <w:rPr>
                <w:color w:val="000000"/>
                <w:szCs w:val="22"/>
                <w:lang w:val="pl-PL"/>
              </w:rPr>
            </w:pPr>
            <w:r>
              <w:rPr>
                <w:color w:val="000000"/>
                <w:szCs w:val="22"/>
                <w:lang w:val="pl-PL"/>
              </w:rPr>
              <w:t>-415,75 (24,066)</w:t>
            </w:r>
          </w:p>
        </w:tc>
        <w:tc>
          <w:tcPr>
            <w:tcW w:w="1247" w:type="pct"/>
          </w:tcPr>
          <w:p>
            <w:pPr>
              <w:tabs>
                <w:tab w:val="clear" w:pos="567"/>
              </w:tabs>
              <w:spacing w:line="240" w:lineRule="auto"/>
              <w:jc w:val="center"/>
              <w:rPr>
                <w:color w:val="000000"/>
                <w:szCs w:val="22"/>
                <w:lang w:val="pl-PL"/>
              </w:rPr>
            </w:pPr>
            <w:r>
              <w:rPr>
                <w:color w:val="000000"/>
                <w:szCs w:val="22"/>
                <w:lang w:val="pl-PL"/>
              </w:rPr>
              <w:t>-19,88 (24,223)</w:t>
            </w:r>
          </w:p>
        </w:tc>
        <w:tc>
          <w:tcPr>
            <w:tcW w:w="951" w:type="pct"/>
          </w:tcPr>
          <w:p>
            <w:pPr>
              <w:tabs>
                <w:tab w:val="clear" w:pos="567"/>
              </w:tabs>
              <w:spacing w:line="240" w:lineRule="auto"/>
              <w:jc w:val="center"/>
              <w:rPr>
                <w:color w:val="000000"/>
                <w:szCs w:val="22"/>
                <w:lang w:val="pl-PL"/>
              </w:rPr>
            </w:pPr>
            <w:r>
              <w:rPr>
                <w:color w:val="000000"/>
                <w:szCs w:val="22"/>
                <w:lang w:val="pl-PL"/>
              </w:rPr>
              <w:t>-395,87 (33,848)</w:t>
            </w:r>
          </w:p>
        </w:tc>
        <w:tc>
          <w:tcPr>
            <w:tcW w:w="656" w:type="pct"/>
          </w:tcPr>
          <w:p>
            <w:pPr>
              <w:tabs>
                <w:tab w:val="clear" w:pos="567"/>
              </w:tabs>
              <w:spacing w:line="240" w:lineRule="auto"/>
              <w:jc w:val="center"/>
              <w:rPr>
                <w:color w:val="000000"/>
                <w:szCs w:val="22"/>
                <w:lang w:val="pl-PL"/>
              </w:rPr>
            </w:pPr>
            <w:r>
              <w:rPr>
                <w:color w:val="000000"/>
                <w:szCs w:val="22"/>
                <w:lang w:val="pl-PL"/>
              </w:rPr>
              <w:t>&lt; 0,0001</w:t>
            </w:r>
          </w:p>
        </w:tc>
      </w:tr>
      <w:tr>
        <w:trPr>
          <w:cantSplit/>
          <w:trHeight w:val="362"/>
        </w:trPr>
        <w:tc>
          <w:tcPr>
            <w:tcW w:w="1338" w:type="pct"/>
          </w:tcPr>
          <w:p>
            <w:pPr>
              <w:tabs>
                <w:tab w:val="clear" w:pos="567"/>
              </w:tabs>
              <w:spacing w:line="240" w:lineRule="auto"/>
              <w:ind w:left="113"/>
              <w:rPr>
                <w:color w:val="000000"/>
                <w:szCs w:val="22"/>
                <w:lang w:val="pl-PL"/>
              </w:rPr>
            </w:pPr>
            <w:r>
              <w:rPr>
                <w:color w:val="000000"/>
                <w:szCs w:val="22"/>
                <w:lang w:val="pl-PL"/>
              </w:rPr>
              <w:t>95% CI</w:t>
            </w:r>
          </w:p>
        </w:tc>
        <w:tc>
          <w:tcPr>
            <w:tcW w:w="808" w:type="pct"/>
          </w:tcPr>
          <w:p>
            <w:pPr>
              <w:tabs>
                <w:tab w:val="clear" w:pos="567"/>
              </w:tabs>
              <w:spacing w:line="240" w:lineRule="auto"/>
              <w:jc w:val="center"/>
              <w:rPr>
                <w:color w:val="000000"/>
                <w:szCs w:val="22"/>
                <w:lang w:val="pl-PL"/>
              </w:rPr>
            </w:pPr>
            <w:r>
              <w:rPr>
                <w:color w:val="000000"/>
                <w:szCs w:val="22"/>
                <w:lang w:val="pl-PL"/>
              </w:rPr>
              <w:t>(-463,52, ­367,97)</w:t>
            </w:r>
          </w:p>
        </w:tc>
        <w:tc>
          <w:tcPr>
            <w:tcW w:w="1247" w:type="pct"/>
          </w:tcPr>
          <w:p>
            <w:pPr>
              <w:tabs>
                <w:tab w:val="clear" w:pos="567"/>
              </w:tabs>
              <w:spacing w:line="240" w:lineRule="auto"/>
              <w:jc w:val="center"/>
              <w:rPr>
                <w:color w:val="000000"/>
                <w:szCs w:val="22"/>
                <w:lang w:val="pl-PL"/>
              </w:rPr>
            </w:pPr>
            <w:r>
              <w:rPr>
                <w:color w:val="000000"/>
                <w:szCs w:val="22"/>
                <w:lang w:val="pl-PL"/>
              </w:rPr>
              <w:t>(-67,97, 28,21)</w:t>
            </w:r>
          </w:p>
        </w:tc>
        <w:tc>
          <w:tcPr>
            <w:tcW w:w="951" w:type="pct"/>
          </w:tcPr>
          <w:p>
            <w:pPr>
              <w:tabs>
                <w:tab w:val="clear" w:pos="567"/>
              </w:tabs>
              <w:spacing w:line="240" w:lineRule="auto"/>
              <w:jc w:val="center"/>
              <w:rPr>
                <w:color w:val="000000"/>
                <w:szCs w:val="22"/>
                <w:lang w:val="pl-PL"/>
              </w:rPr>
            </w:pPr>
            <w:r>
              <w:rPr>
                <w:color w:val="000000"/>
                <w:szCs w:val="22"/>
                <w:lang w:val="pl-PL"/>
              </w:rPr>
              <w:t>(‐463,07, ­328,66)</w:t>
            </w:r>
          </w:p>
        </w:tc>
        <w:tc>
          <w:tcPr>
            <w:tcW w:w="656" w:type="pct"/>
          </w:tcPr>
          <w:p>
            <w:pPr>
              <w:tabs>
                <w:tab w:val="clear" w:pos="567"/>
              </w:tabs>
              <w:spacing w:line="240" w:lineRule="auto"/>
              <w:jc w:val="both"/>
              <w:rPr>
                <w:color w:val="000000"/>
                <w:szCs w:val="22"/>
                <w:lang w:val="pl-PL"/>
              </w:rPr>
            </w:pPr>
          </w:p>
        </w:tc>
      </w:tr>
    </w:tbl>
    <w:p>
      <w:pPr>
        <w:tabs>
          <w:tab w:val="clear" w:pos="567"/>
          <w:tab w:val="left" w:pos="144"/>
        </w:tabs>
        <w:spacing w:line="240" w:lineRule="auto"/>
        <w:rPr>
          <w:sz w:val="20"/>
          <w:lang w:val="pl-PL"/>
        </w:rPr>
      </w:pPr>
      <w:r>
        <w:rPr>
          <w:sz w:val="20"/>
          <w:lang w:val="pl-PL"/>
        </w:rPr>
        <w:t>CI, przedział ufności; LS, najmniejsze kwadraty; MMRM, model mieszany dla pomiarów powtarzanych; Phe, fenyloalanina; SD, odchylenie standardowe; SE, błąd standardowy</w:t>
      </w:r>
    </w:p>
    <w:p>
      <w:pPr>
        <w:autoSpaceDE w:val="0"/>
        <w:autoSpaceDN w:val="0"/>
        <w:adjustRightInd w:val="0"/>
        <w:spacing w:line="240" w:lineRule="auto"/>
        <w:rPr>
          <w:sz w:val="20"/>
          <w:lang w:val="pl-PL"/>
        </w:rPr>
      </w:pPr>
      <w:r>
        <w:rPr>
          <w:sz w:val="20"/>
          <w:lang w:val="pl-PL"/>
        </w:rPr>
        <w:t>* Punkt wyjściowy to średnia stężeń Phe we krwi podczas wizyt w dniu -1. i dniu 1. w części 2.</w:t>
      </w:r>
    </w:p>
    <w:p>
      <w:pPr>
        <w:autoSpaceDE w:val="0"/>
        <w:autoSpaceDN w:val="0"/>
        <w:adjustRightInd w:val="0"/>
        <w:spacing w:line="240" w:lineRule="auto"/>
        <w:rPr>
          <w:sz w:val="20"/>
          <w:lang w:val="pl-PL"/>
        </w:rPr>
      </w:pPr>
      <w:r>
        <w:rPr>
          <w:sz w:val="20"/>
          <w:lang w:val="pl-PL"/>
        </w:rPr>
        <w:t>** Stężenia Phe we krwi w oparciu o średnie wartości w tygodniu 5. i 6.</w:t>
      </w:r>
    </w:p>
    <w:p>
      <w:pPr>
        <w:autoSpaceDE w:val="0"/>
        <w:autoSpaceDN w:val="0"/>
        <w:adjustRightInd w:val="0"/>
        <w:spacing w:line="240" w:lineRule="auto"/>
        <w:rPr>
          <w:sz w:val="20"/>
          <w:lang w:val="pl-PL"/>
        </w:rPr>
      </w:pPr>
      <w:r>
        <w:rPr>
          <w:sz w:val="20"/>
          <w:lang w:val="pl-PL"/>
        </w:rPr>
        <w:t>Średnie LS, błędy standardowe, przedziały ufności i wartości p uzyskano w modelu MMRM ze zmianą stężenia Phe we krwi od punktu wyjściowego do ocen po punkcie wyjściowym jako zmiennej odpowiedzi i stałych skutków leczenia, wyjściowej wartości stężenia Phe we krwi, stratyfikacji zależnie od wyjściowego stężenia Phe, wizyty i interakcji pomiędzy leczeniem a wizytą.</w:t>
      </w:r>
    </w:p>
    <w:p>
      <w:pPr>
        <w:autoSpaceDE w:val="0"/>
        <w:autoSpaceDN w:val="0"/>
        <w:adjustRightInd w:val="0"/>
        <w:spacing w:line="240" w:lineRule="auto"/>
        <w:rPr>
          <w:szCs w:val="22"/>
          <w:lang w:val="pl-PL"/>
        </w:rPr>
      </w:pPr>
    </w:p>
    <w:p>
      <w:pPr>
        <w:autoSpaceDE w:val="0"/>
        <w:autoSpaceDN w:val="0"/>
        <w:adjustRightInd w:val="0"/>
        <w:spacing w:line="240" w:lineRule="auto"/>
        <w:rPr>
          <w:szCs w:val="22"/>
          <w:lang w:val="pl-PL"/>
        </w:rPr>
      </w:pPr>
      <w:r>
        <w:rPr>
          <w:szCs w:val="22"/>
          <w:lang w:val="pl-PL"/>
        </w:rPr>
        <w:t xml:space="preserve">Podobne odpowiedzi obserwowano w populacji pacjentów z klasyczną postacią PKU (cPKU), 69% zmniejszenie stężenia Phe we krwi w tygodniu 6 u uczestników otrzymujących sepiapterynę (n = 6) </w:t>
      </w:r>
    </w:p>
    <w:p>
      <w:pPr>
        <w:autoSpaceDE w:val="0"/>
        <w:autoSpaceDN w:val="0"/>
        <w:adjustRightInd w:val="0"/>
        <w:spacing w:line="240" w:lineRule="auto"/>
        <w:rPr>
          <w:szCs w:val="22"/>
          <w:lang w:val="pl-PL"/>
        </w:rPr>
      </w:pPr>
      <w:r>
        <w:rPr>
          <w:szCs w:val="22"/>
          <w:lang w:val="pl-PL"/>
        </w:rPr>
        <w:t>w porównaniu ze wzrostem o 3% po podaniu placebo (n = 9).</w:t>
      </w:r>
    </w:p>
    <w:p>
      <w:pPr>
        <w:autoSpaceDE w:val="0"/>
        <w:autoSpaceDN w:val="0"/>
        <w:adjustRightInd w:val="0"/>
        <w:spacing w:line="240" w:lineRule="auto"/>
        <w:rPr>
          <w:szCs w:val="22"/>
          <w:lang w:val="pl-PL"/>
        </w:rPr>
      </w:pPr>
    </w:p>
    <w:p>
      <w:pPr>
        <w:autoSpaceDE w:val="0"/>
        <w:autoSpaceDN w:val="0"/>
        <w:adjustRightInd w:val="0"/>
        <w:spacing w:line="240" w:lineRule="auto"/>
        <w:rPr>
          <w:szCs w:val="22"/>
          <w:lang w:val="pl-PL"/>
        </w:rPr>
      </w:pPr>
      <w:r>
        <w:rPr>
          <w:b/>
          <w:bCs/>
          <w:szCs w:val="22"/>
          <w:lang w:val="pl-PL"/>
        </w:rPr>
        <w:t>Badanie 2 (PKU-002)</w:t>
      </w:r>
      <w:r>
        <w:rPr>
          <w:szCs w:val="22"/>
          <w:lang w:val="pl-PL"/>
        </w:rPr>
        <w:t xml:space="preserve"> było randomizowanym, prowadzonym metodą otwartej próby, badaniem klinicznym fazy II z grupą kontrolną otrzymującą substancję czynną z zastosowaniem metody podwójnie skrzyżowanym, mającym na celu ocenę skuteczności sepiapteryny u pacjentów z PKU.</w:t>
      </w:r>
    </w:p>
    <w:p>
      <w:pPr>
        <w:autoSpaceDE w:val="0"/>
        <w:autoSpaceDN w:val="0"/>
        <w:adjustRightInd w:val="0"/>
        <w:spacing w:line="240" w:lineRule="auto"/>
        <w:rPr>
          <w:szCs w:val="22"/>
          <w:lang w:val="pl-PL"/>
        </w:rPr>
      </w:pPr>
      <w:r>
        <w:rPr>
          <w:szCs w:val="22"/>
          <w:lang w:val="pl-PL"/>
        </w:rPr>
        <w:t xml:space="preserve">Badanie obejmowało 6 grup sekwencyjnych po 4 pacjentów w grupie, łącznie 24 pacjentów. Każda grupa sekwencyjna została losowo przypisana do grupy poddawanej trwającemu 7 dni leczeniu sepiapteryną w dawce 60 mg/kg mc./dobę, sepiapteryną w dawce 20 mg/kg mc./dobę oraz dichlorowodorkiem sapropteryny w dawce 20 mg/kg mc./dobę, w przypadkowej kolejności; po otrzymaniu każdego z leków następował trwający 7 dni okres wypłukiwania. Wstępną skuteczność oceniano na podstawie obniżenia stężenia fenyloalaniny we krwi. Wyniki głównej analizy skuteczności prowadzonej w oparciu o średnią tygodniową wykazały, że leczenie sepiapteryną powodowało obniżenie stężenia fenyloalaniny we krwi w stosunku do wartości wyjściowej, które było statystycznie istotne dla wszystkich rodzajów leczenia (n = 24). U większego odsetka pacjentów poddawanych leczeniu sepiapteryną, niezależnie od dawki, wystąpiło obniżenie stężenia fenyloalaniny w osoczu o co najmniej 10%, 20% i 30% w porównaniu z pacjentami otrzymującymi sapropterynę w dawce 20 mg/kg mc./dobę. U większej liczby pacjentów przyjmujących sepiapterynę w dawce 60 mg/kg mc./dobę osiągnięto znormalizowane stężenie fenyloalaniny w osoczu (&lt; 120 μmol/l) i krwi w zakresie docelowym (≤ 360 μmol/l) w porównaniu z sapropteryną w dawce 20 mg/kg mc./dobę. </w:t>
      </w:r>
    </w:p>
    <w:p>
      <w:pPr>
        <w:autoSpaceDE w:val="0"/>
        <w:autoSpaceDN w:val="0"/>
        <w:adjustRightInd w:val="0"/>
        <w:spacing w:line="240" w:lineRule="auto"/>
        <w:rPr>
          <w:szCs w:val="22"/>
          <w:lang w:val="pl-PL"/>
        </w:rPr>
      </w:pPr>
      <w:r>
        <w:rPr>
          <w:szCs w:val="22"/>
          <w:lang w:val="pl-PL"/>
        </w:rPr>
        <w:lastRenderedPageBreak/>
        <w:t>U uczestników z cPKU leczenie obejmujące stosowanie sepiapteryny (60 mg/kg mc./dobę) skutkowało istotnym spadkiem stężenia fenyloalaniny we krwi względem wartości wyjściowej.</w:t>
      </w:r>
    </w:p>
    <w:p>
      <w:pPr>
        <w:autoSpaceDE w:val="0"/>
        <w:autoSpaceDN w:val="0"/>
        <w:adjustRightInd w:val="0"/>
        <w:spacing w:line="240" w:lineRule="auto"/>
        <w:rPr>
          <w:szCs w:val="22"/>
          <w:lang w:val="pl-PL"/>
        </w:rPr>
      </w:pPr>
    </w:p>
    <w:p>
      <w:pPr>
        <w:spacing w:line="240" w:lineRule="auto"/>
        <w:rPr>
          <w:szCs w:val="22"/>
          <w:lang w:val="pl-PL"/>
        </w:rPr>
      </w:pPr>
      <w:r>
        <w:rPr>
          <w:b/>
          <w:bCs/>
          <w:szCs w:val="22"/>
          <w:lang w:val="pl-PL"/>
        </w:rPr>
        <w:t>Badanie 3 (PTC923-MD-004-PKU)</w:t>
      </w:r>
      <w:r>
        <w:rPr>
          <w:szCs w:val="22"/>
          <w:lang w:val="pl-PL"/>
        </w:rPr>
        <w:t xml:space="preserve"> to trwające, wieloośrodkowe, prowadzone metodą otwartej próby badanie kliniczne fazy III mające na celu ocenę bezpieczeństwa i tolerancji fenyloalaniny w diecie podczas długotrwałego leczenia sepiapteryną u pacjentów z PKU. Stu sześćdziesięciu dziewięciu (169) pacjentów było leczonych sepiapteryną w dawce 7,5 mg/kg mc. w przypadku uczestników w wieku od 0 do &lt; 6 miesięcy, 15 mg/kg mc. w przypadku uczestników w wieku od 6 do &lt; 12 miesięcy, 30 mg/kg mc. w przypadku uczestników w wieku od 12 miesięcy do &lt; 2 lat lub 60 mg/kg mc. w przypadku uczestników w wieku ≥ 2 lat na dobę. Dane cząstkowe wskazują, że codzienne podawanie sepiapteryny wiąże się z około 2,3-krotnym wzrostem średniego dziennego spożycia fenyloalaniny (27,6 mg/kg mc./dobę w punkcie wyjściowym w porównaniu z 62,5 mg/</w:t>
      </w:r>
    </w:p>
    <w:p>
      <w:pPr>
        <w:spacing w:line="240" w:lineRule="auto"/>
        <w:rPr>
          <w:szCs w:val="22"/>
          <w:lang w:val="pl-PL"/>
        </w:rPr>
      </w:pPr>
      <w:r>
        <w:rPr>
          <w:szCs w:val="22"/>
          <w:lang w:val="pl-PL"/>
        </w:rPr>
        <w:t xml:space="preserve">kg mc./dobę w tygodniu 26.) przy jednoczesnym utrzymaniu stężenia fenyloalaniny&lt; 360 μmol/l. Większość uczestników osiągnęła obniżenie stężenia fenyloalaniny we krwi o co najmniej 15% (76,7% uczestników) lub 30% (67,4% uczestników) (Rysunek 1). </w:t>
      </w:r>
    </w:p>
    <w:p>
      <w:pPr>
        <w:spacing w:line="240" w:lineRule="auto"/>
        <w:rPr>
          <w:szCs w:val="22"/>
          <w:lang w:val="pl-PL"/>
        </w:rPr>
      </w:pPr>
    </w:p>
    <w:p>
      <w:pPr>
        <w:keepNext/>
        <w:spacing w:line="240" w:lineRule="auto"/>
        <w:rPr>
          <w:b/>
          <w:szCs w:val="22"/>
          <w:lang w:val="pl-PL"/>
        </w:rPr>
      </w:pPr>
      <w:r>
        <w:rPr>
          <w:b/>
          <w:bCs/>
          <w:szCs w:val="22"/>
          <w:lang w:val="pl-PL"/>
        </w:rPr>
        <w:t>Rysunek 1: Średnie (SD) spożycie Phe z pokarmem podczas oceny tolerancji spożycia Phe z pokarmem (zbiór do analizy tolerancji Phe)</w:t>
      </w:r>
    </w:p>
    <w:p>
      <w:pPr>
        <w:spacing w:line="240" w:lineRule="auto"/>
        <w:jc w:val="both"/>
        <w:rPr>
          <w:lang w:val="pl-PL"/>
        </w:rPr>
      </w:pPr>
    </w:p>
    <w:p>
      <w:pPr>
        <w:spacing w:line="240" w:lineRule="auto"/>
        <w:jc w:val="both"/>
        <w:rPr>
          <w:lang w:val="pl-PL"/>
        </w:rPr>
      </w:pPr>
    </w:p>
    <w:p>
      <w:pPr>
        <w:spacing w:line="240" w:lineRule="auto"/>
        <w:jc w:val="both"/>
        <w:rPr>
          <w:lang w:val="pl-PL"/>
        </w:rPr>
      </w:pPr>
      <w:r>
        <w:rPr>
          <w:noProof/>
          <w:lang w:val="pl-PL" w:eastAsia="pl-PL"/>
        </w:rPr>
        <mc:AlternateContent>
          <mc:Choice Requires="wpg">
            <w:drawing>
              <wp:anchor distT="0" distB="0" distL="114300" distR="114300" simplePos="0" relativeHeight="251659264" behindDoc="1" locked="0" layoutInCell="1" allowOverlap="1">
                <wp:simplePos x="0" y="0"/>
                <wp:positionH relativeFrom="column">
                  <wp:posOffset>-6350</wp:posOffset>
                </wp:positionH>
                <wp:positionV relativeFrom="paragraph">
                  <wp:posOffset>24765</wp:posOffset>
                </wp:positionV>
                <wp:extent cx="5949950" cy="3028315"/>
                <wp:effectExtent l="0" t="0" r="0" b="0"/>
                <wp:wrapTight wrapText="bothSides">
                  <wp:wrapPolygon edited="0">
                    <wp:start x="19917" y="2038"/>
                    <wp:lineTo x="3734" y="2853"/>
                    <wp:lineTo x="3804" y="15354"/>
                    <wp:lineTo x="0" y="16713"/>
                    <wp:lineTo x="0" y="18072"/>
                    <wp:lineTo x="4288" y="18751"/>
                    <wp:lineTo x="20401" y="18751"/>
                    <wp:lineTo x="20678" y="18479"/>
                    <wp:lineTo x="20955" y="17936"/>
                    <wp:lineTo x="21024" y="16849"/>
                    <wp:lineTo x="19364" y="16577"/>
                    <wp:lineTo x="5740" y="15354"/>
                    <wp:lineTo x="17358" y="15354"/>
                    <wp:lineTo x="20540" y="14947"/>
                    <wp:lineTo x="20332" y="13180"/>
                    <wp:lineTo x="20609" y="12908"/>
                    <wp:lineTo x="20609" y="11957"/>
                    <wp:lineTo x="20332" y="11006"/>
                    <wp:lineTo x="20470" y="8832"/>
                    <wp:lineTo x="20470" y="2038"/>
                    <wp:lineTo x="19917" y="2038"/>
                  </wp:wrapPolygon>
                </wp:wrapTight>
                <wp:docPr id="1277202133" name="Group 97"/>
                <wp:cNvGraphicFramePr/>
                <a:graphic xmlns:a="http://schemas.openxmlformats.org/drawingml/2006/main">
                  <a:graphicData uri="http://schemas.microsoft.com/office/word/2010/wordprocessingGroup">
                    <wpg:wgp>
                      <wpg:cNvGrpSpPr/>
                      <wpg:grpSpPr>
                        <a:xfrm>
                          <a:off x="0" y="0"/>
                          <a:ext cx="5949950" cy="3028315"/>
                          <a:chOff x="0" y="-3"/>
                          <a:chExt cx="5950497" cy="3028775"/>
                        </a:xfrm>
                      </wpg:grpSpPr>
                      <wps:wsp>
                        <wps:cNvPr id="224422585" name="Text Box 1"/>
                        <wps:cNvSpPr txBox="1"/>
                        <wps:spPr>
                          <a:xfrm>
                            <a:off x="0" y="2364816"/>
                            <a:ext cx="5698379" cy="171476"/>
                          </a:xfrm>
                          <a:prstGeom prst="rect">
                            <a:avLst/>
                          </a:prstGeom>
                          <a:solidFill>
                            <a:schemeClr val="lt1"/>
                          </a:solidFill>
                          <a:ln w="6350">
                            <a:noFill/>
                          </a:ln>
                        </wps:spPr>
                        <wps:txbx>
                          <w:txbxContent>
                            <w:p>
                              <w:pPr>
                                <w:jc w:val="both"/>
                                <w:rPr>
                                  <w:rFonts w:ascii="Arial" w:hAnsi="Arial" w:cs="Arial"/>
                                  <w:sz w:val="12"/>
                                  <w:szCs w:val="12"/>
                                  <w:lang w:val="en-US"/>
                                </w:rPr>
                              </w:pPr>
                              <w:r>
                                <w:rPr>
                                  <w:rFonts w:ascii="Arial" w:hAnsi="Arial" w:cs="Arial"/>
                                  <w:sz w:val="12"/>
                                  <w:szCs w:val="12"/>
                                  <w:lang w:val="en-US"/>
                                </w:rPr>
                                <w:t>Spożycie Phe z pokarmem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831826" y="923271"/>
                            <a:ext cx="2425726" cy="579178"/>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pl-PL"/>
                                </w:rPr>
                              </w:pPr>
                              <w:r>
                                <w:rPr>
                                  <w:b/>
                                  <w:bCs/>
                                  <w:sz w:val="24"/>
                                  <w:szCs w:val="24"/>
                                  <w:lang w:val="pl-PL" w:eastAsia="pl-PL"/>
                                </w:rPr>
                                <w:t xml:space="preserve"> </w:t>
                              </w:r>
                              <w:r>
                                <w:rPr>
                                  <w:rFonts w:ascii="Arial" w:hAnsi="Arial" w:cs="Arial"/>
                                  <w:b/>
                                  <w:bCs/>
                                  <w:color w:val="000000"/>
                                  <w:kern w:val="24"/>
                                  <w:sz w:val="16"/>
                                  <w:szCs w:val="16"/>
                                  <w:lang w:val="pl-PL"/>
                                </w:rPr>
                                <w:t xml:space="preserve">Średnie (SD) </w:t>
                              </w:r>
                            </w:p>
                            <w:p>
                              <w:pPr>
                                <w:spacing w:line="240" w:lineRule="exact"/>
                                <w:jc w:val="center"/>
                                <w:textAlignment w:val="baseline"/>
                                <w:rPr>
                                  <w:rFonts w:ascii="Arial" w:hAnsi="Arial" w:cs="Arial"/>
                                  <w:b/>
                                  <w:bCs/>
                                  <w:color w:val="000000"/>
                                  <w:kern w:val="24"/>
                                  <w:sz w:val="16"/>
                                  <w:szCs w:val="16"/>
                                  <w:lang w:val="pl-PL"/>
                                </w:rPr>
                              </w:pPr>
                              <w:r>
                                <w:rPr>
                                  <w:rFonts w:ascii="Arial" w:hAnsi="Arial" w:cs="Arial"/>
                                  <w:b/>
                                  <w:bCs/>
                                  <w:color w:val="000000"/>
                                  <w:kern w:val="24"/>
                                  <w:sz w:val="16"/>
                                  <w:szCs w:val="16"/>
                                  <w:lang w:val="pl-PL"/>
                                </w:rPr>
                                <w:t>spożycie Phe z pokarmem (mg/kg mc./dobę)</w:t>
                              </w:r>
                            </w:p>
                            <w:p>
                              <w:pPr>
                                <w:spacing w:line="240" w:lineRule="exact"/>
                                <w:jc w:val="center"/>
                                <w:textAlignment w:val="baseline"/>
                                <w:rPr>
                                  <w:rFonts w:ascii="Arial" w:hAnsi="Arial" w:cs="Arial"/>
                                  <w:b/>
                                  <w:bCs/>
                                  <w:color w:val="000000"/>
                                  <w:kern w:val="24"/>
                                  <w:sz w:val="16"/>
                                  <w:szCs w:val="16"/>
                                  <w:lang w:val="pl-PL"/>
                                </w:rPr>
                              </w:pPr>
                            </w:p>
                            <w:p>
                              <w:pPr>
                                <w:spacing w:line="240" w:lineRule="exact"/>
                                <w:rPr>
                                  <w:sz w:val="16"/>
                                  <w:szCs w:val="16"/>
                                  <w:lang w:val="pl-PL"/>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21276" y="2632235"/>
                            <a:ext cx="4829221" cy="396537"/>
                            <a:chOff x="-51917" y="0"/>
                            <a:chExt cx="4829221" cy="396537"/>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51917" y="68373"/>
                              <a:ext cx="693970" cy="328164"/>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Punkt wyjściowy</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T1-T2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T3-T4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T5-T6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T7-T8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T9-t10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T11-T12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T13-T14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T15-T16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T17-T18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9898" y="21831"/>
                              <a:ext cx="479425" cy="186345"/>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T19-T20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T21-T22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T23-T24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T25-T26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V relativeFrom="margin">
                  <wp14:pctHeight>0</wp14:pctHeight>
                </wp14:sizeRelV>
              </wp:anchor>
            </w:drawing>
          </mc:Choice>
          <mc:Fallback>
            <w:pict>
              <v:group id="Group 97" o:spid="_x0000_s1026" style="position:absolute;left:0;text-align:left;margin-left:-.5pt;margin-top:1.95pt;width:468.5pt;height:238.45pt;z-index:-251657216;mso-height-relative:margin" coordorigin="" coordsize="59504,3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">
                <v:shapetype id="_x0000_t202" coordsize="21600,21600" o:spt="202" path="m,l,21600r21600,l21600,xe">
                  <v:stroke joinstyle="miter"/>
                  <v:path gradientshapeok="t" o:connecttype="rect"/>
                </v:shapetype>
                <v:shape id="Text Box 1" o:spid="_x0000_s1027" type="#_x0000_t202" style="position:absolute;top:23648;width:569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lang w:val="en-US"/>
                          </w:rPr>
                        </w:pPr>
                        <w:r>
                          <w:rPr>
                            <w:rFonts w:ascii="Arial" w:hAnsi="Arial" w:cs="Arial"/>
                            <w:sz w:val="12"/>
                            <w:szCs w:val="12"/>
                            <w:lang w:val="en-US"/>
                          </w:rPr>
                          <w:t>Spożycie Phe z pokarmem            102           96            97            98           91            92            91           91           94             92            90            87            86            81</w:t>
                        </w:r>
                      </w:p>
                    </w:txbxContent>
                  </v:textbox>
                </v:shape>
                <v:shape id="TextBox 39" o:spid="_x0000_s1028" type="#_x0000_t202" style="position:absolute;left:-8319;top:9233;width:24257;height:579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pl-PL"/>
                          </w:rPr>
                        </w:pPr>
                        <w:r>
                          <w:rPr>
                            <w:b/>
                            <w:bCs/>
                            <w:sz w:val="24"/>
                            <w:szCs w:val="24"/>
                            <w:lang w:val="pl-PL" w:eastAsia="pl-PL"/>
                          </w:rPr>
                          <w:t xml:space="preserve"> </w:t>
                        </w:r>
                        <w:r>
                          <w:rPr>
                            <w:rFonts w:ascii="Arial" w:hAnsi="Arial" w:cs="Arial"/>
                            <w:b/>
                            <w:bCs/>
                            <w:color w:val="000000"/>
                            <w:kern w:val="24"/>
                            <w:sz w:val="16"/>
                            <w:szCs w:val="16"/>
                            <w:lang w:val="pl-PL"/>
                          </w:rPr>
                          <w:t xml:space="preserve">Średnie (SD) </w:t>
                        </w:r>
                      </w:p>
                      <w:p>
                        <w:pPr>
                          <w:spacing w:line="240" w:lineRule="exact"/>
                          <w:jc w:val="center"/>
                          <w:textAlignment w:val="baseline"/>
                          <w:rPr>
                            <w:rFonts w:ascii="Arial" w:hAnsi="Arial" w:cs="Arial"/>
                            <w:b/>
                            <w:bCs/>
                            <w:color w:val="000000"/>
                            <w:kern w:val="24"/>
                            <w:sz w:val="16"/>
                            <w:szCs w:val="16"/>
                            <w:lang w:val="pl-PL"/>
                          </w:rPr>
                        </w:pPr>
                        <w:r>
                          <w:rPr>
                            <w:rFonts w:ascii="Arial" w:hAnsi="Arial" w:cs="Arial"/>
                            <w:b/>
                            <w:bCs/>
                            <w:color w:val="000000"/>
                            <w:kern w:val="24"/>
                            <w:sz w:val="16"/>
                            <w:szCs w:val="16"/>
                            <w:lang w:val="pl-PL"/>
                          </w:rPr>
                          <w:t>spożycie Phe z pokarmem (mg/kg mc./dobę)</w:t>
                        </w:r>
                      </w:p>
                      <w:p>
                        <w:pPr>
                          <w:spacing w:line="240" w:lineRule="exact"/>
                          <w:jc w:val="center"/>
                          <w:textAlignment w:val="baseline"/>
                          <w:rPr>
                            <w:rFonts w:ascii="Arial" w:hAnsi="Arial" w:cs="Arial"/>
                            <w:b/>
                            <w:bCs/>
                            <w:color w:val="000000"/>
                            <w:kern w:val="24"/>
                            <w:sz w:val="16"/>
                            <w:szCs w:val="16"/>
                            <w:lang w:val="pl-PL"/>
                          </w:rPr>
                        </w:pPr>
                      </w:p>
                      <w:p>
                        <w:pPr>
                          <w:spacing w:line="240" w:lineRule="exact"/>
                          <w:rPr>
                            <w:sz w:val="16"/>
                            <w:szCs w:val="16"/>
                            <w:lang w:val="pl-PL"/>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212;top:26322;width:48292;height:3965" coordorigin="-519" coordsize="4829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519;top:683;width:6939;height:3282;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Punkt wyjściowy</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T1-T2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T3-T4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T5-T6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T7-T8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T9-t10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T11-T12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T13-T14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T15-T16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T17-T18</w:t>
                          </w:r>
                        </w:p>
                        <w:p/>
                        <w:p/>
                      </w:txbxContent>
                    </v:textbox>
                  </v:shape>
                  <v:shape id="TextBox 68" o:spid="_x0000_s1122" type="#_x0000_t202" style="position:absolute;left:32398;top:218;width:4795;height:1863;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T19-T20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T21-T22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T23-T24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T25-T26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spacing w:line="240" w:lineRule="auto"/>
        <w:jc w:val="both"/>
        <w:rPr>
          <w:lang w:val="pl-PL"/>
        </w:rPr>
      </w:pPr>
    </w:p>
    <w:p>
      <w:pPr>
        <w:pStyle w:val="Footer"/>
        <w:jc w:val="center"/>
        <w:rPr>
          <w:rFonts w:cs="Arial"/>
          <w:szCs w:val="16"/>
          <w:lang w:val="pl-PL"/>
        </w:rPr>
      </w:pPr>
      <w:r>
        <w:rPr>
          <w:lang w:val="pl-PL" w:eastAsia="pl-PL"/>
        </w:rPr>
        <mc:AlternateContent>
          <mc:Choice Requires="wps">
            <w:drawing>
              <wp:anchor distT="0" distB="0" distL="114300" distR="114300" simplePos="0" relativeHeight="251663360" behindDoc="0" locked="0" layoutInCell="1" allowOverlap="1">
                <wp:simplePos x="0" y="0"/>
                <wp:positionH relativeFrom="column">
                  <wp:posOffset>4161736</wp:posOffset>
                </wp:positionH>
                <wp:positionV relativeFrom="paragraph">
                  <wp:posOffset>74295</wp:posOffset>
                </wp:positionV>
                <wp:extent cx="361935" cy="17272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361935" cy="17272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674206AF" id="Freeform: Shape 257" o:spid="_x0000_s1026" style="position:absolute;margin-left:327.7pt;margin-top:5.85pt;width:28.5pt;height: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" path="m,l7139964,e" filled="f" strokecolor="black [3213]" strokeweight=".43814mm">
                <v:stroke joinstyle="miter"/>
                <v:path arrowok="t" o:connecttype="custom" o:connectlocs="0,0;361935,0" o:connectangles="0,0"/>
              </v:shape>
            </w:pict>
          </mc:Fallback>
        </mc:AlternateContent>
      </w:r>
      <w:r>
        <w:rPr>
          <w:lang w:val="pl-PL" w:eastAsia="pl-PL"/>
        </w:rPr>
        <mc:AlternateContent>
          <mc:Choice Requires="wpg">
            <w:drawing>
              <wp:anchor distT="0" distB="0" distL="114300" distR="114300" simplePos="0" relativeHeight="251661312" behindDoc="0" locked="0" layoutInCell="1" allowOverlap="1">
                <wp:simplePos x="0" y="0"/>
                <wp:positionH relativeFrom="column">
                  <wp:posOffset>1637156</wp:posOffset>
                </wp:positionH>
                <wp:positionV relativeFrom="paragraph">
                  <wp:posOffset>71801</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143E01EF" id="Group 1" o:spid="_x0000_s1026" style="position:absolute;margin-left:128.9pt;margin-top:5.65pt;width:20.7pt;height:3.8pt;z-index:251661312;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" strokecolor="black [3213]" strokeweight="2pt">
                  <v:stroke dashstyle="1 1" joinstyle="miter"/>
                  <o:lock v:ext="edit" shapetype="f"/>
                </v:line>
              </v:group>
            </w:pict>
          </mc:Fallback>
        </mc:AlternateContent>
      </w:r>
      <w:r>
        <w:rPr>
          <w:szCs w:val="16"/>
          <w:lang w:val="pl-PL"/>
        </w:rPr>
        <w:t xml:space="preserve">Parametry:                   </w:t>
      </w:r>
      <w:r>
        <w:rPr>
          <w:rFonts w:cs="Arial"/>
          <w:szCs w:val="16"/>
          <w:lang w:val="pl-PL"/>
        </w:rPr>
        <w:t>Spożycie Phe z pokarmem (mg/kg mc./dob</w:t>
      </w:r>
      <w:r>
        <w:rPr>
          <w:szCs w:val="16"/>
          <w:lang w:val="pl-PL"/>
        </w:rPr>
        <w:t>ę</w:t>
      </w:r>
      <w:r>
        <w:rPr>
          <w:rFonts w:cs="Arial"/>
          <w:szCs w:val="16"/>
          <w:lang w:val="pl-PL"/>
        </w:rPr>
        <w:t>)              RDA</w:t>
      </w:r>
    </w:p>
    <w:p>
      <w:pPr>
        <w:spacing w:line="240" w:lineRule="auto"/>
        <w:jc w:val="both"/>
        <w:rPr>
          <w:lang w:val="pl-PL"/>
        </w:rPr>
      </w:pPr>
    </w:p>
    <w:p>
      <w:pPr>
        <w:tabs>
          <w:tab w:val="left" w:pos="144"/>
        </w:tabs>
        <w:spacing w:line="240" w:lineRule="auto"/>
        <w:rPr>
          <w:sz w:val="20"/>
          <w:lang w:val="pl-PL"/>
        </w:rPr>
      </w:pPr>
      <w:r>
        <w:rPr>
          <w:sz w:val="20"/>
          <w:lang w:val="pl-PL"/>
        </w:rPr>
        <w:t>Phe, fenyloalanina; PKU, fenyloketonuria; RDA, zalecane dzienne spożycie; SD, odchylenie standardowe; T, tydzień</w:t>
      </w:r>
    </w:p>
    <w:p>
      <w:pPr>
        <w:spacing w:line="240" w:lineRule="auto"/>
        <w:rPr>
          <w:b/>
          <w:szCs w:val="22"/>
          <w:lang w:val="pl-PL"/>
        </w:rPr>
      </w:pPr>
      <w:r>
        <w:rPr>
          <w:sz w:val="20"/>
          <w:lang w:val="pl-PL"/>
        </w:rPr>
        <w:t xml:space="preserve">Uwaga: Punkt wyjściowy definiuje się jako średnie dzienne spożycie Phe (mg/kg mc./dobę) w miesiącu 1. RDA wynosi 0,8 g białka/kg mc. co odpowiada około 40 mg/kg mc./dobę Phe. Poziom wyjściowy Phe we krwi jest średnią z okresu przed oceną w tygodniu 1-2. 1 g białka odpowiada około 50 mg Phe. </w:t>
      </w:r>
    </w:p>
    <w:p>
      <w:pPr>
        <w:spacing w:line="240" w:lineRule="auto"/>
        <w:rPr>
          <w:szCs w:val="22"/>
          <w:lang w:val="pl-PL"/>
        </w:rPr>
      </w:pPr>
    </w:p>
    <w:p>
      <w:pPr>
        <w:spacing w:line="240" w:lineRule="auto"/>
        <w:rPr>
          <w:lang w:val="pl-PL"/>
        </w:rPr>
      </w:pPr>
      <w:r>
        <w:rPr>
          <w:szCs w:val="22"/>
          <w:lang w:val="pl-PL"/>
        </w:rPr>
        <w:t xml:space="preserve">Dane te wskazują, że leczenie sepiapteryną może umożliwić liberalizację wysoce restrykcyjnej diety, której muszą przestrzegać pacjenci z PKU. </w:t>
      </w:r>
    </w:p>
    <w:p>
      <w:pPr>
        <w:spacing w:line="240" w:lineRule="auto"/>
        <w:rPr>
          <w:lang w:val="pl-PL"/>
        </w:rPr>
      </w:pPr>
    </w:p>
    <w:p>
      <w:pPr>
        <w:spacing w:after="160" w:line="259" w:lineRule="auto"/>
        <w:rPr>
          <w:lang w:val="pl-PL"/>
        </w:rPr>
      </w:pPr>
      <w:r>
        <w:rPr>
          <w:b/>
          <w:bCs/>
          <w:lang w:val="pl-PL"/>
        </w:rPr>
        <w:t>Badanie 4 (PTC923</w:t>
      </w:r>
      <w:r>
        <w:rPr>
          <w:b/>
          <w:bCs/>
          <w:lang w:val="pl-PL"/>
        </w:rPr>
        <w:noBreakHyphen/>
        <w:t>PKU</w:t>
      </w:r>
      <w:r>
        <w:rPr>
          <w:b/>
          <w:bCs/>
          <w:lang w:val="pl-PL"/>
        </w:rPr>
        <w:noBreakHyphen/>
        <w:t>301)</w:t>
      </w:r>
      <w:r>
        <w:rPr>
          <w:lang w:val="pl-PL"/>
        </w:rPr>
        <w:t xml:space="preserve"> było 2</w:t>
      </w:r>
      <w:r>
        <w:rPr>
          <w:lang w:val="pl-PL"/>
        </w:rPr>
        <w:noBreakHyphen/>
        <w:t>częściowym, randomizowanym badaniem krzyżowym III fazy prowadzonym metodą otwartej próby z grupą kontrolną otrzymującą aktywne leczenie, porównującym sepiapterynę z sapropteryną u uczestników z PKU w wieku ≥2 lat.</w:t>
      </w:r>
    </w:p>
    <w:p>
      <w:pPr>
        <w:spacing w:line="240" w:lineRule="auto"/>
        <w:rPr>
          <w:lang w:val="pl-PL"/>
        </w:rPr>
      </w:pPr>
      <w:r>
        <w:rPr>
          <w:lang w:val="pl-PL"/>
        </w:rPr>
        <w:t>W części 1 badania uczestnicy zostali poddani 14</w:t>
      </w:r>
      <w:r>
        <w:rPr>
          <w:lang w:val="pl-PL"/>
        </w:rPr>
        <w:noBreakHyphen/>
        <w:t xml:space="preserve">dniowemu leczeniu sepiapteryną w dawce 60 mg/kg/dobę prowadzonemu metodą otwartej próby w celu oceny ich reakcji na leczenie, definiowanej jako ≥20% obniżenie stężenia Phe we krwi w stosunku do wartości wyjściowej. Spośród 82 uczestników 67 (81,7%) wykazało odpowiedź na leczenie, osiągając średnie obniżenie stężenia Phe </w:t>
      </w:r>
      <w:r>
        <w:rPr>
          <w:lang w:val="pl-PL"/>
        </w:rPr>
        <w:lastRenderedPageBreak/>
        <w:t>o 415,5 μmol/l (spadek o 59,1% w stosunku do wartości wyjściowej). Spośród nich 62 uczestników zakwalifikowało się do części 2, w której zostali losowo przydzieleni do dwóch sekwencji: sapropteryna</w:t>
      </w:r>
      <w:r>
        <w:rPr>
          <w:lang w:val="pl-PL"/>
        </w:rPr>
        <w:noBreakHyphen/>
        <w:t>sepiapteryna (n=30) lub sepiapteryna</w:t>
      </w:r>
      <w:r>
        <w:rPr>
          <w:lang w:val="pl-PL"/>
        </w:rPr>
        <w:noBreakHyphen/>
        <w:t>sapropteryna (n=32), przy czym każde leczenie było oddzielone 14</w:t>
      </w:r>
      <w:r>
        <w:rPr>
          <w:lang w:val="pl-PL"/>
        </w:rPr>
        <w:noBreakHyphen/>
        <w:t xml:space="preserve">dniową przerwą. Pierwszorzędowym punktem końcowym skuteczności w części 2 była średnia zmiana stężenia Phe we krwi od wartości wyjściowej do 3. i 4. tygodnia. Wstępna analiza wykazała statystycznie istotną różnicę w skuteczności leczenia na korzyść sepiapteryny w dawce 60 mg/kg mc./dobę w porównaniu z sapropteryną w dawce 20 mg/kg mc./dobę (p&lt;0,0001) u uczestników, którzy wykazali ≥30% spadek stężenia Phe w części 1. Leczenie sepiapteryną doprowadziło do szybkiego i trwałego spadku stężenia Phe. Do 28. dnia leczenia LS średnia zmiana stężenia Phe we krwi od wartości wyjściowej do 3. i 4. tygodnia wynosiła </w:t>
      </w:r>
      <w:r>
        <w:rPr>
          <w:lang w:val="pl-PL"/>
        </w:rPr>
        <w:noBreakHyphen/>
        <w:t xml:space="preserve">437,0 μmol/l w przypadku sepiapteryny i </w:t>
      </w:r>
      <w:r>
        <w:rPr>
          <w:lang w:val="pl-PL"/>
        </w:rPr>
        <w:noBreakHyphen/>
        <w:t xml:space="preserve">256,6 μmol/l w przypadku sapropteryny, co daje średnią różnicę w leczeniu wynoszącą </w:t>
      </w:r>
      <w:r>
        <w:rPr>
          <w:lang w:val="pl-PL"/>
        </w:rPr>
        <w:noBreakHyphen/>
        <w:t>180,4 μmol/l (p&lt;0,0001). U uczestników reagujących na BH</w:t>
      </w:r>
      <w:r>
        <w:rPr>
          <w:vertAlign w:val="subscript"/>
          <w:lang w:val="pl-PL"/>
        </w:rPr>
        <w:t>4</w:t>
      </w:r>
      <w:r>
        <w:rPr>
          <w:lang w:val="pl-PL"/>
        </w:rPr>
        <w:t xml:space="preserve"> średnie bezwzględne stężenie Phe spadło z 775,9 do 323,7 µmol/l w przypadku sepiapteryny, w porównaniu z 854,1 do 552 µmol/l w przypadku dichlorowodorku sapropteryny [LS średnia różnica: </w:t>
      </w:r>
      <w:r>
        <w:rPr>
          <w:lang w:val="pl-PL"/>
        </w:rPr>
        <w:noBreakHyphen/>
        <w:t xml:space="preserve">214 µmol/l (95% CI: </w:t>
      </w:r>
      <w:r>
        <w:rPr>
          <w:lang w:val="pl-PL"/>
        </w:rPr>
        <w:noBreakHyphen/>
        <w:t xml:space="preserve">274,1, </w:t>
      </w:r>
      <w:r>
        <w:rPr>
          <w:lang w:val="pl-PL"/>
        </w:rPr>
        <w:noBreakHyphen/>
        <w:t>153,9); p&lt;0,0001]. U pacjentów, którzy otrzymywali BH</w:t>
      </w:r>
      <w:r>
        <w:rPr>
          <w:vertAlign w:val="subscript"/>
          <w:lang w:val="pl-PL"/>
        </w:rPr>
        <w:t>4</w:t>
      </w:r>
      <w:r>
        <w:rPr>
          <w:lang w:val="pl-PL"/>
        </w:rPr>
        <w:t xml:space="preserve"> w momencie włączenia do badania, średnie bezwzględne stężenie Phe zmniejszyło się z 842,6 do 370,9 µmol/l w przypadku stosowania sepiapteryny, w porównaniu ze spadkiem z 910,8 do 629,0 µmol/l w przypadku stosowania dichlorowodorku sapropteryny [LS średnia różnica: </w:t>
      </w:r>
      <w:r>
        <w:rPr>
          <w:lang w:val="pl-PL"/>
        </w:rPr>
        <w:noBreakHyphen/>
        <w:t xml:space="preserve">248,5 µmol/l (95% CI: </w:t>
      </w:r>
      <w:r>
        <w:rPr>
          <w:lang w:val="pl-PL"/>
        </w:rPr>
        <w:noBreakHyphen/>
        <w:t xml:space="preserve">320,5, </w:t>
      </w:r>
      <w:r>
        <w:rPr>
          <w:lang w:val="pl-PL"/>
        </w:rPr>
        <w:noBreakHyphen/>
        <w:t>176,5); p&lt;0,0001]. Sepiapteryna wykazała statystycznie znacznie większe zmniejszenie pierwszorzędowego punktu końcowego w porównaniu z sapropteryną w całej populacji, umożliwiając większemu odsetkowi pacjentów osiągnięcie docelowego stężenia Phe we krwi.</w:t>
      </w:r>
    </w:p>
    <w:p>
      <w:pPr>
        <w:spacing w:line="240" w:lineRule="auto"/>
        <w:rPr>
          <w:lang w:val="pl-PL"/>
        </w:rPr>
      </w:pPr>
    </w:p>
    <w:p>
      <w:pPr>
        <w:spacing w:line="240" w:lineRule="auto"/>
        <w:rPr>
          <w:lang w:val="pl-PL"/>
        </w:rPr>
      </w:pPr>
      <w:r>
        <w:rPr>
          <w:szCs w:val="22"/>
          <w:lang w:val="pl-PL"/>
        </w:rPr>
        <w:t>Uczestnicy z alergiami lub niepożądanymi reakcjami na syntetyczną formę BH</w:t>
      </w:r>
      <w:r>
        <w:rPr>
          <w:szCs w:val="22"/>
          <w:vertAlign w:val="subscript"/>
          <w:lang w:val="pl-PL"/>
        </w:rPr>
        <w:t>4</w:t>
      </w:r>
      <w:r>
        <w:rPr>
          <w:szCs w:val="22"/>
          <w:lang w:val="pl-PL"/>
        </w:rPr>
        <w:t xml:space="preserve"> w wywiadzie zostali wykluczeni z badań klinicznych.</w:t>
      </w:r>
    </w:p>
    <w:p>
      <w:pPr>
        <w:spacing w:line="240" w:lineRule="auto"/>
        <w:rPr>
          <w:lang w:val="pl-PL"/>
        </w:rPr>
      </w:pPr>
    </w:p>
    <w:p>
      <w:pPr>
        <w:spacing w:line="240" w:lineRule="auto"/>
        <w:rPr>
          <w:lang w:val="pl-PL"/>
        </w:rPr>
      </w:pPr>
      <w:r>
        <w:rPr>
          <w:lang w:val="pl-PL"/>
        </w:rPr>
        <w:t>Europejska Agencja Leków wstrzymała obowiązek dołączania wyników badań produktu leczniczego Sephience</w:t>
      </w:r>
      <w:r>
        <w:rPr>
          <w:szCs w:val="22"/>
          <w:lang w:val="pl-PL"/>
        </w:rPr>
        <w:t xml:space="preserve"> </w:t>
      </w:r>
      <w:r>
        <w:rPr>
          <w:lang w:val="pl-PL"/>
        </w:rPr>
        <w:t>w jednej lub kilku podgrupach populacji dzieci i młodzieży z HPA</w:t>
      </w:r>
      <w:r>
        <w:rPr>
          <w:szCs w:val="22"/>
          <w:lang w:val="pl-PL"/>
        </w:rPr>
        <w:t xml:space="preserve"> </w:t>
      </w:r>
      <w:r>
        <w:rPr>
          <w:lang w:val="pl-PL"/>
        </w:rPr>
        <w:t>(stosowanie u dzieci i młodzieży, patrz punkt 4.2).</w:t>
      </w:r>
    </w:p>
    <w:p>
      <w:pPr>
        <w:spacing w:line="240" w:lineRule="auto"/>
        <w:rPr>
          <w:lang w:val="pl-PL"/>
        </w:rPr>
      </w:pPr>
    </w:p>
    <w:p>
      <w:pPr>
        <w:keepNext/>
        <w:spacing w:line="240" w:lineRule="auto"/>
        <w:ind w:left="562" w:hanging="562"/>
        <w:rPr>
          <w:b/>
          <w:szCs w:val="22"/>
          <w:lang w:val="pl-PL"/>
        </w:rPr>
      </w:pPr>
      <w:r>
        <w:rPr>
          <w:b/>
          <w:bCs/>
          <w:szCs w:val="22"/>
          <w:lang w:val="pl-PL"/>
        </w:rPr>
        <w:t>5.2</w:t>
      </w:r>
      <w:r>
        <w:rPr>
          <w:b/>
          <w:bCs/>
          <w:szCs w:val="22"/>
          <w:lang w:val="pl-PL"/>
        </w:rPr>
        <w:tab/>
        <w:t>Właściwości farmakokinetyczne</w:t>
      </w:r>
      <w:r>
        <w:rPr>
          <w:b/>
          <w:szCs w:val="22"/>
          <w:highlight w:val="yellow"/>
          <w:lang w:val="pl-PL"/>
        </w:rPr>
        <w:fldChar w:fldCharType="begin"/>
      </w:r>
      <w:r>
        <w:rPr>
          <w:b/>
          <w:szCs w:val="22"/>
          <w:highlight w:val="yellow"/>
          <w:lang w:val="pl-PL"/>
        </w:rPr>
        <w:instrText xml:space="preserve"> DOCVARIABLE vault_nd_edee54ce-4cb8-427a-ae96-e047486cf424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keepNext/>
        <w:numPr>
          <w:ilvl w:val="12"/>
          <w:numId w:val="0"/>
        </w:numPr>
        <w:spacing w:line="240" w:lineRule="auto"/>
        <w:ind w:right="-2"/>
        <w:rPr>
          <w:u w:val="single"/>
          <w:lang w:val="pl-PL"/>
        </w:rPr>
      </w:pPr>
    </w:p>
    <w:p>
      <w:pPr>
        <w:keepNext/>
        <w:numPr>
          <w:ilvl w:val="12"/>
          <w:numId w:val="0"/>
        </w:numPr>
        <w:spacing w:line="240" w:lineRule="auto"/>
        <w:ind w:right="-2"/>
        <w:rPr>
          <w:u w:val="single"/>
          <w:lang w:val="pl-PL"/>
        </w:rPr>
      </w:pPr>
      <w:r>
        <w:rPr>
          <w:szCs w:val="22"/>
          <w:u w:val="single"/>
          <w:lang w:val="pl-PL"/>
        </w:rPr>
        <w:t>Wchłanianie</w:t>
      </w:r>
    </w:p>
    <w:p>
      <w:pPr>
        <w:keepNext/>
        <w:numPr>
          <w:ilvl w:val="12"/>
          <w:numId w:val="0"/>
        </w:numPr>
        <w:spacing w:line="240" w:lineRule="auto"/>
        <w:ind w:right="-2"/>
        <w:rPr>
          <w:u w:val="single"/>
          <w:lang w:val="pl-PL"/>
        </w:rPr>
      </w:pPr>
    </w:p>
    <w:p>
      <w:pPr>
        <w:keepNext/>
        <w:numPr>
          <w:ilvl w:val="12"/>
          <w:numId w:val="0"/>
        </w:numPr>
        <w:spacing w:line="240" w:lineRule="auto"/>
        <w:ind w:right="-2"/>
        <w:rPr>
          <w:lang w:val="pl-PL"/>
        </w:rPr>
      </w:pPr>
      <w:r>
        <w:rPr>
          <w:szCs w:val="22"/>
          <w:lang w:val="pl-PL"/>
        </w:rPr>
        <w:t>Po podaniu doustnym sepiapteryna jest szybko wchłaniana, a maksymalne stężenia w osoczu występują w ciągu około 1 do 3 godzin i szybko spadają, osiągając wartości poniżej granicy oznaczalności (0,75 ng/ml) (na ogół do 12 godzin). Maksymalne stężenie sepiapteryny w osoczu (C</w:t>
      </w:r>
      <w:r>
        <w:rPr>
          <w:szCs w:val="22"/>
          <w:vertAlign w:val="subscript"/>
          <w:lang w:val="pl-PL"/>
        </w:rPr>
        <w:t>max</w:t>
      </w:r>
      <w:r>
        <w:rPr>
          <w:szCs w:val="22"/>
          <w:lang w:val="pl-PL"/>
        </w:rPr>
        <w:t xml:space="preserve">) wynosiło około 2,80 ng/ml po zastosowaniu dawki 60 mg/kg mc./dobę przez 7 dni </w:t>
      </w:r>
      <w:r>
        <w:rPr>
          <w:szCs w:val="22"/>
          <w:lang w:val="pl-PL"/>
        </w:rPr>
        <w:br/>
        <w:t>i wysokokalorycznej diety wysokotłuszczowej. Nie zaobserwowano kumulacji sepiapteryny po wielokrotnym podaniu.</w:t>
      </w:r>
    </w:p>
    <w:p>
      <w:pPr>
        <w:numPr>
          <w:ilvl w:val="12"/>
          <w:numId w:val="0"/>
        </w:numPr>
        <w:spacing w:line="240" w:lineRule="auto"/>
        <w:ind w:right="-2"/>
        <w:rPr>
          <w:lang w:val="pl-PL"/>
        </w:rPr>
      </w:pPr>
    </w:p>
    <w:p>
      <w:pPr>
        <w:spacing w:line="240" w:lineRule="auto"/>
        <w:ind w:right="-2"/>
        <w:rPr>
          <w:szCs w:val="22"/>
          <w:lang w:val="pl-PL"/>
        </w:rPr>
      </w:pPr>
      <w:r>
        <w:rPr>
          <w:szCs w:val="22"/>
          <w:lang w:val="pl-PL"/>
        </w:rPr>
        <w:t>Sepiapteryna z osocza jest intensywnie metabolizowana do farmakologicznie aktywnego metabolitu BH</w:t>
      </w:r>
      <w:r>
        <w:rPr>
          <w:szCs w:val="22"/>
          <w:vertAlign w:val="subscript"/>
          <w:lang w:val="pl-PL"/>
        </w:rPr>
        <w:t>4</w:t>
      </w:r>
      <w:r>
        <w:rPr>
          <w:szCs w:val="22"/>
          <w:lang w:val="pl-PL"/>
        </w:rPr>
        <w:t>. Pozorny okres półtrwania BH</w:t>
      </w:r>
      <w:r>
        <w:rPr>
          <w:szCs w:val="22"/>
          <w:vertAlign w:val="subscript"/>
          <w:lang w:val="pl-PL"/>
        </w:rPr>
        <w:t>4</w:t>
      </w:r>
      <w:r>
        <w:rPr>
          <w:szCs w:val="22"/>
          <w:lang w:val="pl-PL"/>
        </w:rPr>
        <w:t xml:space="preserve"> w fazie końcowej wynosi około 5 godzin. Zarówno C</w:t>
      </w:r>
      <w:r>
        <w:rPr>
          <w:szCs w:val="22"/>
          <w:vertAlign w:val="subscript"/>
          <w:lang w:val="pl-PL"/>
        </w:rPr>
        <w:t>max</w:t>
      </w:r>
      <w:r>
        <w:rPr>
          <w:szCs w:val="22"/>
          <w:lang w:val="pl-PL"/>
        </w:rPr>
        <w:t xml:space="preserve"> BH</w:t>
      </w:r>
      <w:r>
        <w:rPr>
          <w:szCs w:val="22"/>
          <w:vertAlign w:val="subscript"/>
          <w:lang w:val="pl-PL"/>
        </w:rPr>
        <w:t>4</w:t>
      </w:r>
      <w:r>
        <w:rPr>
          <w:szCs w:val="22"/>
          <w:lang w:val="pl-PL"/>
        </w:rPr>
        <w:t xml:space="preserve"> jak </w:t>
      </w:r>
    </w:p>
    <w:p>
      <w:pPr>
        <w:spacing w:line="240" w:lineRule="auto"/>
        <w:ind w:right="-2"/>
        <w:rPr>
          <w:szCs w:val="22"/>
          <w:lang w:val="pl-PL"/>
        </w:rPr>
      </w:pPr>
      <w:r>
        <w:rPr>
          <w:szCs w:val="22"/>
          <w:lang w:val="pl-PL"/>
        </w:rPr>
        <w:t>i pole pod krzywą zależności stężenia od czasu od zera do 24 godzin po podaniu dawki (AUC</w:t>
      </w:r>
      <w:r>
        <w:rPr>
          <w:szCs w:val="22"/>
          <w:vertAlign w:val="subscript"/>
          <w:lang w:val="pl-PL"/>
        </w:rPr>
        <w:t>0-24h</w:t>
      </w:r>
      <w:r>
        <w:rPr>
          <w:szCs w:val="22"/>
          <w:lang w:val="pl-PL"/>
        </w:rPr>
        <w:t>) zwiększały się z dawką, podczas gdy wzrost był słabszy niż proporcjonalny do dawki dla dawek sepiapteryny powyżej 20 mg/kg. Po podaniu wielokrotnych dawek sepiapteryny w dawce do 60 mg/</w:t>
      </w:r>
    </w:p>
    <w:p>
      <w:pPr>
        <w:spacing w:line="240" w:lineRule="auto"/>
        <w:ind w:right="-2"/>
        <w:rPr>
          <w:szCs w:val="22"/>
          <w:lang w:val="pl-PL"/>
        </w:rPr>
      </w:pPr>
      <w:r>
        <w:rPr>
          <w:szCs w:val="22"/>
          <w:lang w:val="pl-PL"/>
        </w:rPr>
        <w:t>kg mc. przez 7 dni nie dochodzi do kumulacji BH</w:t>
      </w:r>
      <w:r>
        <w:rPr>
          <w:szCs w:val="22"/>
          <w:vertAlign w:val="subscript"/>
          <w:lang w:val="pl-PL"/>
        </w:rPr>
        <w:t>4</w:t>
      </w:r>
      <w:r>
        <w:rPr>
          <w:szCs w:val="22"/>
          <w:lang w:val="pl-PL"/>
        </w:rPr>
        <w:t>.</w:t>
      </w:r>
    </w:p>
    <w:p>
      <w:pPr>
        <w:spacing w:line="240" w:lineRule="auto"/>
        <w:ind w:right="-2"/>
        <w:rPr>
          <w:lang w:val="pl-PL"/>
        </w:rPr>
      </w:pPr>
    </w:p>
    <w:p>
      <w:pPr>
        <w:numPr>
          <w:ilvl w:val="12"/>
          <w:numId w:val="0"/>
        </w:numPr>
        <w:spacing w:line="240" w:lineRule="auto"/>
        <w:ind w:right="-2"/>
        <w:rPr>
          <w:i/>
          <w:lang w:val="pl-PL"/>
        </w:rPr>
      </w:pPr>
      <w:r>
        <w:rPr>
          <w:i/>
          <w:iCs/>
          <w:szCs w:val="22"/>
          <w:lang w:val="pl-PL"/>
        </w:rPr>
        <w:t>Wpływ pokarmu</w:t>
      </w:r>
    </w:p>
    <w:p>
      <w:pPr>
        <w:spacing w:line="240" w:lineRule="auto"/>
        <w:ind w:right="-2"/>
        <w:rPr>
          <w:lang w:val="pl-PL"/>
        </w:rPr>
      </w:pPr>
      <w:r>
        <w:rPr>
          <w:szCs w:val="22"/>
          <w:lang w:val="pl-PL"/>
        </w:rPr>
        <w:t>Gdy sepiapteryna była podawana z niskokalorycznym posiłkiem o małej zawartości tłuszczu w zakresie dawek od 20 do 60 mg/kg mc., ekspozycja na BH</w:t>
      </w:r>
      <w:r>
        <w:rPr>
          <w:szCs w:val="22"/>
          <w:vertAlign w:val="subscript"/>
          <w:lang w:val="pl-PL"/>
        </w:rPr>
        <w:t>4</w:t>
      </w:r>
      <w:r>
        <w:rPr>
          <w:szCs w:val="22"/>
          <w:lang w:val="pl-PL"/>
        </w:rPr>
        <w:t xml:space="preserve"> była 1,69 do 1,72-krotnie wyższa dla C</w:t>
      </w:r>
      <w:r>
        <w:rPr>
          <w:szCs w:val="22"/>
          <w:vertAlign w:val="subscript"/>
          <w:lang w:val="pl-PL"/>
        </w:rPr>
        <w:t>max</w:t>
      </w:r>
      <w:r>
        <w:rPr>
          <w:szCs w:val="22"/>
          <w:lang w:val="pl-PL"/>
        </w:rPr>
        <w:t xml:space="preserve"> i 1,62 do 1,73-krotnie wyższa dla AUC</w:t>
      </w:r>
      <w:r>
        <w:rPr>
          <w:szCs w:val="22"/>
          <w:vertAlign w:val="subscript"/>
          <w:lang w:val="pl-PL"/>
        </w:rPr>
        <w:t>0‐24h</w:t>
      </w:r>
      <w:r>
        <w:rPr>
          <w:szCs w:val="22"/>
          <w:lang w:val="pl-PL"/>
        </w:rPr>
        <w:t xml:space="preserve"> w porównaniu z podaniem na czczo. Gdy sepiapteryna była podawana z wysokokalorycznym posiłkiem o dużej zawartości tłuszczu, ekspozycja na BH</w:t>
      </w:r>
      <w:r>
        <w:rPr>
          <w:szCs w:val="22"/>
          <w:vertAlign w:val="subscript"/>
          <w:lang w:val="pl-PL"/>
        </w:rPr>
        <w:t>4</w:t>
      </w:r>
      <w:r>
        <w:rPr>
          <w:szCs w:val="22"/>
          <w:lang w:val="pl-PL"/>
        </w:rPr>
        <w:t xml:space="preserve"> była 2,21 do 2,26­krotnie wyższa dla C</w:t>
      </w:r>
      <w:r>
        <w:rPr>
          <w:szCs w:val="22"/>
          <w:vertAlign w:val="subscript"/>
          <w:lang w:val="pl-PL"/>
        </w:rPr>
        <w:t>max</w:t>
      </w:r>
      <w:r>
        <w:rPr>
          <w:szCs w:val="22"/>
          <w:lang w:val="pl-PL"/>
        </w:rPr>
        <w:t xml:space="preserve"> i 2,51 do 2,84-krotnie wyższa dla AUC</w:t>
      </w:r>
      <w:r>
        <w:rPr>
          <w:szCs w:val="22"/>
          <w:vertAlign w:val="subscript"/>
          <w:lang w:val="pl-PL"/>
        </w:rPr>
        <w:t>0‐24h</w:t>
      </w:r>
      <w:r>
        <w:rPr>
          <w:szCs w:val="22"/>
          <w:lang w:val="pl-PL"/>
        </w:rPr>
        <w:t xml:space="preserve"> w porównaniu z podaniem na czczo. </w:t>
      </w:r>
    </w:p>
    <w:p>
      <w:pPr>
        <w:spacing w:line="240" w:lineRule="auto"/>
        <w:ind w:right="-2"/>
        <w:rPr>
          <w:lang w:val="pl-PL"/>
        </w:rPr>
      </w:pPr>
    </w:p>
    <w:p>
      <w:pPr>
        <w:spacing w:line="240" w:lineRule="auto"/>
        <w:ind w:right="-2"/>
        <w:rPr>
          <w:lang w:val="pl-PL"/>
        </w:rPr>
      </w:pPr>
      <w:r>
        <w:rPr>
          <w:szCs w:val="22"/>
          <w:lang w:val="pl-PL"/>
        </w:rPr>
        <w:t>Sepiapterynę można przyjmować z dowolnym posiłkiem o dowolnej porze dnia, ale o tej samej porze każdego dnia.</w:t>
      </w:r>
    </w:p>
    <w:p>
      <w:pPr>
        <w:spacing w:line="240" w:lineRule="auto"/>
        <w:ind w:right="-2"/>
        <w:rPr>
          <w:lang w:val="pl-PL"/>
        </w:rPr>
      </w:pPr>
    </w:p>
    <w:p>
      <w:pPr>
        <w:keepNext/>
        <w:numPr>
          <w:ilvl w:val="12"/>
          <w:numId w:val="0"/>
        </w:numPr>
        <w:spacing w:line="240" w:lineRule="auto"/>
        <w:rPr>
          <w:u w:val="single"/>
          <w:lang w:val="pl-PL"/>
        </w:rPr>
      </w:pPr>
      <w:r>
        <w:rPr>
          <w:szCs w:val="22"/>
          <w:u w:val="single"/>
          <w:lang w:val="pl-PL"/>
        </w:rPr>
        <w:t>Dystrybucja</w:t>
      </w:r>
    </w:p>
    <w:p>
      <w:pPr>
        <w:keepNext/>
        <w:numPr>
          <w:ilvl w:val="12"/>
          <w:numId w:val="0"/>
        </w:numPr>
        <w:spacing w:line="240" w:lineRule="auto"/>
        <w:rPr>
          <w:u w:val="single"/>
          <w:lang w:val="pl-PL"/>
        </w:rPr>
      </w:pPr>
    </w:p>
    <w:p>
      <w:pPr>
        <w:spacing w:line="240" w:lineRule="auto"/>
        <w:ind w:right="-2"/>
        <w:rPr>
          <w:lang w:val="pl-PL"/>
        </w:rPr>
      </w:pPr>
      <w:r>
        <w:rPr>
          <w:szCs w:val="22"/>
          <w:lang w:val="pl-PL"/>
        </w:rPr>
        <w:t>Wiązanie sepiapteryny lub BH</w:t>
      </w:r>
      <w:r>
        <w:rPr>
          <w:szCs w:val="22"/>
          <w:vertAlign w:val="subscript"/>
          <w:lang w:val="pl-PL"/>
        </w:rPr>
        <w:t>4</w:t>
      </w:r>
      <w:r>
        <w:rPr>
          <w:szCs w:val="22"/>
          <w:lang w:val="pl-PL"/>
        </w:rPr>
        <w:t xml:space="preserve"> z białkami osocza jest małe, a większość sepiapteryny i BH</w:t>
      </w:r>
      <w:r>
        <w:rPr>
          <w:szCs w:val="22"/>
          <w:vertAlign w:val="subscript"/>
          <w:lang w:val="pl-PL"/>
        </w:rPr>
        <w:t>4</w:t>
      </w:r>
      <w:r>
        <w:rPr>
          <w:szCs w:val="22"/>
          <w:lang w:val="pl-PL"/>
        </w:rPr>
        <w:t xml:space="preserve"> w osoczu jest niezwiązana i aktywna farmakologicznie. Badania </w:t>
      </w:r>
      <w:r>
        <w:rPr>
          <w:i/>
          <w:iCs/>
          <w:szCs w:val="22"/>
          <w:lang w:val="pl-PL"/>
        </w:rPr>
        <w:t>in vitro</w:t>
      </w:r>
      <w:r>
        <w:rPr>
          <w:szCs w:val="22"/>
          <w:lang w:val="pl-PL"/>
        </w:rPr>
        <w:t xml:space="preserve"> wykazały, że sepiapteryna wiąże się (średnio w 15,4%) z białkami osocza w obecności 0,1% ditiotreitolu w zakresie stężeń od 0,1 do 10 μM. Stężenie BH</w:t>
      </w:r>
      <w:r>
        <w:rPr>
          <w:szCs w:val="22"/>
          <w:vertAlign w:val="subscript"/>
          <w:lang w:val="pl-PL"/>
        </w:rPr>
        <w:t>4</w:t>
      </w:r>
      <w:r>
        <w:rPr>
          <w:szCs w:val="22"/>
          <w:lang w:val="pl-PL"/>
        </w:rPr>
        <w:t xml:space="preserve"> związanej z białkiem wynosiło 41,3% (przy 2 μM), 33,0% (przy 5 μM) i 24,1% (przy 15 μM) w ludzkim osoczu w obecności 0,5% β-merkaptoetanolu. </w:t>
      </w:r>
    </w:p>
    <w:p>
      <w:pPr>
        <w:spacing w:line="240" w:lineRule="auto"/>
        <w:ind w:right="-2"/>
        <w:rPr>
          <w:lang w:val="pl-PL"/>
        </w:rPr>
      </w:pPr>
    </w:p>
    <w:p>
      <w:pPr>
        <w:numPr>
          <w:ilvl w:val="12"/>
          <w:numId w:val="0"/>
        </w:numPr>
        <w:spacing w:line="240" w:lineRule="auto"/>
        <w:ind w:right="-2"/>
        <w:rPr>
          <w:lang w:val="pl-PL"/>
        </w:rPr>
      </w:pPr>
      <w:r>
        <w:rPr>
          <w:szCs w:val="22"/>
          <w:lang w:val="pl-PL"/>
        </w:rPr>
        <w:t>U zdrowych osób, po wielokrotnym podaniu doustnym sepiapteryny, obserwowano podwyższone stężenie BH</w:t>
      </w:r>
      <w:r>
        <w:rPr>
          <w:szCs w:val="22"/>
          <w:vertAlign w:val="subscript"/>
          <w:lang w:val="pl-PL"/>
        </w:rPr>
        <w:t>4</w:t>
      </w:r>
      <w:r>
        <w:rPr>
          <w:szCs w:val="22"/>
          <w:lang w:val="pl-PL"/>
        </w:rPr>
        <w:t xml:space="preserve"> w płynie mózgowo-rdzeniowym.</w:t>
      </w:r>
    </w:p>
    <w:p>
      <w:pPr>
        <w:numPr>
          <w:ilvl w:val="12"/>
          <w:numId w:val="0"/>
        </w:numPr>
        <w:spacing w:line="240" w:lineRule="auto"/>
        <w:ind w:right="-2"/>
        <w:rPr>
          <w:lang w:val="pl-PL"/>
        </w:rPr>
      </w:pPr>
    </w:p>
    <w:p>
      <w:pPr>
        <w:numPr>
          <w:ilvl w:val="12"/>
          <w:numId w:val="0"/>
        </w:numPr>
        <w:spacing w:line="240" w:lineRule="auto"/>
        <w:ind w:right="-2"/>
        <w:rPr>
          <w:u w:val="single"/>
          <w:lang w:val="pl-PL"/>
        </w:rPr>
      </w:pPr>
      <w:r>
        <w:rPr>
          <w:u w:val="single"/>
          <w:lang w:val="pl-PL"/>
        </w:rPr>
        <w:t>Metabolizm</w:t>
      </w:r>
    </w:p>
    <w:p>
      <w:pPr>
        <w:numPr>
          <w:ilvl w:val="12"/>
          <w:numId w:val="0"/>
        </w:numPr>
        <w:spacing w:line="240" w:lineRule="auto"/>
        <w:ind w:right="-2"/>
        <w:rPr>
          <w:u w:val="single"/>
          <w:lang w:val="pl-PL"/>
        </w:rPr>
      </w:pPr>
    </w:p>
    <w:p>
      <w:pPr>
        <w:spacing w:line="240" w:lineRule="auto"/>
        <w:ind w:right="-2"/>
        <w:rPr>
          <w:szCs w:val="22"/>
          <w:lang w:val="pl-PL"/>
        </w:rPr>
      </w:pPr>
      <w:r>
        <w:rPr>
          <w:szCs w:val="22"/>
          <w:lang w:val="pl-PL"/>
        </w:rPr>
        <w:t>Sepiapteryna jest metabolizowana przez SR/reduktazę karbonylową i DHFR w dwuetapowym, jednokierunkowym procesie do BH</w:t>
      </w:r>
      <w:r>
        <w:rPr>
          <w:szCs w:val="22"/>
          <w:vertAlign w:val="subscript"/>
          <w:lang w:val="pl-PL"/>
        </w:rPr>
        <w:t>4</w:t>
      </w:r>
      <w:r>
        <w:rPr>
          <w:szCs w:val="22"/>
          <w:lang w:val="pl-PL"/>
        </w:rPr>
        <w:t>. Uważa się, że metabolizm BH</w:t>
      </w:r>
      <w:r>
        <w:rPr>
          <w:szCs w:val="22"/>
          <w:vertAlign w:val="subscript"/>
          <w:lang w:val="pl-PL"/>
        </w:rPr>
        <w:t>4</w:t>
      </w:r>
      <w:r>
        <w:rPr>
          <w:szCs w:val="22"/>
          <w:lang w:val="pl-PL"/>
        </w:rPr>
        <w:t xml:space="preserve"> przebiega tą samą drogą, co metabolizm endogennej BH</w:t>
      </w:r>
      <w:r>
        <w:rPr>
          <w:szCs w:val="22"/>
          <w:vertAlign w:val="subscript"/>
          <w:lang w:val="pl-PL"/>
        </w:rPr>
        <w:t>4</w:t>
      </w:r>
      <w:r>
        <w:rPr>
          <w:szCs w:val="22"/>
          <w:lang w:val="pl-PL"/>
        </w:rPr>
        <w:t xml:space="preserve">, utlenianej podczas działania jako koenzym hydroksylaz aminokwasów aromatycznych, takich jak PAH, hydroksylaza tyrozynowa, hydroksylaza tryptofanowa i monooksygenaza alkiloglicerolowa, syntaza tlenku azotu, a niektóre metabolity, takie jak </w:t>
      </w:r>
    </w:p>
    <w:p>
      <w:pPr>
        <w:spacing w:line="240" w:lineRule="auto"/>
        <w:ind w:right="-2"/>
        <w:rPr>
          <w:lang w:val="pl-PL"/>
        </w:rPr>
      </w:pPr>
      <w:r>
        <w:rPr>
          <w:szCs w:val="22"/>
          <w:lang w:val="pl-PL"/>
        </w:rPr>
        <w:t>4α-hydroksy-tetrahydrobiopteryna i chinoidowa forma dihydrobiopteryny mogą zostać ponownie wykorzystane do regeneracji BH</w:t>
      </w:r>
      <w:r>
        <w:rPr>
          <w:szCs w:val="22"/>
          <w:vertAlign w:val="subscript"/>
          <w:lang w:val="pl-PL"/>
        </w:rPr>
        <w:t>4</w:t>
      </w:r>
      <w:r>
        <w:rPr>
          <w:szCs w:val="22"/>
          <w:lang w:val="pl-PL"/>
        </w:rPr>
        <w:t xml:space="preserve"> za pośrednictwem dehydratazy pteryno-4α-karbinoloaminy i reduktazy dihydropterydynowej.</w:t>
      </w:r>
    </w:p>
    <w:p>
      <w:pPr>
        <w:spacing w:line="240" w:lineRule="auto"/>
        <w:ind w:right="-2"/>
        <w:rPr>
          <w:lang w:val="pl-PL"/>
        </w:rPr>
      </w:pPr>
    </w:p>
    <w:p>
      <w:pPr>
        <w:spacing w:line="240" w:lineRule="auto"/>
        <w:rPr>
          <w:lang w:val="pl-PL"/>
        </w:rPr>
      </w:pPr>
      <w:r>
        <w:rPr>
          <w:szCs w:val="22"/>
          <w:lang w:val="pl-PL"/>
        </w:rPr>
        <w:t xml:space="preserve">Po doustnym podaniu pojedynczej dawki </w:t>
      </w:r>
      <w:r>
        <w:rPr>
          <w:szCs w:val="22"/>
          <w:vertAlign w:val="superscript"/>
          <w:lang w:val="pl-PL"/>
        </w:rPr>
        <w:t>14</w:t>
      </w:r>
      <w:r>
        <w:rPr>
          <w:szCs w:val="22"/>
          <w:lang w:val="pl-PL"/>
        </w:rPr>
        <w:t>C-sepiapteryny sepiapteryna u ludzi była intensywnie metabolizowana. Główny szlak metaboliczny obejmował utlenianie/dehydrogenację, redukcję/utlenianie, dezaminację oksydacyjną, dehydratację, rozszczepienie łańcucha bocznego i metylację itp., jako pojedyncze reakcje lub w skojarzeniu.</w:t>
      </w:r>
    </w:p>
    <w:p>
      <w:pPr>
        <w:spacing w:line="240" w:lineRule="auto"/>
        <w:rPr>
          <w:lang w:val="pl-PL"/>
        </w:rPr>
      </w:pPr>
    </w:p>
    <w:p>
      <w:pPr>
        <w:keepNext/>
        <w:numPr>
          <w:ilvl w:val="12"/>
          <w:numId w:val="0"/>
        </w:numPr>
        <w:spacing w:line="240" w:lineRule="auto"/>
        <w:rPr>
          <w:u w:val="single"/>
          <w:lang w:val="pl-PL"/>
        </w:rPr>
      </w:pPr>
      <w:r>
        <w:rPr>
          <w:szCs w:val="22"/>
          <w:u w:val="single"/>
          <w:lang w:val="pl-PL"/>
        </w:rPr>
        <w:t>Eliminacja</w:t>
      </w:r>
    </w:p>
    <w:p>
      <w:pPr>
        <w:keepNext/>
        <w:numPr>
          <w:ilvl w:val="12"/>
          <w:numId w:val="0"/>
        </w:numPr>
        <w:spacing w:line="240" w:lineRule="auto"/>
        <w:rPr>
          <w:u w:val="single"/>
          <w:lang w:val="pl-PL"/>
        </w:rPr>
      </w:pPr>
    </w:p>
    <w:p>
      <w:pPr>
        <w:spacing w:line="240" w:lineRule="auto"/>
        <w:ind w:right="-2"/>
        <w:rPr>
          <w:lang w:val="pl-PL"/>
        </w:rPr>
      </w:pPr>
      <w:r>
        <w:rPr>
          <w:szCs w:val="22"/>
          <w:lang w:val="pl-PL"/>
        </w:rPr>
        <w:t>Po podaniu doustnym zdrowym uczestnikom, sepiapteryna była w znacznym stopniu metabolizowana a jej metabolity były wydalane głównie z kałem. Stężenie sepiapteryny w osoczu szybko zmniejszało się po osiągnięciu C</w:t>
      </w:r>
      <w:r>
        <w:rPr>
          <w:szCs w:val="22"/>
          <w:vertAlign w:val="subscript"/>
          <w:lang w:val="pl-PL"/>
        </w:rPr>
        <w:t>max</w:t>
      </w:r>
      <w:r>
        <w:rPr>
          <w:szCs w:val="22"/>
          <w:lang w:val="pl-PL"/>
        </w:rPr>
        <w:t xml:space="preserve"> do poziomu poniżej granicy oznaczalności, zazwyczaj w czasie do 12 godzin po podaniu dawki. Po osiągnięciu C</w:t>
      </w:r>
      <w:r>
        <w:rPr>
          <w:szCs w:val="22"/>
          <w:vertAlign w:val="subscript"/>
          <w:lang w:val="pl-PL"/>
        </w:rPr>
        <w:t>max</w:t>
      </w:r>
      <w:r>
        <w:rPr>
          <w:szCs w:val="22"/>
          <w:lang w:val="pl-PL"/>
        </w:rPr>
        <w:t xml:space="preserve"> stężenie BH</w:t>
      </w:r>
      <w:r>
        <w:rPr>
          <w:szCs w:val="22"/>
          <w:vertAlign w:val="subscript"/>
          <w:lang w:val="pl-PL"/>
        </w:rPr>
        <w:t>4</w:t>
      </w:r>
      <w:r>
        <w:rPr>
          <w:szCs w:val="22"/>
          <w:lang w:val="pl-PL"/>
        </w:rPr>
        <w:t xml:space="preserve"> w osoczu zmniejszało się monowykładniczo. Końcowy okres półtrwania wynosił około 5 godzin.</w:t>
      </w:r>
    </w:p>
    <w:p>
      <w:pPr>
        <w:spacing w:line="240" w:lineRule="auto"/>
        <w:ind w:right="-2"/>
        <w:rPr>
          <w:lang w:val="pl-PL"/>
        </w:rPr>
      </w:pPr>
    </w:p>
    <w:p>
      <w:pPr>
        <w:spacing w:line="240" w:lineRule="auto"/>
        <w:rPr>
          <w:lang w:val="pl-PL"/>
        </w:rPr>
      </w:pPr>
      <w:r>
        <w:rPr>
          <w:szCs w:val="22"/>
          <w:lang w:val="pl-PL"/>
        </w:rPr>
        <w:t xml:space="preserve">Po doustnym podaniu pojedynczej dawki sepiapteryny </w:t>
      </w:r>
      <w:r>
        <w:rPr>
          <w:szCs w:val="22"/>
          <w:vertAlign w:val="superscript"/>
          <w:lang w:val="pl-PL"/>
        </w:rPr>
        <w:t>14</w:t>
      </w:r>
      <w:r>
        <w:rPr>
          <w:szCs w:val="22"/>
          <w:lang w:val="pl-PL"/>
        </w:rPr>
        <w:t xml:space="preserve">C zdrowym osobom dorosłym średnio 6,71% podanej radioaktywności odzyskano z moczu, a 26,18% z kału z łącznym odzyskiem wynoszącym 32,9% w ciągu 240 godzin. Większość z tej radioaktywności odzyskano w ciągu pierwszych 48 godzin po podaniu dawki (28,2%). Całkowity klirens nerkowy radioaktywności uzyskany z sepiapteryny </w:t>
      </w:r>
      <w:r>
        <w:rPr>
          <w:szCs w:val="22"/>
          <w:vertAlign w:val="superscript"/>
          <w:lang w:val="pl-PL"/>
        </w:rPr>
        <w:t>14</w:t>
      </w:r>
      <w:r>
        <w:rPr>
          <w:szCs w:val="22"/>
          <w:lang w:val="pl-PL"/>
        </w:rPr>
        <w:t xml:space="preserve">C wynosił 1,54 l/h (25,6 ml/min). W badaniu </w:t>
      </w:r>
      <w:r>
        <w:rPr>
          <w:i/>
          <w:iCs/>
          <w:szCs w:val="22"/>
          <w:lang w:val="pl-PL"/>
        </w:rPr>
        <w:t>in vitro</w:t>
      </w:r>
      <w:r>
        <w:rPr>
          <w:szCs w:val="22"/>
          <w:lang w:val="pl-PL"/>
        </w:rPr>
        <w:t xml:space="preserve"> z zastosowaniem ludzkiej mikrobioty jelitowej potwierdzono powstawanie lotnych metabolitów sepiapteryny w przewodzie pokarmowym. </w:t>
      </w:r>
    </w:p>
    <w:p>
      <w:pPr>
        <w:spacing w:line="240" w:lineRule="auto"/>
        <w:rPr>
          <w:lang w:val="pl-PL"/>
        </w:rPr>
      </w:pPr>
    </w:p>
    <w:p>
      <w:pPr>
        <w:spacing w:line="240" w:lineRule="auto"/>
        <w:rPr>
          <w:szCs w:val="22"/>
          <w:u w:val="single"/>
          <w:lang w:val="pl-PL"/>
        </w:rPr>
      </w:pPr>
      <w:r>
        <w:rPr>
          <w:szCs w:val="22"/>
          <w:u w:val="single"/>
          <w:lang w:val="pl-PL"/>
        </w:rPr>
        <w:t>Szczególne grupy pacjentów</w:t>
      </w:r>
    </w:p>
    <w:p>
      <w:pPr>
        <w:spacing w:line="240" w:lineRule="auto"/>
        <w:rPr>
          <w:u w:val="single"/>
          <w:lang w:val="pl-PL"/>
        </w:rPr>
      </w:pPr>
    </w:p>
    <w:p>
      <w:pPr>
        <w:spacing w:line="240" w:lineRule="auto"/>
        <w:rPr>
          <w:i/>
          <w:lang w:val="pl-PL"/>
        </w:rPr>
      </w:pPr>
      <w:r>
        <w:rPr>
          <w:i/>
          <w:iCs/>
          <w:szCs w:val="22"/>
          <w:lang w:val="pl-PL"/>
        </w:rPr>
        <w:t>Wiek</w:t>
      </w:r>
    </w:p>
    <w:p>
      <w:pPr>
        <w:spacing w:line="240" w:lineRule="auto"/>
        <w:rPr>
          <w:lang w:val="pl-PL"/>
        </w:rPr>
      </w:pPr>
      <w:r>
        <w:rPr>
          <w:szCs w:val="22"/>
          <w:lang w:val="pl-PL"/>
        </w:rPr>
        <w:t>Do badań klinicznych fazy III włączono pacjentów z PKU w każdym wieku. Z wyjątkiem wpływu allometrycznego na klirens i objętość dystrybucji, w populacyjnym badaniu PK nie stwierdzono żadnego wpływu wieku.</w:t>
      </w:r>
    </w:p>
    <w:p>
      <w:pPr>
        <w:spacing w:line="240" w:lineRule="auto"/>
        <w:rPr>
          <w:lang w:val="pl-PL"/>
        </w:rPr>
      </w:pPr>
    </w:p>
    <w:p>
      <w:pPr>
        <w:spacing w:line="240" w:lineRule="auto"/>
        <w:rPr>
          <w:i/>
          <w:lang w:val="pl-PL"/>
        </w:rPr>
      </w:pPr>
      <w:r>
        <w:rPr>
          <w:i/>
          <w:iCs/>
          <w:szCs w:val="22"/>
          <w:lang w:val="pl-PL"/>
        </w:rPr>
        <w:t>Pochodzenie etniczne i rasa</w:t>
      </w:r>
    </w:p>
    <w:p>
      <w:pPr>
        <w:spacing w:line="240" w:lineRule="auto"/>
        <w:rPr>
          <w:lang w:val="pl-PL"/>
        </w:rPr>
      </w:pPr>
      <w:r>
        <w:rPr>
          <w:szCs w:val="22"/>
          <w:lang w:val="pl-PL"/>
        </w:rPr>
        <w:t>U uczestników badania z Azji zaobserwowano wyższą ekspozycję na BH</w:t>
      </w:r>
      <w:r>
        <w:rPr>
          <w:szCs w:val="22"/>
          <w:vertAlign w:val="subscript"/>
          <w:lang w:val="pl-PL"/>
        </w:rPr>
        <w:t>4</w:t>
      </w:r>
      <w:r>
        <w:rPr>
          <w:szCs w:val="22"/>
          <w:lang w:val="pl-PL"/>
        </w:rPr>
        <w:t>. W japońskim badaniu z pomostowaniem etnicznym, u Japończyków obserwowano AUC</w:t>
      </w:r>
      <w:r>
        <w:rPr>
          <w:szCs w:val="22"/>
          <w:vertAlign w:val="subscript"/>
          <w:lang w:val="pl-PL"/>
        </w:rPr>
        <w:t>0-last</w:t>
      </w:r>
      <w:r>
        <w:rPr>
          <w:szCs w:val="22"/>
          <w:lang w:val="pl-PL"/>
        </w:rPr>
        <w:t xml:space="preserve"> większe o 10% do 24% i C</w:t>
      </w:r>
      <w:r>
        <w:rPr>
          <w:szCs w:val="22"/>
          <w:vertAlign w:val="subscript"/>
          <w:lang w:val="pl-PL"/>
        </w:rPr>
        <w:t>max</w:t>
      </w:r>
      <w:r>
        <w:rPr>
          <w:szCs w:val="22"/>
          <w:lang w:val="pl-PL"/>
        </w:rPr>
        <w:t xml:space="preserve"> BH</w:t>
      </w:r>
      <w:r>
        <w:rPr>
          <w:szCs w:val="22"/>
          <w:vertAlign w:val="subscript"/>
          <w:lang w:val="pl-PL"/>
        </w:rPr>
        <w:t>4</w:t>
      </w:r>
      <w:r>
        <w:rPr>
          <w:szCs w:val="22"/>
          <w:lang w:val="pl-PL"/>
        </w:rPr>
        <w:t xml:space="preserve"> większe o 14% do 29% w porównaniu z uczestnikami niebędącymi Japończykami przy dawce sepiapteryny w zakresie od 20 do 60 mg/kg mc.</w:t>
      </w:r>
    </w:p>
    <w:p>
      <w:pPr>
        <w:spacing w:line="240" w:lineRule="auto"/>
        <w:rPr>
          <w:lang w:val="pl-PL"/>
        </w:rPr>
      </w:pPr>
    </w:p>
    <w:p>
      <w:pPr>
        <w:spacing w:line="240" w:lineRule="auto"/>
        <w:rPr>
          <w:i/>
          <w:lang w:val="pl-PL"/>
        </w:rPr>
      </w:pPr>
      <w:r>
        <w:rPr>
          <w:i/>
          <w:iCs/>
          <w:szCs w:val="22"/>
          <w:lang w:val="pl-PL"/>
        </w:rPr>
        <w:lastRenderedPageBreak/>
        <w:t>Zaburzenia czynności nerek</w:t>
      </w:r>
    </w:p>
    <w:p>
      <w:pPr>
        <w:spacing w:line="240" w:lineRule="auto"/>
        <w:rPr>
          <w:lang w:val="pl-PL"/>
        </w:rPr>
      </w:pPr>
      <w:r>
        <w:rPr>
          <w:szCs w:val="22"/>
          <w:lang w:val="pl-PL"/>
        </w:rPr>
        <w:t>Nie badano farmakokinetyki i bezpieczeństwa stosowania sepiapteryny u pacjentów z zaburzeniami czynności nerek.</w:t>
      </w:r>
    </w:p>
    <w:p>
      <w:pPr>
        <w:spacing w:line="240" w:lineRule="auto"/>
        <w:rPr>
          <w:lang w:val="pl-PL"/>
        </w:rPr>
      </w:pPr>
    </w:p>
    <w:p>
      <w:pPr>
        <w:spacing w:line="240" w:lineRule="auto"/>
        <w:rPr>
          <w:i/>
          <w:lang w:val="pl-PL"/>
        </w:rPr>
      </w:pPr>
      <w:r>
        <w:rPr>
          <w:i/>
          <w:iCs/>
          <w:szCs w:val="22"/>
          <w:lang w:val="pl-PL"/>
        </w:rPr>
        <w:t>Zaburzenia czynności wątroby</w:t>
      </w:r>
    </w:p>
    <w:p>
      <w:pPr>
        <w:spacing w:line="240" w:lineRule="auto"/>
        <w:rPr>
          <w:lang w:val="pl-PL"/>
        </w:rPr>
      </w:pPr>
      <w:r>
        <w:rPr>
          <w:szCs w:val="22"/>
          <w:lang w:val="pl-PL"/>
        </w:rPr>
        <w:t>Nie badano farmakokinetyki i bezpieczeństwa stosowania sepiapteryny u pacjentów z zaburzeniami czynności wątroby.</w:t>
      </w:r>
    </w:p>
    <w:p>
      <w:pPr>
        <w:spacing w:line="240" w:lineRule="auto"/>
        <w:rPr>
          <w:lang w:val="pl-PL"/>
        </w:rPr>
      </w:pPr>
    </w:p>
    <w:p>
      <w:pPr>
        <w:numPr>
          <w:ilvl w:val="12"/>
          <w:numId w:val="0"/>
        </w:numPr>
        <w:spacing w:line="240" w:lineRule="auto"/>
        <w:ind w:right="-2"/>
        <w:rPr>
          <w:u w:val="single"/>
          <w:lang w:val="pl-PL"/>
        </w:rPr>
      </w:pPr>
      <w:r>
        <w:rPr>
          <w:szCs w:val="22"/>
          <w:u w:val="single"/>
          <w:lang w:val="pl-PL"/>
        </w:rPr>
        <w:t>Interakcje pomiędzy lekami</w:t>
      </w:r>
    </w:p>
    <w:p>
      <w:pPr>
        <w:numPr>
          <w:ilvl w:val="12"/>
          <w:numId w:val="0"/>
        </w:numPr>
        <w:spacing w:line="240" w:lineRule="auto"/>
        <w:ind w:right="-2"/>
        <w:rPr>
          <w:u w:val="single"/>
          <w:lang w:val="pl-PL"/>
        </w:rPr>
      </w:pPr>
    </w:p>
    <w:p>
      <w:pPr>
        <w:pStyle w:val="C-BodyText"/>
        <w:spacing w:before="0" w:after="0"/>
        <w:rPr>
          <w:i/>
          <w:iCs/>
          <w:sz w:val="22"/>
          <w:szCs w:val="22"/>
          <w:lang w:val="pl-PL"/>
        </w:rPr>
      </w:pPr>
      <w:r>
        <w:rPr>
          <w:i/>
          <w:iCs/>
          <w:sz w:val="22"/>
          <w:szCs w:val="22"/>
          <w:lang w:val="pl-PL"/>
        </w:rPr>
        <w:t>Badania in vitro</w:t>
      </w:r>
    </w:p>
    <w:p>
      <w:pPr>
        <w:pStyle w:val="C-BodyText"/>
        <w:spacing w:before="0" w:after="0"/>
        <w:rPr>
          <w:sz w:val="22"/>
          <w:lang w:val="pl-PL"/>
        </w:rPr>
      </w:pPr>
      <w:r>
        <w:rPr>
          <w:sz w:val="22"/>
          <w:szCs w:val="22"/>
          <w:lang w:val="pl-PL"/>
        </w:rPr>
        <w:t xml:space="preserve">Badania </w:t>
      </w:r>
      <w:r>
        <w:rPr>
          <w:i/>
          <w:iCs/>
          <w:sz w:val="22"/>
          <w:szCs w:val="22"/>
          <w:lang w:val="pl-PL"/>
        </w:rPr>
        <w:t>in vitro</w:t>
      </w:r>
      <w:r>
        <w:rPr>
          <w:sz w:val="22"/>
          <w:szCs w:val="22"/>
          <w:lang w:val="pl-PL"/>
        </w:rPr>
        <w:t xml:space="preserve"> wskazują, że mało prawdopodobne jest, aby sepiapteryna i BH</w:t>
      </w:r>
      <w:r>
        <w:rPr>
          <w:sz w:val="22"/>
          <w:szCs w:val="22"/>
          <w:vertAlign w:val="subscript"/>
          <w:lang w:val="pl-PL"/>
        </w:rPr>
        <w:t>4</w:t>
      </w:r>
      <w:r>
        <w:rPr>
          <w:sz w:val="22"/>
          <w:szCs w:val="22"/>
          <w:lang w:val="pl-PL"/>
        </w:rPr>
        <w:t xml:space="preserve"> wpływały na metabolizm zależny od CYP450. </w:t>
      </w:r>
    </w:p>
    <w:p>
      <w:pPr>
        <w:pStyle w:val="C-BodyText"/>
        <w:spacing w:before="0" w:after="0"/>
        <w:rPr>
          <w:sz w:val="22"/>
          <w:lang w:val="pl-PL"/>
        </w:rPr>
      </w:pPr>
    </w:p>
    <w:p>
      <w:pPr>
        <w:pStyle w:val="C-BodyText"/>
        <w:spacing w:before="0" w:after="0"/>
        <w:rPr>
          <w:sz w:val="22"/>
          <w:lang w:val="pl-PL"/>
        </w:rPr>
      </w:pPr>
      <w:r>
        <w:rPr>
          <w:i/>
          <w:iCs/>
          <w:sz w:val="22"/>
          <w:szCs w:val="22"/>
          <w:lang w:val="pl-PL"/>
        </w:rPr>
        <w:t>In vitro</w:t>
      </w:r>
      <w:r>
        <w:rPr>
          <w:sz w:val="22"/>
          <w:szCs w:val="22"/>
          <w:lang w:val="pl-PL"/>
        </w:rPr>
        <w:t xml:space="preserve"> sepiapteryna nie hamowała aktywności CYP1A2, CYP2B6, CYP2C8, CYP2C9, CYP2C19, CYP2D6 ani CYP3A4 ani nie indukowała aktywności CYP1A2, CYP2B6 ani CYP3A4.</w:t>
      </w:r>
    </w:p>
    <w:p>
      <w:pPr>
        <w:pStyle w:val="C-BodyText"/>
        <w:spacing w:before="0" w:after="0"/>
        <w:rPr>
          <w:sz w:val="22"/>
          <w:lang w:val="pl-PL"/>
        </w:rPr>
      </w:pPr>
    </w:p>
    <w:p>
      <w:pPr>
        <w:pStyle w:val="C-BodyText"/>
        <w:spacing w:before="0" w:after="0"/>
        <w:rPr>
          <w:i/>
          <w:iCs/>
          <w:sz w:val="22"/>
          <w:szCs w:val="22"/>
          <w:lang w:val="pl-PL"/>
        </w:rPr>
      </w:pPr>
      <w:r>
        <w:rPr>
          <w:i/>
          <w:iCs/>
          <w:sz w:val="22"/>
          <w:szCs w:val="22"/>
          <w:lang w:val="pl-PL"/>
        </w:rPr>
        <w:t>Badania in vivo</w:t>
      </w:r>
    </w:p>
    <w:p>
      <w:pPr>
        <w:pStyle w:val="NormalWeb"/>
        <w:spacing w:before="0" w:beforeAutospacing="0" w:after="0" w:afterAutospacing="0"/>
        <w:rPr>
          <w:sz w:val="22"/>
          <w:szCs w:val="22"/>
          <w:lang w:val="pl-PL" w:eastAsia="pl-PL"/>
        </w:rPr>
      </w:pPr>
      <w:r>
        <w:rPr>
          <w:sz w:val="22"/>
          <w:szCs w:val="22"/>
          <w:lang w:val="pl-PL"/>
        </w:rPr>
        <w:t>U zdrowych osób jednoczesne podanie sepiapteriny (20 mg/kg mc.) z pojedynczą dawką kurkuminy (2 g), inhibitora białka oporności raka piersi (BCRP), nieznacznie zwiększyło ekspozycję na BH4. Ogólne szacunkowe średnie geometryczne (GMR) (90% CI) dla BH4 Cmax i powierzchni pod krzywą stężenia w czasie od momentu zerowego do momentu ostatniego wymiernego pomiaru (AUC</w:t>
      </w:r>
      <w:r>
        <w:rPr>
          <w:sz w:val="22"/>
          <w:szCs w:val="22"/>
          <w:vertAlign w:val="subscript"/>
          <w:lang w:val="pl-PL"/>
        </w:rPr>
        <w:t>0-ostatni</w:t>
      </w:r>
      <w:r>
        <w:rPr>
          <w:sz w:val="22"/>
          <w:szCs w:val="22"/>
          <w:lang w:val="pl-PL"/>
        </w:rPr>
        <w:t xml:space="preserve">) w przypadku jednoczesnego podawania sepiapteryny z kurkuminą w porównaniu z samą sepiapteryną wyniosły odpowiednio 1, 24 (1,15-1,33) i 1,20 (1,13-1,28). Ten niewielki wzrost nie ma znaczenia klinicznego. </w:t>
      </w:r>
    </w:p>
    <w:p>
      <w:pPr>
        <w:pStyle w:val="C-BodyText"/>
        <w:spacing w:before="0" w:after="0"/>
        <w:rPr>
          <w:sz w:val="22"/>
          <w:szCs w:val="22"/>
          <w:lang w:val="pl-PL"/>
        </w:rPr>
      </w:pPr>
    </w:p>
    <w:p>
      <w:pPr>
        <w:pStyle w:val="C-BodyText"/>
        <w:spacing w:before="0" w:after="0"/>
        <w:rPr>
          <w:sz w:val="22"/>
          <w:szCs w:val="22"/>
          <w:lang w:val="pl-PL"/>
        </w:rPr>
      </w:pPr>
      <w:r>
        <w:rPr>
          <w:sz w:val="22"/>
          <w:szCs w:val="22"/>
          <w:lang w:val="pl-PL"/>
        </w:rPr>
        <w:t>Jednoczesne podanie pojedynczej dawki sepiapteryny w maksymalnej dawce terapeutycznej 60 mg/</w:t>
      </w:r>
    </w:p>
    <w:p>
      <w:pPr>
        <w:pStyle w:val="C-BodyText"/>
        <w:spacing w:before="0" w:after="0"/>
        <w:rPr>
          <w:sz w:val="22"/>
          <w:lang w:val="pl-PL"/>
        </w:rPr>
      </w:pPr>
      <w:r>
        <w:rPr>
          <w:sz w:val="22"/>
          <w:szCs w:val="22"/>
          <w:lang w:val="pl-PL"/>
        </w:rPr>
        <w:t>kg mc. z substratem BCRP rozuwastatyną (10 mg) nie miało wpływu na farmakokinetykę rozuwastatyny. Ogólne oszacowane wartości GMR (90% CI) dla wartości C</w:t>
      </w:r>
      <w:r>
        <w:rPr>
          <w:sz w:val="22"/>
          <w:szCs w:val="22"/>
          <w:vertAlign w:val="subscript"/>
          <w:lang w:val="pl-PL"/>
        </w:rPr>
        <w:t>max</w:t>
      </w:r>
      <w:r>
        <w:rPr>
          <w:sz w:val="22"/>
          <w:szCs w:val="22"/>
          <w:lang w:val="pl-PL"/>
        </w:rPr>
        <w:t xml:space="preserve"> i AUC</w:t>
      </w:r>
      <w:r>
        <w:rPr>
          <w:sz w:val="22"/>
          <w:szCs w:val="22"/>
          <w:vertAlign w:val="subscript"/>
          <w:lang w:val="pl-PL"/>
        </w:rPr>
        <w:t>0-last</w:t>
      </w:r>
      <w:r>
        <w:rPr>
          <w:sz w:val="22"/>
          <w:szCs w:val="22"/>
          <w:lang w:val="pl-PL"/>
        </w:rPr>
        <w:t xml:space="preserve"> rozuwastatyny, gdy rozuwastatyna była podawana w skojarzeniu z sepiapteryną w porównaniu z rozuwastatyną w monoterapii, wynosiły odpowiednio 1,13 (1,00‐1,28) i 1,02 (0,93­1,13).</w:t>
      </w:r>
    </w:p>
    <w:p>
      <w:pPr>
        <w:pStyle w:val="C-BodyText"/>
        <w:spacing w:before="0" w:after="0"/>
        <w:rPr>
          <w:sz w:val="22"/>
          <w:lang w:val="pl-PL"/>
        </w:rPr>
      </w:pPr>
    </w:p>
    <w:p>
      <w:pPr>
        <w:keepNext/>
        <w:keepLines/>
        <w:spacing w:line="240" w:lineRule="auto"/>
        <w:ind w:left="567" w:hanging="567"/>
        <w:rPr>
          <w:b/>
          <w:szCs w:val="22"/>
          <w:lang w:val="pl-PL"/>
        </w:rPr>
      </w:pPr>
      <w:r>
        <w:rPr>
          <w:b/>
          <w:bCs/>
          <w:szCs w:val="22"/>
          <w:lang w:val="pl-PL"/>
        </w:rPr>
        <w:t>5.3</w:t>
      </w:r>
      <w:r>
        <w:rPr>
          <w:b/>
          <w:bCs/>
          <w:szCs w:val="22"/>
          <w:lang w:val="pl-PL"/>
        </w:rPr>
        <w:tab/>
        <w:t>Przedkliniczne dane o bezpieczeństwie</w:t>
      </w:r>
      <w:r>
        <w:rPr>
          <w:b/>
          <w:szCs w:val="22"/>
          <w:highlight w:val="yellow"/>
          <w:lang w:val="pl-PL"/>
        </w:rPr>
        <w:fldChar w:fldCharType="begin"/>
      </w:r>
      <w:r>
        <w:rPr>
          <w:b/>
          <w:szCs w:val="22"/>
          <w:highlight w:val="yellow"/>
          <w:lang w:val="pl-PL"/>
        </w:rPr>
        <w:instrText xml:space="preserve"> DOCVARIABLE vault_nd_cc9e8405-22b0-45c2-97a4-d6e7c09bb6c3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keepNext/>
        <w:keepLines/>
        <w:spacing w:line="240" w:lineRule="auto"/>
        <w:ind w:left="567" w:hanging="567"/>
        <w:rPr>
          <w:szCs w:val="22"/>
          <w:lang w:val="pl-PL"/>
        </w:rPr>
      </w:pPr>
    </w:p>
    <w:p>
      <w:pPr>
        <w:spacing w:line="240" w:lineRule="auto"/>
        <w:rPr>
          <w:lang w:val="pl-PL"/>
        </w:rPr>
      </w:pPr>
      <w:r>
        <w:rPr>
          <w:szCs w:val="22"/>
          <w:lang w:val="pl-PL"/>
        </w:rPr>
        <w:t xml:space="preserve">Dane niekliniczne, wynikające z konwencjonalnych badań farmakologicznych dotyczących bezpieczeństwa, genotoksyczności, rakotwórczości oraz toksycznego wpływu na rozród i rozwój </w:t>
      </w:r>
      <w:r>
        <w:rPr>
          <w:lang w:val="pl-PL"/>
        </w:rPr>
        <w:t>potomstwa</w:t>
      </w:r>
      <w:r>
        <w:rPr>
          <w:szCs w:val="22"/>
          <w:lang w:val="pl-PL"/>
        </w:rPr>
        <w:t>, nie ujawniają szczególnego zagrożenia dla człowieka.</w:t>
      </w:r>
    </w:p>
    <w:p>
      <w:pPr>
        <w:spacing w:line="240" w:lineRule="auto"/>
        <w:rPr>
          <w:lang w:val="pl-PL"/>
        </w:rPr>
      </w:pPr>
    </w:p>
    <w:p>
      <w:pPr>
        <w:spacing w:line="240" w:lineRule="auto"/>
        <w:rPr>
          <w:lang w:val="pl-PL"/>
        </w:rPr>
      </w:pPr>
      <w:r>
        <w:rPr>
          <w:szCs w:val="22"/>
          <w:lang w:val="pl-PL"/>
        </w:rPr>
        <w:t>U szczurów, po wielokrotnym podaniu doustnym, zaobserwowano związane z sepiapteryną degenerację/regenerację kanalików nerkowych, śródmiąższowe zapalenie i zwłóknienie w wyniku odkładania się kryształów w cewkach zbiorczych w brodawkach nerkowych. Obserwacje te były częściowo odwracalne po 4-tygodniowym okresie rekonwalescencji i przy poziomie ekspozycji na BH</w:t>
      </w:r>
      <w:r>
        <w:rPr>
          <w:szCs w:val="22"/>
          <w:vertAlign w:val="subscript"/>
          <w:lang w:val="pl-PL"/>
        </w:rPr>
        <w:t>4</w:t>
      </w:r>
      <w:r>
        <w:rPr>
          <w:szCs w:val="22"/>
          <w:lang w:val="pl-PL"/>
        </w:rPr>
        <w:t xml:space="preserve"> 2-krotnie przekraczającym poziom ekspozycji klinicznej BH</w:t>
      </w:r>
      <w:r>
        <w:rPr>
          <w:szCs w:val="22"/>
          <w:vertAlign w:val="subscript"/>
          <w:lang w:val="pl-PL"/>
        </w:rPr>
        <w:t>4</w:t>
      </w:r>
      <w:r>
        <w:rPr>
          <w:szCs w:val="22"/>
          <w:lang w:val="pl-PL"/>
        </w:rPr>
        <w:t xml:space="preserve"> dla maksymalnej zalecanej dawki dla ludzi (MRHD).</w:t>
      </w:r>
    </w:p>
    <w:p>
      <w:pPr>
        <w:spacing w:line="240" w:lineRule="auto"/>
        <w:rPr>
          <w:lang w:val="pl-PL"/>
        </w:rPr>
      </w:pPr>
    </w:p>
    <w:p>
      <w:pPr>
        <w:spacing w:line="240" w:lineRule="auto"/>
        <w:rPr>
          <w:lang w:val="pl-PL"/>
        </w:rPr>
      </w:pPr>
    </w:p>
    <w:p>
      <w:pPr>
        <w:suppressAutoHyphens/>
        <w:spacing w:line="240" w:lineRule="auto"/>
        <w:ind w:left="567" w:hanging="567"/>
        <w:rPr>
          <w:b/>
          <w:szCs w:val="22"/>
          <w:lang w:val="pl-PL"/>
        </w:rPr>
      </w:pPr>
      <w:r>
        <w:rPr>
          <w:b/>
          <w:bCs/>
          <w:szCs w:val="22"/>
          <w:lang w:val="pl-PL"/>
        </w:rPr>
        <w:t>6.</w:t>
      </w:r>
      <w:r>
        <w:rPr>
          <w:b/>
          <w:bCs/>
          <w:szCs w:val="22"/>
          <w:lang w:val="pl-PL"/>
        </w:rPr>
        <w:tab/>
        <w:t>DANE FARMACEUTYCZNE</w:t>
      </w:r>
    </w:p>
    <w:p>
      <w:pPr>
        <w:suppressAutoHyphens/>
        <w:spacing w:line="240" w:lineRule="auto"/>
        <w:ind w:left="567" w:hanging="567"/>
        <w:rPr>
          <w:b/>
          <w:szCs w:val="22"/>
          <w:highlight w:val="yellow"/>
          <w:lang w:val="pl-PL"/>
        </w:rPr>
      </w:pPr>
    </w:p>
    <w:p>
      <w:pPr>
        <w:spacing w:line="240" w:lineRule="auto"/>
        <w:ind w:left="567" w:hanging="567"/>
        <w:rPr>
          <w:b/>
          <w:szCs w:val="22"/>
          <w:lang w:val="pl-PL"/>
        </w:rPr>
      </w:pPr>
      <w:r>
        <w:rPr>
          <w:b/>
          <w:bCs/>
          <w:szCs w:val="22"/>
          <w:lang w:val="pl-PL"/>
        </w:rPr>
        <w:t>6.1</w:t>
      </w:r>
      <w:r>
        <w:rPr>
          <w:b/>
          <w:bCs/>
          <w:szCs w:val="22"/>
          <w:lang w:val="pl-PL"/>
        </w:rPr>
        <w:tab/>
        <w:t>Wykaz substancji pomocniczych</w:t>
      </w:r>
      <w:r>
        <w:rPr>
          <w:b/>
          <w:szCs w:val="22"/>
          <w:highlight w:val="yellow"/>
          <w:lang w:val="pl-PL"/>
        </w:rPr>
        <w:fldChar w:fldCharType="begin"/>
      </w:r>
      <w:r>
        <w:rPr>
          <w:b/>
          <w:szCs w:val="22"/>
          <w:highlight w:val="yellow"/>
          <w:lang w:val="pl-PL"/>
        </w:rPr>
        <w:instrText xml:space="preserve"> DOCVARIABLE vault_nd_791e8034-9e1a-4505-a840-7fefa8631993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left="567" w:hanging="567"/>
        <w:rPr>
          <w:szCs w:val="22"/>
          <w:lang w:val="pl-PL"/>
        </w:rPr>
      </w:pPr>
    </w:p>
    <w:p>
      <w:pPr>
        <w:spacing w:line="240" w:lineRule="auto"/>
        <w:rPr>
          <w:szCs w:val="22"/>
          <w:lang w:val="pl-PL"/>
        </w:rPr>
      </w:pPr>
      <w:r>
        <w:rPr>
          <w:szCs w:val="22"/>
          <w:lang w:val="pl-PL"/>
        </w:rPr>
        <w:t>Celuloza mikrokrystaliczna (E460)</w:t>
      </w:r>
    </w:p>
    <w:p>
      <w:pPr>
        <w:spacing w:line="240" w:lineRule="auto"/>
        <w:rPr>
          <w:szCs w:val="22"/>
          <w:lang w:val="pl-PL"/>
        </w:rPr>
      </w:pPr>
      <w:r>
        <w:rPr>
          <w:szCs w:val="22"/>
          <w:lang w:val="pl-PL"/>
        </w:rPr>
        <w:t>Izomalt (E953)</w:t>
      </w:r>
    </w:p>
    <w:p>
      <w:pPr>
        <w:spacing w:line="240" w:lineRule="auto"/>
        <w:rPr>
          <w:szCs w:val="22"/>
          <w:lang w:val="pl-PL"/>
        </w:rPr>
      </w:pPr>
      <w:r>
        <w:rPr>
          <w:szCs w:val="22"/>
          <w:lang w:val="pl-PL"/>
        </w:rPr>
        <w:t>Mannitol (E421)</w:t>
      </w:r>
    </w:p>
    <w:p>
      <w:pPr>
        <w:spacing w:line="240" w:lineRule="auto"/>
        <w:rPr>
          <w:szCs w:val="22"/>
          <w:lang w:val="pl-PL"/>
        </w:rPr>
      </w:pPr>
      <w:r>
        <w:rPr>
          <w:szCs w:val="22"/>
          <w:lang w:val="pl-PL"/>
        </w:rPr>
        <w:t>Kroskarmeloza sodowa (E468)</w:t>
      </w:r>
    </w:p>
    <w:p>
      <w:pPr>
        <w:spacing w:line="240" w:lineRule="auto"/>
        <w:rPr>
          <w:szCs w:val="22"/>
          <w:lang w:val="pl-PL"/>
        </w:rPr>
      </w:pPr>
      <w:r>
        <w:rPr>
          <w:szCs w:val="22"/>
          <w:lang w:val="pl-PL"/>
        </w:rPr>
        <w:t>Guma ksantanowa (E415)</w:t>
      </w:r>
    </w:p>
    <w:p>
      <w:pPr>
        <w:spacing w:line="240" w:lineRule="auto"/>
        <w:rPr>
          <w:szCs w:val="22"/>
          <w:lang w:val="pl-PL"/>
        </w:rPr>
      </w:pPr>
      <w:r>
        <w:rPr>
          <w:szCs w:val="22"/>
          <w:lang w:val="pl-PL"/>
        </w:rPr>
        <w:t>Krzemionka koloidalna bezwodna lub koloidalny dwutlenek krzemu (E551)</w:t>
      </w:r>
    </w:p>
    <w:p>
      <w:pPr>
        <w:spacing w:line="240" w:lineRule="auto"/>
        <w:rPr>
          <w:szCs w:val="22"/>
          <w:lang w:val="pl-PL"/>
        </w:rPr>
      </w:pPr>
      <w:r>
        <w:rPr>
          <w:szCs w:val="22"/>
          <w:lang w:val="pl-PL"/>
        </w:rPr>
        <w:t>Sukraloza (E955)</w:t>
      </w:r>
    </w:p>
    <w:p>
      <w:pPr>
        <w:spacing w:line="240" w:lineRule="auto"/>
        <w:rPr>
          <w:szCs w:val="22"/>
          <w:lang w:val="pl-PL"/>
        </w:rPr>
      </w:pPr>
      <w:r>
        <w:rPr>
          <w:szCs w:val="22"/>
          <w:lang w:val="pl-PL"/>
        </w:rPr>
        <w:lastRenderedPageBreak/>
        <w:t>Magnezu stearynian (E470)</w:t>
      </w:r>
    </w:p>
    <w:p>
      <w:pPr>
        <w:spacing w:line="240" w:lineRule="auto"/>
        <w:rPr>
          <w:szCs w:val="22"/>
          <w:lang w:val="pl-PL"/>
        </w:rPr>
      </w:pPr>
    </w:p>
    <w:p>
      <w:pPr>
        <w:spacing w:line="240" w:lineRule="auto"/>
        <w:ind w:left="567" w:hanging="567"/>
        <w:rPr>
          <w:b/>
          <w:szCs w:val="22"/>
          <w:lang w:val="pl-PL"/>
        </w:rPr>
      </w:pPr>
      <w:r>
        <w:rPr>
          <w:b/>
          <w:bCs/>
          <w:szCs w:val="22"/>
          <w:lang w:val="pl-PL"/>
        </w:rPr>
        <w:t>6.2</w:t>
      </w:r>
      <w:r>
        <w:rPr>
          <w:b/>
          <w:bCs/>
          <w:szCs w:val="22"/>
          <w:lang w:val="pl-PL"/>
        </w:rPr>
        <w:tab/>
        <w:t>Niezgodności farmaceutyczne</w:t>
      </w:r>
      <w:r>
        <w:rPr>
          <w:b/>
          <w:szCs w:val="22"/>
          <w:highlight w:val="yellow"/>
          <w:lang w:val="pl-PL"/>
        </w:rPr>
        <w:fldChar w:fldCharType="begin"/>
      </w:r>
      <w:r>
        <w:rPr>
          <w:b/>
          <w:szCs w:val="22"/>
          <w:highlight w:val="yellow"/>
          <w:lang w:val="pl-PL"/>
        </w:rPr>
        <w:instrText xml:space="preserve"> DOCVARIABLE vault_nd_3d0e93fd-744c-41ae-8ddd-622f2cbc3a6c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left="567" w:hanging="567"/>
        <w:rPr>
          <w:szCs w:val="22"/>
          <w:lang w:val="pl-PL"/>
        </w:rPr>
      </w:pPr>
    </w:p>
    <w:p>
      <w:pPr>
        <w:spacing w:line="240" w:lineRule="auto"/>
        <w:rPr>
          <w:szCs w:val="22"/>
          <w:lang w:val="pl-PL"/>
        </w:rPr>
      </w:pPr>
      <w:r>
        <w:rPr>
          <w:szCs w:val="22"/>
          <w:lang w:val="pl-PL"/>
        </w:rPr>
        <w:t>Nie dotyczy.</w:t>
      </w:r>
    </w:p>
    <w:p>
      <w:pPr>
        <w:spacing w:line="240" w:lineRule="auto"/>
        <w:rPr>
          <w:szCs w:val="22"/>
          <w:lang w:val="pl-PL"/>
        </w:rPr>
      </w:pPr>
    </w:p>
    <w:p>
      <w:pPr>
        <w:keepNext/>
        <w:spacing w:line="240" w:lineRule="auto"/>
        <w:ind w:left="562" w:hanging="562"/>
        <w:rPr>
          <w:b/>
          <w:szCs w:val="22"/>
          <w:lang w:val="pl-PL"/>
        </w:rPr>
      </w:pPr>
      <w:r>
        <w:rPr>
          <w:b/>
          <w:bCs/>
          <w:szCs w:val="22"/>
          <w:lang w:val="pl-PL"/>
        </w:rPr>
        <w:t>6.3</w:t>
      </w:r>
      <w:r>
        <w:rPr>
          <w:b/>
          <w:bCs/>
          <w:szCs w:val="22"/>
          <w:lang w:val="pl-PL"/>
        </w:rPr>
        <w:tab/>
        <w:t>Okres ważności</w:t>
      </w:r>
      <w:r>
        <w:rPr>
          <w:b/>
          <w:szCs w:val="22"/>
          <w:highlight w:val="yellow"/>
          <w:lang w:val="pl-PL"/>
        </w:rPr>
        <w:fldChar w:fldCharType="begin"/>
      </w:r>
      <w:r>
        <w:rPr>
          <w:b/>
          <w:szCs w:val="22"/>
          <w:highlight w:val="yellow"/>
          <w:lang w:val="pl-PL"/>
        </w:rPr>
        <w:instrText xml:space="preserve"> DOCVARIABLE vault_nd_d210b476-2868-44d3-b69e-1bc83f610cfb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keepNext/>
        <w:spacing w:line="240" w:lineRule="auto"/>
        <w:ind w:left="562" w:hanging="562"/>
        <w:rPr>
          <w:szCs w:val="22"/>
          <w:lang w:val="pl-PL"/>
        </w:rPr>
      </w:pPr>
    </w:p>
    <w:p>
      <w:pPr>
        <w:spacing w:line="240" w:lineRule="auto"/>
        <w:rPr>
          <w:szCs w:val="22"/>
          <w:lang w:val="pl-PL"/>
        </w:rPr>
      </w:pPr>
      <w:r>
        <w:rPr>
          <w:szCs w:val="22"/>
          <w:lang w:val="pl-PL"/>
        </w:rPr>
        <w:t>3 lata.</w:t>
      </w:r>
    </w:p>
    <w:p>
      <w:pPr>
        <w:spacing w:line="240" w:lineRule="auto"/>
        <w:rPr>
          <w:szCs w:val="22"/>
          <w:lang w:val="pl-PL"/>
        </w:rPr>
      </w:pPr>
    </w:p>
    <w:p>
      <w:pPr>
        <w:spacing w:line="240" w:lineRule="auto"/>
        <w:rPr>
          <w:szCs w:val="22"/>
          <w:u w:val="single"/>
          <w:lang w:val="pl-PL"/>
        </w:rPr>
      </w:pPr>
      <w:r>
        <w:rPr>
          <w:szCs w:val="22"/>
          <w:u w:val="single"/>
          <w:lang w:val="pl-PL"/>
        </w:rPr>
        <w:t>Po rekonstytucji</w:t>
      </w:r>
    </w:p>
    <w:p>
      <w:pPr>
        <w:spacing w:line="240" w:lineRule="auto"/>
        <w:rPr>
          <w:szCs w:val="22"/>
          <w:lang w:val="pl-PL"/>
        </w:rPr>
      </w:pPr>
    </w:p>
    <w:p>
      <w:pPr>
        <w:spacing w:line="240" w:lineRule="auto"/>
        <w:rPr>
          <w:szCs w:val="22"/>
          <w:lang w:val="pl-PL"/>
        </w:rPr>
      </w:pPr>
      <w:r>
        <w:rPr>
          <w:szCs w:val="22"/>
          <w:lang w:val="pl-PL"/>
        </w:rPr>
        <w:t>Każdą dawkę należy podać natychmiast po rekonstytucji. Dawkę po rekonstytucji należy wyrzucić, jeśli nie została zużyta w ciągu 24 godzin od przygotowania, jeśli była przechowywana w lodówce (2°C - 8°C), lub w ciągu 6 godzin w temperaturze poniżej 25°C.</w:t>
      </w:r>
    </w:p>
    <w:p>
      <w:pPr>
        <w:spacing w:line="240" w:lineRule="auto"/>
        <w:rPr>
          <w:szCs w:val="22"/>
          <w:lang w:val="pl-PL"/>
        </w:rPr>
      </w:pPr>
    </w:p>
    <w:p>
      <w:pPr>
        <w:spacing w:line="240" w:lineRule="auto"/>
        <w:ind w:left="567" w:hanging="567"/>
        <w:rPr>
          <w:b/>
          <w:szCs w:val="22"/>
          <w:lang w:val="pl-PL"/>
        </w:rPr>
      </w:pPr>
      <w:r>
        <w:rPr>
          <w:b/>
          <w:bCs/>
          <w:szCs w:val="22"/>
          <w:lang w:val="pl-PL"/>
        </w:rPr>
        <w:t>6.4</w:t>
      </w:r>
      <w:r>
        <w:rPr>
          <w:b/>
          <w:bCs/>
          <w:szCs w:val="22"/>
          <w:lang w:val="pl-PL"/>
        </w:rPr>
        <w:tab/>
        <w:t>Specjalne środki ostrożności podczas przechowywania</w:t>
      </w:r>
      <w:r>
        <w:rPr>
          <w:b/>
          <w:szCs w:val="22"/>
          <w:highlight w:val="yellow"/>
          <w:lang w:val="pl-PL"/>
        </w:rPr>
        <w:fldChar w:fldCharType="begin"/>
      </w:r>
      <w:r>
        <w:rPr>
          <w:b/>
          <w:szCs w:val="22"/>
          <w:highlight w:val="yellow"/>
          <w:lang w:val="pl-PL"/>
        </w:rPr>
        <w:instrText xml:space="preserve"> DOCVARIABLE vault_nd_7d25a52f-e8c8-492e-b721-86c25301deff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left="567" w:hanging="567"/>
        <w:rPr>
          <w:b/>
          <w:szCs w:val="22"/>
          <w:lang w:val="pl-PL"/>
        </w:rPr>
      </w:pPr>
    </w:p>
    <w:p>
      <w:pPr>
        <w:spacing w:line="240" w:lineRule="auto"/>
        <w:rPr>
          <w:lang w:val="pl-PL"/>
        </w:rPr>
      </w:pPr>
      <w:r>
        <w:rPr>
          <w:szCs w:val="22"/>
          <w:lang w:val="pl-PL"/>
        </w:rPr>
        <w:t xml:space="preserve">Brak specjalnych zaleceń dotyczących temperatury przechowywania produktu leczniczego. </w:t>
      </w:r>
    </w:p>
    <w:p>
      <w:pPr>
        <w:spacing w:line="240" w:lineRule="auto"/>
        <w:rPr>
          <w:lang w:val="pl-PL"/>
        </w:rPr>
      </w:pPr>
    </w:p>
    <w:p>
      <w:pPr>
        <w:spacing w:line="240" w:lineRule="auto"/>
        <w:rPr>
          <w:lang w:val="pl-PL"/>
        </w:rPr>
      </w:pPr>
      <w:r>
        <w:rPr>
          <w:szCs w:val="22"/>
          <w:lang w:val="pl-PL"/>
        </w:rPr>
        <w:t>Przechowywać w oryginalnym opakowaniu w celu ochrony przed światłem.</w:t>
      </w:r>
    </w:p>
    <w:p>
      <w:pPr>
        <w:spacing w:line="240" w:lineRule="auto"/>
        <w:rPr>
          <w:lang w:val="pl-PL"/>
        </w:rPr>
      </w:pPr>
    </w:p>
    <w:p>
      <w:pPr>
        <w:spacing w:line="240" w:lineRule="auto"/>
        <w:rPr>
          <w:szCs w:val="22"/>
          <w:lang w:val="pl-PL"/>
        </w:rPr>
      </w:pPr>
      <w:r>
        <w:rPr>
          <w:szCs w:val="22"/>
          <w:lang w:val="pl-PL"/>
        </w:rPr>
        <w:t>Warunki przechowywania produktu leczniczego po rekonstytucji, patrz punkt 6.3.</w:t>
      </w:r>
    </w:p>
    <w:p>
      <w:pPr>
        <w:spacing w:line="240" w:lineRule="auto"/>
        <w:rPr>
          <w:szCs w:val="22"/>
          <w:lang w:val="pl-PL"/>
        </w:rPr>
      </w:pPr>
    </w:p>
    <w:p>
      <w:pPr>
        <w:keepNext/>
        <w:spacing w:line="240" w:lineRule="auto"/>
        <w:ind w:left="562" w:hanging="562"/>
        <w:rPr>
          <w:b/>
          <w:szCs w:val="22"/>
          <w:lang w:val="pl-PL"/>
        </w:rPr>
      </w:pPr>
      <w:r>
        <w:rPr>
          <w:b/>
          <w:bCs/>
          <w:szCs w:val="22"/>
          <w:lang w:val="pl-PL"/>
        </w:rPr>
        <w:t>6.5</w:t>
      </w:r>
      <w:r>
        <w:rPr>
          <w:b/>
          <w:bCs/>
          <w:szCs w:val="22"/>
          <w:lang w:val="pl-PL"/>
        </w:rPr>
        <w:tab/>
        <w:t>Rodzaj i zawartość opakowania</w:t>
      </w:r>
      <w:r>
        <w:rPr>
          <w:b/>
          <w:szCs w:val="22"/>
          <w:lang w:val="pl-PL"/>
        </w:rPr>
        <w:fldChar w:fldCharType="begin"/>
      </w:r>
      <w:r>
        <w:rPr>
          <w:b/>
          <w:szCs w:val="22"/>
          <w:lang w:val="pl-PL"/>
        </w:rPr>
        <w:instrText xml:space="preserve"> DOCVARIABLE vault_nd_794ebd6c-1e2f-4ef9-a9d4-45f0ddc130b5 \* MERGEFORMAT </w:instrText>
      </w:r>
      <w:r>
        <w:rPr>
          <w:b/>
          <w:szCs w:val="22"/>
          <w:lang w:val="pl-PL"/>
        </w:rPr>
        <w:fldChar w:fldCharType="separate"/>
      </w:r>
      <w:r>
        <w:rPr>
          <w:b/>
          <w:bCs/>
          <w:szCs w:val="22"/>
          <w:lang w:val="pl-PL"/>
        </w:rPr>
        <w:t xml:space="preserve"> </w:t>
      </w:r>
      <w:r>
        <w:rPr>
          <w:b/>
          <w:szCs w:val="22"/>
          <w:lang w:val="pl-PL"/>
        </w:rPr>
        <w:fldChar w:fldCharType="end"/>
      </w:r>
    </w:p>
    <w:p>
      <w:pPr>
        <w:keepNext/>
        <w:spacing w:line="240" w:lineRule="auto"/>
        <w:ind w:left="562" w:hanging="562"/>
        <w:rPr>
          <w:b/>
          <w:szCs w:val="22"/>
          <w:lang w:val="pl-PL"/>
        </w:rPr>
      </w:pPr>
    </w:p>
    <w:p>
      <w:pPr>
        <w:spacing w:line="240" w:lineRule="auto"/>
        <w:rPr>
          <w:lang w:val="pl-PL"/>
        </w:rPr>
      </w:pPr>
      <w:r>
        <w:rPr>
          <w:szCs w:val="22"/>
          <w:lang w:val="pl-PL"/>
        </w:rPr>
        <w:t>Zgrzewana saszetka z folii aluminiowej: Politereftalan etylenu, biały wytłaczany polietylen (poliestr/folia), folia aluminiowa (bariera chroniąca przed wilgocią) i zgrzewana żywica jonomerowa (klej).</w:t>
      </w:r>
    </w:p>
    <w:p>
      <w:pPr>
        <w:spacing w:line="240" w:lineRule="auto"/>
        <w:rPr>
          <w:lang w:val="pl-PL"/>
        </w:rPr>
      </w:pPr>
    </w:p>
    <w:p>
      <w:pPr>
        <w:spacing w:line="240" w:lineRule="auto"/>
        <w:rPr>
          <w:szCs w:val="22"/>
          <w:lang w:val="pl-PL"/>
        </w:rPr>
      </w:pPr>
      <w:r>
        <w:rPr>
          <w:szCs w:val="22"/>
          <w:lang w:val="pl-PL"/>
        </w:rPr>
        <w:t>Każde pudełko zawiera 30 saszetek zawierających dawkę jednostkową.</w:t>
      </w:r>
    </w:p>
    <w:p>
      <w:pPr>
        <w:spacing w:line="240" w:lineRule="auto"/>
        <w:rPr>
          <w:szCs w:val="22"/>
          <w:lang w:val="pl-PL"/>
        </w:rPr>
      </w:pPr>
    </w:p>
    <w:p>
      <w:pPr>
        <w:spacing w:line="240" w:lineRule="auto"/>
        <w:ind w:left="567" w:hanging="567"/>
        <w:rPr>
          <w:b/>
          <w:szCs w:val="22"/>
          <w:lang w:val="pl-PL"/>
        </w:rPr>
      </w:pPr>
      <w:bookmarkStart w:id="4" w:name="OLE_LINK1"/>
      <w:r>
        <w:rPr>
          <w:b/>
          <w:bCs/>
          <w:szCs w:val="22"/>
          <w:lang w:val="pl-PL"/>
        </w:rPr>
        <w:t>6.6</w:t>
      </w:r>
      <w:r>
        <w:rPr>
          <w:b/>
          <w:bCs/>
          <w:szCs w:val="22"/>
          <w:lang w:val="pl-PL"/>
        </w:rPr>
        <w:tab/>
        <w:t>Specjalne środki ostrożności dotyczące usuwania i przygotowania produktu leczniczego do stosowania</w:t>
      </w:r>
      <w:r>
        <w:rPr>
          <w:b/>
          <w:szCs w:val="22"/>
          <w:highlight w:val="yellow"/>
          <w:lang w:val="pl-PL"/>
        </w:rPr>
        <w:fldChar w:fldCharType="begin"/>
      </w:r>
      <w:r>
        <w:rPr>
          <w:b/>
          <w:szCs w:val="22"/>
          <w:highlight w:val="yellow"/>
          <w:lang w:val="pl-PL"/>
        </w:rPr>
        <w:instrText xml:space="preserve"> DOCVARIABLE vault_nd_18fc5cdf-1142-4eed-b885-9e47bf639b2c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left="567" w:hanging="567"/>
        <w:rPr>
          <w:szCs w:val="22"/>
          <w:lang w:val="pl-PL"/>
        </w:rPr>
      </w:pPr>
    </w:p>
    <w:p>
      <w:pPr>
        <w:spacing w:line="240" w:lineRule="auto"/>
        <w:rPr>
          <w:lang w:val="pl-PL"/>
        </w:rPr>
      </w:pPr>
      <w:r>
        <w:rPr>
          <w:lang w:val="pl-PL"/>
        </w:rPr>
        <w:t>Bez specjalnych wymagań dotyczących usuwania</w:t>
      </w:r>
      <w:r>
        <w:rPr>
          <w:szCs w:val="22"/>
          <w:lang w:val="pl-PL"/>
        </w:rPr>
        <w:t xml:space="preserve">. </w:t>
      </w:r>
    </w:p>
    <w:p>
      <w:pPr>
        <w:spacing w:line="240" w:lineRule="auto"/>
        <w:rPr>
          <w:szCs w:val="22"/>
          <w:lang w:val="pl-PL"/>
        </w:rPr>
      </w:pPr>
    </w:p>
    <w:p>
      <w:pPr>
        <w:spacing w:line="240" w:lineRule="auto"/>
        <w:rPr>
          <w:lang w:val="pl-PL"/>
        </w:rPr>
      </w:pPr>
      <w:r>
        <w:rPr>
          <w:szCs w:val="22"/>
          <w:lang w:val="pl-PL"/>
        </w:rPr>
        <w:t xml:space="preserve">Wszelkie niewykorzystane resztki produktu leczniczego lub jego odpady należy usunąć zgodnie z lokalnymi przepisami. </w:t>
      </w:r>
    </w:p>
    <w:p>
      <w:pPr>
        <w:spacing w:line="240" w:lineRule="auto"/>
        <w:rPr>
          <w:lang w:val="pl-PL"/>
        </w:rPr>
      </w:pPr>
    </w:p>
    <w:p>
      <w:pPr>
        <w:keepNext/>
        <w:spacing w:line="240" w:lineRule="auto"/>
        <w:rPr>
          <w:u w:val="single"/>
          <w:lang w:val="pl-PL"/>
        </w:rPr>
      </w:pPr>
      <w:bookmarkStart w:id="5" w:name="_Hlk183502169"/>
      <w:r>
        <w:rPr>
          <w:szCs w:val="22"/>
          <w:u w:val="single"/>
          <w:lang w:val="pl-PL"/>
        </w:rPr>
        <w:t>Instrukcje dotyczące podawania przez zgłębnik dojelitowy</w:t>
      </w:r>
    </w:p>
    <w:p>
      <w:pPr>
        <w:keepNext/>
        <w:spacing w:line="240" w:lineRule="auto"/>
        <w:rPr>
          <w:u w:val="single"/>
          <w:lang w:val="pl-PL"/>
        </w:rPr>
      </w:pPr>
    </w:p>
    <w:p>
      <w:pPr>
        <w:keepNext/>
        <w:tabs>
          <w:tab w:val="clear" w:pos="567"/>
        </w:tabs>
        <w:spacing w:line="240" w:lineRule="auto"/>
        <w:rPr>
          <w:lang w:val="pl-PL"/>
        </w:rPr>
      </w:pPr>
      <w:r>
        <w:rPr>
          <w:szCs w:val="22"/>
          <w:lang w:val="pl-PL"/>
        </w:rPr>
        <w:t>1) Przed podaniem upewnić się, że zgłębnik do żywienia dojelitowego (rozmiar 6 Fr lub 8 Fr) jest drożny.</w:t>
      </w:r>
    </w:p>
    <w:p>
      <w:pPr>
        <w:keepNext/>
        <w:tabs>
          <w:tab w:val="clear" w:pos="567"/>
        </w:tabs>
        <w:spacing w:line="240" w:lineRule="auto"/>
        <w:rPr>
          <w:lang w:val="pl-PL"/>
        </w:rPr>
      </w:pPr>
      <w:r>
        <w:rPr>
          <w:szCs w:val="22"/>
          <w:lang w:val="pl-PL"/>
        </w:rPr>
        <w:t>2) Przepłukać zgłębnik dojelitowy 10 ml wody.</w:t>
      </w:r>
    </w:p>
    <w:p>
      <w:pPr>
        <w:keepNext/>
        <w:tabs>
          <w:tab w:val="clear" w:pos="567"/>
        </w:tabs>
        <w:spacing w:line="240" w:lineRule="auto"/>
        <w:rPr>
          <w:lang w:val="pl-PL"/>
        </w:rPr>
      </w:pPr>
      <w:r>
        <w:rPr>
          <w:szCs w:val="22"/>
          <w:lang w:val="pl-PL"/>
        </w:rPr>
        <w:t>3) Podać wymaganą dawkę proszku doustnego Sephience w ciągu 30 minut od wymieszania (patrz punkt 4.2).</w:t>
      </w:r>
    </w:p>
    <w:p>
      <w:pPr>
        <w:keepNext/>
        <w:tabs>
          <w:tab w:val="clear" w:pos="567"/>
        </w:tabs>
        <w:spacing w:line="240" w:lineRule="auto"/>
        <w:rPr>
          <w:lang w:val="pl-PL"/>
        </w:rPr>
      </w:pPr>
      <w:r>
        <w:rPr>
          <w:szCs w:val="22"/>
          <w:lang w:val="pl-PL"/>
        </w:rPr>
        <w:t>4) Przepłukać zgłębnik dojelitowy co najmniej 5 ml (zgłębnik</w:t>
      </w:r>
      <w:r>
        <w:rPr>
          <w:lang w:val="pl-PL"/>
        </w:rPr>
        <w:t xml:space="preserve"> 6 FR) lub</w:t>
      </w:r>
      <w:r>
        <w:rPr>
          <w:szCs w:val="22"/>
          <w:lang w:val="pl-PL"/>
        </w:rPr>
        <w:t xml:space="preserve"> 15 ml (zgłębnik</w:t>
      </w:r>
      <w:r>
        <w:rPr>
          <w:lang w:val="pl-PL"/>
        </w:rPr>
        <w:t xml:space="preserve"> 8 Fr) </w:t>
      </w:r>
      <w:r>
        <w:rPr>
          <w:szCs w:val="22"/>
          <w:lang w:val="pl-PL"/>
        </w:rPr>
        <w:t>wody i podać popłuczyny.</w:t>
      </w:r>
    </w:p>
    <w:p>
      <w:pPr>
        <w:spacing w:line="240" w:lineRule="auto"/>
        <w:rPr>
          <w:lang w:val="pl-PL"/>
        </w:rPr>
      </w:pPr>
    </w:p>
    <w:p>
      <w:pPr>
        <w:spacing w:line="240" w:lineRule="auto"/>
        <w:rPr>
          <w:lang w:val="pl-PL"/>
        </w:rPr>
      </w:pPr>
      <w:r>
        <w:rPr>
          <w:szCs w:val="22"/>
          <w:lang w:val="pl-PL"/>
        </w:rPr>
        <w:t xml:space="preserve">Ten produkt leczniczy jest kompatybilny z silikonowymi i poliuretanowymi zgłębnikami dojelitowymi. </w:t>
      </w:r>
    </w:p>
    <w:p>
      <w:pPr>
        <w:spacing w:line="240" w:lineRule="auto"/>
        <w:rPr>
          <w:lang w:val="pl-PL"/>
        </w:rPr>
      </w:pPr>
    </w:p>
    <w:p>
      <w:pPr>
        <w:spacing w:line="240" w:lineRule="auto"/>
        <w:rPr>
          <w:lang w:val="pl-PL"/>
        </w:rPr>
      </w:pPr>
    </w:p>
    <w:bookmarkEnd w:id="4"/>
    <w:bookmarkEnd w:id="5"/>
    <w:p>
      <w:pPr>
        <w:keepNext/>
        <w:spacing w:line="240" w:lineRule="auto"/>
        <w:ind w:left="567" w:hanging="567"/>
        <w:rPr>
          <w:szCs w:val="22"/>
          <w:lang w:val="pl-PL"/>
        </w:rPr>
      </w:pPr>
      <w:r>
        <w:rPr>
          <w:b/>
          <w:bCs/>
          <w:szCs w:val="22"/>
          <w:lang w:val="pl-PL"/>
        </w:rPr>
        <w:lastRenderedPageBreak/>
        <w:t>7.</w:t>
      </w:r>
      <w:r>
        <w:rPr>
          <w:b/>
          <w:bCs/>
          <w:szCs w:val="22"/>
          <w:lang w:val="pl-PL"/>
        </w:rPr>
        <w:tab/>
        <w:t>PODMIOT ODPOWIEDZIALNY POSIADAJĄCY POZWOLENIE NA DOPUSZCZENIE DO OBROTU</w:t>
      </w:r>
    </w:p>
    <w:p>
      <w:pPr>
        <w:keepNext/>
        <w:spacing w:line="240" w:lineRule="auto"/>
        <w:rPr>
          <w:szCs w:val="22"/>
          <w:lang w:val="pl-PL"/>
        </w:rPr>
      </w:pPr>
      <w:bookmarkStart w:id="6" w:name="_Hlk158113643"/>
    </w:p>
    <w:p>
      <w:pPr>
        <w:spacing w:line="240" w:lineRule="auto"/>
        <w:rPr>
          <w:szCs w:val="22"/>
        </w:rPr>
      </w:pPr>
      <w:r>
        <w:rPr>
          <w:szCs w:val="22"/>
        </w:rPr>
        <w:t>PTC Therapeutics International Limited</w:t>
      </w:r>
    </w:p>
    <w:p>
      <w:pPr>
        <w:spacing w:line="240" w:lineRule="auto"/>
        <w:rPr>
          <w:szCs w:val="22"/>
        </w:rPr>
      </w:pPr>
      <w:r>
        <w:rPr>
          <w:szCs w:val="22"/>
        </w:rPr>
        <w:t xml:space="preserve">Unit 1, 52-55 Sir John Rogerson’s Quay </w:t>
      </w:r>
    </w:p>
    <w:p>
      <w:pPr>
        <w:spacing w:line="240" w:lineRule="auto"/>
        <w:rPr>
          <w:szCs w:val="22"/>
          <w:lang w:val="pl-PL"/>
        </w:rPr>
      </w:pPr>
      <w:r>
        <w:rPr>
          <w:szCs w:val="22"/>
          <w:lang w:val="pl-PL"/>
        </w:rPr>
        <w:t>Dublin 2, D02 NA07</w:t>
      </w:r>
    </w:p>
    <w:p>
      <w:pPr>
        <w:spacing w:line="240" w:lineRule="auto"/>
        <w:rPr>
          <w:szCs w:val="22"/>
          <w:lang w:val="pl-PL"/>
        </w:rPr>
      </w:pPr>
      <w:r>
        <w:rPr>
          <w:szCs w:val="22"/>
          <w:lang w:val="pl-PL"/>
        </w:rPr>
        <w:t>Irlandia</w:t>
      </w:r>
    </w:p>
    <w:p>
      <w:pPr>
        <w:spacing w:line="240" w:lineRule="auto"/>
        <w:rPr>
          <w:szCs w:val="22"/>
          <w:lang w:val="pl-PL"/>
        </w:rPr>
      </w:pPr>
    </w:p>
    <w:p>
      <w:pPr>
        <w:spacing w:line="240" w:lineRule="auto"/>
        <w:rPr>
          <w:szCs w:val="22"/>
          <w:lang w:val="pl-PL"/>
        </w:rPr>
      </w:pPr>
    </w:p>
    <w:bookmarkEnd w:id="6"/>
    <w:p>
      <w:pPr>
        <w:spacing w:line="240" w:lineRule="auto"/>
        <w:ind w:left="567" w:hanging="567"/>
        <w:rPr>
          <w:b/>
          <w:szCs w:val="22"/>
          <w:lang w:val="pl-PL"/>
        </w:rPr>
      </w:pPr>
      <w:r>
        <w:rPr>
          <w:b/>
          <w:bCs/>
          <w:szCs w:val="22"/>
          <w:lang w:val="pl-PL"/>
        </w:rPr>
        <w:t>8.</w:t>
      </w:r>
      <w:r>
        <w:rPr>
          <w:b/>
          <w:bCs/>
          <w:szCs w:val="22"/>
          <w:lang w:val="pl-PL"/>
        </w:rPr>
        <w:tab/>
        <w:t xml:space="preserve">NUMER POZWOLENIA (NUMERY POZWOLEŃ) NA DOPUSZCZENIE DO OBROTU </w:t>
      </w:r>
    </w:p>
    <w:p>
      <w:pPr>
        <w:spacing w:line="240" w:lineRule="auto"/>
        <w:rPr>
          <w:szCs w:val="22"/>
          <w:lang w:val="pl-PL"/>
        </w:rPr>
      </w:pPr>
    </w:p>
    <w:p>
      <w:pPr>
        <w:tabs>
          <w:tab w:val="clear" w:pos="567"/>
        </w:tabs>
        <w:autoSpaceDE w:val="0"/>
        <w:autoSpaceDN w:val="0"/>
        <w:adjustRightInd w:val="0"/>
        <w:spacing w:line="240" w:lineRule="auto"/>
        <w:rPr>
          <w:rFonts w:eastAsia="SimSun"/>
          <w:szCs w:val="22"/>
          <w:lang w:val="pl-PL" w:eastAsia="en-GB"/>
        </w:rPr>
      </w:pPr>
      <w:r>
        <w:rPr>
          <w:rFonts w:eastAsia="SimSun"/>
          <w:szCs w:val="22"/>
          <w:lang w:val="pl-PL" w:eastAsia="en-GB"/>
        </w:rPr>
        <w:t>EU/1/25/1939/001</w:t>
      </w:r>
    </w:p>
    <w:p>
      <w:pPr>
        <w:spacing w:line="240" w:lineRule="auto"/>
        <w:rPr>
          <w:rFonts w:eastAsia="SimSun"/>
          <w:szCs w:val="22"/>
          <w:lang w:val="pl-PL" w:eastAsia="en-GB"/>
        </w:rPr>
      </w:pPr>
      <w:r>
        <w:rPr>
          <w:rFonts w:eastAsia="SimSun"/>
          <w:szCs w:val="22"/>
          <w:lang w:val="pl-PL" w:eastAsia="en-GB"/>
        </w:rPr>
        <w:t>EU/1/25/1939/002</w:t>
      </w:r>
    </w:p>
    <w:p>
      <w:pPr>
        <w:spacing w:line="240" w:lineRule="auto"/>
        <w:rPr>
          <w:szCs w:val="22"/>
          <w:lang w:val="pl-PL"/>
        </w:rPr>
      </w:pPr>
    </w:p>
    <w:p>
      <w:pPr>
        <w:spacing w:line="240" w:lineRule="auto"/>
        <w:rPr>
          <w:szCs w:val="22"/>
          <w:lang w:val="pl-PL"/>
        </w:rPr>
      </w:pPr>
    </w:p>
    <w:p>
      <w:pPr>
        <w:spacing w:line="240" w:lineRule="auto"/>
        <w:ind w:left="567" w:hanging="567"/>
        <w:rPr>
          <w:b/>
          <w:bCs/>
          <w:szCs w:val="22"/>
          <w:lang w:val="pl-PL"/>
        </w:rPr>
      </w:pPr>
      <w:r>
        <w:rPr>
          <w:b/>
          <w:bCs/>
          <w:szCs w:val="22"/>
          <w:lang w:val="pl-PL"/>
        </w:rPr>
        <w:t>9.</w:t>
      </w:r>
      <w:r>
        <w:rPr>
          <w:b/>
          <w:bCs/>
          <w:szCs w:val="22"/>
          <w:lang w:val="pl-PL"/>
        </w:rPr>
        <w:tab/>
        <w:t>DATA WYDANIA PIERWSZEGO POZWOLENIA NA DOPUSZCZENIE DO OBROTU I DATA PRZEDŁUŻENIA POZWOLENIA</w:t>
      </w:r>
    </w:p>
    <w:p>
      <w:pPr>
        <w:spacing w:line="240" w:lineRule="auto"/>
        <w:ind w:left="567" w:hanging="567"/>
        <w:rPr>
          <w:szCs w:val="22"/>
          <w:lang w:val="pl-PL"/>
        </w:rPr>
      </w:pPr>
    </w:p>
    <w:p>
      <w:pPr>
        <w:spacing w:line="240" w:lineRule="auto"/>
        <w:rPr>
          <w:i/>
          <w:szCs w:val="22"/>
          <w:lang w:val="pl-PL"/>
        </w:rPr>
      </w:pPr>
      <w:r>
        <w:rPr>
          <w:szCs w:val="22"/>
          <w:lang w:val="pl-PL"/>
        </w:rPr>
        <w:t>Data wydania pierwszego pozwolenia na dopuszczenie do obrotu: 19 czerwca 2025</w:t>
      </w:r>
    </w:p>
    <w:p>
      <w:pPr>
        <w:spacing w:line="240" w:lineRule="auto"/>
        <w:rPr>
          <w:szCs w:val="22"/>
          <w:lang w:val="pl-PL"/>
        </w:rPr>
      </w:pPr>
    </w:p>
    <w:p>
      <w:pPr>
        <w:spacing w:line="240" w:lineRule="auto"/>
        <w:rPr>
          <w:szCs w:val="22"/>
          <w:lang w:val="pl-PL"/>
        </w:rPr>
      </w:pPr>
    </w:p>
    <w:p>
      <w:pPr>
        <w:keepNext/>
        <w:keepLines/>
        <w:spacing w:line="240" w:lineRule="auto"/>
        <w:ind w:left="567" w:hanging="567"/>
        <w:rPr>
          <w:b/>
          <w:szCs w:val="22"/>
          <w:lang w:val="pl-PL"/>
        </w:rPr>
      </w:pPr>
      <w:r>
        <w:rPr>
          <w:b/>
          <w:bCs/>
          <w:szCs w:val="22"/>
          <w:lang w:val="pl-PL"/>
        </w:rPr>
        <w:t>10.</w:t>
      </w:r>
      <w:r>
        <w:rPr>
          <w:b/>
          <w:bCs/>
          <w:szCs w:val="22"/>
          <w:lang w:val="pl-PL"/>
        </w:rPr>
        <w:tab/>
        <w:t>DATA ZATWIERDZENIA LUB CZĘŚCIOWEJ ZMIANY TEKSTU CHARAKTERYSTYKI PRODUKTU LECZNICZEGO</w:t>
      </w:r>
    </w:p>
    <w:p>
      <w:pPr>
        <w:keepNext/>
        <w:keepLines/>
        <w:spacing w:line="240" w:lineRule="auto"/>
        <w:rPr>
          <w:i/>
          <w:szCs w:val="22"/>
          <w:lang w:val="pl-PL"/>
        </w:rPr>
      </w:pPr>
    </w:p>
    <w:p>
      <w:pPr>
        <w:keepNext/>
        <w:keepLines/>
        <w:spacing w:line="240" w:lineRule="auto"/>
        <w:rPr>
          <w:i/>
          <w:szCs w:val="22"/>
          <w:lang w:val="pl-PL"/>
        </w:rPr>
      </w:pPr>
    </w:p>
    <w:p>
      <w:pPr>
        <w:keepNext/>
        <w:keepLines/>
        <w:numPr>
          <w:ilvl w:val="12"/>
          <w:numId w:val="0"/>
        </w:numPr>
        <w:spacing w:line="240" w:lineRule="auto"/>
        <w:ind w:right="-2"/>
        <w:rPr>
          <w:szCs w:val="22"/>
          <w:lang w:val="pl-PL"/>
        </w:rPr>
      </w:pPr>
      <w:r>
        <w:rPr>
          <w:szCs w:val="22"/>
          <w:lang w:val="pl-PL"/>
        </w:rPr>
        <w:t xml:space="preserve">Szczegółowe informacje o tym produkcie leczniczym są dostępne na stronie internetowej Europejskiej Agencji Leków </w:t>
      </w:r>
      <w:hyperlink r:id="rId13" w:history="1">
        <w:r>
          <w:rPr>
            <w:color w:val="0000FF"/>
            <w:szCs w:val="22"/>
            <w:u w:val="single"/>
            <w:lang w:val="pl-PL"/>
          </w:rPr>
          <w:t>https://www.ema.europa.eu</w:t>
        </w:r>
      </w:hyperlink>
      <w:r>
        <w:rPr>
          <w:szCs w:val="22"/>
          <w:lang w:val="pl-PL"/>
        </w:rPr>
        <w:t>.</w:t>
      </w:r>
      <w:r>
        <w:rPr>
          <w:szCs w:val="22"/>
          <w:lang w:val="pl-PL"/>
        </w:rPr>
        <w:br w:type="page"/>
      </w: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jc w:val="center"/>
        <w:rPr>
          <w:szCs w:val="22"/>
          <w:lang w:val="pl-PL"/>
        </w:rPr>
      </w:pPr>
      <w:r>
        <w:rPr>
          <w:b/>
          <w:bCs/>
          <w:szCs w:val="22"/>
          <w:lang w:val="pl-PL"/>
        </w:rPr>
        <w:t>ANEKS II</w:t>
      </w:r>
    </w:p>
    <w:p>
      <w:pPr>
        <w:spacing w:line="240" w:lineRule="auto"/>
        <w:ind w:right="1416"/>
        <w:rPr>
          <w:szCs w:val="22"/>
          <w:highlight w:val="yellow"/>
          <w:lang w:val="pl-PL"/>
        </w:rPr>
      </w:pPr>
    </w:p>
    <w:p>
      <w:pPr>
        <w:spacing w:line="240" w:lineRule="auto"/>
        <w:ind w:left="1560" w:right="1416" w:hanging="851"/>
        <w:rPr>
          <w:b/>
          <w:szCs w:val="22"/>
          <w:lang w:val="pl-PL"/>
        </w:rPr>
      </w:pPr>
      <w:r>
        <w:rPr>
          <w:b/>
          <w:bCs/>
          <w:szCs w:val="22"/>
          <w:lang w:val="pl-PL"/>
        </w:rPr>
        <w:t>A.</w:t>
      </w:r>
      <w:r>
        <w:rPr>
          <w:b/>
          <w:bCs/>
          <w:szCs w:val="22"/>
          <w:lang w:val="pl-PL"/>
        </w:rPr>
        <w:tab/>
        <w:t>WYTWÓRCA ODPOWIEDZIALNY ZA ZWOLNIENIE SERII</w:t>
      </w:r>
    </w:p>
    <w:p>
      <w:pPr>
        <w:spacing w:line="240" w:lineRule="auto"/>
        <w:ind w:left="1560" w:hanging="851"/>
        <w:rPr>
          <w:szCs w:val="22"/>
          <w:highlight w:val="yellow"/>
          <w:lang w:val="pl-PL"/>
        </w:rPr>
      </w:pPr>
    </w:p>
    <w:p>
      <w:pPr>
        <w:spacing w:line="240" w:lineRule="auto"/>
        <w:ind w:left="1560" w:right="1418" w:hanging="851"/>
        <w:rPr>
          <w:b/>
          <w:szCs w:val="22"/>
          <w:highlight w:val="yellow"/>
          <w:lang w:val="pl-PL"/>
        </w:rPr>
      </w:pPr>
      <w:r>
        <w:rPr>
          <w:b/>
          <w:bCs/>
          <w:szCs w:val="22"/>
          <w:lang w:val="pl-PL"/>
        </w:rPr>
        <w:t>B.</w:t>
      </w:r>
      <w:r>
        <w:rPr>
          <w:b/>
          <w:bCs/>
          <w:szCs w:val="22"/>
          <w:lang w:val="pl-PL"/>
        </w:rPr>
        <w:tab/>
        <w:t>WARUNKI LUB OGRANICZENIA DOTYCZĄCE ZAOPATRZENIA I STOSOWANIA</w:t>
      </w:r>
    </w:p>
    <w:p>
      <w:pPr>
        <w:spacing w:line="240" w:lineRule="auto"/>
        <w:ind w:left="1560" w:hanging="851"/>
        <w:rPr>
          <w:szCs w:val="22"/>
          <w:highlight w:val="yellow"/>
          <w:lang w:val="pl-PL"/>
        </w:rPr>
      </w:pPr>
    </w:p>
    <w:p>
      <w:pPr>
        <w:spacing w:line="240" w:lineRule="auto"/>
        <w:ind w:left="1560" w:right="1559" w:hanging="851"/>
        <w:rPr>
          <w:b/>
          <w:szCs w:val="22"/>
          <w:highlight w:val="yellow"/>
          <w:lang w:val="pl-PL"/>
        </w:rPr>
      </w:pPr>
      <w:r>
        <w:rPr>
          <w:b/>
          <w:bCs/>
          <w:szCs w:val="22"/>
          <w:lang w:val="pl-PL"/>
        </w:rPr>
        <w:t>C.</w:t>
      </w:r>
      <w:r>
        <w:rPr>
          <w:b/>
          <w:bCs/>
          <w:szCs w:val="22"/>
          <w:lang w:val="pl-PL"/>
        </w:rPr>
        <w:tab/>
        <w:t>INNE WARUNKI I WYMAGANIA DOTYCZĄCE DOPUSZCZENIA DO OBROTU</w:t>
      </w:r>
    </w:p>
    <w:p>
      <w:pPr>
        <w:spacing w:line="240" w:lineRule="auto"/>
        <w:ind w:left="1560" w:right="1558" w:hanging="851"/>
        <w:rPr>
          <w:b/>
          <w:highlight w:val="yellow"/>
          <w:lang w:val="pl-PL"/>
        </w:rPr>
      </w:pPr>
    </w:p>
    <w:p>
      <w:pPr>
        <w:spacing w:line="240" w:lineRule="auto"/>
        <w:ind w:left="1560" w:right="1416" w:hanging="851"/>
        <w:rPr>
          <w:b/>
          <w:lang w:val="pl-PL"/>
        </w:rPr>
      </w:pPr>
      <w:r>
        <w:rPr>
          <w:b/>
          <w:bCs/>
          <w:szCs w:val="22"/>
          <w:lang w:val="pl-PL"/>
        </w:rPr>
        <w:t>D.</w:t>
      </w:r>
      <w:r>
        <w:rPr>
          <w:b/>
          <w:bCs/>
          <w:szCs w:val="22"/>
          <w:lang w:val="pl-PL"/>
        </w:rPr>
        <w:tab/>
      </w:r>
      <w:r>
        <w:rPr>
          <w:b/>
          <w:bCs/>
          <w:caps/>
          <w:szCs w:val="22"/>
          <w:lang w:val="pl-PL"/>
        </w:rPr>
        <w:t>WARUNKI LUB OGRANICZENIA DOTYCZĄCE BEZPIECZNEGO I SKUTECZNEGO STOSOWANIA PRODUKTU LECZNICZEGO</w:t>
      </w:r>
    </w:p>
    <w:p>
      <w:pPr>
        <w:spacing w:line="240" w:lineRule="auto"/>
        <w:ind w:right="1416"/>
        <w:rPr>
          <w:b/>
          <w:lang w:val="pl-PL"/>
        </w:rPr>
      </w:pPr>
    </w:p>
    <w:p>
      <w:pPr>
        <w:spacing w:line="240" w:lineRule="auto"/>
        <w:ind w:left="567" w:hanging="567"/>
        <w:rPr>
          <w:szCs w:val="22"/>
          <w:lang w:val="pl-PL"/>
        </w:rPr>
      </w:pPr>
      <w:r>
        <w:rPr>
          <w:szCs w:val="22"/>
          <w:lang w:val="pl-PL"/>
        </w:rPr>
        <w:br w:type="page"/>
      </w:r>
    </w:p>
    <w:p>
      <w:pPr>
        <w:pStyle w:val="TitleB"/>
      </w:pPr>
      <w:bookmarkStart w:id="7" w:name="OLE_LINK2"/>
      <w:r>
        <w:lastRenderedPageBreak/>
        <w:t>A.</w:t>
      </w:r>
      <w:r>
        <w:tab/>
        <w:t>WYTWÓRCA ODPOWIEDZIALNY ZA ZWOLNIENIE SERII</w:t>
      </w:r>
    </w:p>
    <w:p>
      <w:pPr>
        <w:spacing w:line="240" w:lineRule="auto"/>
        <w:ind w:left="567" w:hanging="567"/>
        <w:rPr>
          <w:b/>
          <w:szCs w:val="22"/>
          <w:lang w:val="pl-PL"/>
        </w:rPr>
      </w:pPr>
    </w:p>
    <w:p>
      <w:pPr>
        <w:spacing w:line="240" w:lineRule="auto"/>
        <w:ind w:left="567" w:hanging="567"/>
        <w:rPr>
          <w:szCs w:val="22"/>
          <w:u w:val="single"/>
          <w:lang w:val="pl-PL"/>
        </w:rPr>
      </w:pPr>
      <w:r>
        <w:rPr>
          <w:szCs w:val="22"/>
          <w:u w:val="single"/>
          <w:lang w:val="pl-PL"/>
        </w:rPr>
        <w:t>Nazwa i adres wytwórcy odpowiedzialnego za zwolnienie serii</w:t>
      </w:r>
    </w:p>
    <w:p>
      <w:pPr>
        <w:spacing w:line="240" w:lineRule="auto"/>
        <w:ind w:left="567" w:hanging="567"/>
        <w:rPr>
          <w:b/>
          <w:szCs w:val="22"/>
          <w:lang w:val="pl-PL"/>
        </w:rPr>
      </w:pPr>
    </w:p>
    <w:p>
      <w:pPr>
        <w:spacing w:line="240" w:lineRule="auto"/>
        <w:ind w:left="567" w:hanging="567"/>
        <w:rPr>
          <w:szCs w:val="22"/>
        </w:rPr>
      </w:pPr>
      <w:r>
        <w:rPr>
          <w:szCs w:val="22"/>
        </w:rPr>
        <w:t>PTC Therapeutics International Limited</w:t>
      </w:r>
    </w:p>
    <w:p>
      <w:pPr>
        <w:spacing w:line="240" w:lineRule="auto"/>
        <w:ind w:left="567" w:hanging="567"/>
        <w:rPr>
          <w:szCs w:val="22"/>
        </w:rPr>
      </w:pPr>
      <w:r>
        <w:rPr>
          <w:szCs w:val="22"/>
        </w:rPr>
        <w:t xml:space="preserve">Unit 1, 52-55 Sir John Rogerson’s Quay </w:t>
      </w:r>
    </w:p>
    <w:p>
      <w:pPr>
        <w:spacing w:line="240" w:lineRule="auto"/>
        <w:ind w:left="567" w:hanging="567"/>
        <w:rPr>
          <w:szCs w:val="22"/>
          <w:lang w:val="pl-PL"/>
        </w:rPr>
      </w:pPr>
      <w:r>
        <w:rPr>
          <w:szCs w:val="22"/>
          <w:lang w:val="pl-PL"/>
        </w:rPr>
        <w:t>Dublin 2, D02 NA07</w:t>
      </w:r>
    </w:p>
    <w:p>
      <w:pPr>
        <w:spacing w:line="240" w:lineRule="auto"/>
        <w:ind w:left="567" w:hanging="567"/>
        <w:rPr>
          <w:szCs w:val="22"/>
          <w:lang w:val="pl-PL"/>
        </w:rPr>
      </w:pPr>
      <w:r>
        <w:rPr>
          <w:szCs w:val="22"/>
          <w:lang w:val="pl-PL"/>
        </w:rPr>
        <w:t>Irlandia</w:t>
      </w:r>
    </w:p>
    <w:p>
      <w:pPr>
        <w:spacing w:line="240" w:lineRule="auto"/>
        <w:ind w:left="567" w:hanging="567"/>
        <w:rPr>
          <w:b/>
          <w:szCs w:val="22"/>
          <w:lang w:val="pl-PL"/>
        </w:rPr>
      </w:pPr>
    </w:p>
    <w:p>
      <w:pPr>
        <w:spacing w:line="240" w:lineRule="auto"/>
        <w:ind w:left="567" w:hanging="567"/>
        <w:rPr>
          <w:b/>
          <w:szCs w:val="22"/>
          <w:lang w:val="pl-PL"/>
        </w:rPr>
      </w:pPr>
    </w:p>
    <w:p>
      <w:pPr>
        <w:pStyle w:val="TitleB"/>
      </w:pPr>
      <w:r>
        <w:t>B.</w:t>
      </w:r>
      <w:bookmarkEnd w:id="7"/>
      <w:r>
        <w:tab/>
        <w:t xml:space="preserve">WARUNKI LUB OGRANICZENIA DOTYCZĄCE ZAOPATRZENIA I STOSOWANIA </w:t>
      </w:r>
    </w:p>
    <w:p>
      <w:pPr>
        <w:spacing w:line="240" w:lineRule="auto"/>
        <w:rPr>
          <w:szCs w:val="22"/>
          <w:lang w:val="pl-PL"/>
        </w:rPr>
      </w:pPr>
    </w:p>
    <w:p>
      <w:pPr>
        <w:numPr>
          <w:ilvl w:val="12"/>
          <w:numId w:val="0"/>
        </w:numPr>
        <w:spacing w:line="240" w:lineRule="auto"/>
        <w:rPr>
          <w:szCs w:val="22"/>
          <w:lang w:val="pl-PL"/>
        </w:rPr>
      </w:pPr>
      <w:r>
        <w:rPr>
          <w:szCs w:val="22"/>
          <w:lang w:val="pl-PL"/>
        </w:rPr>
        <w:t>Produkt leczniczy wydawany na receptę do zastrzeżonego stosowania (patrz aneks I: Charakterystyka Produktu Leczniczego, punkt 4.2).</w:t>
      </w:r>
    </w:p>
    <w:p>
      <w:pPr>
        <w:numPr>
          <w:ilvl w:val="12"/>
          <w:numId w:val="0"/>
        </w:numPr>
        <w:spacing w:line="240" w:lineRule="auto"/>
        <w:rPr>
          <w:szCs w:val="22"/>
          <w:lang w:val="pl-PL"/>
        </w:rPr>
      </w:pPr>
    </w:p>
    <w:p>
      <w:pPr>
        <w:numPr>
          <w:ilvl w:val="12"/>
          <w:numId w:val="0"/>
        </w:numPr>
        <w:spacing w:line="240" w:lineRule="auto"/>
        <w:rPr>
          <w:szCs w:val="22"/>
          <w:lang w:val="pl-PL"/>
        </w:rPr>
      </w:pPr>
    </w:p>
    <w:p>
      <w:pPr>
        <w:pStyle w:val="TitleB"/>
      </w:pPr>
      <w:r>
        <w:t>C.</w:t>
      </w:r>
      <w:r>
        <w:tab/>
        <w:t>INNE WARUNKI I WYMAGANIA DOTYCZĄCE DOPUSZCZENIA DO OBROTU</w:t>
      </w:r>
    </w:p>
    <w:p>
      <w:pPr>
        <w:spacing w:line="240" w:lineRule="auto"/>
        <w:ind w:right="-1"/>
        <w:rPr>
          <w:szCs w:val="22"/>
          <w:u w:val="single"/>
          <w:lang w:val="pl-PL"/>
        </w:rPr>
      </w:pPr>
    </w:p>
    <w:p>
      <w:pPr>
        <w:numPr>
          <w:ilvl w:val="0"/>
          <w:numId w:val="24"/>
        </w:numPr>
        <w:tabs>
          <w:tab w:val="clear" w:pos="720"/>
          <w:tab w:val="num" w:pos="567"/>
        </w:tabs>
        <w:spacing w:line="240" w:lineRule="auto"/>
        <w:ind w:left="567" w:right="-1" w:hanging="567"/>
        <w:rPr>
          <w:b/>
          <w:szCs w:val="22"/>
        </w:rPr>
      </w:pPr>
      <w:r>
        <w:rPr>
          <w:b/>
          <w:bCs/>
          <w:szCs w:val="22"/>
          <w:lang w:val="pl-PL"/>
        </w:rPr>
        <w:t xml:space="preserve">Okresowe raporty o bezpieczeństwie stosowania (ang. </w:t>
      </w:r>
      <w:r>
        <w:rPr>
          <w:b/>
          <w:bCs/>
          <w:szCs w:val="22"/>
        </w:rPr>
        <w:t>Periodic safety update reports, PSURs)</w:t>
      </w:r>
    </w:p>
    <w:p>
      <w:pPr>
        <w:tabs>
          <w:tab w:val="left" w:pos="0"/>
        </w:tabs>
        <w:spacing w:line="240" w:lineRule="auto"/>
        <w:ind w:right="567"/>
      </w:pPr>
    </w:p>
    <w:p>
      <w:pPr>
        <w:spacing w:line="240" w:lineRule="auto"/>
        <w:rPr>
          <w:szCs w:val="22"/>
          <w:lang w:val="pl-PL"/>
        </w:rPr>
      </w:pPr>
      <w:r>
        <w:rPr>
          <w:szCs w:val="22"/>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pPr>
        <w:spacing w:line="240" w:lineRule="auto"/>
        <w:rPr>
          <w:szCs w:val="22"/>
          <w:lang w:val="pl-PL"/>
        </w:rPr>
      </w:pPr>
    </w:p>
    <w:p>
      <w:pPr>
        <w:spacing w:line="240" w:lineRule="auto"/>
        <w:rPr>
          <w:iCs/>
          <w:szCs w:val="22"/>
          <w:lang w:val="pl-PL"/>
        </w:rPr>
      </w:pPr>
      <w:r>
        <w:rPr>
          <w:lang w:val="pl-PL"/>
        </w:rPr>
        <w:t>Podmiot odpowiedzialny powinien przedłożyć pierwszy okresowy raport o bezpieczeństwie stosowania (PSUR) tego produktu w ciągu 6 miesięcy po dopuszczeniu do obrotu.</w:t>
      </w:r>
    </w:p>
    <w:p>
      <w:pPr>
        <w:spacing w:line="240" w:lineRule="auto"/>
        <w:ind w:right="-1"/>
        <w:rPr>
          <w:szCs w:val="22"/>
          <w:u w:val="single"/>
          <w:lang w:val="pl-PL"/>
        </w:rPr>
      </w:pPr>
    </w:p>
    <w:p>
      <w:pPr>
        <w:spacing w:line="240" w:lineRule="auto"/>
        <w:ind w:right="-1"/>
        <w:rPr>
          <w:u w:val="single"/>
          <w:lang w:val="pl-PL"/>
        </w:rPr>
      </w:pPr>
    </w:p>
    <w:p>
      <w:pPr>
        <w:pStyle w:val="TitleB"/>
      </w:pPr>
      <w:r>
        <w:t>D.</w:t>
      </w:r>
      <w:r>
        <w:tab/>
        <w:t>WARUNKI LUB OGRANICZENIA DOTYCZĄCE BEZPIECZNEGO I SKUTECZNEGO STOSOWANIA PRODUKTU LECZNICZEGO</w:t>
      </w:r>
    </w:p>
    <w:p>
      <w:pPr>
        <w:spacing w:line="240" w:lineRule="auto"/>
        <w:ind w:right="-1"/>
        <w:rPr>
          <w:u w:val="single"/>
          <w:lang w:val="pl-PL"/>
        </w:rPr>
      </w:pPr>
    </w:p>
    <w:p>
      <w:pPr>
        <w:numPr>
          <w:ilvl w:val="0"/>
          <w:numId w:val="24"/>
        </w:numPr>
        <w:tabs>
          <w:tab w:val="clear" w:pos="720"/>
          <w:tab w:val="num" w:pos="567"/>
        </w:tabs>
        <w:spacing w:line="240" w:lineRule="auto"/>
        <w:ind w:left="567" w:right="-1" w:hanging="567"/>
        <w:rPr>
          <w:b/>
          <w:lang w:val="pl-PL"/>
        </w:rPr>
      </w:pPr>
      <w:r>
        <w:rPr>
          <w:b/>
          <w:bCs/>
          <w:szCs w:val="22"/>
          <w:lang w:val="pl-PL"/>
        </w:rPr>
        <w:t>Plan zarządzania ryzykiem (ang. Risk Management Plan, RMP)</w:t>
      </w:r>
    </w:p>
    <w:p>
      <w:pPr>
        <w:spacing w:line="240" w:lineRule="auto"/>
        <w:ind w:left="720" w:right="-1"/>
        <w:rPr>
          <w:b/>
          <w:lang w:val="pl-PL"/>
        </w:rPr>
      </w:pPr>
    </w:p>
    <w:p>
      <w:pPr>
        <w:tabs>
          <w:tab w:val="left" w:pos="0"/>
        </w:tabs>
        <w:spacing w:line="240" w:lineRule="auto"/>
        <w:ind w:right="567"/>
        <w:rPr>
          <w:szCs w:val="22"/>
          <w:lang w:val="pl-PL"/>
        </w:rPr>
      </w:pPr>
      <w:r>
        <w:rPr>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pPr>
        <w:spacing w:line="240" w:lineRule="auto"/>
        <w:ind w:right="-1"/>
        <w:rPr>
          <w:szCs w:val="22"/>
          <w:highlight w:val="yellow"/>
          <w:lang w:val="pl-PL"/>
        </w:rPr>
      </w:pPr>
    </w:p>
    <w:p>
      <w:pPr>
        <w:spacing w:line="240" w:lineRule="auto"/>
        <w:ind w:right="-1"/>
        <w:rPr>
          <w:szCs w:val="22"/>
          <w:highlight w:val="yellow"/>
          <w:lang w:val="pl-PL"/>
        </w:rPr>
      </w:pPr>
      <w:r>
        <w:rPr>
          <w:szCs w:val="22"/>
          <w:lang w:val="pl-PL"/>
        </w:rPr>
        <w:t>Uaktualniony RMP należy przedstawiać:</w:t>
      </w:r>
    </w:p>
    <w:p>
      <w:pPr>
        <w:numPr>
          <w:ilvl w:val="0"/>
          <w:numId w:val="14"/>
        </w:numPr>
        <w:tabs>
          <w:tab w:val="clear" w:pos="567"/>
          <w:tab w:val="clear" w:pos="720"/>
        </w:tabs>
        <w:spacing w:line="240" w:lineRule="auto"/>
        <w:ind w:left="562" w:hanging="562"/>
        <w:rPr>
          <w:szCs w:val="22"/>
          <w:lang w:val="pl-PL"/>
        </w:rPr>
      </w:pPr>
      <w:r>
        <w:rPr>
          <w:szCs w:val="22"/>
          <w:lang w:val="pl-PL"/>
        </w:rPr>
        <w:t>na żądanie Europejskiej Agencji Leków;</w:t>
      </w:r>
    </w:p>
    <w:p>
      <w:pPr>
        <w:numPr>
          <w:ilvl w:val="0"/>
          <w:numId w:val="14"/>
        </w:numPr>
        <w:tabs>
          <w:tab w:val="clear" w:pos="567"/>
          <w:tab w:val="clear" w:pos="720"/>
        </w:tabs>
        <w:spacing w:line="240" w:lineRule="auto"/>
        <w:ind w:left="562" w:hanging="562"/>
        <w:rPr>
          <w:szCs w:val="22"/>
          <w:lang w:val="pl-PL"/>
        </w:rPr>
      </w:pPr>
      <w:r>
        <w:rPr>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pPr>
        <w:spacing w:line="240" w:lineRule="auto"/>
        <w:ind w:right="-1"/>
        <w:rPr>
          <w:szCs w:val="22"/>
          <w:lang w:val="pl-PL"/>
        </w:rPr>
      </w:pPr>
    </w:p>
    <w:p>
      <w:pPr>
        <w:spacing w:line="240" w:lineRule="auto"/>
        <w:ind w:right="-1"/>
        <w:rPr>
          <w:b/>
          <w:szCs w:val="22"/>
          <w:lang w:val="pl-PL"/>
        </w:rPr>
      </w:pPr>
    </w:p>
    <w:p>
      <w:pPr>
        <w:pStyle w:val="NormalAgency"/>
        <w:rPr>
          <w:lang w:val="pl-PL"/>
        </w:rPr>
      </w:pPr>
    </w:p>
    <w:p>
      <w:pPr>
        <w:spacing w:line="240" w:lineRule="auto"/>
        <w:ind w:right="566"/>
        <w:rPr>
          <w:szCs w:val="22"/>
          <w:lang w:val="pl-PL"/>
        </w:rPr>
      </w:pPr>
      <w:r>
        <w:rPr>
          <w:b/>
          <w:szCs w:val="22"/>
          <w:lang w:val="pl-PL"/>
        </w:rPr>
        <w:br w:type="page"/>
      </w: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jc w:val="center"/>
        <w:rPr>
          <w:b/>
          <w:szCs w:val="22"/>
          <w:highlight w:val="yellow"/>
          <w:lang w:val="pl-PL"/>
        </w:rPr>
      </w:pPr>
      <w:r>
        <w:rPr>
          <w:b/>
          <w:bCs/>
          <w:szCs w:val="22"/>
          <w:lang w:val="pl-PL"/>
        </w:rPr>
        <w:t>ANEKS III</w:t>
      </w:r>
      <w:r>
        <w:rPr>
          <w:b/>
          <w:szCs w:val="22"/>
          <w:highlight w:val="yellow"/>
          <w:lang w:val="pl-PL"/>
        </w:rPr>
        <w:fldChar w:fldCharType="begin"/>
      </w:r>
      <w:r>
        <w:rPr>
          <w:b/>
          <w:szCs w:val="22"/>
          <w:highlight w:val="yellow"/>
          <w:lang w:val="pl-PL"/>
        </w:rPr>
        <w:instrText xml:space="preserve"> DOCVARIABLE VAULT_ND_f2b9c496-8033-49d3-a8cb-6beec686580f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jc w:val="center"/>
        <w:rPr>
          <w:b/>
          <w:szCs w:val="22"/>
          <w:highlight w:val="yellow"/>
          <w:lang w:val="pl-PL"/>
        </w:rPr>
      </w:pPr>
    </w:p>
    <w:p>
      <w:pPr>
        <w:spacing w:line="240" w:lineRule="auto"/>
        <w:jc w:val="center"/>
        <w:rPr>
          <w:b/>
          <w:szCs w:val="22"/>
          <w:lang w:val="pl-PL"/>
        </w:rPr>
      </w:pPr>
      <w:r>
        <w:rPr>
          <w:b/>
          <w:bCs/>
          <w:szCs w:val="22"/>
          <w:lang w:val="pl-PL"/>
        </w:rPr>
        <w:t>OZNAKOWANIE OPAKOWAŃ I ULOTKA DLA PACJENTA</w:t>
      </w:r>
      <w:r>
        <w:rPr>
          <w:b/>
          <w:szCs w:val="22"/>
          <w:highlight w:val="yellow"/>
          <w:lang w:val="pl-PL"/>
        </w:rPr>
        <w:fldChar w:fldCharType="begin"/>
      </w:r>
      <w:r>
        <w:rPr>
          <w:b/>
          <w:szCs w:val="22"/>
          <w:highlight w:val="yellow"/>
          <w:lang w:val="pl-PL"/>
        </w:rPr>
        <w:instrText xml:space="preserve"> DOCVARIABLE VAULT_ND_acdf766e-556d-4a82-ac15-d24c3f05cdd1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b/>
          <w:szCs w:val="22"/>
          <w:lang w:val="pl-PL"/>
        </w:rPr>
      </w:pPr>
      <w:r>
        <w:rPr>
          <w:b/>
          <w:szCs w:val="22"/>
          <w:lang w:val="pl-PL"/>
        </w:rPr>
        <w:br w:type="page"/>
      </w: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pStyle w:val="TitleA"/>
      </w:pPr>
      <w:r>
        <w:t>A. OZNAKOWANIE OPAKOWAŃ</w:t>
      </w:r>
      <w:r>
        <w:rPr>
          <w:highlight w:val="yellow"/>
        </w:rPr>
        <w:fldChar w:fldCharType="begin"/>
      </w:r>
      <w:r>
        <w:rPr>
          <w:highlight w:val="yellow"/>
        </w:rPr>
        <w:instrText xml:space="preserve"> DOCVARIABLE VAULT_ND_58d03c74-3bbd-49c7-9587-a2dae2a615de \* MERGEFORMAT </w:instrText>
      </w:r>
      <w:r>
        <w:rPr>
          <w:highlight w:val="yellow"/>
        </w:rPr>
        <w:fldChar w:fldCharType="separate"/>
      </w:r>
      <w:r>
        <w:rPr>
          <w:highlight w:val="yellow"/>
        </w:rPr>
        <w:t xml:space="preserve"> </w:t>
      </w:r>
      <w:r>
        <w:rPr>
          <w:highlight w:val="yellow"/>
        </w:rPr>
        <w:fldChar w:fldCharType="end"/>
      </w:r>
    </w:p>
    <w:p>
      <w:pPr>
        <w:shd w:val="clear" w:color="auto" w:fill="FFFFFF"/>
        <w:spacing w:line="240" w:lineRule="auto"/>
        <w:rPr>
          <w:szCs w:val="22"/>
          <w:lang w:val="pl-PL"/>
        </w:rPr>
      </w:pPr>
      <w:r>
        <w:rPr>
          <w:szCs w:val="22"/>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lastRenderedPageBreak/>
        <w:t>INFORMACJE ZAMIESZCZANE NA OPAKOWANIACH ZEWNĘTRZNYCH</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p>
    <w:p>
      <w:pPr>
        <w:pBdr>
          <w:top w:val="single" w:sz="4" w:space="1" w:color="auto"/>
          <w:left w:val="single" w:sz="4" w:space="4" w:color="auto"/>
          <w:bottom w:val="single" w:sz="4" w:space="1" w:color="auto"/>
          <w:right w:val="single" w:sz="4" w:space="4" w:color="auto"/>
        </w:pBdr>
        <w:spacing w:line="240" w:lineRule="auto"/>
        <w:rPr>
          <w:szCs w:val="22"/>
          <w:lang w:val="pl-PL"/>
        </w:rPr>
      </w:pPr>
      <w:r>
        <w:rPr>
          <w:b/>
          <w:bCs/>
          <w:szCs w:val="22"/>
          <w:lang w:val="pl-PL"/>
        </w:rPr>
        <w:t>PUDEŁKO TEKTUROWE</w:t>
      </w:r>
    </w:p>
    <w:p>
      <w:pPr>
        <w:spacing w:line="240" w:lineRule="auto"/>
        <w:rPr>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1.</w:t>
      </w:r>
      <w:r>
        <w:rPr>
          <w:b/>
          <w:bCs/>
          <w:szCs w:val="22"/>
          <w:lang w:val="pl-PL"/>
        </w:rPr>
        <w:tab/>
        <w:t>NAZWA PRODUKTU LECZNICZEGO</w:t>
      </w:r>
      <w:r>
        <w:rPr>
          <w:b/>
          <w:lang w:val="pl-PL"/>
        </w:rPr>
        <w:fldChar w:fldCharType="begin"/>
      </w:r>
      <w:r>
        <w:rPr>
          <w:b/>
          <w:lang w:val="pl-PL"/>
        </w:rPr>
        <w:instrText xml:space="preserve"> DOCVARIABLE VAULT_ND_8698708a-95a1-4728-93d4-b03857bd3b92 \* MERGEFORMAT </w:instrText>
      </w:r>
      <w:r>
        <w:rPr>
          <w:b/>
          <w:lang w:val="pl-PL"/>
        </w:rPr>
        <w:fldChar w:fldCharType="separate"/>
      </w:r>
      <w:r>
        <w:rPr>
          <w:b/>
          <w:bCs/>
          <w:szCs w:val="22"/>
          <w:lang w:val="pl-PL"/>
        </w:rPr>
        <w:t xml:space="preserve"> </w:t>
      </w:r>
      <w:r>
        <w:rPr>
          <w:b/>
          <w:lang w:val="pl-PL"/>
        </w:rPr>
        <w:fldChar w:fldCharType="end"/>
      </w:r>
    </w:p>
    <w:p>
      <w:pPr>
        <w:spacing w:line="240" w:lineRule="auto"/>
        <w:rPr>
          <w:szCs w:val="22"/>
          <w:lang w:val="pl-PL"/>
        </w:rPr>
      </w:pPr>
    </w:p>
    <w:p>
      <w:pPr>
        <w:spacing w:line="240" w:lineRule="auto"/>
        <w:rPr>
          <w:szCs w:val="22"/>
          <w:lang w:val="pl-PL"/>
        </w:rPr>
      </w:pPr>
      <w:r>
        <w:rPr>
          <w:szCs w:val="22"/>
          <w:lang w:val="pl-PL"/>
        </w:rPr>
        <w:t>Sephience 250 mg proszek doustny w saszetce</w:t>
      </w:r>
    </w:p>
    <w:p>
      <w:pPr>
        <w:spacing w:line="240" w:lineRule="auto"/>
        <w:rPr>
          <w:b/>
          <w:szCs w:val="22"/>
          <w:lang w:val="pl-PL"/>
        </w:rPr>
      </w:pPr>
      <w:r>
        <w:rPr>
          <w:szCs w:val="22"/>
          <w:lang w:val="pl-PL"/>
        </w:rPr>
        <w:t>sepiapteryna</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2.</w:t>
      </w:r>
      <w:r>
        <w:rPr>
          <w:b/>
          <w:bCs/>
          <w:szCs w:val="22"/>
          <w:lang w:val="pl-PL"/>
        </w:rPr>
        <w:tab/>
        <w:t>ZAWARTOŚĆ SUBSTANCJI CZYNNEJ</w:t>
      </w:r>
      <w:r>
        <w:rPr>
          <w:b/>
          <w:szCs w:val="22"/>
          <w:lang w:val="pl-PL"/>
        </w:rPr>
        <w:fldChar w:fldCharType="begin"/>
      </w:r>
      <w:r>
        <w:rPr>
          <w:b/>
          <w:szCs w:val="22"/>
          <w:lang w:val="pl-PL"/>
        </w:rPr>
        <w:instrText xml:space="preserve"> DOCVARIABLE VAULT_ND_3d1e9f7c-7dc1-46b6-a23c-9120b450abbe \* MERGEFORMAT </w:instrText>
      </w:r>
      <w:r>
        <w:rPr>
          <w:b/>
          <w:szCs w:val="22"/>
          <w:lang w:val="pl-PL"/>
        </w:rPr>
        <w:fldChar w:fldCharType="separate"/>
      </w:r>
      <w:r>
        <w:rPr>
          <w:b/>
          <w:bCs/>
          <w:szCs w:val="22"/>
          <w:lang w:val="pl-PL"/>
        </w:rPr>
        <w:t xml:space="preserve"> </w:t>
      </w:r>
      <w:r>
        <w:rPr>
          <w:b/>
          <w:szCs w:val="22"/>
          <w:lang w:val="pl-PL"/>
        </w:rPr>
        <w:fldChar w:fldCharType="end"/>
      </w:r>
      <w:r>
        <w:rPr>
          <w:b/>
          <w:szCs w:val="22"/>
          <w:lang w:val="pl-PL"/>
        </w:rPr>
        <w:t>(SUBSTANCJI CZYNNYCH)</w:t>
      </w:r>
    </w:p>
    <w:p>
      <w:pPr>
        <w:spacing w:line="240" w:lineRule="auto"/>
        <w:rPr>
          <w:szCs w:val="22"/>
          <w:lang w:val="pl-PL"/>
        </w:rPr>
      </w:pPr>
    </w:p>
    <w:p>
      <w:pPr>
        <w:spacing w:line="240" w:lineRule="auto"/>
        <w:rPr>
          <w:szCs w:val="22"/>
          <w:lang w:val="pl-PL"/>
        </w:rPr>
      </w:pPr>
      <w:r>
        <w:rPr>
          <w:szCs w:val="22"/>
          <w:lang w:val="pl-PL"/>
        </w:rPr>
        <w:t>Każda saszetka zawiera 250 mg sepiapteryny.</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3.</w:t>
      </w:r>
      <w:r>
        <w:rPr>
          <w:b/>
          <w:bCs/>
          <w:szCs w:val="22"/>
          <w:lang w:val="pl-PL"/>
        </w:rPr>
        <w:tab/>
        <w:t>WYKAZ SUBSTANCJI POMOCNICZYCH</w:t>
      </w:r>
      <w:r>
        <w:rPr>
          <w:b/>
          <w:szCs w:val="22"/>
          <w:lang w:val="pl-PL"/>
        </w:rPr>
        <w:fldChar w:fldCharType="begin"/>
      </w:r>
      <w:r>
        <w:rPr>
          <w:b/>
          <w:szCs w:val="22"/>
          <w:lang w:val="pl-PL"/>
        </w:rPr>
        <w:instrText xml:space="preserve"> DOCVARIABLE VAULT_ND_28b7caca-7bb6-4b6f-a4d4-6f74ea4fce11 \* MERGEFORMAT </w:instrText>
      </w:r>
      <w:r>
        <w:rPr>
          <w:b/>
          <w:szCs w:val="22"/>
          <w:lang w:val="pl-PL"/>
        </w:rPr>
        <w:fldChar w:fldCharType="separate"/>
      </w:r>
      <w:r>
        <w:rPr>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r>
        <w:rPr>
          <w:szCs w:val="22"/>
          <w:lang w:val="pl-PL"/>
        </w:rPr>
        <w:t xml:space="preserve">Zawiera izomalt (E953). </w:t>
      </w:r>
      <w:r>
        <w:rPr>
          <w:szCs w:val="22"/>
          <w:highlight w:val="lightGray"/>
          <w:lang w:val="pl-PL"/>
        </w:rPr>
        <w:t>Więcej informacji można znaleźć w ulotce.</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4.</w:t>
      </w:r>
      <w:r>
        <w:rPr>
          <w:b/>
          <w:bCs/>
          <w:szCs w:val="22"/>
          <w:lang w:val="pl-PL"/>
        </w:rPr>
        <w:tab/>
        <w:t>POSTAĆ FARMACEUTYCZNA I ZAWARTOŚĆ OPAKOWANIA</w:t>
      </w:r>
      <w:r>
        <w:rPr>
          <w:b/>
          <w:szCs w:val="22"/>
          <w:lang w:val="pl-PL"/>
        </w:rPr>
        <w:fldChar w:fldCharType="begin"/>
      </w:r>
      <w:r>
        <w:rPr>
          <w:b/>
          <w:szCs w:val="22"/>
          <w:lang w:val="pl-PL"/>
        </w:rPr>
        <w:instrText xml:space="preserve"> DOCVARIABLE VAULT_ND_456c5bed-4dda-49fe-82a7-7d12523c2379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r>
        <w:rPr>
          <w:szCs w:val="22"/>
          <w:lang w:val="pl-PL"/>
        </w:rPr>
        <w:t>Proszek doustny</w:t>
      </w:r>
    </w:p>
    <w:p>
      <w:pPr>
        <w:spacing w:line="240" w:lineRule="auto"/>
        <w:rPr>
          <w:szCs w:val="22"/>
          <w:lang w:val="pl-PL"/>
        </w:rPr>
      </w:pPr>
      <w:r>
        <w:rPr>
          <w:szCs w:val="22"/>
          <w:lang w:val="pl-PL"/>
        </w:rPr>
        <w:t>30 saszetek</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5.</w:t>
      </w:r>
      <w:r>
        <w:rPr>
          <w:b/>
          <w:bCs/>
          <w:szCs w:val="22"/>
          <w:lang w:val="pl-PL"/>
        </w:rPr>
        <w:tab/>
        <w:t>SPOSÓB I DROGA (DROGI) PODANIA</w:t>
      </w:r>
      <w:r>
        <w:rPr>
          <w:b/>
          <w:szCs w:val="22"/>
          <w:lang w:val="pl-PL"/>
        </w:rPr>
        <w:fldChar w:fldCharType="begin"/>
      </w:r>
      <w:r>
        <w:rPr>
          <w:b/>
          <w:szCs w:val="22"/>
          <w:lang w:val="pl-PL"/>
        </w:rPr>
        <w:instrText xml:space="preserve"> DOCVARIABLE VAULT_ND_55eccff9-1859-4c3d-8689-fc4a2733bc85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r>
        <w:rPr>
          <w:szCs w:val="22"/>
          <w:lang w:val="pl-PL"/>
        </w:rPr>
        <w:t>Należy zapoznać się z treścią ulotki przed zastosowaniem leku.</w:t>
      </w:r>
    </w:p>
    <w:p>
      <w:pPr>
        <w:spacing w:line="240" w:lineRule="auto"/>
        <w:rPr>
          <w:szCs w:val="22"/>
          <w:lang w:val="pl-PL"/>
        </w:rPr>
      </w:pPr>
      <w:r>
        <w:rPr>
          <w:szCs w:val="22"/>
          <w:lang w:val="pl-PL"/>
        </w:rPr>
        <w:t>Podanie doustne.</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6.</w:t>
      </w:r>
      <w:r>
        <w:rPr>
          <w:b/>
          <w:bCs/>
          <w:szCs w:val="22"/>
          <w:lang w:val="pl-PL"/>
        </w:rPr>
        <w:tab/>
        <w:t>OSTRZEŻENIE DOTYCZĄCE PRZECHOWYWANIA PRODUKTU LECZNICZEGO W MIEJSCU NIEWIDOCZNYM I NIEDOSTĘPNYM DLA DZIECI</w:t>
      </w:r>
      <w:r>
        <w:rPr>
          <w:b/>
          <w:szCs w:val="22"/>
          <w:highlight w:val="yellow"/>
          <w:lang w:val="pl-PL"/>
        </w:rPr>
        <w:fldChar w:fldCharType="begin"/>
      </w:r>
      <w:r>
        <w:rPr>
          <w:b/>
          <w:szCs w:val="22"/>
          <w:highlight w:val="yellow"/>
          <w:lang w:val="pl-PL"/>
        </w:rPr>
        <w:instrText xml:space="preserve"> DOCVARIABLE VAULT_ND_f6db21ca-c433-4454-807c-ffee8a46ab96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szCs w:val="22"/>
          <w:lang w:val="pl-PL"/>
        </w:rPr>
      </w:pPr>
    </w:p>
    <w:p>
      <w:pPr>
        <w:spacing w:line="240" w:lineRule="auto"/>
        <w:rPr>
          <w:szCs w:val="22"/>
          <w:lang w:val="pl-PL"/>
        </w:rPr>
      </w:pPr>
      <w:r>
        <w:rPr>
          <w:szCs w:val="22"/>
          <w:lang w:val="pl-PL"/>
        </w:rPr>
        <w:t>Lek przechowywać w miejscu niewidocznym i niedostępnym dla dzieci.</w:t>
      </w:r>
      <w:r>
        <w:rPr>
          <w:szCs w:val="22"/>
          <w:highlight w:val="yellow"/>
          <w:lang w:val="pl-PL"/>
        </w:rPr>
        <w:fldChar w:fldCharType="begin"/>
      </w:r>
      <w:r>
        <w:rPr>
          <w:szCs w:val="22"/>
          <w:highlight w:val="yellow"/>
          <w:lang w:val="pl-PL"/>
        </w:rPr>
        <w:instrText xml:space="preserve"> DOCVARIABLE vault_nd_33970f40-4d10-4e78-9043-ef415487a022 \* MERGEFORMAT </w:instrText>
      </w:r>
      <w:r>
        <w:rPr>
          <w:szCs w:val="22"/>
          <w:highlight w:val="yellow"/>
          <w:lang w:val="pl-PL"/>
        </w:rPr>
        <w:fldChar w:fldCharType="separate"/>
      </w:r>
      <w:r>
        <w:rPr>
          <w:szCs w:val="22"/>
          <w:highlight w:val="yellow"/>
          <w:lang w:val="pl-PL"/>
        </w:rPr>
        <w:t xml:space="preserve"> </w:t>
      </w:r>
      <w:r>
        <w:rPr>
          <w:szCs w:val="22"/>
          <w:highlight w:val="yellow"/>
          <w:lang w:val="pl-PL"/>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7.</w:t>
      </w:r>
      <w:r>
        <w:rPr>
          <w:b/>
          <w:bCs/>
          <w:szCs w:val="22"/>
          <w:lang w:val="pl-PL"/>
        </w:rPr>
        <w:tab/>
        <w:t>INNE OSTRZEŻENIA SPECJALNE, JEŚLI KONIECZNE</w:t>
      </w:r>
      <w:r>
        <w:rPr>
          <w:b/>
          <w:szCs w:val="22"/>
          <w:lang w:val="pl-PL"/>
        </w:rPr>
        <w:fldChar w:fldCharType="begin"/>
      </w:r>
      <w:r>
        <w:rPr>
          <w:b/>
          <w:szCs w:val="22"/>
          <w:lang w:val="pl-PL"/>
        </w:rPr>
        <w:instrText xml:space="preserve"> DOCVARIABLE VAULT_ND_6624c09f-51e1-4601-84d1-dcd19bdfb3aa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tabs>
          <w:tab w:val="left" w:pos="749"/>
        </w:tabs>
        <w:spacing w:line="240" w:lineRule="auto"/>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8.</w:t>
      </w:r>
      <w:r>
        <w:rPr>
          <w:b/>
          <w:bCs/>
          <w:szCs w:val="22"/>
          <w:lang w:val="pl-PL"/>
        </w:rPr>
        <w:tab/>
        <w:t>TERMIN WAŻNOŚCI</w:t>
      </w:r>
      <w:r>
        <w:rPr>
          <w:b/>
          <w:lang w:val="pl-PL"/>
        </w:rPr>
        <w:fldChar w:fldCharType="begin"/>
      </w:r>
      <w:r>
        <w:rPr>
          <w:b/>
          <w:lang w:val="pl-PL"/>
        </w:rPr>
        <w:instrText xml:space="preserve"> DOCVARIABLE VAULT_ND_3b2853c3-91e8-4d8e-89e1-53b3c6775897 \* MERGEFORMAT </w:instrText>
      </w:r>
      <w:r>
        <w:rPr>
          <w:b/>
          <w:lang w:val="pl-PL"/>
        </w:rPr>
        <w:fldChar w:fldCharType="separate"/>
      </w:r>
      <w:r>
        <w:rPr>
          <w:b/>
          <w:bCs/>
          <w:szCs w:val="22"/>
          <w:lang w:val="pl-PL"/>
        </w:rPr>
        <w:t xml:space="preserve"> </w:t>
      </w:r>
      <w:r>
        <w:rPr>
          <w:b/>
          <w:lang w:val="pl-PL"/>
        </w:rPr>
        <w:fldChar w:fldCharType="end"/>
      </w:r>
    </w:p>
    <w:p>
      <w:pPr>
        <w:spacing w:line="240" w:lineRule="auto"/>
        <w:rPr>
          <w:lang w:val="pl-PL"/>
        </w:rPr>
      </w:pPr>
    </w:p>
    <w:p>
      <w:pPr>
        <w:spacing w:line="240" w:lineRule="auto"/>
        <w:rPr>
          <w:lang w:val="pl-PL"/>
        </w:rPr>
      </w:pPr>
      <w:r>
        <w:rPr>
          <w:szCs w:val="22"/>
          <w:lang w:val="pl-PL"/>
        </w:rPr>
        <w:t>Termin ważności (EXP)</w:t>
      </w:r>
    </w:p>
    <w:p>
      <w:pPr>
        <w:spacing w:line="240" w:lineRule="auto"/>
        <w:rPr>
          <w:lang w:val="pl-PL"/>
        </w:rPr>
      </w:pPr>
    </w:p>
    <w:p>
      <w:pPr>
        <w:spacing w:line="240" w:lineRule="auto"/>
        <w:rPr>
          <w:szCs w:val="22"/>
          <w:lang w:val="pl-PL"/>
        </w:rPr>
      </w:pPr>
      <w:r>
        <w:rPr>
          <w:szCs w:val="22"/>
          <w:lang w:val="pl-PL"/>
        </w:rPr>
        <w:t>Każdą dawkę należy podać natychmiast po rekonstytucji. Przygotowaną mieszaninę należy wyrzucić, jeśli nie została zużyta w ciągu 24 godzin, jeśli była przechowywana w lodówce (2°C do 8°C), lub w ciągu 6 godzin jeśli była przechowywana w temperaturze poniżej 25°C.</w:t>
      </w:r>
    </w:p>
    <w:p>
      <w:pPr>
        <w:spacing w:line="240" w:lineRule="auto"/>
        <w:rPr>
          <w:szCs w:val="22"/>
          <w:lang w:val="pl-PL"/>
        </w:rPr>
      </w:pPr>
    </w:p>
    <w:p>
      <w:pPr>
        <w:spacing w:line="240" w:lineRule="auto"/>
        <w:rPr>
          <w:szCs w:val="22"/>
          <w:lang w:val="pl-PL"/>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9.</w:t>
      </w:r>
      <w:r>
        <w:rPr>
          <w:b/>
          <w:bCs/>
          <w:szCs w:val="22"/>
          <w:lang w:val="pl-PL"/>
        </w:rPr>
        <w:tab/>
        <w:t>WARUNKI PRZECHOWYWANIA</w:t>
      </w:r>
      <w:r>
        <w:rPr>
          <w:b/>
          <w:szCs w:val="22"/>
          <w:lang w:val="pl-PL"/>
        </w:rPr>
        <w:fldChar w:fldCharType="begin"/>
      </w:r>
      <w:r>
        <w:rPr>
          <w:b/>
          <w:szCs w:val="22"/>
          <w:lang w:val="pl-PL"/>
        </w:rPr>
        <w:instrText xml:space="preserve"> DOCVARIABLE VAULT_ND_3601a9c7-ee2b-4e78-8c7f-c077cd68a5e7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tabs>
          <w:tab w:val="clear" w:pos="567"/>
          <w:tab w:val="left" w:pos="0"/>
        </w:tabs>
        <w:spacing w:line="240" w:lineRule="auto"/>
        <w:rPr>
          <w:szCs w:val="22"/>
          <w:lang w:val="pl-PL"/>
        </w:rPr>
      </w:pPr>
    </w:p>
    <w:p>
      <w:pPr>
        <w:tabs>
          <w:tab w:val="clear" w:pos="567"/>
          <w:tab w:val="left" w:pos="0"/>
        </w:tabs>
        <w:spacing w:line="240" w:lineRule="auto"/>
        <w:rPr>
          <w:szCs w:val="22"/>
          <w:lang w:val="pl-PL"/>
        </w:rPr>
      </w:pPr>
      <w:r>
        <w:rPr>
          <w:szCs w:val="22"/>
          <w:lang w:val="pl-PL"/>
        </w:rPr>
        <w:t>Przechowywać w oryginalnym opakowaniu w celu ochrony przed światłem.</w:t>
      </w:r>
    </w:p>
    <w:p>
      <w:pPr>
        <w:tabs>
          <w:tab w:val="clear" w:pos="567"/>
          <w:tab w:val="left" w:pos="0"/>
        </w:tabs>
        <w:spacing w:line="240" w:lineRule="auto"/>
        <w:rPr>
          <w:szCs w:val="22"/>
          <w:lang w:val="pl-PL"/>
        </w:rPr>
      </w:pPr>
    </w:p>
    <w:p>
      <w:pPr>
        <w:tabs>
          <w:tab w:val="clear" w:pos="567"/>
          <w:tab w:val="left" w:pos="0"/>
        </w:tabs>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10.</w:t>
      </w:r>
      <w:r>
        <w:rPr>
          <w:b/>
          <w:bCs/>
          <w:szCs w:val="22"/>
          <w:lang w:val="pl-PL"/>
        </w:rPr>
        <w:tab/>
        <w:t>SPECJALNE ŚRODKI OSTROŻNOŚCI DOTYCZĄCE USUWANIA NIEZUŻYTEGO PRODUKTU LECZNICZEGO LUB POCHODZĄCYCH Z NIEGO ODPADÓW, JEŚLI WŁAŚCIWE</w:t>
      </w:r>
      <w:r>
        <w:rPr>
          <w:b/>
          <w:szCs w:val="22"/>
          <w:highlight w:val="yellow"/>
          <w:lang w:val="pl-PL"/>
        </w:rPr>
        <w:fldChar w:fldCharType="begin"/>
      </w:r>
      <w:r>
        <w:rPr>
          <w:b/>
          <w:szCs w:val="22"/>
          <w:highlight w:val="yellow"/>
          <w:lang w:val="pl-PL"/>
        </w:rPr>
        <w:instrText xml:space="preserve"> DOCVARIABLE VAULT_ND_f173d885-4656-4bd5-b05f-cb99cbcd3477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11.</w:t>
      </w:r>
      <w:r>
        <w:rPr>
          <w:b/>
          <w:bCs/>
          <w:szCs w:val="22"/>
          <w:lang w:val="pl-PL"/>
        </w:rPr>
        <w:tab/>
        <w:t>NAZWA I ADRES PODMIOTU ODPOWIEDZIALNEGO</w:t>
      </w:r>
      <w:r>
        <w:rPr>
          <w:b/>
          <w:szCs w:val="22"/>
          <w:lang w:val="pl-PL"/>
        </w:rPr>
        <w:fldChar w:fldCharType="begin"/>
      </w:r>
      <w:r>
        <w:rPr>
          <w:b/>
          <w:szCs w:val="22"/>
          <w:lang w:val="pl-PL"/>
        </w:rPr>
        <w:instrText xml:space="preserve"> DOCVARIABLE VAULT_ND_e3c36f8a-0711-4a7e-b4be-4abd35e0d1ba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pStyle w:val="NormalWeb"/>
        <w:tabs>
          <w:tab w:val="left" w:pos="0"/>
        </w:tabs>
        <w:spacing w:before="0" w:beforeAutospacing="0" w:after="0" w:afterAutospacing="0"/>
        <w:rPr>
          <w:sz w:val="22"/>
          <w:lang w:val="pl-PL"/>
        </w:rPr>
      </w:pPr>
      <w:r>
        <w:rPr>
          <w:sz w:val="22"/>
          <w:lang w:val="pl-PL"/>
        </w:rPr>
        <w:t>PTC Therapeutics International Limited</w:t>
      </w:r>
    </w:p>
    <w:p>
      <w:pPr>
        <w:pStyle w:val="NormalWeb"/>
        <w:tabs>
          <w:tab w:val="left" w:pos="0"/>
        </w:tabs>
        <w:spacing w:before="0" w:beforeAutospacing="0" w:after="0" w:afterAutospacing="0"/>
        <w:rPr>
          <w:sz w:val="22"/>
          <w:szCs w:val="22"/>
          <w:lang w:val="en-GB"/>
        </w:rPr>
      </w:pPr>
      <w:r>
        <w:rPr>
          <w:sz w:val="22"/>
          <w:szCs w:val="22"/>
          <w:lang w:val="en-GB"/>
        </w:rPr>
        <w:t xml:space="preserve">Unit 1, 52-55 Sir John Rogerson’s Quay, </w:t>
      </w:r>
    </w:p>
    <w:p>
      <w:pPr>
        <w:pStyle w:val="NormalWeb"/>
        <w:tabs>
          <w:tab w:val="left" w:pos="0"/>
        </w:tabs>
        <w:spacing w:before="0" w:beforeAutospacing="0" w:after="0" w:afterAutospacing="0"/>
        <w:rPr>
          <w:sz w:val="22"/>
          <w:szCs w:val="22"/>
          <w:lang w:val="pl-PL"/>
        </w:rPr>
      </w:pPr>
      <w:r>
        <w:rPr>
          <w:sz w:val="22"/>
          <w:szCs w:val="22"/>
          <w:lang w:val="pl-PL"/>
        </w:rPr>
        <w:t>Dublin 2, D02 NA07,</w:t>
      </w:r>
    </w:p>
    <w:p>
      <w:pPr>
        <w:pStyle w:val="NormalWeb"/>
        <w:tabs>
          <w:tab w:val="left" w:pos="0"/>
        </w:tabs>
        <w:spacing w:before="0" w:beforeAutospacing="0" w:after="0" w:afterAutospacing="0"/>
        <w:rPr>
          <w:sz w:val="22"/>
          <w:szCs w:val="22"/>
          <w:lang w:val="pl-PL"/>
        </w:rPr>
      </w:pPr>
      <w:r>
        <w:rPr>
          <w:sz w:val="22"/>
          <w:szCs w:val="22"/>
          <w:lang w:val="pl-PL"/>
        </w:rPr>
        <w:t>Irlandia</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12.</w:t>
      </w:r>
      <w:r>
        <w:rPr>
          <w:b/>
          <w:bCs/>
          <w:szCs w:val="22"/>
          <w:lang w:val="pl-PL"/>
        </w:rPr>
        <w:tab/>
        <w:t>NUMER POZWOLENIA (NUMERY POZWOLEŃ) NA DOPUSZCZENIE DO OBROTU</w:t>
      </w:r>
      <w:r>
        <w:rPr>
          <w:b/>
          <w:szCs w:val="22"/>
          <w:lang w:val="pl-PL"/>
        </w:rPr>
        <w:fldChar w:fldCharType="begin"/>
      </w:r>
      <w:r>
        <w:rPr>
          <w:b/>
          <w:szCs w:val="22"/>
          <w:lang w:val="pl-PL"/>
        </w:rPr>
        <w:instrText xml:space="preserve"> DOCVARIABLE VAULT_ND_dfdfb262-eeed-400a-9174-18bac1359e00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tabs>
          <w:tab w:val="clear" w:pos="567"/>
        </w:tabs>
        <w:autoSpaceDE w:val="0"/>
        <w:autoSpaceDN w:val="0"/>
        <w:adjustRightInd w:val="0"/>
        <w:spacing w:line="240" w:lineRule="auto"/>
        <w:rPr>
          <w:rFonts w:eastAsia="SimSun"/>
          <w:szCs w:val="22"/>
          <w:lang w:eastAsia="en-GB"/>
        </w:rPr>
      </w:pPr>
      <w:r>
        <w:rPr>
          <w:rFonts w:eastAsia="SimSun"/>
          <w:szCs w:val="22"/>
          <w:lang w:eastAsia="en-GB"/>
        </w:rPr>
        <w:t>EU/1/25/1939/001</w:t>
      </w:r>
    </w:p>
    <w:p>
      <w:pPr>
        <w:spacing w:line="240" w:lineRule="auto"/>
        <w:rPr>
          <w:rFonts w:eastAsia="SimSun"/>
          <w:szCs w:val="22"/>
          <w:lang w:eastAsia="en-GB"/>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13.</w:t>
      </w:r>
      <w:r>
        <w:rPr>
          <w:b/>
          <w:bCs/>
          <w:szCs w:val="22"/>
        </w:rPr>
        <w:tab/>
        <w:t>NUMER SERII</w:t>
      </w:r>
    </w:p>
    <w:p>
      <w:pPr>
        <w:spacing w:line="240" w:lineRule="auto"/>
        <w:rPr>
          <w:i/>
          <w:szCs w:val="22"/>
        </w:rPr>
      </w:pPr>
    </w:p>
    <w:p>
      <w:pPr>
        <w:spacing w:line="240" w:lineRule="auto"/>
        <w:rPr>
          <w:szCs w:val="22"/>
        </w:rPr>
      </w:pPr>
      <w:r>
        <w:rPr>
          <w:szCs w:val="22"/>
        </w:rPr>
        <w:t>Nr serii (Lot)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14.</w:t>
      </w:r>
      <w:r>
        <w:rPr>
          <w:b/>
          <w:bCs/>
          <w:szCs w:val="22"/>
          <w:lang w:val="pl-PL"/>
        </w:rPr>
        <w:tab/>
        <w:t>OGÓLNA KATEGORIA DOSTĘPNOŚCI</w:t>
      </w:r>
      <w:r>
        <w:rPr>
          <w:b/>
          <w:szCs w:val="22"/>
          <w:lang w:val="pl-PL"/>
        </w:rPr>
        <w:fldChar w:fldCharType="begin"/>
      </w:r>
      <w:r>
        <w:rPr>
          <w:b/>
          <w:szCs w:val="22"/>
          <w:lang w:val="pl-PL"/>
        </w:rPr>
        <w:instrText xml:space="preserve"> DOCVARIABLE VAULT_ND_981f0308-3f59-43aa-9686-a4b4cac2aebf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15.</w:t>
      </w:r>
      <w:r>
        <w:rPr>
          <w:b/>
          <w:bCs/>
          <w:szCs w:val="22"/>
          <w:lang w:val="pl-PL"/>
        </w:rPr>
        <w:tab/>
        <w:t>INSTRUKCJA UŻYCIA</w:t>
      </w:r>
      <w:r>
        <w:rPr>
          <w:b/>
          <w:szCs w:val="22"/>
          <w:lang w:val="pl-PL"/>
        </w:rPr>
        <w:fldChar w:fldCharType="begin"/>
      </w:r>
      <w:r>
        <w:rPr>
          <w:b/>
          <w:szCs w:val="22"/>
          <w:lang w:val="pl-PL"/>
        </w:rPr>
        <w:instrText xml:space="preserve"> DOCVARIABLE VAULT_ND_c6e4db47-3fe0-46cc-a945-7e6b504c930d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pl-PL"/>
        </w:rPr>
      </w:pPr>
      <w:r>
        <w:rPr>
          <w:b/>
          <w:bCs/>
          <w:szCs w:val="22"/>
          <w:lang w:val="pl-PL"/>
        </w:rPr>
        <w:t>16.</w:t>
      </w:r>
      <w:r>
        <w:rPr>
          <w:b/>
          <w:bCs/>
          <w:szCs w:val="22"/>
          <w:lang w:val="pl-PL"/>
        </w:rPr>
        <w:tab/>
        <w:t>INFORMACJA PODANA SYSTEMEM BRAILLE’A</w:t>
      </w:r>
    </w:p>
    <w:p>
      <w:pPr>
        <w:spacing w:line="240" w:lineRule="auto"/>
        <w:rPr>
          <w:szCs w:val="22"/>
          <w:lang w:val="pl-PL"/>
        </w:rPr>
      </w:pPr>
    </w:p>
    <w:p>
      <w:pPr>
        <w:spacing w:line="240" w:lineRule="auto"/>
        <w:rPr>
          <w:szCs w:val="22"/>
          <w:shd w:val="clear" w:color="auto" w:fill="CCCCCC"/>
          <w:lang w:val="pl-PL"/>
        </w:rPr>
      </w:pPr>
      <w:r>
        <w:rPr>
          <w:szCs w:val="22"/>
          <w:lang w:val="pl-PL"/>
        </w:rPr>
        <w:t>Sephience 250 mg</w:t>
      </w:r>
    </w:p>
    <w:p>
      <w:pPr>
        <w:spacing w:line="240" w:lineRule="auto"/>
        <w:rPr>
          <w:szCs w:val="22"/>
          <w:shd w:val="clear" w:color="auto" w:fill="CCCCCC"/>
          <w:lang w:val="pl-PL"/>
        </w:rPr>
      </w:pPr>
    </w:p>
    <w:p>
      <w:pPr>
        <w:spacing w:line="240" w:lineRule="auto"/>
        <w:rPr>
          <w:szCs w:val="22"/>
          <w:shd w:val="clear" w:color="auto" w:fill="CCCCCC"/>
          <w:lang w:val="pl-PL"/>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l-PL"/>
        </w:rPr>
      </w:pPr>
      <w:r>
        <w:rPr>
          <w:b/>
          <w:bCs/>
          <w:szCs w:val="22"/>
          <w:lang w:val="pl-PL"/>
        </w:rPr>
        <w:t>17.</w:t>
      </w:r>
      <w:r>
        <w:rPr>
          <w:b/>
          <w:bCs/>
          <w:szCs w:val="22"/>
          <w:lang w:val="pl-PL"/>
        </w:rPr>
        <w:tab/>
        <w:t>NIEPOWTARZALNY IDENTYFIKATOR – KOD 2D</w:t>
      </w:r>
    </w:p>
    <w:p>
      <w:pPr>
        <w:tabs>
          <w:tab w:val="clear" w:pos="567"/>
        </w:tabs>
        <w:spacing w:line="240" w:lineRule="auto"/>
        <w:rPr>
          <w:lang w:val="pl-PL"/>
        </w:rPr>
      </w:pPr>
    </w:p>
    <w:p>
      <w:pPr>
        <w:spacing w:line="240" w:lineRule="auto"/>
        <w:rPr>
          <w:szCs w:val="22"/>
          <w:lang w:val="pl-PL"/>
        </w:rPr>
      </w:pPr>
      <w:r>
        <w:rPr>
          <w:szCs w:val="22"/>
          <w:lang w:val="pl-PL"/>
        </w:rPr>
        <w:t>Obejmuje kod 2D będący nośnikiem niepowtarzalnego identyfikatora.</w:t>
      </w:r>
    </w:p>
    <w:p>
      <w:pPr>
        <w:tabs>
          <w:tab w:val="clear" w:pos="567"/>
        </w:tabs>
        <w:spacing w:line="240" w:lineRule="auto"/>
        <w:rPr>
          <w:lang w:val="pl-PL"/>
        </w:rPr>
      </w:pPr>
    </w:p>
    <w:p>
      <w:pPr>
        <w:tabs>
          <w:tab w:val="clear" w:pos="567"/>
        </w:tabs>
        <w:spacing w:line="240" w:lineRule="auto"/>
        <w:rPr>
          <w:lang w:val="pl-PL"/>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l-PL"/>
        </w:rPr>
      </w:pPr>
      <w:r>
        <w:rPr>
          <w:b/>
          <w:bCs/>
          <w:szCs w:val="22"/>
          <w:lang w:val="pl-PL"/>
        </w:rPr>
        <w:t>18.</w:t>
      </w:r>
      <w:r>
        <w:rPr>
          <w:b/>
          <w:bCs/>
          <w:szCs w:val="22"/>
          <w:lang w:val="pl-PL"/>
        </w:rPr>
        <w:tab/>
        <w:t>NIEPOWTARZALNY IDENTYFIKATOR – DANE CZYTELNE DLA CZŁOWIEKA</w:t>
      </w:r>
    </w:p>
    <w:p>
      <w:pPr>
        <w:tabs>
          <w:tab w:val="clear" w:pos="567"/>
        </w:tabs>
        <w:spacing w:line="240" w:lineRule="auto"/>
        <w:rPr>
          <w:lang w:val="pl-PL"/>
        </w:rPr>
      </w:pPr>
    </w:p>
    <w:p>
      <w:pPr>
        <w:spacing w:line="240" w:lineRule="auto"/>
        <w:rPr>
          <w:color w:val="008000"/>
          <w:szCs w:val="22"/>
          <w:lang w:val="pl-PL"/>
        </w:rPr>
      </w:pPr>
      <w:r>
        <w:rPr>
          <w:szCs w:val="22"/>
          <w:lang w:val="pl-PL"/>
        </w:rPr>
        <w:t>PC</w:t>
      </w:r>
    </w:p>
    <w:p>
      <w:pPr>
        <w:spacing w:line="240" w:lineRule="auto"/>
        <w:rPr>
          <w:szCs w:val="22"/>
          <w:lang w:val="pl-PL"/>
        </w:rPr>
      </w:pPr>
      <w:r>
        <w:rPr>
          <w:szCs w:val="22"/>
          <w:lang w:val="pl-PL"/>
        </w:rPr>
        <w:t>SN</w:t>
      </w:r>
    </w:p>
    <w:p>
      <w:pPr>
        <w:spacing w:line="240" w:lineRule="auto"/>
        <w:rPr>
          <w:szCs w:val="22"/>
          <w:lang w:val="pl-PL"/>
        </w:rPr>
      </w:pPr>
      <w:r>
        <w:rPr>
          <w:szCs w:val="22"/>
          <w:lang w:val="pl-PL"/>
        </w:rPr>
        <w:t>NN</w:t>
      </w:r>
    </w:p>
    <w:p>
      <w:pPr>
        <w:spacing w:line="240" w:lineRule="auto"/>
        <w:rPr>
          <w:szCs w:val="22"/>
          <w:lang w:val="pl-PL"/>
        </w:rPr>
      </w:pPr>
    </w:p>
    <w:p>
      <w:pPr>
        <w:spacing w:line="240" w:lineRule="auto"/>
        <w:rPr>
          <w:szCs w:val="22"/>
          <w:lang w:val="pl-PL"/>
        </w:rPr>
      </w:pPr>
    </w:p>
    <w:p>
      <w:pPr>
        <w:spacing w:line="240" w:lineRule="auto"/>
        <w:rPr>
          <w:b/>
          <w:szCs w:val="22"/>
          <w:lang w:val="pl-PL"/>
        </w:rPr>
      </w:pPr>
      <w:r>
        <w:rPr>
          <w:szCs w:val="22"/>
          <w:shd w:val="clear" w:color="auto" w:fill="CCCCCC"/>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lastRenderedPageBreak/>
        <w:t>MINIMUM INFORMACJI ZAMIESZCZANYCH NA MAŁYCH OPAKOWANIACH BEZPOŚREDNICH</w:t>
      </w:r>
    </w:p>
    <w:p>
      <w:pPr>
        <w:pBdr>
          <w:top w:val="single" w:sz="4" w:space="1" w:color="auto"/>
          <w:left w:val="single" w:sz="4" w:space="4" w:color="auto"/>
          <w:bottom w:val="single" w:sz="4" w:space="1" w:color="auto"/>
          <w:right w:val="single" w:sz="4" w:space="4" w:color="auto"/>
        </w:pBdr>
        <w:spacing w:line="240" w:lineRule="auto"/>
        <w:rPr>
          <w:b/>
          <w:szCs w:val="22"/>
          <w:lang w:val="pl-PL"/>
        </w:rPr>
      </w:pP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t>SASZETKA Z FOLII ALUMINIOWEJ</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1.</w:t>
      </w:r>
      <w:r>
        <w:rPr>
          <w:b/>
          <w:bCs/>
          <w:szCs w:val="22"/>
          <w:lang w:val="pl-PL"/>
        </w:rPr>
        <w:tab/>
        <w:t>NAZWA PRODUKTU LECZNICZEGO I DROGA (DROGI) PODANIA</w:t>
      </w:r>
      <w:r>
        <w:rPr>
          <w:b/>
          <w:szCs w:val="22"/>
          <w:lang w:val="pl-PL"/>
        </w:rPr>
        <w:fldChar w:fldCharType="begin"/>
      </w:r>
      <w:r>
        <w:rPr>
          <w:b/>
          <w:szCs w:val="22"/>
          <w:lang w:val="pl-PL"/>
        </w:rPr>
        <w:instrText xml:space="preserve"> DOCVARIABLE VAULT_ND_6ea353ec-fc5d-4f28-af33-f567a49a84d4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ind w:left="567" w:hanging="567"/>
        <w:rPr>
          <w:szCs w:val="22"/>
          <w:lang w:val="pl-PL"/>
        </w:rPr>
      </w:pPr>
    </w:p>
    <w:p>
      <w:pPr>
        <w:spacing w:line="240" w:lineRule="auto"/>
        <w:rPr>
          <w:szCs w:val="22"/>
          <w:lang w:val="pl-PL"/>
        </w:rPr>
      </w:pPr>
      <w:r>
        <w:rPr>
          <w:szCs w:val="22"/>
          <w:lang w:val="pl-PL"/>
        </w:rPr>
        <w:t>Sephience 250 mg proszek doustny w saszetce</w:t>
      </w:r>
    </w:p>
    <w:p>
      <w:pPr>
        <w:spacing w:line="240" w:lineRule="auto"/>
        <w:rPr>
          <w:szCs w:val="22"/>
          <w:lang w:val="pl-PL"/>
        </w:rPr>
      </w:pPr>
      <w:r>
        <w:rPr>
          <w:szCs w:val="22"/>
          <w:lang w:val="pl-PL"/>
        </w:rPr>
        <w:t>sepiapteryna</w:t>
      </w:r>
    </w:p>
    <w:p>
      <w:pPr>
        <w:spacing w:line="240" w:lineRule="auto"/>
        <w:rPr>
          <w:szCs w:val="22"/>
          <w:lang w:val="pl-PL"/>
        </w:rPr>
      </w:pPr>
      <w:r>
        <w:rPr>
          <w:szCs w:val="22"/>
          <w:lang w:val="pl-PL"/>
        </w:rPr>
        <w:t>Podanie doustne</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2.</w:t>
      </w:r>
      <w:r>
        <w:rPr>
          <w:b/>
          <w:bCs/>
          <w:szCs w:val="22"/>
          <w:lang w:val="pl-PL"/>
        </w:rPr>
        <w:tab/>
        <w:t>SPOSÓB PODAWANIA</w:t>
      </w:r>
      <w:r>
        <w:rPr>
          <w:b/>
          <w:szCs w:val="22"/>
          <w:lang w:val="pl-PL"/>
        </w:rPr>
        <w:fldChar w:fldCharType="begin"/>
      </w:r>
      <w:r>
        <w:rPr>
          <w:b/>
          <w:szCs w:val="22"/>
          <w:lang w:val="pl-PL"/>
        </w:rPr>
        <w:instrText xml:space="preserve"> DOCVARIABLE VAULT_ND_4a5c3b14-1ab7-4aad-be13-79c6707f1b28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3.</w:t>
      </w:r>
      <w:r>
        <w:rPr>
          <w:b/>
          <w:bCs/>
          <w:szCs w:val="22"/>
          <w:lang w:val="pl-PL"/>
        </w:rPr>
        <w:tab/>
        <w:t>TERMIN WAŻNOŚCI</w:t>
      </w:r>
      <w:r>
        <w:rPr>
          <w:b/>
          <w:szCs w:val="22"/>
          <w:lang w:val="pl-PL"/>
        </w:rPr>
        <w:fldChar w:fldCharType="begin"/>
      </w:r>
      <w:r>
        <w:rPr>
          <w:b/>
          <w:szCs w:val="22"/>
          <w:lang w:val="pl-PL"/>
        </w:rPr>
        <w:instrText xml:space="preserve"> DOCVARIABLE VAULT_ND_6674c304-9de1-464e-a2b0-a57cc48e68a8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lang w:val="pl-PL"/>
        </w:rPr>
      </w:pPr>
    </w:p>
    <w:p>
      <w:pPr>
        <w:spacing w:line="240" w:lineRule="auto"/>
        <w:rPr>
          <w:lang w:val="pl-PL"/>
        </w:rPr>
      </w:pPr>
      <w:r>
        <w:rPr>
          <w:szCs w:val="22"/>
          <w:lang w:val="pl-PL"/>
        </w:rPr>
        <w:t>EXP:</w:t>
      </w:r>
    </w:p>
    <w:p>
      <w:pPr>
        <w:spacing w:line="240" w:lineRule="auto"/>
        <w:rPr>
          <w:lang w:val="pl-PL"/>
        </w:rPr>
      </w:pPr>
    </w:p>
    <w:p>
      <w:pPr>
        <w:spacing w:line="240" w:lineRule="auto"/>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Pr>
          <w:b/>
          <w:bCs/>
          <w:szCs w:val="22"/>
          <w:lang w:val="pl-PL"/>
        </w:rPr>
        <w:t>4.</w:t>
      </w:r>
      <w:r>
        <w:rPr>
          <w:b/>
          <w:bCs/>
          <w:szCs w:val="22"/>
          <w:lang w:val="pl-PL"/>
        </w:rPr>
        <w:tab/>
        <w:t>NUMER SERII</w:t>
      </w:r>
    </w:p>
    <w:p>
      <w:pPr>
        <w:spacing w:line="240" w:lineRule="auto"/>
        <w:ind w:right="113"/>
        <w:rPr>
          <w:lang w:val="pl-PL"/>
        </w:rPr>
      </w:pPr>
    </w:p>
    <w:p>
      <w:pPr>
        <w:spacing w:line="240" w:lineRule="auto"/>
        <w:ind w:right="113"/>
        <w:rPr>
          <w:lang w:val="pl-PL"/>
        </w:rPr>
      </w:pPr>
      <w:r>
        <w:rPr>
          <w:szCs w:val="22"/>
          <w:lang w:val="pl-PL"/>
        </w:rPr>
        <w:t>Lot:</w:t>
      </w:r>
    </w:p>
    <w:p>
      <w:pPr>
        <w:spacing w:line="240" w:lineRule="auto"/>
        <w:ind w:right="113"/>
        <w:rPr>
          <w:lang w:val="pl-PL"/>
        </w:rPr>
      </w:pPr>
    </w:p>
    <w:p>
      <w:pPr>
        <w:spacing w:line="240" w:lineRule="auto"/>
        <w:ind w:right="113"/>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5.</w:t>
      </w:r>
      <w:r>
        <w:rPr>
          <w:b/>
          <w:bCs/>
          <w:szCs w:val="22"/>
          <w:lang w:val="pl-PL"/>
        </w:rPr>
        <w:tab/>
        <w:t>ZAWARTOŚĆ OPAKOWANIA Z PODANIEM MASY, OBJĘTOŚCI LUB LICZBY JEDNOSTEK</w:t>
      </w:r>
      <w:r>
        <w:rPr>
          <w:b/>
          <w:szCs w:val="22"/>
          <w:highlight w:val="yellow"/>
          <w:lang w:val="pl-PL"/>
        </w:rPr>
        <w:fldChar w:fldCharType="begin"/>
      </w:r>
      <w:r>
        <w:rPr>
          <w:b/>
          <w:szCs w:val="22"/>
          <w:highlight w:val="yellow"/>
          <w:lang w:val="pl-PL"/>
        </w:rPr>
        <w:instrText xml:space="preserve"> DOCVARIABLE VAULT_ND_6b4a62b8-8903-484d-a2a1-17b7684c58f2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right="113"/>
        <w:rPr>
          <w:szCs w:val="22"/>
          <w:lang w:val="pl-PL"/>
        </w:rPr>
      </w:pPr>
    </w:p>
    <w:p>
      <w:pPr>
        <w:spacing w:line="240" w:lineRule="auto"/>
        <w:ind w:right="113"/>
        <w:rPr>
          <w:szCs w:val="22"/>
          <w:lang w:val="pl-PL"/>
        </w:rPr>
      </w:pPr>
      <w:r>
        <w:rPr>
          <w:szCs w:val="22"/>
          <w:lang w:val="pl-PL"/>
        </w:rPr>
        <w:t>250 mg</w:t>
      </w:r>
    </w:p>
    <w:p>
      <w:pPr>
        <w:spacing w:line="240" w:lineRule="auto"/>
        <w:ind w:right="113"/>
        <w:rPr>
          <w:szCs w:val="22"/>
          <w:lang w:val="pl-PL"/>
        </w:rPr>
      </w:pPr>
    </w:p>
    <w:p>
      <w:pPr>
        <w:spacing w:line="240" w:lineRule="auto"/>
        <w:ind w:right="113"/>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6.</w:t>
      </w:r>
      <w:r>
        <w:rPr>
          <w:b/>
          <w:bCs/>
          <w:szCs w:val="22"/>
          <w:lang w:val="pl-PL"/>
        </w:rPr>
        <w:tab/>
        <w:t>INNE</w:t>
      </w:r>
      <w:r>
        <w:rPr>
          <w:b/>
          <w:szCs w:val="22"/>
          <w:highlight w:val="yellow"/>
          <w:lang w:val="pl-PL"/>
        </w:rPr>
        <w:fldChar w:fldCharType="begin"/>
      </w:r>
      <w:r>
        <w:rPr>
          <w:b/>
          <w:szCs w:val="22"/>
          <w:highlight w:val="yellow"/>
          <w:lang w:val="pl-PL"/>
        </w:rPr>
        <w:instrText xml:space="preserve"> DOCVARIABLE VAULT_ND_dffcf502-a091-44dc-a2c2-31b339db862c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right="113"/>
        <w:rPr>
          <w:szCs w:val="22"/>
          <w:lang w:val="pl-PL"/>
        </w:rPr>
      </w:pPr>
    </w:p>
    <w:p>
      <w:pPr>
        <w:spacing w:line="240" w:lineRule="auto"/>
        <w:ind w:right="113"/>
        <w:rPr>
          <w:lang w:val="pl-PL"/>
        </w:rPr>
      </w:pPr>
    </w:p>
    <w:p>
      <w:pPr>
        <w:spacing w:line="240" w:lineRule="auto"/>
        <w:ind w:right="113"/>
        <w:rPr>
          <w:lang w:val="pl-PL"/>
        </w:rPr>
      </w:pPr>
    </w:p>
    <w:p>
      <w:pPr>
        <w:spacing w:line="240" w:lineRule="auto"/>
        <w:rPr>
          <w:b/>
          <w:lang w:val="pl-PL"/>
        </w:rPr>
      </w:pPr>
      <w:r>
        <w:rPr>
          <w:b/>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lastRenderedPageBreak/>
        <w:t>INFORMACJE ZAMIESZCZANE NA OPAKOWANIACH ZEWNĘTRZNYCH</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p>
    <w:p>
      <w:pPr>
        <w:pBdr>
          <w:top w:val="single" w:sz="4" w:space="1" w:color="auto"/>
          <w:left w:val="single" w:sz="4" w:space="4" w:color="auto"/>
          <w:bottom w:val="single" w:sz="4" w:space="1" w:color="auto"/>
          <w:right w:val="single" w:sz="4" w:space="4" w:color="auto"/>
        </w:pBdr>
        <w:spacing w:line="240" w:lineRule="auto"/>
        <w:rPr>
          <w:szCs w:val="22"/>
          <w:lang w:val="pl-PL"/>
        </w:rPr>
      </w:pPr>
      <w:r>
        <w:rPr>
          <w:b/>
          <w:bCs/>
          <w:szCs w:val="22"/>
          <w:lang w:val="pl-PL"/>
        </w:rPr>
        <w:t>Pudełko tekturowe</w:t>
      </w:r>
    </w:p>
    <w:p>
      <w:pPr>
        <w:spacing w:line="240" w:lineRule="auto"/>
        <w:rPr>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1.</w:t>
      </w:r>
      <w:r>
        <w:rPr>
          <w:b/>
          <w:bCs/>
          <w:szCs w:val="22"/>
          <w:lang w:val="pl-PL"/>
        </w:rPr>
        <w:tab/>
        <w:t>NAZWA PRODUKTU LECZNICZEGO</w:t>
      </w:r>
      <w:r>
        <w:rPr>
          <w:b/>
          <w:lang w:val="pl-PL"/>
        </w:rPr>
        <w:fldChar w:fldCharType="begin"/>
      </w:r>
      <w:r>
        <w:rPr>
          <w:b/>
          <w:lang w:val="pl-PL"/>
        </w:rPr>
        <w:instrText xml:space="preserve"> DOCVARIABLE VAULT_ND_0893534f-f662-489c-aa07-d8e55ccf6f80 \* MERGEFORMAT </w:instrText>
      </w:r>
      <w:r>
        <w:rPr>
          <w:b/>
          <w:lang w:val="pl-PL"/>
        </w:rPr>
        <w:fldChar w:fldCharType="separate"/>
      </w:r>
      <w:r>
        <w:rPr>
          <w:b/>
          <w:bCs/>
          <w:szCs w:val="22"/>
          <w:lang w:val="pl-PL"/>
        </w:rPr>
        <w:t xml:space="preserve"> </w:t>
      </w:r>
      <w:r>
        <w:rPr>
          <w:b/>
          <w:lang w:val="pl-PL"/>
        </w:rPr>
        <w:fldChar w:fldCharType="end"/>
      </w:r>
    </w:p>
    <w:p>
      <w:pPr>
        <w:spacing w:line="240" w:lineRule="auto"/>
        <w:rPr>
          <w:szCs w:val="22"/>
          <w:lang w:val="pl-PL"/>
        </w:rPr>
      </w:pPr>
    </w:p>
    <w:p>
      <w:pPr>
        <w:spacing w:line="240" w:lineRule="auto"/>
        <w:rPr>
          <w:szCs w:val="22"/>
          <w:lang w:val="pl-PL"/>
        </w:rPr>
      </w:pPr>
      <w:r>
        <w:rPr>
          <w:szCs w:val="22"/>
          <w:lang w:val="pl-PL"/>
        </w:rPr>
        <w:t>Sephience 1 000 mg proszek doustny w saszetce</w:t>
      </w:r>
    </w:p>
    <w:p>
      <w:pPr>
        <w:spacing w:line="240" w:lineRule="auto"/>
        <w:rPr>
          <w:b/>
          <w:szCs w:val="22"/>
          <w:lang w:val="pl-PL"/>
        </w:rPr>
      </w:pPr>
      <w:r>
        <w:rPr>
          <w:szCs w:val="22"/>
          <w:lang w:val="pl-PL"/>
        </w:rPr>
        <w:t>sepiapteryna</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2.</w:t>
      </w:r>
      <w:r>
        <w:rPr>
          <w:b/>
          <w:bCs/>
          <w:szCs w:val="22"/>
          <w:lang w:val="pl-PL"/>
        </w:rPr>
        <w:tab/>
        <w:t>ZAWARTOŚĆ SUBSTANCJI CZYNNEJ (SUBSTANCJI CZYNNYCH)</w:t>
      </w:r>
      <w:r>
        <w:rPr>
          <w:b/>
          <w:szCs w:val="22"/>
          <w:highlight w:val="yellow"/>
          <w:lang w:val="pl-PL"/>
        </w:rPr>
        <w:fldChar w:fldCharType="begin"/>
      </w:r>
      <w:r>
        <w:rPr>
          <w:b/>
          <w:szCs w:val="22"/>
          <w:highlight w:val="yellow"/>
          <w:lang w:val="pl-PL"/>
        </w:rPr>
        <w:instrText xml:space="preserve"> DOCVARIABLE VAULT_ND_926877e5-7076-41b2-9804-e8793ae98875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szCs w:val="22"/>
          <w:lang w:val="pl-PL"/>
        </w:rPr>
      </w:pPr>
    </w:p>
    <w:p>
      <w:pPr>
        <w:spacing w:line="240" w:lineRule="auto"/>
        <w:rPr>
          <w:szCs w:val="22"/>
          <w:lang w:val="pl-PL"/>
        </w:rPr>
      </w:pPr>
      <w:r>
        <w:rPr>
          <w:szCs w:val="22"/>
          <w:lang w:val="pl-PL"/>
        </w:rPr>
        <w:t>Każda saszetka zawiera 1 000 mg sepiapteryny.</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3.</w:t>
      </w:r>
      <w:r>
        <w:rPr>
          <w:b/>
          <w:bCs/>
          <w:szCs w:val="22"/>
          <w:lang w:val="pl-PL"/>
        </w:rPr>
        <w:tab/>
        <w:t>WYKAZ SUBSTANCJI POMOCNICZYCH</w:t>
      </w:r>
      <w:r>
        <w:rPr>
          <w:b/>
          <w:szCs w:val="22"/>
          <w:lang w:val="pl-PL"/>
        </w:rPr>
        <w:fldChar w:fldCharType="begin"/>
      </w:r>
      <w:r>
        <w:rPr>
          <w:b/>
          <w:szCs w:val="22"/>
          <w:lang w:val="pl-PL"/>
        </w:rPr>
        <w:instrText xml:space="preserve"> DOCVARIABLE VAULT_ND_390f478a-0661-4762-b38b-9b6da95170ac \* MERGEFORMAT </w:instrText>
      </w:r>
      <w:r>
        <w:rPr>
          <w:b/>
          <w:szCs w:val="22"/>
          <w:lang w:val="pl-PL"/>
        </w:rPr>
        <w:fldChar w:fldCharType="separate"/>
      </w:r>
      <w:r>
        <w:rPr>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r>
        <w:rPr>
          <w:szCs w:val="22"/>
          <w:lang w:val="pl-PL"/>
        </w:rPr>
        <w:t xml:space="preserve">Zawiera izomalt (E953). </w:t>
      </w:r>
      <w:r>
        <w:rPr>
          <w:szCs w:val="22"/>
          <w:highlight w:val="lightGray"/>
          <w:lang w:val="pl-PL"/>
        </w:rPr>
        <w:t>Więcej informacji można znaleźć w ulotce.</w:t>
      </w: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4.</w:t>
      </w:r>
      <w:r>
        <w:rPr>
          <w:b/>
          <w:bCs/>
          <w:szCs w:val="22"/>
          <w:lang w:val="pl-PL"/>
        </w:rPr>
        <w:tab/>
        <w:t>POSTAĆ FARMACEUTYCZNA I ZAWARTOŚĆ OPAKOWANIA</w:t>
      </w:r>
      <w:r>
        <w:rPr>
          <w:b/>
          <w:szCs w:val="22"/>
          <w:lang w:val="pl-PL"/>
        </w:rPr>
        <w:fldChar w:fldCharType="begin"/>
      </w:r>
      <w:r>
        <w:rPr>
          <w:b/>
          <w:szCs w:val="22"/>
          <w:lang w:val="pl-PL"/>
        </w:rPr>
        <w:instrText xml:space="preserve"> DOCVARIABLE VAULT_ND_c9bed406-52c6-4475-b309-a84d71225e28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r>
        <w:rPr>
          <w:szCs w:val="22"/>
          <w:lang w:val="pl-PL"/>
        </w:rPr>
        <w:t>Proszek doustny</w:t>
      </w:r>
    </w:p>
    <w:p>
      <w:pPr>
        <w:spacing w:line="240" w:lineRule="auto"/>
        <w:rPr>
          <w:szCs w:val="22"/>
          <w:lang w:val="pl-PL"/>
        </w:rPr>
      </w:pPr>
      <w:r>
        <w:rPr>
          <w:szCs w:val="22"/>
          <w:lang w:val="pl-PL"/>
        </w:rPr>
        <w:t>30 saszetek</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5.</w:t>
      </w:r>
      <w:r>
        <w:rPr>
          <w:b/>
          <w:bCs/>
          <w:szCs w:val="22"/>
          <w:lang w:val="pl-PL"/>
        </w:rPr>
        <w:tab/>
        <w:t>SPOSÓB I DROGA (DROGI) PODANIA</w:t>
      </w:r>
      <w:r>
        <w:rPr>
          <w:b/>
          <w:szCs w:val="22"/>
          <w:lang w:val="pl-PL"/>
        </w:rPr>
        <w:fldChar w:fldCharType="begin"/>
      </w:r>
      <w:r>
        <w:rPr>
          <w:b/>
          <w:szCs w:val="22"/>
          <w:lang w:val="pl-PL"/>
        </w:rPr>
        <w:instrText xml:space="preserve"> DOCVARIABLE VAULT_ND_d0c735c2-7f38-4d68-a009-47093e3c7bd4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r>
        <w:rPr>
          <w:szCs w:val="22"/>
          <w:lang w:val="pl-PL"/>
        </w:rPr>
        <w:t>Należy zapoznać się z treścią ulotki przed zastosowaniem leku.</w:t>
      </w:r>
    </w:p>
    <w:p>
      <w:pPr>
        <w:spacing w:line="240" w:lineRule="auto"/>
        <w:rPr>
          <w:szCs w:val="22"/>
          <w:lang w:val="pl-PL"/>
        </w:rPr>
      </w:pPr>
      <w:r>
        <w:rPr>
          <w:szCs w:val="22"/>
          <w:lang w:val="pl-PL"/>
        </w:rPr>
        <w:t>Podanie doustne.</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6.</w:t>
      </w:r>
      <w:r>
        <w:rPr>
          <w:b/>
          <w:bCs/>
          <w:szCs w:val="22"/>
          <w:lang w:val="pl-PL"/>
        </w:rPr>
        <w:tab/>
        <w:t>OSTRZEŻENIE DOTYCZĄCE PRZECHOWYWANIA PRODUKTU LECZNICZEGO W MIEJSCU NIEWIDOCZNYM I NIEDOSTĘPNYM DLA DZIECI</w:t>
      </w:r>
      <w:r>
        <w:rPr>
          <w:b/>
          <w:szCs w:val="22"/>
          <w:highlight w:val="yellow"/>
          <w:lang w:val="pl-PL"/>
        </w:rPr>
        <w:fldChar w:fldCharType="begin"/>
      </w:r>
      <w:r>
        <w:rPr>
          <w:b/>
          <w:szCs w:val="22"/>
          <w:highlight w:val="yellow"/>
          <w:lang w:val="pl-PL"/>
        </w:rPr>
        <w:instrText xml:space="preserve"> DOCVARIABLE VAULT_ND_f5243eb1-61b8-49a1-bebc-6085983af275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szCs w:val="22"/>
          <w:lang w:val="pl-PL"/>
        </w:rPr>
      </w:pPr>
    </w:p>
    <w:p>
      <w:pPr>
        <w:spacing w:line="240" w:lineRule="auto"/>
        <w:rPr>
          <w:szCs w:val="22"/>
          <w:lang w:val="pl-PL"/>
        </w:rPr>
      </w:pPr>
      <w:r>
        <w:rPr>
          <w:szCs w:val="22"/>
          <w:lang w:val="pl-PL"/>
        </w:rPr>
        <w:t>Lek przechowywać w miejscu niewidocznym i niedostępnym dla dzieci.</w:t>
      </w:r>
      <w:r>
        <w:rPr>
          <w:szCs w:val="22"/>
          <w:highlight w:val="yellow"/>
          <w:lang w:val="pl-PL"/>
        </w:rPr>
        <w:fldChar w:fldCharType="begin"/>
      </w:r>
      <w:r>
        <w:rPr>
          <w:szCs w:val="22"/>
          <w:highlight w:val="yellow"/>
          <w:lang w:val="pl-PL"/>
        </w:rPr>
        <w:instrText xml:space="preserve"> DOCVARIABLE vault_nd_9265a39b-219f-4f01-8ebf-9b0a86d2625c \* MERGEFORMAT </w:instrText>
      </w:r>
      <w:r>
        <w:rPr>
          <w:szCs w:val="22"/>
          <w:highlight w:val="yellow"/>
          <w:lang w:val="pl-PL"/>
        </w:rPr>
        <w:fldChar w:fldCharType="separate"/>
      </w:r>
      <w:r>
        <w:rPr>
          <w:szCs w:val="22"/>
          <w:highlight w:val="yellow"/>
          <w:lang w:val="pl-PL"/>
        </w:rPr>
        <w:t xml:space="preserve"> </w:t>
      </w:r>
      <w:r>
        <w:rPr>
          <w:szCs w:val="22"/>
          <w:highlight w:val="yellow"/>
          <w:lang w:val="pl-PL"/>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7.</w:t>
      </w:r>
      <w:r>
        <w:rPr>
          <w:b/>
          <w:bCs/>
          <w:szCs w:val="22"/>
          <w:lang w:val="pl-PL"/>
        </w:rPr>
        <w:tab/>
        <w:t>INNE OSTRZEŻENIA SPECJALNE, JEŚLI KONIECZNE</w:t>
      </w:r>
      <w:r>
        <w:rPr>
          <w:b/>
          <w:szCs w:val="22"/>
          <w:highlight w:val="yellow"/>
          <w:lang w:val="pl-PL"/>
        </w:rPr>
        <w:fldChar w:fldCharType="begin"/>
      </w:r>
      <w:r>
        <w:rPr>
          <w:b/>
          <w:szCs w:val="22"/>
          <w:highlight w:val="yellow"/>
          <w:lang w:val="pl-PL"/>
        </w:rPr>
        <w:instrText xml:space="preserve"> DOCVARIABLE VAULT_ND_0ae3f97a-59ac-499d-8321-98790b9058dc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tabs>
          <w:tab w:val="left" w:pos="749"/>
        </w:tabs>
        <w:spacing w:line="240" w:lineRule="auto"/>
        <w:rPr>
          <w:lang w:val="pl-PL"/>
        </w:rPr>
      </w:pPr>
    </w:p>
    <w:p>
      <w:pPr>
        <w:tabs>
          <w:tab w:val="left" w:pos="749"/>
        </w:tabs>
        <w:spacing w:line="240" w:lineRule="auto"/>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pl-PL"/>
        </w:rPr>
        <w:t>8.</w:t>
      </w:r>
      <w:r>
        <w:rPr>
          <w:b/>
          <w:bCs/>
          <w:szCs w:val="22"/>
          <w:lang w:val="pl-PL"/>
        </w:rPr>
        <w:tab/>
        <w:t>TERMIN WAŻNOŚCI</w:t>
      </w:r>
      <w:r>
        <w:rPr>
          <w:b/>
          <w:lang w:val="pl-PL"/>
        </w:rPr>
        <w:fldChar w:fldCharType="begin"/>
      </w:r>
      <w:r>
        <w:rPr>
          <w:b/>
          <w:lang w:val="pl-PL"/>
        </w:rPr>
        <w:instrText xml:space="preserve"> DOCVARIABLE VAULT_ND_b421690e-49c9-4a20-b049-b439d62b6fb4 \* MERGEFORMAT </w:instrText>
      </w:r>
      <w:r>
        <w:rPr>
          <w:b/>
          <w:lang w:val="pl-PL"/>
        </w:rPr>
        <w:fldChar w:fldCharType="separate"/>
      </w:r>
      <w:r>
        <w:rPr>
          <w:b/>
          <w:bCs/>
          <w:szCs w:val="22"/>
          <w:lang w:val="pl-PL"/>
        </w:rPr>
        <w:t xml:space="preserve"> </w:t>
      </w:r>
      <w:r>
        <w:rPr>
          <w:b/>
          <w:lang w:val="pl-PL"/>
        </w:rPr>
        <w:fldChar w:fldCharType="end"/>
      </w:r>
    </w:p>
    <w:p>
      <w:pPr>
        <w:spacing w:line="240" w:lineRule="auto"/>
        <w:rPr>
          <w:lang w:val="pl-PL"/>
        </w:rPr>
      </w:pPr>
    </w:p>
    <w:p>
      <w:pPr>
        <w:spacing w:line="240" w:lineRule="auto"/>
        <w:rPr>
          <w:lang w:val="pl-PL"/>
        </w:rPr>
      </w:pPr>
      <w:r>
        <w:rPr>
          <w:szCs w:val="22"/>
          <w:lang w:val="pl-PL"/>
        </w:rPr>
        <w:t>Termin ważności (EXP)</w:t>
      </w:r>
    </w:p>
    <w:p>
      <w:pPr>
        <w:spacing w:line="240" w:lineRule="auto"/>
        <w:rPr>
          <w:lang w:val="pl-PL"/>
        </w:rPr>
      </w:pPr>
    </w:p>
    <w:p>
      <w:pPr>
        <w:spacing w:line="240" w:lineRule="auto"/>
        <w:rPr>
          <w:szCs w:val="22"/>
          <w:lang w:val="pl-PL"/>
        </w:rPr>
      </w:pPr>
      <w:r>
        <w:rPr>
          <w:szCs w:val="22"/>
          <w:lang w:val="pl-PL"/>
        </w:rPr>
        <w:t>Każdą dawkę należy podać natychmiast po rekonstytucji. Przygotowaną mieszaninę należy wyrzucić, jeśli nie została zużyta w ciągu 24 godzin, jeśli była przechowywana w lodówce (2°C do 8°C), lub w ciągu 6 godzin jeśli była przechowywana w temperaturze poniżej 25°C.</w:t>
      </w:r>
    </w:p>
    <w:p>
      <w:pPr>
        <w:spacing w:line="240" w:lineRule="auto"/>
        <w:rPr>
          <w:szCs w:val="22"/>
          <w:lang w:val="pl-PL"/>
        </w:rPr>
      </w:pPr>
    </w:p>
    <w:p>
      <w:pPr>
        <w:spacing w:line="240" w:lineRule="auto"/>
        <w:rPr>
          <w:szCs w:val="22"/>
          <w:lang w:val="pl-PL"/>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9.</w:t>
      </w:r>
      <w:r>
        <w:rPr>
          <w:b/>
          <w:bCs/>
          <w:szCs w:val="22"/>
          <w:lang w:val="pl-PL"/>
        </w:rPr>
        <w:tab/>
        <w:t>WARUNKI PRZECHOWYWANIA</w:t>
      </w:r>
      <w:r>
        <w:rPr>
          <w:b/>
          <w:szCs w:val="22"/>
          <w:lang w:val="pl-PL"/>
        </w:rPr>
        <w:fldChar w:fldCharType="begin"/>
      </w:r>
      <w:r>
        <w:rPr>
          <w:b/>
          <w:szCs w:val="22"/>
          <w:lang w:val="pl-PL"/>
        </w:rPr>
        <w:instrText xml:space="preserve"> DOCVARIABLE VAULT_ND_7b63f38f-ecb5-4dcc-b1b8-5938e1109939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tabs>
          <w:tab w:val="clear" w:pos="567"/>
          <w:tab w:val="left" w:pos="0"/>
        </w:tabs>
        <w:spacing w:line="240" w:lineRule="auto"/>
        <w:rPr>
          <w:szCs w:val="22"/>
          <w:lang w:val="pl-PL"/>
        </w:rPr>
      </w:pPr>
      <w:r>
        <w:rPr>
          <w:szCs w:val="22"/>
          <w:lang w:val="pl-PL"/>
        </w:rPr>
        <w:t>Przechowywać w oryginalnym opakowaniu w celu ochrony przed światłem</w:t>
      </w:r>
    </w:p>
    <w:p>
      <w:pPr>
        <w:tabs>
          <w:tab w:val="clear" w:pos="567"/>
          <w:tab w:val="left" w:pos="0"/>
        </w:tabs>
        <w:spacing w:line="240" w:lineRule="auto"/>
        <w:rPr>
          <w:szCs w:val="22"/>
          <w:lang w:val="pl-PL"/>
        </w:rPr>
      </w:pPr>
    </w:p>
    <w:p>
      <w:pPr>
        <w:tabs>
          <w:tab w:val="clear" w:pos="567"/>
          <w:tab w:val="left" w:pos="0"/>
        </w:tabs>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lastRenderedPageBreak/>
        <w:t>10.</w:t>
      </w:r>
      <w:r>
        <w:rPr>
          <w:b/>
          <w:bCs/>
          <w:szCs w:val="22"/>
          <w:lang w:val="pl-PL"/>
        </w:rPr>
        <w:tab/>
        <w:t>SPECJALNE ŚRODKI OSTROŻNOŚCI DOTYCZĄCE USUWANIA NIEZUŻYTEGO PRODUKTU LECZNICZEGO LUB POCHODZĄCYCH Z NIEGO ODPADÓW, JEŚLI WŁAŚCIWE</w:t>
      </w:r>
      <w:r>
        <w:rPr>
          <w:b/>
          <w:szCs w:val="22"/>
          <w:highlight w:val="yellow"/>
          <w:lang w:val="pl-PL"/>
        </w:rPr>
        <w:fldChar w:fldCharType="begin"/>
      </w:r>
      <w:r>
        <w:rPr>
          <w:b/>
          <w:szCs w:val="22"/>
          <w:highlight w:val="yellow"/>
          <w:lang w:val="pl-PL"/>
        </w:rPr>
        <w:instrText xml:space="preserve"> DOCVARIABLE VAULT_ND_8459eaa6-1aa8-440c-9293-bbb91e92354c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11.</w:t>
      </w:r>
      <w:r>
        <w:rPr>
          <w:b/>
          <w:bCs/>
          <w:szCs w:val="22"/>
          <w:lang w:val="pl-PL"/>
        </w:rPr>
        <w:tab/>
        <w:t>NAZWA I ADRES PODMIOTU ODPOWIEDZIALNEGO</w:t>
      </w:r>
      <w:r>
        <w:rPr>
          <w:b/>
          <w:szCs w:val="22"/>
          <w:lang w:val="pl-PL"/>
        </w:rPr>
        <w:fldChar w:fldCharType="begin"/>
      </w:r>
      <w:r>
        <w:rPr>
          <w:b/>
          <w:szCs w:val="22"/>
          <w:lang w:val="pl-PL"/>
        </w:rPr>
        <w:instrText xml:space="preserve"> DOCVARIABLE VAULT_ND_b777b7a3-413b-4767-926e-912adde2292a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pStyle w:val="NormalWeb"/>
        <w:tabs>
          <w:tab w:val="left" w:pos="0"/>
        </w:tabs>
        <w:spacing w:before="0" w:beforeAutospacing="0" w:after="0" w:afterAutospacing="0"/>
        <w:rPr>
          <w:sz w:val="22"/>
          <w:lang w:val="pl-PL"/>
        </w:rPr>
      </w:pPr>
      <w:r>
        <w:rPr>
          <w:sz w:val="22"/>
          <w:lang w:val="pl-PL"/>
        </w:rPr>
        <w:t>PTC Therapeutics International Limited</w:t>
      </w:r>
    </w:p>
    <w:p>
      <w:pPr>
        <w:pStyle w:val="NormalWeb"/>
        <w:tabs>
          <w:tab w:val="left" w:pos="0"/>
        </w:tabs>
        <w:spacing w:before="0" w:beforeAutospacing="0" w:after="0" w:afterAutospacing="0"/>
        <w:rPr>
          <w:sz w:val="22"/>
          <w:lang w:val="en-GB"/>
        </w:rPr>
      </w:pPr>
      <w:r>
        <w:rPr>
          <w:sz w:val="22"/>
          <w:lang w:val="en-GB"/>
        </w:rPr>
        <w:t xml:space="preserve">Unit 1, 52-55 Sir John Rogerson’s Quay, </w:t>
      </w:r>
    </w:p>
    <w:p>
      <w:pPr>
        <w:pStyle w:val="NormalWeb"/>
        <w:tabs>
          <w:tab w:val="left" w:pos="0"/>
        </w:tabs>
        <w:spacing w:before="0" w:beforeAutospacing="0" w:after="0" w:afterAutospacing="0"/>
        <w:rPr>
          <w:sz w:val="22"/>
          <w:lang w:val="pl-PL"/>
        </w:rPr>
      </w:pPr>
      <w:r>
        <w:rPr>
          <w:sz w:val="22"/>
          <w:lang w:val="pl-PL"/>
        </w:rPr>
        <w:t>Dublin 2, D02 NA07,</w:t>
      </w:r>
    </w:p>
    <w:p>
      <w:pPr>
        <w:pStyle w:val="NormalWeb"/>
        <w:tabs>
          <w:tab w:val="left" w:pos="0"/>
        </w:tabs>
        <w:spacing w:before="0" w:beforeAutospacing="0" w:after="0" w:afterAutospacing="0"/>
        <w:rPr>
          <w:sz w:val="22"/>
          <w:szCs w:val="22"/>
          <w:lang w:val="pl-PL"/>
        </w:rPr>
      </w:pPr>
      <w:r>
        <w:rPr>
          <w:sz w:val="22"/>
          <w:szCs w:val="22"/>
          <w:lang w:val="pl-PL"/>
        </w:rPr>
        <w:t>Irlandia</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12.</w:t>
      </w:r>
      <w:r>
        <w:rPr>
          <w:b/>
          <w:bCs/>
          <w:szCs w:val="22"/>
          <w:lang w:val="pl-PL"/>
        </w:rPr>
        <w:tab/>
        <w:t>NUMER POZWOLENIA (NUMERY POZWOLEŃ) NA DOPUSZCZENIE DO OBROTU</w:t>
      </w:r>
      <w:r>
        <w:rPr>
          <w:b/>
          <w:szCs w:val="22"/>
          <w:lang w:val="pl-PL"/>
        </w:rPr>
        <w:fldChar w:fldCharType="begin"/>
      </w:r>
      <w:r>
        <w:rPr>
          <w:b/>
          <w:szCs w:val="22"/>
          <w:lang w:val="pl-PL"/>
        </w:rPr>
        <w:instrText xml:space="preserve"> DOCVARIABLE VAULT_ND_74018404-81ed-4130-b33b-729df2c10d9a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rPr>
      </w:pPr>
      <w:r>
        <w:rPr>
          <w:rFonts w:eastAsia="SimSun"/>
          <w:szCs w:val="22"/>
          <w:lang w:eastAsia="en-GB"/>
        </w:rPr>
        <w:t>EU/1/25/1939/002</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13.</w:t>
      </w:r>
      <w:r>
        <w:rPr>
          <w:b/>
          <w:bCs/>
          <w:szCs w:val="22"/>
        </w:rPr>
        <w:tab/>
        <w:t>NUMER SERII</w:t>
      </w:r>
    </w:p>
    <w:p>
      <w:pPr>
        <w:spacing w:line="240" w:lineRule="auto"/>
        <w:rPr>
          <w:i/>
          <w:szCs w:val="22"/>
        </w:rPr>
      </w:pPr>
    </w:p>
    <w:p>
      <w:pPr>
        <w:spacing w:line="240" w:lineRule="auto"/>
        <w:rPr>
          <w:szCs w:val="22"/>
        </w:rPr>
      </w:pPr>
      <w:r>
        <w:rPr>
          <w:szCs w:val="22"/>
        </w:rPr>
        <w:t>Nr serii (Lot)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14.</w:t>
      </w:r>
      <w:r>
        <w:rPr>
          <w:b/>
          <w:bCs/>
          <w:szCs w:val="22"/>
          <w:lang w:val="pl-PL"/>
        </w:rPr>
        <w:tab/>
        <w:t>OGÓLNA KATEGORIA DOSTĘPNOŚCI</w:t>
      </w:r>
      <w:r>
        <w:rPr>
          <w:b/>
          <w:szCs w:val="22"/>
          <w:lang w:val="pl-PL"/>
        </w:rPr>
        <w:fldChar w:fldCharType="begin"/>
      </w:r>
      <w:r>
        <w:rPr>
          <w:b/>
          <w:szCs w:val="22"/>
          <w:lang w:val="pl-PL"/>
        </w:rPr>
        <w:instrText xml:space="preserve"> DOCVARIABLE VAULT_ND_440345ba-1e5c-4e7c-b477-795815b11ab6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pl-PL"/>
        </w:rPr>
        <w:t>15.</w:t>
      </w:r>
      <w:r>
        <w:rPr>
          <w:b/>
          <w:bCs/>
          <w:szCs w:val="22"/>
          <w:lang w:val="pl-PL"/>
        </w:rPr>
        <w:tab/>
        <w:t>INSTRUKCJA UŻYCIA</w:t>
      </w:r>
      <w:r>
        <w:rPr>
          <w:b/>
          <w:szCs w:val="22"/>
          <w:lang w:val="pl-PL"/>
        </w:rPr>
        <w:fldChar w:fldCharType="begin"/>
      </w:r>
      <w:r>
        <w:rPr>
          <w:b/>
          <w:szCs w:val="22"/>
          <w:lang w:val="pl-PL"/>
        </w:rPr>
        <w:instrText xml:space="preserve"> DOCVARIABLE VAULT_ND_1dc7af02-c68c-4cb9-af67-455c6e2a83ac \* MERGEFORMAT </w:instrText>
      </w:r>
      <w:r>
        <w:rPr>
          <w:b/>
          <w:szCs w:val="22"/>
          <w:lang w:val="pl-PL"/>
        </w:rPr>
        <w:fldChar w:fldCharType="separate"/>
      </w:r>
      <w:r>
        <w:rPr>
          <w:b/>
          <w:bCs/>
          <w:szCs w:val="22"/>
          <w:lang w:val="pl-PL"/>
        </w:rPr>
        <w:t xml:space="preserve"> </w:t>
      </w:r>
      <w:r>
        <w:rPr>
          <w:b/>
          <w:szCs w:val="22"/>
          <w:lang w:val="pl-PL"/>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pl-PL"/>
        </w:rPr>
      </w:pPr>
      <w:r>
        <w:rPr>
          <w:b/>
          <w:bCs/>
          <w:szCs w:val="22"/>
          <w:lang w:val="pl-PL"/>
        </w:rPr>
        <w:t>16.</w:t>
      </w:r>
      <w:r>
        <w:rPr>
          <w:b/>
          <w:bCs/>
          <w:szCs w:val="22"/>
          <w:lang w:val="pl-PL"/>
        </w:rPr>
        <w:tab/>
        <w:t>INFORMACJA PODANA SYSTEMEM BRAILLE’A</w:t>
      </w:r>
    </w:p>
    <w:p>
      <w:pPr>
        <w:spacing w:line="240" w:lineRule="auto"/>
        <w:rPr>
          <w:szCs w:val="22"/>
          <w:lang w:val="pl-PL"/>
        </w:rPr>
      </w:pPr>
    </w:p>
    <w:p>
      <w:pPr>
        <w:spacing w:line="240" w:lineRule="auto"/>
        <w:rPr>
          <w:szCs w:val="22"/>
          <w:shd w:val="clear" w:color="auto" w:fill="CCCCCC"/>
          <w:lang w:val="pl-PL"/>
        </w:rPr>
      </w:pPr>
      <w:r>
        <w:rPr>
          <w:szCs w:val="22"/>
          <w:lang w:val="pl-PL"/>
        </w:rPr>
        <w:t>Sephience 1 000 mg</w:t>
      </w:r>
    </w:p>
    <w:p>
      <w:pPr>
        <w:spacing w:line="240" w:lineRule="auto"/>
        <w:rPr>
          <w:szCs w:val="22"/>
          <w:shd w:val="clear" w:color="auto" w:fill="CCCCCC"/>
          <w:lang w:val="pl-PL"/>
        </w:rPr>
      </w:pPr>
    </w:p>
    <w:p>
      <w:pPr>
        <w:spacing w:line="240" w:lineRule="auto"/>
        <w:rPr>
          <w:szCs w:val="22"/>
          <w:shd w:val="clear" w:color="auto" w:fill="CCCCCC"/>
          <w:lang w:val="pl-PL"/>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l-PL"/>
        </w:rPr>
      </w:pPr>
      <w:r>
        <w:rPr>
          <w:b/>
          <w:bCs/>
          <w:szCs w:val="22"/>
          <w:lang w:val="pl-PL"/>
        </w:rPr>
        <w:t>17.</w:t>
      </w:r>
      <w:r>
        <w:rPr>
          <w:b/>
          <w:bCs/>
          <w:szCs w:val="22"/>
          <w:lang w:val="pl-PL"/>
        </w:rPr>
        <w:tab/>
        <w:t>NIEPOWTARZALNY IDENTYFIKATOR – KOD 2D</w:t>
      </w:r>
    </w:p>
    <w:p>
      <w:pPr>
        <w:tabs>
          <w:tab w:val="clear" w:pos="567"/>
        </w:tabs>
        <w:spacing w:line="240" w:lineRule="auto"/>
        <w:rPr>
          <w:lang w:val="pl-PL"/>
        </w:rPr>
      </w:pPr>
    </w:p>
    <w:p>
      <w:pPr>
        <w:spacing w:line="240" w:lineRule="auto"/>
        <w:rPr>
          <w:szCs w:val="22"/>
          <w:lang w:val="pl-PL"/>
        </w:rPr>
      </w:pPr>
      <w:r>
        <w:rPr>
          <w:szCs w:val="22"/>
          <w:lang w:val="pl-PL"/>
        </w:rPr>
        <w:t>Obejmuje kod 2D będący nośnikiem niepowtarzalnego identyfikatora.</w:t>
      </w:r>
    </w:p>
    <w:p>
      <w:pPr>
        <w:tabs>
          <w:tab w:val="clear" w:pos="567"/>
        </w:tabs>
        <w:spacing w:line="240" w:lineRule="auto"/>
        <w:rPr>
          <w:lang w:val="pl-PL"/>
        </w:rPr>
      </w:pPr>
    </w:p>
    <w:p>
      <w:pPr>
        <w:tabs>
          <w:tab w:val="clear" w:pos="567"/>
        </w:tabs>
        <w:spacing w:line="240" w:lineRule="auto"/>
        <w:rPr>
          <w:lang w:val="pl-PL"/>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l-PL"/>
        </w:rPr>
      </w:pPr>
      <w:r>
        <w:rPr>
          <w:b/>
          <w:bCs/>
          <w:szCs w:val="22"/>
          <w:lang w:val="pl-PL"/>
        </w:rPr>
        <w:t>18.</w:t>
      </w:r>
      <w:r>
        <w:rPr>
          <w:b/>
          <w:bCs/>
          <w:szCs w:val="22"/>
          <w:lang w:val="pl-PL"/>
        </w:rPr>
        <w:tab/>
        <w:t>NIEPOWTARZALNY IDENTYFIKATOR – DANE CZYTELNE DLA CZŁOWIEKA</w:t>
      </w:r>
    </w:p>
    <w:p>
      <w:pPr>
        <w:tabs>
          <w:tab w:val="clear" w:pos="567"/>
        </w:tabs>
        <w:spacing w:line="240" w:lineRule="auto"/>
        <w:rPr>
          <w:lang w:val="pl-PL"/>
        </w:rPr>
      </w:pPr>
    </w:p>
    <w:p>
      <w:pPr>
        <w:spacing w:line="240" w:lineRule="auto"/>
        <w:rPr>
          <w:color w:val="008000"/>
          <w:szCs w:val="22"/>
          <w:lang w:val="pl-PL"/>
        </w:rPr>
      </w:pPr>
      <w:r>
        <w:rPr>
          <w:szCs w:val="22"/>
          <w:lang w:val="pl-PL"/>
        </w:rPr>
        <w:t>PC</w:t>
      </w:r>
    </w:p>
    <w:p>
      <w:pPr>
        <w:spacing w:line="240" w:lineRule="auto"/>
        <w:rPr>
          <w:szCs w:val="22"/>
          <w:lang w:val="pl-PL"/>
        </w:rPr>
      </w:pPr>
      <w:r>
        <w:rPr>
          <w:szCs w:val="22"/>
          <w:lang w:val="pl-PL"/>
        </w:rPr>
        <w:t>SN</w:t>
      </w:r>
    </w:p>
    <w:p>
      <w:pPr>
        <w:spacing w:line="240" w:lineRule="auto"/>
        <w:rPr>
          <w:szCs w:val="22"/>
          <w:lang w:val="pl-PL"/>
        </w:rPr>
      </w:pPr>
      <w:r>
        <w:rPr>
          <w:szCs w:val="22"/>
          <w:lang w:val="pl-PL"/>
        </w:rPr>
        <w:t>NN</w:t>
      </w:r>
    </w:p>
    <w:p>
      <w:pPr>
        <w:spacing w:line="240" w:lineRule="auto"/>
        <w:rPr>
          <w:szCs w:val="22"/>
          <w:lang w:val="pl-PL"/>
        </w:rPr>
      </w:pPr>
    </w:p>
    <w:p>
      <w:pPr>
        <w:spacing w:line="240" w:lineRule="auto"/>
        <w:rPr>
          <w:szCs w:val="22"/>
          <w:lang w:val="pl-PL"/>
        </w:rPr>
      </w:pPr>
    </w:p>
    <w:p>
      <w:pPr>
        <w:spacing w:line="240" w:lineRule="auto"/>
        <w:rPr>
          <w:b/>
          <w:szCs w:val="22"/>
          <w:lang w:val="pl-PL"/>
        </w:rPr>
      </w:pPr>
      <w:r>
        <w:rPr>
          <w:szCs w:val="22"/>
          <w:shd w:val="clear" w:color="auto" w:fill="CCCCCC"/>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lastRenderedPageBreak/>
        <w:t>MINIMUM INFORMACJI ZAMIESZCZANYCH NA MAŁYCH OPAKOWANIACH BEZPOŚREDNICH</w:t>
      </w:r>
    </w:p>
    <w:p>
      <w:pPr>
        <w:pBdr>
          <w:top w:val="single" w:sz="4" w:space="1" w:color="auto"/>
          <w:left w:val="single" w:sz="4" w:space="4" w:color="auto"/>
          <w:bottom w:val="single" w:sz="4" w:space="1" w:color="auto"/>
          <w:right w:val="single" w:sz="4" w:space="4" w:color="auto"/>
        </w:pBdr>
        <w:spacing w:line="240" w:lineRule="auto"/>
        <w:rPr>
          <w:b/>
          <w:szCs w:val="22"/>
          <w:lang w:val="pl-PL"/>
        </w:rPr>
      </w:pP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pl-PL"/>
        </w:rPr>
        <w:t>Saszetka z folii aluminiowej</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1.</w:t>
      </w:r>
      <w:r>
        <w:rPr>
          <w:b/>
          <w:bCs/>
          <w:szCs w:val="22"/>
          <w:lang w:val="pl-PL"/>
        </w:rPr>
        <w:tab/>
        <w:t>NAZWA PRODUKTU LECZNICZEGO I DROGA (DROGI) PODANIA</w:t>
      </w:r>
      <w:r>
        <w:rPr>
          <w:b/>
          <w:szCs w:val="22"/>
          <w:highlight w:val="yellow"/>
          <w:lang w:val="pl-PL"/>
        </w:rPr>
        <w:fldChar w:fldCharType="begin"/>
      </w:r>
      <w:r>
        <w:rPr>
          <w:b/>
          <w:szCs w:val="22"/>
          <w:highlight w:val="yellow"/>
          <w:lang w:val="pl-PL"/>
        </w:rPr>
        <w:instrText xml:space="preserve"> DOCVARIABLE VAULT_ND_7d2fe377-1428-4cf3-8c1c-cfcf69f353a2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left="567" w:hanging="567"/>
        <w:rPr>
          <w:szCs w:val="22"/>
          <w:lang w:val="pl-PL"/>
        </w:rPr>
      </w:pPr>
    </w:p>
    <w:p>
      <w:pPr>
        <w:spacing w:line="240" w:lineRule="auto"/>
        <w:rPr>
          <w:szCs w:val="22"/>
          <w:lang w:val="pl-PL"/>
        </w:rPr>
      </w:pPr>
      <w:r>
        <w:rPr>
          <w:szCs w:val="22"/>
          <w:lang w:val="pl-PL"/>
        </w:rPr>
        <w:t>Sephience 1 000 mg proszek doustny w saszetce</w:t>
      </w:r>
    </w:p>
    <w:p>
      <w:pPr>
        <w:spacing w:line="240" w:lineRule="auto"/>
        <w:rPr>
          <w:szCs w:val="22"/>
          <w:lang w:val="pl-PL"/>
        </w:rPr>
      </w:pPr>
      <w:r>
        <w:rPr>
          <w:szCs w:val="22"/>
          <w:lang w:val="pl-PL"/>
        </w:rPr>
        <w:t>sepiapteryna</w:t>
      </w:r>
    </w:p>
    <w:p>
      <w:pPr>
        <w:spacing w:line="240" w:lineRule="auto"/>
        <w:rPr>
          <w:szCs w:val="22"/>
          <w:lang w:val="pl-PL"/>
        </w:rPr>
      </w:pPr>
      <w:r>
        <w:rPr>
          <w:szCs w:val="22"/>
          <w:lang w:val="pl-PL"/>
        </w:rPr>
        <w:t>Podanie doustne</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2.</w:t>
      </w:r>
      <w:r>
        <w:rPr>
          <w:b/>
          <w:bCs/>
          <w:szCs w:val="22"/>
          <w:lang w:val="pl-PL"/>
        </w:rPr>
        <w:tab/>
        <w:t>SPOSÓB PODAWANIA</w:t>
      </w:r>
      <w:r>
        <w:rPr>
          <w:b/>
          <w:szCs w:val="22"/>
          <w:highlight w:val="yellow"/>
          <w:lang w:val="pl-PL"/>
        </w:rPr>
        <w:fldChar w:fldCharType="begin"/>
      </w:r>
      <w:r>
        <w:rPr>
          <w:b/>
          <w:szCs w:val="22"/>
          <w:highlight w:val="yellow"/>
          <w:lang w:val="pl-PL"/>
        </w:rPr>
        <w:instrText xml:space="preserve"> DOCVARIABLE VAULT_ND_60dc7dc8-e070-4ee6-b5c6-f437a73c1f3d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3.</w:t>
      </w:r>
      <w:r>
        <w:rPr>
          <w:b/>
          <w:bCs/>
          <w:szCs w:val="22"/>
          <w:lang w:val="pl-PL"/>
        </w:rPr>
        <w:tab/>
        <w:t>TERMIN WAŻNOŚCI</w:t>
      </w:r>
      <w:r>
        <w:rPr>
          <w:b/>
          <w:szCs w:val="22"/>
          <w:highlight w:val="yellow"/>
          <w:lang w:val="pl-PL"/>
        </w:rPr>
        <w:fldChar w:fldCharType="begin"/>
      </w:r>
      <w:r>
        <w:rPr>
          <w:b/>
          <w:szCs w:val="22"/>
          <w:highlight w:val="yellow"/>
          <w:lang w:val="pl-PL"/>
        </w:rPr>
        <w:instrText xml:space="preserve"> DOCVARIABLE VAULT_ND_1ef94f94-b055-4e30-97f0-bc5defdb165e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rPr>
          <w:lang w:val="pl-PL"/>
        </w:rPr>
      </w:pPr>
    </w:p>
    <w:p>
      <w:pPr>
        <w:spacing w:line="240" w:lineRule="auto"/>
        <w:rPr>
          <w:lang w:val="pl-PL"/>
        </w:rPr>
      </w:pPr>
      <w:r>
        <w:rPr>
          <w:szCs w:val="22"/>
          <w:lang w:val="pl-PL"/>
        </w:rPr>
        <w:t>EXP:</w:t>
      </w:r>
    </w:p>
    <w:p>
      <w:pPr>
        <w:spacing w:line="240" w:lineRule="auto"/>
        <w:rPr>
          <w:lang w:val="pl-PL"/>
        </w:rPr>
      </w:pPr>
    </w:p>
    <w:p>
      <w:pPr>
        <w:spacing w:line="240" w:lineRule="auto"/>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Pr>
          <w:b/>
          <w:bCs/>
          <w:szCs w:val="22"/>
          <w:lang w:val="pl-PL"/>
        </w:rPr>
        <w:t>4.</w:t>
      </w:r>
      <w:r>
        <w:rPr>
          <w:b/>
          <w:bCs/>
          <w:szCs w:val="22"/>
          <w:lang w:val="pl-PL"/>
        </w:rPr>
        <w:tab/>
        <w:t>NUMER SERII</w:t>
      </w:r>
    </w:p>
    <w:p>
      <w:pPr>
        <w:spacing w:line="240" w:lineRule="auto"/>
        <w:ind w:right="113"/>
        <w:rPr>
          <w:lang w:val="pl-PL"/>
        </w:rPr>
      </w:pPr>
    </w:p>
    <w:p>
      <w:pPr>
        <w:spacing w:line="240" w:lineRule="auto"/>
        <w:ind w:right="113"/>
        <w:rPr>
          <w:lang w:val="pl-PL"/>
        </w:rPr>
      </w:pPr>
      <w:r>
        <w:rPr>
          <w:szCs w:val="22"/>
          <w:lang w:val="pl-PL"/>
        </w:rPr>
        <w:t>Lot:</w:t>
      </w:r>
    </w:p>
    <w:p>
      <w:pPr>
        <w:spacing w:line="240" w:lineRule="auto"/>
        <w:ind w:right="113"/>
        <w:rPr>
          <w:lang w:val="pl-PL"/>
        </w:rPr>
      </w:pPr>
    </w:p>
    <w:p>
      <w:pPr>
        <w:spacing w:line="240" w:lineRule="auto"/>
        <w:ind w:right="113"/>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5.</w:t>
      </w:r>
      <w:r>
        <w:rPr>
          <w:b/>
          <w:bCs/>
          <w:szCs w:val="22"/>
          <w:lang w:val="pl-PL"/>
        </w:rPr>
        <w:tab/>
        <w:t>ZAWARTOŚĆ OPAKOWANIA Z PODANIEM MASY, OBJĘTOŚCI LUB LICZBY JEDNOSTEK</w:t>
      </w:r>
      <w:r>
        <w:rPr>
          <w:b/>
          <w:szCs w:val="22"/>
          <w:highlight w:val="yellow"/>
          <w:lang w:val="pl-PL"/>
        </w:rPr>
        <w:fldChar w:fldCharType="begin"/>
      </w:r>
      <w:r>
        <w:rPr>
          <w:b/>
          <w:szCs w:val="22"/>
          <w:highlight w:val="yellow"/>
          <w:lang w:val="pl-PL"/>
        </w:rPr>
        <w:instrText xml:space="preserve"> DOCVARIABLE VAULT_ND_2745a441-23aa-4676-880d-7371f0373a39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right="113"/>
        <w:rPr>
          <w:szCs w:val="22"/>
          <w:lang w:val="pl-PL"/>
        </w:rPr>
      </w:pPr>
    </w:p>
    <w:p>
      <w:pPr>
        <w:spacing w:line="240" w:lineRule="auto"/>
        <w:ind w:right="113"/>
        <w:rPr>
          <w:szCs w:val="22"/>
          <w:lang w:val="pl-PL"/>
        </w:rPr>
      </w:pPr>
      <w:r>
        <w:rPr>
          <w:szCs w:val="22"/>
          <w:lang w:val="pl-PL"/>
        </w:rPr>
        <w:t>1 000 mg</w:t>
      </w:r>
    </w:p>
    <w:p>
      <w:pPr>
        <w:spacing w:line="240" w:lineRule="auto"/>
        <w:ind w:right="113"/>
        <w:rPr>
          <w:szCs w:val="22"/>
          <w:lang w:val="pl-PL"/>
        </w:rPr>
      </w:pPr>
    </w:p>
    <w:p>
      <w:pPr>
        <w:spacing w:line="240" w:lineRule="auto"/>
        <w:ind w:right="113"/>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pl-PL"/>
        </w:rPr>
        <w:t>6.</w:t>
      </w:r>
      <w:r>
        <w:rPr>
          <w:b/>
          <w:bCs/>
          <w:szCs w:val="22"/>
          <w:lang w:val="pl-PL"/>
        </w:rPr>
        <w:tab/>
        <w:t>INNE</w:t>
      </w:r>
      <w:r>
        <w:rPr>
          <w:b/>
          <w:szCs w:val="22"/>
          <w:highlight w:val="yellow"/>
          <w:lang w:val="pl-PL"/>
        </w:rPr>
        <w:fldChar w:fldCharType="begin"/>
      </w:r>
      <w:r>
        <w:rPr>
          <w:b/>
          <w:szCs w:val="22"/>
          <w:highlight w:val="yellow"/>
          <w:lang w:val="pl-PL"/>
        </w:rPr>
        <w:instrText xml:space="preserve"> DOCVARIABLE VAULT_ND_5767d96d-224f-4d56-9832-a6be44c2b6df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spacing w:line="240" w:lineRule="auto"/>
        <w:ind w:right="113"/>
        <w:rPr>
          <w:szCs w:val="22"/>
          <w:lang w:val="pl-PL"/>
        </w:rPr>
      </w:pPr>
    </w:p>
    <w:p>
      <w:pPr>
        <w:spacing w:line="240" w:lineRule="auto"/>
        <w:ind w:right="113"/>
        <w:rPr>
          <w:szCs w:val="22"/>
          <w:lang w:val="pl-PL"/>
        </w:rPr>
      </w:pPr>
    </w:p>
    <w:p>
      <w:pPr>
        <w:spacing w:line="240" w:lineRule="auto"/>
        <w:ind w:right="113"/>
        <w:rPr>
          <w:lang w:val="pl-PL"/>
        </w:rPr>
      </w:pPr>
    </w:p>
    <w:p>
      <w:pPr>
        <w:spacing w:line="240" w:lineRule="auto"/>
        <w:rPr>
          <w:b/>
          <w:lang w:val="pl-PL"/>
        </w:rPr>
      </w:pPr>
      <w:r>
        <w:rPr>
          <w:b/>
          <w:lang w:val="pl-PL"/>
        </w:rPr>
        <w:br w:type="page"/>
      </w: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pStyle w:val="TitleA"/>
      </w:pPr>
      <w:r>
        <w:t>B. ULOTKA DLA PACJENTA</w:t>
      </w:r>
      <w:r>
        <w:rPr>
          <w:highlight w:val="yellow"/>
        </w:rPr>
        <w:fldChar w:fldCharType="begin"/>
      </w:r>
      <w:r>
        <w:rPr>
          <w:highlight w:val="yellow"/>
        </w:rPr>
        <w:instrText xml:space="preserve"> DOCVARIABLE VAULT_ND_ac8e9381-01c0-4d93-83ce-4eaebad63aa8 \* MERGEFORMAT </w:instrText>
      </w:r>
      <w:r>
        <w:rPr>
          <w:highlight w:val="yellow"/>
        </w:rPr>
        <w:fldChar w:fldCharType="separate"/>
      </w:r>
      <w:r>
        <w:rPr>
          <w:highlight w:val="yellow"/>
        </w:rPr>
        <w:t xml:space="preserve"> </w:t>
      </w:r>
      <w:r>
        <w:rPr>
          <w:highlight w:val="yellow"/>
        </w:rPr>
        <w:fldChar w:fldCharType="end"/>
      </w:r>
    </w:p>
    <w:p>
      <w:pPr>
        <w:tabs>
          <w:tab w:val="clear" w:pos="567"/>
        </w:tabs>
        <w:spacing w:line="240" w:lineRule="auto"/>
        <w:jc w:val="center"/>
        <w:rPr>
          <w:lang w:val="pl-PL"/>
        </w:rPr>
      </w:pPr>
      <w:r>
        <w:rPr>
          <w:szCs w:val="22"/>
          <w:highlight w:val="yellow"/>
          <w:lang w:val="pl-PL"/>
        </w:rPr>
        <w:br w:type="page"/>
      </w:r>
      <w:r>
        <w:rPr>
          <w:b/>
          <w:bCs/>
          <w:szCs w:val="22"/>
          <w:lang w:val="pl-PL"/>
        </w:rPr>
        <w:lastRenderedPageBreak/>
        <w:t>Ulotka dołączona do opakowania: informacja dla pacjenta</w:t>
      </w:r>
      <w:r>
        <w:rPr>
          <w:b/>
          <w:highlight w:val="yellow"/>
          <w:lang w:val="pl-PL"/>
        </w:rPr>
        <w:fldChar w:fldCharType="begin"/>
      </w:r>
      <w:r>
        <w:rPr>
          <w:b/>
          <w:highlight w:val="yellow"/>
          <w:lang w:val="pl-PL"/>
        </w:rPr>
        <w:instrText xml:space="preserve"> DOCVARIABLE vault_nd_e576cd7f-49cc-4ea3-801c-cd57a82ae218 \* MERGEFORMAT </w:instrText>
      </w:r>
      <w:r>
        <w:rPr>
          <w:b/>
          <w:highlight w:val="yellow"/>
          <w:lang w:val="pl-PL"/>
        </w:rPr>
        <w:fldChar w:fldCharType="separate"/>
      </w:r>
      <w:r>
        <w:rPr>
          <w:b/>
          <w:bCs/>
          <w:szCs w:val="22"/>
          <w:highlight w:val="yellow"/>
          <w:lang w:val="pl-PL"/>
        </w:rPr>
        <w:t xml:space="preserve"> </w:t>
      </w:r>
      <w:r>
        <w:rPr>
          <w:b/>
          <w:highlight w:val="yellow"/>
          <w:lang w:val="pl-PL"/>
        </w:rPr>
        <w:fldChar w:fldCharType="end"/>
      </w:r>
    </w:p>
    <w:p>
      <w:pPr>
        <w:numPr>
          <w:ilvl w:val="12"/>
          <w:numId w:val="0"/>
        </w:numPr>
        <w:shd w:val="clear" w:color="auto" w:fill="FFFFFF"/>
        <w:tabs>
          <w:tab w:val="clear" w:pos="567"/>
        </w:tabs>
        <w:spacing w:line="240" w:lineRule="auto"/>
        <w:jc w:val="center"/>
        <w:rPr>
          <w:lang w:val="pl-PL"/>
        </w:rPr>
      </w:pPr>
    </w:p>
    <w:p>
      <w:pPr>
        <w:tabs>
          <w:tab w:val="left" w:pos="993"/>
        </w:tabs>
        <w:spacing w:line="240" w:lineRule="auto"/>
        <w:jc w:val="center"/>
        <w:rPr>
          <w:b/>
          <w:lang w:val="pl-PL"/>
        </w:rPr>
      </w:pPr>
      <w:r>
        <w:rPr>
          <w:b/>
          <w:bCs/>
          <w:szCs w:val="22"/>
          <w:lang w:val="pl-PL"/>
        </w:rPr>
        <w:t>Sephience 250 mg proszek doustny</w:t>
      </w:r>
      <w:r>
        <w:rPr>
          <w:b/>
          <w:lang w:val="pl-PL"/>
        </w:rPr>
        <w:fldChar w:fldCharType="begin"/>
      </w:r>
      <w:r>
        <w:rPr>
          <w:b/>
          <w:lang w:val="pl-PL"/>
        </w:rPr>
        <w:instrText xml:space="preserve"> DOCVARIABLE vault_nd_4a3785ce-b988-4655-aa05-03fcaba99807 \* MERGEFORMAT </w:instrText>
      </w:r>
      <w:r>
        <w:rPr>
          <w:b/>
          <w:lang w:val="pl-PL"/>
        </w:rPr>
        <w:fldChar w:fldCharType="separate"/>
      </w:r>
      <w:r>
        <w:rPr>
          <w:b/>
          <w:bCs/>
          <w:szCs w:val="22"/>
          <w:lang w:val="pl-PL"/>
        </w:rPr>
        <w:t xml:space="preserve"> </w:t>
      </w:r>
      <w:r>
        <w:rPr>
          <w:b/>
          <w:lang w:val="pl-PL"/>
        </w:rPr>
        <w:fldChar w:fldCharType="end"/>
      </w:r>
      <w:r>
        <w:rPr>
          <w:b/>
          <w:bCs/>
          <w:szCs w:val="22"/>
          <w:lang w:val="pl-PL"/>
        </w:rPr>
        <w:t>w saszetce</w:t>
      </w:r>
    </w:p>
    <w:p>
      <w:pPr>
        <w:tabs>
          <w:tab w:val="left" w:pos="993"/>
        </w:tabs>
        <w:spacing w:line="240" w:lineRule="auto"/>
        <w:jc w:val="center"/>
        <w:rPr>
          <w:b/>
          <w:lang w:val="pl-PL"/>
        </w:rPr>
      </w:pPr>
      <w:r>
        <w:rPr>
          <w:b/>
          <w:bCs/>
          <w:szCs w:val="22"/>
          <w:lang w:val="pl-PL"/>
        </w:rPr>
        <w:t>Sephience 1 000 mg proszek doustny</w:t>
      </w:r>
      <w:r>
        <w:rPr>
          <w:b/>
          <w:lang w:val="pl-PL"/>
        </w:rPr>
        <w:fldChar w:fldCharType="begin"/>
      </w:r>
      <w:r>
        <w:rPr>
          <w:b/>
          <w:lang w:val="pl-PL"/>
        </w:rPr>
        <w:instrText xml:space="preserve"> DOCVARIABLE vault_nd_363d876a-4758-4b18-994c-0f252517de4c \* MERGEFORMAT </w:instrText>
      </w:r>
      <w:r>
        <w:rPr>
          <w:b/>
          <w:lang w:val="pl-PL"/>
        </w:rPr>
        <w:fldChar w:fldCharType="separate"/>
      </w:r>
      <w:r>
        <w:rPr>
          <w:b/>
          <w:bCs/>
          <w:szCs w:val="22"/>
          <w:lang w:val="pl-PL"/>
        </w:rPr>
        <w:t xml:space="preserve"> </w:t>
      </w:r>
      <w:r>
        <w:rPr>
          <w:b/>
          <w:lang w:val="pl-PL"/>
        </w:rPr>
        <w:fldChar w:fldCharType="end"/>
      </w:r>
      <w:r>
        <w:rPr>
          <w:b/>
          <w:bCs/>
          <w:szCs w:val="22"/>
          <w:lang w:val="pl-PL"/>
        </w:rPr>
        <w:t>w saszetce</w:t>
      </w:r>
    </w:p>
    <w:p>
      <w:pPr>
        <w:numPr>
          <w:ilvl w:val="12"/>
          <w:numId w:val="0"/>
        </w:numPr>
        <w:tabs>
          <w:tab w:val="clear" w:pos="567"/>
        </w:tabs>
        <w:spacing w:line="240" w:lineRule="auto"/>
        <w:jc w:val="center"/>
        <w:rPr>
          <w:lang w:val="pl-PL"/>
        </w:rPr>
      </w:pPr>
      <w:r>
        <w:rPr>
          <w:szCs w:val="22"/>
          <w:lang w:val="pl-PL"/>
        </w:rPr>
        <w:t>sepiapteryna</w:t>
      </w:r>
    </w:p>
    <w:p>
      <w:pPr>
        <w:tabs>
          <w:tab w:val="clear" w:pos="567"/>
        </w:tabs>
        <w:spacing w:line="240" w:lineRule="auto"/>
        <w:rPr>
          <w:lang w:val="pl-PL"/>
        </w:rPr>
      </w:pPr>
    </w:p>
    <w:p>
      <w:pPr>
        <w:spacing w:line="240" w:lineRule="auto"/>
        <w:rPr>
          <w:szCs w:val="22"/>
          <w:lang w:val="pl-PL"/>
        </w:rPr>
      </w:pPr>
      <w:r>
        <w:rPr>
          <w:noProof/>
          <w:lang w:val="pl-PL"/>
        </w:rPr>
        <w:pict>
          <v:shape id="_x0000_i1027" type="#_x0000_t75" alt="" style="width:14.1pt;height:12.5pt;visibility:visible;mso-width-percent:0;mso-height-percent:0;mso-width-percent:0;mso-height-percent:0">
            <v:imagedata r:id="rId11" o:title=""/>
          </v:shape>
        </w:pict>
      </w:r>
      <w:r>
        <w:rPr>
          <w:szCs w:val="22"/>
          <w:lang w:val="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pPr>
        <w:spacing w:line="240" w:lineRule="auto"/>
        <w:rPr>
          <w:lang w:val="pl-PL"/>
        </w:rPr>
      </w:pPr>
    </w:p>
    <w:p>
      <w:pPr>
        <w:tabs>
          <w:tab w:val="clear" w:pos="567"/>
          <w:tab w:val="left" w:pos="720"/>
        </w:tabs>
        <w:suppressAutoHyphens/>
        <w:spacing w:line="240" w:lineRule="auto"/>
        <w:rPr>
          <w:lang w:val="pl-PL"/>
        </w:rPr>
      </w:pPr>
      <w:r>
        <w:rPr>
          <w:b/>
          <w:bCs/>
          <w:szCs w:val="22"/>
          <w:lang w:val="pl-PL"/>
        </w:rPr>
        <w:t>Należy uważnie zapoznać się z treścią ulotki przed zażyciem leku, ponieważ zawiera ona informacje ważne dla pacjenta.</w:t>
      </w:r>
    </w:p>
    <w:p>
      <w:pPr>
        <w:numPr>
          <w:ilvl w:val="0"/>
          <w:numId w:val="27"/>
        </w:numPr>
        <w:tabs>
          <w:tab w:val="clear" w:pos="567"/>
          <w:tab w:val="left" w:pos="720"/>
        </w:tabs>
        <w:spacing w:line="240" w:lineRule="auto"/>
        <w:ind w:left="567" w:right="-2" w:hanging="567"/>
        <w:rPr>
          <w:lang w:val="pl-PL"/>
        </w:rPr>
      </w:pPr>
      <w:r>
        <w:rPr>
          <w:szCs w:val="22"/>
          <w:lang w:val="pl-PL"/>
        </w:rPr>
        <w:t xml:space="preserve">Należy zachować tę ulotkę, aby w razie potrzeby móc ją ponownie przeczytać. </w:t>
      </w:r>
    </w:p>
    <w:p>
      <w:pPr>
        <w:numPr>
          <w:ilvl w:val="0"/>
          <w:numId w:val="27"/>
        </w:numPr>
        <w:tabs>
          <w:tab w:val="clear" w:pos="567"/>
          <w:tab w:val="left" w:pos="720"/>
        </w:tabs>
        <w:spacing w:line="240" w:lineRule="auto"/>
        <w:ind w:left="567" w:right="-2" w:hanging="567"/>
        <w:rPr>
          <w:lang w:val="pl-PL"/>
        </w:rPr>
      </w:pPr>
      <w:r>
        <w:rPr>
          <w:szCs w:val="22"/>
          <w:lang w:val="pl-PL"/>
        </w:rPr>
        <w:t>W razie jakichkolwiek wątpliwości należy zwrócić się do lekarza lub farmaceuty.</w:t>
      </w:r>
    </w:p>
    <w:p>
      <w:pPr>
        <w:numPr>
          <w:ilvl w:val="0"/>
          <w:numId w:val="27"/>
        </w:numPr>
        <w:spacing w:line="240" w:lineRule="auto"/>
        <w:ind w:left="567" w:right="-2" w:hanging="567"/>
        <w:rPr>
          <w:lang w:val="pl-PL"/>
        </w:rPr>
      </w:pPr>
      <w:r>
        <w:rPr>
          <w:szCs w:val="22"/>
          <w:lang w:val="pl-PL"/>
        </w:rPr>
        <w:t>Lek ten przepisano ściśle określonej osobie. Nie należy go przekazywać innym. Lek może zaszkodzić innej osobie, nawet jeśli objawy jej choroby są takie same.</w:t>
      </w:r>
    </w:p>
    <w:p>
      <w:pPr>
        <w:numPr>
          <w:ilvl w:val="0"/>
          <w:numId w:val="27"/>
        </w:numPr>
        <w:spacing w:line="240" w:lineRule="auto"/>
        <w:ind w:left="567" w:hanging="567"/>
        <w:rPr>
          <w:lang w:val="pl-PL"/>
        </w:rPr>
      </w:pPr>
      <w:r>
        <w:rPr>
          <w:szCs w:val="22"/>
          <w:lang w:val="pl-PL"/>
        </w:rPr>
        <w:t>Jeśli u pacjenta wystąpią jakiekolwiek objawy niepożądane, w tym wszelkie objawy niepożądane niewymienione w tej ulotce, należy powiedzieć o tym lekarzowi lub farmaceucie. Patrz punkt 4.</w:t>
      </w:r>
    </w:p>
    <w:p>
      <w:pPr>
        <w:tabs>
          <w:tab w:val="clear" w:pos="567"/>
        </w:tabs>
        <w:spacing w:line="240" w:lineRule="auto"/>
        <w:ind w:right="-2"/>
        <w:rPr>
          <w:lang w:val="pl-PL"/>
        </w:rPr>
      </w:pPr>
    </w:p>
    <w:p>
      <w:pPr>
        <w:numPr>
          <w:ilvl w:val="12"/>
          <w:numId w:val="0"/>
        </w:numPr>
        <w:tabs>
          <w:tab w:val="clear" w:pos="567"/>
        </w:tabs>
        <w:spacing w:line="240" w:lineRule="auto"/>
        <w:ind w:right="-2"/>
        <w:rPr>
          <w:b/>
          <w:lang w:val="pl-PL"/>
        </w:rPr>
      </w:pPr>
      <w:r>
        <w:rPr>
          <w:b/>
          <w:bCs/>
          <w:szCs w:val="22"/>
          <w:lang w:val="pl-PL"/>
        </w:rPr>
        <w:t>Spis treści ulotki</w:t>
      </w:r>
    </w:p>
    <w:p>
      <w:pPr>
        <w:numPr>
          <w:ilvl w:val="12"/>
          <w:numId w:val="0"/>
        </w:numPr>
        <w:tabs>
          <w:tab w:val="clear" w:pos="567"/>
        </w:tabs>
        <w:spacing w:line="240" w:lineRule="auto"/>
        <w:ind w:right="-2"/>
        <w:rPr>
          <w:lang w:val="pl-PL"/>
        </w:rPr>
      </w:pPr>
    </w:p>
    <w:p>
      <w:pPr>
        <w:numPr>
          <w:ilvl w:val="12"/>
          <w:numId w:val="0"/>
        </w:numPr>
        <w:spacing w:line="240" w:lineRule="auto"/>
        <w:ind w:right="-29"/>
        <w:rPr>
          <w:highlight w:val="yellow"/>
          <w:lang w:val="pl-PL"/>
        </w:rPr>
      </w:pPr>
      <w:r>
        <w:rPr>
          <w:szCs w:val="22"/>
          <w:lang w:val="pl-PL"/>
        </w:rPr>
        <w:t>1.</w:t>
      </w:r>
      <w:r>
        <w:rPr>
          <w:szCs w:val="22"/>
          <w:lang w:val="pl-PL"/>
        </w:rPr>
        <w:tab/>
        <w:t>Co to jest lek Sephience i w jakim celu się go stosuje</w:t>
      </w:r>
      <w:r>
        <w:rPr>
          <w:szCs w:val="22"/>
          <w:highlight w:val="yellow"/>
          <w:lang w:val="pl-PL"/>
        </w:rPr>
        <w:t xml:space="preserve"> </w:t>
      </w:r>
    </w:p>
    <w:p>
      <w:pPr>
        <w:numPr>
          <w:ilvl w:val="12"/>
          <w:numId w:val="0"/>
        </w:numPr>
        <w:spacing w:line="240" w:lineRule="auto"/>
        <w:ind w:right="-29"/>
        <w:rPr>
          <w:highlight w:val="yellow"/>
          <w:lang w:val="pl-PL"/>
        </w:rPr>
      </w:pPr>
      <w:r>
        <w:rPr>
          <w:szCs w:val="22"/>
          <w:lang w:val="pl-PL"/>
        </w:rPr>
        <w:t>2.</w:t>
      </w:r>
      <w:r>
        <w:rPr>
          <w:szCs w:val="22"/>
          <w:lang w:val="pl-PL"/>
        </w:rPr>
        <w:tab/>
        <w:t>Informacje ważne przed przyjęciem leku Sephience</w:t>
      </w:r>
    </w:p>
    <w:p>
      <w:pPr>
        <w:numPr>
          <w:ilvl w:val="12"/>
          <w:numId w:val="0"/>
        </w:numPr>
        <w:spacing w:line="240" w:lineRule="auto"/>
        <w:ind w:right="-29"/>
        <w:rPr>
          <w:highlight w:val="yellow"/>
          <w:lang w:val="pl-PL"/>
        </w:rPr>
      </w:pPr>
      <w:r>
        <w:rPr>
          <w:szCs w:val="22"/>
          <w:lang w:val="pl-PL"/>
        </w:rPr>
        <w:t>3.</w:t>
      </w:r>
      <w:r>
        <w:rPr>
          <w:szCs w:val="22"/>
          <w:lang w:val="pl-PL"/>
        </w:rPr>
        <w:tab/>
        <w:t>Jak przyjmować lek Sephience</w:t>
      </w:r>
    </w:p>
    <w:p>
      <w:pPr>
        <w:numPr>
          <w:ilvl w:val="12"/>
          <w:numId w:val="0"/>
        </w:numPr>
        <w:spacing w:line="240" w:lineRule="auto"/>
        <w:ind w:right="-29"/>
        <w:rPr>
          <w:highlight w:val="yellow"/>
          <w:lang w:val="pl-PL"/>
        </w:rPr>
      </w:pPr>
      <w:r>
        <w:rPr>
          <w:szCs w:val="22"/>
          <w:lang w:val="pl-PL"/>
        </w:rPr>
        <w:t>4.</w:t>
      </w:r>
      <w:r>
        <w:rPr>
          <w:szCs w:val="22"/>
          <w:lang w:val="pl-PL"/>
        </w:rPr>
        <w:tab/>
        <w:t>Możliwe działania niepożądane</w:t>
      </w:r>
      <w:r>
        <w:rPr>
          <w:szCs w:val="22"/>
          <w:highlight w:val="yellow"/>
          <w:lang w:val="pl-PL"/>
        </w:rPr>
        <w:t xml:space="preserve"> </w:t>
      </w:r>
    </w:p>
    <w:p>
      <w:pPr>
        <w:spacing w:line="240" w:lineRule="auto"/>
        <w:ind w:right="-29"/>
        <w:rPr>
          <w:highlight w:val="yellow"/>
          <w:lang w:val="pl-PL"/>
        </w:rPr>
      </w:pPr>
      <w:r>
        <w:rPr>
          <w:szCs w:val="22"/>
          <w:lang w:val="pl-PL"/>
        </w:rPr>
        <w:t>5.</w:t>
      </w:r>
      <w:r>
        <w:rPr>
          <w:szCs w:val="22"/>
          <w:lang w:val="pl-PL"/>
        </w:rPr>
        <w:tab/>
        <w:t>Jak przechowywać lek Sephience</w:t>
      </w:r>
    </w:p>
    <w:p>
      <w:pPr>
        <w:spacing w:line="240" w:lineRule="auto"/>
        <w:ind w:right="-29"/>
        <w:rPr>
          <w:lang w:val="pl-PL"/>
        </w:rPr>
      </w:pPr>
      <w:r>
        <w:rPr>
          <w:szCs w:val="22"/>
          <w:lang w:val="pl-PL"/>
        </w:rPr>
        <w:t>6.</w:t>
      </w:r>
      <w:r>
        <w:rPr>
          <w:szCs w:val="22"/>
          <w:lang w:val="pl-PL"/>
        </w:rPr>
        <w:tab/>
        <w:t>Zawartość opakowania i inne informacje</w:t>
      </w:r>
      <w:r>
        <w:rPr>
          <w:szCs w:val="22"/>
          <w:highlight w:val="yellow"/>
          <w:lang w:val="pl-PL"/>
        </w:rPr>
        <w:t xml:space="preserve"> </w:t>
      </w:r>
    </w:p>
    <w:p>
      <w:pPr>
        <w:numPr>
          <w:ilvl w:val="12"/>
          <w:numId w:val="0"/>
        </w:numPr>
        <w:tabs>
          <w:tab w:val="clear" w:pos="567"/>
        </w:tabs>
        <w:spacing w:line="240" w:lineRule="auto"/>
        <w:rPr>
          <w:szCs w:val="22"/>
          <w:lang w:val="pl-PL"/>
        </w:rPr>
      </w:pPr>
    </w:p>
    <w:p>
      <w:pPr>
        <w:numPr>
          <w:ilvl w:val="12"/>
          <w:numId w:val="0"/>
        </w:numPr>
        <w:tabs>
          <w:tab w:val="clear" w:pos="567"/>
        </w:tabs>
        <w:spacing w:line="240" w:lineRule="auto"/>
        <w:rPr>
          <w:szCs w:val="22"/>
          <w:lang w:val="pl-PL"/>
        </w:rPr>
      </w:pPr>
    </w:p>
    <w:p>
      <w:pPr>
        <w:spacing w:line="240" w:lineRule="auto"/>
        <w:ind w:right="-2"/>
        <w:rPr>
          <w:b/>
          <w:szCs w:val="22"/>
          <w:lang w:val="pl-PL"/>
        </w:rPr>
      </w:pPr>
      <w:r>
        <w:rPr>
          <w:b/>
          <w:bCs/>
          <w:szCs w:val="22"/>
          <w:lang w:val="pl-PL"/>
        </w:rPr>
        <w:t>1.</w:t>
      </w:r>
      <w:r>
        <w:rPr>
          <w:b/>
          <w:bCs/>
          <w:szCs w:val="22"/>
          <w:lang w:val="pl-PL"/>
        </w:rPr>
        <w:tab/>
        <w:t>Co to jest lek Sephience i w jakim celu się go stosuje</w:t>
      </w:r>
    </w:p>
    <w:p>
      <w:pPr>
        <w:numPr>
          <w:ilvl w:val="12"/>
          <w:numId w:val="0"/>
        </w:numPr>
        <w:tabs>
          <w:tab w:val="clear" w:pos="567"/>
          <w:tab w:val="left" w:pos="720"/>
        </w:tabs>
        <w:spacing w:line="240" w:lineRule="auto"/>
        <w:rPr>
          <w:szCs w:val="22"/>
          <w:lang w:val="pl-PL"/>
        </w:rPr>
      </w:pPr>
    </w:p>
    <w:p>
      <w:pPr>
        <w:tabs>
          <w:tab w:val="left" w:pos="720"/>
        </w:tabs>
        <w:rPr>
          <w:szCs w:val="22"/>
          <w:lang w:val="pl-PL"/>
        </w:rPr>
      </w:pPr>
      <w:bookmarkStart w:id="8" w:name="_Hlk152944872"/>
      <w:r>
        <w:rPr>
          <w:szCs w:val="22"/>
          <w:lang w:val="pl-PL"/>
        </w:rPr>
        <w:t xml:space="preserve">Sephience </w:t>
      </w:r>
      <w:bookmarkEnd w:id="8"/>
      <w:r>
        <w:rPr>
          <w:szCs w:val="22"/>
          <w:lang w:val="pl-PL"/>
        </w:rPr>
        <w:t>zawiera substancję czynną sepiapterynę, która jest stworzoną przez człowieka wersją naturalnie występującej substancji wymaganej do produkcji kofaktora BH4. Jest ona potrzebna niektórym enzymom (białkom) w organizmie do rozkładu aminokwasu fenyloalaniny na tyrozynę.</w:t>
      </w:r>
    </w:p>
    <w:p>
      <w:pPr>
        <w:numPr>
          <w:ilvl w:val="12"/>
          <w:numId w:val="0"/>
        </w:numPr>
        <w:tabs>
          <w:tab w:val="clear" w:pos="567"/>
          <w:tab w:val="left" w:pos="720"/>
        </w:tabs>
        <w:spacing w:line="240" w:lineRule="auto"/>
        <w:rPr>
          <w:szCs w:val="22"/>
          <w:lang w:val="pl-PL"/>
        </w:rPr>
      </w:pPr>
    </w:p>
    <w:p>
      <w:pPr>
        <w:tabs>
          <w:tab w:val="clear" w:pos="567"/>
          <w:tab w:val="left" w:pos="720"/>
        </w:tabs>
        <w:spacing w:line="240" w:lineRule="auto"/>
        <w:rPr>
          <w:lang w:val="pl-PL"/>
        </w:rPr>
      </w:pPr>
      <w:r>
        <w:rPr>
          <w:szCs w:val="22"/>
          <w:lang w:val="pl-PL"/>
        </w:rPr>
        <w:t>Lek Sephience jest stosowany w leczeniu hiperfenyloalaninemii (wysoki</w:t>
      </w:r>
      <w:r>
        <w:rPr>
          <w:lang w:val="pl-PL"/>
        </w:rPr>
        <w:t xml:space="preserve">ego stężenia fenyloalaniny  we krwi) </w:t>
      </w:r>
      <w:r>
        <w:rPr>
          <w:szCs w:val="22"/>
          <w:lang w:val="pl-PL"/>
        </w:rPr>
        <w:t xml:space="preserve">u pacjentów z fenyloketonurią (PKU) w każdym wieku. Organizm rozkłada białko znajdujące się w żywności na aminokwasy. PKU to choroba dziedziczna, w której organizm nie jest w stanie rozkładać aminokwasu </w:t>
      </w:r>
      <w:r>
        <w:rPr>
          <w:lang w:val="pl-PL"/>
        </w:rPr>
        <w:t>fenyloalaniny</w:t>
      </w:r>
      <w:r>
        <w:rPr>
          <w:szCs w:val="22"/>
          <w:lang w:val="pl-PL"/>
        </w:rPr>
        <w:t xml:space="preserve">, powodując jej nagromadzenie się we krwi i mózgu, co może być szkodliwe. </w:t>
      </w:r>
    </w:p>
    <w:p>
      <w:pPr>
        <w:numPr>
          <w:ilvl w:val="12"/>
          <w:numId w:val="0"/>
        </w:numPr>
        <w:tabs>
          <w:tab w:val="clear" w:pos="567"/>
        </w:tabs>
        <w:spacing w:line="240" w:lineRule="auto"/>
        <w:rPr>
          <w:iCs/>
          <w:szCs w:val="22"/>
          <w:lang w:val="pl-PL"/>
        </w:rPr>
      </w:pPr>
    </w:p>
    <w:p>
      <w:pPr>
        <w:numPr>
          <w:ilvl w:val="12"/>
          <w:numId w:val="0"/>
        </w:numPr>
        <w:tabs>
          <w:tab w:val="clear" w:pos="567"/>
        </w:tabs>
        <w:spacing w:line="240" w:lineRule="auto"/>
        <w:rPr>
          <w:iCs/>
          <w:szCs w:val="22"/>
          <w:lang w:val="pl-PL"/>
        </w:rPr>
      </w:pPr>
      <w:r>
        <w:rPr>
          <w:iCs/>
          <w:szCs w:val="22"/>
          <w:lang w:val="pl-PL"/>
        </w:rPr>
        <w:t xml:space="preserve">Sepiapteryna pomaga organizmowi rozkładać fenyloalaninę, co pozwala zmniejszyć szkodliwy nadmiar fenyloalaniny we krwi. </w:t>
      </w:r>
    </w:p>
    <w:p>
      <w:pPr>
        <w:numPr>
          <w:ilvl w:val="12"/>
          <w:numId w:val="0"/>
        </w:numPr>
        <w:tabs>
          <w:tab w:val="clear" w:pos="567"/>
        </w:tabs>
        <w:spacing w:line="240" w:lineRule="auto"/>
        <w:rPr>
          <w:iCs/>
          <w:szCs w:val="22"/>
          <w:lang w:val="pl-PL"/>
        </w:rPr>
      </w:pPr>
    </w:p>
    <w:p>
      <w:pPr>
        <w:spacing w:line="240" w:lineRule="auto"/>
        <w:ind w:right="-2"/>
        <w:rPr>
          <w:b/>
          <w:szCs w:val="22"/>
          <w:lang w:val="pl-PL"/>
        </w:rPr>
      </w:pPr>
      <w:r>
        <w:rPr>
          <w:b/>
          <w:bCs/>
          <w:szCs w:val="22"/>
          <w:lang w:val="pl-PL"/>
        </w:rPr>
        <w:t>2.</w:t>
      </w:r>
      <w:r>
        <w:rPr>
          <w:b/>
          <w:bCs/>
          <w:szCs w:val="22"/>
          <w:lang w:val="pl-PL"/>
        </w:rPr>
        <w:tab/>
        <w:t>Informacje ważne przed przyjęciem leku Sephience</w:t>
      </w:r>
    </w:p>
    <w:p>
      <w:pPr>
        <w:numPr>
          <w:ilvl w:val="12"/>
          <w:numId w:val="0"/>
        </w:numPr>
        <w:tabs>
          <w:tab w:val="clear" w:pos="567"/>
          <w:tab w:val="left" w:pos="720"/>
        </w:tabs>
        <w:spacing w:line="240" w:lineRule="auto"/>
        <w:rPr>
          <w:i/>
          <w:szCs w:val="22"/>
          <w:lang w:val="pl-PL"/>
        </w:rPr>
      </w:pPr>
    </w:p>
    <w:p>
      <w:pPr>
        <w:numPr>
          <w:ilvl w:val="12"/>
          <w:numId w:val="0"/>
        </w:numPr>
        <w:tabs>
          <w:tab w:val="clear" w:pos="567"/>
          <w:tab w:val="left" w:pos="720"/>
        </w:tabs>
        <w:spacing w:line="240" w:lineRule="auto"/>
        <w:rPr>
          <w:szCs w:val="22"/>
          <w:lang w:val="pl-PL"/>
        </w:rPr>
      </w:pPr>
      <w:r>
        <w:rPr>
          <w:b/>
          <w:bCs/>
          <w:szCs w:val="22"/>
          <w:lang w:val="pl-PL"/>
        </w:rPr>
        <w:t>Kiedy nie przyjmować leku Sephience</w:t>
      </w:r>
      <w:r>
        <w:rPr>
          <w:b/>
          <w:lang w:val="pl-PL"/>
        </w:rPr>
        <w:fldChar w:fldCharType="begin"/>
      </w:r>
      <w:r>
        <w:rPr>
          <w:b/>
          <w:lang w:val="pl-PL"/>
        </w:rPr>
        <w:instrText xml:space="preserve"> DOCVARIABLE vault_nd_22dca65a-1c53-4b0a-a2fb-a0bb7fead49a \* MERGEFORMAT </w:instrText>
      </w:r>
      <w:r>
        <w:rPr>
          <w:b/>
          <w:lang w:val="pl-PL"/>
        </w:rPr>
        <w:fldChar w:fldCharType="separate"/>
      </w:r>
      <w:r>
        <w:rPr>
          <w:b/>
          <w:bCs/>
          <w:szCs w:val="22"/>
          <w:lang w:val="pl-PL"/>
        </w:rPr>
        <w:t xml:space="preserve"> </w:t>
      </w:r>
      <w:r>
        <w:rPr>
          <w:b/>
          <w:lang w:val="pl-PL"/>
        </w:rPr>
        <w:fldChar w:fldCharType="end"/>
      </w:r>
    </w:p>
    <w:p>
      <w:pPr>
        <w:tabs>
          <w:tab w:val="clear" w:pos="567"/>
          <w:tab w:val="left" w:pos="720"/>
        </w:tabs>
        <w:spacing w:line="240" w:lineRule="auto"/>
        <w:ind w:left="567" w:hanging="567"/>
        <w:rPr>
          <w:lang w:val="pl-PL"/>
        </w:rPr>
      </w:pPr>
      <w:r>
        <w:rPr>
          <w:szCs w:val="22"/>
          <w:lang w:val="pl-PL"/>
        </w:rPr>
        <w:t>-</w:t>
      </w:r>
      <w:r>
        <w:rPr>
          <w:szCs w:val="22"/>
          <w:lang w:val="pl-PL"/>
        </w:rPr>
        <w:tab/>
        <w:t>jeśli pacjent ma uczulenie na sepiapterynę lub którykolwiek z pozostałych składników tego leku (wymienionych w punkcie 6).</w:t>
      </w:r>
    </w:p>
    <w:p>
      <w:pPr>
        <w:tabs>
          <w:tab w:val="clear" w:pos="567"/>
          <w:tab w:val="left" w:pos="720"/>
        </w:tabs>
        <w:spacing w:line="240" w:lineRule="auto"/>
        <w:rPr>
          <w:lang w:val="pl-PL"/>
        </w:rPr>
      </w:pPr>
    </w:p>
    <w:p>
      <w:pPr>
        <w:tabs>
          <w:tab w:val="clear" w:pos="567"/>
          <w:tab w:val="left" w:pos="720"/>
        </w:tabs>
        <w:spacing w:line="240" w:lineRule="auto"/>
        <w:rPr>
          <w:b/>
          <w:lang w:val="pl-PL"/>
        </w:rPr>
      </w:pPr>
      <w:r>
        <w:rPr>
          <w:b/>
          <w:bCs/>
          <w:szCs w:val="22"/>
          <w:lang w:val="pl-PL"/>
        </w:rPr>
        <w:t>Ostrzeżenia i środki ostrożności</w:t>
      </w:r>
      <w:r>
        <w:rPr>
          <w:b/>
          <w:highlight w:val="yellow"/>
          <w:lang w:val="pl-PL"/>
        </w:rPr>
        <w:fldChar w:fldCharType="begin"/>
      </w:r>
      <w:r>
        <w:rPr>
          <w:b/>
          <w:highlight w:val="yellow"/>
          <w:lang w:val="pl-PL"/>
        </w:rPr>
        <w:instrText xml:space="preserve"> DOCVARIABLE vault_nd_10c35ca3-0f18-4b6a-88f6-7dcc0cce44cf \* MERGEFORMAT </w:instrText>
      </w:r>
      <w:r>
        <w:rPr>
          <w:b/>
          <w:highlight w:val="yellow"/>
          <w:lang w:val="pl-PL"/>
        </w:rPr>
        <w:fldChar w:fldCharType="separate"/>
      </w:r>
      <w:r>
        <w:rPr>
          <w:b/>
          <w:bCs/>
          <w:szCs w:val="22"/>
          <w:highlight w:val="yellow"/>
          <w:lang w:val="pl-PL"/>
        </w:rPr>
        <w:t xml:space="preserve"> </w:t>
      </w:r>
      <w:r>
        <w:rPr>
          <w:b/>
          <w:highlight w:val="yellow"/>
          <w:lang w:val="pl-PL"/>
        </w:rPr>
        <w:fldChar w:fldCharType="end"/>
      </w:r>
    </w:p>
    <w:p>
      <w:pPr>
        <w:tabs>
          <w:tab w:val="clear" w:pos="567"/>
          <w:tab w:val="left" w:pos="720"/>
        </w:tabs>
        <w:spacing w:line="240" w:lineRule="auto"/>
        <w:rPr>
          <w:lang w:val="pl-PL"/>
        </w:rPr>
      </w:pPr>
      <w:r>
        <w:rPr>
          <w:szCs w:val="22"/>
          <w:lang w:val="pl-PL"/>
        </w:rPr>
        <w:t xml:space="preserve">Przed rozpoczęciem </w:t>
      </w:r>
      <w:r>
        <w:rPr>
          <w:lang w:val="pl-PL"/>
        </w:rPr>
        <w:t xml:space="preserve">przyjmowania </w:t>
      </w:r>
      <w:r>
        <w:rPr>
          <w:szCs w:val="22"/>
          <w:lang w:val="pl-PL"/>
        </w:rPr>
        <w:t xml:space="preserve">leku Sephience należy omówić to z lekarzem lub farmaceutą. </w:t>
      </w:r>
    </w:p>
    <w:p>
      <w:pPr>
        <w:tabs>
          <w:tab w:val="clear" w:pos="567"/>
          <w:tab w:val="left" w:pos="720"/>
        </w:tabs>
        <w:spacing w:line="240" w:lineRule="auto"/>
        <w:ind w:right="-2"/>
        <w:rPr>
          <w:lang w:val="pl-PL"/>
        </w:rPr>
      </w:pPr>
    </w:p>
    <w:p>
      <w:pPr>
        <w:tabs>
          <w:tab w:val="left" w:pos="720"/>
        </w:tabs>
        <w:ind w:right="-2"/>
        <w:rPr>
          <w:szCs w:val="22"/>
          <w:lang w:val="pl-PL"/>
        </w:rPr>
      </w:pPr>
      <w:r>
        <w:rPr>
          <w:szCs w:val="22"/>
          <w:lang w:val="pl-PL"/>
        </w:rPr>
        <w:t>Podczas leczenia lekiem Sephience lekarz lub pielęgniarka będą regularnie badać krew pacjenta w celu sprawdzenia stężenia fenyloalaniny.</w:t>
      </w:r>
    </w:p>
    <w:p>
      <w:pPr>
        <w:tabs>
          <w:tab w:val="clear" w:pos="567"/>
          <w:tab w:val="left" w:pos="720"/>
        </w:tabs>
        <w:spacing w:line="240" w:lineRule="auto"/>
        <w:ind w:right="-2"/>
        <w:rPr>
          <w:lang w:val="pl-PL"/>
        </w:rPr>
      </w:pPr>
    </w:p>
    <w:p>
      <w:pPr>
        <w:pStyle w:val="NormalWeb"/>
        <w:spacing w:before="0" w:beforeAutospacing="0" w:after="0" w:afterAutospacing="0"/>
        <w:rPr>
          <w:sz w:val="22"/>
          <w:szCs w:val="22"/>
          <w:lang w:val="pl-PL" w:eastAsia="pl-PL"/>
        </w:rPr>
      </w:pPr>
      <w:r>
        <w:rPr>
          <w:sz w:val="22"/>
          <w:szCs w:val="22"/>
          <w:lang w:val="pl-PL"/>
        </w:rPr>
        <w:t>Długoterminowe dane dotyczące bezpieczeństwa stosowania u pacjentów z PKU są ograniczone (patrz punkt 4 dotyczący dotychczas ocenionych działań niepożądanych stosowania leku Sephience).</w:t>
      </w:r>
    </w:p>
    <w:p>
      <w:pPr>
        <w:numPr>
          <w:ilvl w:val="12"/>
          <w:numId w:val="0"/>
        </w:numPr>
        <w:tabs>
          <w:tab w:val="clear" w:pos="567"/>
          <w:tab w:val="left" w:pos="720"/>
        </w:tabs>
        <w:spacing w:line="240" w:lineRule="auto"/>
        <w:rPr>
          <w:b/>
          <w:lang w:val="pl-PL"/>
        </w:rPr>
      </w:pPr>
    </w:p>
    <w:p>
      <w:pPr>
        <w:keepNext/>
        <w:numPr>
          <w:ilvl w:val="12"/>
          <w:numId w:val="0"/>
        </w:numPr>
        <w:tabs>
          <w:tab w:val="clear" w:pos="567"/>
          <w:tab w:val="left" w:pos="720"/>
        </w:tabs>
        <w:spacing w:line="240" w:lineRule="auto"/>
        <w:rPr>
          <w:lang w:val="pl-PL"/>
        </w:rPr>
      </w:pPr>
      <w:r>
        <w:rPr>
          <w:b/>
          <w:bCs/>
          <w:szCs w:val="22"/>
          <w:lang w:val="pl-PL"/>
        </w:rPr>
        <w:t>Lek Sephience a inne leki</w:t>
      </w:r>
    </w:p>
    <w:p>
      <w:pPr>
        <w:numPr>
          <w:ilvl w:val="12"/>
          <w:numId w:val="0"/>
        </w:numPr>
        <w:tabs>
          <w:tab w:val="left" w:pos="720"/>
        </w:tabs>
        <w:ind w:right="-2"/>
        <w:rPr>
          <w:szCs w:val="22"/>
          <w:lang w:val="pl-PL"/>
        </w:rPr>
      </w:pPr>
      <w:r>
        <w:rPr>
          <w:szCs w:val="22"/>
          <w:lang w:val="pl-PL"/>
        </w:rPr>
        <w:t xml:space="preserve">Należy powiedzieć lekarzowi lub farmaceucie o wszystkich lekach przyjmowanych przez pacjenta obecnie lub ostatnio, a także o lekach, które pacjent planuje przyjmować. </w:t>
      </w:r>
      <w:r>
        <w:rPr>
          <w:b/>
          <w:bCs/>
          <w:szCs w:val="22"/>
          <w:lang w:val="pl-PL"/>
        </w:rPr>
        <w:t>W szczególności</w:t>
      </w:r>
      <w:r>
        <w:rPr>
          <w:szCs w:val="22"/>
          <w:lang w:val="pl-PL"/>
        </w:rPr>
        <w:t xml:space="preserve"> należy poinformować lekarza, jeśli pacjent stosuje niektóre leki zwane „inhibitorami dihydrofolianu” (DHFR), takie jak antybiotyki, leki immunosupresyjne i leki stosowane w leczeniu nowotworów  </w:t>
      </w:r>
    </w:p>
    <w:p>
      <w:pPr>
        <w:numPr>
          <w:ilvl w:val="12"/>
          <w:numId w:val="0"/>
        </w:numPr>
        <w:tabs>
          <w:tab w:val="left" w:pos="720"/>
        </w:tabs>
        <w:ind w:right="-2"/>
        <w:rPr>
          <w:szCs w:val="22"/>
          <w:lang w:val="pl-PL"/>
        </w:rPr>
      </w:pPr>
      <w:r>
        <w:rPr>
          <w:szCs w:val="22"/>
          <w:lang w:val="pl-PL"/>
        </w:rPr>
        <w:t>(np. trimetoprym, metotreksat, pemetreksed, pralatreksat i trimetreksat), leki powodujące rozszerzenie naczyń krwionośnych (takie jak triazotan glicerolu (GTN), diazotan izosorbidu (ISDN), nitroprusydek sodu (SNP), molsydomina, minoksydyl) lub lewodopa (stosowana w leczeniu choroby Parkinsona). Stosowanie tych leków może wymagać częstszych badań krwi.</w:t>
      </w:r>
    </w:p>
    <w:p>
      <w:pPr>
        <w:numPr>
          <w:ilvl w:val="12"/>
          <w:numId w:val="0"/>
        </w:num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ind w:right="-2"/>
        <w:rPr>
          <w:b/>
          <w:szCs w:val="22"/>
          <w:lang w:val="pl-PL"/>
        </w:rPr>
      </w:pPr>
      <w:r>
        <w:rPr>
          <w:b/>
          <w:bCs/>
          <w:szCs w:val="22"/>
          <w:lang w:val="pl-PL"/>
        </w:rPr>
        <w:t>Ciąża, karmienie piersią i wpływ na płodność</w:t>
      </w:r>
      <w:r>
        <w:rPr>
          <w:b/>
          <w:highlight w:val="yellow"/>
          <w:lang w:val="pl-PL"/>
        </w:rPr>
        <w:fldChar w:fldCharType="begin"/>
      </w:r>
      <w:r>
        <w:rPr>
          <w:b/>
          <w:highlight w:val="yellow"/>
          <w:lang w:val="pl-PL"/>
        </w:rPr>
        <w:instrText xml:space="preserve"> DOCVARIABLE vault_nd_0cef9695-7fcb-4dd1-8ef1-2c09e07e9be2 \* MERGEFORMAT </w:instrText>
      </w:r>
      <w:r>
        <w:rPr>
          <w:b/>
          <w:highlight w:val="yellow"/>
          <w:lang w:val="pl-PL"/>
        </w:rPr>
        <w:fldChar w:fldCharType="separate"/>
      </w:r>
      <w:r>
        <w:rPr>
          <w:b/>
          <w:bCs/>
          <w:szCs w:val="22"/>
          <w:highlight w:val="yellow"/>
          <w:lang w:val="pl-PL"/>
        </w:rPr>
        <w:t xml:space="preserve"> </w:t>
      </w:r>
      <w:r>
        <w:rPr>
          <w:b/>
          <w:highlight w:val="yellow"/>
          <w:lang w:val="pl-PL"/>
        </w:rPr>
        <w:fldChar w:fldCharType="end"/>
      </w:r>
    </w:p>
    <w:p>
      <w:pPr>
        <w:tabs>
          <w:tab w:val="clear" w:pos="567"/>
          <w:tab w:val="left" w:pos="720"/>
        </w:tabs>
        <w:spacing w:line="240" w:lineRule="auto"/>
        <w:rPr>
          <w:lang w:val="pl-PL"/>
        </w:rPr>
      </w:pPr>
      <w:r>
        <w:rPr>
          <w:szCs w:val="22"/>
          <w:lang w:val="pl-PL"/>
        </w:rPr>
        <w:t>Jeśli pacjentka jest w ciąży lub karmi piersią, przypuszcza że może być w ciąży lub gdy planuje mieć dziecko, powinna poradzić się lekarza przed zastosowaniem tego leku. Jako środek ostrożności zaleca się unikanie stosowania sepiapteryny w przypadku kobiet w ciąży lub karmiących piersią.</w:t>
      </w:r>
    </w:p>
    <w:p>
      <w:pPr>
        <w:tabs>
          <w:tab w:val="clear" w:pos="567"/>
          <w:tab w:val="left" w:pos="720"/>
        </w:tabs>
        <w:spacing w:line="240" w:lineRule="auto"/>
        <w:rPr>
          <w:lang w:val="pl-PL"/>
        </w:rPr>
      </w:pPr>
    </w:p>
    <w:p>
      <w:pPr>
        <w:tabs>
          <w:tab w:val="clear" w:pos="567"/>
          <w:tab w:val="left" w:pos="720"/>
        </w:tabs>
        <w:spacing w:line="240" w:lineRule="auto"/>
        <w:rPr>
          <w:lang w:val="pl-PL"/>
        </w:rPr>
      </w:pPr>
      <w:r>
        <w:rPr>
          <w:szCs w:val="22"/>
          <w:lang w:val="pl-PL"/>
        </w:rPr>
        <w:t>Nie oczekuje się, by lek Sephience miał wpływ na płodność.</w:t>
      </w:r>
    </w:p>
    <w:p>
      <w:pPr>
        <w:numPr>
          <w:ilvl w:val="12"/>
          <w:numId w:val="0"/>
        </w:numPr>
        <w:tabs>
          <w:tab w:val="clear" w:pos="567"/>
          <w:tab w:val="left" w:pos="720"/>
        </w:tabs>
        <w:spacing w:line="240" w:lineRule="auto"/>
        <w:rPr>
          <w:szCs w:val="22"/>
          <w:lang w:val="pl-PL"/>
        </w:rPr>
      </w:pPr>
    </w:p>
    <w:p>
      <w:pPr>
        <w:numPr>
          <w:ilvl w:val="12"/>
          <w:numId w:val="0"/>
        </w:numPr>
        <w:tabs>
          <w:tab w:val="clear" w:pos="567"/>
          <w:tab w:val="left" w:pos="720"/>
        </w:tabs>
        <w:spacing w:line="240" w:lineRule="auto"/>
        <w:ind w:right="-2"/>
        <w:rPr>
          <w:szCs w:val="22"/>
          <w:lang w:val="pl-PL"/>
        </w:rPr>
      </w:pPr>
      <w:r>
        <w:rPr>
          <w:b/>
          <w:bCs/>
          <w:szCs w:val="22"/>
          <w:lang w:val="pl-PL"/>
        </w:rPr>
        <w:t>Prowadzenie pojazdów i obsługiwanie maszyn</w:t>
      </w:r>
      <w:r>
        <w:rPr>
          <w:b/>
          <w:szCs w:val="22"/>
          <w:highlight w:val="yellow"/>
          <w:lang w:val="pl-PL"/>
        </w:rPr>
        <w:fldChar w:fldCharType="begin"/>
      </w:r>
      <w:r>
        <w:rPr>
          <w:b/>
          <w:szCs w:val="22"/>
          <w:highlight w:val="yellow"/>
          <w:lang w:val="pl-PL"/>
        </w:rPr>
        <w:instrText xml:space="preserve"> DOCVARIABLE vault_nd_045adabd-9985-46a0-a441-17689a98e693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numPr>
          <w:ilvl w:val="12"/>
          <w:numId w:val="0"/>
        </w:numPr>
        <w:tabs>
          <w:tab w:val="clear" w:pos="567"/>
          <w:tab w:val="left" w:pos="720"/>
        </w:tabs>
        <w:spacing w:line="240" w:lineRule="auto"/>
        <w:ind w:right="-2"/>
        <w:rPr>
          <w:szCs w:val="22"/>
          <w:lang w:val="pl-PL"/>
        </w:rPr>
      </w:pPr>
      <w:r>
        <w:rPr>
          <w:szCs w:val="22"/>
          <w:lang w:val="pl-PL"/>
        </w:rPr>
        <w:t>Nie oczekuje się, by lek Sephience wpływał na zdolność prowadzenia pojazdów i obsługiwania maszyn.</w:t>
      </w:r>
    </w:p>
    <w:p>
      <w:pPr>
        <w:spacing w:line="240" w:lineRule="auto"/>
        <w:ind w:right="-2"/>
        <w:rPr>
          <w:b/>
          <w:lang w:val="pl-PL"/>
        </w:rPr>
      </w:pPr>
    </w:p>
    <w:p>
      <w:pPr>
        <w:spacing w:line="240" w:lineRule="auto"/>
        <w:ind w:right="-2"/>
        <w:rPr>
          <w:b/>
          <w:bCs/>
          <w:szCs w:val="22"/>
          <w:lang w:val="pl-PL"/>
        </w:rPr>
      </w:pPr>
      <w:r>
        <w:rPr>
          <w:b/>
          <w:bCs/>
          <w:szCs w:val="22"/>
          <w:lang w:val="pl-PL"/>
        </w:rPr>
        <w:t>Lek Sephience zawiera sód</w:t>
      </w:r>
    </w:p>
    <w:p>
      <w:pPr>
        <w:spacing w:line="240" w:lineRule="auto"/>
        <w:ind w:right="-2"/>
        <w:rPr>
          <w:lang w:val="pl-PL"/>
        </w:rPr>
      </w:pPr>
      <w:r>
        <w:rPr>
          <w:lang w:val="pl-PL"/>
        </w:rPr>
        <w:t>Lek zawiera mniej niż 1 mmol (23 mg) sodu na saszetkę, to znaczy, że lek uznaje się za „wolny od sodu”.</w:t>
      </w:r>
    </w:p>
    <w:p>
      <w:pPr>
        <w:spacing w:line="240" w:lineRule="auto"/>
        <w:ind w:right="-2"/>
        <w:rPr>
          <w:lang w:val="pl-PL"/>
        </w:rPr>
      </w:pPr>
    </w:p>
    <w:p>
      <w:pPr>
        <w:spacing w:line="240" w:lineRule="auto"/>
        <w:ind w:right="-2"/>
        <w:rPr>
          <w:b/>
          <w:bCs/>
          <w:lang w:val="pl-PL"/>
        </w:rPr>
      </w:pPr>
      <w:r>
        <w:rPr>
          <w:b/>
          <w:bCs/>
          <w:szCs w:val="22"/>
          <w:lang w:val="pl-PL"/>
        </w:rPr>
        <w:t xml:space="preserve">Lek Sephience zawiera izomalt (E953) </w:t>
      </w:r>
    </w:p>
    <w:p>
      <w:pPr>
        <w:spacing w:line="240" w:lineRule="auto"/>
        <w:ind w:right="-2"/>
        <w:rPr>
          <w:b/>
          <w:lang w:val="pl-PL"/>
        </w:rPr>
      </w:pPr>
      <w:r>
        <w:rPr>
          <w:szCs w:val="22"/>
          <w:lang w:val="pl-PL"/>
        </w:rPr>
        <w:t>Jeżeli stwierdzono wcześniej u pacjenta nietolerancję niektórych cukrów, pacjent powinien skontaktować się z lekarzem przed przyjęciem leku.</w:t>
      </w:r>
    </w:p>
    <w:p>
      <w:pPr>
        <w:spacing w:line="240" w:lineRule="auto"/>
        <w:ind w:right="-2"/>
        <w:rPr>
          <w:b/>
          <w:lang w:val="pl-PL"/>
        </w:rPr>
      </w:pPr>
    </w:p>
    <w:p>
      <w:pPr>
        <w:spacing w:line="240" w:lineRule="auto"/>
        <w:ind w:right="-2"/>
        <w:rPr>
          <w:b/>
          <w:lang w:val="pl-PL"/>
        </w:rPr>
      </w:pPr>
    </w:p>
    <w:p>
      <w:pPr>
        <w:spacing w:line="240" w:lineRule="auto"/>
        <w:ind w:right="-2"/>
        <w:rPr>
          <w:b/>
          <w:szCs w:val="22"/>
          <w:lang w:val="pl-PL"/>
        </w:rPr>
      </w:pPr>
      <w:r>
        <w:rPr>
          <w:b/>
          <w:bCs/>
          <w:szCs w:val="22"/>
          <w:lang w:val="pl-PL"/>
        </w:rPr>
        <w:t>3.</w:t>
      </w:r>
      <w:r>
        <w:rPr>
          <w:b/>
          <w:bCs/>
          <w:szCs w:val="22"/>
          <w:lang w:val="pl-PL"/>
        </w:rPr>
        <w:tab/>
        <w:t>Jak przyjmować lek Sephience</w:t>
      </w:r>
    </w:p>
    <w:p>
      <w:pPr>
        <w:numPr>
          <w:ilvl w:val="12"/>
          <w:numId w:val="0"/>
        </w:num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ind w:right="-2"/>
        <w:rPr>
          <w:szCs w:val="22"/>
          <w:lang w:val="pl-PL"/>
        </w:rPr>
      </w:pPr>
      <w:r>
        <w:rPr>
          <w:bCs/>
          <w:szCs w:val="22"/>
          <w:lang w:val="pl-PL"/>
        </w:rPr>
        <w:t>Ten lek należy zawsze przyjmować zgodnie z zaleceniami lekarza. W razie wątpliwości należy zwrócić się do lekarza.</w:t>
      </w:r>
    </w:p>
    <w:p>
      <w:pPr>
        <w:numPr>
          <w:ilvl w:val="12"/>
          <w:numId w:val="0"/>
        </w:num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ind w:right="-2"/>
        <w:rPr>
          <w:szCs w:val="22"/>
          <w:lang w:val="pl-PL"/>
        </w:rPr>
      </w:pPr>
      <w:r>
        <w:rPr>
          <w:szCs w:val="22"/>
          <w:lang w:val="pl-PL"/>
        </w:rPr>
        <w:t xml:space="preserve">Lek Sephience jest dostępny w postaci proszku, który rozpuszcza się w płynie, takim jak woda, sok jabłkowy lub inny pokarm o delikatnej konsystencji, a następnie mieszaninę tę przyjmuje się doustnie. Lek może być również podawany przez zgłębnik dojelitowy. </w:t>
      </w:r>
    </w:p>
    <w:p>
      <w:pPr>
        <w:numPr>
          <w:ilvl w:val="12"/>
          <w:numId w:val="0"/>
        </w:num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ind w:right="-2"/>
        <w:rPr>
          <w:szCs w:val="22"/>
          <w:lang w:val="pl-PL"/>
        </w:rPr>
      </w:pPr>
      <w:r>
        <w:rPr>
          <w:b/>
          <w:bCs/>
          <w:szCs w:val="22"/>
          <w:lang w:val="pl-PL"/>
        </w:rPr>
        <w:t>Jaką dawkę leku Sephience należy przyjmować</w:t>
      </w:r>
    </w:p>
    <w:p>
      <w:pPr>
        <w:tabs>
          <w:tab w:val="left" w:pos="720"/>
        </w:tabs>
        <w:ind w:right="-2"/>
        <w:rPr>
          <w:szCs w:val="22"/>
          <w:lang w:val="pl-PL"/>
        </w:rPr>
      </w:pPr>
      <w:r>
        <w:rPr>
          <w:szCs w:val="22"/>
          <w:lang w:val="pl-PL"/>
        </w:rPr>
        <w:t>Dawka, która zależy od wieku i masy ciała pacjenta w kilogramach (kg), zostanie obliczona przez lekarza przepisującego lek pacjentowi. Na podstawie obliczonej dawki lekarz wskaże, ile saszetek należy przyjmować na dobę.</w:t>
      </w:r>
    </w:p>
    <w:p>
      <w:p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ind w:right="-2"/>
        <w:rPr>
          <w:szCs w:val="22"/>
          <w:lang w:val="pl-PL"/>
        </w:rPr>
      </w:pPr>
      <w:r>
        <w:rPr>
          <w:szCs w:val="22"/>
          <w:lang w:val="pl-PL"/>
        </w:rPr>
        <w:t xml:space="preserve">Zalecana dawka to: </w:t>
      </w:r>
    </w:p>
    <w:p>
      <w:pPr>
        <w:numPr>
          <w:ilvl w:val="12"/>
          <w:numId w:val="0"/>
        </w:numPr>
        <w:tabs>
          <w:tab w:val="clear" w:pos="567"/>
          <w:tab w:val="left" w:pos="720"/>
        </w:tabs>
        <w:spacing w:line="240" w:lineRule="auto"/>
        <w:ind w:right="-2"/>
        <w:rPr>
          <w:lang w:val="pl-PL"/>
        </w:rPr>
      </w:pPr>
    </w:p>
    <w:p>
      <w:pPr>
        <w:spacing w:line="240" w:lineRule="auto"/>
        <w:rPr>
          <w:b/>
          <w:bCs/>
          <w:i/>
          <w:iCs/>
          <w:lang w:val="pl-PL"/>
        </w:rPr>
      </w:pPr>
      <w:r>
        <w:rPr>
          <w:b/>
          <w:bCs/>
          <w:iCs/>
          <w:szCs w:val="22"/>
          <w:lang w:val="pl-PL"/>
        </w:rPr>
        <w:t>Dzieci poniżej 2 lat</w:t>
      </w:r>
    </w:p>
    <w:p>
      <w:pPr>
        <w:pStyle w:val="ListParagraph"/>
        <w:numPr>
          <w:ilvl w:val="0"/>
          <w:numId w:val="29"/>
        </w:numPr>
        <w:tabs>
          <w:tab w:val="clear" w:pos="567"/>
        </w:tabs>
        <w:spacing w:line="240" w:lineRule="auto"/>
        <w:ind w:left="567" w:hanging="567"/>
        <w:rPr>
          <w:lang w:val="pl-PL"/>
        </w:rPr>
      </w:pPr>
      <w:r>
        <w:rPr>
          <w:szCs w:val="22"/>
          <w:lang w:val="pl-PL"/>
        </w:rPr>
        <w:t>W wieku poniżej 6 miesięcy: 7,5 mg/kg masy ciała raz na dobę</w:t>
      </w:r>
    </w:p>
    <w:p>
      <w:pPr>
        <w:pStyle w:val="ListParagraph"/>
        <w:numPr>
          <w:ilvl w:val="0"/>
          <w:numId w:val="29"/>
        </w:numPr>
        <w:tabs>
          <w:tab w:val="clear" w:pos="567"/>
        </w:tabs>
        <w:spacing w:line="240" w:lineRule="auto"/>
        <w:ind w:left="567" w:hanging="567"/>
        <w:rPr>
          <w:lang w:val="pl-PL"/>
        </w:rPr>
      </w:pPr>
      <w:r>
        <w:rPr>
          <w:szCs w:val="22"/>
          <w:lang w:val="pl-PL"/>
        </w:rPr>
        <w:t>W wieku od 6 do 12 miesięcy: 15 mg/kg masy ciała raz na dobę</w:t>
      </w:r>
    </w:p>
    <w:p>
      <w:pPr>
        <w:pStyle w:val="ListParagraph"/>
        <w:numPr>
          <w:ilvl w:val="0"/>
          <w:numId w:val="29"/>
        </w:numPr>
        <w:tabs>
          <w:tab w:val="clear" w:pos="567"/>
        </w:tabs>
        <w:spacing w:line="240" w:lineRule="auto"/>
        <w:ind w:left="567" w:hanging="567"/>
        <w:rPr>
          <w:lang w:val="pl-PL"/>
        </w:rPr>
      </w:pPr>
      <w:r>
        <w:rPr>
          <w:szCs w:val="22"/>
          <w:lang w:val="pl-PL"/>
        </w:rPr>
        <w:t>W wieku od 12 do 24 miesięcy: 30 mg/kg masy ciała raz na dobę</w:t>
      </w:r>
    </w:p>
    <w:p>
      <w:pPr>
        <w:tabs>
          <w:tab w:val="clear" w:pos="567"/>
        </w:tabs>
        <w:spacing w:line="240" w:lineRule="auto"/>
        <w:ind w:left="1134"/>
        <w:rPr>
          <w:i/>
          <w:iCs/>
          <w:lang w:val="pl-PL"/>
        </w:rPr>
      </w:pPr>
    </w:p>
    <w:p>
      <w:pPr>
        <w:spacing w:line="240" w:lineRule="auto"/>
        <w:rPr>
          <w:b/>
          <w:bCs/>
          <w:i/>
          <w:iCs/>
          <w:lang w:val="pl-PL"/>
        </w:rPr>
      </w:pPr>
      <w:r>
        <w:rPr>
          <w:b/>
          <w:bCs/>
          <w:iCs/>
          <w:szCs w:val="22"/>
          <w:lang w:val="pl-PL"/>
        </w:rPr>
        <w:t>Dorośli i dzieci powyżej 2 lat</w:t>
      </w:r>
    </w:p>
    <w:p>
      <w:pPr>
        <w:numPr>
          <w:ilvl w:val="12"/>
          <w:numId w:val="0"/>
        </w:numPr>
        <w:tabs>
          <w:tab w:val="clear" w:pos="567"/>
          <w:tab w:val="left" w:pos="720"/>
        </w:tabs>
        <w:spacing w:line="240" w:lineRule="auto"/>
        <w:ind w:right="-2"/>
        <w:rPr>
          <w:bCs/>
          <w:szCs w:val="22"/>
          <w:lang w:val="pl-PL"/>
        </w:rPr>
      </w:pPr>
      <w:r>
        <w:rPr>
          <w:bCs/>
          <w:szCs w:val="22"/>
          <w:lang w:val="pl-PL"/>
        </w:rPr>
        <w:t>Zalecana dawka to 60 mg/kg masy ciała raz na dobę.</w:t>
      </w:r>
      <w:r>
        <w:rPr>
          <w:bCs/>
          <w:szCs w:val="22"/>
          <w:lang w:val="pl-PL"/>
        </w:rPr>
        <w:fldChar w:fldCharType="begin"/>
      </w:r>
      <w:r>
        <w:rPr>
          <w:bCs/>
          <w:szCs w:val="22"/>
          <w:lang w:val="pl-PL"/>
        </w:rPr>
        <w:instrText xml:space="preserve"> DOCVARIABLE vault_nd_0e225abd-eb88-41ec-babb-8627d47153ce \* MERGEFORMAT </w:instrText>
      </w:r>
      <w:r>
        <w:rPr>
          <w:bCs/>
          <w:szCs w:val="22"/>
          <w:lang w:val="pl-PL"/>
        </w:rPr>
        <w:fldChar w:fldCharType="separate"/>
      </w:r>
      <w:r>
        <w:rPr>
          <w:bCs/>
          <w:szCs w:val="22"/>
          <w:lang w:val="pl-PL"/>
        </w:rPr>
        <w:t xml:space="preserve"> </w:t>
      </w:r>
      <w:r>
        <w:rPr>
          <w:bCs/>
          <w:szCs w:val="22"/>
          <w:lang w:val="pl-PL"/>
        </w:rPr>
        <w:fldChar w:fldCharType="end"/>
      </w:r>
    </w:p>
    <w:p>
      <w:pPr>
        <w:numPr>
          <w:ilvl w:val="12"/>
          <w:numId w:val="0"/>
        </w:numPr>
        <w:tabs>
          <w:tab w:val="clear" w:pos="567"/>
          <w:tab w:val="left" w:pos="720"/>
        </w:tabs>
        <w:spacing w:line="240" w:lineRule="auto"/>
        <w:ind w:right="-2"/>
        <w:rPr>
          <w:bCs/>
          <w:szCs w:val="22"/>
          <w:lang w:val="pl-PL"/>
        </w:rPr>
      </w:pPr>
    </w:p>
    <w:p>
      <w:pPr>
        <w:keepNext/>
        <w:keepLines/>
        <w:tabs>
          <w:tab w:val="clear" w:pos="567"/>
          <w:tab w:val="left" w:pos="720"/>
        </w:tabs>
        <w:spacing w:line="240" w:lineRule="auto"/>
        <w:rPr>
          <w:b/>
          <w:szCs w:val="22"/>
          <w:lang w:val="pl-PL"/>
        </w:rPr>
      </w:pPr>
      <w:r>
        <w:rPr>
          <w:b/>
          <w:bCs/>
          <w:szCs w:val="22"/>
          <w:lang w:val="pl-PL"/>
        </w:rPr>
        <w:t>Jak przyjmować lek Sephience</w:t>
      </w:r>
      <w:r>
        <w:rPr>
          <w:b/>
          <w:bCs/>
          <w:lang w:val="pl-PL"/>
        </w:rPr>
        <w:fldChar w:fldCharType="begin"/>
      </w:r>
      <w:r>
        <w:rPr>
          <w:b/>
          <w:bCs/>
          <w:lang w:val="pl-PL"/>
        </w:rPr>
        <w:instrText xml:space="preserve"> DOCVARIABLE vault_nd_6fa85a7a-1bbc-4503-b1f7-77846920be23 \* MERGEFORMAT </w:instrText>
      </w:r>
      <w:r>
        <w:rPr>
          <w:b/>
          <w:bCs/>
          <w:lang w:val="pl-PL"/>
        </w:rPr>
        <w:fldChar w:fldCharType="separate"/>
      </w:r>
      <w:r>
        <w:rPr>
          <w:b/>
          <w:bCs/>
          <w:szCs w:val="22"/>
          <w:lang w:val="pl-PL"/>
        </w:rPr>
        <w:t xml:space="preserve"> </w:t>
      </w:r>
      <w:r>
        <w:rPr>
          <w:b/>
          <w:bCs/>
          <w:lang w:val="pl-PL"/>
        </w:rPr>
        <w:fldChar w:fldCharType="end"/>
      </w:r>
    </w:p>
    <w:p>
      <w:pPr>
        <w:keepNext/>
        <w:spacing w:line="240" w:lineRule="auto"/>
        <w:rPr>
          <w:lang w:val="pl-PL"/>
        </w:rPr>
      </w:pPr>
      <w:r>
        <w:rPr>
          <w:szCs w:val="22"/>
          <w:lang w:val="pl-PL"/>
        </w:rPr>
        <w:t>Lek Sephience można mieszać z wodą, sokiem jabłkowym lub pokarmami o delikatnej konsystencji, takimi jak mus jabłkowy lub dżem. Dawka zależy od wieku i masy ciała pacjenta. Lekarz poinformuje pacjenta:</w:t>
      </w:r>
    </w:p>
    <w:p>
      <w:pPr>
        <w:pStyle w:val="ListParagraph"/>
        <w:numPr>
          <w:ilvl w:val="0"/>
          <w:numId w:val="29"/>
        </w:numPr>
        <w:tabs>
          <w:tab w:val="clear" w:pos="567"/>
        </w:tabs>
        <w:spacing w:line="240" w:lineRule="auto"/>
        <w:ind w:left="567" w:hanging="567"/>
        <w:rPr>
          <w:lang w:val="pl-PL"/>
        </w:rPr>
      </w:pPr>
      <w:r>
        <w:rPr>
          <w:szCs w:val="22"/>
          <w:lang w:val="pl-PL"/>
        </w:rPr>
        <w:t>który rodzaj saszetki (250 mg lub 1 000 mg) należy stosować;</w:t>
      </w:r>
    </w:p>
    <w:p>
      <w:pPr>
        <w:pStyle w:val="ListParagraph"/>
        <w:numPr>
          <w:ilvl w:val="0"/>
          <w:numId w:val="29"/>
        </w:numPr>
        <w:tabs>
          <w:tab w:val="clear" w:pos="567"/>
        </w:tabs>
        <w:spacing w:line="240" w:lineRule="auto"/>
        <w:ind w:left="567" w:hanging="567"/>
        <w:rPr>
          <w:lang w:val="pl-PL"/>
        </w:rPr>
      </w:pPr>
      <w:r>
        <w:rPr>
          <w:szCs w:val="22"/>
          <w:lang w:val="pl-PL"/>
        </w:rPr>
        <w:t>ile wody, soku jabłkowego lub pokarmów o delikatnej konsystencji należy dodać do leku Sephience;</w:t>
      </w:r>
    </w:p>
    <w:p>
      <w:pPr>
        <w:pStyle w:val="ListParagraph"/>
        <w:numPr>
          <w:ilvl w:val="0"/>
          <w:numId w:val="29"/>
        </w:numPr>
        <w:tabs>
          <w:tab w:val="clear" w:pos="567"/>
        </w:tabs>
        <w:spacing w:line="240" w:lineRule="auto"/>
        <w:ind w:left="567" w:hanging="567"/>
        <w:rPr>
          <w:lang w:val="pl-PL"/>
        </w:rPr>
      </w:pPr>
      <w:r>
        <w:rPr>
          <w:szCs w:val="22"/>
          <w:lang w:val="pl-PL"/>
        </w:rPr>
        <w:t>ile mieszaniny należy przyjąć w celu przyjęcia przepisanej dawki.</w:t>
      </w:r>
    </w:p>
    <w:p>
      <w:pPr>
        <w:pStyle w:val="ListParagraph"/>
        <w:numPr>
          <w:ilvl w:val="0"/>
          <w:numId w:val="29"/>
        </w:numPr>
        <w:tabs>
          <w:tab w:val="clear" w:pos="567"/>
        </w:tabs>
        <w:spacing w:line="240" w:lineRule="auto"/>
        <w:ind w:left="567" w:hanging="567"/>
        <w:rPr>
          <w:lang w:val="pl-PL"/>
        </w:rPr>
      </w:pPr>
      <w:r>
        <w:rPr>
          <w:szCs w:val="22"/>
          <w:lang w:val="pl-PL"/>
        </w:rPr>
        <w:t>w razie konieczności lek Saphience może być podawany przez zgłębnik dojelitowy. W celu uzyskania szczegółowych informacji należy porozmawiać z lekarzem, farmaceutą lub pielęgniarką.</w:t>
      </w:r>
    </w:p>
    <w:p>
      <w:pPr>
        <w:spacing w:line="240" w:lineRule="auto"/>
        <w:rPr>
          <w:lang w:val="pl-PL"/>
        </w:rPr>
      </w:pPr>
    </w:p>
    <w:p>
      <w:pPr>
        <w:spacing w:line="240" w:lineRule="auto"/>
        <w:rPr>
          <w:b/>
          <w:bCs/>
          <w:lang w:val="pl-PL"/>
        </w:rPr>
      </w:pPr>
      <w:r>
        <w:rPr>
          <w:b/>
          <w:bCs/>
          <w:szCs w:val="22"/>
          <w:lang w:val="pl-PL"/>
        </w:rPr>
        <w:t>Istnieją 4 grupy dawkowania na podstawie wieku i masy ciała.</w:t>
      </w:r>
    </w:p>
    <w:p>
      <w:pPr>
        <w:spacing w:line="240" w:lineRule="auto"/>
        <w:rPr>
          <w:bCs/>
          <w:i/>
          <w:iCs/>
          <w:szCs w:val="22"/>
          <w:lang w:val="pl-PL"/>
        </w:rPr>
      </w:pPr>
    </w:p>
    <w:p>
      <w:pPr>
        <w:spacing w:line="240" w:lineRule="auto"/>
        <w:ind w:right="-2"/>
        <w:rPr>
          <w:lang w:val="pl-PL" w:eastAsia="pl-PL"/>
        </w:rPr>
      </w:pPr>
      <w:r>
        <w:rPr>
          <w:b/>
          <w:bCs/>
          <w:szCs w:val="22"/>
          <w:lang w:val="pl-PL"/>
        </w:rPr>
        <w:t>1.</w:t>
      </w:r>
      <w:r>
        <w:rPr>
          <w:b/>
          <w:bCs/>
          <w:szCs w:val="22"/>
          <w:lang w:val="pl-PL"/>
        </w:rPr>
        <w:tab/>
        <w:t>W przypadku niemowląt w wieku poniżej 12 miesięcy o masie ciała 16 kg lub mniejszej (patrz Tabela 1)</w:t>
      </w:r>
      <w:r>
        <w:rPr>
          <w:b/>
          <w:szCs w:val="22"/>
          <w:lang w:val="pl-PL"/>
        </w:rPr>
        <w:fldChar w:fldCharType="begin"/>
      </w:r>
      <w:r>
        <w:rPr>
          <w:b/>
          <w:szCs w:val="22"/>
          <w:lang w:val="pl-PL"/>
        </w:rPr>
        <w:instrText xml:space="preserve"> DOCVARIABLE vault_nd_8ae7d81b-5069-42a5-9d53-daf0b9a35204 \* MERGEFORMAT </w:instrText>
      </w:r>
      <w:r>
        <w:rPr>
          <w:b/>
          <w:szCs w:val="22"/>
          <w:lang w:val="pl-PL"/>
        </w:rPr>
        <w:fldChar w:fldCharType="separate"/>
      </w:r>
      <w:r>
        <w:rPr>
          <w:b/>
          <w:bCs/>
          <w:szCs w:val="22"/>
          <w:lang w:val="pl-PL"/>
        </w:rPr>
        <w:t xml:space="preserve"> </w:t>
      </w:r>
      <w:r>
        <w:rPr>
          <w:b/>
          <w:szCs w:val="22"/>
          <w:lang w:val="pl-PL"/>
        </w:rPr>
        <w:fldChar w:fldCharType="end"/>
      </w:r>
      <w:bookmarkStart w:id="9" w:name="_Hlk181635342"/>
      <w:bookmarkStart w:id="10" w:name="_Hlk181281461"/>
    </w:p>
    <w:p>
      <w:pPr>
        <w:pStyle w:val="ListParagraph"/>
        <w:numPr>
          <w:ilvl w:val="0"/>
          <w:numId w:val="31"/>
        </w:numPr>
        <w:tabs>
          <w:tab w:val="clear" w:pos="567"/>
        </w:tabs>
        <w:spacing w:line="240" w:lineRule="auto"/>
        <w:ind w:left="567" w:hanging="567"/>
        <w:rPr>
          <w:bCs/>
          <w:szCs w:val="22"/>
          <w:lang w:val="pl-PL"/>
        </w:rPr>
      </w:pPr>
      <w:r>
        <w:rPr>
          <w:lang w:val="pl-PL"/>
        </w:rPr>
        <w:t>Lek należy przyjmować dokładnie tak, jak zalecił lekarz, zgodnie z przepisaną dawką.</w:t>
      </w:r>
    </w:p>
    <w:p>
      <w:pPr>
        <w:pStyle w:val="ListParagraph"/>
        <w:numPr>
          <w:ilvl w:val="0"/>
          <w:numId w:val="31"/>
        </w:numPr>
        <w:tabs>
          <w:tab w:val="clear" w:pos="567"/>
        </w:tabs>
        <w:spacing w:line="240" w:lineRule="auto"/>
        <w:ind w:left="567" w:hanging="567"/>
        <w:rPr>
          <w:bCs/>
          <w:szCs w:val="22"/>
          <w:lang w:val="pl-PL"/>
        </w:rPr>
      </w:pPr>
      <w:r>
        <w:rPr>
          <w:szCs w:val="22"/>
          <w:lang w:val="pl-PL"/>
        </w:rPr>
        <w:t xml:space="preserve">U pacjentów w tej grupie dawkowania zostanie wykorzystana </w:t>
      </w:r>
      <w:r>
        <w:rPr>
          <w:b/>
          <w:bCs/>
          <w:szCs w:val="22"/>
          <w:lang w:val="pl-PL"/>
        </w:rPr>
        <w:t>jedna</w:t>
      </w:r>
      <w:r>
        <w:rPr>
          <w:szCs w:val="22"/>
          <w:lang w:val="pl-PL"/>
        </w:rPr>
        <w:t xml:space="preserve"> saszetka.</w:t>
      </w:r>
    </w:p>
    <w:p>
      <w:pPr>
        <w:pStyle w:val="ListParagraph"/>
        <w:numPr>
          <w:ilvl w:val="0"/>
          <w:numId w:val="31"/>
        </w:numPr>
        <w:tabs>
          <w:tab w:val="clear" w:pos="567"/>
        </w:tabs>
        <w:spacing w:line="240" w:lineRule="auto"/>
        <w:ind w:left="567" w:hanging="567"/>
        <w:rPr>
          <w:bCs/>
          <w:szCs w:val="22"/>
          <w:lang w:val="pl-PL"/>
        </w:rPr>
      </w:pPr>
      <w:r>
        <w:rPr>
          <w:bCs/>
          <w:szCs w:val="22"/>
          <w:lang w:val="pl-PL"/>
        </w:rPr>
        <w:t>Przed otwarciem saszetki zawierającej proszek doustny Sephience wstrząsnąć saszetką lub ostukać nią twardą powierzchnię, aby upewnić się, że proszek znajduje się na dole saszetki.</w:t>
      </w:r>
      <w:r>
        <w:rPr>
          <w:bCs/>
          <w:szCs w:val="22"/>
          <w:lang w:val="pl-PL"/>
        </w:rPr>
        <w:fldChar w:fldCharType="begin"/>
      </w:r>
      <w:r>
        <w:rPr>
          <w:bCs/>
          <w:szCs w:val="22"/>
          <w:lang w:val="pl-PL"/>
        </w:rPr>
        <w:instrText xml:space="preserve"> DOCVARIABLE vault_nd_9350b82e-89f1-46ee-90c2-7b781ef10da1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Otworzyć</w:t>
      </w:r>
      <w:bookmarkStart w:id="11" w:name="_Hlk181281476"/>
      <w:r>
        <w:rPr>
          <w:bCs/>
          <w:szCs w:val="22"/>
          <w:lang w:val="pl-PL"/>
        </w:rPr>
        <w:t xml:space="preserve"> saszetkę z proszkiem doustnym Sephience, </w:t>
      </w:r>
      <w:bookmarkEnd w:id="11"/>
      <w:r>
        <w:rPr>
          <w:bCs/>
          <w:szCs w:val="22"/>
          <w:lang w:val="pl-PL"/>
        </w:rPr>
        <w:t xml:space="preserve">ostrożnie rozrywając lub odcinając górną część </w:t>
      </w:r>
      <w:bookmarkEnd w:id="9"/>
      <w:r>
        <w:rPr>
          <w:bCs/>
          <w:szCs w:val="22"/>
          <w:lang w:val="pl-PL"/>
        </w:rPr>
        <w:t>saszetki.</w:t>
      </w:r>
      <w:r>
        <w:rPr>
          <w:bCs/>
          <w:szCs w:val="22"/>
          <w:lang w:val="pl-PL"/>
        </w:rPr>
        <w:fldChar w:fldCharType="begin"/>
      </w:r>
      <w:r>
        <w:rPr>
          <w:bCs/>
          <w:szCs w:val="22"/>
          <w:lang w:val="pl-PL"/>
        </w:rPr>
        <w:instrText xml:space="preserve"> DOCVARIABLE vault_nd_29226362-5a75-46d6-94a1-b6ab608a5704 \* MERGEFORMAT </w:instrText>
      </w:r>
      <w:r>
        <w:rPr>
          <w:bCs/>
          <w:szCs w:val="22"/>
          <w:lang w:val="pl-PL"/>
        </w:rPr>
        <w:fldChar w:fldCharType="separate"/>
      </w:r>
      <w:r>
        <w:rPr>
          <w:bCs/>
          <w:szCs w:val="22"/>
          <w:lang w:val="pl-PL"/>
        </w:rPr>
        <w:t xml:space="preserve"> </w:t>
      </w:r>
      <w:r>
        <w:rPr>
          <w:bCs/>
          <w:szCs w:val="22"/>
          <w:lang w:val="pl-PL"/>
        </w:rPr>
        <w:fldChar w:fldCharType="end"/>
      </w:r>
    </w:p>
    <w:bookmarkEnd w:id="10"/>
    <w:p>
      <w:pPr>
        <w:pStyle w:val="ListParagraph"/>
        <w:numPr>
          <w:ilvl w:val="0"/>
          <w:numId w:val="31"/>
        </w:numPr>
        <w:tabs>
          <w:tab w:val="clear" w:pos="567"/>
        </w:tabs>
        <w:spacing w:line="240" w:lineRule="auto"/>
        <w:ind w:left="567" w:hanging="567"/>
        <w:rPr>
          <w:bCs/>
          <w:szCs w:val="22"/>
          <w:lang w:val="pl-PL"/>
        </w:rPr>
      </w:pPr>
      <w:r>
        <w:rPr>
          <w:bCs/>
          <w:szCs w:val="22"/>
          <w:lang w:val="pl-PL"/>
        </w:rPr>
        <w:t xml:space="preserve">Wymieszać </w:t>
      </w:r>
      <w:r>
        <w:rPr>
          <w:b/>
          <w:bCs/>
          <w:szCs w:val="22"/>
          <w:lang w:val="pl-PL"/>
        </w:rPr>
        <w:t>jedną</w:t>
      </w:r>
      <w:r>
        <w:rPr>
          <w:szCs w:val="22"/>
          <w:lang w:val="pl-PL"/>
        </w:rPr>
        <w:t xml:space="preserve"> saszetkę 250 mg z </w:t>
      </w:r>
      <w:r>
        <w:rPr>
          <w:b/>
          <w:bCs/>
          <w:szCs w:val="22"/>
          <w:lang w:val="pl-PL"/>
        </w:rPr>
        <w:t>9 ml</w:t>
      </w:r>
      <w:r>
        <w:rPr>
          <w:szCs w:val="22"/>
          <w:lang w:val="pl-PL"/>
        </w:rPr>
        <w:t xml:space="preserve"> wody lub soku jabłkowego.</w:t>
      </w:r>
      <w:r>
        <w:rPr>
          <w:bCs/>
          <w:szCs w:val="22"/>
          <w:lang w:val="pl-PL"/>
        </w:rPr>
        <w:fldChar w:fldCharType="begin"/>
      </w:r>
      <w:r>
        <w:rPr>
          <w:bCs/>
          <w:szCs w:val="22"/>
          <w:lang w:val="pl-PL"/>
        </w:rPr>
        <w:instrText xml:space="preserve"> DOCVARIABLE vault_nd_66f41f99-f82e-4a44-8c72-955ff7f9caf8 \* MERGEFORMAT </w:instrText>
      </w:r>
      <w:r>
        <w:rPr>
          <w:bCs/>
          <w:szCs w:val="22"/>
          <w:lang w:val="pl-PL"/>
        </w:rPr>
        <w:fldChar w:fldCharType="separate"/>
      </w:r>
      <w:r>
        <w:rPr>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Dobrze wymieszać przez 30 sekund lub dłużej, aż nie będzie widać grudek.</w:t>
      </w:r>
      <w:r>
        <w:rPr>
          <w:bCs/>
          <w:szCs w:val="22"/>
          <w:lang w:val="pl-PL"/>
        </w:rPr>
        <w:fldChar w:fldCharType="begin"/>
      </w:r>
      <w:r>
        <w:rPr>
          <w:bCs/>
          <w:szCs w:val="22"/>
          <w:lang w:val="pl-PL"/>
        </w:rPr>
        <w:instrText xml:space="preserve"> DOCVARIABLE vault_nd_2eac8338-8f7f-4ae5-beb8-f9c0279d1c85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Po wymieszaniu mieszaninę należy podać natychmiast; jeżeli nie ma takiej możliwości,</w:t>
      </w:r>
      <w:bookmarkStart w:id="12" w:name="_Hlk158714098"/>
      <w:r>
        <w:rPr>
          <w:bCs/>
          <w:szCs w:val="22"/>
          <w:lang w:val="pl-PL"/>
        </w:rPr>
        <w:t xml:space="preserve"> można ją przechowywać do 24 godzin w lodówce (2°C do 8°C) lub przez 6 godzin w przypadku przechowywania w temperaturze poniżej 25°C.</w:t>
      </w:r>
      <w:r>
        <w:rPr>
          <w:bCs/>
          <w:szCs w:val="22"/>
          <w:lang w:val="pl-PL"/>
        </w:rPr>
        <w:fldChar w:fldCharType="begin"/>
      </w:r>
      <w:r>
        <w:rPr>
          <w:bCs/>
          <w:szCs w:val="22"/>
          <w:lang w:val="pl-PL"/>
        </w:rPr>
        <w:instrText xml:space="preserve"> DOCVARIABLE vault_nd_2a5b3c14-2ecb-4a68-8958-e61fd30071de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Jeżeli mieszanina nie zostanie podana natychmiast, tuż przed podaniem należy ją ponownie wymieszać przez co najmniej 30 sekund lub dłużej, aż nie będzie widać grudek.</w:t>
      </w:r>
      <w:r>
        <w:rPr>
          <w:bCs/>
          <w:szCs w:val="22"/>
          <w:lang w:val="pl-PL"/>
        </w:rPr>
        <w:fldChar w:fldCharType="begin"/>
      </w:r>
      <w:r>
        <w:rPr>
          <w:bCs/>
          <w:szCs w:val="22"/>
          <w:lang w:val="pl-PL"/>
        </w:rPr>
        <w:instrText xml:space="preserve"> DOCVARIABLE vault_nd_5094f12d-0b8f-4fa8-a6af-3720880da6aa \* MERGEFORMAT </w:instrText>
      </w:r>
      <w:r>
        <w:rPr>
          <w:bCs/>
          <w:szCs w:val="22"/>
          <w:lang w:val="pl-PL"/>
        </w:rPr>
        <w:fldChar w:fldCharType="separate"/>
      </w:r>
      <w:r>
        <w:rPr>
          <w:bCs/>
          <w:szCs w:val="22"/>
          <w:lang w:val="pl-PL"/>
        </w:rPr>
        <w:t xml:space="preserve"> </w:t>
      </w:r>
      <w:r>
        <w:rPr>
          <w:bCs/>
          <w:szCs w:val="22"/>
          <w:lang w:val="pl-PL"/>
        </w:rPr>
        <w:fldChar w:fldCharType="end"/>
      </w:r>
    </w:p>
    <w:bookmarkEnd w:id="12"/>
    <w:p>
      <w:pPr>
        <w:pStyle w:val="ListParagraph"/>
        <w:numPr>
          <w:ilvl w:val="0"/>
          <w:numId w:val="31"/>
        </w:numPr>
        <w:tabs>
          <w:tab w:val="clear" w:pos="567"/>
        </w:tabs>
        <w:spacing w:line="240" w:lineRule="auto"/>
        <w:ind w:left="567" w:hanging="567"/>
        <w:rPr>
          <w:bCs/>
          <w:szCs w:val="22"/>
          <w:lang w:val="pl-PL"/>
        </w:rPr>
      </w:pPr>
      <w:r>
        <w:rPr>
          <w:bCs/>
          <w:szCs w:val="22"/>
          <w:lang w:val="pl-PL"/>
        </w:rPr>
        <w:t>Podać wymaganą dawkę (patrz Tabela 1) do jamy ustnej za pomocą strzykawki lub zgłębnika dojelitowego.</w:t>
      </w:r>
    </w:p>
    <w:p>
      <w:pPr>
        <w:pStyle w:val="ListParagraph"/>
        <w:numPr>
          <w:ilvl w:val="0"/>
          <w:numId w:val="31"/>
        </w:numPr>
        <w:tabs>
          <w:tab w:val="clear" w:pos="567"/>
        </w:tabs>
        <w:spacing w:line="240" w:lineRule="auto"/>
        <w:ind w:left="567" w:hanging="567"/>
        <w:rPr>
          <w:b/>
          <w:szCs w:val="22"/>
          <w:lang w:val="pl-PL"/>
        </w:rPr>
      </w:pPr>
      <w:r>
        <w:rPr>
          <w:bCs/>
          <w:szCs w:val="22"/>
          <w:lang w:val="pl-PL"/>
        </w:rPr>
        <w:t xml:space="preserve">Przepłukać pojemnik dodatkową ilością wody lub soku jabłkowego (co najmniej 15 ml) </w:t>
      </w:r>
    </w:p>
    <w:p>
      <w:pPr>
        <w:pStyle w:val="ListParagraph"/>
        <w:numPr>
          <w:ilvl w:val="0"/>
          <w:numId w:val="31"/>
        </w:numPr>
        <w:tabs>
          <w:tab w:val="clear" w:pos="567"/>
        </w:tabs>
        <w:spacing w:line="240" w:lineRule="auto"/>
        <w:ind w:left="567" w:hanging="567"/>
        <w:rPr>
          <w:b/>
          <w:szCs w:val="22"/>
          <w:lang w:val="pl-PL"/>
        </w:rPr>
      </w:pPr>
      <w:r>
        <w:rPr>
          <w:bCs/>
          <w:szCs w:val="22"/>
          <w:lang w:val="pl-PL"/>
        </w:rPr>
        <w:t>i połknąć, aby mieć pewność, że przyjęta została pełna dawka.</w:t>
      </w:r>
      <w:r>
        <w:rPr>
          <w:bCs/>
          <w:szCs w:val="22"/>
          <w:lang w:val="pl-PL"/>
        </w:rPr>
        <w:fldChar w:fldCharType="begin"/>
      </w:r>
      <w:r>
        <w:rPr>
          <w:bCs/>
          <w:szCs w:val="22"/>
          <w:lang w:val="pl-PL"/>
        </w:rPr>
        <w:instrText xml:space="preserve"> DOCVARIABLE vault_nd_a4933a96-a950-4748-8920-285fa793f3cf \* MERGEFORMAT </w:instrText>
      </w:r>
      <w:r>
        <w:rPr>
          <w:bCs/>
          <w:szCs w:val="22"/>
          <w:lang w:val="pl-PL"/>
        </w:rPr>
        <w:fldChar w:fldCharType="separate"/>
      </w:r>
      <w:r>
        <w:rPr>
          <w:bCs/>
          <w:szCs w:val="22"/>
          <w:lang w:val="pl-PL"/>
        </w:rPr>
        <w:t xml:space="preserve"> </w:t>
      </w:r>
      <w:r>
        <w:rPr>
          <w:bCs/>
          <w:szCs w:val="22"/>
          <w:lang w:val="pl-PL"/>
        </w:rPr>
        <w:fldChar w:fldCharType="end"/>
      </w:r>
    </w:p>
    <w:p>
      <w:pPr>
        <w:rPr>
          <w:bCs/>
          <w:lang w:val="pl-PL"/>
        </w:rPr>
      </w:pPr>
    </w:p>
    <w:p>
      <w:pPr>
        <w:keepNext/>
        <w:pageBreakBefore/>
        <w:tabs>
          <w:tab w:val="clear" w:pos="567"/>
          <w:tab w:val="left" w:pos="720"/>
        </w:tabs>
        <w:spacing w:line="240" w:lineRule="auto"/>
        <w:rPr>
          <w:b/>
          <w:szCs w:val="22"/>
          <w:lang w:val="pl-PL"/>
        </w:rPr>
      </w:pPr>
      <w:r>
        <w:rPr>
          <w:b/>
          <w:bCs/>
          <w:szCs w:val="22"/>
          <w:lang w:val="pl-PL"/>
        </w:rPr>
        <w:lastRenderedPageBreak/>
        <w:t>Tabela 1: Jak obliczyć dawkę dla dzieci w wieku poniżej 12 miesięcy według masy ciała</w:t>
      </w:r>
      <w:r>
        <w:rPr>
          <w:b/>
          <w:szCs w:val="22"/>
          <w:lang w:val="pl-PL"/>
        </w:rPr>
        <w:fldChar w:fldCharType="begin"/>
      </w:r>
      <w:r>
        <w:rPr>
          <w:b/>
          <w:szCs w:val="22"/>
          <w:lang w:val="pl-PL"/>
        </w:rPr>
        <w:instrText xml:space="preserve"> DOCVARIABLE vault_nd_02b3bb82-a951-4ca6-8866-54233ef00cb2 \* MERGEFORMAT </w:instrText>
      </w:r>
      <w:r>
        <w:rPr>
          <w:b/>
          <w:szCs w:val="22"/>
          <w:lang w:val="pl-PL"/>
        </w:rPr>
        <w:fldChar w:fldCharType="separate"/>
      </w:r>
      <w:r>
        <w:rPr>
          <w:b/>
          <w:bCs/>
          <w:szCs w:val="22"/>
          <w:lang w:val="pl-PL"/>
        </w:rPr>
        <w:t xml:space="preserve"> </w:t>
      </w:r>
      <w:r>
        <w:rPr>
          <w:b/>
          <w:szCs w:val="22"/>
          <w:lang w:val="pl-PL"/>
        </w:rPr>
        <w:fldChar w:fldCharType="end"/>
      </w:r>
    </w:p>
    <w:tbl>
      <w:tblPr>
        <w:tblStyle w:val="TableGrid"/>
        <w:tblW w:w="0" w:type="auto"/>
        <w:tblLook w:val="04A0" w:firstRow="1" w:lastRow="0" w:firstColumn="1" w:lastColumn="0" w:noHBand="0" w:noVBand="1"/>
      </w:tblPr>
      <w:tblGrid>
        <w:gridCol w:w="1144"/>
        <w:gridCol w:w="1659"/>
        <w:gridCol w:w="1791"/>
        <w:gridCol w:w="2490"/>
        <w:gridCol w:w="1977"/>
      </w:tblGrid>
      <w:tr>
        <w:tc>
          <w:tcPr>
            <w:tcW w:w="1144"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pl-PL"/>
              </w:rPr>
            </w:pPr>
            <w:r>
              <w:rPr>
                <w:b/>
                <w:bCs/>
                <w:szCs w:val="22"/>
                <w:lang w:val="pl-PL"/>
              </w:rPr>
              <w:t>Masa ciała (kg)</w:t>
            </w:r>
            <w:r>
              <w:rPr>
                <w:b/>
                <w:szCs w:val="22"/>
                <w:lang w:val="pl-PL"/>
              </w:rPr>
              <w:fldChar w:fldCharType="begin"/>
            </w:r>
            <w:r>
              <w:rPr>
                <w:b/>
                <w:szCs w:val="22"/>
                <w:lang w:val="pl-PL"/>
              </w:rPr>
              <w:instrText xml:space="preserve"> DOCVARIABLE vault_nd_2a9c933f-5230-471e-bbbb-e15f8e2049b0 \* MERGEFORMAT </w:instrText>
            </w:r>
            <w:r>
              <w:rPr>
                <w:b/>
                <w:szCs w:val="22"/>
                <w:lang w:val="pl-PL"/>
              </w:rPr>
              <w:fldChar w:fldCharType="separate"/>
            </w:r>
            <w:r>
              <w:rPr>
                <w:b/>
                <w:bCs/>
                <w:szCs w:val="22"/>
                <w:lang w:val="pl-PL"/>
              </w:rPr>
              <w:t xml:space="preserve"> </w:t>
            </w:r>
            <w:r>
              <w:rPr>
                <w:b/>
                <w:szCs w:val="22"/>
                <w:lang w:val="pl-PL"/>
              </w:rPr>
              <w:fldChar w:fldCharType="end"/>
            </w:r>
          </w:p>
        </w:tc>
        <w:tc>
          <w:tcPr>
            <w:tcW w:w="3450"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pl-PL"/>
              </w:rPr>
              <w:t>Dawka: 7,5 mg/kg mc./dobę</w:t>
            </w:r>
            <w:r>
              <w:rPr>
                <w:b/>
                <w:szCs w:val="22"/>
                <w:lang w:val="pl-PL"/>
              </w:rPr>
              <w:fldChar w:fldCharType="begin"/>
            </w:r>
            <w:r>
              <w:rPr>
                <w:b/>
                <w:szCs w:val="22"/>
                <w:lang w:val="pl-PL"/>
              </w:rPr>
              <w:instrText xml:space="preserve"> DOCVARIABLE vault_nd_64683673-2605-4c6b-bccf-b218dabb2b14 \* MERGEFORMAT </w:instrText>
            </w:r>
            <w:r>
              <w:rPr>
                <w:b/>
                <w:szCs w:val="22"/>
                <w:lang w:val="pl-PL"/>
              </w:rPr>
              <w:fldChar w:fldCharType="separate"/>
            </w:r>
            <w:r>
              <w:rPr>
                <w:b/>
                <w:bCs/>
                <w:szCs w:val="22"/>
                <w:lang w:val="pl-PL"/>
              </w:rPr>
              <w:t xml:space="preserve"> </w:t>
            </w:r>
            <w:r>
              <w:rPr>
                <w:b/>
                <w:szCs w:val="22"/>
                <w:lang w:val="pl-PL"/>
              </w:rPr>
              <w:fldChar w:fldCharType="end"/>
            </w:r>
          </w:p>
        </w:tc>
        <w:tc>
          <w:tcPr>
            <w:tcW w:w="4467"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pl-PL"/>
              </w:rPr>
              <w:t>Dawka: 15 mg/kg mc./dobę</w:t>
            </w:r>
            <w:r>
              <w:rPr>
                <w:b/>
                <w:szCs w:val="22"/>
                <w:lang w:val="pl-PL"/>
              </w:rPr>
              <w:fldChar w:fldCharType="begin"/>
            </w:r>
            <w:r>
              <w:rPr>
                <w:b/>
                <w:szCs w:val="22"/>
                <w:lang w:val="pl-PL"/>
              </w:rPr>
              <w:instrText xml:space="preserve"> DOCVARIABLE vault_nd_11534c28-0193-446e-bff2-d5450ebb9f8a \* MERGEFORMAT </w:instrText>
            </w:r>
            <w:r>
              <w:rPr>
                <w:b/>
                <w:szCs w:val="22"/>
                <w:lang w:val="pl-PL"/>
              </w:rPr>
              <w:fldChar w:fldCharType="separate"/>
            </w:r>
            <w:r>
              <w:rPr>
                <w:b/>
                <w:bCs/>
                <w:szCs w:val="22"/>
                <w:lang w:val="pl-PL"/>
              </w:rPr>
              <w:t xml:space="preserve"> </w:t>
            </w:r>
            <w:r>
              <w:rPr>
                <w:b/>
                <w:szCs w:val="22"/>
                <w:lang w:val="pl-PL"/>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3450"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pl-PL"/>
              </w:rPr>
              <w:t>Wiek: od 0 do mniej niż 6 miesięcy</w:t>
            </w:r>
            <w:r>
              <w:rPr>
                <w:b/>
                <w:szCs w:val="22"/>
                <w:lang w:val="pl-PL"/>
              </w:rPr>
              <w:fldChar w:fldCharType="begin"/>
            </w:r>
            <w:r>
              <w:rPr>
                <w:b/>
                <w:szCs w:val="22"/>
                <w:lang w:val="pl-PL"/>
              </w:rPr>
              <w:instrText xml:space="preserve"> DOCVARIABLE vault_nd_12cdce12-e340-4089-bd3a-8f3f495faf6f \* MERGEFORMAT </w:instrText>
            </w:r>
            <w:r>
              <w:rPr>
                <w:b/>
                <w:szCs w:val="22"/>
                <w:lang w:val="pl-PL"/>
              </w:rPr>
              <w:fldChar w:fldCharType="separate"/>
            </w:r>
            <w:r>
              <w:rPr>
                <w:b/>
                <w:bCs/>
                <w:szCs w:val="22"/>
                <w:lang w:val="pl-PL"/>
              </w:rPr>
              <w:t xml:space="preserve"> </w:t>
            </w:r>
            <w:r>
              <w:rPr>
                <w:b/>
                <w:szCs w:val="22"/>
                <w:lang w:val="pl-PL"/>
              </w:rPr>
              <w:fldChar w:fldCharType="end"/>
            </w:r>
          </w:p>
        </w:tc>
        <w:tc>
          <w:tcPr>
            <w:tcW w:w="4467"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pl-PL"/>
              </w:rPr>
              <w:t>Wiek: od 6 miesięcy do mniej niż 12 miesięcy</w:t>
            </w:r>
            <w:r>
              <w:rPr>
                <w:b/>
                <w:szCs w:val="22"/>
                <w:lang w:val="pl-PL"/>
              </w:rPr>
              <w:fldChar w:fldCharType="begin"/>
            </w:r>
            <w:r>
              <w:rPr>
                <w:b/>
                <w:szCs w:val="22"/>
                <w:lang w:val="pl-PL"/>
              </w:rPr>
              <w:instrText xml:space="preserve"> DOCVARIABLE vault_nd_b27496c1-98a4-48c7-bb77-70895b16f909 \* MERGEFORMAT </w:instrText>
            </w:r>
            <w:r>
              <w:rPr>
                <w:b/>
                <w:szCs w:val="22"/>
                <w:lang w:val="pl-PL"/>
              </w:rPr>
              <w:fldChar w:fldCharType="separate"/>
            </w:r>
            <w:r>
              <w:rPr>
                <w:b/>
                <w:bCs/>
                <w:szCs w:val="22"/>
                <w:lang w:val="pl-PL"/>
              </w:rPr>
              <w:t xml:space="preserve"> </w:t>
            </w:r>
            <w:r>
              <w:rPr>
                <w:b/>
                <w:szCs w:val="22"/>
                <w:lang w:val="pl-PL"/>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pl-PL"/>
              </w:rPr>
              <w:t>Liczba saszetek 250 mg do wykorzystana</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pl-PL"/>
              </w:rPr>
              <w:t>Objętość do podania (ml)</w:t>
            </w:r>
            <w:r>
              <w:rPr>
                <w:b/>
                <w:szCs w:val="22"/>
                <w:lang w:val="pl-PL"/>
              </w:rPr>
              <w:fldChar w:fldCharType="begin"/>
            </w:r>
            <w:r>
              <w:rPr>
                <w:b/>
                <w:szCs w:val="22"/>
                <w:lang w:val="pl-PL"/>
              </w:rPr>
              <w:instrText xml:space="preserve"> DOCVARIABLE vault_nd_299d02ca-5d7f-4a9f-af42-4812aa893dce \* MERGEFORMAT </w:instrText>
            </w:r>
            <w:r>
              <w:rPr>
                <w:b/>
                <w:szCs w:val="22"/>
                <w:lang w:val="pl-PL"/>
              </w:rPr>
              <w:fldChar w:fldCharType="separate"/>
            </w:r>
            <w:r>
              <w:rPr>
                <w:b/>
                <w:bCs/>
                <w:szCs w:val="22"/>
                <w:lang w:val="pl-PL"/>
              </w:rPr>
              <w:t xml:space="preserve"> </w:t>
            </w:r>
            <w:r>
              <w:rPr>
                <w:b/>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pl-PL"/>
              </w:rPr>
              <w:t>Liczba saszetek 250 mg do wykorzystana</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pl-PL"/>
              </w:rPr>
              <w:t>Objętość do podania (ml)</w:t>
            </w:r>
            <w:r>
              <w:rPr>
                <w:b/>
                <w:szCs w:val="22"/>
                <w:lang w:val="pl-PL"/>
              </w:rPr>
              <w:fldChar w:fldCharType="begin"/>
            </w:r>
            <w:r>
              <w:rPr>
                <w:b/>
                <w:szCs w:val="22"/>
                <w:lang w:val="pl-PL"/>
              </w:rPr>
              <w:instrText xml:space="preserve"> DOCVARIABLE vault_nd_299d02ca-5d7f-4a9f-af42-4812aa893dce \* MERGEFORMAT </w:instrText>
            </w:r>
            <w:r>
              <w:rPr>
                <w:b/>
                <w:szCs w:val="22"/>
                <w:lang w:val="pl-PL"/>
              </w:rPr>
              <w:fldChar w:fldCharType="separate"/>
            </w:r>
            <w:r>
              <w:rPr>
                <w:b/>
                <w:bCs/>
                <w:szCs w:val="22"/>
                <w:lang w:val="pl-PL"/>
              </w:rPr>
              <w:t xml:space="preserve"> </w:t>
            </w:r>
            <w:r>
              <w:rPr>
                <w:b/>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2</w:t>
            </w:r>
            <w:r>
              <w:rPr>
                <w:bCs/>
                <w:szCs w:val="22"/>
                <w:lang w:val="pl-PL"/>
              </w:rPr>
              <w:fldChar w:fldCharType="begin"/>
            </w:r>
            <w:r>
              <w:rPr>
                <w:bCs/>
                <w:szCs w:val="22"/>
                <w:lang w:val="pl-PL"/>
              </w:rPr>
              <w:instrText xml:space="preserve"> DOCVARIABLE VAULT_ND_e3f90365-5fa1-4d7c-afcc-6f57569b6fa5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0,6</w:t>
            </w:r>
            <w:r>
              <w:rPr>
                <w:bCs/>
                <w:szCs w:val="22"/>
                <w:lang w:val="pl-PL"/>
              </w:rPr>
              <w:fldChar w:fldCharType="begin"/>
            </w:r>
            <w:r>
              <w:rPr>
                <w:bCs/>
                <w:szCs w:val="22"/>
                <w:lang w:val="pl-PL"/>
              </w:rPr>
              <w:instrText xml:space="preserve"> DOCVARIABLE VAULT_ND_bae5ec7a-d09a-4733-87ce-6c72790ac5f8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r>
              <w:rPr>
                <w:color w:val="000000"/>
                <w:szCs w:val="22"/>
                <w:lang w:val="pl-PL"/>
              </w:rPr>
              <w:fldChar w:fldCharType="begin"/>
            </w:r>
            <w:r>
              <w:rPr>
                <w:color w:val="000000"/>
                <w:szCs w:val="22"/>
                <w:lang w:val="pl-PL"/>
              </w:rPr>
              <w:instrText xml:space="preserve"> DOCVARIABLE VAULT_ND_0c8fec7f-9c4b-47a4-9f16-b4ec611b6031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1,2</w:t>
            </w:r>
            <w:r>
              <w:rPr>
                <w:color w:val="000000"/>
                <w:szCs w:val="22"/>
                <w:lang w:val="pl-PL"/>
              </w:rPr>
              <w:fldChar w:fldCharType="begin"/>
            </w:r>
            <w:r>
              <w:rPr>
                <w:color w:val="000000"/>
                <w:szCs w:val="22"/>
                <w:lang w:val="pl-PL"/>
              </w:rPr>
              <w:instrText xml:space="preserve"> DOCVARIABLE VAULT_ND_be3f3552-0b53-4366-b243-71330e7052cc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3</w:t>
            </w:r>
            <w:r>
              <w:rPr>
                <w:bCs/>
                <w:szCs w:val="22"/>
                <w:lang w:val="pl-PL"/>
              </w:rPr>
              <w:fldChar w:fldCharType="begin"/>
            </w:r>
            <w:r>
              <w:rPr>
                <w:bCs/>
                <w:szCs w:val="22"/>
                <w:lang w:val="pl-PL"/>
              </w:rPr>
              <w:instrText xml:space="preserve"> DOCVARIABLE VAULT_ND_4180920b-ea28-4eb0-b208-4e747eb28be5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0,9</w:t>
            </w:r>
            <w:r>
              <w:rPr>
                <w:bCs/>
                <w:szCs w:val="22"/>
                <w:lang w:val="pl-PL"/>
              </w:rPr>
              <w:fldChar w:fldCharType="begin"/>
            </w:r>
            <w:r>
              <w:rPr>
                <w:bCs/>
                <w:szCs w:val="22"/>
                <w:lang w:val="pl-PL"/>
              </w:rPr>
              <w:instrText xml:space="preserve"> DOCVARIABLE VAULT_ND_09fb7827-7543-4d86-abdc-8c3e34529f02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1,8</w:t>
            </w:r>
            <w:r>
              <w:rPr>
                <w:color w:val="000000"/>
                <w:szCs w:val="22"/>
                <w:lang w:val="pl-PL"/>
              </w:rPr>
              <w:fldChar w:fldCharType="begin"/>
            </w:r>
            <w:r>
              <w:rPr>
                <w:color w:val="000000"/>
                <w:szCs w:val="22"/>
                <w:lang w:val="pl-PL"/>
              </w:rPr>
              <w:instrText xml:space="preserve"> DOCVARIABLE VAULT_ND_146c7b96-f906-495a-8cbb-e1c8c9a1cc93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4</w:t>
            </w:r>
            <w:r>
              <w:rPr>
                <w:bCs/>
                <w:szCs w:val="22"/>
                <w:lang w:val="pl-PL"/>
              </w:rPr>
              <w:fldChar w:fldCharType="begin"/>
            </w:r>
            <w:r>
              <w:rPr>
                <w:bCs/>
                <w:szCs w:val="22"/>
                <w:lang w:val="pl-PL"/>
              </w:rPr>
              <w:instrText xml:space="preserve"> DOCVARIABLE VAULT_ND_6015a991-fdc8-40a3-bda7-b6d7178bcca1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1,2</w:t>
            </w:r>
            <w:r>
              <w:rPr>
                <w:bCs/>
                <w:szCs w:val="22"/>
                <w:lang w:val="pl-PL"/>
              </w:rPr>
              <w:fldChar w:fldCharType="begin"/>
            </w:r>
            <w:r>
              <w:rPr>
                <w:bCs/>
                <w:szCs w:val="22"/>
                <w:lang w:val="pl-PL"/>
              </w:rPr>
              <w:instrText xml:space="preserve"> DOCVARIABLE VAULT_ND_f6328213-bd93-4152-bf42-9699d06167b7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2,4</w:t>
            </w:r>
            <w:r>
              <w:rPr>
                <w:color w:val="000000"/>
                <w:szCs w:val="22"/>
                <w:lang w:val="pl-PL"/>
              </w:rPr>
              <w:fldChar w:fldCharType="begin"/>
            </w:r>
            <w:r>
              <w:rPr>
                <w:color w:val="000000"/>
                <w:szCs w:val="22"/>
                <w:lang w:val="pl-PL"/>
              </w:rPr>
              <w:instrText xml:space="preserve"> DOCVARIABLE VAULT_ND_c074ff35-4558-4b7e-852c-9260f52c5e60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5</w:t>
            </w:r>
            <w:r>
              <w:rPr>
                <w:bCs/>
                <w:szCs w:val="22"/>
                <w:lang w:val="pl-PL"/>
              </w:rPr>
              <w:fldChar w:fldCharType="begin"/>
            </w:r>
            <w:r>
              <w:rPr>
                <w:bCs/>
                <w:szCs w:val="22"/>
                <w:lang w:val="pl-PL"/>
              </w:rPr>
              <w:instrText xml:space="preserve"> DOCVARIABLE VAULT_ND_604073b9-ec64-439d-96ed-c73aed98274c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1,5</w:t>
            </w:r>
            <w:r>
              <w:rPr>
                <w:bCs/>
                <w:szCs w:val="22"/>
                <w:lang w:val="pl-PL"/>
              </w:rPr>
              <w:fldChar w:fldCharType="begin"/>
            </w:r>
            <w:r>
              <w:rPr>
                <w:bCs/>
                <w:szCs w:val="22"/>
                <w:lang w:val="pl-PL"/>
              </w:rPr>
              <w:instrText xml:space="preserve"> DOCVARIABLE VAULT_ND_8debd4f2-5d3e-4e1c-bf18-2abd2a4db715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3</w:t>
            </w:r>
            <w:r>
              <w:rPr>
                <w:color w:val="000000"/>
                <w:szCs w:val="22"/>
                <w:lang w:val="pl-PL"/>
              </w:rPr>
              <w:fldChar w:fldCharType="begin"/>
            </w:r>
            <w:r>
              <w:rPr>
                <w:color w:val="000000"/>
                <w:szCs w:val="22"/>
                <w:lang w:val="pl-PL"/>
              </w:rPr>
              <w:instrText xml:space="preserve"> DOCVARIABLE VAULT_ND_55da64a0-0098-497c-ae08-2f170b3b609f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6</w:t>
            </w:r>
            <w:r>
              <w:rPr>
                <w:bCs/>
                <w:szCs w:val="22"/>
                <w:lang w:val="pl-PL"/>
              </w:rPr>
              <w:fldChar w:fldCharType="begin"/>
            </w:r>
            <w:r>
              <w:rPr>
                <w:bCs/>
                <w:szCs w:val="22"/>
                <w:lang w:val="pl-PL"/>
              </w:rPr>
              <w:instrText xml:space="preserve"> DOCVARIABLE VAULT_ND_893c6aff-1720-4eb7-ab0c-c174cb901bf2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1,8</w:t>
            </w:r>
            <w:r>
              <w:rPr>
                <w:bCs/>
                <w:szCs w:val="22"/>
                <w:lang w:val="pl-PL"/>
              </w:rPr>
              <w:fldChar w:fldCharType="begin"/>
            </w:r>
            <w:r>
              <w:rPr>
                <w:bCs/>
                <w:szCs w:val="22"/>
                <w:lang w:val="pl-PL"/>
              </w:rPr>
              <w:instrText xml:space="preserve"> DOCVARIABLE VAULT_ND_a2d3f9e4-73ec-458b-9b40-655a62a67313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3,6</w:t>
            </w:r>
            <w:r>
              <w:rPr>
                <w:color w:val="000000"/>
                <w:szCs w:val="22"/>
                <w:lang w:val="pl-PL"/>
              </w:rPr>
              <w:fldChar w:fldCharType="begin"/>
            </w:r>
            <w:r>
              <w:rPr>
                <w:color w:val="000000"/>
                <w:szCs w:val="22"/>
                <w:lang w:val="pl-PL"/>
              </w:rPr>
              <w:instrText xml:space="preserve"> DOCVARIABLE VAULT_ND_4e49f109-5944-416c-a312-f6811de9c136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7</w:t>
            </w:r>
            <w:r>
              <w:rPr>
                <w:bCs/>
                <w:szCs w:val="22"/>
                <w:lang w:val="pl-PL"/>
              </w:rPr>
              <w:fldChar w:fldCharType="begin"/>
            </w:r>
            <w:r>
              <w:rPr>
                <w:bCs/>
                <w:szCs w:val="22"/>
                <w:lang w:val="pl-PL"/>
              </w:rPr>
              <w:instrText xml:space="preserve"> DOCVARIABLE VAULT_ND_0cca403c-7af3-4701-8684-d62ae5b42bee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2,1</w:t>
            </w:r>
            <w:r>
              <w:rPr>
                <w:bCs/>
                <w:szCs w:val="22"/>
                <w:lang w:val="pl-PL"/>
              </w:rPr>
              <w:fldChar w:fldCharType="begin"/>
            </w:r>
            <w:r>
              <w:rPr>
                <w:bCs/>
                <w:szCs w:val="22"/>
                <w:lang w:val="pl-PL"/>
              </w:rPr>
              <w:instrText xml:space="preserve"> DOCVARIABLE VAULT_ND_325b114a-7b11-496e-bcd2-7acec0ca21cc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4,2</w:t>
            </w:r>
            <w:r>
              <w:rPr>
                <w:color w:val="000000"/>
                <w:szCs w:val="22"/>
                <w:lang w:val="pl-PL"/>
              </w:rPr>
              <w:fldChar w:fldCharType="begin"/>
            </w:r>
            <w:r>
              <w:rPr>
                <w:color w:val="000000"/>
                <w:szCs w:val="22"/>
                <w:lang w:val="pl-PL"/>
              </w:rPr>
              <w:instrText xml:space="preserve"> DOCVARIABLE VAULT_ND_339b4997-e223-4b64-98e4-de3f46edeed3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8</w:t>
            </w:r>
            <w:r>
              <w:rPr>
                <w:bCs/>
                <w:szCs w:val="22"/>
                <w:lang w:val="pl-PL"/>
              </w:rPr>
              <w:fldChar w:fldCharType="begin"/>
            </w:r>
            <w:r>
              <w:rPr>
                <w:bCs/>
                <w:szCs w:val="22"/>
                <w:lang w:val="pl-PL"/>
              </w:rPr>
              <w:instrText xml:space="preserve"> DOCVARIABLE VAULT_ND_31a4f38f-a24b-4987-b944-7690033d2455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2,4</w:t>
            </w:r>
            <w:r>
              <w:rPr>
                <w:bCs/>
                <w:szCs w:val="22"/>
                <w:lang w:val="pl-PL"/>
              </w:rPr>
              <w:fldChar w:fldCharType="begin"/>
            </w:r>
            <w:r>
              <w:rPr>
                <w:bCs/>
                <w:szCs w:val="22"/>
                <w:lang w:val="pl-PL"/>
              </w:rPr>
              <w:instrText xml:space="preserve"> DOCVARIABLE VAULT_ND_997ef220-0101-4f11-8c93-748f94501254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4,8</w:t>
            </w:r>
            <w:r>
              <w:rPr>
                <w:color w:val="000000"/>
                <w:szCs w:val="22"/>
                <w:lang w:val="pl-PL"/>
              </w:rPr>
              <w:fldChar w:fldCharType="begin"/>
            </w:r>
            <w:r>
              <w:rPr>
                <w:color w:val="000000"/>
                <w:szCs w:val="22"/>
                <w:lang w:val="pl-PL"/>
              </w:rPr>
              <w:instrText xml:space="preserve"> DOCVARIABLE VAULT_ND_d609c5ad-c8f2-4a6e-b35b-25e4ba583201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9</w:t>
            </w:r>
            <w:r>
              <w:rPr>
                <w:bCs/>
                <w:szCs w:val="22"/>
                <w:lang w:val="pl-PL"/>
              </w:rPr>
              <w:fldChar w:fldCharType="begin"/>
            </w:r>
            <w:r>
              <w:rPr>
                <w:bCs/>
                <w:szCs w:val="22"/>
                <w:lang w:val="pl-PL"/>
              </w:rPr>
              <w:instrText xml:space="preserve"> DOCVARIABLE VAULT_ND_cabaf732-a143-48d5-8726-440f1263a46e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2,7</w:t>
            </w:r>
            <w:r>
              <w:rPr>
                <w:bCs/>
                <w:szCs w:val="22"/>
                <w:lang w:val="pl-PL"/>
              </w:rPr>
              <w:fldChar w:fldCharType="begin"/>
            </w:r>
            <w:r>
              <w:rPr>
                <w:bCs/>
                <w:szCs w:val="22"/>
                <w:lang w:val="pl-PL"/>
              </w:rPr>
              <w:instrText xml:space="preserve"> DOCVARIABLE VAULT_ND_8e8abb6c-b635-45cb-a4f5-8cc4053eb6a5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5,4</w:t>
            </w:r>
            <w:r>
              <w:rPr>
                <w:color w:val="000000"/>
                <w:szCs w:val="22"/>
                <w:lang w:val="pl-PL"/>
              </w:rPr>
              <w:fldChar w:fldCharType="begin"/>
            </w:r>
            <w:r>
              <w:rPr>
                <w:color w:val="000000"/>
                <w:szCs w:val="22"/>
                <w:lang w:val="pl-PL"/>
              </w:rPr>
              <w:instrText xml:space="preserve"> DOCVARIABLE VAULT_ND_d91e7efa-f704-437e-9b38-846afd40a96f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10</w:t>
            </w:r>
            <w:r>
              <w:rPr>
                <w:bCs/>
                <w:szCs w:val="22"/>
                <w:lang w:val="pl-PL"/>
              </w:rPr>
              <w:fldChar w:fldCharType="begin"/>
            </w:r>
            <w:r>
              <w:rPr>
                <w:bCs/>
                <w:szCs w:val="22"/>
                <w:lang w:val="pl-PL"/>
              </w:rPr>
              <w:instrText xml:space="preserve"> DOCVARIABLE VAULT_ND_3cbb7163-6365-421c-8669-a413c08e57b1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3</w:t>
            </w:r>
            <w:r>
              <w:rPr>
                <w:bCs/>
                <w:szCs w:val="22"/>
                <w:lang w:val="pl-PL"/>
              </w:rPr>
              <w:fldChar w:fldCharType="begin"/>
            </w:r>
            <w:r>
              <w:rPr>
                <w:bCs/>
                <w:szCs w:val="22"/>
                <w:lang w:val="pl-PL"/>
              </w:rPr>
              <w:instrText xml:space="preserve"> DOCVARIABLE VAULT_ND_fa08ae75-ad9a-4fe8-b6e9-e0261919fdf9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6</w:t>
            </w:r>
            <w:r>
              <w:rPr>
                <w:color w:val="000000"/>
                <w:szCs w:val="22"/>
                <w:lang w:val="pl-PL"/>
              </w:rPr>
              <w:fldChar w:fldCharType="begin"/>
            </w:r>
            <w:r>
              <w:rPr>
                <w:color w:val="000000"/>
                <w:szCs w:val="22"/>
                <w:lang w:val="pl-PL"/>
              </w:rPr>
              <w:instrText xml:space="preserve"> DOCVARIABLE VAULT_ND_5091a5ee-4863-499d-9b39-516e73836962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11</w:t>
            </w:r>
            <w:r>
              <w:rPr>
                <w:bCs/>
                <w:szCs w:val="22"/>
                <w:lang w:val="pl-PL"/>
              </w:rPr>
              <w:fldChar w:fldCharType="begin"/>
            </w:r>
            <w:r>
              <w:rPr>
                <w:bCs/>
                <w:szCs w:val="22"/>
                <w:lang w:val="pl-PL"/>
              </w:rPr>
              <w:instrText xml:space="preserve"> DOCVARIABLE VAULT_ND_ccfe428d-5fa6-451b-a07a-03400d7a44bc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3,3</w:t>
            </w:r>
            <w:r>
              <w:rPr>
                <w:bCs/>
                <w:szCs w:val="22"/>
                <w:lang w:val="pl-PL"/>
              </w:rPr>
              <w:fldChar w:fldCharType="begin"/>
            </w:r>
            <w:r>
              <w:rPr>
                <w:bCs/>
                <w:szCs w:val="22"/>
                <w:lang w:val="pl-PL"/>
              </w:rPr>
              <w:instrText xml:space="preserve"> DOCVARIABLE VAULT_ND_2ea438bf-abd3-4af5-aa4b-438da42e444e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6,6</w:t>
            </w:r>
            <w:r>
              <w:rPr>
                <w:color w:val="000000"/>
                <w:szCs w:val="22"/>
                <w:lang w:val="pl-PL"/>
              </w:rPr>
              <w:fldChar w:fldCharType="begin"/>
            </w:r>
            <w:r>
              <w:rPr>
                <w:color w:val="000000"/>
                <w:szCs w:val="22"/>
                <w:lang w:val="pl-PL"/>
              </w:rPr>
              <w:instrText xml:space="preserve"> DOCVARIABLE VAULT_ND_f65e3c2f-6f8c-48a4-be3a-7e6ab2128d04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12</w:t>
            </w:r>
            <w:r>
              <w:rPr>
                <w:bCs/>
                <w:szCs w:val="22"/>
                <w:lang w:val="pl-PL"/>
              </w:rPr>
              <w:fldChar w:fldCharType="begin"/>
            </w:r>
            <w:r>
              <w:rPr>
                <w:bCs/>
                <w:szCs w:val="22"/>
                <w:lang w:val="pl-PL"/>
              </w:rPr>
              <w:instrText xml:space="preserve"> DOCVARIABLE VAULT_ND_7019f4fe-e95c-4324-8dd3-44498554c426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3,6</w:t>
            </w:r>
            <w:r>
              <w:rPr>
                <w:bCs/>
                <w:szCs w:val="22"/>
                <w:lang w:val="pl-PL"/>
              </w:rPr>
              <w:fldChar w:fldCharType="begin"/>
            </w:r>
            <w:r>
              <w:rPr>
                <w:bCs/>
                <w:szCs w:val="22"/>
                <w:lang w:val="pl-PL"/>
              </w:rPr>
              <w:instrText xml:space="preserve"> DOCVARIABLE VAULT_ND_3c63f3a6-edf2-4272-9b73-0400e9d5cf46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7,2</w:t>
            </w:r>
            <w:r>
              <w:rPr>
                <w:color w:val="000000"/>
                <w:szCs w:val="22"/>
                <w:lang w:val="pl-PL"/>
              </w:rPr>
              <w:fldChar w:fldCharType="begin"/>
            </w:r>
            <w:r>
              <w:rPr>
                <w:color w:val="000000"/>
                <w:szCs w:val="22"/>
                <w:lang w:val="pl-PL"/>
              </w:rPr>
              <w:instrText xml:space="preserve"> DOCVARIABLE VAULT_ND_6d471458-10a6-4824-85a3-70263060296f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13</w:t>
            </w:r>
            <w:r>
              <w:rPr>
                <w:bCs/>
                <w:szCs w:val="22"/>
                <w:lang w:val="pl-PL"/>
              </w:rPr>
              <w:fldChar w:fldCharType="begin"/>
            </w:r>
            <w:r>
              <w:rPr>
                <w:bCs/>
                <w:szCs w:val="22"/>
                <w:lang w:val="pl-PL"/>
              </w:rPr>
              <w:instrText xml:space="preserve"> DOCVARIABLE VAULT_ND_ba60792c-d514-4f8a-a700-72e6aa2376c8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3,9</w:t>
            </w:r>
            <w:r>
              <w:rPr>
                <w:bCs/>
                <w:szCs w:val="22"/>
                <w:lang w:val="pl-PL"/>
              </w:rPr>
              <w:fldChar w:fldCharType="begin"/>
            </w:r>
            <w:r>
              <w:rPr>
                <w:bCs/>
                <w:szCs w:val="22"/>
                <w:lang w:val="pl-PL"/>
              </w:rPr>
              <w:instrText xml:space="preserve"> DOCVARIABLE VAULT_ND_80b8e0cb-9c0f-44c5-a78c-03f96120e135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7,8</w:t>
            </w:r>
            <w:r>
              <w:rPr>
                <w:color w:val="000000"/>
                <w:szCs w:val="22"/>
                <w:lang w:val="pl-PL"/>
              </w:rPr>
              <w:fldChar w:fldCharType="begin"/>
            </w:r>
            <w:r>
              <w:rPr>
                <w:color w:val="000000"/>
                <w:szCs w:val="22"/>
                <w:lang w:val="pl-PL"/>
              </w:rPr>
              <w:instrText xml:space="preserve"> DOCVARIABLE VAULT_ND_34455699-27d3-4854-b514-2883df6e1b8b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14</w:t>
            </w:r>
            <w:r>
              <w:rPr>
                <w:bCs/>
                <w:szCs w:val="22"/>
                <w:lang w:val="pl-PL"/>
              </w:rPr>
              <w:fldChar w:fldCharType="begin"/>
            </w:r>
            <w:r>
              <w:rPr>
                <w:bCs/>
                <w:szCs w:val="22"/>
                <w:lang w:val="pl-PL"/>
              </w:rPr>
              <w:instrText xml:space="preserve"> DOCVARIABLE VAULT_ND_81d2cfd0-d081-4f03-b90b-b9824c61c220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4,2</w:t>
            </w:r>
            <w:r>
              <w:rPr>
                <w:bCs/>
                <w:szCs w:val="22"/>
                <w:lang w:val="pl-PL"/>
              </w:rPr>
              <w:fldChar w:fldCharType="begin"/>
            </w:r>
            <w:r>
              <w:rPr>
                <w:bCs/>
                <w:szCs w:val="22"/>
                <w:lang w:val="pl-PL"/>
              </w:rPr>
              <w:instrText xml:space="preserve"> DOCVARIABLE VAULT_ND_a43ca03f-8c3d-4901-9fb2-37bbdfaa5fbe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8,4</w:t>
            </w:r>
            <w:r>
              <w:rPr>
                <w:color w:val="000000"/>
                <w:szCs w:val="22"/>
                <w:lang w:val="pl-PL"/>
              </w:rPr>
              <w:fldChar w:fldCharType="begin"/>
            </w:r>
            <w:r>
              <w:rPr>
                <w:color w:val="000000"/>
                <w:szCs w:val="22"/>
                <w:lang w:val="pl-PL"/>
              </w:rPr>
              <w:instrText xml:space="preserve"> DOCVARIABLE VAULT_ND_5d6dfb37-867b-4599-aab7-2b52cf1833dc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15</w:t>
            </w:r>
            <w:r>
              <w:rPr>
                <w:bCs/>
                <w:szCs w:val="22"/>
                <w:lang w:val="pl-PL"/>
              </w:rPr>
              <w:fldChar w:fldCharType="begin"/>
            </w:r>
            <w:r>
              <w:rPr>
                <w:bCs/>
                <w:szCs w:val="22"/>
                <w:lang w:val="pl-PL"/>
              </w:rPr>
              <w:instrText xml:space="preserve"> DOCVARIABLE VAULT_ND_2550492e-08ab-4128-b99e-0f1a5586024e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4,5</w:t>
            </w:r>
            <w:r>
              <w:rPr>
                <w:bCs/>
                <w:szCs w:val="22"/>
                <w:lang w:val="pl-PL"/>
              </w:rPr>
              <w:fldChar w:fldCharType="begin"/>
            </w:r>
            <w:r>
              <w:rPr>
                <w:bCs/>
                <w:szCs w:val="22"/>
                <w:lang w:val="pl-PL"/>
              </w:rPr>
              <w:instrText xml:space="preserve"> DOCVARIABLE VAULT_ND_32983366-56b4-4088-abad-ec5bf1e6e47d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9</w:t>
            </w:r>
            <w:r>
              <w:rPr>
                <w:color w:val="000000"/>
                <w:szCs w:val="22"/>
                <w:lang w:val="pl-PL"/>
              </w:rPr>
              <w:fldChar w:fldCharType="begin"/>
            </w:r>
            <w:r>
              <w:rPr>
                <w:color w:val="000000"/>
                <w:szCs w:val="22"/>
                <w:lang w:val="pl-PL"/>
              </w:rPr>
              <w:instrText xml:space="preserve"> DOCVARIABLE VAULT_ND_4837704e-1949-440d-9a8b-0372fb0b070e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144"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16</w:t>
            </w:r>
            <w:r>
              <w:rPr>
                <w:bCs/>
                <w:szCs w:val="22"/>
                <w:lang w:val="pl-PL"/>
              </w:rPr>
              <w:fldChar w:fldCharType="begin"/>
            </w:r>
            <w:r>
              <w:rPr>
                <w:bCs/>
                <w:szCs w:val="22"/>
                <w:lang w:val="pl-PL"/>
              </w:rPr>
              <w:instrText xml:space="preserve"> DOCVARIABLE VAULT_ND_2d22025a-4b51-4d32-ad04-9d5fbac72b74 \* MERGEFORMAT </w:instrText>
            </w:r>
            <w:r>
              <w:rPr>
                <w:bCs/>
                <w:szCs w:val="22"/>
                <w:lang w:val="pl-PL"/>
              </w:rPr>
              <w:fldChar w:fldCharType="separate"/>
            </w:r>
            <w:r>
              <w:rPr>
                <w:bCs/>
                <w:szCs w:val="22"/>
                <w:lang w:val="pl-PL"/>
              </w:rPr>
              <w:t xml:space="preserve"> </w:t>
            </w:r>
            <w:r>
              <w:rPr>
                <w:bCs/>
                <w:szCs w:val="22"/>
                <w:lang w:val="pl-PL"/>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79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bCs/>
                <w:szCs w:val="22"/>
                <w:lang w:val="pl-PL"/>
              </w:rPr>
              <w:t>4,8</w:t>
            </w:r>
            <w:r>
              <w:rPr>
                <w:bCs/>
                <w:szCs w:val="22"/>
                <w:lang w:val="pl-PL"/>
              </w:rPr>
              <w:fldChar w:fldCharType="begin"/>
            </w:r>
            <w:r>
              <w:rPr>
                <w:bCs/>
                <w:szCs w:val="22"/>
                <w:lang w:val="pl-PL"/>
              </w:rPr>
              <w:instrText xml:space="preserve"> DOCVARIABLE VAULT_ND_d40b7b1d-7e0e-441d-b1a0-fe37f27a7558 \* MERGEFORMAT </w:instrText>
            </w:r>
            <w:r>
              <w:rPr>
                <w:bCs/>
                <w:szCs w:val="22"/>
                <w:lang w:val="pl-PL"/>
              </w:rPr>
              <w:fldChar w:fldCharType="separate"/>
            </w:r>
            <w:r>
              <w:rPr>
                <w:bCs/>
                <w:szCs w:val="22"/>
                <w:lang w:val="pl-PL"/>
              </w:rPr>
              <w:t xml:space="preserve"> </w:t>
            </w:r>
            <w:r>
              <w:rPr>
                <w:bCs/>
                <w:szCs w:val="22"/>
                <w:lang w:val="pl-PL"/>
              </w:rPr>
              <w:fldChar w:fldCharType="end"/>
            </w:r>
          </w:p>
        </w:tc>
        <w:tc>
          <w:tcPr>
            <w:tcW w:w="249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1</w:t>
            </w:r>
          </w:p>
        </w:tc>
        <w:tc>
          <w:tcPr>
            <w:tcW w:w="1977"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pl-PL"/>
              </w:rPr>
            </w:pPr>
            <w:r>
              <w:rPr>
                <w:color w:val="000000"/>
                <w:szCs w:val="22"/>
                <w:lang w:val="pl-PL"/>
              </w:rPr>
              <w:t>9,6</w:t>
            </w:r>
            <w:r>
              <w:rPr>
                <w:color w:val="000000"/>
                <w:szCs w:val="22"/>
                <w:lang w:val="pl-PL"/>
              </w:rPr>
              <w:fldChar w:fldCharType="begin"/>
            </w:r>
            <w:r>
              <w:rPr>
                <w:color w:val="000000"/>
                <w:szCs w:val="22"/>
                <w:lang w:val="pl-PL"/>
              </w:rPr>
              <w:instrText xml:space="preserve"> DOCVARIABLE VAULT_ND_c5a69894-3235-434c-b948-f804d6a8c0e0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bl>
    <w:p>
      <w:pPr>
        <w:tabs>
          <w:tab w:val="clear" w:pos="567"/>
          <w:tab w:val="left" w:pos="720"/>
        </w:tabs>
        <w:spacing w:line="240" w:lineRule="auto"/>
        <w:ind w:right="-2"/>
        <w:rPr>
          <w:bCs/>
          <w:szCs w:val="22"/>
          <w:lang w:val="pl-PL"/>
        </w:rPr>
      </w:pPr>
    </w:p>
    <w:p>
      <w:pPr>
        <w:keepNext/>
        <w:spacing w:line="240" w:lineRule="auto"/>
        <w:rPr>
          <w:b/>
          <w:szCs w:val="22"/>
          <w:lang w:val="pl-PL"/>
        </w:rPr>
      </w:pPr>
      <w:r>
        <w:rPr>
          <w:b/>
          <w:bCs/>
          <w:szCs w:val="22"/>
          <w:lang w:val="pl-PL"/>
        </w:rPr>
        <w:t>2.</w:t>
      </w:r>
      <w:r>
        <w:rPr>
          <w:b/>
          <w:bCs/>
          <w:szCs w:val="22"/>
          <w:lang w:val="pl-PL"/>
        </w:rPr>
        <w:tab/>
        <w:t>W przypadku dzieci w wieku od 12 miesięcy do mniej niż 2 lat o masie ciała 16 kg lub mniejszej (patrz Tabela 2)</w:t>
      </w:r>
      <w:r>
        <w:rPr>
          <w:b/>
          <w:szCs w:val="22"/>
          <w:lang w:val="pl-PL"/>
        </w:rPr>
        <w:fldChar w:fldCharType="begin"/>
      </w:r>
      <w:r>
        <w:rPr>
          <w:b/>
          <w:szCs w:val="22"/>
          <w:lang w:val="pl-PL"/>
        </w:rPr>
        <w:instrText xml:space="preserve"> DOCVARIABLE vault_nd_79d8a3fc-714e-44ec-acac-64568405e108 \* MERGEFORMAT </w:instrText>
      </w:r>
      <w:r>
        <w:rPr>
          <w:b/>
          <w:szCs w:val="22"/>
          <w:lang w:val="pl-PL"/>
        </w:rPr>
        <w:fldChar w:fldCharType="separate"/>
      </w:r>
      <w:r>
        <w:rPr>
          <w:b/>
          <w:bCs/>
          <w:szCs w:val="22"/>
          <w:lang w:val="pl-PL"/>
        </w:rPr>
        <w:t xml:space="preserve"> </w:t>
      </w:r>
      <w:r>
        <w:rPr>
          <w:b/>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lang w:val="pl-PL"/>
        </w:rPr>
        <w:t>Lek należy przyjmować dokładnie tak, jak zalecił lekarz, zgodnie z przepisaną dawką.</w:t>
      </w:r>
    </w:p>
    <w:p>
      <w:pPr>
        <w:pStyle w:val="ListParagraph"/>
        <w:numPr>
          <w:ilvl w:val="0"/>
          <w:numId w:val="31"/>
        </w:numPr>
        <w:tabs>
          <w:tab w:val="clear" w:pos="567"/>
        </w:tabs>
        <w:spacing w:line="240" w:lineRule="auto"/>
        <w:ind w:left="567" w:hanging="567"/>
        <w:rPr>
          <w:bCs/>
          <w:szCs w:val="22"/>
          <w:lang w:val="pl-PL"/>
        </w:rPr>
      </w:pPr>
      <w:r>
        <w:rPr>
          <w:bCs/>
          <w:szCs w:val="22"/>
          <w:lang w:val="pl-PL"/>
        </w:rPr>
        <w:t>Przed otwarciem saszetki(-ek) zawierającej proszek doustny Sephience wstrząsnąć saszetką lub ostukać nią twardą powierzchnię, aby upewnić się, że proszek znajduje się na dole saszetki.</w:t>
      </w:r>
      <w:r>
        <w:rPr>
          <w:bCs/>
          <w:szCs w:val="22"/>
          <w:lang w:val="pl-PL"/>
        </w:rPr>
        <w:fldChar w:fldCharType="begin"/>
      </w:r>
      <w:r>
        <w:rPr>
          <w:bCs/>
          <w:szCs w:val="22"/>
          <w:lang w:val="pl-PL"/>
        </w:rPr>
        <w:instrText xml:space="preserve"> DOCVARIABLE vault_nd_0bedb060-8d06-4eb1-a306-1c002d7844a3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bookmarkStart w:id="13" w:name="_Hlk181907818"/>
      <w:r>
        <w:rPr>
          <w:bCs/>
          <w:szCs w:val="22"/>
          <w:lang w:val="pl-PL"/>
        </w:rPr>
        <w:t>Otworzyć saszetkę(-i) z proszkiem doustnym Sephience, ostrożnie rozrywając lub odcinając górną część saszetki.</w:t>
      </w:r>
      <w:r>
        <w:rPr>
          <w:bCs/>
          <w:szCs w:val="22"/>
          <w:lang w:val="pl-PL"/>
        </w:rPr>
        <w:fldChar w:fldCharType="begin"/>
      </w:r>
      <w:r>
        <w:rPr>
          <w:bCs/>
          <w:szCs w:val="22"/>
          <w:lang w:val="pl-PL"/>
        </w:rPr>
        <w:instrText xml:space="preserve"> DOCVARIABLE vault_nd_ce687b3b-003c-44b6-8bf4-bf49ce71c655 \* MERGEFORMAT </w:instrText>
      </w:r>
      <w:r>
        <w:rPr>
          <w:bCs/>
          <w:szCs w:val="22"/>
          <w:lang w:val="pl-PL"/>
        </w:rPr>
        <w:fldChar w:fldCharType="separate"/>
      </w:r>
      <w:r>
        <w:rPr>
          <w:bCs/>
          <w:szCs w:val="22"/>
          <w:lang w:val="pl-PL"/>
        </w:rPr>
        <w:t xml:space="preserve"> </w:t>
      </w:r>
      <w:r>
        <w:rPr>
          <w:bCs/>
          <w:szCs w:val="22"/>
          <w:lang w:val="pl-PL"/>
        </w:rPr>
        <w:fldChar w:fldCharType="end"/>
      </w:r>
    </w:p>
    <w:bookmarkEnd w:id="13"/>
    <w:p>
      <w:pPr>
        <w:pStyle w:val="ListParagraph"/>
        <w:numPr>
          <w:ilvl w:val="0"/>
          <w:numId w:val="31"/>
        </w:numPr>
        <w:ind w:left="567" w:hanging="567"/>
        <w:rPr>
          <w:bCs/>
          <w:szCs w:val="22"/>
          <w:lang w:val="pl-PL"/>
        </w:rPr>
      </w:pPr>
      <w:r>
        <w:rPr>
          <w:bCs/>
          <w:szCs w:val="22"/>
          <w:lang w:val="pl-PL"/>
        </w:rPr>
        <w:t>Wymieszać każdą saszetkę</w:t>
      </w:r>
      <w:r>
        <w:rPr>
          <w:b/>
          <w:bCs/>
          <w:szCs w:val="22"/>
          <w:lang w:val="pl-PL"/>
        </w:rPr>
        <w:t xml:space="preserve"> </w:t>
      </w:r>
      <w:r>
        <w:rPr>
          <w:szCs w:val="22"/>
          <w:lang w:val="pl-PL"/>
        </w:rPr>
        <w:t>250 mg (patrz Tabela 2)</w:t>
      </w:r>
      <w:r>
        <w:rPr>
          <w:b/>
          <w:bCs/>
          <w:szCs w:val="22"/>
          <w:lang w:val="pl-PL"/>
        </w:rPr>
        <w:t xml:space="preserve"> </w:t>
      </w:r>
      <w:r>
        <w:rPr>
          <w:szCs w:val="22"/>
          <w:lang w:val="pl-PL"/>
        </w:rPr>
        <w:t xml:space="preserve">z </w:t>
      </w:r>
      <w:r>
        <w:rPr>
          <w:b/>
          <w:bCs/>
          <w:szCs w:val="22"/>
          <w:lang w:val="pl-PL"/>
        </w:rPr>
        <w:t>9 ml</w:t>
      </w:r>
      <w:r>
        <w:rPr>
          <w:szCs w:val="22"/>
          <w:lang w:val="pl-PL"/>
        </w:rPr>
        <w:t xml:space="preserve"> wody lub soku jabłkowego. </w:t>
      </w:r>
      <w:r>
        <w:rPr>
          <w:bCs/>
          <w:szCs w:val="22"/>
          <w:lang w:val="pl-PL"/>
        </w:rPr>
        <w:t>Jeśli zalecana jest więcej niż jedna saszetka, saszetki można wymieszać z odpowiednią ilością wody lub soku jabłkowego (np. dwie saszetki 250 mg zmieszane z 18 ml wody lub soku jabłkowego).</w:t>
      </w:r>
    </w:p>
    <w:p>
      <w:pPr>
        <w:pStyle w:val="ListParagraph"/>
        <w:numPr>
          <w:ilvl w:val="0"/>
          <w:numId w:val="31"/>
        </w:numPr>
        <w:tabs>
          <w:tab w:val="clear" w:pos="567"/>
        </w:tabs>
        <w:spacing w:line="240" w:lineRule="auto"/>
        <w:ind w:left="567" w:hanging="567"/>
        <w:rPr>
          <w:bCs/>
          <w:szCs w:val="22"/>
          <w:lang w:val="pl-PL"/>
        </w:rPr>
      </w:pPr>
      <w:r>
        <w:rPr>
          <w:bCs/>
          <w:szCs w:val="22"/>
          <w:lang w:val="pl-PL"/>
        </w:rPr>
        <w:t>Dobrze wymieszać przez co najmniej 30 sekund lub dłużej, aż nie będzie widać grudek.</w:t>
      </w:r>
      <w:r>
        <w:rPr>
          <w:bCs/>
          <w:szCs w:val="22"/>
          <w:lang w:val="pl-PL"/>
        </w:rPr>
        <w:fldChar w:fldCharType="begin"/>
      </w:r>
      <w:r>
        <w:rPr>
          <w:bCs/>
          <w:szCs w:val="22"/>
          <w:lang w:val="pl-PL"/>
        </w:rPr>
        <w:instrText xml:space="preserve"> DOCVARIABLE vault_nd_d8b01cfb-cc5c-4ca2-ab1d-76ecf4778598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Po wymieszaniu dawkę należy podać natychmiast; jeżeli nie ma takiej możliwości, można ją przechowywać do 24 godzin w lodówce (2°C - 8°C) lub przez 6 godzin w przypadku przechowywania w temperaturze poniżej 25°C.</w:t>
      </w:r>
      <w:r>
        <w:rPr>
          <w:bCs/>
          <w:szCs w:val="22"/>
          <w:lang w:val="pl-PL"/>
        </w:rPr>
        <w:fldChar w:fldCharType="begin"/>
      </w:r>
      <w:r>
        <w:rPr>
          <w:bCs/>
          <w:szCs w:val="22"/>
          <w:lang w:val="pl-PL"/>
        </w:rPr>
        <w:instrText xml:space="preserve"> DOCVARIABLE vault_nd_3bfec7f3-6082-4924-a965-c418fe76f9dd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Jeżeli mieszanina nie zostanie przyjęta natychmiast, tuż przed podaniem należy ją ponownie wymieszać przez co najmniej 30 sekund lub dłużej, aż nie będzie widać grudek.</w:t>
      </w:r>
    </w:p>
    <w:p>
      <w:pPr>
        <w:pStyle w:val="ListParagraph"/>
        <w:numPr>
          <w:ilvl w:val="0"/>
          <w:numId w:val="31"/>
        </w:numPr>
        <w:tabs>
          <w:tab w:val="clear" w:pos="567"/>
        </w:tabs>
        <w:spacing w:line="240" w:lineRule="auto"/>
        <w:ind w:left="567" w:hanging="567"/>
        <w:rPr>
          <w:b/>
          <w:szCs w:val="22"/>
          <w:lang w:val="pl-PL"/>
        </w:rPr>
      </w:pPr>
      <w:r>
        <w:rPr>
          <w:bCs/>
          <w:szCs w:val="22"/>
          <w:lang w:val="pl-PL"/>
        </w:rPr>
        <w:t>Podać wymaganą dawkę (patrz Tabela 2) do jamy ustnej za pomocą strzykawki lub zgłębnika dojelitowego.</w:t>
      </w:r>
      <w:r>
        <w:rPr>
          <w:szCs w:val="22"/>
          <w:lang w:val="pl-PL"/>
        </w:rPr>
        <w:fldChar w:fldCharType="begin"/>
      </w:r>
      <w:r>
        <w:rPr>
          <w:szCs w:val="22"/>
          <w:lang w:val="pl-PL"/>
        </w:rPr>
        <w:instrText xml:space="preserve"> DOCVARIABLE vault_nd_8f623a90-6884-4606-86c5-63beed09a71b \* MERGEFORMAT </w:instrText>
      </w:r>
      <w:r>
        <w:rPr>
          <w:szCs w:val="22"/>
          <w:lang w:val="pl-PL"/>
        </w:rPr>
        <w:fldChar w:fldCharType="separate"/>
      </w:r>
      <w:r>
        <w:rPr>
          <w:bCs/>
          <w:szCs w:val="22"/>
          <w:lang w:val="pl-PL"/>
        </w:rPr>
        <w:t xml:space="preserve"> </w:t>
      </w:r>
      <w:r>
        <w:rPr>
          <w:szCs w:val="22"/>
          <w:lang w:val="pl-PL"/>
        </w:rPr>
        <w:fldChar w:fldCharType="end"/>
      </w:r>
      <w:r>
        <w:rPr>
          <w:szCs w:val="22"/>
          <w:lang w:val="pl-PL"/>
        </w:rPr>
        <w:t xml:space="preserve"> </w:t>
      </w:r>
    </w:p>
    <w:p>
      <w:pPr>
        <w:pStyle w:val="ListParagraph"/>
        <w:numPr>
          <w:ilvl w:val="0"/>
          <w:numId w:val="31"/>
        </w:numPr>
        <w:tabs>
          <w:tab w:val="clear" w:pos="567"/>
        </w:tabs>
        <w:spacing w:line="240" w:lineRule="auto"/>
        <w:ind w:left="567" w:hanging="567"/>
        <w:rPr>
          <w:b/>
          <w:szCs w:val="22"/>
          <w:lang w:val="pl-PL"/>
        </w:rPr>
      </w:pPr>
      <w:r>
        <w:rPr>
          <w:bCs/>
          <w:szCs w:val="22"/>
          <w:lang w:val="pl-PL"/>
        </w:rPr>
        <w:t xml:space="preserve">Przepłukać pojemnik dodatkową ilością wody lub soku jabłkowego (co najmniej 15 ml) </w:t>
      </w:r>
      <w:r>
        <w:rPr>
          <w:bCs/>
          <w:szCs w:val="22"/>
          <w:lang w:val="pl-PL"/>
        </w:rPr>
        <w:br/>
        <w:t>i połknąć, aby mieć pewność, że przyjęta została pełna dawka.</w:t>
      </w:r>
      <w:r>
        <w:rPr>
          <w:bCs/>
          <w:szCs w:val="22"/>
          <w:lang w:val="pl-PL"/>
        </w:rPr>
        <w:fldChar w:fldCharType="begin"/>
      </w:r>
      <w:r>
        <w:rPr>
          <w:bCs/>
          <w:szCs w:val="22"/>
          <w:lang w:val="pl-PL"/>
        </w:rPr>
        <w:instrText xml:space="preserve"> DOCVARIABLE vault_nd_a4933a96-a950-4748-8920-285fa793f3cf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tabs>
          <w:tab w:val="clear" w:pos="567"/>
        </w:tabs>
        <w:spacing w:line="240" w:lineRule="auto"/>
        <w:ind w:left="567"/>
        <w:rPr>
          <w:b/>
          <w:lang w:val="pl-PL"/>
        </w:rPr>
      </w:pPr>
    </w:p>
    <w:p>
      <w:pPr>
        <w:tabs>
          <w:tab w:val="clear" w:pos="567"/>
          <w:tab w:val="left" w:pos="720"/>
        </w:tabs>
        <w:spacing w:line="240" w:lineRule="auto"/>
        <w:ind w:right="-2"/>
        <w:rPr>
          <w:b/>
          <w:szCs w:val="22"/>
          <w:lang w:val="pl-PL"/>
        </w:rPr>
      </w:pPr>
      <w:r>
        <w:rPr>
          <w:b/>
          <w:bCs/>
          <w:szCs w:val="22"/>
          <w:lang w:val="pl-PL"/>
        </w:rPr>
        <w:t>Tabela 2: Jak obliczyć dawkę dla dzieci w wieku od 12 miesięcy do poniżej 2 lat według masy ciała</w:t>
      </w:r>
      <w:r>
        <w:rPr>
          <w:b/>
          <w:szCs w:val="22"/>
          <w:lang w:val="pl-PL"/>
        </w:rPr>
        <w:fldChar w:fldCharType="begin"/>
      </w:r>
      <w:r>
        <w:rPr>
          <w:b/>
          <w:szCs w:val="22"/>
          <w:lang w:val="pl-PL"/>
        </w:rPr>
        <w:instrText xml:space="preserve"> DOCVARIABLE vault_nd_84346f5d-e4a6-4829-8497-797e2fb9c725 \* MERGEFORMAT </w:instrText>
      </w:r>
      <w:r>
        <w:rPr>
          <w:b/>
          <w:szCs w:val="22"/>
          <w:lang w:val="pl-PL"/>
        </w:rPr>
        <w:fldChar w:fldCharType="separate"/>
      </w:r>
      <w:r>
        <w:rPr>
          <w:b/>
          <w:bCs/>
          <w:szCs w:val="22"/>
          <w:lang w:val="pl-PL"/>
        </w:rPr>
        <w:t xml:space="preserve"> </w:t>
      </w:r>
      <w:r>
        <w:rPr>
          <w:b/>
          <w:szCs w:val="22"/>
          <w:lang w:val="pl-PL"/>
        </w:rPr>
        <w:fldChar w:fldCharType="end"/>
      </w:r>
    </w:p>
    <w:tbl>
      <w:tblPr>
        <w:tblStyle w:val="TableGrid"/>
        <w:tblW w:w="0" w:type="auto"/>
        <w:tblLook w:val="04A0" w:firstRow="1" w:lastRow="0" w:firstColumn="1" w:lastColumn="0" w:noHBand="0" w:noVBand="1"/>
      </w:tblPr>
      <w:tblGrid>
        <w:gridCol w:w="1793"/>
        <w:gridCol w:w="3712"/>
        <w:gridCol w:w="3556"/>
      </w:tblGrid>
      <w:tr>
        <w:trPr>
          <w:tblHeader/>
        </w:trP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pl-PL"/>
              </w:rPr>
            </w:pPr>
            <w:r>
              <w:rPr>
                <w:b/>
                <w:bCs/>
                <w:szCs w:val="22"/>
                <w:lang w:val="pl-PL"/>
              </w:rPr>
              <w:t>Masa ciała (kg)</w:t>
            </w:r>
            <w:r>
              <w:rPr>
                <w:b/>
                <w:szCs w:val="22"/>
                <w:lang w:val="pl-PL"/>
              </w:rPr>
              <w:fldChar w:fldCharType="begin"/>
            </w:r>
            <w:r>
              <w:rPr>
                <w:b/>
                <w:szCs w:val="22"/>
                <w:lang w:val="pl-PL"/>
              </w:rPr>
              <w:instrText xml:space="preserve"> DOCVARIABLE vault_nd_ea37e89f-f3c2-4d2e-85d0-f8e68c36abc4 \* MERGEFORMAT </w:instrText>
            </w:r>
            <w:r>
              <w:rPr>
                <w:b/>
                <w:szCs w:val="22"/>
                <w:lang w:val="pl-PL"/>
              </w:rPr>
              <w:fldChar w:fldCharType="separate"/>
            </w:r>
            <w:r>
              <w:rPr>
                <w:b/>
                <w:bCs/>
                <w:szCs w:val="22"/>
                <w:lang w:val="pl-PL"/>
              </w:rPr>
              <w:t xml:space="preserve"> </w:t>
            </w:r>
            <w:r>
              <w:rPr>
                <w:b/>
                <w:szCs w:val="22"/>
                <w:lang w:val="pl-PL"/>
              </w:rPr>
              <w:fldChar w:fldCharType="end"/>
            </w: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pl-PL"/>
              </w:rPr>
              <w:t>Dawka: 30 mg/kg mc./dobę</w:t>
            </w:r>
            <w:r>
              <w:rPr>
                <w:b/>
                <w:szCs w:val="22"/>
                <w:lang w:val="pl-PL"/>
              </w:rPr>
              <w:fldChar w:fldCharType="begin"/>
            </w:r>
            <w:r>
              <w:rPr>
                <w:b/>
                <w:szCs w:val="22"/>
                <w:lang w:val="pl-PL"/>
              </w:rPr>
              <w:instrText xml:space="preserve"> DOCVARIABLE vault_nd_86ea4abf-c1e1-4c1c-b078-7a35514115c1 \* MERGEFORMAT </w:instrText>
            </w:r>
            <w:r>
              <w:rPr>
                <w:b/>
                <w:szCs w:val="22"/>
                <w:lang w:val="pl-PL"/>
              </w:rPr>
              <w:fldChar w:fldCharType="separate"/>
            </w:r>
            <w:r>
              <w:rPr>
                <w:b/>
                <w:bCs/>
                <w:szCs w:val="22"/>
                <w:lang w:val="pl-PL"/>
              </w:rPr>
              <w:t xml:space="preserve"> </w:t>
            </w:r>
            <w:r>
              <w:rPr>
                <w:b/>
                <w:szCs w:val="22"/>
                <w:lang w:val="pl-PL"/>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pl-PL"/>
              </w:rPr>
              <w:t>Wiek: od 12 miesięcy do mniej niż 2 lat</w:t>
            </w:r>
            <w:r>
              <w:rPr>
                <w:b/>
                <w:szCs w:val="22"/>
                <w:lang w:val="pl-PL"/>
              </w:rPr>
              <w:fldChar w:fldCharType="begin"/>
            </w:r>
            <w:r>
              <w:rPr>
                <w:b/>
                <w:szCs w:val="22"/>
                <w:lang w:val="pl-PL"/>
              </w:rPr>
              <w:instrText xml:space="preserve"> DOCVARIABLE vault_nd_be4a7d3c-27f5-4248-b9db-4528f6d6abf7 \* MERGEFORMAT </w:instrText>
            </w:r>
            <w:r>
              <w:rPr>
                <w:b/>
                <w:szCs w:val="22"/>
                <w:lang w:val="pl-PL"/>
              </w:rPr>
              <w:fldChar w:fldCharType="separate"/>
            </w:r>
            <w:r>
              <w:rPr>
                <w:b/>
                <w:bCs/>
                <w:szCs w:val="22"/>
                <w:lang w:val="pl-PL"/>
              </w:rPr>
              <w:t xml:space="preserve"> </w:t>
            </w:r>
            <w:r>
              <w:rPr>
                <w:b/>
                <w:szCs w:val="22"/>
                <w:lang w:val="pl-PL"/>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371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pl-PL"/>
              </w:rPr>
              <w:t>Liczba saszetek 250 mg</w:t>
            </w:r>
          </w:p>
        </w:tc>
        <w:tc>
          <w:tcPr>
            <w:tcW w:w="355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pl-PL"/>
              </w:rPr>
              <w:t>Objętość do podania (ml)</w:t>
            </w:r>
            <w:r>
              <w:rPr>
                <w:b/>
                <w:szCs w:val="22"/>
                <w:lang w:val="pl-PL"/>
              </w:rPr>
              <w:fldChar w:fldCharType="begin"/>
            </w:r>
            <w:r>
              <w:rPr>
                <w:b/>
                <w:szCs w:val="22"/>
                <w:lang w:val="pl-PL"/>
              </w:rPr>
              <w:instrText xml:space="preserve"> DOCVARIABLE vault_nd_299d02ca-5d7f-4a9f-af42-4812aa893dce \* MERGEFORMAT </w:instrText>
            </w:r>
            <w:r>
              <w:rPr>
                <w:b/>
                <w:szCs w:val="22"/>
                <w:lang w:val="pl-PL"/>
              </w:rPr>
              <w:fldChar w:fldCharType="separate"/>
            </w:r>
            <w:r>
              <w:rPr>
                <w:b/>
                <w:bCs/>
                <w:szCs w:val="22"/>
                <w:lang w:val="pl-PL"/>
              </w:rPr>
              <w:t xml:space="preserve"> </w:t>
            </w:r>
            <w:r>
              <w:rPr>
                <w:b/>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2</w:t>
            </w:r>
            <w:r>
              <w:rPr>
                <w:bCs/>
                <w:szCs w:val="22"/>
                <w:lang w:val="pl-PL"/>
              </w:rPr>
              <w:fldChar w:fldCharType="begin"/>
            </w:r>
            <w:r>
              <w:rPr>
                <w:bCs/>
                <w:szCs w:val="22"/>
                <w:lang w:val="pl-PL"/>
              </w:rPr>
              <w:instrText xml:space="preserve"> DOCVARIABLE VAULT_ND_253c6693-ab08-4269-bc40-84ea89c8d285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w:t>
            </w:r>
            <w:r>
              <w:rPr>
                <w:color w:val="000000"/>
                <w:szCs w:val="22"/>
                <w:lang w:val="pl-PL"/>
              </w:rPr>
              <w:fldChar w:fldCharType="begin"/>
            </w:r>
            <w:r>
              <w:rPr>
                <w:color w:val="000000"/>
                <w:szCs w:val="22"/>
                <w:lang w:val="pl-PL"/>
              </w:rPr>
              <w:instrText xml:space="preserve"> DOCVARIABLE VAULT_ND_2e7a0cb5-83a4-4b48-9668-ba0047e0ba77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2,4</w:t>
            </w:r>
            <w:r>
              <w:rPr>
                <w:color w:val="000000"/>
                <w:szCs w:val="22"/>
                <w:lang w:val="pl-PL"/>
              </w:rPr>
              <w:fldChar w:fldCharType="begin"/>
            </w:r>
            <w:r>
              <w:rPr>
                <w:color w:val="000000"/>
                <w:szCs w:val="22"/>
                <w:lang w:val="pl-PL"/>
              </w:rPr>
              <w:instrText xml:space="preserve"> DOCVARIABLE VAULT_ND_028af84d-a5aa-45bb-81a1-a079bd30f9ea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3</w:t>
            </w:r>
            <w:r>
              <w:rPr>
                <w:bCs/>
                <w:szCs w:val="22"/>
                <w:lang w:val="pl-PL"/>
              </w:rPr>
              <w:fldChar w:fldCharType="begin"/>
            </w:r>
            <w:r>
              <w:rPr>
                <w:bCs/>
                <w:szCs w:val="22"/>
                <w:lang w:val="pl-PL"/>
              </w:rPr>
              <w:instrText xml:space="preserve"> DOCVARIABLE VAULT_ND_11af53db-be1d-4661-b372-d73a92303497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w:t>
            </w:r>
            <w:r>
              <w:rPr>
                <w:color w:val="000000"/>
                <w:szCs w:val="22"/>
                <w:lang w:val="pl-PL"/>
              </w:rPr>
              <w:fldChar w:fldCharType="begin"/>
            </w:r>
            <w:r>
              <w:rPr>
                <w:color w:val="000000"/>
                <w:szCs w:val="22"/>
                <w:lang w:val="pl-PL"/>
              </w:rPr>
              <w:instrText xml:space="preserve"> DOCVARIABLE VAULT_ND_4f04c04b-e5eb-4307-9959-b8e585041258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3,6</w:t>
            </w:r>
            <w:r>
              <w:rPr>
                <w:color w:val="000000"/>
                <w:szCs w:val="22"/>
                <w:lang w:val="pl-PL"/>
              </w:rPr>
              <w:fldChar w:fldCharType="begin"/>
            </w:r>
            <w:r>
              <w:rPr>
                <w:color w:val="000000"/>
                <w:szCs w:val="22"/>
                <w:lang w:val="pl-PL"/>
              </w:rPr>
              <w:instrText xml:space="preserve"> DOCVARIABLE VAULT_ND_c37fbea4-da97-4cba-b1f1-87f68607a967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4</w:t>
            </w:r>
            <w:r>
              <w:rPr>
                <w:bCs/>
                <w:szCs w:val="22"/>
                <w:lang w:val="pl-PL"/>
              </w:rPr>
              <w:fldChar w:fldCharType="begin"/>
            </w:r>
            <w:r>
              <w:rPr>
                <w:bCs/>
                <w:szCs w:val="22"/>
                <w:lang w:val="pl-PL"/>
              </w:rPr>
              <w:instrText xml:space="preserve"> DOCVARIABLE VAULT_ND_9baa91f5-afdc-4d5f-800d-af25cb9ab880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w:t>
            </w:r>
            <w:r>
              <w:rPr>
                <w:color w:val="000000"/>
                <w:szCs w:val="22"/>
                <w:lang w:val="pl-PL"/>
              </w:rPr>
              <w:fldChar w:fldCharType="begin"/>
            </w:r>
            <w:r>
              <w:rPr>
                <w:color w:val="000000"/>
                <w:szCs w:val="22"/>
                <w:lang w:val="pl-PL"/>
              </w:rPr>
              <w:instrText xml:space="preserve"> DOCVARIABLE VAULT_ND_0ee2cd03-253d-433a-a408-d855b7f961ad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4,8</w:t>
            </w:r>
            <w:r>
              <w:rPr>
                <w:color w:val="000000"/>
                <w:szCs w:val="22"/>
                <w:lang w:val="pl-PL"/>
              </w:rPr>
              <w:fldChar w:fldCharType="begin"/>
            </w:r>
            <w:r>
              <w:rPr>
                <w:color w:val="000000"/>
                <w:szCs w:val="22"/>
                <w:lang w:val="pl-PL"/>
              </w:rPr>
              <w:instrText xml:space="preserve"> DOCVARIABLE VAULT_ND_a48e9de3-7e3c-45bd-a00a-c66179329552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5</w:t>
            </w:r>
            <w:r>
              <w:rPr>
                <w:bCs/>
                <w:szCs w:val="22"/>
                <w:lang w:val="pl-PL"/>
              </w:rPr>
              <w:fldChar w:fldCharType="begin"/>
            </w:r>
            <w:r>
              <w:rPr>
                <w:bCs/>
                <w:szCs w:val="22"/>
                <w:lang w:val="pl-PL"/>
              </w:rPr>
              <w:instrText xml:space="preserve"> DOCVARIABLE VAULT_ND_54b4afb1-5752-47aa-9c6e-8d13fd1e7500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w:t>
            </w:r>
            <w:r>
              <w:rPr>
                <w:color w:val="000000"/>
                <w:szCs w:val="22"/>
                <w:lang w:val="pl-PL"/>
              </w:rPr>
              <w:fldChar w:fldCharType="begin"/>
            </w:r>
            <w:r>
              <w:rPr>
                <w:color w:val="000000"/>
                <w:szCs w:val="22"/>
                <w:lang w:val="pl-PL"/>
              </w:rPr>
              <w:instrText xml:space="preserve"> DOCVARIABLE VAULT_ND_ef81854b-eac7-407f-8226-4330a184c6ce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6</w:t>
            </w:r>
            <w:r>
              <w:rPr>
                <w:color w:val="000000"/>
                <w:szCs w:val="22"/>
                <w:lang w:val="pl-PL"/>
              </w:rPr>
              <w:fldChar w:fldCharType="begin"/>
            </w:r>
            <w:r>
              <w:rPr>
                <w:color w:val="000000"/>
                <w:szCs w:val="22"/>
                <w:lang w:val="pl-PL"/>
              </w:rPr>
              <w:instrText xml:space="preserve"> DOCVARIABLE VAULT_ND_669bdddf-d7fa-44fa-b307-2c45206b6322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6</w:t>
            </w:r>
            <w:r>
              <w:rPr>
                <w:bCs/>
                <w:szCs w:val="22"/>
                <w:lang w:val="pl-PL"/>
              </w:rPr>
              <w:fldChar w:fldCharType="begin"/>
            </w:r>
            <w:r>
              <w:rPr>
                <w:bCs/>
                <w:szCs w:val="22"/>
                <w:lang w:val="pl-PL"/>
              </w:rPr>
              <w:instrText xml:space="preserve"> DOCVARIABLE VAULT_ND_8853fe92-f0dc-4daf-bd77-8490d78373c8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w:t>
            </w:r>
            <w:r>
              <w:rPr>
                <w:color w:val="000000"/>
                <w:szCs w:val="22"/>
                <w:lang w:val="pl-PL"/>
              </w:rPr>
              <w:fldChar w:fldCharType="begin"/>
            </w:r>
            <w:r>
              <w:rPr>
                <w:color w:val="000000"/>
                <w:szCs w:val="22"/>
                <w:lang w:val="pl-PL"/>
              </w:rPr>
              <w:instrText xml:space="preserve"> DOCVARIABLE VAULT_ND_16640e0a-c86b-4d90-84b8-2a55e337f510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7,2</w:t>
            </w:r>
            <w:r>
              <w:rPr>
                <w:color w:val="000000"/>
                <w:szCs w:val="22"/>
                <w:lang w:val="pl-PL"/>
              </w:rPr>
              <w:fldChar w:fldCharType="begin"/>
            </w:r>
            <w:r>
              <w:rPr>
                <w:color w:val="000000"/>
                <w:szCs w:val="22"/>
                <w:lang w:val="pl-PL"/>
              </w:rPr>
              <w:instrText xml:space="preserve"> DOCVARIABLE VAULT_ND_51e584ec-c355-4df0-a05e-027fcd933369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lastRenderedPageBreak/>
              <w:t>7</w:t>
            </w:r>
            <w:r>
              <w:rPr>
                <w:bCs/>
                <w:szCs w:val="22"/>
                <w:lang w:val="pl-PL"/>
              </w:rPr>
              <w:fldChar w:fldCharType="begin"/>
            </w:r>
            <w:r>
              <w:rPr>
                <w:bCs/>
                <w:szCs w:val="22"/>
                <w:lang w:val="pl-PL"/>
              </w:rPr>
              <w:instrText xml:space="preserve"> DOCVARIABLE VAULT_ND_bce2c82c-a061-43dc-b171-a014502c5e49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w:t>
            </w:r>
            <w:r>
              <w:rPr>
                <w:color w:val="000000"/>
                <w:szCs w:val="22"/>
                <w:lang w:val="pl-PL"/>
              </w:rPr>
              <w:fldChar w:fldCharType="begin"/>
            </w:r>
            <w:r>
              <w:rPr>
                <w:color w:val="000000"/>
                <w:szCs w:val="22"/>
                <w:lang w:val="pl-PL"/>
              </w:rPr>
              <w:instrText xml:space="preserve"> DOCVARIABLE VAULT_ND_ee5a9565-ae35-456c-bc92-3e5aae77f85b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8,4</w:t>
            </w:r>
            <w:r>
              <w:rPr>
                <w:color w:val="000000"/>
                <w:szCs w:val="22"/>
                <w:lang w:val="pl-PL"/>
              </w:rPr>
              <w:fldChar w:fldCharType="begin"/>
            </w:r>
            <w:r>
              <w:rPr>
                <w:color w:val="000000"/>
                <w:szCs w:val="22"/>
                <w:lang w:val="pl-PL"/>
              </w:rPr>
              <w:instrText xml:space="preserve"> DOCVARIABLE VAULT_ND_adf80a8c-e625-4ff7-8832-74802fae52a0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8</w:t>
            </w:r>
            <w:r>
              <w:rPr>
                <w:bCs/>
                <w:szCs w:val="22"/>
                <w:lang w:val="pl-PL"/>
              </w:rPr>
              <w:fldChar w:fldCharType="begin"/>
            </w:r>
            <w:r>
              <w:rPr>
                <w:bCs/>
                <w:szCs w:val="22"/>
                <w:lang w:val="pl-PL"/>
              </w:rPr>
              <w:instrText xml:space="preserve"> DOCVARIABLE VAULT_ND_f1c22bbf-67fb-4565-a752-a12a017b4fb5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w:t>
            </w:r>
            <w:r>
              <w:rPr>
                <w:color w:val="000000"/>
                <w:szCs w:val="22"/>
                <w:lang w:val="pl-PL"/>
              </w:rPr>
              <w:fldChar w:fldCharType="begin"/>
            </w:r>
            <w:r>
              <w:rPr>
                <w:color w:val="000000"/>
                <w:szCs w:val="22"/>
                <w:lang w:val="pl-PL"/>
              </w:rPr>
              <w:instrText xml:space="preserve"> DOCVARIABLE VAULT_ND_1232d150-5be4-414f-89e1-6012da1c2d2e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9,6</w:t>
            </w:r>
            <w:r>
              <w:rPr>
                <w:color w:val="000000"/>
                <w:szCs w:val="22"/>
                <w:lang w:val="pl-PL"/>
              </w:rPr>
              <w:fldChar w:fldCharType="begin"/>
            </w:r>
            <w:r>
              <w:rPr>
                <w:color w:val="000000"/>
                <w:szCs w:val="22"/>
                <w:lang w:val="pl-PL"/>
              </w:rPr>
              <w:instrText xml:space="preserve"> DOCVARIABLE VAULT_ND_50b4ba98-0a72-479e-8fb9-9688268cdf52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9</w:t>
            </w:r>
            <w:r>
              <w:rPr>
                <w:bCs/>
                <w:szCs w:val="22"/>
                <w:lang w:val="pl-PL"/>
              </w:rPr>
              <w:fldChar w:fldCharType="begin"/>
            </w:r>
            <w:r>
              <w:rPr>
                <w:bCs/>
                <w:szCs w:val="22"/>
                <w:lang w:val="pl-PL"/>
              </w:rPr>
              <w:instrText xml:space="preserve"> DOCVARIABLE VAULT_ND_f5100c08-e2dd-4f7e-a390-4d3331996698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VAULT_ND_e2367456-a76d-425c-b0f4-f3ed65e51041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10,8</w:t>
            </w:r>
            <w:r>
              <w:rPr>
                <w:color w:val="000000"/>
                <w:szCs w:val="22"/>
                <w:lang w:val="pl-PL"/>
              </w:rPr>
              <w:fldChar w:fldCharType="begin"/>
            </w:r>
            <w:r>
              <w:rPr>
                <w:color w:val="000000"/>
                <w:szCs w:val="22"/>
                <w:lang w:val="pl-PL"/>
              </w:rPr>
              <w:instrText xml:space="preserve"> DOCVARIABLE VAULT_ND_805c2419-265f-4f33-86f0-865110843662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10</w:t>
            </w:r>
            <w:r>
              <w:rPr>
                <w:bCs/>
                <w:szCs w:val="22"/>
                <w:lang w:val="pl-PL"/>
              </w:rPr>
              <w:fldChar w:fldCharType="begin"/>
            </w:r>
            <w:r>
              <w:rPr>
                <w:bCs/>
                <w:szCs w:val="22"/>
                <w:lang w:val="pl-PL"/>
              </w:rPr>
              <w:instrText xml:space="preserve"> DOCVARIABLE VAULT_ND_7477865b-d86b-4381-b0ab-a0c215e38f78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VAULT_ND_709c914b-510b-45c7-86cf-3c708479204a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12</w:t>
            </w:r>
            <w:r>
              <w:rPr>
                <w:color w:val="000000"/>
                <w:szCs w:val="22"/>
                <w:lang w:val="pl-PL"/>
              </w:rPr>
              <w:fldChar w:fldCharType="begin"/>
            </w:r>
            <w:r>
              <w:rPr>
                <w:color w:val="000000"/>
                <w:szCs w:val="22"/>
                <w:lang w:val="pl-PL"/>
              </w:rPr>
              <w:instrText xml:space="preserve"> DOCVARIABLE VAULT_ND_2d737197-4d57-43b1-b6bf-29ef6b366e52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11</w:t>
            </w:r>
            <w:r>
              <w:rPr>
                <w:bCs/>
                <w:szCs w:val="22"/>
                <w:lang w:val="pl-PL"/>
              </w:rPr>
              <w:fldChar w:fldCharType="begin"/>
            </w:r>
            <w:r>
              <w:rPr>
                <w:bCs/>
                <w:szCs w:val="22"/>
                <w:lang w:val="pl-PL"/>
              </w:rPr>
              <w:instrText xml:space="preserve"> DOCVARIABLE VAULT_ND_e77121e3-3325-4dc8-bf33-ec70df0a368a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VAULT_ND_bb7361bd-f72c-4151-b63b-94390cc0b71a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13,2</w:t>
            </w:r>
            <w:r>
              <w:rPr>
                <w:color w:val="000000"/>
                <w:szCs w:val="22"/>
                <w:lang w:val="pl-PL"/>
              </w:rPr>
              <w:fldChar w:fldCharType="begin"/>
            </w:r>
            <w:r>
              <w:rPr>
                <w:color w:val="000000"/>
                <w:szCs w:val="22"/>
                <w:lang w:val="pl-PL"/>
              </w:rPr>
              <w:instrText xml:space="preserve"> DOCVARIABLE VAULT_ND_45d895d3-81af-4aeb-8594-c954d2d054a2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12</w:t>
            </w:r>
            <w:r>
              <w:rPr>
                <w:bCs/>
                <w:szCs w:val="22"/>
                <w:lang w:val="pl-PL"/>
              </w:rPr>
              <w:fldChar w:fldCharType="begin"/>
            </w:r>
            <w:r>
              <w:rPr>
                <w:bCs/>
                <w:szCs w:val="22"/>
                <w:lang w:val="pl-PL"/>
              </w:rPr>
              <w:instrText xml:space="preserve"> DOCVARIABLE VAULT_ND_c9e3ef4a-f550-40da-8710-f56bbc4cef10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VAULT_ND_936f4a4f-3de1-43f0-8733-5d1630574b14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14,4</w:t>
            </w:r>
            <w:r>
              <w:rPr>
                <w:color w:val="000000"/>
                <w:szCs w:val="22"/>
                <w:lang w:val="pl-PL"/>
              </w:rPr>
              <w:fldChar w:fldCharType="begin"/>
            </w:r>
            <w:r>
              <w:rPr>
                <w:color w:val="000000"/>
                <w:szCs w:val="22"/>
                <w:lang w:val="pl-PL"/>
              </w:rPr>
              <w:instrText xml:space="preserve"> DOCVARIABLE VAULT_ND_af42af09-23d3-4705-9806-c764c42f6548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13</w:t>
            </w:r>
            <w:r>
              <w:rPr>
                <w:bCs/>
                <w:szCs w:val="22"/>
                <w:lang w:val="pl-PL"/>
              </w:rPr>
              <w:fldChar w:fldCharType="begin"/>
            </w:r>
            <w:r>
              <w:rPr>
                <w:bCs/>
                <w:szCs w:val="22"/>
                <w:lang w:val="pl-PL"/>
              </w:rPr>
              <w:instrText xml:space="preserve"> DOCVARIABLE VAULT_ND_1d61d1d2-96f6-4203-ada4-f2009a1458fc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VAULT_ND_e963fa1c-90b7-40aa-b22a-a7222d1b8359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15,6</w:t>
            </w:r>
            <w:r>
              <w:rPr>
                <w:color w:val="000000"/>
                <w:szCs w:val="22"/>
                <w:lang w:val="pl-PL"/>
              </w:rPr>
              <w:fldChar w:fldCharType="begin"/>
            </w:r>
            <w:r>
              <w:rPr>
                <w:color w:val="000000"/>
                <w:szCs w:val="22"/>
                <w:lang w:val="pl-PL"/>
              </w:rPr>
              <w:instrText xml:space="preserve"> DOCVARIABLE VAULT_ND_9d5dab5b-49e7-4572-ad53-dfb39bdcdde1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14</w:t>
            </w:r>
            <w:r>
              <w:rPr>
                <w:bCs/>
                <w:szCs w:val="22"/>
                <w:lang w:val="pl-PL"/>
              </w:rPr>
              <w:fldChar w:fldCharType="begin"/>
            </w:r>
            <w:r>
              <w:rPr>
                <w:bCs/>
                <w:szCs w:val="22"/>
                <w:lang w:val="pl-PL"/>
              </w:rPr>
              <w:instrText xml:space="preserve"> DOCVARIABLE VAULT_ND_acd527b5-ed27-4356-b695-1583edef3de9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VAULT_ND_8cd3abf1-2550-454b-8fad-8d38fa214bb0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16,8</w:t>
            </w:r>
            <w:r>
              <w:rPr>
                <w:color w:val="000000"/>
                <w:szCs w:val="22"/>
                <w:lang w:val="pl-PL"/>
              </w:rPr>
              <w:fldChar w:fldCharType="begin"/>
            </w:r>
            <w:r>
              <w:rPr>
                <w:color w:val="000000"/>
                <w:szCs w:val="22"/>
                <w:lang w:val="pl-PL"/>
              </w:rPr>
              <w:instrText xml:space="preserve"> DOCVARIABLE VAULT_ND_83a6cb66-4349-49bb-8537-757a3171f568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15</w:t>
            </w:r>
            <w:r>
              <w:rPr>
                <w:bCs/>
                <w:szCs w:val="22"/>
                <w:lang w:val="pl-PL"/>
              </w:rPr>
              <w:fldChar w:fldCharType="begin"/>
            </w:r>
            <w:r>
              <w:rPr>
                <w:bCs/>
                <w:szCs w:val="22"/>
                <w:lang w:val="pl-PL"/>
              </w:rPr>
              <w:instrText xml:space="preserve"> DOCVARIABLE VAULT_ND_4bf68838-c2a2-4f3a-a881-11e0f485a01b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VAULT_ND_c0ed4e6e-2bc9-4225-b65c-3f4d8befa4e2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18</w:t>
            </w:r>
            <w:r>
              <w:rPr>
                <w:color w:val="000000"/>
                <w:szCs w:val="22"/>
                <w:lang w:val="pl-PL"/>
              </w:rPr>
              <w:fldChar w:fldCharType="begin"/>
            </w:r>
            <w:r>
              <w:rPr>
                <w:color w:val="000000"/>
                <w:szCs w:val="22"/>
                <w:lang w:val="pl-PL"/>
              </w:rPr>
              <w:instrText xml:space="preserve"> DOCVARIABLE VAULT_ND_96ae5d1d-2a49-408b-b267-0dfeaa719e8f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16</w:t>
            </w:r>
            <w:r>
              <w:rPr>
                <w:bCs/>
                <w:szCs w:val="22"/>
                <w:lang w:val="pl-PL"/>
              </w:rPr>
              <w:fldChar w:fldCharType="begin"/>
            </w:r>
            <w:r>
              <w:rPr>
                <w:bCs/>
                <w:szCs w:val="22"/>
                <w:lang w:val="pl-PL"/>
              </w:rPr>
              <w:instrText xml:space="preserve"> DOCVARIABLE VAULT_ND_0a275d95-cb25-40f3-b0c0-bd6d560e8b04 \* MERGEFORMAT </w:instrText>
            </w:r>
            <w:r>
              <w:rPr>
                <w:bCs/>
                <w:szCs w:val="22"/>
                <w:lang w:val="pl-PL"/>
              </w:rPr>
              <w:fldChar w:fldCharType="separate"/>
            </w:r>
            <w:r>
              <w:rPr>
                <w:bCs/>
                <w:szCs w:val="22"/>
                <w:lang w:val="pl-PL"/>
              </w:rPr>
              <w:t xml:space="preserve"> </w:t>
            </w:r>
            <w:r>
              <w:rPr>
                <w:bCs/>
                <w:szCs w:val="22"/>
                <w:lang w:val="pl-PL"/>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VAULT_ND_d8390300-9d81-4d6d-9a7a-ef3103941cdd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19,2</w:t>
            </w:r>
            <w:r>
              <w:rPr>
                <w:color w:val="000000"/>
                <w:szCs w:val="22"/>
                <w:lang w:val="pl-PL"/>
              </w:rPr>
              <w:fldChar w:fldCharType="begin"/>
            </w:r>
            <w:r>
              <w:rPr>
                <w:color w:val="000000"/>
                <w:szCs w:val="22"/>
                <w:lang w:val="pl-PL"/>
              </w:rPr>
              <w:instrText xml:space="preserve"> DOCVARIABLE VAULT_ND_783a3545-895c-4f2e-bda7-75c77144a8a2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bl>
    <w:p>
      <w:pPr>
        <w:tabs>
          <w:tab w:val="clear" w:pos="567"/>
          <w:tab w:val="left" w:pos="720"/>
        </w:tabs>
        <w:spacing w:line="240" w:lineRule="auto"/>
        <w:ind w:right="-2"/>
        <w:rPr>
          <w:lang w:val="pl-PL"/>
        </w:rPr>
      </w:pPr>
    </w:p>
    <w:p>
      <w:pPr>
        <w:keepNext/>
        <w:spacing w:line="240" w:lineRule="auto"/>
        <w:rPr>
          <w:b/>
          <w:szCs w:val="22"/>
          <w:lang w:val="pl-PL"/>
        </w:rPr>
      </w:pPr>
      <w:r>
        <w:rPr>
          <w:b/>
          <w:bCs/>
          <w:szCs w:val="22"/>
          <w:lang w:val="pl-PL"/>
        </w:rPr>
        <w:t>3.</w:t>
      </w:r>
      <w:r>
        <w:rPr>
          <w:b/>
          <w:bCs/>
          <w:szCs w:val="22"/>
          <w:lang w:val="pl-PL"/>
        </w:rPr>
        <w:tab/>
        <w:t>W przypadku dzieci w wieku powyżej 2 lat o masie ciała 16 kg lub mniejszej (patrz Tabela 3)</w:t>
      </w:r>
      <w:r>
        <w:rPr>
          <w:b/>
          <w:szCs w:val="22"/>
          <w:lang w:val="pl-PL"/>
        </w:rPr>
        <w:fldChar w:fldCharType="begin"/>
      </w:r>
      <w:r>
        <w:rPr>
          <w:b/>
          <w:szCs w:val="22"/>
          <w:lang w:val="pl-PL"/>
        </w:rPr>
        <w:instrText xml:space="preserve"> DOCVARIABLE vault_nd_c5a04c7f-7255-4fdc-a1aa-895ec744c5b3 \* MERGEFORMAT </w:instrText>
      </w:r>
      <w:r>
        <w:rPr>
          <w:b/>
          <w:szCs w:val="22"/>
          <w:lang w:val="pl-PL"/>
        </w:rPr>
        <w:fldChar w:fldCharType="separate"/>
      </w:r>
      <w:r>
        <w:rPr>
          <w:b/>
          <w:bCs/>
          <w:szCs w:val="22"/>
          <w:lang w:val="pl-PL"/>
        </w:rPr>
        <w:t xml:space="preserve"> </w:t>
      </w:r>
      <w:r>
        <w:rPr>
          <w:b/>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lang w:val="pl-PL"/>
        </w:rPr>
        <w:t>Lek należy przyjmować dokładnie tak, jak zalecił lekarz, zgodnie z przepisaną dawką</w:t>
      </w:r>
      <w:r>
        <w:rPr>
          <w:bCs/>
          <w:szCs w:val="22"/>
          <w:lang w:val="pl-PL"/>
        </w:rPr>
        <w:t xml:space="preserve"> </w:t>
      </w:r>
    </w:p>
    <w:p>
      <w:pPr>
        <w:pStyle w:val="ListParagraph"/>
        <w:numPr>
          <w:ilvl w:val="0"/>
          <w:numId w:val="31"/>
        </w:numPr>
        <w:tabs>
          <w:tab w:val="clear" w:pos="567"/>
        </w:tabs>
        <w:spacing w:line="240" w:lineRule="auto"/>
        <w:ind w:left="567" w:hanging="567"/>
        <w:rPr>
          <w:bCs/>
          <w:szCs w:val="22"/>
          <w:lang w:val="pl-PL"/>
        </w:rPr>
      </w:pPr>
      <w:r>
        <w:rPr>
          <w:bCs/>
          <w:szCs w:val="22"/>
          <w:lang w:val="pl-PL"/>
        </w:rPr>
        <w:t>Przed otwarciem saszetki(-ek) zawierającej proszek doustny Sephience wstrząsnąć saszetką lub ostukać nią twardą powierzchnię, aby upewnić się, że proszek znajduje się na dole saszetki.</w:t>
      </w:r>
      <w:r>
        <w:rPr>
          <w:bCs/>
          <w:szCs w:val="22"/>
          <w:lang w:val="pl-PL"/>
        </w:rPr>
        <w:fldChar w:fldCharType="begin"/>
      </w:r>
      <w:r>
        <w:rPr>
          <w:bCs/>
          <w:szCs w:val="22"/>
          <w:lang w:val="pl-PL"/>
        </w:rPr>
        <w:instrText xml:space="preserve"> DOCVARIABLE vault_nd_0ffaf3f3-5804-4067-8fb9-d6ea1c5e8033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Otworzyć saszetkę(-i) z proszkiem doustnym Sephience, ostrożnie rozrywając lub odcinając górną część saszetki.</w:t>
      </w:r>
      <w:r>
        <w:rPr>
          <w:bCs/>
          <w:szCs w:val="22"/>
          <w:lang w:val="pl-PL"/>
        </w:rPr>
        <w:fldChar w:fldCharType="begin"/>
      </w:r>
      <w:r>
        <w:rPr>
          <w:bCs/>
          <w:szCs w:val="22"/>
          <w:lang w:val="pl-PL"/>
        </w:rPr>
        <w:instrText xml:space="preserve"> DOCVARIABLE vault_nd_5b4a7426-9785-4359-9b16-8e1a4254e9f0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Wymieszać każdą saszetkę</w:t>
      </w:r>
      <w:r>
        <w:rPr>
          <w:b/>
          <w:bCs/>
          <w:szCs w:val="22"/>
          <w:lang w:val="pl-PL"/>
        </w:rPr>
        <w:t xml:space="preserve"> </w:t>
      </w:r>
      <w:r>
        <w:rPr>
          <w:szCs w:val="22"/>
          <w:lang w:val="pl-PL"/>
        </w:rPr>
        <w:t>250 mg (patrz Tabela 3)</w:t>
      </w:r>
      <w:r>
        <w:rPr>
          <w:b/>
          <w:bCs/>
          <w:szCs w:val="22"/>
          <w:lang w:val="pl-PL"/>
        </w:rPr>
        <w:t xml:space="preserve"> </w:t>
      </w:r>
      <w:r>
        <w:rPr>
          <w:szCs w:val="22"/>
          <w:lang w:val="pl-PL"/>
        </w:rPr>
        <w:t xml:space="preserve">z </w:t>
      </w:r>
      <w:r>
        <w:rPr>
          <w:b/>
          <w:bCs/>
          <w:szCs w:val="22"/>
          <w:lang w:val="pl-PL"/>
        </w:rPr>
        <w:t>9 ml</w:t>
      </w:r>
      <w:r>
        <w:rPr>
          <w:szCs w:val="22"/>
          <w:lang w:val="pl-PL"/>
        </w:rPr>
        <w:t xml:space="preserve"> wody lub soku jabłkowego. </w:t>
      </w:r>
      <w:r>
        <w:rPr>
          <w:bCs/>
          <w:szCs w:val="22"/>
          <w:lang w:val="pl-PL"/>
        </w:rPr>
        <w:t>Jeśli zalecana jest więcej niż jedna saszetka, saszetki można wymieszać z odpowiednią ilością wody lub soku jabłkowego (np. dwie saszetki 250 mg zmieszane z 18 ml wody lub soku jabłkowego).</w:t>
      </w:r>
    </w:p>
    <w:p>
      <w:pPr>
        <w:pStyle w:val="ListParagraph"/>
        <w:numPr>
          <w:ilvl w:val="0"/>
          <w:numId w:val="31"/>
        </w:numPr>
        <w:tabs>
          <w:tab w:val="clear" w:pos="567"/>
        </w:tabs>
        <w:spacing w:line="240" w:lineRule="auto"/>
        <w:ind w:left="567" w:hanging="567"/>
        <w:rPr>
          <w:bCs/>
          <w:szCs w:val="22"/>
          <w:lang w:val="pl-PL"/>
        </w:rPr>
      </w:pPr>
      <w:r>
        <w:rPr>
          <w:bCs/>
          <w:szCs w:val="22"/>
          <w:lang w:val="pl-PL"/>
        </w:rPr>
        <w:t>Dobrze wymieszać przez co najmniej 30 sekund lub dłużej, aż nie będzie widać grudek.</w:t>
      </w:r>
      <w:r>
        <w:rPr>
          <w:bCs/>
          <w:szCs w:val="22"/>
          <w:lang w:val="pl-PL"/>
        </w:rPr>
        <w:fldChar w:fldCharType="begin"/>
      </w:r>
      <w:r>
        <w:rPr>
          <w:bCs/>
          <w:szCs w:val="22"/>
          <w:lang w:val="pl-PL"/>
        </w:rPr>
        <w:instrText xml:space="preserve"> DOCVARIABLE vault_nd_39c66fb2-1d49-49da-88bb-e522a3223e9d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Po wymieszaniu dawkę należy podać natychmiast; jeżeli nie ma takiej możliwości, można ją przechowywać do 24 godzin w lodówce (2°C - 8°C) lub do 6 godzin w przypadku przechowywania w temperaturze poniżej 25°C.</w:t>
      </w:r>
      <w:r>
        <w:rPr>
          <w:bCs/>
          <w:szCs w:val="22"/>
          <w:lang w:val="pl-PL"/>
        </w:rPr>
        <w:fldChar w:fldCharType="begin"/>
      </w:r>
      <w:r>
        <w:rPr>
          <w:bCs/>
          <w:szCs w:val="22"/>
          <w:lang w:val="pl-PL"/>
        </w:rPr>
        <w:instrText xml:space="preserve"> DOCVARIABLE vault_nd_e008be64-f392-4d14-9cd8-09e87c4f9424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Jeżeli mieszanina nie zostanie przyjęta natychmiast, tuż przed podaniem należy ją ponownie wymieszać przez co najmniej 30 sekund lub dłużej, aż nie będzie widać grudek.</w:t>
      </w:r>
    </w:p>
    <w:p>
      <w:pPr>
        <w:pStyle w:val="ListParagraph"/>
        <w:numPr>
          <w:ilvl w:val="0"/>
          <w:numId w:val="31"/>
        </w:numPr>
        <w:tabs>
          <w:tab w:val="clear" w:pos="567"/>
        </w:tabs>
        <w:spacing w:line="240" w:lineRule="auto"/>
        <w:ind w:left="567" w:hanging="567"/>
        <w:rPr>
          <w:b/>
          <w:szCs w:val="22"/>
          <w:lang w:val="pl-PL"/>
        </w:rPr>
      </w:pPr>
      <w:r>
        <w:rPr>
          <w:bCs/>
          <w:szCs w:val="22"/>
          <w:lang w:val="pl-PL"/>
        </w:rPr>
        <w:t>Podać wymaganą dawkę (patrz Tabela 3) do jamy ustnej za pomocą strzykawki lub do zgłębnika dojelitowego.</w:t>
      </w:r>
      <w:r>
        <w:rPr>
          <w:bCs/>
          <w:szCs w:val="22"/>
          <w:lang w:val="pl-PL"/>
        </w:rPr>
        <w:fldChar w:fldCharType="begin"/>
      </w:r>
      <w:r>
        <w:rPr>
          <w:bCs/>
          <w:szCs w:val="22"/>
          <w:lang w:val="pl-PL"/>
        </w:rPr>
        <w:instrText xml:space="preserve"> DOCVARIABLE vault_nd_bcac7e73-8787-486f-b45b-6216b7c70683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
          <w:szCs w:val="22"/>
          <w:lang w:val="pl-PL"/>
        </w:rPr>
      </w:pPr>
      <w:r>
        <w:rPr>
          <w:bCs/>
          <w:szCs w:val="22"/>
          <w:lang w:val="pl-PL"/>
        </w:rPr>
        <w:t xml:space="preserve">Przepłukać pojemnik dodatkową ilością wody lub soku jabłkowego (co najmniej 15 ml) </w:t>
      </w:r>
      <w:r>
        <w:rPr>
          <w:bCs/>
          <w:szCs w:val="22"/>
          <w:lang w:val="pl-PL"/>
        </w:rPr>
        <w:br/>
        <w:t>i połknąć, aby mieć pewność, że przyjęta została pełna dawka.</w:t>
      </w:r>
      <w:r>
        <w:rPr>
          <w:bCs/>
          <w:szCs w:val="22"/>
          <w:lang w:val="pl-PL"/>
        </w:rPr>
        <w:fldChar w:fldCharType="begin"/>
      </w:r>
      <w:r>
        <w:rPr>
          <w:bCs/>
          <w:szCs w:val="22"/>
          <w:lang w:val="pl-PL"/>
        </w:rPr>
        <w:instrText xml:space="preserve"> DOCVARIABLE vault_nd_a4933a96-a950-4748-8920-285fa793f3cf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tabs>
          <w:tab w:val="clear" w:pos="567"/>
        </w:tabs>
        <w:spacing w:line="240" w:lineRule="auto"/>
        <w:ind w:left="567"/>
        <w:rPr>
          <w:b/>
          <w:lang w:val="pl-PL"/>
        </w:rPr>
      </w:pPr>
    </w:p>
    <w:p>
      <w:pPr>
        <w:tabs>
          <w:tab w:val="clear" w:pos="567"/>
          <w:tab w:val="left" w:pos="720"/>
        </w:tabs>
        <w:spacing w:line="240" w:lineRule="auto"/>
        <w:ind w:right="-2"/>
        <w:rPr>
          <w:b/>
          <w:szCs w:val="22"/>
          <w:lang w:val="pl-PL"/>
        </w:rPr>
      </w:pPr>
      <w:r>
        <w:rPr>
          <w:b/>
          <w:bCs/>
          <w:szCs w:val="22"/>
          <w:lang w:val="pl-PL"/>
        </w:rPr>
        <w:t>Tabela 3: Jak obliczyć dawkę dla pacjentów w wieku powyżej 2 lat o masie ciała 16 kg lub mniej</w:t>
      </w:r>
      <w:r>
        <w:rPr>
          <w:b/>
          <w:szCs w:val="22"/>
          <w:lang w:val="pl-PL"/>
        </w:rPr>
        <w:fldChar w:fldCharType="begin"/>
      </w:r>
      <w:r>
        <w:rPr>
          <w:b/>
          <w:szCs w:val="22"/>
          <w:lang w:val="pl-PL"/>
        </w:rPr>
        <w:instrText xml:space="preserve"> DOCVARIABLE vault_nd_eec94163-930e-46e9-861b-e153073ca413 \* MERGEFORMAT </w:instrText>
      </w:r>
      <w:r>
        <w:rPr>
          <w:b/>
          <w:szCs w:val="22"/>
          <w:lang w:val="pl-PL"/>
        </w:rPr>
        <w:fldChar w:fldCharType="separate"/>
      </w:r>
      <w:r>
        <w:rPr>
          <w:b/>
          <w:bCs/>
          <w:szCs w:val="22"/>
          <w:lang w:val="pl-PL"/>
        </w:rPr>
        <w:t xml:space="preserve"> </w:t>
      </w:r>
      <w:r>
        <w:rPr>
          <w:b/>
          <w:szCs w:val="22"/>
          <w:lang w:val="pl-PL"/>
        </w:rPr>
        <w:fldChar w:fldCharType="end"/>
      </w:r>
    </w:p>
    <w:tbl>
      <w:tblPr>
        <w:tblStyle w:val="TableGrid"/>
        <w:tblW w:w="0" w:type="auto"/>
        <w:tblLook w:val="04A0" w:firstRow="1" w:lastRow="0" w:firstColumn="1" w:lastColumn="0" w:noHBand="0" w:noVBand="1"/>
      </w:tblPr>
      <w:tblGrid>
        <w:gridCol w:w="1675"/>
        <w:gridCol w:w="3473"/>
        <w:gridCol w:w="3913"/>
      </w:tblGrid>
      <w:tr>
        <w:trPr>
          <w:tblHeader/>
        </w:trP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pl-PL"/>
              </w:rPr>
            </w:pPr>
            <w:r>
              <w:rPr>
                <w:b/>
                <w:bCs/>
                <w:szCs w:val="22"/>
                <w:lang w:val="pl-PL"/>
              </w:rPr>
              <w:t>Masa ciała (kg)</w:t>
            </w:r>
            <w:r>
              <w:rPr>
                <w:b/>
                <w:szCs w:val="22"/>
                <w:lang w:val="pl-PL"/>
              </w:rPr>
              <w:fldChar w:fldCharType="begin"/>
            </w:r>
            <w:r>
              <w:rPr>
                <w:b/>
                <w:szCs w:val="22"/>
                <w:lang w:val="pl-PL"/>
              </w:rPr>
              <w:instrText xml:space="preserve"> DOCVARIABLE vault_nd_d7196488-53d6-4ae9-862c-532d7315a40b \* MERGEFORMAT </w:instrText>
            </w:r>
            <w:r>
              <w:rPr>
                <w:b/>
                <w:szCs w:val="22"/>
                <w:lang w:val="pl-PL"/>
              </w:rPr>
              <w:fldChar w:fldCharType="separate"/>
            </w:r>
            <w:r>
              <w:rPr>
                <w:b/>
                <w:bCs/>
                <w:szCs w:val="22"/>
                <w:lang w:val="pl-PL"/>
              </w:rPr>
              <w:t xml:space="preserve"> </w:t>
            </w:r>
            <w:r>
              <w:rPr>
                <w:b/>
                <w:szCs w:val="22"/>
                <w:lang w:val="pl-PL"/>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pl-PL"/>
              </w:rPr>
              <w:t>Dawka: 60 mg/kg mc./dobę</w:t>
            </w:r>
            <w:r>
              <w:rPr>
                <w:b/>
                <w:szCs w:val="22"/>
                <w:lang w:val="pl-PL"/>
              </w:rPr>
              <w:fldChar w:fldCharType="begin"/>
            </w:r>
            <w:r>
              <w:rPr>
                <w:b/>
                <w:szCs w:val="22"/>
                <w:lang w:val="pl-PL"/>
              </w:rPr>
              <w:instrText xml:space="preserve"> DOCVARIABLE vault_nd_d2b5bee7-a0f6-40d5-847c-d5cb2ae858e6 \* MERGEFORMAT </w:instrText>
            </w:r>
            <w:r>
              <w:rPr>
                <w:b/>
                <w:szCs w:val="22"/>
                <w:lang w:val="pl-PL"/>
              </w:rPr>
              <w:fldChar w:fldCharType="separate"/>
            </w:r>
            <w:r>
              <w:rPr>
                <w:b/>
                <w:bCs/>
                <w:szCs w:val="22"/>
                <w:lang w:val="pl-PL"/>
              </w:rPr>
              <w:t xml:space="preserve"> </w:t>
            </w:r>
            <w:r>
              <w:rPr>
                <w:b/>
                <w:szCs w:val="22"/>
                <w:lang w:val="pl-PL"/>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color w:val="000000"/>
                <w:szCs w:val="22"/>
                <w:lang w:val="pl-PL" w:eastAsia="en-GB"/>
              </w:rPr>
              <w:t>Wiek: 2 lata i więcej</w:t>
            </w:r>
            <w:r>
              <w:rPr>
                <w:b/>
                <w:bCs/>
                <w:color w:val="000000"/>
                <w:szCs w:val="22"/>
                <w:lang w:val="pl-PL" w:eastAsia="en-GB"/>
              </w:rPr>
              <w:fldChar w:fldCharType="begin"/>
            </w:r>
            <w:r>
              <w:rPr>
                <w:b/>
                <w:bCs/>
                <w:color w:val="000000"/>
                <w:szCs w:val="22"/>
                <w:lang w:val="pl-PL" w:eastAsia="en-GB"/>
              </w:rPr>
              <w:instrText xml:space="preserve"> DOCVARIABLE vault_nd_e9e6dc18-f43b-4587-94fc-107002051f5c \* MERGEFORMAT </w:instrText>
            </w:r>
            <w:r>
              <w:rPr>
                <w:b/>
                <w:bCs/>
                <w:color w:val="000000"/>
                <w:szCs w:val="22"/>
                <w:lang w:val="pl-PL" w:eastAsia="en-GB"/>
              </w:rPr>
              <w:fldChar w:fldCharType="separate"/>
            </w:r>
            <w:r>
              <w:rPr>
                <w:b/>
                <w:bCs/>
                <w:color w:val="000000"/>
                <w:szCs w:val="22"/>
                <w:lang w:val="pl-PL" w:eastAsia="en-GB"/>
              </w:rPr>
              <w:t xml:space="preserve"> </w:t>
            </w:r>
            <w:r>
              <w:rPr>
                <w:b/>
                <w:bCs/>
                <w:color w:val="000000"/>
                <w:szCs w:val="22"/>
                <w:lang w:val="pl-PL" w:eastAsia="en-GB"/>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34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pl-PL"/>
              </w:rPr>
              <w:t>Liczba saszetek 250 mg</w:t>
            </w:r>
            <w:r>
              <w:rPr>
                <w:b/>
                <w:szCs w:val="22"/>
                <w:lang w:val="pl-PL"/>
              </w:rPr>
              <w:fldChar w:fldCharType="begin"/>
            </w:r>
            <w:r>
              <w:rPr>
                <w:b/>
                <w:szCs w:val="22"/>
                <w:lang w:val="pl-PL"/>
              </w:rPr>
              <w:instrText xml:space="preserve"> DOCVARIABLE vault_nd_0c67c22a-ffbb-49d2-a2e0-54f74855b37e \* MERGEFORMAT </w:instrText>
            </w:r>
            <w:r>
              <w:rPr>
                <w:b/>
                <w:szCs w:val="22"/>
                <w:lang w:val="pl-PL"/>
              </w:rPr>
              <w:fldChar w:fldCharType="separate"/>
            </w:r>
            <w:r>
              <w:rPr>
                <w:b/>
                <w:bCs/>
                <w:szCs w:val="22"/>
                <w:lang w:val="pl-PL"/>
              </w:rPr>
              <w:t xml:space="preserve"> </w:t>
            </w:r>
            <w:r>
              <w:rPr>
                <w:b/>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pl-PL"/>
              </w:rPr>
              <w:t>Objętość do podania (ml)</w:t>
            </w:r>
            <w:r>
              <w:rPr>
                <w:b/>
                <w:szCs w:val="22"/>
                <w:lang w:val="pl-PL"/>
              </w:rPr>
              <w:fldChar w:fldCharType="begin"/>
            </w:r>
            <w:r>
              <w:rPr>
                <w:b/>
                <w:szCs w:val="22"/>
                <w:lang w:val="pl-PL"/>
              </w:rPr>
              <w:instrText xml:space="preserve"> DOCVARIABLE vault_nd_299d02ca-5d7f-4a9f-af42-4812aa893dce \* MERGEFORMAT </w:instrText>
            </w:r>
            <w:r>
              <w:rPr>
                <w:b/>
                <w:szCs w:val="22"/>
                <w:lang w:val="pl-PL"/>
              </w:rPr>
              <w:fldChar w:fldCharType="separate"/>
            </w:r>
            <w:r>
              <w:rPr>
                <w:b/>
                <w:bCs/>
                <w:szCs w:val="22"/>
                <w:lang w:val="pl-PL"/>
              </w:rPr>
              <w:t xml:space="preserve"> </w:t>
            </w:r>
            <w:r>
              <w:rPr>
                <w:b/>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5</w:t>
            </w:r>
            <w:r>
              <w:rPr>
                <w:bCs/>
                <w:szCs w:val="22"/>
                <w:lang w:val="pl-PL"/>
              </w:rPr>
              <w:fldChar w:fldCharType="begin"/>
            </w:r>
            <w:r>
              <w:rPr>
                <w:bCs/>
                <w:szCs w:val="22"/>
                <w:lang w:val="pl-PL"/>
              </w:rPr>
              <w:instrText xml:space="preserve"> DOCVARIABLE VAULT_ND_226bf39f-09ce-4bb0-993f-89bf86352a5a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fldChar w:fldCharType="begin"/>
            </w:r>
            <w:r>
              <w:rPr>
                <w:color w:val="000000"/>
                <w:szCs w:val="22"/>
                <w:lang w:val="pl-PL"/>
              </w:rPr>
              <w:instrText xml:space="preserve"> DOCVARIABLE VAULT_ND_539adfe9-2f97-4533-809e-a25d8f26f021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VAULT_ND_62701bd9-c8b9-4b35-a71e-074393a25618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12</w:t>
            </w:r>
            <w:r>
              <w:rPr>
                <w:color w:val="000000"/>
                <w:szCs w:val="22"/>
                <w:lang w:val="pl-PL"/>
              </w:rPr>
              <w:fldChar w:fldCharType="begin"/>
            </w:r>
            <w:r>
              <w:rPr>
                <w:color w:val="000000"/>
                <w:szCs w:val="22"/>
                <w:lang w:val="pl-PL"/>
              </w:rPr>
              <w:instrText xml:space="preserve"> DOCVARIABLE VAULT_ND_0e8e43ac-0df9-43ac-8f69-d6e1e8fc5e3b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6</w:t>
            </w:r>
            <w:r>
              <w:rPr>
                <w:bCs/>
                <w:szCs w:val="22"/>
                <w:lang w:val="pl-PL"/>
              </w:rPr>
              <w:fldChar w:fldCharType="begin"/>
            </w:r>
            <w:r>
              <w:rPr>
                <w:bCs/>
                <w:szCs w:val="22"/>
                <w:lang w:val="pl-PL"/>
              </w:rPr>
              <w:instrText xml:space="preserve"> DOCVARIABLE VAULT_ND_7bdcf5b0-3206-4e13-9587-3ea71df1a55c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VAULT_ND_3862d594-6ecd-41ae-9f4a-8a738955ba02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14,4</w:t>
            </w:r>
            <w:r>
              <w:rPr>
                <w:color w:val="000000"/>
                <w:szCs w:val="22"/>
                <w:lang w:val="pl-PL"/>
              </w:rPr>
              <w:fldChar w:fldCharType="begin"/>
            </w:r>
            <w:r>
              <w:rPr>
                <w:color w:val="000000"/>
                <w:szCs w:val="22"/>
                <w:lang w:val="pl-PL"/>
              </w:rPr>
              <w:instrText xml:space="preserve"> DOCVARIABLE VAULT_ND_51a6b017-d75e-4b82-a299-dcd393d6ef8c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7</w:t>
            </w:r>
            <w:r>
              <w:rPr>
                <w:bCs/>
                <w:szCs w:val="22"/>
                <w:lang w:val="pl-PL"/>
              </w:rPr>
              <w:fldChar w:fldCharType="begin"/>
            </w:r>
            <w:r>
              <w:rPr>
                <w:bCs/>
                <w:szCs w:val="22"/>
                <w:lang w:val="pl-PL"/>
              </w:rPr>
              <w:instrText xml:space="preserve"> DOCVARIABLE VAULT_ND_5f5494e8-0387-4525-b747-f5882f8e67d0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VAULT_ND_9d3408e8-3203-410f-b3e7-b16b0913807d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16,8</w:t>
            </w:r>
            <w:r>
              <w:rPr>
                <w:color w:val="000000"/>
                <w:szCs w:val="22"/>
                <w:lang w:val="pl-PL"/>
              </w:rPr>
              <w:fldChar w:fldCharType="begin"/>
            </w:r>
            <w:r>
              <w:rPr>
                <w:color w:val="000000"/>
                <w:szCs w:val="22"/>
                <w:lang w:val="pl-PL"/>
              </w:rPr>
              <w:instrText xml:space="preserve"> DOCVARIABLE VAULT_ND_a87f080e-73ad-42ec-ad8b-0eca0a519b36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8</w:t>
            </w:r>
            <w:r>
              <w:rPr>
                <w:bCs/>
                <w:szCs w:val="22"/>
                <w:lang w:val="pl-PL"/>
              </w:rPr>
              <w:fldChar w:fldCharType="begin"/>
            </w:r>
            <w:r>
              <w:rPr>
                <w:bCs/>
                <w:szCs w:val="22"/>
                <w:lang w:val="pl-PL"/>
              </w:rPr>
              <w:instrText xml:space="preserve"> DOCVARIABLE VAULT_ND_690a4e28-f34c-4259-b6ef-3d3a4f0e5ca2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w:t>
            </w:r>
            <w:r>
              <w:rPr>
                <w:color w:val="000000"/>
                <w:szCs w:val="22"/>
                <w:lang w:val="pl-PL"/>
              </w:rPr>
              <w:fldChar w:fldCharType="begin"/>
            </w:r>
            <w:r>
              <w:rPr>
                <w:color w:val="000000"/>
                <w:szCs w:val="22"/>
                <w:lang w:val="pl-PL"/>
              </w:rPr>
              <w:instrText xml:space="preserve"> DOCVARIABLE VAULT_ND_f41e43e0-0d23-49f6-af03-eab24285577d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19,2</w:t>
            </w:r>
            <w:r>
              <w:rPr>
                <w:color w:val="000000"/>
                <w:szCs w:val="22"/>
                <w:lang w:val="pl-PL"/>
              </w:rPr>
              <w:fldChar w:fldCharType="begin"/>
            </w:r>
            <w:r>
              <w:rPr>
                <w:color w:val="000000"/>
                <w:szCs w:val="22"/>
                <w:lang w:val="pl-PL"/>
              </w:rPr>
              <w:instrText xml:space="preserve"> DOCVARIABLE VAULT_ND_82fb07bb-b3c1-45a2-8231-dca1ca263a3a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9</w:t>
            </w:r>
            <w:r>
              <w:rPr>
                <w:bCs/>
                <w:szCs w:val="22"/>
                <w:lang w:val="pl-PL"/>
              </w:rPr>
              <w:fldChar w:fldCharType="begin"/>
            </w:r>
            <w:r>
              <w:rPr>
                <w:bCs/>
                <w:szCs w:val="22"/>
                <w:lang w:val="pl-PL"/>
              </w:rPr>
              <w:instrText xml:space="preserve"> DOCVARIABLE VAULT_ND_0e39a4c5-2171-4150-b5e6-5f293f5bfcc2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3</w:t>
            </w:r>
            <w:r>
              <w:rPr>
                <w:bCs/>
                <w:szCs w:val="22"/>
                <w:lang w:val="pl-PL"/>
              </w:rPr>
              <w:fldChar w:fldCharType="begin"/>
            </w:r>
            <w:r>
              <w:rPr>
                <w:bCs/>
                <w:szCs w:val="22"/>
                <w:lang w:val="pl-PL"/>
              </w:rPr>
              <w:instrText xml:space="preserve"> DOCVARIABLE VAULT_ND_4f116e62-ded5-4227-a512-e86245659ead \* MERGEFORMAT </w:instrText>
            </w:r>
            <w:r>
              <w:rPr>
                <w:bCs/>
                <w:szCs w:val="22"/>
                <w:lang w:val="pl-PL"/>
              </w:rPr>
              <w:fldChar w:fldCharType="separate"/>
            </w:r>
            <w:r>
              <w:rPr>
                <w:bCs/>
                <w:szCs w:val="22"/>
                <w:lang w:val="pl-PL"/>
              </w:rPr>
              <w:t xml:space="preserve"> </w:t>
            </w:r>
            <w:r>
              <w:rPr>
                <w:bCs/>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21,6</w:t>
            </w:r>
            <w:r>
              <w:rPr>
                <w:color w:val="000000"/>
                <w:szCs w:val="22"/>
                <w:lang w:val="pl-PL"/>
              </w:rPr>
              <w:fldChar w:fldCharType="begin"/>
            </w:r>
            <w:r>
              <w:rPr>
                <w:color w:val="000000"/>
                <w:szCs w:val="22"/>
                <w:lang w:val="pl-PL"/>
              </w:rPr>
              <w:instrText xml:space="preserve"> DOCVARIABLE VAULT_ND_225b410c-b317-4441-b0a9-9e05d599a2b2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10</w:t>
            </w:r>
            <w:r>
              <w:rPr>
                <w:bCs/>
                <w:szCs w:val="22"/>
                <w:lang w:val="pl-PL"/>
              </w:rPr>
              <w:fldChar w:fldCharType="begin"/>
            </w:r>
            <w:r>
              <w:rPr>
                <w:bCs/>
                <w:szCs w:val="22"/>
                <w:lang w:val="pl-PL"/>
              </w:rPr>
              <w:instrText xml:space="preserve"> DOCVARIABLE VAULT_ND_1b4ab81b-380f-480b-ad67-50fdb4cfc03c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3</w:t>
            </w:r>
            <w:r>
              <w:rPr>
                <w:bCs/>
                <w:szCs w:val="22"/>
                <w:lang w:val="pl-PL"/>
              </w:rPr>
              <w:fldChar w:fldCharType="begin"/>
            </w:r>
            <w:r>
              <w:rPr>
                <w:bCs/>
                <w:szCs w:val="22"/>
                <w:lang w:val="pl-PL"/>
              </w:rPr>
              <w:instrText xml:space="preserve"> DOCVARIABLE VAULT_ND_8bed019b-99c4-4a65-abda-0ad8f923b967 \* MERGEFORMAT </w:instrText>
            </w:r>
            <w:r>
              <w:rPr>
                <w:bCs/>
                <w:szCs w:val="22"/>
                <w:lang w:val="pl-PL"/>
              </w:rPr>
              <w:fldChar w:fldCharType="separate"/>
            </w:r>
            <w:r>
              <w:rPr>
                <w:bCs/>
                <w:szCs w:val="22"/>
                <w:lang w:val="pl-PL"/>
              </w:rPr>
              <w:t xml:space="preserve"> </w:t>
            </w:r>
            <w:r>
              <w:rPr>
                <w:bCs/>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color w:val="000000"/>
                <w:szCs w:val="22"/>
                <w:lang w:val="pl-PL"/>
              </w:rPr>
              <w:t>24</w:t>
            </w:r>
            <w:r>
              <w:rPr>
                <w:color w:val="000000"/>
                <w:szCs w:val="22"/>
                <w:lang w:val="pl-PL"/>
              </w:rPr>
              <w:fldChar w:fldCharType="begin"/>
            </w:r>
            <w:r>
              <w:rPr>
                <w:color w:val="000000"/>
                <w:szCs w:val="22"/>
                <w:lang w:val="pl-PL"/>
              </w:rPr>
              <w:instrText xml:space="preserve"> DOCVARIABLE VAULT_ND_d2582041-c057-4605-b1c4-3ffc41f00ae1 \* MERGEFORMAT </w:instrText>
            </w:r>
            <w:r>
              <w:rPr>
                <w:color w:val="000000"/>
                <w:szCs w:val="22"/>
                <w:lang w:val="pl-PL"/>
              </w:rPr>
              <w:fldChar w:fldCharType="separate"/>
            </w:r>
            <w:r>
              <w:rPr>
                <w:color w:val="000000"/>
                <w:szCs w:val="22"/>
                <w:lang w:val="pl-PL"/>
              </w:rPr>
              <w:t xml:space="preserve"> </w:t>
            </w:r>
            <w:r>
              <w:rPr>
                <w:color w:val="000000"/>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11</w:t>
            </w:r>
            <w:r>
              <w:rPr>
                <w:bCs/>
                <w:szCs w:val="22"/>
                <w:lang w:val="pl-PL"/>
              </w:rPr>
              <w:fldChar w:fldCharType="begin"/>
            </w:r>
            <w:r>
              <w:rPr>
                <w:bCs/>
                <w:szCs w:val="22"/>
                <w:lang w:val="pl-PL"/>
              </w:rPr>
              <w:instrText xml:space="preserve"> DOCVARIABLE VAULT_ND_7b8ac063-8558-4b53-a0ee-1e66b9501a9a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3</w:t>
            </w:r>
            <w:r>
              <w:rPr>
                <w:bCs/>
                <w:szCs w:val="22"/>
                <w:lang w:val="pl-PL"/>
              </w:rPr>
              <w:fldChar w:fldCharType="begin"/>
            </w:r>
            <w:r>
              <w:rPr>
                <w:bCs/>
                <w:szCs w:val="22"/>
                <w:lang w:val="pl-PL"/>
              </w:rPr>
              <w:instrText xml:space="preserve"> DOCVARIABLE VAULT_ND_1f3b2838-f02f-4a56-8273-1d273aa7a65e \* MERGEFORMAT </w:instrText>
            </w:r>
            <w:r>
              <w:rPr>
                <w:bCs/>
                <w:szCs w:val="22"/>
                <w:lang w:val="pl-PL"/>
              </w:rPr>
              <w:fldChar w:fldCharType="separate"/>
            </w:r>
            <w:r>
              <w:rPr>
                <w:bCs/>
                <w:szCs w:val="22"/>
                <w:lang w:val="pl-PL"/>
              </w:rPr>
              <w:t xml:space="preserve"> </w:t>
            </w:r>
            <w:r>
              <w:rPr>
                <w:bCs/>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26,4</w:t>
            </w:r>
            <w:r>
              <w:rPr>
                <w:bCs/>
                <w:szCs w:val="22"/>
                <w:lang w:val="pl-PL"/>
              </w:rPr>
              <w:fldChar w:fldCharType="begin"/>
            </w:r>
            <w:r>
              <w:rPr>
                <w:bCs/>
                <w:szCs w:val="22"/>
                <w:lang w:val="pl-PL"/>
              </w:rPr>
              <w:instrText xml:space="preserve"> DOCVARIABLE VAULT_ND_2f8babaa-6071-4808-a61c-ebf4620cdb70 \* MERGEFORMAT </w:instrText>
            </w:r>
            <w:r>
              <w:rPr>
                <w:bCs/>
                <w:szCs w:val="22"/>
                <w:lang w:val="pl-PL"/>
              </w:rPr>
              <w:fldChar w:fldCharType="separate"/>
            </w:r>
            <w:r>
              <w:rPr>
                <w:bCs/>
                <w:szCs w:val="22"/>
                <w:lang w:val="pl-PL"/>
              </w:rPr>
              <w:t xml:space="preserve"> </w:t>
            </w:r>
            <w:r>
              <w:rPr>
                <w:bCs/>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12</w:t>
            </w:r>
            <w:r>
              <w:rPr>
                <w:bCs/>
                <w:szCs w:val="22"/>
                <w:lang w:val="pl-PL"/>
              </w:rPr>
              <w:fldChar w:fldCharType="begin"/>
            </w:r>
            <w:r>
              <w:rPr>
                <w:bCs/>
                <w:szCs w:val="22"/>
                <w:lang w:val="pl-PL"/>
              </w:rPr>
              <w:instrText xml:space="preserve"> DOCVARIABLE VAULT_ND_ab495301-1086-4bb3-8b5a-aa6063a81a95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3</w:t>
            </w:r>
            <w:r>
              <w:rPr>
                <w:bCs/>
                <w:szCs w:val="22"/>
                <w:lang w:val="pl-PL"/>
              </w:rPr>
              <w:fldChar w:fldCharType="begin"/>
            </w:r>
            <w:r>
              <w:rPr>
                <w:bCs/>
                <w:szCs w:val="22"/>
                <w:lang w:val="pl-PL"/>
              </w:rPr>
              <w:instrText xml:space="preserve"> DOCVARIABLE VAULT_ND_7c9028f1-25c5-4b46-a632-2d2c77249e25 \* MERGEFORMAT </w:instrText>
            </w:r>
            <w:r>
              <w:rPr>
                <w:bCs/>
                <w:szCs w:val="22"/>
                <w:lang w:val="pl-PL"/>
              </w:rPr>
              <w:fldChar w:fldCharType="separate"/>
            </w:r>
            <w:r>
              <w:rPr>
                <w:bCs/>
                <w:szCs w:val="22"/>
                <w:lang w:val="pl-PL"/>
              </w:rPr>
              <w:t xml:space="preserve"> </w:t>
            </w:r>
            <w:r>
              <w:rPr>
                <w:bCs/>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28,8</w:t>
            </w:r>
            <w:r>
              <w:rPr>
                <w:bCs/>
                <w:szCs w:val="22"/>
                <w:lang w:val="pl-PL"/>
              </w:rPr>
              <w:fldChar w:fldCharType="begin"/>
            </w:r>
            <w:r>
              <w:rPr>
                <w:bCs/>
                <w:szCs w:val="22"/>
                <w:lang w:val="pl-PL"/>
              </w:rPr>
              <w:instrText xml:space="preserve"> DOCVARIABLE VAULT_ND_566a6880-e8ac-409c-8699-44462865b963 \* MERGEFORMAT </w:instrText>
            </w:r>
            <w:r>
              <w:rPr>
                <w:bCs/>
                <w:szCs w:val="22"/>
                <w:lang w:val="pl-PL"/>
              </w:rPr>
              <w:fldChar w:fldCharType="separate"/>
            </w:r>
            <w:r>
              <w:rPr>
                <w:bCs/>
                <w:szCs w:val="22"/>
                <w:lang w:val="pl-PL"/>
              </w:rPr>
              <w:t xml:space="preserve"> </w:t>
            </w:r>
            <w:r>
              <w:rPr>
                <w:bCs/>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13</w:t>
            </w:r>
            <w:r>
              <w:rPr>
                <w:bCs/>
                <w:szCs w:val="22"/>
                <w:lang w:val="pl-PL"/>
              </w:rPr>
              <w:fldChar w:fldCharType="begin"/>
            </w:r>
            <w:r>
              <w:rPr>
                <w:bCs/>
                <w:szCs w:val="22"/>
                <w:lang w:val="pl-PL"/>
              </w:rPr>
              <w:instrText xml:space="preserve"> DOCVARIABLE VAULT_ND_56dfb874-4382-476e-924f-e05f6efe70bc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4*</w:t>
            </w:r>
            <w:r>
              <w:rPr>
                <w:bCs/>
                <w:szCs w:val="22"/>
                <w:lang w:val="pl-PL"/>
              </w:rPr>
              <w:fldChar w:fldCharType="begin"/>
            </w:r>
            <w:r>
              <w:rPr>
                <w:bCs/>
                <w:szCs w:val="22"/>
                <w:lang w:val="pl-PL"/>
              </w:rPr>
              <w:instrText xml:space="preserve"> DOCVARIABLE VAULT_ND_5f415a51-e686-4bbf-beaf-63d7a67b7671 \* MERGEFORMAT </w:instrText>
            </w:r>
            <w:r>
              <w:rPr>
                <w:bCs/>
                <w:szCs w:val="22"/>
                <w:lang w:val="pl-PL"/>
              </w:rPr>
              <w:fldChar w:fldCharType="separate"/>
            </w:r>
            <w:r>
              <w:rPr>
                <w:bCs/>
                <w:szCs w:val="22"/>
                <w:lang w:val="pl-PL"/>
              </w:rPr>
              <w:t xml:space="preserve"> </w:t>
            </w:r>
            <w:r>
              <w:rPr>
                <w:bCs/>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31,2</w:t>
            </w:r>
            <w:r>
              <w:rPr>
                <w:bCs/>
                <w:szCs w:val="22"/>
                <w:lang w:val="pl-PL"/>
              </w:rPr>
              <w:fldChar w:fldCharType="begin"/>
            </w:r>
            <w:r>
              <w:rPr>
                <w:bCs/>
                <w:szCs w:val="22"/>
                <w:lang w:val="pl-PL"/>
              </w:rPr>
              <w:instrText xml:space="preserve"> DOCVARIABLE VAULT_ND_ee3202c9-3477-44e0-88ed-fada321e2855 \* MERGEFORMAT </w:instrText>
            </w:r>
            <w:r>
              <w:rPr>
                <w:bCs/>
                <w:szCs w:val="22"/>
                <w:lang w:val="pl-PL"/>
              </w:rPr>
              <w:fldChar w:fldCharType="separate"/>
            </w:r>
            <w:r>
              <w:rPr>
                <w:bCs/>
                <w:szCs w:val="22"/>
                <w:lang w:val="pl-PL"/>
              </w:rPr>
              <w:t xml:space="preserve"> </w:t>
            </w:r>
            <w:r>
              <w:rPr>
                <w:bCs/>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14</w:t>
            </w:r>
            <w:r>
              <w:rPr>
                <w:bCs/>
                <w:szCs w:val="22"/>
                <w:lang w:val="pl-PL"/>
              </w:rPr>
              <w:fldChar w:fldCharType="begin"/>
            </w:r>
            <w:r>
              <w:rPr>
                <w:bCs/>
                <w:szCs w:val="22"/>
                <w:lang w:val="pl-PL"/>
              </w:rPr>
              <w:instrText xml:space="preserve"> DOCVARIABLE VAULT_ND_3056bcb2-f56b-4257-8ea5-a2e622dc122f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4*</w:t>
            </w:r>
            <w:r>
              <w:rPr>
                <w:bCs/>
                <w:szCs w:val="22"/>
                <w:lang w:val="pl-PL"/>
              </w:rPr>
              <w:fldChar w:fldCharType="begin"/>
            </w:r>
            <w:r>
              <w:rPr>
                <w:bCs/>
                <w:szCs w:val="22"/>
                <w:lang w:val="pl-PL"/>
              </w:rPr>
              <w:instrText xml:space="preserve"> DOCVARIABLE VAULT_ND_fcd30a6f-2f47-4a45-a1a2-e89f5f4fe27d \* MERGEFORMAT </w:instrText>
            </w:r>
            <w:r>
              <w:rPr>
                <w:bCs/>
                <w:szCs w:val="22"/>
                <w:lang w:val="pl-PL"/>
              </w:rPr>
              <w:fldChar w:fldCharType="separate"/>
            </w:r>
            <w:r>
              <w:rPr>
                <w:bCs/>
                <w:szCs w:val="22"/>
                <w:lang w:val="pl-PL"/>
              </w:rPr>
              <w:t xml:space="preserve"> </w:t>
            </w:r>
            <w:r>
              <w:rPr>
                <w:bCs/>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33,6</w:t>
            </w:r>
            <w:r>
              <w:rPr>
                <w:bCs/>
                <w:szCs w:val="22"/>
                <w:lang w:val="pl-PL"/>
              </w:rPr>
              <w:fldChar w:fldCharType="begin"/>
            </w:r>
            <w:r>
              <w:rPr>
                <w:bCs/>
                <w:szCs w:val="22"/>
                <w:lang w:val="pl-PL"/>
              </w:rPr>
              <w:instrText xml:space="preserve"> DOCVARIABLE VAULT_ND_4affc747-7850-4fc1-addf-78d95e4ec75f \* MERGEFORMAT </w:instrText>
            </w:r>
            <w:r>
              <w:rPr>
                <w:bCs/>
                <w:szCs w:val="22"/>
                <w:lang w:val="pl-PL"/>
              </w:rPr>
              <w:fldChar w:fldCharType="separate"/>
            </w:r>
            <w:r>
              <w:rPr>
                <w:bCs/>
                <w:szCs w:val="22"/>
                <w:lang w:val="pl-PL"/>
              </w:rPr>
              <w:t xml:space="preserve"> </w:t>
            </w:r>
            <w:r>
              <w:rPr>
                <w:bCs/>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pl-PL"/>
              </w:rPr>
            </w:pPr>
            <w:r>
              <w:rPr>
                <w:bCs/>
                <w:szCs w:val="22"/>
                <w:lang w:val="pl-PL"/>
              </w:rPr>
              <w:t>15</w:t>
            </w:r>
            <w:r>
              <w:rPr>
                <w:bCs/>
                <w:szCs w:val="22"/>
                <w:lang w:val="pl-PL"/>
              </w:rPr>
              <w:fldChar w:fldCharType="begin"/>
            </w:r>
            <w:r>
              <w:rPr>
                <w:bCs/>
                <w:szCs w:val="22"/>
                <w:lang w:val="pl-PL"/>
              </w:rPr>
              <w:instrText xml:space="preserve"> DOCVARIABLE VAULT_ND_3eb6138e-0f92-4b97-ba93-ab10bfc3938d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4*</w:t>
            </w:r>
            <w:r>
              <w:rPr>
                <w:bCs/>
                <w:szCs w:val="22"/>
                <w:lang w:val="pl-PL"/>
              </w:rPr>
              <w:fldChar w:fldCharType="begin"/>
            </w:r>
            <w:r>
              <w:rPr>
                <w:bCs/>
                <w:szCs w:val="22"/>
                <w:lang w:val="pl-PL"/>
              </w:rPr>
              <w:instrText xml:space="preserve"> DOCVARIABLE VAULT_ND_31457c50-c374-4921-ae8c-a39302e1eaf2 \* MERGEFORMAT </w:instrText>
            </w:r>
            <w:r>
              <w:rPr>
                <w:bCs/>
                <w:szCs w:val="22"/>
                <w:lang w:val="pl-PL"/>
              </w:rPr>
              <w:fldChar w:fldCharType="separate"/>
            </w:r>
            <w:r>
              <w:rPr>
                <w:bCs/>
                <w:szCs w:val="22"/>
                <w:lang w:val="pl-PL"/>
              </w:rPr>
              <w:t xml:space="preserve"> </w:t>
            </w:r>
            <w:r>
              <w:rPr>
                <w:bCs/>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pl-PL"/>
              </w:rPr>
            </w:pPr>
            <w:r>
              <w:rPr>
                <w:bCs/>
                <w:szCs w:val="22"/>
                <w:lang w:val="pl-PL"/>
              </w:rPr>
              <w:t>36</w:t>
            </w:r>
            <w:r>
              <w:rPr>
                <w:bCs/>
                <w:szCs w:val="22"/>
                <w:lang w:val="pl-PL"/>
              </w:rPr>
              <w:fldChar w:fldCharType="begin"/>
            </w:r>
            <w:r>
              <w:rPr>
                <w:bCs/>
                <w:szCs w:val="22"/>
                <w:lang w:val="pl-PL"/>
              </w:rPr>
              <w:instrText xml:space="preserve"> DOCVARIABLE VAULT_ND_dd05c27d-4afd-4e75-a3e4-abcf53d003c6 \* MERGEFORMAT </w:instrText>
            </w:r>
            <w:r>
              <w:rPr>
                <w:bCs/>
                <w:szCs w:val="22"/>
                <w:lang w:val="pl-PL"/>
              </w:rPr>
              <w:fldChar w:fldCharType="separate"/>
            </w:r>
            <w:r>
              <w:rPr>
                <w:bCs/>
                <w:szCs w:val="22"/>
                <w:lang w:val="pl-PL"/>
              </w:rPr>
              <w:t xml:space="preserve"> </w:t>
            </w:r>
            <w:r>
              <w:rPr>
                <w:bCs/>
                <w:szCs w:val="22"/>
                <w:lang w:val="pl-PL"/>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pl-PL"/>
              </w:rPr>
            </w:pPr>
            <w:r>
              <w:rPr>
                <w:bCs/>
                <w:szCs w:val="22"/>
                <w:lang w:val="pl-PL"/>
              </w:rPr>
              <w:t>16</w:t>
            </w:r>
            <w:r>
              <w:rPr>
                <w:bCs/>
                <w:szCs w:val="22"/>
                <w:lang w:val="pl-PL"/>
              </w:rPr>
              <w:fldChar w:fldCharType="begin"/>
            </w:r>
            <w:r>
              <w:rPr>
                <w:bCs/>
                <w:szCs w:val="22"/>
                <w:lang w:val="pl-PL"/>
              </w:rPr>
              <w:instrText xml:space="preserve"> DOCVARIABLE VAULT_ND_4232a497-33fa-4b93-bc0f-e8d6de3e2600 \* MERGEFORMAT </w:instrText>
            </w:r>
            <w:r>
              <w:rPr>
                <w:bCs/>
                <w:szCs w:val="22"/>
                <w:lang w:val="pl-PL"/>
              </w:rPr>
              <w:fldChar w:fldCharType="separate"/>
            </w:r>
            <w:r>
              <w:rPr>
                <w:bCs/>
                <w:szCs w:val="22"/>
                <w:lang w:val="pl-PL"/>
              </w:rPr>
              <w:t xml:space="preserve"> </w:t>
            </w:r>
            <w:r>
              <w:rPr>
                <w:bCs/>
                <w:szCs w:val="22"/>
                <w:lang w:val="pl-PL"/>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pl-PL"/>
              </w:rPr>
            </w:pPr>
            <w:r>
              <w:rPr>
                <w:bCs/>
                <w:szCs w:val="22"/>
                <w:lang w:val="pl-PL"/>
              </w:rPr>
              <w:t>4*</w:t>
            </w:r>
            <w:r>
              <w:rPr>
                <w:bCs/>
                <w:szCs w:val="22"/>
                <w:lang w:val="pl-PL"/>
              </w:rPr>
              <w:fldChar w:fldCharType="begin"/>
            </w:r>
            <w:r>
              <w:rPr>
                <w:bCs/>
                <w:szCs w:val="22"/>
                <w:lang w:val="pl-PL"/>
              </w:rPr>
              <w:instrText xml:space="preserve"> DOCVARIABLE VAULT_ND_54d060dc-838f-4a37-8b24-756f980d6961 \* MERGEFORMAT </w:instrText>
            </w:r>
            <w:r>
              <w:rPr>
                <w:bCs/>
                <w:szCs w:val="22"/>
                <w:lang w:val="pl-PL"/>
              </w:rPr>
              <w:fldChar w:fldCharType="separate"/>
            </w:r>
            <w:r>
              <w:rPr>
                <w:bCs/>
                <w:szCs w:val="22"/>
                <w:lang w:val="pl-PL"/>
              </w:rPr>
              <w:t xml:space="preserve"> </w:t>
            </w:r>
            <w:r>
              <w:rPr>
                <w:bCs/>
                <w:szCs w:val="22"/>
                <w:lang w:val="pl-PL"/>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pl-PL"/>
              </w:rPr>
            </w:pPr>
            <w:r>
              <w:rPr>
                <w:bCs/>
                <w:szCs w:val="22"/>
                <w:lang w:val="pl-PL"/>
              </w:rPr>
              <w:t>38,4</w:t>
            </w:r>
            <w:r>
              <w:rPr>
                <w:bCs/>
                <w:szCs w:val="22"/>
                <w:lang w:val="pl-PL"/>
              </w:rPr>
              <w:fldChar w:fldCharType="begin"/>
            </w:r>
            <w:r>
              <w:rPr>
                <w:bCs/>
                <w:szCs w:val="22"/>
                <w:lang w:val="pl-PL"/>
              </w:rPr>
              <w:instrText xml:space="preserve"> DOCVARIABLE VAULT_ND_9c7fb44c-4dbe-4564-9ed5-4fcb1238438c \* MERGEFORMAT </w:instrText>
            </w:r>
            <w:r>
              <w:rPr>
                <w:bCs/>
                <w:szCs w:val="22"/>
                <w:lang w:val="pl-PL"/>
              </w:rPr>
              <w:fldChar w:fldCharType="separate"/>
            </w:r>
            <w:r>
              <w:rPr>
                <w:bCs/>
                <w:szCs w:val="22"/>
                <w:lang w:val="pl-PL"/>
              </w:rPr>
              <w:t xml:space="preserve"> </w:t>
            </w:r>
            <w:r>
              <w:rPr>
                <w:bCs/>
                <w:szCs w:val="22"/>
                <w:lang w:val="pl-PL"/>
              </w:rPr>
              <w:fldChar w:fldCharType="end"/>
            </w:r>
          </w:p>
        </w:tc>
      </w:tr>
      <w:tr>
        <w:tc>
          <w:tcPr>
            <w:tcW w:w="9061" w:type="dxa"/>
            <w:gridSpan w:val="3"/>
            <w:tcBorders>
              <w:top w:val="nil"/>
              <w:left w:val="nil"/>
              <w:bottom w:val="nil"/>
              <w:right w:val="nil"/>
            </w:tcBorders>
            <w:vAlign w:val="center"/>
          </w:tcPr>
          <w:p>
            <w:pPr>
              <w:pStyle w:val="C-Footnote"/>
              <w:rPr>
                <w:lang w:val="pl-PL"/>
              </w:rPr>
            </w:pPr>
            <w:r>
              <w:rPr>
                <w:rFonts w:ascii="Times New Roman" w:hAnsi="Times New Roman" w:cs="Times New Roman"/>
                <w:sz w:val="22"/>
                <w:szCs w:val="22"/>
                <w:lang w:val="pl-PL"/>
              </w:rPr>
              <w:t>* Zamiast czterech saszetek 250 mg, jedną pełną saszetkę 1 000 mg można zmieszać z 36 ml wody lub soku jabłkowego. Mieszaninę tę należy podawać za pomocą strzykawki, zgodnie z objętością podawanej dawki podaną w tabeli 3.</w:t>
            </w:r>
          </w:p>
          <w:p>
            <w:pPr>
              <w:tabs>
                <w:tab w:val="clear" w:pos="567"/>
                <w:tab w:val="left" w:pos="720"/>
              </w:tabs>
              <w:spacing w:line="240" w:lineRule="auto"/>
              <w:ind w:right="-2"/>
              <w:rPr>
                <w:szCs w:val="22"/>
                <w:lang w:val="pl-PL"/>
              </w:rPr>
            </w:pPr>
          </w:p>
        </w:tc>
      </w:tr>
    </w:tbl>
    <w:p>
      <w:pPr>
        <w:spacing w:line="240" w:lineRule="auto"/>
        <w:ind w:right="-2"/>
        <w:rPr>
          <w:b/>
          <w:szCs w:val="22"/>
          <w:lang w:val="pl-PL"/>
        </w:rPr>
      </w:pPr>
      <w:r>
        <w:rPr>
          <w:b/>
          <w:bCs/>
          <w:szCs w:val="22"/>
          <w:lang w:val="pl-PL"/>
        </w:rPr>
        <w:lastRenderedPageBreak/>
        <w:t>4.</w:t>
      </w:r>
      <w:r>
        <w:rPr>
          <w:b/>
          <w:bCs/>
          <w:szCs w:val="22"/>
          <w:lang w:val="pl-PL"/>
        </w:rPr>
        <w:tab/>
        <w:t>W przypadku pacjentów w wieku 2 lat lub starszych o masie ciała powyżej 16 kg (patrz Tabela 4)</w:t>
      </w:r>
      <w:r>
        <w:rPr>
          <w:b/>
          <w:szCs w:val="22"/>
          <w:lang w:val="pl-PL"/>
        </w:rPr>
        <w:fldChar w:fldCharType="begin"/>
      </w:r>
      <w:r>
        <w:rPr>
          <w:b/>
          <w:szCs w:val="22"/>
          <w:lang w:val="pl-PL"/>
        </w:rPr>
        <w:instrText xml:space="preserve"> DOCVARIABLE vault_nd_bbf83c7f-6f3c-4d7c-ad28-7bbcdcd76448 \* MERGEFORMAT </w:instrText>
      </w:r>
      <w:r>
        <w:rPr>
          <w:b/>
          <w:szCs w:val="22"/>
          <w:lang w:val="pl-PL"/>
        </w:rPr>
        <w:fldChar w:fldCharType="separate"/>
      </w:r>
      <w:r>
        <w:rPr>
          <w:b/>
          <w:bCs/>
          <w:szCs w:val="22"/>
          <w:lang w:val="pl-PL"/>
        </w:rPr>
        <w:t xml:space="preserve"> </w:t>
      </w:r>
      <w:r>
        <w:rPr>
          <w:b/>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lang w:val="pl-PL"/>
        </w:rPr>
        <w:t>Lek należy przyjmować dokładnie tak, jak zalecił lekarz, zgodnie z przepisaną dawką</w:t>
      </w:r>
      <w:r>
        <w:rPr>
          <w:bCs/>
          <w:szCs w:val="22"/>
          <w:lang w:val="pl-PL"/>
        </w:rPr>
        <w:t xml:space="preserve"> </w:t>
      </w:r>
    </w:p>
    <w:p>
      <w:pPr>
        <w:pStyle w:val="ListParagraph"/>
        <w:numPr>
          <w:ilvl w:val="0"/>
          <w:numId w:val="31"/>
        </w:numPr>
        <w:tabs>
          <w:tab w:val="clear" w:pos="567"/>
        </w:tabs>
        <w:spacing w:line="240" w:lineRule="auto"/>
        <w:ind w:left="567" w:hanging="567"/>
        <w:rPr>
          <w:bCs/>
          <w:szCs w:val="22"/>
          <w:lang w:val="pl-PL"/>
        </w:rPr>
      </w:pPr>
      <w:r>
        <w:rPr>
          <w:bCs/>
          <w:szCs w:val="22"/>
          <w:lang w:val="pl-PL"/>
        </w:rPr>
        <w:t>Przed otwarciem saszetki(-ek) zawierającej proszek doustny Sephience wstrząsnąć saszetką lub ostukać nią twardą powierzchnię, aby upewnić się, że proszek znajduje się na dole saszetki.</w:t>
      </w:r>
      <w:r>
        <w:rPr>
          <w:bCs/>
          <w:szCs w:val="22"/>
          <w:lang w:val="pl-PL"/>
        </w:rPr>
        <w:fldChar w:fldCharType="begin"/>
      </w:r>
      <w:r>
        <w:rPr>
          <w:bCs/>
          <w:szCs w:val="22"/>
          <w:lang w:val="pl-PL"/>
        </w:rPr>
        <w:instrText xml:space="preserve"> DOCVARIABLE vault_nd_6d89d7cf-169b-491d-9213-bb9b287a6227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Otworzyć saszetkę(-i) z proszkiem doustnym Sephience, ostrożnie rozrywając lub odcinając górną część saszetki.</w:t>
      </w:r>
      <w:r>
        <w:rPr>
          <w:bCs/>
          <w:szCs w:val="22"/>
          <w:lang w:val="pl-PL"/>
        </w:rPr>
        <w:fldChar w:fldCharType="begin"/>
      </w:r>
      <w:r>
        <w:rPr>
          <w:bCs/>
          <w:szCs w:val="22"/>
          <w:lang w:val="pl-PL"/>
        </w:rPr>
        <w:instrText xml:space="preserve"> DOCVARIABLE vault_nd_54bf9d43-4a06-49e4-8ccf-029fe12c45bc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Wymieszać każdą</w:t>
      </w:r>
      <w:r>
        <w:rPr>
          <w:b/>
          <w:bCs/>
          <w:szCs w:val="22"/>
          <w:lang w:val="pl-PL"/>
        </w:rPr>
        <w:t xml:space="preserve"> </w:t>
      </w:r>
      <w:r>
        <w:rPr>
          <w:szCs w:val="22"/>
          <w:lang w:val="pl-PL"/>
        </w:rPr>
        <w:t xml:space="preserve">saszetkę (patrz Tabela 4) z wodą lub sokiem jabłkowym (9 ml na każdą saszetkę 250 mg; 20 ml na każdą saszetkę 1 000 mg) lub 2 łyżkami stołowymi musu lub dżemu jabłkowego. </w:t>
      </w:r>
      <w:r>
        <w:rPr>
          <w:bCs/>
          <w:szCs w:val="22"/>
          <w:lang w:val="pl-PL"/>
        </w:rPr>
        <w:t>Jeśli zalecana jest więcej niż jedna saszetka, saszetki można wymieszać z odpowiednią ilością wody lub soku jabłkowego (np. jedna saszetka 250 mg zmieszana z 9 ml wody lub soku jabłkowego i jedna saszetka 1 000 mg zmieszana z 20 ml wody lub soku jabłkowego).</w:t>
      </w:r>
    </w:p>
    <w:p>
      <w:pPr>
        <w:pStyle w:val="ListParagraph"/>
        <w:numPr>
          <w:ilvl w:val="0"/>
          <w:numId w:val="31"/>
        </w:numPr>
        <w:tabs>
          <w:tab w:val="clear" w:pos="567"/>
        </w:tabs>
        <w:spacing w:line="240" w:lineRule="auto"/>
        <w:ind w:left="567" w:hanging="567"/>
        <w:rPr>
          <w:bCs/>
          <w:szCs w:val="22"/>
          <w:lang w:val="pl-PL"/>
        </w:rPr>
      </w:pPr>
      <w:r>
        <w:rPr>
          <w:bCs/>
          <w:szCs w:val="22"/>
          <w:lang w:val="pl-PL"/>
        </w:rPr>
        <w:t>W przypadku stosowania wody lub soku jabłkowego dobrze wymieszać przez co najmniej 30 sekund lub dłużej, aż mieszanina nie będzie zawierać grudek.</w:t>
      </w:r>
      <w:r>
        <w:rPr>
          <w:bCs/>
          <w:szCs w:val="22"/>
          <w:lang w:val="pl-PL"/>
        </w:rPr>
        <w:fldChar w:fldCharType="begin"/>
      </w:r>
      <w:r>
        <w:rPr>
          <w:bCs/>
          <w:szCs w:val="22"/>
          <w:lang w:val="pl-PL"/>
        </w:rPr>
        <w:instrText xml:space="preserve"> DOCVARIABLE vault_nd_193e1ff5-8bd5-47b3-90b3-f894e053de27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W przypadku stosowania musu jabłkowego lub dżemu dobrze wymieszać przez co najmniej 60 sekund lub dłużej, aż mieszanina nie będzie zawierać grudek.</w:t>
      </w:r>
      <w:r>
        <w:rPr>
          <w:bCs/>
          <w:szCs w:val="22"/>
          <w:lang w:val="pl-PL"/>
        </w:rPr>
        <w:fldChar w:fldCharType="begin"/>
      </w:r>
      <w:r>
        <w:rPr>
          <w:bCs/>
          <w:szCs w:val="22"/>
          <w:lang w:val="pl-PL"/>
        </w:rPr>
        <w:instrText xml:space="preserve"> DOCVARIABLE vault_nd_1dd21267-62ab-4bd8-bb30-7230e9a31074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Po wymieszaniu dawkę należy podać natychmiast; jeżeli nie ma takiej możliwości, można ją przechowywać do 24 godzin w lodówce (2°C - 8°C) lub do 6 godzin w przypadku przechowywania w temperaturze poniżej 25°C.</w:t>
      </w:r>
      <w:r>
        <w:rPr>
          <w:bCs/>
          <w:szCs w:val="22"/>
          <w:lang w:val="pl-PL"/>
        </w:rPr>
        <w:fldChar w:fldCharType="begin"/>
      </w:r>
      <w:r>
        <w:rPr>
          <w:bCs/>
          <w:szCs w:val="22"/>
          <w:lang w:val="pl-PL"/>
        </w:rPr>
        <w:instrText xml:space="preserve"> DOCVARIABLE vault_nd_28288a06-90d0-4274-85b8-cf51510013da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Cs/>
          <w:szCs w:val="22"/>
          <w:lang w:val="pl-PL"/>
        </w:rPr>
      </w:pPr>
      <w:r>
        <w:rPr>
          <w:bCs/>
          <w:szCs w:val="22"/>
          <w:lang w:val="pl-PL"/>
        </w:rPr>
        <w:t>Jeżeli mieszanina nie zostanie przyjęta natychmiast, tuż przed podaniem należy ją ponownie wymieszać przez co najmniej 30 sekund lub 60 sekund jak wyżej.</w:t>
      </w:r>
      <w:r>
        <w:rPr>
          <w:bCs/>
          <w:szCs w:val="22"/>
          <w:lang w:val="pl-PL"/>
        </w:rPr>
        <w:fldChar w:fldCharType="begin"/>
      </w:r>
      <w:r>
        <w:rPr>
          <w:bCs/>
          <w:szCs w:val="22"/>
          <w:lang w:val="pl-PL"/>
        </w:rPr>
        <w:instrText xml:space="preserve"> DOCVARIABLE vault_nd_bccd0fd3-c84e-48fc-822f-131a5fa7eb7f \* MERGEFORMAT </w:instrText>
      </w:r>
      <w:r>
        <w:rPr>
          <w:bCs/>
          <w:szCs w:val="22"/>
          <w:lang w:val="pl-PL"/>
        </w:rPr>
        <w:fldChar w:fldCharType="separate"/>
      </w:r>
      <w:r>
        <w:rPr>
          <w:bCs/>
          <w:szCs w:val="22"/>
          <w:lang w:val="pl-PL"/>
        </w:rPr>
        <w:t xml:space="preserve"> </w:t>
      </w:r>
      <w:r>
        <w:rPr>
          <w:bCs/>
          <w:szCs w:val="22"/>
          <w:lang w:val="pl-PL"/>
        </w:rPr>
        <w:fldChar w:fldCharType="end"/>
      </w:r>
    </w:p>
    <w:p>
      <w:pPr>
        <w:pStyle w:val="ListParagraph"/>
        <w:numPr>
          <w:ilvl w:val="0"/>
          <w:numId w:val="31"/>
        </w:numPr>
        <w:tabs>
          <w:tab w:val="clear" w:pos="567"/>
        </w:tabs>
        <w:spacing w:line="240" w:lineRule="auto"/>
        <w:ind w:left="567" w:hanging="567"/>
        <w:rPr>
          <w:b/>
          <w:szCs w:val="22"/>
          <w:lang w:val="pl-PL"/>
        </w:rPr>
      </w:pPr>
      <w:r>
        <w:rPr>
          <w:bCs/>
          <w:szCs w:val="22"/>
          <w:lang w:val="pl-PL"/>
        </w:rPr>
        <w:t>Wypić lub podać wymaganą dawkę (patrz Tabela 4) do jamy ustnej za pomocą szklanki lub plastikowego kubeczka lub podać wymaganą dawkę przez zgłębnik dojelitowy.</w:t>
      </w:r>
      <w:r>
        <w:rPr>
          <w:szCs w:val="22"/>
          <w:lang w:val="pl-PL"/>
        </w:rPr>
        <w:fldChar w:fldCharType="begin"/>
      </w:r>
      <w:r>
        <w:rPr>
          <w:szCs w:val="22"/>
          <w:lang w:val="pl-PL"/>
        </w:rPr>
        <w:instrText xml:space="preserve"> DOCVARIABLE vault_nd_bfb53d19-ff08-4a17-862a-09989f6d2f74 \* MERGEFORMAT </w:instrText>
      </w:r>
      <w:r>
        <w:rPr>
          <w:szCs w:val="22"/>
          <w:lang w:val="pl-PL"/>
        </w:rPr>
        <w:fldChar w:fldCharType="separate"/>
      </w:r>
      <w:r>
        <w:rPr>
          <w:bCs/>
          <w:szCs w:val="22"/>
          <w:lang w:val="pl-PL"/>
        </w:rPr>
        <w:t xml:space="preserve"> </w:t>
      </w:r>
      <w:r>
        <w:rPr>
          <w:szCs w:val="22"/>
          <w:lang w:val="pl-PL"/>
        </w:rPr>
        <w:fldChar w:fldCharType="end"/>
      </w:r>
    </w:p>
    <w:p>
      <w:pPr>
        <w:pStyle w:val="ListParagraph"/>
        <w:numPr>
          <w:ilvl w:val="0"/>
          <w:numId w:val="31"/>
        </w:numPr>
        <w:tabs>
          <w:tab w:val="clear" w:pos="567"/>
        </w:tabs>
        <w:spacing w:line="240" w:lineRule="auto"/>
        <w:ind w:left="567" w:hanging="567"/>
        <w:rPr>
          <w:b/>
          <w:szCs w:val="22"/>
          <w:lang w:val="pl-PL"/>
        </w:rPr>
      </w:pPr>
      <w:r>
        <w:rPr>
          <w:bCs/>
          <w:szCs w:val="22"/>
          <w:lang w:val="pl-PL"/>
        </w:rPr>
        <w:t xml:space="preserve">Przepłukać pojemnik dodatkową ilością wody lub soku jabłkowego (co najmniej 15 ml) </w:t>
      </w:r>
      <w:r>
        <w:rPr>
          <w:bCs/>
          <w:szCs w:val="22"/>
          <w:lang w:val="pl-PL"/>
        </w:rPr>
        <w:br/>
        <w:t>i połknąć, aby mieć pewność, że przyjęta została pełna dawka.</w:t>
      </w:r>
      <w:r>
        <w:rPr>
          <w:bCs/>
          <w:szCs w:val="22"/>
          <w:lang w:val="pl-PL"/>
        </w:rPr>
        <w:fldChar w:fldCharType="begin"/>
      </w:r>
      <w:r>
        <w:rPr>
          <w:bCs/>
          <w:szCs w:val="22"/>
          <w:lang w:val="pl-PL"/>
        </w:rPr>
        <w:instrText xml:space="preserve"> DOCVARIABLE vault_nd_a4933a96-a950-4748-8920-285fa793f3cf \* MERGEFORMAT </w:instrText>
      </w:r>
      <w:r>
        <w:rPr>
          <w:bCs/>
          <w:szCs w:val="22"/>
          <w:lang w:val="pl-PL"/>
        </w:rPr>
        <w:fldChar w:fldCharType="separate"/>
      </w:r>
      <w:r>
        <w:rPr>
          <w:bCs/>
          <w:szCs w:val="22"/>
          <w:lang w:val="pl-PL"/>
        </w:rPr>
        <w:t xml:space="preserve"> </w:t>
      </w:r>
      <w:r>
        <w:rPr>
          <w:bCs/>
          <w:szCs w:val="22"/>
          <w:lang w:val="pl-PL"/>
        </w:rPr>
        <w:fldChar w:fldCharType="end"/>
      </w:r>
    </w:p>
    <w:p>
      <w:pPr>
        <w:tabs>
          <w:tab w:val="clear" w:pos="567"/>
          <w:tab w:val="left" w:pos="720"/>
        </w:tabs>
        <w:spacing w:line="240" w:lineRule="auto"/>
        <w:ind w:left="360" w:right="-2"/>
        <w:rPr>
          <w:b/>
          <w:szCs w:val="22"/>
          <w:lang w:val="pl-PL"/>
        </w:rPr>
      </w:pPr>
    </w:p>
    <w:p>
      <w:pPr>
        <w:tabs>
          <w:tab w:val="clear" w:pos="567"/>
          <w:tab w:val="left" w:pos="720"/>
        </w:tabs>
        <w:spacing w:line="240" w:lineRule="auto"/>
        <w:ind w:right="-2"/>
        <w:rPr>
          <w:b/>
          <w:szCs w:val="22"/>
          <w:lang w:val="pl-PL"/>
        </w:rPr>
      </w:pPr>
      <w:r>
        <w:rPr>
          <w:b/>
          <w:bCs/>
          <w:szCs w:val="22"/>
          <w:lang w:val="pl-PL"/>
        </w:rPr>
        <w:t>Tabela 4: Jak obliczyć objętość potrzebną dla pacjentów w wieku co najmniej 2 lat o masie ciała powyżej 16 kg</w:t>
      </w:r>
      <w:r>
        <w:rPr>
          <w:b/>
          <w:szCs w:val="22"/>
          <w:lang w:val="pl-PL"/>
        </w:rPr>
        <w:fldChar w:fldCharType="begin"/>
      </w:r>
      <w:r>
        <w:rPr>
          <w:b/>
          <w:szCs w:val="22"/>
          <w:lang w:val="pl-PL"/>
        </w:rPr>
        <w:instrText xml:space="preserve"> DOCVARIABLE vault_nd_59079abf-17a9-437a-a356-cdd603f14865 \* MERGEFORMAT </w:instrText>
      </w:r>
      <w:r>
        <w:rPr>
          <w:b/>
          <w:szCs w:val="22"/>
          <w:lang w:val="pl-PL"/>
        </w:rPr>
        <w:fldChar w:fldCharType="separate"/>
      </w:r>
      <w:r>
        <w:rPr>
          <w:b/>
          <w:bCs/>
          <w:szCs w:val="22"/>
          <w:lang w:val="pl-PL"/>
        </w:rPr>
        <w:t xml:space="preserve"> </w:t>
      </w:r>
      <w:r>
        <w:rPr>
          <w:b/>
          <w:szCs w:val="22"/>
          <w:lang w:val="pl-PL"/>
        </w:rPr>
        <w:fldChar w:fldCharType="end"/>
      </w:r>
    </w:p>
    <w:tbl>
      <w:tblPr>
        <w:tblW w:w="862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7"/>
        <w:gridCol w:w="2250"/>
        <w:gridCol w:w="4230"/>
      </w:tblGrid>
      <w:tr>
        <w:trPr>
          <w:trHeight w:val="60"/>
          <w:tblHeader/>
        </w:trPr>
        <w:tc>
          <w:tcPr>
            <w:tcW w:w="2147"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textAlignment w:val="baseline"/>
              <w:rPr>
                <w:szCs w:val="22"/>
                <w:lang w:val="pl-PL" w:eastAsia="en-GB"/>
              </w:rPr>
            </w:pPr>
            <w:r>
              <w:rPr>
                <w:b/>
                <w:bCs/>
                <w:color w:val="000000"/>
                <w:szCs w:val="22"/>
                <w:lang w:val="pl-PL" w:eastAsia="en-GB"/>
              </w:rPr>
              <w:t xml:space="preserve">Liczba saszetek 250 mg </w:t>
            </w:r>
            <w:r>
              <w:rPr>
                <w:b/>
                <w:bCs/>
                <w:color w:val="000000"/>
                <w:szCs w:val="22"/>
                <w:lang w:val="pl-PL" w:eastAsia="en-GB"/>
              </w:rPr>
              <w:br/>
            </w:r>
          </w:p>
        </w:tc>
        <w:tc>
          <w:tcPr>
            <w:tcW w:w="2250" w:type="dxa"/>
            <w:tcBorders>
              <w:top w:val="single" w:sz="6" w:space="0" w:color="auto"/>
              <w:left w:val="single" w:sz="4" w:space="0" w:color="auto"/>
              <w:bottom w:val="single" w:sz="6" w:space="0" w:color="auto"/>
              <w:right w:val="single" w:sz="6" w:space="0" w:color="auto"/>
            </w:tcBorders>
            <w:hideMark/>
          </w:tcPr>
          <w:p>
            <w:pPr>
              <w:tabs>
                <w:tab w:val="clear" w:pos="567"/>
                <w:tab w:val="left" w:pos="720"/>
              </w:tabs>
              <w:spacing w:line="240" w:lineRule="auto"/>
              <w:jc w:val="center"/>
              <w:textAlignment w:val="baseline"/>
              <w:rPr>
                <w:szCs w:val="22"/>
                <w:lang w:val="pl-PL" w:eastAsia="en-GB"/>
              </w:rPr>
            </w:pPr>
            <w:r>
              <w:rPr>
                <w:b/>
                <w:bCs/>
                <w:color w:val="000000"/>
                <w:szCs w:val="22"/>
                <w:lang w:val="pl-PL" w:eastAsia="en-GB"/>
              </w:rPr>
              <w:t>Liczba saszetek 1 000 mg</w:t>
            </w:r>
          </w:p>
        </w:tc>
        <w:tc>
          <w:tcPr>
            <w:tcW w:w="4230" w:type="dxa"/>
            <w:tcBorders>
              <w:top w:val="single" w:sz="6" w:space="0" w:color="auto"/>
              <w:left w:val="nil"/>
              <w:bottom w:val="single" w:sz="6" w:space="0" w:color="auto"/>
              <w:right w:val="single" w:sz="6" w:space="0" w:color="auto"/>
            </w:tcBorders>
            <w:hideMark/>
          </w:tcPr>
          <w:p>
            <w:pPr>
              <w:tabs>
                <w:tab w:val="clear" w:pos="567"/>
                <w:tab w:val="left" w:pos="720"/>
              </w:tabs>
              <w:spacing w:line="240" w:lineRule="auto"/>
              <w:jc w:val="center"/>
              <w:textAlignment w:val="baseline"/>
              <w:rPr>
                <w:b/>
                <w:bCs/>
                <w:szCs w:val="22"/>
                <w:lang w:val="pl-PL" w:eastAsia="en-GB"/>
              </w:rPr>
            </w:pPr>
            <w:r>
              <w:rPr>
                <w:b/>
                <w:bCs/>
                <w:color w:val="000000"/>
                <w:szCs w:val="22"/>
                <w:lang w:val="pl-PL" w:eastAsia="en-GB"/>
              </w:rPr>
              <w:t>Objętość wody lub soku jabłkowego do dodania (ml)</w:t>
            </w:r>
          </w:p>
        </w:tc>
      </w:tr>
      <w:tr>
        <w:trPr>
          <w:trHeight w:val="255"/>
        </w:trPr>
        <w:tc>
          <w:tcPr>
            <w:tcW w:w="2147"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0 </w:t>
            </w:r>
          </w:p>
        </w:tc>
        <w:tc>
          <w:tcPr>
            <w:tcW w:w="2250" w:type="dxa"/>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4230" w:type="dxa"/>
            <w:tcBorders>
              <w:top w:val="single" w:sz="6" w:space="0" w:color="auto"/>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20 </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29</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38</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3 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47</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0 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40</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49</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58</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3 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67</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0 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3 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lang w:val="pl-PL"/>
              </w:rPr>
              <w:t>60</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3 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69</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3 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78</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3 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3 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87</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0 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4 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lang w:val="pl-PL"/>
              </w:rPr>
              <w:t>80</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4 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89</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4 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98</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3 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4 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107</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0 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5 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lang w:val="pl-PL"/>
              </w:rPr>
              <w:t>100</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1 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5 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109</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2 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5 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118</w:t>
            </w:r>
          </w:p>
        </w:tc>
      </w:tr>
      <w:tr>
        <w:trPr>
          <w:trHeight w:val="255"/>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lastRenderedPageBreak/>
              <w:t>3 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5 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color w:val="000000"/>
                <w:szCs w:val="22"/>
                <w:lang w:val="pl-PL"/>
              </w:rPr>
              <w:t>127</w:t>
            </w:r>
          </w:p>
        </w:tc>
      </w:tr>
      <w:tr>
        <w:trPr>
          <w:trHeight w:val="60"/>
        </w:trPr>
        <w:tc>
          <w:tcPr>
            <w:tcW w:w="21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0 </w:t>
            </w:r>
          </w:p>
        </w:tc>
        <w:tc>
          <w:tcPr>
            <w:tcW w:w="225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pl-PL" w:eastAsia="en-GB"/>
              </w:rPr>
            </w:pPr>
            <w:r>
              <w:rPr>
                <w:color w:val="000000"/>
                <w:szCs w:val="22"/>
                <w:lang w:val="pl-PL" w:eastAsia="en-GB"/>
              </w:rPr>
              <w:t>6 </w:t>
            </w:r>
          </w:p>
        </w:tc>
        <w:tc>
          <w:tcPr>
            <w:tcW w:w="423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pl-PL" w:eastAsia="en-GB"/>
              </w:rPr>
            </w:pPr>
            <w:r>
              <w:rPr>
                <w:lang w:val="pl-PL"/>
              </w:rPr>
              <w:t>120</w:t>
            </w:r>
          </w:p>
        </w:tc>
      </w:tr>
    </w:tbl>
    <w:p>
      <w:pPr>
        <w:numPr>
          <w:ilvl w:val="12"/>
          <w:numId w:val="0"/>
        </w:numPr>
        <w:tabs>
          <w:tab w:val="clear" w:pos="567"/>
          <w:tab w:val="left" w:pos="720"/>
        </w:tabs>
        <w:spacing w:line="240" w:lineRule="auto"/>
        <w:ind w:right="-29"/>
        <w:rPr>
          <w:szCs w:val="22"/>
          <w:lang w:val="pl-PL"/>
        </w:rPr>
      </w:pPr>
    </w:p>
    <w:p>
      <w:pPr>
        <w:keepNext/>
        <w:keepLines/>
        <w:numPr>
          <w:ilvl w:val="12"/>
          <w:numId w:val="0"/>
        </w:numPr>
        <w:tabs>
          <w:tab w:val="clear" w:pos="567"/>
        </w:tabs>
        <w:spacing w:line="240" w:lineRule="auto"/>
        <w:rPr>
          <w:szCs w:val="22"/>
          <w:lang w:val="pl-PL"/>
        </w:rPr>
      </w:pPr>
      <w:r>
        <w:rPr>
          <w:b/>
          <w:bCs/>
          <w:szCs w:val="22"/>
          <w:lang w:val="pl-PL"/>
        </w:rPr>
        <w:t>Pominięcie przyjęcia leku Sephience</w:t>
      </w:r>
      <w:r>
        <w:rPr>
          <w:b/>
          <w:lang w:val="pl-PL"/>
        </w:rPr>
        <w:fldChar w:fldCharType="begin"/>
      </w:r>
      <w:r>
        <w:rPr>
          <w:b/>
          <w:lang w:val="pl-PL"/>
        </w:rPr>
        <w:instrText xml:space="preserve"> DOCVARIABLE vault_nd_8c5e17de-4860-4e93-80ca-631c3028fd42 \* MERGEFORMAT </w:instrText>
      </w:r>
      <w:r>
        <w:rPr>
          <w:b/>
          <w:lang w:val="pl-PL"/>
        </w:rPr>
        <w:fldChar w:fldCharType="separate"/>
      </w:r>
      <w:r>
        <w:rPr>
          <w:b/>
          <w:bCs/>
          <w:szCs w:val="22"/>
          <w:lang w:val="pl-PL"/>
        </w:rPr>
        <w:t xml:space="preserve"> </w:t>
      </w:r>
      <w:r>
        <w:rPr>
          <w:b/>
          <w:lang w:val="pl-PL"/>
        </w:rPr>
        <w:fldChar w:fldCharType="end"/>
      </w:r>
    </w:p>
    <w:p>
      <w:pPr>
        <w:numPr>
          <w:ilvl w:val="12"/>
          <w:numId w:val="0"/>
        </w:numPr>
        <w:tabs>
          <w:tab w:val="clear" w:pos="567"/>
        </w:tabs>
        <w:spacing w:line="240" w:lineRule="auto"/>
        <w:ind w:right="-2"/>
        <w:rPr>
          <w:szCs w:val="22"/>
          <w:lang w:val="pl-PL"/>
        </w:rPr>
      </w:pPr>
      <w:r>
        <w:rPr>
          <w:szCs w:val="22"/>
          <w:lang w:val="pl-PL"/>
        </w:rPr>
        <w:t>Jeżeli pacjent zapomni przyjąć lek o odpowiedniej porze, należy przyjąć go jak najszybciej tego samego dnia lub następnego dnia o zwykłej porze.</w:t>
      </w:r>
    </w:p>
    <w:p>
      <w:pPr>
        <w:numPr>
          <w:ilvl w:val="12"/>
          <w:numId w:val="0"/>
        </w:numPr>
        <w:tabs>
          <w:tab w:val="clear" w:pos="567"/>
        </w:tabs>
        <w:spacing w:line="240" w:lineRule="auto"/>
        <w:ind w:right="-2"/>
        <w:rPr>
          <w:b/>
          <w:bCs/>
          <w:szCs w:val="22"/>
          <w:lang w:val="pl-PL"/>
        </w:rPr>
      </w:pPr>
    </w:p>
    <w:p>
      <w:pPr>
        <w:numPr>
          <w:ilvl w:val="12"/>
          <w:numId w:val="0"/>
        </w:numPr>
        <w:tabs>
          <w:tab w:val="clear" w:pos="567"/>
        </w:tabs>
        <w:spacing w:line="240" w:lineRule="auto"/>
        <w:ind w:right="-2"/>
        <w:rPr>
          <w:szCs w:val="22"/>
          <w:lang w:val="pl-PL"/>
        </w:rPr>
      </w:pPr>
      <w:r>
        <w:rPr>
          <w:b/>
          <w:bCs/>
          <w:szCs w:val="22"/>
          <w:lang w:val="pl-PL"/>
        </w:rPr>
        <w:t>Nie należy</w:t>
      </w:r>
      <w:r>
        <w:rPr>
          <w:szCs w:val="22"/>
          <w:lang w:val="pl-PL"/>
        </w:rPr>
        <w:t xml:space="preserve"> stosować dawki podwójnej w celu uzupełnienia pominiętej dawki.</w:t>
      </w:r>
    </w:p>
    <w:p>
      <w:pPr>
        <w:numPr>
          <w:ilvl w:val="12"/>
          <w:numId w:val="0"/>
        </w:numPr>
        <w:tabs>
          <w:tab w:val="clear" w:pos="567"/>
        </w:tabs>
        <w:spacing w:line="240" w:lineRule="auto"/>
        <w:ind w:right="-2"/>
        <w:rPr>
          <w:szCs w:val="22"/>
          <w:lang w:val="pl-PL"/>
        </w:rPr>
      </w:pPr>
    </w:p>
    <w:p>
      <w:pPr>
        <w:numPr>
          <w:ilvl w:val="12"/>
          <w:numId w:val="0"/>
        </w:numPr>
        <w:tabs>
          <w:tab w:val="clear" w:pos="567"/>
        </w:tabs>
        <w:spacing w:line="240" w:lineRule="auto"/>
        <w:ind w:right="-2"/>
        <w:rPr>
          <w:b/>
          <w:szCs w:val="22"/>
          <w:lang w:val="pl-PL"/>
        </w:rPr>
      </w:pPr>
      <w:r>
        <w:rPr>
          <w:b/>
          <w:bCs/>
          <w:szCs w:val="22"/>
          <w:lang w:val="pl-PL"/>
        </w:rPr>
        <w:t>Przerwanie przyjmowania leku Sephience</w:t>
      </w:r>
      <w:r>
        <w:rPr>
          <w:b/>
          <w:lang w:val="pl-PL"/>
        </w:rPr>
        <w:fldChar w:fldCharType="begin"/>
      </w:r>
      <w:r>
        <w:rPr>
          <w:b/>
          <w:lang w:val="pl-PL"/>
        </w:rPr>
        <w:instrText xml:space="preserve"> DOCVARIABLE vault_nd_8faf90b5-7f6e-4aba-b9c9-31fe9f5dda69 \* MERGEFORMAT </w:instrText>
      </w:r>
      <w:r>
        <w:rPr>
          <w:b/>
          <w:lang w:val="pl-PL"/>
        </w:rPr>
        <w:fldChar w:fldCharType="separate"/>
      </w:r>
      <w:r>
        <w:rPr>
          <w:b/>
          <w:bCs/>
          <w:szCs w:val="22"/>
          <w:lang w:val="pl-PL"/>
        </w:rPr>
        <w:t xml:space="preserve"> </w:t>
      </w:r>
      <w:r>
        <w:rPr>
          <w:b/>
          <w:lang w:val="pl-PL"/>
        </w:rPr>
        <w:fldChar w:fldCharType="end"/>
      </w:r>
    </w:p>
    <w:p>
      <w:pPr>
        <w:numPr>
          <w:ilvl w:val="12"/>
          <w:numId w:val="0"/>
        </w:numPr>
        <w:tabs>
          <w:tab w:val="clear" w:pos="567"/>
        </w:tabs>
        <w:spacing w:line="240" w:lineRule="auto"/>
        <w:ind w:right="-29"/>
        <w:rPr>
          <w:szCs w:val="22"/>
          <w:lang w:val="pl-PL"/>
        </w:rPr>
      </w:pPr>
      <w:r>
        <w:rPr>
          <w:b/>
          <w:bCs/>
          <w:szCs w:val="22"/>
          <w:lang w:val="pl-PL"/>
        </w:rPr>
        <w:t>Nie należy</w:t>
      </w:r>
      <w:r>
        <w:rPr>
          <w:szCs w:val="22"/>
          <w:lang w:val="pl-PL"/>
        </w:rPr>
        <w:t xml:space="preserve"> przerywać przyjmowania leku Sephience bez uprzedniej konsultacji z lekarzem, ponieważ może to spowodować wzrost stężenia fenyloalaniny we krwi.</w:t>
      </w:r>
    </w:p>
    <w:p>
      <w:pPr>
        <w:numPr>
          <w:ilvl w:val="12"/>
          <w:numId w:val="0"/>
        </w:numPr>
        <w:tabs>
          <w:tab w:val="clear" w:pos="567"/>
          <w:tab w:val="left" w:pos="720"/>
        </w:tabs>
        <w:spacing w:line="240" w:lineRule="auto"/>
        <w:ind w:right="-29"/>
        <w:rPr>
          <w:szCs w:val="22"/>
          <w:lang w:val="pl-PL"/>
        </w:rPr>
      </w:pPr>
    </w:p>
    <w:p>
      <w:pPr>
        <w:numPr>
          <w:ilvl w:val="12"/>
          <w:numId w:val="0"/>
        </w:numPr>
        <w:tabs>
          <w:tab w:val="clear" w:pos="567"/>
          <w:tab w:val="left" w:pos="720"/>
        </w:tabs>
        <w:spacing w:line="240" w:lineRule="auto"/>
        <w:ind w:right="-29"/>
        <w:rPr>
          <w:lang w:val="pl-PL"/>
        </w:rPr>
      </w:pPr>
      <w:r>
        <w:rPr>
          <w:szCs w:val="22"/>
          <w:lang w:val="pl-PL"/>
        </w:rPr>
        <w:t>W razie jakichkolwiek dalszych wątpliwości związanych ze stosowaniem tego leku, należy zwrócić się do lekarza lub farmaceuty.</w:t>
      </w:r>
    </w:p>
    <w:p>
      <w:pPr>
        <w:numPr>
          <w:ilvl w:val="12"/>
          <w:numId w:val="0"/>
        </w:numPr>
        <w:tabs>
          <w:tab w:val="clear" w:pos="567"/>
        </w:tabs>
        <w:spacing w:line="240" w:lineRule="auto"/>
        <w:rPr>
          <w:lang w:val="pl-PL"/>
        </w:rPr>
      </w:pPr>
    </w:p>
    <w:p>
      <w:pPr>
        <w:numPr>
          <w:ilvl w:val="12"/>
          <w:numId w:val="0"/>
        </w:numPr>
        <w:tabs>
          <w:tab w:val="clear" w:pos="567"/>
        </w:tabs>
        <w:spacing w:line="240" w:lineRule="auto"/>
        <w:rPr>
          <w:lang w:val="pl-PL"/>
        </w:rPr>
      </w:pPr>
    </w:p>
    <w:p>
      <w:pPr>
        <w:numPr>
          <w:ilvl w:val="12"/>
          <w:numId w:val="0"/>
        </w:numPr>
        <w:tabs>
          <w:tab w:val="clear" w:pos="567"/>
        </w:tabs>
        <w:spacing w:line="240" w:lineRule="auto"/>
        <w:ind w:left="567" w:right="-2" w:hanging="567"/>
        <w:rPr>
          <w:lang w:val="pl-PL"/>
        </w:rPr>
      </w:pPr>
      <w:r>
        <w:rPr>
          <w:b/>
          <w:bCs/>
          <w:szCs w:val="22"/>
          <w:lang w:val="pl-PL"/>
        </w:rPr>
        <w:t>4.</w:t>
      </w:r>
      <w:r>
        <w:rPr>
          <w:b/>
          <w:bCs/>
          <w:szCs w:val="22"/>
          <w:lang w:val="pl-PL"/>
        </w:rPr>
        <w:tab/>
        <w:t>Możliwe działania niepożądane</w:t>
      </w:r>
    </w:p>
    <w:p>
      <w:pPr>
        <w:numPr>
          <w:ilvl w:val="12"/>
          <w:numId w:val="0"/>
        </w:numPr>
        <w:tabs>
          <w:tab w:val="clear" w:pos="567"/>
        </w:tabs>
        <w:spacing w:line="240" w:lineRule="auto"/>
        <w:rPr>
          <w:lang w:val="pl-PL"/>
        </w:rPr>
      </w:pPr>
    </w:p>
    <w:p>
      <w:pPr>
        <w:numPr>
          <w:ilvl w:val="12"/>
          <w:numId w:val="0"/>
        </w:numPr>
        <w:tabs>
          <w:tab w:val="clear" w:pos="567"/>
          <w:tab w:val="left" w:pos="720"/>
        </w:tabs>
        <w:spacing w:line="240" w:lineRule="auto"/>
        <w:ind w:right="-29"/>
        <w:rPr>
          <w:szCs w:val="22"/>
          <w:lang w:val="pl-PL"/>
        </w:rPr>
      </w:pPr>
      <w:r>
        <w:rPr>
          <w:szCs w:val="22"/>
          <w:lang w:val="pl-PL"/>
        </w:rPr>
        <w:t>Jak każdy lek, lek ten może powodować działania niepożądane, chociaż nie u każdego one wystąpią.</w:t>
      </w:r>
    </w:p>
    <w:p>
      <w:pPr>
        <w:numPr>
          <w:ilvl w:val="12"/>
          <w:numId w:val="0"/>
        </w:numPr>
        <w:tabs>
          <w:tab w:val="clear" w:pos="567"/>
          <w:tab w:val="left" w:pos="720"/>
        </w:tabs>
        <w:spacing w:line="240" w:lineRule="auto"/>
        <w:ind w:right="-29"/>
        <w:rPr>
          <w:szCs w:val="22"/>
          <w:lang w:val="pl-PL"/>
        </w:rPr>
      </w:pPr>
    </w:p>
    <w:p>
      <w:pPr>
        <w:numPr>
          <w:ilvl w:val="12"/>
          <w:numId w:val="0"/>
        </w:numPr>
        <w:tabs>
          <w:tab w:val="clear" w:pos="567"/>
          <w:tab w:val="left" w:pos="720"/>
        </w:tabs>
        <w:spacing w:line="240" w:lineRule="auto"/>
        <w:ind w:right="-29"/>
        <w:rPr>
          <w:szCs w:val="22"/>
          <w:lang w:val="pl-PL"/>
        </w:rPr>
      </w:pPr>
      <w:r>
        <w:rPr>
          <w:b/>
          <w:bCs/>
          <w:szCs w:val="22"/>
          <w:lang w:val="pl-PL"/>
        </w:rPr>
        <w:t xml:space="preserve">Bardzo częste działania niepożądane </w:t>
      </w:r>
      <w:r>
        <w:rPr>
          <w:szCs w:val="22"/>
          <w:lang w:val="pl-PL"/>
        </w:rPr>
        <w:t>(mogą wystąpić u więcej niż 1 na 10 osób)</w:t>
      </w:r>
    </w:p>
    <w:p>
      <w:pPr>
        <w:pStyle w:val="ListParagraph"/>
        <w:numPr>
          <w:ilvl w:val="0"/>
          <w:numId w:val="32"/>
        </w:numPr>
        <w:tabs>
          <w:tab w:val="clear" w:pos="567"/>
        </w:tabs>
        <w:spacing w:line="240" w:lineRule="auto"/>
        <w:ind w:left="567" w:hanging="567"/>
        <w:rPr>
          <w:szCs w:val="22"/>
          <w:lang w:val="pl-PL"/>
        </w:rPr>
      </w:pPr>
      <w:r>
        <w:rPr>
          <w:szCs w:val="22"/>
          <w:lang w:val="pl-PL"/>
        </w:rPr>
        <w:t>Zakażenie górnych dróg oddechowych (nosa i gardła)</w:t>
      </w:r>
    </w:p>
    <w:p>
      <w:pPr>
        <w:pStyle w:val="ListParagraph"/>
        <w:numPr>
          <w:ilvl w:val="0"/>
          <w:numId w:val="32"/>
        </w:numPr>
        <w:tabs>
          <w:tab w:val="clear" w:pos="567"/>
        </w:tabs>
        <w:spacing w:line="240" w:lineRule="auto"/>
        <w:ind w:left="567" w:hanging="567"/>
        <w:rPr>
          <w:szCs w:val="22"/>
          <w:lang w:val="pl-PL"/>
        </w:rPr>
      </w:pPr>
      <w:r>
        <w:rPr>
          <w:szCs w:val="22"/>
          <w:lang w:val="pl-PL"/>
        </w:rPr>
        <w:t>Ból głowy</w:t>
      </w:r>
    </w:p>
    <w:p>
      <w:pPr>
        <w:pStyle w:val="ListParagraph"/>
        <w:numPr>
          <w:ilvl w:val="0"/>
          <w:numId w:val="32"/>
        </w:numPr>
        <w:tabs>
          <w:tab w:val="clear" w:pos="567"/>
        </w:tabs>
        <w:spacing w:line="240" w:lineRule="auto"/>
        <w:ind w:left="567" w:hanging="567"/>
        <w:rPr>
          <w:szCs w:val="22"/>
          <w:lang w:val="pl-PL"/>
        </w:rPr>
      </w:pPr>
      <w:r>
        <w:rPr>
          <w:szCs w:val="22"/>
          <w:lang w:val="pl-PL"/>
        </w:rPr>
        <w:t>Biegunka</w:t>
      </w:r>
    </w:p>
    <w:p>
      <w:pPr>
        <w:pStyle w:val="ListParagraph"/>
        <w:numPr>
          <w:ilvl w:val="0"/>
          <w:numId w:val="32"/>
        </w:numPr>
        <w:tabs>
          <w:tab w:val="clear" w:pos="567"/>
        </w:tabs>
        <w:spacing w:line="240" w:lineRule="auto"/>
        <w:ind w:left="567" w:hanging="567"/>
        <w:rPr>
          <w:szCs w:val="22"/>
          <w:lang w:val="pl-PL"/>
        </w:rPr>
      </w:pPr>
      <w:r>
        <w:rPr>
          <w:szCs w:val="22"/>
          <w:lang w:val="pl-PL"/>
        </w:rPr>
        <w:t>Ból brzucha</w:t>
      </w:r>
    </w:p>
    <w:p>
      <w:pPr>
        <w:tabs>
          <w:tab w:val="clear" w:pos="567"/>
          <w:tab w:val="left" w:pos="720"/>
        </w:tabs>
        <w:spacing w:line="240" w:lineRule="auto"/>
        <w:ind w:right="-29"/>
        <w:rPr>
          <w:szCs w:val="22"/>
          <w:lang w:val="pl-PL"/>
        </w:rPr>
      </w:pPr>
    </w:p>
    <w:p>
      <w:pPr>
        <w:tabs>
          <w:tab w:val="clear" w:pos="567"/>
          <w:tab w:val="left" w:pos="720"/>
        </w:tabs>
        <w:spacing w:line="240" w:lineRule="auto"/>
        <w:ind w:right="-29"/>
        <w:rPr>
          <w:b/>
          <w:bCs/>
          <w:szCs w:val="22"/>
          <w:lang w:val="pl-PL"/>
        </w:rPr>
      </w:pPr>
      <w:r>
        <w:rPr>
          <w:b/>
          <w:bCs/>
          <w:szCs w:val="22"/>
          <w:lang w:val="pl-PL"/>
        </w:rPr>
        <w:t xml:space="preserve">Częste działania niepożądane </w:t>
      </w:r>
      <w:r>
        <w:rPr>
          <w:szCs w:val="22"/>
          <w:lang w:val="pl-PL"/>
        </w:rPr>
        <w:t>(mogą wystąpić u maksymalnie 1 na 10 osób)</w:t>
      </w:r>
    </w:p>
    <w:p>
      <w:pPr>
        <w:pStyle w:val="ListParagraph"/>
        <w:numPr>
          <w:ilvl w:val="0"/>
          <w:numId w:val="33"/>
        </w:numPr>
        <w:tabs>
          <w:tab w:val="clear" w:pos="567"/>
        </w:tabs>
        <w:spacing w:line="240" w:lineRule="auto"/>
        <w:ind w:left="567" w:hanging="567"/>
        <w:rPr>
          <w:szCs w:val="22"/>
          <w:lang w:val="pl-PL"/>
        </w:rPr>
      </w:pPr>
      <w:r>
        <w:rPr>
          <w:szCs w:val="22"/>
          <w:lang w:val="pl-PL"/>
        </w:rPr>
        <w:t>Stolce o nietypowym zabarwieniu</w:t>
      </w:r>
    </w:p>
    <w:p>
      <w:pPr>
        <w:pStyle w:val="ListParagraph"/>
        <w:numPr>
          <w:ilvl w:val="0"/>
          <w:numId w:val="33"/>
        </w:numPr>
        <w:tabs>
          <w:tab w:val="clear" w:pos="567"/>
        </w:tabs>
        <w:spacing w:line="240" w:lineRule="auto"/>
        <w:ind w:left="567" w:hanging="567"/>
        <w:rPr>
          <w:szCs w:val="22"/>
          <w:lang w:val="pl-PL"/>
        </w:rPr>
      </w:pPr>
      <w:r>
        <w:rPr>
          <w:szCs w:val="22"/>
          <w:lang w:val="pl-PL"/>
        </w:rPr>
        <w:t xml:space="preserve">Małe stężenie fenyloalaniny (aminokwasu egzogennego) we krwi </w:t>
      </w:r>
    </w:p>
    <w:p>
      <w:pPr>
        <w:tabs>
          <w:tab w:val="clear" w:pos="567"/>
          <w:tab w:val="left" w:pos="720"/>
        </w:tabs>
        <w:spacing w:line="240" w:lineRule="auto"/>
        <w:ind w:right="-2"/>
        <w:rPr>
          <w:lang w:val="pl-PL"/>
        </w:rPr>
      </w:pPr>
    </w:p>
    <w:p>
      <w:pPr>
        <w:keepNext/>
        <w:numPr>
          <w:ilvl w:val="12"/>
          <w:numId w:val="0"/>
        </w:numPr>
        <w:spacing w:line="240" w:lineRule="auto"/>
        <w:rPr>
          <w:b/>
          <w:szCs w:val="22"/>
          <w:highlight w:val="yellow"/>
          <w:lang w:val="pl-PL"/>
        </w:rPr>
      </w:pPr>
      <w:r>
        <w:rPr>
          <w:b/>
          <w:bCs/>
          <w:szCs w:val="22"/>
          <w:lang w:val="pl-PL"/>
        </w:rPr>
        <w:t>Zgłaszanie działań niepożądanych</w:t>
      </w:r>
      <w:r>
        <w:rPr>
          <w:b/>
          <w:szCs w:val="22"/>
          <w:highlight w:val="yellow"/>
          <w:lang w:val="pl-PL"/>
        </w:rPr>
        <w:fldChar w:fldCharType="begin"/>
      </w:r>
      <w:r>
        <w:rPr>
          <w:b/>
          <w:szCs w:val="22"/>
          <w:highlight w:val="yellow"/>
          <w:lang w:val="pl-PL"/>
        </w:rPr>
        <w:instrText xml:space="preserve"> DOCVARIABLE vault_nd_07007872-92e8-4fac-a151-e94d5f5b213d \* MERGEFORMAT </w:instrText>
      </w:r>
      <w:r>
        <w:rPr>
          <w:b/>
          <w:szCs w:val="22"/>
          <w:highlight w:val="yellow"/>
          <w:lang w:val="pl-PL"/>
        </w:rPr>
        <w:fldChar w:fldCharType="separate"/>
      </w:r>
      <w:r>
        <w:rPr>
          <w:b/>
          <w:bCs/>
          <w:szCs w:val="22"/>
          <w:highlight w:val="yellow"/>
          <w:lang w:val="pl-PL"/>
        </w:rPr>
        <w:t xml:space="preserve"> </w:t>
      </w:r>
      <w:r>
        <w:rPr>
          <w:b/>
          <w:szCs w:val="22"/>
          <w:highlight w:val="yellow"/>
          <w:lang w:val="pl-PL"/>
        </w:rPr>
        <w:fldChar w:fldCharType="end"/>
      </w:r>
    </w:p>
    <w:p>
      <w:pPr>
        <w:pStyle w:val="BodytextAgency"/>
        <w:keepNext/>
        <w:spacing w:after="0" w:line="240" w:lineRule="auto"/>
        <w:rPr>
          <w:rFonts w:ascii="Times New Roman" w:hAnsi="Times New Roman"/>
          <w:sz w:val="22"/>
          <w:lang w:val="pl-PL"/>
        </w:rPr>
      </w:pPr>
      <w:r>
        <w:rPr>
          <w:rFonts w:ascii="Times New Roman" w:hAnsi="Times New Roman"/>
          <w:noProof/>
          <w:sz w:val="22"/>
          <w:lang w:val="pl-PL"/>
        </w:rPr>
        <w:t>Jeśli wystąpią jakiekolwiek objawy niepożądane, w tym wszelkie objawy niepożądane niewymienione w tej ulotce, należy powiedzieć o tym lekarzowi lub farmaceucie</w:t>
      </w:r>
      <w:r>
        <w:rPr>
          <w:rFonts w:ascii="Times New Roman" w:eastAsia="Times New Roman" w:hAnsi="Times New Roman" w:cs="Times New Roman"/>
          <w:sz w:val="22"/>
          <w:szCs w:val="22"/>
          <w:lang w:val="pl-PL"/>
        </w:rPr>
        <w:t>.</w:t>
      </w:r>
      <w:r>
        <w:rPr>
          <w:lang w:val="pl-PL"/>
        </w:rPr>
        <w:t xml:space="preserve"> </w:t>
      </w:r>
      <w:r>
        <w:rPr>
          <w:rFonts w:ascii="Times New Roman" w:eastAsia="Times New Roman" w:hAnsi="Times New Roman" w:cs="Times New Roman"/>
          <w:sz w:val="22"/>
          <w:szCs w:val="22"/>
          <w:lang w:val="pl-PL"/>
        </w:rPr>
        <w:t xml:space="preserve">Działania niepożądane można zgłaszać bezpośrednio do </w:t>
      </w:r>
      <w:r>
        <w:rPr>
          <w:rFonts w:ascii="Times New Roman" w:eastAsia="Times New Roman" w:hAnsi="Times New Roman" w:cs="Times New Roman"/>
          <w:sz w:val="22"/>
          <w:szCs w:val="22"/>
          <w:shd w:val="pct15" w:color="auto" w:fill="FFFFFF"/>
          <w:lang w:val="pl-PL"/>
        </w:rPr>
        <w:t xml:space="preserve">„krajowego systemu zgłaszania” wymienionego w </w:t>
      </w:r>
      <w:hyperlink r:id="rId14" w:history="1">
        <w:r>
          <w:rPr>
            <w:rFonts w:ascii="Times New Roman" w:eastAsia="Times New Roman" w:hAnsi="Times New Roman" w:cs="Times New Roman"/>
            <w:color w:val="0000FF"/>
            <w:sz w:val="22"/>
            <w:szCs w:val="22"/>
            <w:u w:val="single"/>
            <w:shd w:val="pct15" w:color="auto" w:fill="FFFFFF"/>
            <w:lang w:val="pl-PL"/>
          </w:rPr>
          <w:t>załączniku V</w:t>
        </w:r>
      </w:hyperlink>
      <w:r>
        <w:rPr>
          <w:rFonts w:ascii="Times New Roman" w:eastAsia="Times New Roman" w:hAnsi="Times New Roman" w:cs="Times New Roman"/>
          <w:sz w:val="22"/>
          <w:szCs w:val="22"/>
          <w:lang w:val="pl-PL"/>
        </w:rPr>
        <w:t>.</w:t>
      </w:r>
      <w:r>
        <w:rPr>
          <w:rFonts w:ascii="Times New Roman" w:eastAsia="Times New Roman" w:hAnsi="Times New Roman"/>
          <w:sz w:val="22"/>
          <w:szCs w:val="22"/>
          <w:lang w:val="pl-PL"/>
        </w:rPr>
        <w:t xml:space="preserve"> Dzięki zgłaszaniu działań niepożądanych można będzie zgromadzić więcej informacji na temat bezpieczeństwa stosowania leku.</w:t>
      </w:r>
    </w:p>
    <w:p>
      <w:pPr>
        <w:autoSpaceDE w:val="0"/>
        <w:autoSpaceDN w:val="0"/>
        <w:adjustRightInd w:val="0"/>
        <w:spacing w:line="240" w:lineRule="auto"/>
        <w:rPr>
          <w:szCs w:val="22"/>
          <w:lang w:val="pl-PL"/>
        </w:rPr>
      </w:pPr>
    </w:p>
    <w:p>
      <w:pPr>
        <w:autoSpaceDE w:val="0"/>
        <w:autoSpaceDN w:val="0"/>
        <w:adjustRightInd w:val="0"/>
        <w:spacing w:line="240" w:lineRule="auto"/>
        <w:rPr>
          <w:szCs w:val="22"/>
          <w:lang w:val="pl-PL"/>
        </w:rPr>
      </w:pPr>
    </w:p>
    <w:p>
      <w:pPr>
        <w:keepNext/>
        <w:numPr>
          <w:ilvl w:val="12"/>
          <w:numId w:val="0"/>
        </w:numPr>
        <w:spacing w:line="240" w:lineRule="auto"/>
        <w:ind w:left="567" w:hanging="567"/>
        <w:rPr>
          <w:b/>
          <w:szCs w:val="22"/>
          <w:lang w:val="pl-PL"/>
        </w:rPr>
      </w:pPr>
      <w:r>
        <w:rPr>
          <w:b/>
          <w:bCs/>
          <w:szCs w:val="22"/>
          <w:lang w:val="pl-PL"/>
        </w:rPr>
        <w:t>5.</w:t>
      </w:r>
      <w:r>
        <w:rPr>
          <w:b/>
          <w:bCs/>
          <w:szCs w:val="22"/>
          <w:lang w:val="pl-PL"/>
        </w:rPr>
        <w:tab/>
        <w:t>Jak przechowywać lek Sephience</w:t>
      </w:r>
    </w:p>
    <w:p>
      <w:pPr>
        <w:keepNext/>
        <w:numPr>
          <w:ilvl w:val="12"/>
          <w:numId w:val="0"/>
        </w:numPr>
        <w:tabs>
          <w:tab w:val="clear" w:pos="567"/>
          <w:tab w:val="left" w:pos="720"/>
        </w:tabs>
        <w:spacing w:line="240" w:lineRule="auto"/>
        <w:rPr>
          <w:szCs w:val="22"/>
          <w:lang w:val="pl-PL"/>
        </w:rPr>
      </w:pPr>
    </w:p>
    <w:p>
      <w:pPr>
        <w:numPr>
          <w:ilvl w:val="12"/>
          <w:numId w:val="0"/>
        </w:numPr>
        <w:tabs>
          <w:tab w:val="clear" w:pos="567"/>
          <w:tab w:val="left" w:pos="720"/>
        </w:tabs>
        <w:spacing w:line="240" w:lineRule="auto"/>
        <w:ind w:right="-2"/>
        <w:rPr>
          <w:szCs w:val="22"/>
          <w:lang w:val="pl-PL"/>
        </w:rPr>
      </w:pPr>
      <w:r>
        <w:rPr>
          <w:szCs w:val="22"/>
          <w:lang w:val="pl-PL"/>
        </w:rPr>
        <w:t>Lek należy przechowywać w miejscu niewidocznym i niedostępnym dla dzieci.</w:t>
      </w:r>
    </w:p>
    <w:p>
      <w:pPr>
        <w:numPr>
          <w:ilvl w:val="12"/>
          <w:numId w:val="0"/>
        </w:numPr>
        <w:tabs>
          <w:tab w:val="clear" w:pos="567"/>
          <w:tab w:val="left" w:pos="720"/>
        </w:tabs>
        <w:spacing w:line="240" w:lineRule="auto"/>
        <w:ind w:right="-2"/>
        <w:rPr>
          <w:szCs w:val="22"/>
          <w:lang w:val="pl-PL"/>
        </w:rPr>
      </w:pPr>
    </w:p>
    <w:p>
      <w:pPr>
        <w:tabs>
          <w:tab w:val="clear" w:pos="567"/>
          <w:tab w:val="left" w:pos="720"/>
        </w:tabs>
        <w:spacing w:line="240" w:lineRule="auto"/>
        <w:ind w:right="-2"/>
        <w:rPr>
          <w:lang w:val="pl-PL"/>
        </w:rPr>
      </w:pPr>
      <w:r>
        <w:rPr>
          <w:szCs w:val="22"/>
          <w:lang w:val="pl-PL"/>
        </w:rPr>
        <w:t>Nie stosować tego leku po upływie terminu ważności zamieszczonego na saszetce i pudełku. Termin ważności oznacza ostatni dzień podanego miesiąca.</w:t>
      </w:r>
    </w:p>
    <w:p>
      <w:pPr>
        <w:tabs>
          <w:tab w:val="clear" w:pos="567"/>
          <w:tab w:val="left" w:pos="720"/>
        </w:tabs>
        <w:spacing w:line="240" w:lineRule="auto"/>
        <w:ind w:right="-2"/>
        <w:rPr>
          <w:lang w:val="pl-PL"/>
        </w:rPr>
      </w:pPr>
    </w:p>
    <w:p>
      <w:pPr>
        <w:numPr>
          <w:ilvl w:val="12"/>
          <w:numId w:val="0"/>
        </w:numPr>
        <w:tabs>
          <w:tab w:val="clear" w:pos="567"/>
          <w:tab w:val="left" w:pos="720"/>
        </w:tabs>
        <w:spacing w:line="240" w:lineRule="auto"/>
        <w:ind w:right="-2"/>
        <w:rPr>
          <w:szCs w:val="22"/>
          <w:lang w:val="pl-PL"/>
        </w:rPr>
      </w:pPr>
      <w:r>
        <w:rPr>
          <w:szCs w:val="22"/>
          <w:lang w:val="pl-PL"/>
        </w:rPr>
        <w:t>Brak specjalnych zaleceń dotyczących t</w:t>
      </w:r>
      <w:r>
        <w:rPr>
          <w:lang w:val="pl-PL"/>
        </w:rPr>
        <w:t>emperatury</w:t>
      </w:r>
      <w:r>
        <w:rPr>
          <w:szCs w:val="22"/>
          <w:lang w:val="pl-PL"/>
        </w:rPr>
        <w:t xml:space="preserve"> przechowywania leku. </w:t>
      </w:r>
    </w:p>
    <w:p>
      <w:pPr>
        <w:numPr>
          <w:ilvl w:val="12"/>
          <w:numId w:val="0"/>
        </w:num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ind w:right="-2"/>
        <w:rPr>
          <w:szCs w:val="22"/>
          <w:lang w:val="pl-PL"/>
        </w:rPr>
      </w:pPr>
      <w:r>
        <w:rPr>
          <w:szCs w:val="22"/>
          <w:lang w:val="pl-PL"/>
        </w:rPr>
        <w:t>Przechowywać w oryginalnym opakowaniu w celu ochrony przed światłem.</w:t>
      </w:r>
    </w:p>
    <w:p>
      <w:pPr>
        <w:numPr>
          <w:ilvl w:val="12"/>
          <w:numId w:val="0"/>
        </w:num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ind w:right="-2"/>
        <w:rPr>
          <w:szCs w:val="22"/>
          <w:lang w:val="pl-PL"/>
        </w:rPr>
      </w:pPr>
      <w:r>
        <w:rPr>
          <w:szCs w:val="22"/>
          <w:lang w:val="pl-PL"/>
        </w:rPr>
        <w:t xml:space="preserve">Po wymieszaniu leku należy go natychmiast przyjąć. </w:t>
      </w:r>
      <w:bookmarkStart w:id="14" w:name="_Hlk158714384"/>
      <w:r>
        <w:rPr>
          <w:szCs w:val="22"/>
          <w:lang w:val="pl-PL"/>
        </w:rPr>
        <w:t>W przeciwnym razie mieszaninę można przechowywać do 24 godzin w lodówc</w:t>
      </w:r>
      <w:r>
        <w:rPr>
          <w:lang w:val="pl-PL"/>
        </w:rPr>
        <w:t>e</w:t>
      </w:r>
      <w:r>
        <w:rPr>
          <w:szCs w:val="22"/>
          <w:lang w:val="pl-PL"/>
        </w:rPr>
        <w:t xml:space="preserve"> (2°C - 8°C) lub do 6 godzin w temperaturze poniżej 25°C.</w:t>
      </w:r>
      <w:bookmarkEnd w:id="14"/>
    </w:p>
    <w:p>
      <w:pPr>
        <w:numPr>
          <w:ilvl w:val="12"/>
          <w:numId w:val="0"/>
        </w:num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ind w:right="-2"/>
        <w:rPr>
          <w:i/>
          <w:szCs w:val="22"/>
          <w:lang w:val="pl-PL"/>
        </w:rPr>
      </w:pPr>
      <w:r>
        <w:rPr>
          <w:szCs w:val="22"/>
          <w:lang w:val="pl-PL"/>
        </w:rPr>
        <w:lastRenderedPageBreak/>
        <w:t>Leków nie należy wyrzucać do kanalizacji ani domowych pojemników na odpadki. Należy zapytać farmaceutę, jak usunąć leki, których się już nie używa. Takie postępowanie pomoże chronić środowisko.</w:t>
      </w:r>
    </w:p>
    <w:p>
      <w:pPr>
        <w:numPr>
          <w:ilvl w:val="12"/>
          <w:numId w:val="0"/>
        </w:numPr>
        <w:tabs>
          <w:tab w:val="clear" w:pos="567"/>
        </w:tabs>
        <w:spacing w:line="240" w:lineRule="auto"/>
        <w:ind w:right="-2"/>
        <w:rPr>
          <w:szCs w:val="22"/>
          <w:lang w:val="pl-PL"/>
        </w:rPr>
      </w:pPr>
    </w:p>
    <w:p>
      <w:pPr>
        <w:numPr>
          <w:ilvl w:val="12"/>
          <w:numId w:val="0"/>
        </w:numPr>
        <w:tabs>
          <w:tab w:val="clear" w:pos="567"/>
        </w:tabs>
        <w:spacing w:line="240" w:lineRule="auto"/>
        <w:ind w:right="-2"/>
        <w:rPr>
          <w:szCs w:val="22"/>
          <w:lang w:val="pl-PL"/>
        </w:rPr>
      </w:pPr>
    </w:p>
    <w:p>
      <w:pPr>
        <w:keepNext/>
        <w:numPr>
          <w:ilvl w:val="12"/>
          <w:numId w:val="0"/>
        </w:numPr>
        <w:spacing w:line="240" w:lineRule="auto"/>
        <w:ind w:left="567" w:right="-2" w:hanging="567"/>
        <w:rPr>
          <w:b/>
          <w:lang w:val="pl-PL"/>
        </w:rPr>
      </w:pPr>
      <w:r>
        <w:rPr>
          <w:b/>
          <w:bCs/>
          <w:szCs w:val="22"/>
          <w:lang w:val="pl-PL"/>
        </w:rPr>
        <w:t>6.</w:t>
      </w:r>
      <w:r>
        <w:rPr>
          <w:b/>
          <w:bCs/>
          <w:szCs w:val="22"/>
          <w:lang w:val="pl-PL"/>
        </w:rPr>
        <w:tab/>
        <w:t>Zawartość opakowania i inne informacje</w:t>
      </w:r>
    </w:p>
    <w:p>
      <w:pPr>
        <w:keepNext/>
        <w:numPr>
          <w:ilvl w:val="12"/>
          <w:numId w:val="0"/>
        </w:numPr>
        <w:tabs>
          <w:tab w:val="clear" w:pos="567"/>
          <w:tab w:val="left" w:pos="720"/>
        </w:tabs>
        <w:spacing w:line="240" w:lineRule="auto"/>
        <w:rPr>
          <w:lang w:val="pl-PL"/>
        </w:rPr>
      </w:pPr>
    </w:p>
    <w:p>
      <w:pPr>
        <w:numPr>
          <w:ilvl w:val="12"/>
          <w:numId w:val="0"/>
        </w:numPr>
        <w:tabs>
          <w:tab w:val="clear" w:pos="567"/>
          <w:tab w:val="left" w:pos="720"/>
        </w:tabs>
        <w:spacing w:line="240" w:lineRule="auto"/>
        <w:ind w:right="-2"/>
        <w:rPr>
          <w:b/>
          <w:lang w:val="pl-PL"/>
        </w:rPr>
      </w:pPr>
      <w:r>
        <w:rPr>
          <w:b/>
          <w:bCs/>
          <w:szCs w:val="22"/>
          <w:lang w:val="pl-PL"/>
        </w:rPr>
        <w:t>Co zawiera lek Sephience</w:t>
      </w:r>
    </w:p>
    <w:p>
      <w:pPr>
        <w:keepNext/>
        <w:numPr>
          <w:ilvl w:val="0"/>
          <w:numId w:val="27"/>
        </w:numPr>
        <w:tabs>
          <w:tab w:val="clear" w:pos="567"/>
          <w:tab w:val="left" w:pos="720"/>
        </w:tabs>
        <w:spacing w:line="240" w:lineRule="auto"/>
        <w:ind w:left="567" w:right="-2" w:hanging="567"/>
        <w:rPr>
          <w:i/>
          <w:szCs w:val="22"/>
          <w:lang w:val="pl-PL"/>
        </w:rPr>
      </w:pPr>
      <w:r>
        <w:rPr>
          <w:szCs w:val="22"/>
          <w:lang w:val="pl-PL"/>
        </w:rPr>
        <w:t xml:space="preserve">Substancją czynną leku jest sepiapteryna. Każda saszetka zawiera 250 mg lub 1 000 mg sepiapteryny. </w:t>
      </w:r>
    </w:p>
    <w:p>
      <w:pPr>
        <w:keepNext/>
        <w:numPr>
          <w:ilvl w:val="0"/>
          <w:numId w:val="27"/>
        </w:numPr>
        <w:tabs>
          <w:tab w:val="clear" w:pos="567"/>
          <w:tab w:val="left" w:pos="720"/>
        </w:tabs>
        <w:spacing w:line="240" w:lineRule="auto"/>
        <w:ind w:left="567" w:right="-2" w:hanging="567"/>
        <w:rPr>
          <w:szCs w:val="22"/>
          <w:lang w:val="pl-PL"/>
        </w:rPr>
      </w:pPr>
      <w:r>
        <w:rPr>
          <w:szCs w:val="22"/>
          <w:lang w:val="pl-PL"/>
        </w:rPr>
        <w:t>Pozostałe składniki to celuloza mikrokrystaliczna (E460), izomalt (E953), mannitol (E421), kroskarmeloza sodowa (E468), guma ksantanowa (E415), krzemionka koloidalna bezwodna lub koloidalny dwutlenek krzemu (E551), sukraloza (E955) i magnezu stearynian (E470). Więcej informacji na temat izomaltu (E953) i sodu podano w punkcie 2.</w:t>
      </w:r>
    </w:p>
    <w:p>
      <w:pPr>
        <w:tabs>
          <w:tab w:val="clear" w:pos="567"/>
          <w:tab w:val="left" w:pos="720"/>
        </w:tabs>
        <w:spacing w:line="240" w:lineRule="auto"/>
        <w:ind w:right="-2"/>
        <w:rPr>
          <w:szCs w:val="22"/>
          <w:lang w:val="pl-PL"/>
        </w:rPr>
      </w:pPr>
    </w:p>
    <w:p>
      <w:pPr>
        <w:keepNext/>
        <w:numPr>
          <w:ilvl w:val="12"/>
          <w:numId w:val="0"/>
        </w:numPr>
        <w:tabs>
          <w:tab w:val="clear" w:pos="567"/>
          <w:tab w:val="left" w:pos="720"/>
        </w:tabs>
        <w:spacing w:line="240" w:lineRule="auto"/>
        <w:rPr>
          <w:b/>
          <w:lang w:val="pl-PL"/>
        </w:rPr>
      </w:pPr>
      <w:r>
        <w:rPr>
          <w:b/>
          <w:bCs/>
          <w:szCs w:val="22"/>
          <w:lang w:val="pl-PL"/>
        </w:rPr>
        <w:t>Jak wygląda lek Sephience i co zawiera opakowanie</w:t>
      </w:r>
    </w:p>
    <w:p>
      <w:pPr>
        <w:spacing w:line="240" w:lineRule="auto"/>
        <w:rPr>
          <w:lang w:val="pl-PL"/>
        </w:rPr>
      </w:pPr>
      <w:r>
        <w:rPr>
          <w:bCs/>
          <w:szCs w:val="22"/>
          <w:lang w:val="pl-PL"/>
        </w:rPr>
        <w:t>Proszek doustny ma kolor od żółtego do pomarańczowego. Proszek znajduje się w saszetkach jednorazowego użytku zawierających 250 mg lub 1 000 mg sepiapteryny.</w:t>
      </w:r>
      <w:r>
        <w:rPr>
          <w:lang w:val="pl-PL"/>
        </w:rPr>
        <w:fldChar w:fldCharType="begin"/>
      </w:r>
      <w:r>
        <w:rPr>
          <w:lang w:val="pl-PL"/>
        </w:rPr>
        <w:instrText xml:space="preserve"> DOCVARIABLE vault_nd_078bbb48-d3b1-4042-84d9-553b27238a46 \* MERGEFORMAT </w:instrText>
      </w:r>
      <w:r>
        <w:rPr>
          <w:lang w:val="pl-PL"/>
        </w:rPr>
        <w:fldChar w:fldCharType="separate"/>
      </w:r>
      <w:r>
        <w:rPr>
          <w:bCs/>
          <w:szCs w:val="22"/>
          <w:lang w:val="pl-PL"/>
        </w:rPr>
        <w:t xml:space="preserve"> </w:t>
      </w:r>
      <w:r>
        <w:rPr>
          <w:lang w:val="pl-PL"/>
        </w:rPr>
        <w:fldChar w:fldCharType="end"/>
      </w:r>
    </w:p>
    <w:p>
      <w:pPr>
        <w:spacing w:line="240" w:lineRule="auto"/>
        <w:rPr>
          <w:lang w:val="pl-PL"/>
        </w:rPr>
      </w:pPr>
    </w:p>
    <w:p>
      <w:pPr>
        <w:spacing w:line="240" w:lineRule="auto"/>
        <w:rPr>
          <w:bCs/>
          <w:szCs w:val="22"/>
          <w:lang w:val="pl-PL"/>
        </w:rPr>
      </w:pPr>
      <w:r>
        <w:rPr>
          <w:szCs w:val="22"/>
          <w:lang w:val="pl-PL"/>
        </w:rPr>
        <w:t xml:space="preserve">Lek Sephience jest dostępny w pudełkach zawierających 30 saszetek </w:t>
      </w:r>
      <w:r>
        <w:rPr>
          <w:bCs/>
          <w:szCs w:val="22"/>
          <w:lang w:val="pl-PL"/>
        </w:rPr>
        <w:t>250 mg lub 1 000 mg</w:t>
      </w:r>
      <w:r>
        <w:rPr>
          <w:szCs w:val="22"/>
          <w:lang w:val="pl-PL"/>
        </w:rPr>
        <w:t>.</w:t>
      </w:r>
      <w:r>
        <w:rPr>
          <w:bCs/>
          <w:szCs w:val="22"/>
          <w:lang w:val="pl-PL"/>
        </w:rPr>
        <w:fldChar w:fldCharType="begin"/>
      </w:r>
      <w:r>
        <w:rPr>
          <w:bCs/>
          <w:szCs w:val="22"/>
          <w:lang w:val="pl-PL"/>
        </w:rPr>
        <w:instrText xml:space="preserve"> DOCVARIABLE vault_nd_4c265125-cb58-418b-a331-13a37b36e03b \* MERGEFORMAT </w:instrText>
      </w:r>
      <w:r>
        <w:rPr>
          <w:bCs/>
          <w:szCs w:val="22"/>
          <w:lang w:val="pl-PL"/>
        </w:rPr>
        <w:fldChar w:fldCharType="separate"/>
      </w:r>
      <w:r>
        <w:rPr>
          <w:szCs w:val="22"/>
          <w:lang w:val="pl-PL"/>
        </w:rPr>
        <w:t xml:space="preserve"> </w:t>
      </w:r>
      <w:r>
        <w:rPr>
          <w:bCs/>
          <w:szCs w:val="22"/>
          <w:lang w:val="pl-PL"/>
        </w:rPr>
        <w:fldChar w:fldCharType="end"/>
      </w:r>
    </w:p>
    <w:p>
      <w:pPr>
        <w:spacing w:line="240" w:lineRule="auto"/>
        <w:rPr>
          <w:bCs/>
          <w:szCs w:val="22"/>
          <w:lang w:val="pl-PL"/>
        </w:rPr>
      </w:pPr>
    </w:p>
    <w:p>
      <w:pPr>
        <w:numPr>
          <w:ilvl w:val="12"/>
          <w:numId w:val="0"/>
        </w:numPr>
        <w:tabs>
          <w:tab w:val="clear" w:pos="567"/>
          <w:tab w:val="left" w:pos="720"/>
        </w:tabs>
        <w:spacing w:line="240" w:lineRule="auto"/>
        <w:ind w:right="-2"/>
        <w:rPr>
          <w:b/>
          <w:lang w:val="pl-PL"/>
        </w:rPr>
      </w:pPr>
      <w:r>
        <w:rPr>
          <w:b/>
          <w:bCs/>
          <w:szCs w:val="22"/>
          <w:lang w:val="pl-PL"/>
        </w:rPr>
        <w:t>Podmiot odpowiedzialny i wytwórca</w:t>
      </w:r>
    </w:p>
    <w:p>
      <w:pPr>
        <w:spacing w:line="240" w:lineRule="auto"/>
        <w:rPr>
          <w:szCs w:val="22"/>
          <w:lang w:val="pl-PL"/>
        </w:rPr>
      </w:pPr>
      <w:r>
        <w:rPr>
          <w:szCs w:val="22"/>
          <w:lang w:val="pl-PL"/>
        </w:rPr>
        <w:t>PTC Therapeutics International Limited</w:t>
      </w:r>
    </w:p>
    <w:p>
      <w:pPr>
        <w:spacing w:line="240" w:lineRule="auto"/>
        <w:rPr>
          <w:szCs w:val="22"/>
        </w:rPr>
      </w:pPr>
      <w:bookmarkStart w:id="15" w:name="_Hlk178839270"/>
      <w:r>
        <w:rPr>
          <w:szCs w:val="22"/>
        </w:rPr>
        <w:t xml:space="preserve">Unit 1, 52-55 Sir John Rogerson’s Quay </w:t>
      </w:r>
    </w:p>
    <w:p>
      <w:pPr>
        <w:spacing w:line="240" w:lineRule="auto"/>
        <w:rPr>
          <w:szCs w:val="22"/>
        </w:rPr>
      </w:pPr>
      <w:r>
        <w:rPr>
          <w:szCs w:val="22"/>
        </w:rPr>
        <w:t>Dublin 2, D02 NA07</w:t>
      </w:r>
    </w:p>
    <w:bookmarkEnd w:id="15"/>
    <w:p>
      <w:pPr>
        <w:spacing w:line="240" w:lineRule="auto"/>
        <w:rPr>
          <w:szCs w:val="22"/>
          <w:lang w:val="pl-PL"/>
        </w:rPr>
      </w:pPr>
      <w:r>
        <w:rPr>
          <w:szCs w:val="22"/>
          <w:lang w:val="pl-PL"/>
        </w:rPr>
        <w:t>Irlandia</w:t>
      </w:r>
    </w:p>
    <w:p>
      <w:pPr>
        <w:numPr>
          <w:ilvl w:val="12"/>
          <w:numId w:val="0"/>
        </w:numPr>
        <w:tabs>
          <w:tab w:val="clear" w:pos="567"/>
          <w:tab w:val="left" w:pos="720"/>
        </w:tabs>
        <w:spacing w:line="240" w:lineRule="auto"/>
        <w:ind w:right="-2"/>
        <w:rPr>
          <w:szCs w:val="22"/>
          <w:lang w:val="pl-PL"/>
        </w:rPr>
      </w:pPr>
    </w:p>
    <w:p>
      <w:pPr>
        <w:numPr>
          <w:ilvl w:val="12"/>
          <w:numId w:val="0"/>
        </w:numPr>
        <w:tabs>
          <w:tab w:val="clear" w:pos="567"/>
          <w:tab w:val="left" w:pos="720"/>
        </w:tabs>
        <w:spacing w:line="240" w:lineRule="auto"/>
        <w:rPr>
          <w:szCs w:val="22"/>
          <w:lang w:val="pl-PL"/>
        </w:rPr>
      </w:pPr>
      <w:r>
        <w:rPr>
          <w:szCs w:val="22"/>
          <w:lang w:val="pl-PL"/>
        </w:rPr>
        <w:t>W celu uzyskania bardziej szczegółowych informacji dotyczących tego leku należy zwrócić się do miejscowego przedstawiciela podmiotu odpowiedzialnego:</w:t>
      </w:r>
    </w:p>
    <w:p>
      <w:pPr>
        <w:spacing w:line="240" w:lineRule="auto"/>
        <w:rPr>
          <w:szCs w:val="22"/>
          <w:lang w:val="pl-PL"/>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eastAsia="en-GB"/>
              </w:rPr>
            </w:pPr>
            <w:r>
              <w:rPr>
                <w:b/>
                <w:bCs/>
                <w:szCs w:val="22"/>
                <w:lang w:eastAsia="en-GB"/>
              </w:rPr>
              <w:t>AT, BE, BG, CY, CZ, DK, DE, EE, EL, ES, HR, HU, IE, IS, IT, LT, LU, LV, MT, NL, NO, PL, PT, RO, SI, SK, FI, SE</w:t>
            </w:r>
          </w:p>
          <w:p>
            <w:pPr>
              <w:spacing w:line="240" w:lineRule="auto"/>
              <w:ind w:right="34"/>
              <w:rPr>
                <w:szCs w:val="22"/>
                <w:lang w:eastAsia="en-GB"/>
              </w:rPr>
            </w:pPr>
            <w:r>
              <w:rPr>
                <w:szCs w:val="22"/>
                <w:lang w:eastAsia="en-GB"/>
              </w:rPr>
              <w:t xml:space="preserve">PTC Therapeutics International Ltd. (Ireland) </w:t>
            </w:r>
          </w:p>
          <w:p>
            <w:pPr>
              <w:spacing w:line="240" w:lineRule="auto"/>
              <w:ind w:right="34"/>
              <w:rPr>
                <w:szCs w:val="22"/>
                <w:lang w:val="pl-PL" w:eastAsia="en-GB"/>
              </w:rPr>
            </w:pPr>
            <w:r>
              <w:rPr>
                <w:szCs w:val="22"/>
                <w:lang w:val="pl-PL" w:eastAsia="en-GB"/>
              </w:rPr>
              <w:t xml:space="preserve">Tel. +353 (0)1 447 5165 </w:t>
            </w:r>
          </w:p>
          <w:p>
            <w:pPr>
              <w:spacing w:line="240" w:lineRule="auto"/>
              <w:ind w:right="34"/>
              <w:rPr>
                <w:szCs w:val="22"/>
                <w:lang w:val="pl-PL" w:eastAsia="en-GB"/>
              </w:rPr>
            </w:pPr>
            <w:r>
              <w:rPr>
                <w:color w:val="0000FF"/>
                <w:szCs w:val="22"/>
                <w:lang w:val="pl-PL" w:eastAsia="en-GB"/>
              </w:rPr>
              <w:t>medinfo@ptcbio.com</w:t>
            </w:r>
          </w:p>
        </w:tc>
        <w:tc>
          <w:tcPr>
            <w:tcW w:w="4678" w:type="dxa"/>
          </w:tcPr>
          <w:p>
            <w:pPr>
              <w:autoSpaceDE w:val="0"/>
              <w:autoSpaceDN w:val="0"/>
              <w:adjustRightInd w:val="0"/>
              <w:spacing w:line="240" w:lineRule="auto"/>
              <w:rPr>
                <w:b/>
                <w:szCs w:val="22"/>
                <w:lang w:eastAsia="en-GB"/>
              </w:rPr>
            </w:pPr>
            <w:r>
              <w:rPr>
                <w:b/>
                <w:bCs/>
                <w:szCs w:val="22"/>
                <w:lang w:eastAsia="en-GB"/>
              </w:rPr>
              <w:t>FR</w:t>
            </w:r>
          </w:p>
          <w:p>
            <w:pPr>
              <w:autoSpaceDE w:val="0"/>
              <w:autoSpaceDN w:val="0"/>
              <w:adjustRightInd w:val="0"/>
              <w:spacing w:line="240" w:lineRule="auto"/>
              <w:rPr>
                <w:szCs w:val="22"/>
                <w:lang w:eastAsia="en-GB"/>
              </w:rPr>
            </w:pPr>
            <w:r>
              <w:rPr>
                <w:szCs w:val="22"/>
                <w:lang w:eastAsia="en-GB"/>
              </w:rPr>
              <w:t xml:space="preserve">PTC Therapeutics France </w:t>
            </w:r>
          </w:p>
          <w:p>
            <w:pPr>
              <w:autoSpaceDE w:val="0"/>
              <w:autoSpaceDN w:val="0"/>
              <w:adjustRightInd w:val="0"/>
              <w:spacing w:line="240" w:lineRule="auto"/>
              <w:rPr>
                <w:szCs w:val="22"/>
                <w:lang w:eastAsia="en-GB"/>
              </w:rPr>
            </w:pPr>
            <w:r>
              <w:rPr>
                <w:noProof/>
                <w:szCs w:val="22"/>
              </w:rPr>
              <w:t>Tél:</w:t>
            </w:r>
            <w:r>
              <w:rPr>
                <w:szCs w:val="22"/>
                <w:lang w:eastAsia="en-GB"/>
              </w:rPr>
              <w:t xml:space="preserve"> +33(0)1 76 70 10 01 </w:t>
            </w:r>
          </w:p>
          <w:p>
            <w:pPr>
              <w:autoSpaceDE w:val="0"/>
              <w:autoSpaceDN w:val="0"/>
              <w:adjustRightInd w:val="0"/>
              <w:spacing w:line="240" w:lineRule="auto"/>
              <w:rPr>
                <w:color w:val="0000FF"/>
                <w:szCs w:val="22"/>
                <w:lang w:val="pl-PL" w:eastAsia="en-GB"/>
              </w:rPr>
            </w:pPr>
            <w:r>
              <w:rPr>
                <w:color w:val="0000FF"/>
                <w:szCs w:val="22"/>
                <w:lang w:val="pl-PL" w:eastAsia="en-GB"/>
              </w:rPr>
              <w:t>medinfo@ptcbio.com</w:t>
            </w:r>
          </w:p>
          <w:p>
            <w:pPr>
              <w:suppressAutoHyphens/>
              <w:spacing w:line="240" w:lineRule="auto"/>
              <w:rPr>
                <w:szCs w:val="22"/>
                <w:lang w:val="pl-PL" w:eastAsia="en-GB"/>
              </w:rPr>
            </w:pPr>
          </w:p>
        </w:tc>
      </w:tr>
    </w:tbl>
    <w:p>
      <w:pPr>
        <w:numPr>
          <w:ilvl w:val="12"/>
          <w:numId w:val="0"/>
        </w:numPr>
        <w:tabs>
          <w:tab w:val="clear" w:pos="567"/>
          <w:tab w:val="left" w:pos="720"/>
        </w:tabs>
        <w:spacing w:line="240" w:lineRule="auto"/>
        <w:ind w:right="-2"/>
        <w:rPr>
          <w:b/>
          <w:szCs w:val="22"/>
          <w:lang w:val="pl-PL"/>
        </w:rPr>
      </w:pPr>
    </w:p>
    <w:p>
      <w:pPr>
        <w:numPr>
          <w:ilvl w:val="12"/>
          <w:numId w:val="0"/>
        </w:numPr>
        <w:tabs>
          <w:tab w:val="clear" w:pos="567"/>
          <w:tab w:val="left" w:pos="720"/>
        </w:tabs>
        <w:spacing w:line="240" w:lineRule="auto"/>
        <w:ind w:right="-2"/>
        <w:rPr>
          <w:szCs w:val="22"/>
          <w:lang w:val="pl-PL"/>
        </w:rPr>
      </w:pPr>
      <w:r>
        <w:rPr>
          <w:b/>
          <w:bCs/>
          <w:szCs w:val="22"/>
          <w:lang w:val="pl-PL"/>
        </w:rPr>
        <w:t>Data ostatniej aktualizacji ulotki:</w:t>
      </w:r>
      <w:r>
        <w:rPr>
          <w:rFonts w:eastAsia="MS Mincho"/>
          <w:szCs w:val="22"/>
          <w:highlight w:val="yellow"/>
          <w:lang w:val="pl-PL" w:eastAsia="ja-JP"/>
        </w:rPr>
        <w:fldChar w:fldCharType="begin"/>
      </w:r>
      <w:r>
        <w:rPr>
          <w:rFonts w:eastAsia="MS Mincho"/>
          <w:szCs w:val="22"/>
          <w:highlight w:val="yellow"/>
          <w:lang w:val="pl-PL" w:eastAsia="ja-JP"/>
        </w:rPr>
        <w:instrText xml:space="preserve"> DOCVARIABLE vault_nd_085e82be-890e-4ea8-a0b3-4d8eb0841c70 \* MERGEFORMAT </w:instrText>
      </w:r>
      <w:r>
        <w:rPr>
          <w:rFonts w:eastAsia="MS Mincho"/>
          <w:szCs w:val="22"/>
          <w:highlight w:val="yellow"/>
          <w:lang w:val="pl-PL" w:eastAsia="ja-JP"/>
        </w:rPr>
        <w:fldChar w:fldCharType="separate"/>
      </w:r>
      <w:r>
        <w:rPr>
          <w:szCs w:val="22"/>
          <w:highlight w:val="yellow"/>
          <w:lang w:val="pl-PL"/>
        </w:rPr>
        <w:t xml:space="preserve"> </w:t>
      </w:r>
      <w:r>
        <w:rPr>
          <w:rFonts w:eastAsia="MS Mincho"/>
          <w:szCs w:val="22"/>
          <w:highlight w:val="yellow"/>
          <w:lang w:val="pl-PL" w:eastAsia="ja-JP"/>
        </w:rPr>
        <w:fldChar w:fldCharType="end"/>
      </w:r>
    </w:p>
    <w:p>
      <w:pPr>
        <w:numPr>
          <w:ilvl w:val="12"/>
          <w:numId w:val="0"/>
        </w:numPr>
        <w:spacing w:line="240" w:lineRule="auto"/>
        <w:ind w:right="-2"/>
        <w:rPr>
          <w:szCs w:val="22"/>
          <w:lang w:val="pl-PL"/>
        </w:rPr>
      </w:pPr>
    </w:p>
    <w:p>
      <w:pPr>
        <w:keepNext/>
        <w:numPr>
          <w:ilvl w:val="12"/>
          <w:numId w:val="0"/>
        </w:numPr>
        <w:tabs>
          <w:tab w:val="clear" w:pos="567"/>
          <w:tab w:val="left" w:pos="720"/>
        </w:tabs>
        <w:spacing w:line="240" w:lineRule="auto"/>
        <w:rPr>
          <w:b/>
          <w:lang w:val="pl-PL"/>
        </w:rPr>
      </w:pPr>
      <w:r>
        <w:rPr>
          <w:b/>
          <w:bCs/>
          <w:szCs w:val="22"/>
          <w:lang w:val="pl-PL"/>
        </w:rPr>
        <w:t>Inne źródła informacji</w:t>
      </w:r>
    </w:p>
    <w:p>
      <w:pPr>
        <w:keepNext/>
        <w:numPr>
          <w:ilvl w:val="12"/>
          <w:numId w:val="0"/>
        </w:numPr>
        <w:spacing w:line="240" w:lineRule="auto"/>
        <w:rPr>
          <w:lang w:val="pl-PL"/>
        </w:rPr>
      </w:pPr>
    </w:p>
    <w:p>
      <w:pPr>
        <w:keepNext/>
        <w:numPr>
          <w:ilvl w:val="12"/>
          <w:numId w:val="0"/>
        </w:numPr>
        <w:spacing w:line="240" w:lineRule="auto"/>
        <w:rPr>
          <w:szCs w:val="22"/>
          <w:lang w:val="pl-PL"/>
        </w:rPr>
      </w:pPr>
      <w:r>
        <w:rPr>
          <w:szCs w:val="22"/>
          <w:lang w:val="pl-PL"/>
        </w:rPr>
        <w:t xml:space="preserve">Szczegółowe informacje o tym leku znajdują się na stronie internetowej Europejskiej Agencji Leków </w:t>
      </w:r>
      <w:hyperlink r:id="rId15" w:history="1">
        <w:r>
          <w:rPr>
            <w:color w:val="0000FF"/>
            <w:szCs w:val="22"/>
            <w:u w:val="single"/>
            <w:lang w:val="pl-PL"/>
          </w:rPr>
          <w:t>https://www.ema.europa.eu</w:t>
        </w:r>
      </w:hyperlink>
      <w:r>
        <w:rPr>
          <w:szCs w:val="22"/>
          <w:lang w:val="pl-PL"/>
        </w:rPr>
        <w:t xml:space="preserve">. Znajdują się tam również linki do stron internetowych o rzadkich chorobach i sposobach leczenia. </w:t>
      </w:r>
    </w:p>
    <w:p>
      <w:pPr>
        <w:numPr>
          <w:ilvl w:val="12"/>
          <w:numId w:val="0"/>
        </w:numPr>
        <w:spacing w:line="240" w:lineRule="auto"/>
        <w:ind w:right="-2"/>
        <w:rPr>
          <w:szCs w:val="22"/>
          <w:lang w:val="pl-PL"/>
        </w:rPr>
      </w:pPr>
    </w:p>
    <w:p>
      <w:pPr>
        <w:numPr>
          <w:ilvl w:val="12"/>
          <w:numId w:val="0"/>
        </w:numPr>
        <w:tabs>
          <w:tab w:val="clear" w:pos="567"/>
        </w:tabs>
        <w:spacing w:line="240" w:lineRule="auto"/>
        <w:rPr>
          <w:lang w:val="pl-PL"/>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1CDC" w16cex:dateUtc="2026-02-12T14: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3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C27A6400">
      <w:start w:val="1"/>
      <w:numFmt w:val="bullet"/>
      <w:lvlText w:val=""/>
      <w:lvlJc w:val="left"/>
      <w:pPr>
        <w:tabs>
          <w:tab w:val="num" w:pos="360"/>
        </w:tabs>
        <w:ind w:left="360" w:hanging="360"/>
      </w:pPr>
      <w:rPr>
        <w:rFonts w:ascii="Symbol" w:hAnsi="Symbol" w:hint="default"/>
      </w:rPr>
    </w:lvl>
    <w:lvl w:ilvl="1" w:tplc="B24A43F2" w:tentative="1">
      <w:start w:val="1"/>
      <w:numFmt w:val="bullet"/>
      <w:lvlText w:val="o"/>
      <w:lvlJc w:val="left"/>
      <w:pPr>
        <w:tabs>
          <w:tab w:val="num" w:pos="1080"/>
        </w:tabs>
        <w:ind w:left="1080" w:hanging="360"/>
      </w:pPr>
      <w:rPr>
        <w:rFonts w:ascii="Courier New" w:hAnsi="Courier New" w:cs="Courier New" w:hint="default"/>
      </w:rPr>
    </w:lvl>
    <w:lvl w:ilvl="2" w:tplc="2FE25CD0" w:tentative="1">
      <w:start w:val="1"/>
      <w:numFmt w:val="bullet"/>
      <w:lvlText w:val=""/>
      <w:lvlJc w:val="left"/>
      <w:pPr>
        <w:tabs>
          <w:tab w:val="num" w:pos="1800"/>
        </w:tabs>
        <w:ind w:left="1800" w:hanging="360"/>
      </w:pPr>
      <w:rPr>
        <w:rFonts w:ascii="Wingdings" w:hAnsi="Wingdings" w:hint="default"/>
      </w:rPr>
    </w:lvl>
    <w:lvl w:ilvl="3" w:tplc="2F2618D4" w:tentative="1">
      <w:start w:val="1"/>
      <w:numFmt w:val="bullet"/>
      <w:lvlText w:val=""/>
      <w:lvlJc w:val="left"/>
      <w:pPr>
        <w:tabs>
          <w:tab w:val="num" w:pos="2520"/>
        </w:tabs>
        <w:ind w:left="2520" w:hanging="360"/>
      </w:pPr>
      <w:rPr>
        <w:rFonts w:ascii="Symbol" w:hAnsi="Symbol" w:hint="default"/>
      </w:rPr>
    </w:lvl>
    <w:lvl w:ilvl="4" w:tplc="CD98BF96" w:tentative="1">
      <w:start w:val="1"/>
      <w:numFmt w:val="bullet"/>
      <w:lvlText w:val="o"/>
      <w:lvlJc w:val="left"/>
      <w:pPr>
        <w:tabs>
          <w:tab w:val="num" w:pos="3240"/>
        </w:tabs>
        <w:ind w:left="3240" w:hanging="360"/>
      </w:pPr>
      <w:rPr>
        <w:rFonts w:ascii="Courier New" w:hAnsi="Courier New" w:cs="Courier New" w:hint="default"/>
      </w:rPr>
    </w:lvl>
    <w:lvl w:ilvl="5" w:tplc="955A4B74" w:tentative="1">
      <w:start w:val="1"/>
      <w:numFmt w:val="bullet"/>
      <w:lvlText w:val=""/>
      <w:lvlJc w:val="left"/>
      <w:pPr>
        <w:tabs>
          <w:tab w:val="num" w:pos="3960"/>
        </w:tabs>
        <w:ind w:left="3960" w:hanging="360"/>
      </w:pPr>
      <w:rPr>
        <w:rFonts w:ascii="Wingdings" w:hAnsi="Wingdings" w:hint="default"/>
      </w:rPr>
    </w:lvl>
    <w:lvl w:ilvl="6" w:tplc="1000522E" w:tentative="1">
      <w:start w:val="1"/>
      <w:numFmt w:val="bullet"/>
      <w:lvlText w:val=""/>
      <w:lvlJc w:val="left"/>
      <w:pPr>
        <w:tabs>
          <w:tab w:val="num" w:pos="4680"/>
        </w:tabs>
        <w:ind w:left="4680" w:hanging="360"/>
      </w:pPr>
      <w:rPr>
        <w:rFonts w:ascii="Symbol" w:hAnsi="Symbol" w:hint="default"/>
      </w:rPr>
    </w:lvl>
    <w:lvl w:ilvl="7" w:tplc="3E9AFE1E" w:tentative="1">
      <w:start w:val="1"/>
      <w:numFmt w:val="bullet"/>
      <w:lvlText w:val="o"/>
      <w:lvlJc w:val="left"/>
      <w:pPr>
        <w:tabs>
          <w:tab w:val="num" w:pos="5400"/>
        </w:tabs>
        <w:ind w:left="5400" w:hanging="360"/>
      </w:pPr>
      <w:rPr>
        <w:rFonts w:ascii="Courier New" w:hAnsi="Courier New" w:cs="Courier New" w:hint="default"/>
      </w:rPr>
    </w:lvl>
    <w:lvl w:ilvl="8" w:tplc="4E6871D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81A86C2E">
      <w:start w:val="1"/>
      <w:numFmt w:val="bullet"/>
      <w:lvlText w:val=""/>
      <w:lvlJc w:val="left"/>
      <w:pPr>
        <w:ind w:left="720" w:hanging="360"/>
      </w:pPr>
      <w:rPr>
        <w:rFonts w:ascii="Symbol" w:hAnsi="Symbol"/>
      </w:rPr>
    </w:lvl>
    <w:lvl w:ilvl="1" w:tplc="BA1A3150">
      <w:start w:val="1"/>
      <w:numFmt w:val="bullet"/>
      <w:lvlText w:val=""/>
      <w:lvlJc w:val="left"/>
      <w:pPr>
        <w:ind w:left="720" w:hanging="360"/>
      </w:pPr>
      <w:rPr>
        <w:rFonts w:ascii="Symbol" w:hAnsi="Symbol"/>
      </w:rPr>
    </w:lvl>
    <w:lvl w:ilvl="2" w:tplc="547CB518">
      <w:start w:val="1"/>
      <w:numFmt w:val="bullet"/>
      <w:lvlText w:val=""/>
      <w:lvlJc w:val="left"/>
      <w:pPr>
        <w:ind w:left="720" w:hanging="360"/>
      </w:pPr>
      <w:rPr>
        <w:rFonts w:ascii="Symbol" w:hAnsi="Symbol"/>
      </w:rPr>
    </w:lvl>
    <w:lvl w:ilvl="3" w:tplc="04F8F7D6">
      <w:start w:val="1"/>
      <w:numFmt w:val="bullet"/>
      <w:lvlText w:val=""/>
      <w:lvlJc w:val="left"/>
      <w:pPr>
        <w:ind w:left="720" w:hanging="360"/>
      </w:pPr>
      <w:rPr>
        <w:rFonts w:ascii="Symbol" w:hAnsi="Symbol"/>
      </w:rPr>
    </w:lvl>
    <w:lvl w:ilvl="4" w:tplc="5A04A11A">
      <w:start w:val="1"/>
      <w:numFmt w:val="bullet"/>
      <w:lvlText w:val=""/>
      <w:lvlJc w:val="left"/>
      <w:pPr>
        <w:ind w:left="720" w:hanging="360"/>
      </w:pPr>
      <w:rPr>
        <w:rFonts w:ascii="Symbol" w:hAnsi="Symbol"/>
      </w:rPr>
    </w:lvl>
    <w:lvl w:ilvl="5" w:tplc="CF36BF2A">
      <w:start w:val="1"/>
      <w:numFmt w:val="bullet"/>
      <w:lvlText w:val=""/>
      <w:lvlJc w:val="left"/>
      <w:pPr>
        <w:ind w:left="720" w:hanging="360"/>
      </w:pPr>
      <w:rPr>
        <w:rFonts w:ascii="Symbol" w:hAnsi="Symbol"/>
      </w:rPr>
    </w:lvl>
    <w:lvl w:ilvl="6" w:tplc="34701706">
      <w:start w:val="1"/>
      <w:numFmt w:val="bullet"/>
      <w:lvlText w:val=""/>
      <w:lvlJc w:val="left"/>
      <w:pPr>
        <w:ind w:left="720" w:hanging="360"/>
      </w:pPr>
      <w:rPr>
        <w:rFonts w:ascii="Symbol" w:hAnsi="Symbol"/>
      </w:rPr>
    </w:lvl>
    <w:lvl w:ilvl="7" w:tplc="92F442B6">
      <w:start w:val="1"/>
      <w:numFmt w:val="bullet"/>
      <w:lvlText w:val=""/>
      <w:lvlJc w:val="left"/>
      <w:pPr>
        <w:ind w:left="720" w:hanging="360"/>
      </w:pPr>
      <w:rPr>
        <w:rFonts w:ascii="Symbol" w:hAnsi="Symbol"/>
      </w:rPr>
    </w:lvl>
    <w:lvl w:ilvl="8" w:tplc="ABD0C0E8">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63F8AAAA">
      <w:numFmt w:val="bullet"/>
      <w:lvlText w:val="-"/>
      <w:lvlJc w:val="left"/>
      <w:pPr>
        <w:ind w:left="1080" w:hanging="720"/>
      </w:pPr>
      <w:rPr>
        <w:rFonts w:ascii="Verdana" w:eastAsia="SimSun" w:hAnsi="Verdana" w:cs="Verdana" w:hint="default"/>
      </w:rPr>
    </w:lvl>
    <w:lvl w:ilvl="1" w:tplc="B930E746" w:tentative="1">
      <w:start w:val="1"/>
      <w:numFmt w:val="bullet"/>
      <w:lvlText w:val="o"/>
      <w:lvlJc w:val="left"/>
      <w:pPr>
        <w:ind w:left="1440" w:hanging="360"/>
      </w:pPr>
      <w:rPr>
        <w:rFonts w:ascii="Courier New" w:hAnsi="Courier New" w:cs="Courier New" w:hint="default"/>
      </w:rPr>
    </w:lvl>
    <w:lvl w:ilvl="2" w:tplc="226E5AA8" w:tentative="1">
      <w:start w:val="1"/>
      <w:numFmt w:val="bullet"/>
      <w:lvlText w:val=""/>
      <w:lvlJc w:val="left"/>
      <w:pPr>
        <w:ind w:left="2160" w:hanging="360"/>
      </w:pPr>
      <w:rPr>
        <w:rFonts w:ascii="Wingdings" w:hAnsi="Wingdings" w:hint="default"/>
      </w:rPr>
    </w:lvl>
    <w:lvl w:ilvl="3" w:tplc="4DF89834" w:tentative="1">
      <w:start w:val="1"/>
      <w:numFmt w:val="bullet"/>
      <w:lvlText w:val=""/>
      <w:lvlJc w:val="left"/>
      <w:pPr>
        <w:ind w:left="2880" w:hanging="360"/>
      </w:pPr>
      <w:rPr>
        <w:rFonts w:ascii="Symbol" w:hAnsi="Symbol" w:hint="default"/>
      </w:rPr>
    </w:lvl>
    <w:lvl w:ilvl="4" w:tplc="9564AA46" w:tentative="1">
      <w:start w:val="1"/>
      <w:numFmt w:val="bullet"/>
      <w:lvlText w:val="o"/>
      <w:lvlJc w:val="left"/>
      <w:pPr>
        <w:ind w:left="3600" w:hanging="360"/>
      </w:pPr>
      <w:rPr>
        <w:rFonts w:ascii="Courier New" w:hAnsi="Courier New" w:cs="Courier New" w:hint="default"/>
      </w:rPr>
    </w:lvl>
    <w:lvl w:ilvl="5" w:tplc="AA48FCBA" w:tentative="1">
      <w:start w:val="1"/>
      <w:numFmt w:val="bullet"/>
      <w:lvlText w:val=""/>
      <w:lvlJc w:val="left"/>
      <w:pPr>
        <w:ind w:left="4320" w:hanging="360"/>
      </w:pPr>
      <w:rPr>
        <w:rFonts w:ascii="Wingdings" w:hAnsi="Wingdings" w:hint="default"/>
      </w:rPr>
    </w:lvl>
    <w:lvl w:ilvl="6" w:tplc="14E88514" w:tentative="1">
      <w:start w:val="1"/>
      <w:numFmt w:val="bullet"/>
      <w:lvlText w:val=""/>
      <w:lvlJc w:val="left"/>
      <w:pPr>
        <w:ind w:left="5040" w:hanging="360"/>
      </w:pPr>
      <w:rPr>
        <w:rFonts w:ascii="Symbol" w:hAnsi="Symbol" w:hint="default"/>
      </w:rPr>
    </w:lvl>
    <w:lvl w:ilvl="7" w:tplc="F6DE4FB0" w:tentative="1">
      <w:start w:val="1"/>
      <w:numFmt w:val="bullet"/>
      <w:lvlText w:val="o"/>
      <w:lvlJc w:val="left"/>
      <w:pPr>
        <w:ind w:left="5760" w:hanging="360"/>
      </w:pPr>
      <w:rPr>
        <w:rFonts w:ascii="Courier New" w:hAnsi="Courier New" w:cs="Courier New" w:hint="default"/>
      </w:rPr>
    </w:lvl>
    <w:lvl w:ilvl="8" w:tplc="A76078C6"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836C612E">
      <w:start w:val="1"/>
      <w:numFmt w:val="bullet"/>
      <w:lvlText w:val=""/>
      <w:lvlJc w:val="left"/>
      <w:pPr>
        <w:tabs>
          <w:tab w:val="num" w:pos="720"/>
        </w:tabs>
        <w:ind w:left="720" w:hanging="360"/>
      </w:pPr>
      <w:rPr>
        <w:rFonts w:ascii="Symbol" w:hAnsi="Symbol" w:hint="default"/>
      </w:rPr>
    </w:lvl>
    <w:lvl w:ilvl="1" w:tplc="8AFEB9FE" w:tentative="1">
      <w:start w:val="1"/>
      <w:numFmt w:val="bullet"/>
      <w:lvlText w:val="o"/>
      <w:lvlJc w:val="left"/>
      <w:pPr>
        <w:tabs>
          <w:tab w:val="num" w:pos="1440"/>
        </w:tabs>
        <w:ind w:left="1440" w:hanging="360"/>
      </w:pPr>
      <w:rPr>
        <w:rFonts w:ascii="Courier New" w:hAnsi="Courier New" w:cs="Courier New" w:hint="default"/>
      </w:rPr>
    </w:lvl>
    <w:lvl w:ilvl="2" w:tplc="D416043A" w:tentative="1">
      <w:start w:val="1"/>
      <w:numFmt w:val="bullet"/>
      <w:lvlText w:val=""/>
      <w:lvlJc w:val="left"/>
      <w:pPr>
        <w:tabs>
          <w:tab w:val="num" w:pos="2160"/>
        </w:tabs>
        <w:ind w:left="2160" w:hanging="360"/>
      </w:pPr>
      <w:rPr>
        <w:rFonts w:ascii="Wingdings" w:hAnsi="Wingdings" w:hint="default"/>
      </w:rPr>
    </w:lvl>
    <w:lvl w:ilvl="3" w:tplc="6C521E4A" w:tentative="1">
      <w:start w:val="1"/>
      <w:numFmt w:val="bullet"/>
      <w:lvlText w:val=""/>
      <w:lvlJc w:val="left"/>
      <w:pPr>
        <w:tabs>
          <w:tab w:val="num" w:pos="2880"/>
        </w:tabs>
        <w:ind w:left="2880" w:hanging="360"/>
      </w:pPr>
      <w:rPr>
        <w:rFonts w:ascii="Symbol" w:hAnsi="Symbol" w:hint="default"/>
      </w:rPr>
    </w:lvl>
    <w:lvl w:ilvl="4" w:tplc="69CE64C8" w:tentative="1">
      <w:start w:val="1"/>
      <w:numFmt w:val="bullet"/>
      <w:lvlText w:val="o"/>
      <w:lvlJc w:val="left"/>
      <w:pPr>
        <w:tabs>
          <w:tab w:val="num" w:pos="3600"/>
        </w:tabs>
        <w:ind w:left="3600" w:hanging="360"/>
      </w:pPr>
      <w:rPr>
        <w:rFonts w:ascii="Courier New" w:hAnsi="Courier New" w:cs="Courier New" w:hint="default"/>
      </w:rPr>
    </w:lvl>
    <w:lvl w:ilvl="5" w:tplc="B002C818" w:tentative="1">
      <w:start w:val="1"/>
      <w:numFmt w:val="bullet"/>
      <w:lvlText w:val=""/>
      <w:lvlJc w:val="left"/>
      <w:pPr>
        <w:tabs>
          <w:tab w:val="num" w:pos="4320"/>
        </w:tabs>
        <w:ind w:left="4320" w:hanging="360"/>
      </w:pPr>
      <w:rPr>
        <w:rFonts w:ascii="Wingdings" w:hAnsi="Wingdings" w:hint="default"/>
      </w:rPr>
    </w:lvl>
    <w:lvl w:ilvl="6" w:tplc="FB84B286" w:tentative="1">
      <w:start w:val="1"/>
      <w:numFmt w:val="bullet"/>
      <w:lvlText w:val=""/>
      <w:lvlJc w:val="left"/>
      <w:pPr>
        <w:tabs>
          <w:tab w:val="num" w:pos="5040"/>
        </w:tabs>
        <w:ind w:left="5040" w:hanging="360"/>
      </w:pPr>
      <w:rPr>
        <w:rFonts w:ascii="Symbol" w:hAnsi="Symbol" w:hint="default"/>
      </w:rPr>
    </w:lvl>
    <w:lvl w:ilvl="7" w:tplc="5ACE0372" w:tentative="1">
      <w:start w:val="1"/>
      <w:numFmt w:val="bullet"/>
      <w:lvlText w:val="o"/>
      <w:lvlJc w:val="left"/>
      <w:pPr>
        <w:tabs>
          <w:tab w:val="num" w:pos="5760"/>
        </w:tabs>
        <w:ind w:left="5760" w:hanging="360"/>
      </w:pPr>
      <w:rPr>
        <w:rFonts w:ascii="Courier New" w:hAnsi="Courier New" w:cs="Courier New" w:hint="default"/>
      </w:rPr>
    </w:lvl>
    <w:lvl w:ilvl="8" w:tplc="AD9A80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A1604D66">
      <w:start w:val="1"/>
      <w:numFmt w:val="bullet"/>
      <w:lvlText w:val=""/>
      <w:lvlJc w:val="left"/>
      <w:pPr>
        <w:ind w:left="720" w:hanging="360"/>
      </w:pPr>
      <w:rPr>
        <w:rFonts w:ascii="Symbol" w:hAnsi="Symbol" w:hint="default"/>
      </w:rPr>
    </w:lvl>
    <w:lvl w:ilvl="1" w:tplc="DAAEFCA0">
      <w:start w:val="1"/>
      <w:numFmt w:val="bullet"/>
      <w:lvlText w:val="o"/>
      <w:lvlJc w:val="left"/>
      <w:pPr>
        <w:ind w:left="1440" w:hanging="360"/>
      </w:pPr>
      <w:rPr>
        <w:rFonts w:ascii="Courier New" w:hAnsi="Courier New" w:cs="Courier New" w:hint="default"/>
      </w:rPr>
    </w:lvl>
    <w:lvl w:ilvl="2" w:tplc="201A03CE">
      <w:start w:val="1"/>
      <w:numFmt w:val="bullet"/>
      <w:lvlText w:val=""/>
      <w:lvlJc w:val="left"/>
      <w:pPr>
        <w:ind w:left="2160" w:hanging="360"/>
      </w:pPr>
      <w:rPr>
        <w:rFonts w:ascii="Wingdings" w:hAnsi="Wingdings" w:hint="default"/>
      </w:rPr>
    </w:lvl>
    <w:lvl w:ilvl="3" w:tplc="5B009772">
      <w:start w:val="1"/>
      <w:numFmt w:val="bullet"/>
      <w:lvlText w:val=""/>
      <w:lvlJc w:val="left"/>
      <w:pPr>
        <w:ind w:left="2880" w:hanging="360"/>
      </w:pPr>
      <w:rPr>
        <w:rFonts w:ascii="Symbol" w:hAnsi="Symbol" w:hint="default"/>
      </w:rPr>
    </w:lvl>
    <w:lvl w:ilvl="4" w:tplc="859E606E">
      <w:start w:val="1"/>
      <w:numFmt w:val="bullet"/>
      <w:lvlText w:val="o"/>
      <w:lvlJc w:val="left"/>
      <w:pPr>
        <w:ind w:left="3600" w:hanging="360"/>
      </w:pPr>
      <w:rPr>
        <w:rFonts w:ascii="Courier New" w:hAnsi="Courier New" w:cs="Courier New" w:hint="default"/>
      </w:rPr>
    </w:lvl>
    <w:lvl w:ilvl="5" w:tplc="F85CAA6C">
      <w:start w:val="1"/>
      <w:numFmt w:val="bullet"/>
      <w:lvlText w:val=""/>
      <w:lvlJc w:val="left"/>
      <w:pPr>
        <w:ind w:left="4320" w:hanging="360"/>
      </w:pPr>
      <w:rPr>
        <w:rFonts w:ascii="Wingdings" w:hAnsi="Wingdings" w:hint="default"/>
      </w:rPr>
    </w:lvl>
    <w:lvl w:ilvl="6" w:tplc="7DAE1E2E">
      <w:start w:val="1"/>
      <w:numFmt w:val="bullet"/>
      <w:lvlText w:val=""/>
      <w:lvlJc w:val="left"/>
      <w:pPr>
        <w:ind w:left="5040" w:hanging="360"/>
      </w:pPr>
      <w:rPr>
        <w:rFonts w:ascii="Symbol" w:hAnsi="Symbol" w:hint="default"/>
      </w:rPr>
    </w:lvl>
    <w:lvl w:ilvl="7" w:tplc="4C7491C0">
      <w:start w:val="1"/>
      <w:numFmt w:val="bullet"/>
      <w:lvlText w:val="o"/>
      <w:lvlJc w:val="left"/>
      <w:pPr>
        <w:ind w:left="5760" w:hanging="360"/>
      </w:pPr>
      <w:rPr>
        <w:rFonts w:ascii="Courier New" w:hAnsi="Courier New" w:cs="Courier New" w:hint="default"/>
      </w:rPr>
    </w:lvl>
    <w:lvl w:ilvl="8" w:tplc="DC74C872">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74E88670">
      <w:start w:val="1"/>
      <w:numFmt w:val="bullet"/>
      <w:lvlText w:val=""/>
      <w:lvlJc w:val="left"/>
      <w:pPr>
        <w:ind w:left="720" w:hanging="360"/>
      </w:pPr>
      <w:rPr>
        <w:rFonts w:ascii="Symbol" w:hAnsi="Symbol" w:hint="default"/>
      </w:rPr>
    </w:lvl>
    <w:lvl w:ilvl="1" w:tplc="F1CEFA6E">
      <w:start w:val="1"/>
      <w:numFmt w:val="bullet"/>
      <w:lvlText w:val="o"/>
      <w:lvlJc w:val="left"/>
      <w:pPr>
        <w:ind w:left="1440" w:hanging="360"/>
      </w:pPr>
      <w:rPr>
        <w:rFonts w:ascii="Courier New" w:hAnsi="Courier New" w:cs="Courier New" w:hint="default"/>
      </w:rPr>
    </w:lvl>
    <w:lvl w:ilvl="2" w:tplc="181651CC">
      <w:start w:val="1"/>
      <w:numFmt w:val="bullet"/>
      <w:lvlText w:val=""/>
      <w:lvlJc w:val="left"/>
      <w:pPr>
        <w:ind w:left="2160" w:hanging="360"/>
      </w:pPr>
      <w:rPr>
        <w:rFonts w:ascii="Wingdings" w:hAnsi="Wingdings" w:hint="default"/>
      </w:rPr>
    </w:lvl>
    <w:lvl w:ilvl="3" w:tplc="8D2C5110">
      <w:start w:val="1"/>
      <w:numFmt w:val="bullet"/>
      <w:lvlText w:val=""/>
      <w:lvlJc w:val="left"/>
      <w:pPr>
        <w:ind w:left="2880" w:hanging="360"/>
      </w:pPr>
      <w:rPr>
        <w:rFonts w:ascii="Symbol" w:hAnsi="Symbol" w:hint="default"/>
      </w:rPr>
    </w:lvl>
    <w:lvl w:ilvl="4" w:tplc="365CE1DC">
      <w:start w:val="1"/>
      <w:numFmt w:val="bullet"/>
      <w:lvlText w:val="o"/>
      <w:lvlJc w:val="left"/>
      <w:pPr>
        <w:ind w:left="3600" w:hanging="360"/>
      </w:pPr>
      <w:rPr>
        <w:rFonts w:ascii="Courier New" w:hAnsi="Courier New" w:cs="Courier New" w:hint="default"/>
      </w:rPr>
    </w:lvl>
    <w:lvl w:ilvl="5" w:tplc="5180F9FC">
      <w:start w:val="1"/>
      <w:numFmt w:val="bullet"/>
      <w:lvlText w:val=""/>
      <w:lvlJc w:val="left"/>
      <w:pPr>
        <w:ind w:left="4320" w:hanging="360"/>
      </w:pPr>
      <w:rPr>
        <w:rFonts w:ascii="Wingdings" w:hAnsi="Wingdings" w:hint="default"/>
      </w:rPr>
    </w:lvl>
    <w:lvl w:ilvl="6" w:tplc="043254AC">
      <w:start w:val="1"/>
      <w:numFmt w:val="bullet"/>
      <w:lvlText w:val=""/>
      <w:lvlJc w:val="left"/>
      <w:pPr>
        <w:ind w:left="5040" w:hanging="360"/>
      </w:pPr>
      <w:rPr>
        <w:rFonts w:ascii="Symbol" w:hAnsi="Symbol" w:hint="default"/>
      </w:rPr>
    </w:lvl>
    <w:lvl w:ilvl="7" w:tplc="DF7C3B22">
      <w:start w:val="1"/>
      <w:numFmt w:val="bullet"/>
      <w:lvlText w:val="o"/>
      <w:lvlJc w:val="left"/>
      <w:pPr>
        <w:ind w:left="5760" w:hanging="360"/>
      </w:pPr>
      <w:rPr>
        <w:rFonts w:ascii="Courier New" w:hAnsi="Courier New" w:cs="Courier New" w:hint="default"/>
      </w:rPr>
    </w:lvl>
    <w:lvl w:ilvl="8" w:tplc="F3FCBD6A">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C83410FE">
      <w:start w:val="1"/>
      <w:numFmt w:val="bullet"/>
      <w:lvlText w:val=""/>
      <w:lvlJc w:val="left"/>
      <w:pPr>
        <w:ind w:left="720" w:hanging="360"/>
      </w:pPr>
      <w:rPr>
        <w:rFonts w:ascii="Symbol" w:hAnsi="Symbol" w:hint="default"/>
      </w:rPr>
    </w:lvl>
    <w:lvl w:ilvl="1" w:tplc="48F676F0">
      <w:start w:val="1"/>
      <w:numFmt w:val="bullet"/>
      <w:lvlText w:val="o"/>
      <w:lvlJc w:val="left"/>
      <w:pPr>
        <w:ind w:left="1440" w:hanging="360"/>
      </w:pPr>
      <w:rPr>
        <w:rFonts w:ascii="Courier New" w:hAnsi="Courier New" w:cs="Courier New" w:hint="default"/>
      </w:rPr>
    </w:lvl>
    <w:lvl w:ilvl="2" w:tplc="4AFE4752">
      <w:start w:val="1"/>
      <w:numFmt w:val="bullet"/>
      <w:lvlText w:val=""/>
      <w:lvlJc w:val="left"/>
      <w:pPr>
        <w:ind w:left="2160" w:hanging="360"/>
      </w:pPr>
      <w:rPr>
        <w:rFonts w:ascii="Wingdings" w:hAnsi="Wingdings" w:hint="default"/>
      </w:rPr>
    </w:lvl>
    <w:lvl w:ilvl="3" w:tplc="ACC45D88">
      <w:start w:val="1"/>
      <w:numFmt w:val="bullet"/>
      <w:lvlText w:val=""/>
      <w:lvlJc w:val="left"/>
      <w:pPr>
        <w:ind w:left="2880" w:hanging="360"/>
      </w:pPr>
      <w:rPr>
        <w:rFonts w:ascii="Symbol" w:hAnsi="Symbol" w:hint="default"/>
      </w:rPr>
    </w:lvl>
    <w:lvl w:ilvl="4" w:tplc="87264F86">
      <w:start w:val="1"/>
      <w:numFmt w:val="bullet"/>
      <w:lvlText w:val="o"/>
      <w:lvlJc w:val="left"/>
      <w:pPr>
        <w:ind w:left="3600" w:hanging="360"/>
      </w:pPr>
      <w:rPr>
        <w:rFonts w:ascii="Courier New" w:hAnsi="Courier New" w:cs="Courier New" w:hint="default"/>
      </w:rPr>
    </w:lvl>
    <w:lvl w:ilvl="5" w:tplc="1B0C207A">
      <w:start w:val="1"/>
      <w:numFmt w:val="bullet"/>
      <w:lvlText w:val=""/>
      <w:lvlJc w:val="left"/>
      <w:pPr>
        <w:ind w:left="4320" w:hanging="360"/>
      </w:pPr>
      <w:rPr>
        <w:rFonts w:ascii="Wingdings" w:hAnsi="Wingdings" w:hint="default"/>
      </w:rPr>
    </w:lvl>
    <w:lvl w:ilvl="6" w:tplc="4EE41B1C">
      <w:start w:val="1"/>
      <w:numFmt w:val="bullet"/>
      <w:lvlText w:val=""/>
      <w:lvlJc w:val="left"/>
      <w:pPr>
        <w:ind w:left="5040" w:hanging="360"/>
      </w:pPr>
      <w:rPr>
        <w:rFonts w:ascii="Symbol" w:hAnsi="Symbol" w:hint="default"/>
      </w:rPr>
    </w:lvl>
    <w:lvl w:ilvl="7" w:tplc="56AC71B6">
      <w:start w:val="1"/>
      <w:numFmt w:val="bullet"/>
      <w:lvlText w:val="o"/>
      <w:lvlJc w:val="left"/>
      <w:pPr>
        <w:ind w:left="5760" w:hanging="360"/>
      </w:pPr>
      <w:rPr>
        <w:rFonts w:ascii="Courier New" w:hAnsi="Courier New" w:cs="Courier New" w:hint="default"/>
      </w:rPr>
    </w:lvl>
    <w:lvl w:ilvl="8" w:tplc="AD7864CA">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5F48E694">
      <w:start w:val="1"/>
      <w:numFmt w:val="decimal"/>
      <w:lvlText w:val="%1."/>
      <w:lvlJc w:val="left"/>
      <w:pPr>
        <w:ind w:left="360" w:hanging="360"/>
      </w:pPr>
    </w:lvl>
    <w:lvl w:ilvl="1" w:tplc="5BD215AE">
      <w:start w:val="1"/>
      <w:numFmt w:val="lowerLetter"/>
      <w:lvlText w:val="%2."/>
      <w:lvlJc w:val="left"/>
      <w:pPr>
        <w:ind w:left="1080" w:hanging="360"/>
      </w:pPr>
    </w:lvl>
    <w:lvl w:ilvl="2" w:tplc="27FA11A8">
      <w:start w:val="1"/>
      <w:numFmt w:val="lowerRoman"/>
      <w:lvlText w:val="%3."/>
      <w:lvlJc w:val="right"/>
      <w:pPr>
        <w:ind w:left="1800" w:hanging="180"/>
      </w:pPr>
    </w:lvl>
    <w:lvl w:ilvl="3" w:tplc="C29C66D6">
      <w:start w:val="1"/>
      <w:numFmt w:val="decimal"/>
      <w:lvlText w:val="%4."/>
      <w:lvlJc w:val="left"/>
      <w:pPr>
        <w:ind w:left="2520" w:hanging="360"/>
      </w:pPr>
    </w:lvl>
    <w:lvl w:ilvl="4" w:tplc="C0F044B0">
      <w:start w:val="1"/>
      <w:numFmt w:val="lowerLetter"/>
      <w:lvlText w:val="%5."/>
      <w:lvlJc w:val="left"/>
      <w:pPr>
        <w:ind w:left="3240" w:hanging="360"/>
      </w:pPr>
    </w:lvl>
    <w:lvl w:ilvl="5" w:tplc="898E7A42">
      <w:start w:val="1"/>
      <w:numFmt w:val="lowerRoman"/>
      <w:lvlText w:val="%6."/>
      <w:lvlJc w:val="right"/>
      <w:pPr>
        <w:ind w:left="3960" w:hanging="180"/>
      </w:pPr>
    </w:lvl>
    <w:lvl w:ilvl="6" w:tplc="B0CC09B4">
      <w:start w:val="1"/>
      <w:numFmt w:val="decimal"/>
      <w:lvlText w:val="%7."/>
      <w:lvlJc w:val="left"/>
      <w:pPr>
        <w:ind w:left="4680" w:hanging="360"/>
      </w:pPr>
    </w:lvl>
    <w:lvl w:ilvl="7" w:tplc="9EAA8D4C">
      <w:start w:val="1"/>
      <w:numFmt w:val="lowerLetter"/>
      <w:lvlText w:val="%8."/>
      <w:lvlJc w:val="left"/>
      <w:pPr>
        <w:ind w:left="5400" w:hanging="360"/>
      </w:pPr>
    </w:lvl>
    <w:lvl w:ilvl="8" w:tplc="3C724E96">
      <w:start w:val="1"/>
      <w:numFmt w:val="lowerRoman"/>
      <w:lvlText w:val="%9."/>
      <w:lvlJc w:val="right"/>
      <w:pPr>
        <w:ind w:left="6120" w:hanging="180"/>
      </w:pPr>
    </w:lvl>
  </w:abstractNum>
  <w:abstractNum w:abstractNumId="11" w15:restartNumberingAfterBreak="0">
    <w:nsid w:val="2E135BD9"/>
    <w:multiLevelType w:val="hybridMultilevel"/>
    <w:tmpl w:val="DAD6C0E0"/>
    <w:lvl w:ilvl="0" w:tplc="B9466A52">
      <w:start w:val="1"/>
      <w:numFmt w:val="bullet"/>
      <w:lvlText w:val=""/>
      <w:lvlJc w:val="left"/>
      <w:pPr>
        <w:tabs>
          <w:tab w:val="num" w:pos="397"/>
        </w:tabs>
        <w:ind w:left="397" w:hanging="397"/>
      </w:pPr>
      <w:rPr>
        <w:rFonts w:ascii="Symbol" w:hAnsi="Symbol" w:hint="default"/>
      </w:rPr>
    </w:lvl>
    <w:lvl w:ilvl="1" w:tplc="4006A95E" w:tentative="1">
      <w:start w:val="1"/>
      <w:numFmt w:val="bullet"/>
      <w:lvlText w:val="o"/>
      <w:lvlJc w:val="left"/>
      <w:pPr>
        <w:tabs>
          <w:tab w:val="num" w:pos="1440"/>
        </w:tabs>
        <w:ind w:left="1440" w:hanging="360"/>
      </w:pPr>
      <w:rPr>
        <w:rFonts w:ascii="Courier New" w:hAnsi="Courier New" w:cs="Courier New" w:hint="default"/>
      </w:rPr>
    </w:lvl>
    <w:lvl w:ilvl="2" w:tplc="1DA6B4C6" w:tentative="1">
      <w:start w:val="1"/>
      <w:numFmt w:val="bullet"/>
      <w:lvlText w:val=""/>
      <w:lvlJc w:val="left"/>
      <w:pPr>
        <w:tabs>
          <w:tab w:val="num" w:pos="2160"/>
        </w:tabs>
        <w:ind w:left="2160" w:hanging="360"/>
      </w:pPr>
      <w:rPr>
        <w:rFonts w:ascii="Wingdings" w:hAnsi="Wingdings" w:hint="default"/>
      </w:rPr>
    </w:lvl>
    <w:lvl w:ilvl="3" w:tplc="98465820" w:tentative="1">
      <w:start w:val="1"/>
      <w:numFmt w:val="bullet"/>
      <w:lvlText w:val=""/>
      <w:lvlJc w:val="left"/>
      <w:pPr>
        <w:tabs>
          <w:tab w:val="num" w:pos="2880"/>
        </w:tabs>
        <w:ind w:left="2880" w:hanging="360"/>
      </w:pPr>
      <w:rPr>
        <w:rFonts w:ascii="Symbol" w:hAnsi="Symbol" w:hint="default"/>
      </w:rPr>
    </w:lvl>
    <w:lvl w:ilvl="4" w:tplc="1F7E7BBC" w:tentative="1">
      <w:start w:val="1"/>
      <w:numFmt w:val="bullet"/>
      <w:lvlText w:val="o"/>
      <w:lvlJc w:val="left"/>
      <w:pPr>
        <w:tabs>
          <w:tab w:val="num" w:pos="3600"/>
        </w:tabs>
        <w:ind w:left="3600" w:hanging="360"/>
      </w:pPr>
      <w:rPr>
        <w:rFonts w:ascii="Courier New" w:hAnsi="Courier New" w:cs="Courier New" w:hint="default"/>
      </w:rPr>
    </w:lvl>
    <w:lvl w:ilvl="5" w:tplc="60F88FB6" w:tentative="1">
      <w:start w:val="1"/>
      <w:numFmt w:val="bullet"/>
      <w:lvlText w:val=""/>
      <w:lvlJc w:val="left"/>
      <w:pPr>
        <w:tabs>
          <w:tab w:val="num" w:pos="4320"/>
        </w:tabs>
        <w:ind w:left="4320" w:hanging="360"/>
      </w:pPr>
      <w:rPr>
        <w:rFonts w:ascii="Wingdings" w:hAnsi="Wingdings" w:hint="default"/>
      </w:rPr>
    </w:lvl>
    <w:lvl w:ilvl="6" w:tplc="B7141552" w:tentative="1">
      <w:start w:val="1"/>
      <w:numFmt w:val="bullet"/>
      <w:lvlText w:val=""/>
      <w:lvlJc w:val="left"/>
      <w:pPr>
        <w:tabs>
          <w:tab w:val="num" w:pos="5040"/>
        </w:tabs>
        <w:ind w:left="5040" w:hanging="360"/>
      </w:pPr>
      <w:rPr>
        <w:rFonts w:ascii="Symbol" w:hAnsi="Symbol" w:hint="default"/>
      </w:rPr>
    </w:lvl>
    <w:lvl w:ilvl="7" w:tplc="5B568734" w:tentative="1">
      <w:start w:val="1"/>
      <w:numFmt w:val="bullet"/>
      <w:lvlText w:val="o"/>
      <w:lvlJc w:val="left"/>
      <w:pPr>
        <w:tabs>
          <w:tab w:val="num" w:pos="5760"/>
        </w:tabs>
        <w:ind w:left="5760" w:hanging="360"/>
      </w:pPr>
      <w:rPr>
        <w:rFonts w:ascii="Courier New" w:hAnsi="Courier New" w:cs="Courier New" w:hint="default"/>
      </w:rPr>
    </w:lvl>
    <w:lvl w:ilvl="8" w:tplc="66BEE6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17DE1CC2">
      <w:start w:val="1"/>
      <w:numFmt w:val="decimal"/>
      <w:lvlText w:val="%1."/>
      <w:lvlJc w:val="left"/>
      <w:pPr>
        <w:tabs>
          <w:tab w:val="num" w:pos="570"/>
        </w:tabs>
        <w:ind w:left="570" w:hanging="570"/>
      </w:pPr>
      <w:rPr>
        <w:rFonts w:hint="default"/>
      </w:rPr>
    </w:lvl>
    <w:lvl w:ilvl="1" w:tplc="8BC0B5EE" w:tentative="1">
      <w:start w:val="1"/>
      <w:numFmt w:val="lowerLetter"/>
      <w:lvlText w:val="%2."/>
      <w:lvlJc w:val="left"/>
      <w:pPr>
        <w:tabs>
          <w:tab w:val="num" w:pos="1080"/>
        </w:tabs>
        <w:ind w:left="1080" w:hanging="360"/>
      </w:pPr>
    </w:lvl>
    <w:lvl w:ilvl="2" w:tplc="E348D014" w:tentative="1">
      <w:start w:val="1"/>
      <w:numFmt w:val="lowerRoman"/>
      <w:lvlText w:val="%3."/>
      <w:lvlJc w:val="right"/>
      <w:pPr>
        <w:tabs>
          <w:tab w:val="num" w:pos="1800"/>
        </w:tabs>
        <w:ind w:left="1800" w:hanging="180"/>
      </w:pPr>
    </w:lvl>
    <w:lvl w:ilvl="3" w:tplc="1EE8075E" w:tentative="1">
      <w:start w:val="1"/>
      <w:numFmt w:val="decimal"/>
      <w:lvlText w:val="%4."/>
      <w:lvlJc w:val="left"/>
      <w:pPr>
        <w:tabs>
          <w:tab w:val="num" w:pos="2520"/>
        </w:tabs>
        <w:ind w:left="2520" w:hanging="360"/>
      </w:pPr>
    </w:lvl>
    <w:lvl w:ilvl="4" w:tplc="F25E8F54" w:tentative="1">
      <w:start w:val="1"/>
      <w:numFmt w:val="lowerLetter"/>
      <w:lvlText w:val="%5."/>
      <w:lvlJc w:val="left"/>
      <w:pPr>
        <w:tabs>
          <w:tab w:val="num" w:pos="3240"/>
        </w:tabs>
        <w:ind w:left="3240" w:hanging="360"/>
      </w:pPr>
    </w:lvl>
    <w:lvl w:ilvl="5" w:tplc="F3B87132" w:tentative="1">
      <w:start w:val="1"/>
      <w:numFmt w:val="lowerRoman"/>
      <w:lvlText w:val="%6."/>
      <w:lvlJc w:val="right"/>
      <w:pPr>
        <w:tabs>
          <w:tab w:val="num" w:pos="3960"/>
        </w:tabs>
        <w:ind w:left="3960" w:hanging="180"/>
      </w:pPr>
    </w:lvl>
    <w:lvl w:ilvl="6" w:tplc="221CDEAA" w:tentative="1">
      <w:start w:val="1"/>
      <w:numFmt w:val="decimal"/>
      <w:lvlText w:val="%7."/>
      <w:lvlJc w:val="left"/>
      <w:pPr>
        <w:tabs>
          <w:tab w:val="num" w:pos="4680"/>
        </w:tabs>
        <w:ind w:left="4680" w:hanging="360"/>
      </w:pPr>
    </w:lvl>
    <w:lvl w:ilvl="7" w:tplc="CBB453BE" w:tentative="1">
      <w:start w:val="1"/>
      <w:numFmt w:val="lowerLetter"/>
      <w:lvlText w:val="%8."/>
      <w:lvlJc w:val="left"/>
      <w:pPr>
        <w:tabs>
          <w:tab w:val="num" w:pos="5400"/>
        </w:tabs>
        <w:ind w:left="5400" w:hanging="360"/>
      </w:pPr>
    </w:lvl>
    <w:lvl w:ilvl="8" w:tplc="300A6DE8"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8F72858A">
      <w:start w:val="1"/>
      <w:numFmt w:val="bullet"/>
      <w:lvlText w:val=""/>
      <w:lvlJc w:val="left"/>
      <w:pPr>
        <w:ind w:left="1080" w:hanging="360"/>
      </w:pPr>
      <w:rPr>
        <w:rFonts w:ascii="Symbol" w:hAnsi="Symbol"/>
      </w:rPr>
    </w:lvl>
    <w:lvl w:ilvl="1" w:tplc="745440CA">
      <w:start w:val="1"/>
      <w:numFmt w:val="bullet"/>
      <w:lvlText w:val=""/>
      <w:lvlJc w:val="left"/>
      <w:pPr>
        <w:ind w:left="1080" w:hanging="360"/>
      </w:pPr>
      <w:rPr>
        <w:rFonts w:ascii="Symbol" w:hAnsi="Symbol"/>
      </w:rPr>
    </w:lvl>
    <w:lvl w:ilvl="2" w:tplc="EEF61C72">
      <w:start w:val="1"/>
      <w:numFmt w:val="bullet"/>
      <w:lvlText w:val=""/>
      <w:lvlJc w:val="left"/>
      <w:pPr>
        <w:ind w:left="1080" w:hanging="360"/>
      </w:pPr>
      <w:rPr>
        <w:rFonts w:ascii="Symbol" w:hAnsi="Symbol"/>
      </w:rPr>
    </w:lvl>
    <w:lvl w:ilvl="3" w:tplc="9BD49872">
      <w:start w:val="1"/>
      <w:numFmt w:val="bullet"/>
      <w:lvlText w:val=""/>
      <w:lvlJc w:val="left"/>
      <w:pPr>
        <w:ind w:left="1080" w:hanging="360"/>
      </w:pPr>
      <w:rPr>
        <w:rFonts w:ascii="Symbol" w:hAnsi="Symbol"/>
      </w:rPr>
    </w:lvl>
    <w:lvl w:ilvl="4" w:tplc="CA70C58A">
      <w:start w:val="1"/>
      <w:numFmt w:val="bullet"/>
      <w:lvlText w:val=""/>
      <w:lvlJc w:val="left"/>
      <w:pPr>
        <w:ind w:left="1080" w:hanging="360"/>
      </w:pPr>
      <w:rPr>
        <w:rFonts w:ascii="Symbol" w:hAnsi="Symbol"/>
      </w:rPr>
    </w:lvl>
    <w:lvl w:ilvl="5" w:tplc="C2C80D16">
      <w:start w:val="1"/>
      <w:numFmt w:val="bullet"/>
      <w:lvlText w:val=""/>
      <w:lvlJc w:val="left"/>
      <w:pPr>
        <w:ind w:left="1080" w:hanging="360"/>
      </w:pPr>
      <w:rPr>
        <w:rFonts w:ascii="Symbol" w:hAnsi="Symbol"/>
      </w:rPr>
    </w:lvl>
    <w:lvl w:ilvl="6" w:tplc="44CA6BEC">
      <w:start w:val="1"/>
      <w:numFmt w:val="bullet"/>
      <w:lvlText w:val=""/>
      <w:lvlJc w:val="left"/>
      <w:pPr>
        <w:ind w:left="1080" w:hanging="360"/>
      </w:pPr>
      <w:rPr>
        <w:rFonts w:ascii="Symbol" w:hAnsi="Symbol"/>
      </w:rPr>
    </w:lvl>
    <w:lvl w:ilvl="7" w:tplc="C2DA9F6C">
      <w:start w:val="1"/>
      <w:numFmt w:val="bullet"/>
      <w:lvlText w:val=""/>
      <w:lvlJc w:val="left"/>
      <w:pPr>
        <w:ind w:left="1080" w:hanging="360"/>
      </w:pPr>
      <w:rPr>
        <w:rFonts w:ascii="Symbol" w:hAnsi="Symbol"/>
      </w:rPr>
    </w:lvl>
    <w:lvl w:ilvl="8" w:tplc="702A5354">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758E49DE">
      <w:start w:val="1"/>
      <w:numFmt w:val="bullet"/>
      <w:lvlText w:val=""/>
      <w:lvlJc w:val="left"/>
      <w:pPr>
        <w:ind w:left="720" w:hanging="360"/>
      </w:pPr>
      <w:rPr>
        <w:rFonts w:ascii="Symbol" w:hAnsi="Symbol" w:hint="default"/>
      </w:rPr>
    </w:lvl>
    <w:lvl w:ilvl="1" w:tplc="4342CE60" w:tentative="1">
      <w:start w:val="1"/>
      <w:numFmt w:val="bullet"/>
      <w:lvlText w:val="o"/>
      <w:lvlJc w:val="left"/>
      <w:pPr>
        <w:ind w:left="1440" w:hanging="360"/>
      </w:pPr>
      <w:rPr>
        <w:rFonts w:ascii="Courier New" w:hAnsi="Courier New" w:cs="Courier New" w:hint="default"/>
      </w:rPr>
    </w:lvl>
    <w:lvl w:ilvl="2" w:tplc="F0822D1C" w:tentative="1">
      <w:start w:val="1"/>
      <w:numFmt w:val="bullet"/>
      <w:lvlText w:val=""/>
      <w:lvlJc w:val="left"/>
      <w:pPr>
        <w:ind w:left="2160" w:hanging="360"/>
      </w:pPr>
      <w:rPr>
        <w:rFonts w:ascii="Wingdings" w:hAnsi="Wingdings" w:hint="default"/>
      </w:rPr>
    </w:lvl>
    <w:lvl w:ilvl="3" w:tplc="19F05C46" w:tentative="1">
      <w:start w:val="1"/>
      <w:numFmt w:val="bullet"/>
      <w:lvlText w:val=""/>
      <w:lvlJc w:val="left"/>
      <w:pPr>
        <w:ind w:left="2880" w:hanging="360"/>
      </w:pPr>
      <w:rPr>
        <w:rFonts w:ascii="Symbol" w:hAnsi="Symbol" w:hint="default"/>
      </w:rPr>
    </w:lvl>
    <w:lvl w:ilvl="4" w:tplc="55CE114A" w:tentative="1">
      <w:start w:val="1"/>
      <w:numFmt w:val="bullet"/>
      <w:lvlText w:val="o"/>
      <w:lvlJc w:val="left"/>
      <w:pPr>
        <w:ind w:left="3600" w:hanging="360"/>
      </w:pPr>
      <w:rPr>
        <w:rFonts w:ascii="Courier New" w:hAnsi="Courier New" w:cs="Courier New" w:hint="default"/>
      </w:rPr>
    </w:lvl>
    <w:lvl w:ilvl="5" w:tplc="8DC8A7A6" w:tentative="1">
      <w:start w:val="1"/>
      <w:numFmt w:val="bullet"/>
      <w:lvlText w:val=""/>
      <w:lvlJc w:val="left"/>
      <w:pPr>
        <w:ind w:left="4320" w:hanging="360"/>
      </w:pPr>
      <w:rPr>
        <w:rFonts w:ascii="Wingdings" w:hAnsi="Wingdings" w:hint="default"/>
      </w:rPr>
    </w:lvl>
    <w:lvl w:ilvl="6" w:tplc="0E623A56" w:tentative="1">
      <w:start w:val="1"/>
      <w:numFmt w:val="bullet"/>
      <w:lvlText w:val=""/>
      <w:lvlJc w:val="left"/>
      <w:pPr>
        <w:ind w:left="5040" w:hanging="360"/>
      </w:pPr>
      <w:rPr>
        <w:rFonts w:ascii="Symbol" w:hAnsi="Symbol" w:hint="default"/>
      </w:rPr>
    </w:lvl>
    <w:lvl w:ilvl="7" w:tplc="89169986" w:tentative="1">
      <w:start w:val="1"/>
      <w:numFmt w:val="bullet"/>
      <w:lvlText w:val="o"/>
      <w:lvlJc w:val="left"/>
      <w:pPr>
        <w:ind w:left="5760" w:hanging="360"/>
      </w:pPr>
      <w:rPr>
        <w:rFonts w:ascii="Courier New" w:hAnsi="Courier New" w:cs="Courier New" w:hint="default"/>
      </w:rPr>
    </w:lvl>
    <w:lvl w:ilvl="8" w:tplc="55FABC22"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270C4010">
      <w:start w:val="1"/>
      <w:numFmt w:val="bullet"/>
      <w:lvlText w:val=""/>
      <w:lvlJc w:val="left"/>
      <w:pPr>
        <w:ind w:left="720" w:hanging="360"/>
      </w:pPr>
      <w:rPr>
        <w:rFonts w:ascii="Symbol" w:hAnsi="Symbol" w:hint="default"/>
      </w:rPr>
    </w:lvl>
    <w:lvl w:ilvl="1" w:tplc="05EEF0AE" w:tentative="1">
      <w:start w:val="1"/>
      <w:numFmt w:val="bullet"/>
      <w:lvlText w:val="o"/>
      <w:lvlJc w:val="left"/>
      <w:pPr>
        <w:ind w:left="1440" w:hanging="360"/>
      </w:pPr>
      <w:rPr>
        <w:rFonts w:ascii="Courier New" w:hAnsi="Courier New" w:cs="Courier New" w:hint="default"/>
      </w:rPr>
    </w:lvl>
    <w:lvl w:ilvl="2" w:tplc="D2B0690E" w:tentative="1">
      <w:start w:val="1"/>
      <w:numFmt w:val="bullet"/>
      <w:lvlText w:val=""/>
      <w:lvlJc w:val="left"/>
      <w:pPr>
        <w:ind w:left="2160" w:hanging="360"/>
      </w:pPr>
      <w:rPr>
        <w:rFonts w:ascii="Wingdings" w:hAnsi="Wingdings" w:hint="default"/>
      </w:rPr>
    </w:lvl>
    <w:lvl w:ilvl="3" w:tplc="DC7644E8" w:tentative="1">
      <w:start w:val="1"/>
      <w:numFmt w:val="bullet"/>
      <w:lvlText w:val=""/>
      <w:lvlJc w:val="left"/>
      <w:pPr>
        <w:ind w:left="2880" w:hanging="360"/>
      </w:pPr>
      <w:rPr>
        <w:rFonts w:ascii="Symbol" w:hAnsi="Symbol" w:hint="default"/>
      </w:rPr>
    </w:lvl>
    <w:lvl w:ilvl="4" w:tplc="D64A79D4" w:tentative="1">
      <w:start w:val="1"/>
      <w:numFmt w:val="bullet"/>
      <w:lvlText w:val="o"/>
      <w:lvlJc w:val="left"/>
      <w:pPr>
        <w:ind w:left="3600" w:hanging="360"/>
      </w:pPr>
      <w:rPr>
        <w:rFonts w:ascii="Courier New" w:hAnsi="Courier New" w:cs="Courier New" w:hint="default"/>
      </w:rPr>
    </w:lvl>
    <w:lvl w:ilvl="5" w:tplc="2886FCD0" w:tentative="1">
      <w:start w:val="1"/>
      <w:numFmt w:val="bullet"/>
      <w:lvlText w:val=""/>
      <w:lvlJc w:val="left"/>
      <w:pPr>
        <w:ind w:left="4320" w:hanging="360"/>
      </w:pPr>
      <w:rPr>
        <w:rFonts w:ascii="Wingdings" w:hAnsi="Wingdings" w:hint="default"/>
      </w:rPr>
    </w:lvl>
    <w:lvl w:ilvl="6" w:tplc="5F48E910" w:tentative="1">
      <w:start w:val="1"/>
      <w:numFmt w:val="bullet"/>
      <w:lvlText w:val=""/>
      <w:lvlJc w:val="left"/>
      <w:pPr>
        <w:ind w:left="5040" w:hanging="360"/>
      </w:pPr>
      <w:rPr>
        <w:rFonts w:ascii="Symbol" w:hAnsi="Symbol" w:hint="default"/>
      </w:rPr>
    </w:lvl>
    <w:lvl w:ilvl="7" w:tplc="AE14DB88" w:tentative="1">
      <w:start w:val="1"/>
      <w:numFmt w:val="bullet"/>
      <w:lvlText w:val="o"/>
      <w:lvlJc w:val="left"/>
      <w:pPr>
        <w:ind w:left="5760" w:hanging="360"/>
      </w:pPr>
      <w:rPr>
        <w:rFonts w:ascii="Courier New" w:hAnsi="Courier New" w:cs="Courier New" w:hint="default"/>
      </w:rPr>
    </w:lvl>
    <w:lvl w:ilvl="8" w:tplc="7D5A6BEC"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115EA8C8">
      <w:start w:val="1"/>
      <w:numFmt w:val="bullet"/>
      <w:lvlText w:val=""/>
      <w:lvlJc w:val="left"/>
      <w:pPr>
        <w:ind w:left="720" w:hanging="360"/>
      </w:pPr>
      <w:rPr>
        <w:rFonts w:ascii="Symbol" w:hAnsi="Symbol" w:hint="default"/>
      </w:rPr>
    </w:lvl>
    <w:lvl w:ilvl="1" w:tplc="75DCE79E" w:tentative="1">
      <w:start w:val="1"/>
      <w:numFmt w:val="bullet"/>
      <w:lvlText w:val="o"/>
      <w:lvlJc w:val="left"/>
      <w:pPr>
        <w:ind w:left="1440" w:hanging="360"/>
      </w:pPr>
      <w:rPr>
        <w:rFonts w:ascii="Courier New" w:hAnsi="Courier New" w:cs="Courier New" w:hint="default"/>
      </w:rPr>
    </w:lvl>
    <w:lvl w:ilvl="2" w:tplc="4948D142" w:tentative="1">
      <w:start w:val="1"/>
      <w:numFmt w:val="bullet"/>
      <w:lvlText w:val=""/>
      <w:lvlJc w:val="left"/>
      <w:pPr>
        <w:ind w:left="2160" w:hanging="360"/>
      </w:pPr>
      <w:rPr>
        <w:rFonts w:ascii="Wingdings" w:hAnsi="Wingdings" w:hint="default"/>
      </w:rPr>
    </w:lvl>
    <w:lvl w:ilvl="3" w:tplc="568A3C8A" w:tentative="1">
      <w:start w:val="1"/>
      <w:numFmt w:val="bullet"/>
      <w:lvlText w:val=""/>
      <w:lvlJc w:val="left"/>
      <w:pPr>
        <w:ind w:left="2880" w:hanging="360"/>
      </w:pPr>
      <w:rPr>
        <w:rFonts w:ascii="Symbol" w:hAnsi="Symbol" w:hint="default"/>
      </w:rPr>
    </w:lvl>
    <w:lvl w:ilvl="4" w:tplc="DA404B68" w:tentative="1">
      <w:start w:val="1"/>
      <w:numFmt w:val="bullet"/>
      <w:lvlText w:val="o"/>
      <w:lvlJc w:val="left"/>
      <w:pPr>
        <w:ind w:left="3600" w:hanging="360"/>
      </w:pPr>
      <w:rPr>
        <w:rFonts w:ascii="Courier New" w:hAnsi="Courier New" w:cs="Courier New" w:hint="default"/>
      </w:rPr>
    </w:lvl>
    <w:lvl w:ilvl="5" w:tplc="4DF07618" w:tentative="1">
      <w:start w:val="1"/>
      <w:numFmt w:val="bullet"/>
      <w:lvlText w:val=""/>
      <w:lvlJc w:val="left"/>
      <w:pPr>
        <w:ind w:left="4320" w:hanging="360"/>
      </w:pPr>
      <w:rPr>
        <w:rFonts w:ascii="Wingdings" w:hAnsi="Wingdings" w:hint="default"/>
      </w:rPr>
    </w:lvl>
    <w:lvl w:ilvl="6" w:tplc="DAD48628" w:tentative="1">
      <w:start w:val="1"/>
      <w:numFmt w:val="bullet"/>
      <w:lvlText w:val=""/>
      <w:lvlJc w:val="left"/>
      <w:pPr>
        <w:ind w:left="5040" w:hanging="360"/>
      </w:pPr>
      <w:rPr>
        <w:rFonts w:ascii="Symbol" w:hAnsi="Symbol" w:hint="default"/>
      </w:rPr>
    </w:lvl>
    <w:lvl w:ilvl="7" w:tplc="2D4E96D8" w:tentative="1">
      <w:start w:val="1"/>
      <w:numFmt w:val="bullet"/>
      <w:lvlText w:val="o"/>
      <w:lvlJc w:val="left"/>
      <w:pPr>
        <w:ind w:left="5760" w:hanging="360"/>
      </w:pPr>
      <w:rPr>
        <w:rFonts w:ascii="Courier New" w:hAnsi="Courier New" w:cs="Courier New" w:hint="default"/>
      </w:rPr>
    </w:lvl>
    <w:lvl w:ilvl="8" w:tplc="65AE1B80"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8182B9EE">
      <w:start w:val="1"/>
      <w:numFmt w:val="upperLetter"/>
      <w:lvlText w:val="(%1)"/>
      <w:lvlJc w:val="left"/>
      <w:pPr>
        <w:ind w:left="924" w:hanging="564"/>
      </w:pPr>
      <w:rPr>
        <w:rFonts w:hint="default"/>
      </w:rPr>
    </w:lvl>
    <w:lvl w:ilvl="1" w:tplc="7C1E194C" w:tentative="1">
      <w:start w:val="1"/>
      <w:numFmt w:val="lowerLetter"/>
      <w:lvlText w:val="%2."/>
      <w:lvlJc w:val="left"/>
      <w:pPr>
        <w:ind w:left="1440" w:hanging="360"/>
      </w:pPr>
    </w:lvl>
    <w:lvl w:ilvl="2" w:tplc="C0D08BA6" w:tentative="1">
      <w:start w:val="1"/>
      <w:numFmt w:val="lowerRoman"/>
      <w:lvlText w:val="%3."/>
      <w:lvlJc w:val="right"/>
      <w:pPr>
        <w:ind w:left="2160" w:hanging="180"/>
      </w:pPr>
    </w:lvl>
    <w:lvl w:ilvl="3" w:tplc="C33E9928" w:tentative="1">
      <w:start w:val="1"/>
      <w:numFmt w:val="decimal"/>
      <w:lvlText w:val="%4."/>
      <w:lvlJc w:val="left"/>
      <w:pPr>
        <w:ind w:left="2880" w:hanging="360"/>
      </w:pPr>
    </w:lvl>
    <w:lvl w:ilvl="4" w:tplc="145E9C5C" w:tentative="1">
      <w:start w:val="1"/>
      <w:numFmt w:val="lowerLetter"/>
      <w:lvlText w:val="%5."/>
      <w:lvlJc w:val="left"/>
      <w:pPr>
        <w:ind w:left="3600" w:hanging="360"/>
      </w:pPr>
    </w:lvl>
    <w:lvl w:ilvl="5" w:tplc="1C3C7F52" w:tentative="1">
      <w:start w:val="1"/>
      <w:numFmt w:val="lowerRoman"/>
      <w:lvlText w:val="%6."/>
      <w:lvlJc w:val="right"/>
      <w:pPr>
        <w:ind w:left="4320" w:hanging="180"/>
      </w:pPr>
    </w:lvl>
    <w:lvl w:ilvl="6" w:tplc="DA3CEF30" w:tentative="1">
      <w:start w:val="1"/>
      <w:numFmt w:val="decimal"/>
      <w:lvlText w:val="%7."/>
      <w:lvlJc w:val="left"/>
      <w:pPr>
        <w:ind w:left="5040" w:hanging="360"/>
      </w:pPr>
    </w:lvl>
    <w:lvl w:ilvl="7" w:tplc="8CE6D410" w:tentative="1">
      <w:start w:val="1"/>
      <w:numFmt w:val="lowerLetter"/>
      <w:lvlText w:val="%8."/>
      <w:lvlJc w:val="left"/>
      <w:pPr>
        <w:ind w:left="5760" w:hanging="360"/>
      </w:pPr>
    </w:lvl>
    <w:lvl w:ilvl="8" w:tplc="12BCF7F0"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B802B1D8">
      <w:start w:val="1"/>
      <w:numFmt w:val="bullet"/>
      <w:lvlText w:val=""/>
      <w:lvlJc w:val="left"/>
      <w:pPr>
        <w:ind w:left="720" w:hanging="360"/>
      </w:pPr>
      <w:rPr>
        <w:rFonts w:ascii="Symbol" w:hAnsi="Symbol" w:hint="default"/>
      </w:rPr>
    </w:lvl>
    <w:lvl w:ilvl="1" w:tplc="5588BB20" w:tentative="1">
      <w:start w:val="1"/>
      <w:numFmt w:val="bullet"/>
      <w:lvlText w:val="o"/>
      <w:lvlJc w:val="left"/>
      <w:pPr>
        <w:ind w:left="1440" w:hanging="360"/>
      </w:pPr>
      <w:rPr>
        <w:rFonts w:ascii="Courier New" w:hAnsi="Courier New" w:cs="Courier New" w:hint="default"/>
      </w:rPr>
    </w:lvl>
    <w:lvl w:ilvl="2" w:tplc="2D64ACE2" w:tentative="1">
      <w:start w:val="1"/>
      <w:numFmt w:val="bullet"/>
      <w:lvlText w:val=""/>
      <w:lvlJc w:val="left"/>
      <w:pPr>
        <w:ind w:left="2160" w:hanging="360"/>
      </w:pPr>
      <w:rPr>
        <w:rFonts w:ascii="Wingdings" w:hAnsi="Wingdings" w:hint="default"/>
      </w:rPr>
    </w:lvl>
    <w:lvl w:ilvl="3" w:tplc="D3D63250" w:tentative="1">
      <w:start w:val="1"/>
      <w:numFmt w:val="bullet"/>
      <w:lvlText w:val=""/>
      <w:lvlJc w:val="left"/>
      <w:pPr>
        <w:ind w:left="2880" w:hanging="360"/>
      </w:pPr>
      <w:rPr>
        <w:rFonts w:ascii="Symbol" w:hAnsi="Symbol" w:hint="default"/>
      </w:rPr>
    </w:lvl>
    <w:lvl w:ilvl="4" w:tplc="728A82E4" w:tentative="1">
      <w:start w:val="1"/>
      <w:numFmt w:val="bullet"/>
      <w:lvlText w:val="o"/>
      <w:lvlJc w:val="left"/>
      <w:pPr>
        <w:ind w:left="3600" w:hanging="360"/>
      </w:pPr>
      <w:rPr>
        <w:rFonts w:ascii="Courier New" w:hAnsi="Courier New" w:cs="Courier New" w:hint="default"/>
      </w:rPr>
    </w:lvl>
    <w:lvl w:ilvl="5" w:tplc="E61C79B2" w:tentative="1">
      <w:start w:val="1"/>
      <w:numFmt w:val="bullet"/>
      <w:lvlText w:val=""/>
      <w:lvlJc w:val="left"/>
      <w:pPr>
        <w:ind w:left="4320" w:hanging="360"/>
      </w:pPr>
      <w:rPr>
        <w:rFonts w:ascii="Wingdings" w:hAnsi="Wingdings" w:hint="default"/>
      </w:rPr>
    </w:lvl>
    <w:lvl w:ilvl="6" w:tplc="26AAC284" w:tentative="1">
      <w:start w:val="1"/>
      <w:numFmt w:val="bullet"/>
      <w:lvlText w:val=""/>
      <w:lvlJc w:val="left"/>
      <w:pPr>
        <w:ind w:left="5040" w:hanging="360"/>
      </w:pPr>
      <w:rPr>
        <w:rFonts w:ascii="Symbol" w:hAnsi="Symbol" w:hint="default"/>
      </w:rPr>
    </w:lvl>
    <w:lvl w:ilvl="7" w:tplc="EA7A0FA6" w:tentative="1">
      <w:start w:val="1"/>
      <w:numFmt w:val="bullet"/>
      <w:lvlText w:val="o"/>
      <w:lvlJc w:val="left"/>
      <w:pPr>
        <w:ind w:left="5760" w:hanging="360"/>
      </w:pPr>
      <w:rPr>
        <w:rFonts w:ascii="Courier New" w:hAnsi="Courier New" w:cs="Courier New" w:hint="default"/>
      </w:rPr>
    </w:lvl>
    <w:lvl w:ilvl="8" w:tplc="ACF6CA42"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7C009514">
      <w:start w:val="1"/>
      <w:numFmt w:val="bullet"/>
      <w:lvlText w:val=""/>
      <w:lvlJc w:val="left"/>
      <w:pPr>
        <w:ind w:left="720" w:hanging="360"/>
      </w:pPr>
      <w:rPr>
        <w:rFonts w:ascii="Symbol" w:hAnsi="Symbol" w:hint="default"/>
      </w:rPr>
    </w:lvl>
    <w:lvl w:ilvl="1" w:tplc="8FAE77F0">
      <w:start w:val="1"/>
      <w:numFmt w:val="bullet"/>
      <w:lvlText w:val="o"/>
      <w:lvlJc w:val="left"/>
      <w:pPr>
        <w:ind w:left="1440" w:hanging="360"/>
      </w:pPr>
      <w:rPr>
        <w:rFonts w:ascii="Courier New" w:hAnsi="Courier New" w:cs="Courier New" w:hint="default"/>
      </w:rPr>
    </w:lvl>
    <w:lvl w:ilvl="2" w:tplc="C7C8F9BE">
      <w:start w:val="1"/>
      <w:numFmt w:val="bullet"/>
      <w:lvlText w:val=""/>
      <w:lvlJc w:val="left"/>
      <w:pPr>
        <w:ind w:left="2160" w:hanging="360"/>
      </w:pPr>
      <w:rPr>
        <w:rFonts w:ascii="Wingdings" w:hAnsi="Wingdings" w:hint="default"/>
      </w:rPr>
    </w:lvl>
    <w:lvl w:ilvl="3" w:tplc="9892C14A">
      <w:start w:val="1"/>
      <w:numFmt w:val="bullet"/>
      <w:lvlText w:val=""/>
      <w:lvlJc w:val="left"/>
      <w:pPr>
        <w:ind w:left="2880" w:hanging="360"/>
      </w:pPr>
      <w:rPr>
        <w:rFonts w:ascii="Symbol" w:hAnsi="Symbol" w:hint="default"/>
      </w:rPr>
    </w:lvl>
    <w:lvl w:ilvl="4" w:tplc="D9F887BE">
      <w:start w:val="1"/>
      <w:numFmt w:val="bullet"/>
      <w:lvlText w:val="o"/>
      <w:lvlJc w:val="left"/>
      <w:pPr>
        <w:ind w:left="3600" w:hanging="360"/>
      </w:pPr>
      <w:rPr>
        <w:rFonts w:ascii="Courier New" w:hAnsi="Courier New" w:cs="Courier New" w:hint="default"/>
      </w:rPr>
    </w:lvl>
    <w:lvl w:ilvl="5" w:tplc="2A7064DA">
      <w:start w:val="1"/>
      <w:numFmt w:val="bullet"/>
      <w:lvlText w:val=""/>
      <w:lvlJc w:val="left"/>
      <w:pPr>
        <w:ind w:left="4320" w:hanging="360"/>
      </w:pPr>
      <w:rPr>
        <w:rFonts w:ascii="Wingdings" w:hAnsi="Wingdings" w:hint="default"/>
      </w:rPr>
    </w:lvl>
    <w:lvl w:ilvl="6" w:tplc="669E25F8">
      <w:start w:val="1"/>
      <w:numFmt w:val="bullet"/>
      <w:lvlText w:val=""/>
      <w:lvlJc w:val="left"/>
      <w:pPr>
        <w:ind w:left="5040" w:hanging="360"/>
      </w:pPr>
      <w:rPr>
        <w:rFonts w:ascii="Symbol" w:hAnsi="Symbol" w:hint="default"/>
      </w:rPr>
    </w:lvl>
    <w:lvl w:ilvl="7" w:tplc="08BECD1C">
      <w:start w:val="1"/>
      <w:numFmt w:val="bullet"/>
      <w:lvlText w:val="o"/>
      <w:lvlJc w:val="left"/>
      <w:pPr>
        <w:ind w:left="5760" w:hanging="360"/>
      </w:pPr>
      <w:rPr>
        <w:rFonts w:ascii="Courier New" w:hAnsi="Courier New" w:cs="Courier New" w:hint="default"/>
      </w:rPr>
    </w:lvl>
    <w:lvl w:ilvl="8" w:tplc="2050F512">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F5488196">
      <w:start w:val="1"/>
      <w:numFmt w:val="bullet"/>
      <w:lvlText w:val=""/>
      <w:lvlJc w:val="left"/>
      <w:pPr>
        <w:ind w:left="720" w:hanging="360"/>
      </w:pPr>
      <w:rPr>
        <w:rFonts w:ascii="Symbol" w:hAnsi="Symbol" w:hint="default"/>
      </w:rPr>
    </w:lvl>
    <w:lvl w:ilvl="1" w:tplc="FAEE4880" w:tentative="1">
      <w:start w:val="1"/>
      <w:numFmt w:val="bullet"/>
      <w:lvlText w:val="o"/>
      <w:lvlJc w:val="left"/>
      <w:pPr>
        <w:ind w:left="1440" w:hanging="360"/>
      </w:pPr>
      <w:rPr>
        <w:rFonts w:ascii="Courier New" w:hAnsi="Courier New" w:cs="Courier New" w:hint="default"/>
      </w:rPr>
    </w:lvl>
    <w:lvl w:ilvl="2" w:tplc="AE02ED5C" w:tentative="1">
      <w:start w:val="1"/>
      <w:numFmt w:val="bullet"/>
      <w:lvlText w:val=""/>
      <w:lvlJc w:val="left"/>
      <w:pPr>
        <w:ind w:left="2160" w:hanging="360"/>
      </w:pPr>
      <w:rPr>
        <w:rFonts w:ascii="Wingdings" w:hAnsi="Wingdings" w:hint="default"/>
      </w:rPr>
    </w:lvl>
    <w:lvl w:ilvl="3" w:tplc="6B0051B4" w:tentative="1">
      <w:start w:val="1"/>
      <w:numFmt w:val="bullet"/>
      <w:lvlText w:val=""/>
      <w:lvlJc w:val="left"/>
      <w:pPr>
        <w:ind w:left="2880" w:hanging="360"/>
      </w:pPr>
      <w:rPr>
        <w:rFonts w:ascii="Symbol" w:hAnsi="Symbol" w:hint="default"/>
      </w:rPr>
    </w:lvl>
    <w:lvl w:ilvl="4" w:tplc="CFAED5BA" w:tentative="1">
      <w:start w:val="1"/>
      <w:numFmt w:val="bullet"/>
      <w:lvlText w:val="o"/>
      <w:lvlJc w:val="left"/>
      <w:pPr>
        <w:ind w:left="3600" w:hanging="360"/>
      </w:pPr>
      <w:rPr>
        <w:rFonts w:ascii="Courier New" w:hAnsi="Courier New" w:cs="Courier New" w:hint="default"/>
      </w:rPr>
    </w:lvl>
    <w:lvl w:ilvl="5" w:tplc="FD4E47B6" w:tentative="1">
      <w:start w:val="1"/>
      <w:numFmt w:val="bullet"/>
      <w:lvlText w:val=""/>
      <w:lvlJc w:val="left"/>
      <w:pPr>
        <w:ind w:left="4320" w:hanging="360"/>
      </w:pPr>
      <w:rPr>
        <w:rFonts w:ascii="Wingdings" w:hAnsi="Wingdings" w:hint="default"/>
      </w:rPr>
    </w:lvl>
    <w:lvl w:ilvl="6" w:tplc="6A2A339E" w:tentative="1">
      <w:start w:val="1"/>
      <w:numFmt w:val="bullet"/>
      <w:lvlText w:val=""/>
      <w:lvlJc w:val="left"/>
      <w:pPr>
        <w:ind w:left="5040" w:hanging="360"/>
      </w:pPr>
      <w:rPr>
        <w:rFonts w:ascii="Symbol" w:hAnsi="Symbol" w:hint="default"/>
      </w:rPr>
    </w:lvl>
    <w:lvl w:ilvl="7" w:tplc="C2BC183A" w:tentative="1">
      <w:start w:val="1"/>
      <w:numFmt w:val="bullet"/>
      <w:lvlText w:val="o"/>
      <w:lvlJc w:val="left"/>
      <w:pPr>
        <w:ind w:left="5760" w:hanging="360"/>
      </w:pPr>
      <w:rPr>
        <w:rFonts w:ascii="Courier New" w:hAnsi="Courier New" w:cs="Courier New" w:hint="default"/>
      </w:rPr>
    </w:lvl>
    <w:lvl w:ilvl="8" w:tplc="CF2EAC9C"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7400A91"/>
    <w:multiLevelType w:val="hybridMultilevel"/>
    <w:tmpl w:val="2272E4E2"/>
    <w:lvl w:ilvl="0" w:tplc="F298662C">
      <w:start w:val="1"/>
      <w:numFmt w:val="upperLetter"/>
      <w:lvlText w:val="%1."/>
      <w:lvlJc w:val="left"/>
      <w:pPr>
        <w:ind w:left="1701" w:hanging="708"/>
      </w:pPr>
      <w:rPr>
        <w:rFonts w:hint="default"/>
      </w:rPr>
    </w:lvl>
    <w:lvl w:ilvl="1" w:tplc="1E4EEA2A">
      <w:start w:val="1"/>
      <w:numFmt w:val="decimal"/>
      <w:lvlText w:val="%2."/>
      <w:lvlJc w:val="left"/>
      <w:pPr>
        <w:ind w:left="2283" w:hanging="570"/>
      </w:pPr>
      <w:rPr>
        <w:rFonts w:hint="default"/>
      </w:rPr>
    </w:lvl>
    <w:lvl w:ilvl="2" w:tplc="DC2C3320" w:tentative="1">
      <w:start w:val="1"/>
      <w:numFmt w:val="lowerRoman"/>
      <w:lvlText w:val="%3."/>
      <w:lvlJc w:val="right"/>
      <w:pPr>
        <w:ind w:left="2793" w:hanging="180"/>
      </w:pPr>
    </w:lvl>
    <w:lvl w:ilvl="3" w:tplc="9DDC9A28" w:tentative="1">
      <w:start w:val="1"/>
      <w:numFmt w:val="decimal"/>
      <w:lvlText w:val="%4."/>
      <w:lvlJc w:val="left"/>
      <w:pPr>
        <w:ind w:left="3513" w:hanging="360"/>
      </w:pPr>
    </w:lvl>
    <w:lvl w:ilvl="4" w:tplc="785E1D60" w:tentative="1">
      <w:start w:val="1"/>
      <w:numFmt w:val="lowerLetter"/>
      <w:lvlText w:val="%5."/>
      <w:lvlJc w:val="left"/>
      <w:pPr>
        <w:ind w:left="4233" w:hanging="360"/>
      </w:pPr>
    </w:lvl>
    <w:lvl w:ilvl="5" w:tplc="3274F34A" w:tentative="1">
      <w:start w:val="1"/>
      <w:numFmt w:val="lowerRoman"/>
      <w:lvlText w:val="%6."/>
      <w:lvlJc w:val="right"/>
      <w:pPr>
        <w:ind w:left="4953" w:hanging="180"/>
      </w:pPr>
    </w:lvl>
    <w:lvl w:ilvl="6" w:tplc="FE42B084" w:tentative="1">
      <w:start w:val="1"/>
      <w:numFmt w:val="decimal"/>
      <w:lvlText w:val="%7."/>
      <w:lvlJc w:val="left"/>
      <w:pPr>
        <w:ind w:left="5673" w:hanging="360"/>
      </w:pPr>
    </w:lvl>
    <w:lvl w:ilvl="7" w:tplc="2E722D00" w:tentative="1">
      <w:start w:val="1"/>
      <w:numFmt w:val="lowerLetter"/>
      <w:lvlText w:val="%8."/>
      <w:lvlJc w:val="left"/>
      <w:pPr>
        <w:ind w:left="6393" w:hanging="360"/>
      </w:pPr>
    </w:lvl>
    <w:lvl w:ilvl="8" w:tplc="C7323F66" w:tentative="1">
      <w:start w:val="1"/>
      <w:numFmt w:val="lowerRoman"/>
      <w:lvlText w:val="%9."/>
      <w:lvlJc w:val="right"/>
      <w:pPr>
        <w:ind w:left="7113" w:hanging="180"/>
      </w:pPr>
    </w:lvl>
  </w:abstractNum>
  <w:abstractNum w:abstractNumId="28" w15:restartNumberingAfterBreak="0">
    <w:nsid w:val="58B56C73"/>
    <w:multiLevelType w:val="hybridMultilevel"/>
    <w:tmpl w:val="5BA42128"/>
    <w:lvl w:ilvl="0" w:tplc="5002EAA4">
      <w:start w:val="2"/>
      <w:numFmt w:val="decimal"/>
      <w:lvlText w:val="%1."/>
      <w:lvlJc w:val="left"/>
      <w:pPr>
        <w:tabs>
          <w:tab w:val="num" w:pos="570"/>
        </w:tabs>
        <w:ind w:left="570" w:hanging="570"/>
      </w:pPr>
      <w:rPr>
        <w:rFonts w:hint="default"/>
      </w:rPr>
    </w:lvl>
    <w:lvl w:ilvl="1" w:tplc="1F4C2340" w:tentative="1">
      <w:start w:val="1"/>
      <w:numFmt w:val="lowerLetter"/>
      <w:lvlText w:val="%2."/>
      <w:lvlJc w:val="left"/>
      <w:pPr>
        <w:tabs>
          <w:tab w:val="num" w:pos="1080"/>
        </w:tabs>
        <w:ind w:left="1080" w:hanging="360"/>
      </w:pPr>
    </w:lvl>
    <w:lvl w:ilvl="2" w:tplc="9392DEB2" w:tentative="1">
      <w:start w:val="1"/>
      <w:numFmt w:val="lowerRoman"/>
      <w:lvlText w:val="%3."/>
      <w:lvlJc w:val="right"/>
      <w:pPr>
        <w:tabs>
          <w:tab w:val="num" w:pos="1800"/>
        </w:tabs>
        <w:ind w:left="1800" w:hanging="180"/>
      </w:pPr>
    </w:lvl>
    <w:lvl w:ilvl="3" w:tplc="14EABBBE" w:tentative="1">
      <w:start w:val="1"/>
      <w:numFmt w:val="decimal"/>
      <w:lvlText w:val="%4."/>
      <w:lvlJc w:val="left"/>
      <w:pPr>
        <w:tabs>
          <w:tab w:val="num" w:pos="2520"/>
        </w:tabs>
        <w:ind w:left="2520" w:hanging="360"/>
      </w:pPr>
    </w:lvl>
    <w:lvl w:ilvl="4" w:tplc="FF12073E" w:tentative="1">
      <w:start w:val="1"/>
      <w:numFmt w:val="lowerLetter"/>
      <w:lvlText w:val="%5."/>
      <w:lvlJc w:val="left"/>
      <w:pPr>
        <w:tabs>
          <w:tab w:val="num" w:pos="3240"/>
        </w:tabs>
        <w:ind w:left="3240" w:hanging="360"/>
      </w:pPr>
    </w:lvl>
    <w:lvl w:ilvl="5" w:tplc="11E02E10" w:tentative="1">
      <w:start w:val="1"/>
      <w:numFmt w:val="lowerRoman"/>
      <w:lvlText w:val="%6."/>
      <w:lvlJc w:val="right"/>
      <w:pPr>
        <w:tabs>
          <w:tab w:val="num" w:pos="3960"/>
        </w:tabs>
        <w:ind w:left="3960" w:hanging="180"/>
      </w:pPr>
    </w:lvl>
    <w:lvl w:ilvl="6" w:tplc="66B6E6EC" w:tentative="1">
      <w:start w:val="1"/>
      <w:numFmt w:val="decimal"/>
      <w:lvlText w:val="%7."/>
      <w:lvlJc w:val="left"/>
      <w:pPr>
        <w:tabs>
          <w:tab w:val="num" w:pos="4680"/>
        </w:tabs>
        <w:ind w:left="4680" w:hanging="360"/>
      </w:pPr>
    </w:lvl>
    <w:lvl w:ilvl="7" w:tplc="8F60BB04" w:tentative="1">
      <w:start w:val="1"/>
      <w:numFmt w:val="lowerLetter"/>
      <w:lvlText w:val="%8."/>
      <w:lvlJc w:val="left"/>
      <w:pPr>
        <w:tabs>
          <w:tab w:val="num" w:pos="5400"/>
        </w:tabs>
        <w:ind w:left="5400" w:hanging="360"/>
      </w:pPr>
    </w:lvl>
    <w:lvl w:ilvl="8" w:tplc="3B30F0B8" w:tentative="1">
      <w:start w:val="1"/>
      <w:numFmt w:val="lowerRoman"/>
      <w:lvlText w:val="%9."/>
      <w:lvlJc w:val="right"/>
      <w:pPr>
        <w:tabs>
          <w:tab w:val="num" w:pos="6120"/>
        </w:tabs>
        <w:ind w:left="6120" w:hanging="180"/>
      </w:p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878136F"/>
    <w:multiLevelType w:val="hybridMultilevel"/>
    <w:tmpl w:val="5CDAB1C8"/>
    <w:lvl w:ilvl="0" w:tplc="52AA9A14">
      <w:start w:val="1"/>
      <w:numFmt w:val="bullet"/>
      <w:lvlText w:val=""/>
      <w:lvlJc w:val="left"/>
      <w:pPr>
        <w:ind w:left="1640" w:hanging="360"/>
      </w:pPr>
      <w:rPr>
        <w:rFonts w:ascii="Symbol" w:hAnsi="Symbol"/>
      </w:rPr>
    </w:lvl>
    <w:lvl w:ilvl="1" w:tplc="662621B2">
      <w:start w:val="1"/>
      <w:numFmt w:val="bullet"/>
      <w:lvlText w:val=""/>
      <w:lvlJc w:val="left"/>
      <w:pPr>
        <w:ind w:left="1640" w:hanging="360"/>
      </w:pPr>
      <w:rPr>
        <w:rFonts w:ascii="Symbol" w:hAnsi="Symbol"/>
      </w:rPr>
    </w:lvl>
    <w:lvl w:ilvl="2" w:tplc="2EBC5284">
      <w:start w:val="1"/>
      <w:numFmt w:val="bullet"/>
      <w:lvlText w:val=""/>
      <w:lvlJc w:val="left"/>
      <w:pPr>
        <w:ind w:left="1640" w:hanging="360"/>
      </w:pPr>
      <w:rPr>
        <w:rFonts w:ascii="Symbol" w:hAnsi="Symbol"/>
      </w:rPr>
    </w:lvl>
    <w:lvl w:ilvl="3" w:tplc="23B66C82">
      <w:start w:val="1"/>
      <w:numFmt w:val="bullet"/>
      <w:lvlText w:val=""/>
      <w:lvlJc w:val="left"/>
      <w:pPr>
        <w:ind w:left="1640" w:hanging="360"/>
      </w:pPr>
      <w:rPr>
        <w:rFonts w:ascii="Symbol" w:hAnsi="Symbol"/>
      </w:rPr>
    </w:lvl>
    <w:lvl w:ilvl="4" w:tplc="35FA316C">
      <w:start w:val="1"/>
      <w:numFmt w:val="bullet"/>
      <w:lvlText w:val=""/>
      <w:lvlJc w:val="left"/>
      <w:pPr>
        <w:ind w:left="1640" w:hanging="360"/>
      </w:pPr>
      <w:rPr>
        <w:rFonts w:ascii="Symbol" w:hAnsi="Symbol"/>
      </w:rPr>
    </w:lvl>
    <w:lvl w:ilvl="5" w:tplc="70C6DD7E">
      <w:start w:val="1"/>
      <w:numFmt w:val="bullet"/>
      <w:lvlText w:val=""/>
      <w:lvlJc w:val="left"/>
      <w:pPr>
        <w:ind w:left="1640" w:hanging="360"/>
      </w:pPr>
      <w:rPr>
        <w:rFonts w:ascii="Symbol" w:hAnsi="Symbol"/>
      </w:rPr>
    </w:lvl>
    <w:lvl w:ilvl="6" w:tplc="C196279E">
      <w:start w:val="1"/>
      <w:numFmt w:val="bullet"/>
      <w:lvlText w:val=""/>
      <w:lvlJc w:val="left"/>
      <w:pPr>
        <w:ind w:left="1640" w:hanging="360"/>
      </w:pPr>
      <w:rPr>
        <w:rFonts w:ascii="Symbol" w:hAnsi="Symbol"/>
      </w:rPr>
    </w:lvl>
    <w:lvl w:ilvl="7" w:tplc="476C51F6">
      <w:start w:val="1"/>
      <w:numFmt w:val="bullet"/>
      <w:lvlText w:val=""/>
      <w:lvlJc w:val="left"/>
      <w:pPr>
        <w:ind w:left="1640" w:hanging="360"/>
      </w:pPr>
      <w:rPr>
        <w:rFonts w:ascii="Symbol" w:hAnsi="Symbol"/>
      </w:rPr>
    </w:lvl>
    <w:lvl w:ilvl="8" w:tplc="B0C29F94">
      <w:start w:val="1"/>
      <w:numFmt w:val="bullet"/>
      <w:lvlText w:val=""/>
      <w:lvlJc w:val="left"/>
      <w:pPr>
        <w:ind w:left="1640" w:hanging="360"/>
      </w:pPr>
      <w:rPr>
        <w:rFonts w:ascii="Symbol" w:hAnsi="Symbol"/>
      </w:rPr>
    </w:lvl>
  </w:abstractNum>
  <w:abstractNum w:abstractNumId="33" w15:restartNumberingAfterBreak="0">
    <w:nsid w:val="69E95A54"/>
    <w:multiLevelType w:val="hybridMultilevel"/>
    <w:tmpl w:val="3C18EFB0"/>
    <w:lvl w:ilvl="0" w:tplc="D39CA214">
      <w:start w:val="1"/>
      <w:numFmt w:val="bullet"/>
      <w:lvlText w:val=""/>
      <w:lvlJc w:val="left"/>
      <w:pPr>
        <w:tabs>
          <w:tab w:val="num" w:pos="397"/>
        </w:tabs>
        <w:ind w:left="397" w:hanging="397"/>
      </w:pPr>
      <w:rPr>
        <w:rFonts w:ascii="Symbol" w:hAnsi="Symbol" w:hint="default"/>
      </w:rPr>
    </w:lvl>
    <w:lvl w:ilvl="1" w:tplc="5150DF7C" w:tentative="1">
      <w:start w:val="1"/>
      <w:numFmt w:val="bullet"/>
      <w:lvlText w:val="o"/>
      <w:lvlJc w:val="left"/>
      <w:pPr>
        <w:tabs>
          <w:tab w:val="num" w:pos="1440"/>
        </w:tabs>
        <w:ind w:left="1440" w:hanging="360"/>
      </w:pPr>
      <w:rPr>
        <w:rFonts w:ascii="Courier New" w:hAnsi="Courier New" w:cs="Courier New" w:hint="default"/>
      </w:rPr>
    </w:lvl>
    <w:lvl w:ilvl="2" w:tplc="3C62D388" w:tentative="1">
      <w:start w:val="1"/>
      <w:numFmt w:val="bullet"/>
      <w:lvlText w:val=""/>
      <w:lvlJc w:val="left"/>
      <w:pPr>
        <w:tabs>
          <w:tab w:val="num" w:pos="2160"/>
        </w:tabs>
        <w:ind w:left="2160" w:hanging="360"/>
      </w:pPr>
      <w:rPr>
        <w:rFonts w:ascii="Wingdings" w:hAnsi="Wingdings" w:hint="default"/>
      </w:rPr>
    </w:lvl>
    <w:lvl w:ilvl="3" w:tplc="994C7C40" w:tentative="1">
      <w:start w:val="1"/>
      <w:numFmt w:val="bullet"/>
      <w:lvlText w:val=""/>
      <w:lvlJc w:val="left"/>
      <w:pPr>
        <w:tabs>
          <w:tab w:val="num" w:pos="2880"/>
        </w:tabs>
        <w:ind w:left="2880" w:hanging="360"/>
      </w:pPr>
      <w:rPr>
        <w:rFonts w:ascii="Symbol" w:hAnsi="Symbol" w:hint="default"/>
      </w:rPr>
    </w:lvl>
    <w:lvl w:ilvl="4" w:tplc="0F34A5B0" w:tentative="1">
      <w:start w:val="1"/>
      <w:numFmt w:val="bullet"/>
      <w:lvlText w:val="o"/>
      <w:lvlJc w:val="left"/>
      <w:pPr>
        <w:tabs>
          <w:tab w:val="num" w:pos="3600"/>
        </w:tabs>
        <w:ind w:left="3600" w:hanging="360"/>
      </w:pPr>
      <w:rPr>
        <w:rFonts w:ascii="Courier New" w:hAnsi="Courier New" w:cs="Courier New" w:hint="default"/>
      </w:rPr>
    </w:lvl>
    <w:lvl w:ilvl="5" w:tplc="00922FE6" w:tentative="1">
      <w:start w:val="1"/>
      <w:numFmt w:val="bullet"/>
      <w:lvlText w:val=""/>
      <w:lvlJc w:val="left"/>
      <w:pPr>
        <w:tabs>
          <w:tab w:val="num" w:pos="4320"/>
        </w:tabs>
        <w:ind w:left="4320" w:hanging="360"/>
      </w:pPr>
      <w:rPr>
        <w:rFonts w:ascii="Wingdings" w:hAnsi="Wingdings" w:hint="default"/>
      </w:rPr>
    </w:lvl>
    <w:lvl w:ilvl="6" w:tplc="EE827FB8" w:tentative="1">
      <w:start w:val="1"/>
      <w:numFmt w:val="bullet"/>
      <w:lvlText w:val=""/>
      <w:lvlJc w:val="left"/>
      <w:pPr>
        <w:tabs>
          <w:tab w:val="num" w:pos="5040"/>
        </w:tabs>
        <w:ind w:left="5040" w:hanging="360"/>
      </w:pPr>
      <w:rPr>
        <w:rFonts w:ascii="Symbol" w:hAnsi="Symbol" w:hint="default"/>
      </w:rPr>
    </w:lvl>
    <w:lvl w:ilvl="7" w:tplc="20CEF1D8" w:tentative="1">
      <w:start w:val="1"/>
      <w:numFmt w:val="bullet"/>
      <w:lvlText w:val="o"/>
      <w:lvlJc w:val="left"/>
      <w:pPr>
        <w:tabs>
          <w:tab w:val="num" w:pos="5760"/>
        </w:tabs>
        <w:ind w:left="5760" w:hanging="360"/>
      </w:pPr>
      <w:rPr>
        <w:rFonts w:ascii="Courier New" w:hAnsi="Courier New" w:cs="Courier New" w:hint="default"/>
      </w:rPr>
    </w:lvl>
    <w:lvl w:ilvl="8" w:tplc="A0CAE9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74541AA0">
      <w:start w:val="1"/>
      <w:numFmt w:val="bullet"/>
      <w:lvlText w:val=""/>
      <w:lvlJc w:val="left"/>
      <w:pPr>
        <w:tabs>
          <w:tab w:val="num" w:pos="720"/>
        </w:tabs>
        <w:ind w:left="720" w:hanging="360"/>
      </w:pPr>
      <w:rPr>
        <w:rFonts w:ascii="Symbol" w:hAnsi="Symbol" w:hint="default"/>
      </w:rPr>
    </w:lvl>
    <w:lvl w:ilvl="1" w:tplc="DA3609EE" w:tentative="1">
      <w:start w:val="1"/>
      <w:numFmt w:val="bullet"/>
      <w:lvlText w:val="o"/>
      <w:lvlJc w:val="left"/>
      <w:pPr>
        <w:tabs>
          <w:tab w:val="num" w:pos="1440"/>
        </w:tabs>
        <w:ind w:left="1440" w:hanging="360"/>
      </w:pPr>
      <w:rPr>
        <w:rFonts w:ascii="Courier New" w:hAnsi="Courier New" w:cs="Courier New" w:hint="default"/>
      </w:rPr>
    </w:lvl>
    <w:lvl w:ilvl="2" w:tplc="3A60CC76" w:tentative="1">
      <w:start w:val="1"/>
      <w:numFmt w:val="bullet"/>
      <w:lvlText w:val=""/>
      <w:lvlJc w:val="left"/>
      <w:pPr>
        <w:tabs>
          <w:tab w:val="num" w:pos="2160"/>
        </w:tabs>
        <w:ind w:left="2160" w:hanging="360"/>
      </w:pPr>
      <w:rPr>
        <w:rFonts w:ascii="Wingdings" w:hAnsi="Wingdings" w:hint="default"/>
      </w:rPr>
    </w:lvl>
    <w:lvl w:ilvl="3" w:tplc="3EF4AAE8" w:tentative="1">
      <w:start w:val="1"/>
      <w:numFmt w:val="bullet"/>
      <w:lvlText w:val=""/>
      <w:lvlJc w:val="left"/>
      <w:pPr>
        <w:tabs>
          <w:tab w:val="num" w:pos="2880"/>
        </w:tabs>
        <w:ind w:left="2880" w:hanging="360"/>
      </w:pPr>
      <w:rPr>
        <w:rFonts w:ascii="Symbol" w:hAnsi="Symbol" w:hint="default"/>
      </w:rPr>
    </w:lvl>
    <w:lvl w:ilvl="4" w:tplc="1844451C" w:tentative="1">
      <w:start w:val="1"/>
      <w:numFmt w:val="bullet"/>
      <w:lvlText w:val="o"/>
      <w:lvlJc w:val="left"/>
      <w:pPr>
        <w:tabs>
          <w:tab w:val="num" w:pos="3600"/>
        </w:tabs>
        <w:ind w:left="3600" w:hanging="360"/>
      </w:pPr>
      <w:rPr>
        <w:rFonts w:ascii="Courier New" w:hAnsi="Courier New" w:cs="Courier New" w:hint="default"/>
      </w:rPr>
    </w:lvl>
    <w:lvl w:ilvl="5" w:tplc="B832C720" w:tentative="1">
      <w:start w:val="1"/>
      <w:numFmt w:val="bullet"/>
      <w:lvlText w:val=""/>
      <w:lvlJc w:val="left"/>
      <w:pPr>
        <w:tabs>
          <w:tab w:val="num" w:pos="4320"/>
        </w:tabs>
        <w:ind w:left="4320" w:hanging="360"/>
      </w:pPr>
      <w:rPr>
        <w:rFonts w:ascii="Wingdings" w:hAnsi="Wingdings" w:hint="default"/>
      </w:rPr>
    </w:lvl>
    <w:lvl w:ilvl="6" w:tplc="B60211A8" w:tentative="1">
      <w:start w:val="1"/>
      <w:numFmt w:val="bullet"/>
      <w:lvlText w:val=""/>
      <w:lvlJc w:val="left"/>
      <w:pPr>
        <w:tabs>
          <w:tab w:val="num" w:pos="5040"/>
        </w:tabs>
        <w:ind w:left="5040" w:hanging="360"/>
      </w:pPr>
      <w:rPr>
        <w:rFonts w:ascii="Symbol" w:hAnsi="Symbol" w:hint="default"/>
      </w:rPr>
    </w:lvl>
    <w:lvl w:ilvl="7" w:tplc="BB3A44F4" w:tentative="1">
      <w:start w:val="1"/>
      <w:numFmt w:val="bullet"/>
      <w:lvlText w:val="o"/>
      <w:lvlJc w:val="left"/>
      <w:pPr>
        <w:tabs>
          <w:tab w:val="num" w:pos="5760"/>
        </w:tabs>
        <w:ind w:left="5760" w:hanging="360"/>
      </w:pPr>
      <w:rPr>
        <w:rFonts w:ascii="Courier New" w:hAnsi="Courier New" w:cs="Courier New" w:hint="default"/>
      </w:rPr>
    </w:lvl>
    <w:lvl w:ilvl="8" w:tplc="9044FB1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697EA2CC">
      <w:start w:val="1"/>
      <w:numFmt w:val="decimal"/>
      <w:lvlText w:val="%1)"/>
      <w:lvlJc w:val="left"/>
      <w:pPr>
        <w:ind w:left="720" w:hanging="360"/>
      </w:pPr>
      <w:rPr>
        <w:rFonts w:hint="default"/>
      </w:rPr>
    </w:lvl>
    <w:lvl w:ilvl="1" w:tplc="D672847A" w:tentative="1">
      <w:start w:val="1"/>
      <w:numFmt w:val="lowerLetter"/>
      <w:lvlText w:val="%2."/>
      <w:lvlJc w:val="left"/>
      <w:pPr>
        <w:ind w:left="1440" w:hanging="360"/>
      </w:pPr>
    </w:lvl>
    <w:lvl w:ilvl="2" w:tplc="BC9C1C9C" w:tentative="1">
      <w:start w:val="1"/>
      <w:numFmt w:val="lowerRoman"/>
      <w:lvlText w:val="%3."/>
      <w:lvlJc w:val="right"/>
      <w:pPr>
        <w:ind w:left="2160" w:hanging="180"/>
      </w:pPr>
    </w:lvl>
    <w:lvl w:ilvl="3" w:tplc="1046B950" w:tentative="1">
      <w:start w:val="1"/>
      <w:numFmt w:val="decimal"/>
      <w:lvlText w:val="%4."/>
      <w:lvlJc w:val="left"/>
      <w:pPr>
        <w:ind w:left="2880" w:hanging="360"/>
      </w:pPr>
    </w:lvl>
    <w:lvl w:ilvl="4" w:tplc="B7222640" w:tentative="1">
      <w:start w:val="1"/>
      <w:numFmt w:val="lowerLetter"/>
      <w:lvlText w:val="%5."/>
      <w:lvlJc w:val="left"/>
      <w:pPr>
        <w:ind w:left="3600" w:hanging="360"/>
      </w:pPr>
    </w:lvl>
    <w:lvl w:ilvl="5" w:tplc="BB288F08" w:tentative="1">
      <w:start w:val="1"/>
      <w:numFmt w:val="lowerRoman"/>
      <w:lvlText w:val="%6."/>
      <w:lvlJc w:val="right"/>
      <w:pPr>
        <w:ind w:left="4320" w:hanging="180"/>
      </w:pPr>
    </w:lvl>
    <w:lvl w:ilvl="6" w:tplc="8F66B160" w:tentative="1">
      <w:start w:val="1"/>
      <w:numFmt w:val="decimal"/>
      <w:lvlText w:val="%7."/>
      <w:lvlJc w:val="left"/>
      <w:pPr>
        <w:ind w:left="5040" w:hanging="360"/>
      </w:pPr>
    </w:lvl>
    <w:lvl w:ilvl="7" w:tplc="4D0AF4F2" w:tentative="1">
      <w:start w:val="1"/>
      <w:numFmt w:val="lowerLetter"/>
      <w:lvlText w:val="%8."/>
      <w:lvlJc w:val="left"/>
      <w:pPr>
        <w:ind w:left="5760" w:hanging="360"/>
      </w:pPr>
    </w:lvl>
    <w:lvl w:ilvl="8" w:tplc="7A50DCBE" w:tentative="1">
      <w:start w:val="1"/>
      <w:numFmt w:val="lowerRoman"/>
      <w:lvlText w:val="%9."/>
      <w:lvlJc w:val="right"/>
      <w:pPr>
        <w:ind w:left="6480" w:hanging="180"/>
      </w:pPr>
    </w:lvl>
  </w:abstractNum>
  <w:abstractNum w:abstractNumId="38"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6E90857"/>
    <w:multiLevelType w:val="hybridMultilevel"/>
    <w:tmpl w:val="CA86F0B8"/>
    <w:lvl w:ilvl="0" w:tplc="3CB20A98">
      <w:numFmt w:val="bullet"/>
      <w:lvlText w:val=""/>
      <w:lvlJc w:val="left"/>
      <w:pPr>
        <w:ind w:left="720" w:hanging="360"/>
      </w:pPr>
      <w:rPr>
        <w:rFonts w:ascii="Symbol" w:eastAsia="Times New Roman" w:hAnsi="Symbol" w:cs="Times New Roman" w:hint="default"/>
      </w:rPr>
    </w:lvl>
    <w:lvl w:ilvl="1" w:tplc="BFFEEEB6" w:tentative="1">
      <w:start w:val="1"/>
      <w:numFmt w:val="bullet"/>
      <w:lvlText w:val="o"/>
      <w:lvlJc w:val="left"/>
      <w:pPr>
        <w:ind w:left="1440" w:hanging="360"/>
      </w:pPr>
      <w:rPr>
        <w:rFonts w:ascii="Courier New" w:hAnsi="Courier New" w:cs="Courier New" w:hint="default"/>
      </w:rPr>
    </w:lvl>
    <w:lvl w:ilvl="2" w:tplc="60BC926E" w:tentative="1">
      <w:start w:val="1"/>
      <w:numFmt w:val="bullet"/>
      <w:lvlText w:val=""/>
      <w:lvlJc w:val="left"/>
      <w:pPr>
        <w:ind w:left="2160" w:hanging="360"/>
      </w:pPr>
      <w:rPr>
        <w:rFonts w:ascii="Wingdings" w:hAnsi="Wingdings" w:hint="default"/>
      </w:rPr>
    </w:lvl>
    <w:lvl w:ilvl="3" w:tplc="12FC9B8A" w:tentative="1">
      <w:start w:val="1"/>
      <w:numFmt w:val="bullet"/>
      <w:lvlText w:val=""/>
      <w:lvlJc w:val="left"/>
      <w:pPr>
        <w:ind w:left="2880" w:hanging="360"/>
      </w:pPr>
      <w:rPr>
        <w:rFonts w:ascii="Symbol" w:hAnsi="Symbol" w:hint="default"/>
      </w:rPr>
    </w:lvl>
    <w:lvl w:ilvl="4" w:tplc="81FAE9A4" w:tentative="1">
      <w:start w:val="1"/>
      <w:numFmt w:val="bullet"/>
      <w:lvlText w:val="o"/>
      <w:lvlJc w:val="left"/>
      <w:pPr>
        <w:ind w:left="3600" w:hanging="360"/>
      </w:pPr>
      <w:rPr>
        <w:rFonts w:ascii="Courier New" w:hAnsi="Courier New" w:cs="Courier New" w:hint="default"/>
      </w:rPr>
    </w:lvl>
    <w:lvl w:ilvl="5" w:tplc="D0B2FA08" w:tentative="1">
      <w:start w:val="1"/>
      <w:numFmt w:val="bullet"/>
      <w:lvlText w:val=""/>
      <w:lvlJc w:val="left"/>
      <w:pPr>
        <w:ind w:left="4320" w:hanging="360"/>
      </w:pPr>
      <w:rPr>
        <w:rFonts w:ascii="Wingdings" w:hAnsi="Wingdings" w:hint="default"/>
      </w:rPr>
    </w:lvl>
    <w:lvl w:ilvl="6" w:tplc="8FFC2B6E" w:tentative="1">
      <w:start w:val="1"/>
      <w:numFmt w:val="bullet"/>
      <w:lvlText w:val=""/>
      <w:lvlJc w:val="left"/>
      <w:pPr>
        <w:ind w:left="5040" w:hanging="360"/>
      </w:pPr>
      <w:rPr>
        <w:rFonts w:ascii="Symbol" w:hAnsi="Symbol" w:hint="default"/>
      </w:rPr>
    </w:lvl>
    <w:lvl w:ilvl="7" w:tplc="5E7E7486" w:tentative="1">
      <w:start w:val="1"/>
      <w:numFmt w:val="bullet"/>
      <w:lvlText w:val="o"/>
      <w:lvlJc w:val="left"/>
      <w:pPr>
        <w:ind w:left="5760" w:hanging="360"/>
      </w:pPr>
      <w:rPr>
        <w:rFonts w:ascii="Courier New" w:hAnsi="Courier New" w:cs="Courier New" w:hint="default"/>
      </w:rPr>
    </w:lvl>
    <w:lvl w:ilvl="8" w:tplc="96DE289C" w:tentative="1">
      <w:start w:val="1"/>
      <w:numFmt w:val="bullet"/>
      <w:lvlText w:val=""/>
      <w:lvlJc w:val="left"/>
      <w:pPr>
        <w:ind w:left="6480" w:hanging="360"/>
      </w:pPr>
      <w:rPr>
        <w:rFonts w:ascii="Wingdings" w:hAnsi="Wingdings" w:hint="default"/>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C10D23"/>
    <w:multiLevelType w:val="hybridMultilevel"/>
    <w:tmpl w:val="2F86728A"/>
    <w:lvl w:ilvl="0" w:tplc="3008F5C2">
      <w:start w:val="1"/>
      <w:numFmt w:val="bullet"/>
      <w:lvlText w:val=""/>
      <w:lvlJc w:val="left"/>
      <w:pPr>
        <w:ind w:left="1854" w:hanging="360"/>
      </w:pPr>
      <w:rPr>
        <w:rFonts w:ascii="Symbol" w:hAnsi="Symbol" w:hint="default"/>
      </w:rPr>
    </w:lvl>
    <w:lvl w:ilvl="1" w:tplc="9EC2FDE2">
      <w:start w:val="1"/>
      <w:numFmt w:val="bullet"/>
      <w:lvlText w:val="o"/>
      <w:lvlJc w:val="left"/>
      <w:pPr>
        <w:ind w:left="2574" w:hanging="360"/>
      </w:pPr>
      <w:rPr>
        <w:rFonts w:ascii="Courier New" w:hAnsi="Courier New" w:cs="Courier New" w:hint="default"/>
      </w:rPr>
    </w:lvl>
    <w:lvl w:ilvl="2" w:tplc="9110A598">
      <w:start w:val="1"/>
      <w:numFmt w:val="bullet"/>
      <w:lvlText w:val=""/>
      <w:lvlJc w:val="left"/>
      <w:pPr>
        <w:ind w:left="3294" w:hanging="360"/>
      </w:pPr>
      <w:rPr>
        <w:rFonts w:ascii="Wingdings" w:hAnsi="Wingdings" w:hint="default"/>
      </w:rPr>
    </w:lvl>
    <w:lvl w:ilvl="3" w:tplc="5ECC1C40">
      <w:start w:val="1"/>
      <w:numFmt w:val="bullet"/>
      <w:lvlText w:val=""/>
      <w:lvlJc w:val="left"/>
      <w:pPr>
        <w:ind w:left="4014" w:hanging="360"/>
      </w:pPr>
      <w:rPr>
        <w:rFonts w:ascii="Symbol" w:hAnsi="Symbol" w:hint="default"/>
      </w:rPr>
    </w:lvl>
    <w:lvl w:ilvl="4" w:tplc="49B6623C">
      <w:start w:val="1"/>
      <w:numFmt w:val="bullet"/>
      <w:lvlText w:val="o"/>
      <w:lvlJc w:val="left"/>
      <w:pPr>
        <w:ind w:left="4734" w:hanging="360"/>
      </w:pPr>
      <w:rPr>
        <w:rFonts w:ascii="Courier New" w:hAnsi="Courier New" w:cs="Courier New" w:hint="default"/>
      </w:rPr>
    </w:lvl>
    <w:lvl w:ilvl="5" w:tplc="2B4EB398">
      <w:start w:val="1"/>
      <w:numFmt w:val="bullet"/>
      <w:lvlText w:val=""/>
      <w:lvlJc w:val="left"/>
      <w:pPr>
        <w:ind w:left="5454" w:hanging="360"/>
      </w:pPr>
      <w:rPr>
        <w:rFonts w:ascii="Wingdings" w:hAnsi="Wingdings" w:hint="default"/>
      </w:rPr>
    </w:lvl>
    <w:lvl w:ilvl="6" w:tplc="86B2CA44">
      <w:start w:val="1"/>
      <w:numFmt w:val="bullet"/>
      <w:lvlText w:val=""/>
      <w:lvlJc w:val="left"/>
      <w:pPr>
        <w:ind w:left="6174" w:hanging="360"/>
      </w:pPr>
      <w:rPr>
        <w:rFonts w:ascii="Symbol" w:hAnsi="Symbol" w:hint="default"/>
      </w:rPr>
    </w:lvl>
    <w:lvl w:ilvl="7" w:tplc="51B2AC6C">
      <w:start w:val="1"/>
      <w:numFmt w:val="bullet"/>
      <w:lvlText w:val="o"/>
      <w:lvlJc w:val="left"/>
      <w:pPr>
        <w:ind w:left="6894" w:hanging="360"/>
      </w:pPr>
      <w:rPr>
        <w:rFonts w:ascii="Courier New" w:hAnsi="Courier New" w:cs="Courier New" w:hint="default"/>
      </w:rPr>
    </w:lvl>
    <w:lvl w:ilvl="8" w:tplc="4244A426">
      <w:start w:val="1"/>
      <w:numFmt w:val="bullet"/>
      <w:lvlText w:val=""/>
      <w:lvlJc w:val="left"/>
      <w:pPr>
        <w:ind w:left="7614" w:hanging="360"/>
      </w:pPr>
      <w:rPr>
        <w:rFonts w:ascii="Wingdings" w:hAnsi="Wingdings" w:hint="default"/>
      </w:rPr>
    </w:lvl>
  </w:abstractNum>
  <w:num w:numId="1">
    <w:abstractNumId w:val="4"/>
  </w:num>
  <w:num w:numId="2">
    <w:abstractNumId w:val="3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1"/>
  </w:num>
  <w:num w:numId="6">
    <w:abstractNumId w:val="28"/>
  </w:num>
  <w:num w:numId="7">
    <w:abstractNumId w:val="12"/>
  </w:num>
  <w:num w:numId="8">
    <w:abstractNumId w:val="18"/>
  </w:num>
  <w:num w:numId="9">
    <w:abstractNumId w:val="37"/>
  </w:num>
  <w:num w:numId="10">
    <w:abstractNumId w:val="1"/>
  </w:num>
  <w:num w:numId="11">
    <w:abstractNumId w:val="34"/>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2"/>
  </w:num>
  <w:num w:numId="18">
    <w:abstractNumId w:val="26"/>
  </w:num>
  <w:num w:numId="19">
    <w:abstractNumId w:val="40"/>
  </w:num>
  <w:num w:numId="20">
    <w:abstractNumId w:val="29"/>
  </w:num>
  <w:num w:numId="21">
    <w:abstractNumId w:val="36"/>
  </w:num>
  <w:num w:numId="22">
    <w:abstractNumId w:val="33"/>
  </w:num>
  <w:num w:numId="23">
    <w:abstractNumId w:val="11"/>
  </w:num>
  <w:num w:numId="24">
    <w:abstractNumId w:val="36"/>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1"/>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9"/>
  </w:num>
  <w:num w:numId="43">
    <w:abstractNumId w:val="32"/>
  </w:num>
  <w:num w:numId="44">
    <w:abstractNumId w:val="38"/>
  </w:num>
  <w:num w:numId="45">
    <w:abstractNumId w:val="21"/>
  </w:num>
  <w:num w:numId="46">
    <w:abstractNumId w:val="2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pl-PL"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pl-PL"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fr-FR" w:vendorID="64" w:dllVersion="4096" w:nlCheck="1" w:checkStyle="0"/>
  <w:activeWritingStyle w:appName="MSWord" w:lang="nb-NO"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419E21-0834-474A-9702-26CE5A5B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Wzmianka1">
    <w:name w:val="Wzmianka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Nierozpoznanawzmianka1">
    <w:name w:val="Nierozpoznana wzmianka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paragraph" w:customStyle="1" w:styleId="TitleA">
    <w:name w:val="Title A"/>
    <w:basedOn w:val="Normal"/>
    <w:link w:val="TitleAChar"/>
    <w:qFormat/>
    <w:pPr>
      <w:spacing w:line="240" w:lineRule="auto"/>
      <w:jc w:val="center"/>
      <w:outlineLvl w:val="0"/>
    </w:pPr>
    <w:rPr>
      <w:b/>
      <w:bCs/>
      <w:szCs w:val="22"/>
      <w:lang w:val="pl-PL"/>
    </w:rPr>
  </w:style>
  <w:style w:type="paragraph" w:customStyle="1" w:styleId="TitleB">
    <w:name w:val="Title B"/>
    <w:basedOn w:val="Normal"/>
    <w:link w:val="TitleBChar"/>
    <w:qFormat/>
    <w:pPr>
      <w:spacing w:line="240" w:lineRule="auto"/>
      <w:ind w:left="567" w:hanging="567"/>
      <w:outlineLvl w:val="0"/>
    </w:pPr>
    <w:rPr>
      <w:b/>
      <w:bCs/>
      <w:szCs w:val="22"/>
      <w:lang w:val="pl-PL"/>
    </w:rPr>
  </w:style>
  <w:style w:type="character" w:customStyle="1" w:styleId="TitleAChar">
    <w:name w:val="Title A Char"/>
    <w:basedOn w:val="DefaultParagraphFont"/>
    <w:link w:val="TitleA"/>
    <w:rPr>
      <w:rFonts w:eastAsia="Times New Roman"/>
      <w:b/>
      <w:bCs/>
      <w:sz w:val="22"/>
      <w:szCs w:val="22"/>
      <w:lang w:val="pl-PL" w:eastAsia="en-US"/>
    </w:rPr>
  </w:style>
  <w:style w:type="character" w:customStyle="1" w:styleId="TitleBChar">
    <w:name w:val="Title B Char"/>
    <w:basedOn w:val="DefaultParagraphFont"/>
    <w:link w:val="TitleB"/>
    <w:rPr>
      <w:rFonts w:eastAsia="Times New Roman"/>
      <w:b/>
      <w:bCs/>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169">
      <w:bodyDiv w:val="1"/>
      <w:marLeft w:val="0"/>
      <w:marRight w:val="0"/>
      <w:marTop w:val="0"/>
      <w:marBottom w:val="0"/>
      <w:divBdr>
        <w:top w:val="none" w:sz="0" w:space="0" w:color="auto"/>
        <w:left w:val="none" w:sz="0" w:space="0" w:color="auto"/>
        <w:bottom w:val="none" w:sz="0" w:space="0" w:color="auto"/>
        <w:right w:val="none" w:sz="0" w:space="0" w:color="auto"/>
      </w:divBdr>
    </w:div>
    <w:div w:id="172304151">
      <w:bodyDiv w:val="1"/>
      <w:marLeft w:val="0"/>
      <w:marRight w:val="0"/>
      <w:marTop w:val="0"/>
      <w:marBottom w:val="0"/>
      <w:divBdr>
        <w:top w:val="none" w:sz="0" w:space="0" w:color="auto"/>
        <w:left w:val="none" w:sz="0" w:space="0" w:color="auto"/>
        <w:bottom w:val="none" w:sz="0" w:space="0" w:color="auto"/>
        <w:right w:val="none" w:sz="0" w:space="0" w:color="auto"/>
      </w:divBdr>
    </w:div>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08691021">
      <w:bodyDiv w:val="1"/>
      <w:marLeft w:val="0"/>
      <w:marRight w:val="0"/>
      <w:marTop w:val="0"/>
      <w:marBottom w:val="0"/>
      <w:divBdr>
        <w:top w:val="none" w:sz="0" w:space="0" w:color="auto"/>
        <w:left w:val="none" w:sz="0" w:space="0" w:color="auto"/>
        <w:bottom w:val="none" w:sz="0" w:space="0" w:color="auto"/>
        <w:right w:val="none" w:sz="0" w:space="0" w:color="auto"/>
      </w:divBdr>
    </w:div>
    <w:div w:id="353532726">
      <w:bodyDiv w:val="1"/>
      <w:marLeft w:val="0"/>
      <w:marRight w:val="0"/>
      <w:marTop w:val="0"/>
      <w:marBottom w:val="0"/>
      <w:divBdr>
        <w:top w:val="none" w:sz="0" w:space="0" w:color="auto"/>
        <w:left w:val="none" w:sz="0" w:space="0" w:color="auto"/>
        <w:bottom w:val="none" w:sz="0" w:space="0" w:color="auto"/>
        <w:right w:val="none" w:sz="0" w:space="0" w:color="auto"/>
      </w:divBdr>
    </w:div>
    <w:div w:id="438645815">
      <w:bodyDiv w:val="1"/>
      <w:marLeft w:val="0"/>
      <w:marRight w:val="0"/>
      <w:marTop w:val="0"/>
      <w:marBottom w:val="0"/>
      <w:divBdr>
        <w:top w:val="none" w:sz="0" w:space="0" w:color="auto"/>
        <w:left w:val="none" w:sz="0" w:space="0" w:color="auto"/>
        <w:bottom w:val="none" w:sz="0" w:space="0" w:color="auto"/>
        <w:right w:val="none" w:sz="0" w:space="0" w:color="auto"/>
      </w:divBdr>
    </w:div>
    <w:div w:id="483817670">
      <w:bodyDiv w:val="1"/>
      <w:marLeft w:val="0"/>
      <w:marRight w:val="0"/>
      <w:marTop w:val="0"/>
      <w:marBottom w:val="0"/>
      <w:divBdr>
        <w:top w:val="none" w:sz="0" w:space="0" w:color="auto"/>
        <w:left w:val="none" w:sz="0" w:space="0" w:color="auto"/>
        <w:bottom w:val="none" w:sz="0" w:space="0" w:color="auto"/>
        <w:right w:val="none" w:sz="0" w:space="0" w:color="auto"/>
      </w:divBdr>
    </w:div>
    <w:div w:id="498496488">
      <w:bodyDiv w:val="1"/>
      <w:marLeft w:val="0"/>
      <w:marRight w:val="0"/>
      <w:marTop w:val="0"/>
      <w:marBottom w:val="0"/>
      <w:divBdr>
        <w:top w:val="none" w:sz="0" w:space="0" w:color="auto"/>
        <w:left w:val="none" w:sz="0" w:space="0" w:color="auto"/>
        <w:bottom w:val="none" w:sz="0" w:space="0" w:color="auto"/>
        <w:right w:val="none" w:sz="0" w:space="0" w:color="auto"/>
      </w:divBdr>
    </w:div>
    <w:div w:id="508448045">
      <w:bodyDiv w:val="1"/>
      <w:marLeft w:val="0"/>
      <w:marRight w:val="0"/>
      <w:marTop w:val="0"/>
      <w:marBottom w:val="0"/>
      <w:divBdr>
        <w:top w:val="none" w:sz="0" w:space="0" w:color="auto"/>
        <w:left w:val="none" w:sz="0" w:space="0" w:color="auto"/>
        <w:bottom w:val="none" w:sz="0" w:space="0" w:color="auto"/>
        <w:right w:val="none" w:sz="0" w:space="0" w:color="auto"/>
      </w:divBdr>
    </w:div>
    <w:div w:id="524946075">
      <w:bodyDiv w:val="1"/>
      <w:marLeft w:val="0"/>
      <w:marRight w:val="0"/>
      <w:marTop w:val="0"/>
      <w:marBottom w:val="0"/>
      <w:divBdr>
        <w:top w:val="none" w:sz="0" w:space="0" w:color="auto"/>
        <w:left w:val="none" w:sz="0" w:space="0" w:color="auto"/>
        <w:bottom w:val="none" w:sz="0" w:space="0" w:color="auto"/>
        <w:right w:val="none" w:sz="0" w:space="0" w:color="auto"/>
      </w:divBdr>
    </w:div>
    <w:div w:id="601449916">
      <w:bodyDiv w:val="1"/>
      <w:marLeft w:val="0"/>
      <w:marRight w:val="0"/>
      <w:marTop w:val="0"/>
      <w:marBottom w:val="0"/>
      <w:divBdr>
        <w:top w:val="none" w:sz="0" w:space="0" w:color="auto"/>
        <w:left w:val="none" w:sz="0" w:space="0" w:color="auto"/>
        <w:bottom w:val="none" w:sz="0" w:space="0" w:color="auto"/>
        <w:right w:val="none" w:sz="0" w:space="0" w:color="auto"/>
      </w:divBdr>
    </w:div>
    <w:div w:id="678654180">
      <w:bodyDiv w:val="1"/>
      <w:marLeft w:val="0"/>
      <w:marRight w:val="0"/>
      <w:marTop w:val="0"/>
      <w:marBottom w:val="0"/>
      <w:divBdr>
        <w:top w:val="none" w:sz="0" w:space="0" w:color="auto"/>
        <w:left w:val="none" w:sz="0" w:space="0" w:color="auto"/>
        <w:bottom w:val="none" w:sz="0" w:space="0" w:color="auto"/>
        <w:right w:val="none" w:sz="0" w:space="0" w:color="auto"/>
      </w:divBdr>
    </w:div>
    <w:div w:id="689378275">
      <w:bodyDiv w:val="1"/>
      <w:marLeft w:val="0"/>
      <w:marRight w:val="0"/>
      <w:marTop w:val="0"/>
      <w:marBottom w:val="0"/>
      <w:divBdr>
        <w:top w:val="none" w:sz="0" w:space="0" w:color="auto"/>
        <w:left w:val="none" w:sz="0" w:space="0" w:color="auto"/>
        <w:bottom w:val="none" w:sz="0" w:space="0" w:color="auto"/>
        <w:right w:val="none" w:sz="0" w:space="0" w:color="auto"/>
      </w:divBdr>
    </w:div>
    <w:div w:id="705063645">
      <w:bodyDiv w:val="1"/>
      <w:marLeft w:val="0"/>
      <w:marRight w:val="0"/>
      <w:marTop w:val="0"/>
      <w:marBottom w:val="0"/>
      <w:divBdr>
        <w:top w:val="none" w:sz="0" w:space="0" w:color="auto"/>
        <w:left w:val="none" w:sz="0" w:space="0" w:color="auto"/>
        <w:bottom w:val="none" w:sz="0" w:space="0" w:color="auto"/>
        <w:right w:val="none" w:sz="0" w:space="0" w:color="auto"/>
      </w:divBdr>
    </w:div>
    <w:div w:id="714743655">
      <w:bodyDiv w:val="1"/>
      <w:marLeft w:val="0"/>
      <w:marRight w:val="0"/>
      <w:marTop w:val="0"/>
      <w:marBottom w:val="0"/>
      <w:divBdr>
        <w:top w:val="none" w:sz="0" w:space="0" w:color="auto"/>
        <w:left w:val="none" w:sz="0" w:space="0" w:color="auto"/>
        <w:bottom w:val="none" w:sz="0" w:space="0" w:color="auto"/>
        <w:right w:val="none" w:sz="0" w:space="0" w:color="auto"/>
      </w:divBdr>
    </w:div>
    <w:div w:id="730614695">
      <w:bodyDiv w:val="1"/>
      <w:marLeft w:val="0"/>
      <w:marRight w:val="0"/>
      <w:marTop w:val="0"/>
      <w:marBottom w:val="0"/>
      <w:divBdr>
        <w:top w:val="none" w:sz="0" w:space="0" w:color="auto"/>
        <w:left w:val="none" w:sz="0" w:space="0" w:color="auto"/>
        <w:bottom w:val="none" w:sz="0" w:space="0" w:color="auto"/>
        <w:right w:val="none" w:sz="0" w:space="0" w:color="auto"/>
      </w:divBdr>
    </w:div>
    <w:div w:id="1065495651">
      <w:bodyDiv w:val="1"/>
      <w:marLeft w:val="0"/>
      <w:marRight w:val="0"/>
      <w:marTop w:val="0"/>
      <w:marBottom w:val="0"/>
      <w:divBdr>
        <w:top w:val="none" w:sz="0" w:space="0" w:color="auto"/>
        <w:left w:val="none" w:sz="0" w:space="0" w:color="auto"/>
        <w:bottom w:val="none" w:sz="0" w:space="0" w:color="auto"/>
        <w:right w:val="none" w:sz="0" w:space="0" w:color="auto"/>
      </w:divBdr>
    </w:div>
    <w:div w:id="1070662027">
      <w:bodyDiv w:val="1"/>
      <w:marLeft w:val="0"/>
      <w:marRight w:val="0"/>
      <w:marTop w:val="0"/>
      <w:marBottom w:val="0"/>
      <w:divBdr>
        <w:top w:val="none" w:sz="0" w:space="0" w:color="auto"/>
        <w:left w:val="none" w:sz="0" w:space="0" w:color="auto"/>
        <w:bottom w:val="none" w:sz="0" w:space="0" w:color="auto"/>
        <w:right w:val="none" w:sz="0" w:space="0" w:color="auto"/>
      </w:divBdr>
    </w:div>
    <w:div w:id="1088309399">
      <w:bodyDiv w:val="1"/>
      <w:marLeft w:val="0"/>
      <w:marRight w:val="0"/>
      <w:marTop w:val="0"/>
      <w:marBottom w:val="0"/>
      <w:divBdr>
        <w:top w:val="none" w:sz="0" w:space="0" w:color="auto"/>
        <w:left w:val="none" w:sz="0" w:space="0" w:color="auto"/>
        <w:bottom w:val="none" w:sz="0" w:space="0" w:color="auto"/>
        <w:right w:val="none" w:sz="0" w:space="0" w:color="auto"/>
      </w:divBdr>
    </w:div>
    <w:div w:id="1115099810">
      <w:bodyDiv w:val="1"/>
      <w:marLeft w:val="0"/>
      <w:marRight w:val="0"/>
      <w:marTop w:val="0"/>
      <w:marBottom w:val="0"/>
      <w:divBdr>
        <w:top w:val="none" w:sz="0" w:space="0" w:color="auto"/>
        <w:left w:val="none" w:sz="0" w:space="0" w:color="auto"/>
        <w:bottom w:val="none" w:sz="0" w:space="0" w:color="auto"/>
        <w:right w:val="none" w:sz="0" w:space="0" w:color="auto"/>
      </w:divBdr>
    </w:div>
    <w:div w:id="1283263833">
      <w:bodyDiv w:val="1"/>
      <w:marLeft w:val="0"/>
      <w:marRight w:val="0"/>
      <w:marTop w:val="0"/>
      <w:marBottom w:val="0"/>
      <w:divBdr>
        <w:top w:val="none" w:sz="0" w:space="0" w:color="auto"/>
        <w:left w:val="none" w:sz="0" w:space="0" w:color="auto"/>
        <w:bottom w:val="none" w:sz="0" w:space="0" w:color="auto"/>
        <w:right w:val="none" w:sz="0" w:space="0" w:color="auto"/>
      </w:divBdr>
    </w:div>
    <w:div w:id="1309165633">
      <w:bodyDiv w:val="1"/>
      <w:marLeft w:val="0"/>
      <w:marRight w:val="0"/>
      <w:marTop w:val="0"/>
      <w:marBottom w:val="0"/>
      <w:divBdr>
        <w:top w:val="none" w:sz="0" w:space="0" w:color="auto"/>
        <w:left w:val="none" w:sz="0" w:space="0" w:color="auto"/>
        <w:bottom w:val="none" w:sz="0" w:space="0" w:color="auto"/>
        <w:right w:val="none" w:sz="0" w:space="0" w:color="auto"/>
      </w:divBdr>
    </w:div>
    <w:div w:id="1381250067">
      <w:bodyDiv w:val="1"/>
      <w:marLeft w:val="0"/>
      <w:marRight w:val="0"/>
      <w:marTop w:val="0"/>
      <w:marBottom w:val="0"/>
      <w:divBdr>
        <w:top w:val="none" w:sz="0" w:space="0" w:color="auto"/>
        <w:left w:val="none" w:sz="0" w:space="0" w:color="auto"/>
        <w:bottom w:val="none" w:sz="0" w:space="0" w:color="auto"/>
        <w:right w:val="none" w:sz="0" w:space="0" w:color="auto"/>
      </w:divBdr>
    </w:div>
    <w:div w:id="1510874720">
      <w:bodyDiv w:val="1"/>
      <w:marLeft w:val="0"/>
      <w:marRight w:val="0"/>
      <w:marTop w:val="0"/>
      <w:marBottom w:val="0"/>
      <w:divBdr>
        <w:top w:val="none" w:sz="0" w:space="0" w:color="auto"/>
        <w:left w:val="none" w:sz="0" w:space="0" w:color="auto"/>
        <w:bottom w:val="none" w:sz="0" w:space="0" w:color="auto"/>
        <w:right w:val="none" w:sz="0" w:space="0" w:color="auto"/>
      </w:divBdr>
    </w:div>
    <w:div w:id="1619800491">
      <w:bodyDiv w:val="1"/>
      <w:marLeft w:val="0"/>
      <w:marRight w:val="0"/>
      <w:marTop w:val="0"/>
      <w:marBottom w:val="0"/>
      <w:divBdr>
        <w:top w:val="none" w:sz="0" w:space="0" w:color="auto"/>
        <w:left w:val="none" w:sz="0" w:space="0" w:color="auto"/>
        <w:bottom w:val="none" w:sz="0" w:space="0" w:color="auto"/>
        <w:right w:val="none" w:sz="0" w:space="0" w:color="auto"/>
      </w:divBdr>
    </w:div>
    <w:div w:id="1701859431">
      <w:bodyDiv w:val="1"/>
      <w:marLeft w:val="0"/>
      <w:marRight w:val="0"/>
      <w:marTop w:val="0"/>
      <w:marBottom w:val="0"/>
      <w:divBdr>
        <w:top w:val="none" w:sz="0" w:space="0" w:color="auto"/>
        <w:left w:val="none" w:sz="0" w:space="0" w:color="auto"/>
        <w:bottom w:val="none" w:sz="0" w:space="0" w:color="auto"/>
        <w:right w:val="none" w:sz="0" w:space="0" w:color="auto"/>
      </w:divBdr>
    </w:div>
    <w:div w:id="1711607438">
      <w:bodyDiv w:val="1"/>
      <w:marLeft w:val="0"/>
      <w:marRight w:val="0"/>
      <w:marTop w:val="0"/>
      <w:marBottom w:val="0"/>
      <w:divBdr>
        <w:top w:val="none" w:sz="0" w:space="0" w:color="auto"/>
        <w:left w:val="none" w:sz="0" w:space="0" w:color="auto"/>
        <w:bottom w:val="none" w:sz="0" w:space="0" w:color="auto"/>
        <w:right w:val="none" w:sz="0" w:space="0" w:color="auto"/>
      </w:divBdr>
    </w:div>
    <w:div w:id="1768579372">
      <w:bodyDiv w:val="1"/>
      <w:marLeft w:val="0"/>
      <w:marRight w:val="0"/>
      <w:marTop w:val="0"/>
      <w:marBottom w:val="0"/>
      <w:divBdr>
        <w:top w:val="none" w:sz="0" w:space="0" w:color="auto"/>
        <w:left w:val="none" w:sz="0" w:space="0" w:color="auto"/>
        <w:bottom w:val="none" w:sz="0" w:space="0" w:color="auto"/>
        <w:right w:val="none" w:sz="0" w:space="0" w:color="auto"/>
      </w:divBdr>
    </w:div>
    <w:div w:id="1777484710">
      <w:bodyDiv w:val="1"/>
      <w:marLeft w:val="0"/>
      <w:marRight w:val="0"/>
      <w:marTop w:val="0"/>
      <w:marBottom w:val="0"/>
      <w:divBdr>
        <w:top w:val="none" w:sz="0" w:space="0" w:color="auto"/>
        <w:left w:val="none" w:sz="0" w:space="0" w:color="auto"/>
        <w:bottom w:val="none" w:sz="0" w:space="0" w:color="auto"/>
        <w:right w:val="none" w:sz="0" w:space="0" w:color="auto"/>
      </w:divBdr>
    </w:div>
    <w:div w:id="1795447272">
      <w:bodyDiv w:val="1"/>
      <w:marLeft w:val="0"/>
      <w:marRight w:val="0"/>
      <w:marTop w:val="0"/>
      <w:marBottom w:val="0"/>
      <w:divBdr>
        <w:top w:val="none" w:sz="0" w:space="0" w:color="auto"/>
        <w:left w:val="none" w:sz="0" w:space="0" w:color="auto"/>
        <w:bottom w:val="none" w:sz="0" w:space="0" w:color="auto"/>
        <w:right w:val="none" w:sz="0" w:space="0" w:color="auto"/>
      </w:divBdr>
    </w:div>
    <w:div w:id="1896308827">
      <w:bodyDiv w:val="1"/>
      <w:marLeft w:val="0"/>
      <w:marRight w:val="0"/>
      <w:marTop w:val="0"/>
      <w:marBottom w:val="0"/>
      <w:divBdr>
        <w:top w:val="none" w:sz="0" w:space="0" w:color="auto"/>
        <w:left w:val="none" w:sz="0" w:space="0" w:color="auto"/>
        <w:bottom w:val="none" w:sz="0" w:space="0" w:color="auto"/>
        <w:right w:val="none" w:sz="0" w:space="0" w:color="auto"/>
      </w:divBdr>
    </w:div>
    <w:div w:id="1920866126">
      <w:bodyDiv w:val="1"/>
      <w:marLeft w:val="0"/>
      <w:marRight w:val="0"/>
      <w:marTop w:val="0"/>
      <w:marBottom w:val="0"/>
      <w:divBdr>
        <w:top w:val="none" w:sz="0" w:space="0" w:color="auto"/>
        <w:left w:val="none" w:sz="0" w:space="0" w:color="auto"/>
        <w:bottom w:val="none" w:sz="0" w:space="0" w:color="auto"/>
        <w:right w:val="none" w:sz="0" w:space="0" w:color="auto"/>
      </w:divBdr>
    </w:div>
    <w:div w:id="1928227070">
      <w:bodyDiv w:val="1"/>
      <w:marLeft w:val="0"/>
      <w:marRight w:val="0"/>
      <w:marTop w:val="0"/>
      <w:marBottom w:val="0"/>
      <w:divBdr>
        <w:top w:val="none" w:sz="0" w:space="0" w:color="auto"/>
        <w:left w:val="none" w:sz="0" w:space="0" w:color="auto"/>
        <w:bottom w:val="none" w:sz="0" w:space="0" w:color="auto"/>
        <w:right w:val="none" w:sz="0" w:space="0" w:color="auto"/>
      </w:divBdr>
    </w:div>
    <w:div w:id="2029748201">
      <w:bodyDiv w:val="1"/>
      <w:marLeft w:val="0"/>
      <w:marRight w:val="0"/>
      <w:marTop w:val="0"/>
      <w:marBottom w:val="0"/>
      <w:divBdr>
        <w:top w:val="none" w:sz="0" w:space="0" w:color="auto"/>
        <w:left w:val="none" w:sz="0" w:space="0" w:color="auto"/>
        <w:bottom w:val="none" w:sz="0" w:space="0" w:color="auto"/>
        <w:right w:val="none" w:sz="0" w:space="0" w:color="auto"/>
      </w:divBdr>
    </w:div>
    <w:div w:id="2116705133">
      <w:bodyDiv w:val="1"/>
      <w:marLeft w:val="0"/>
      <w:marRight w:val="0"/>
      <w:marTop w:val="0"/>
      <w:marBottom w:val="0"/>
      <w:divBdr>
        <w:top w:val="none" w:sz="0" w:space="0" w:color="auto"/>
        <w:left w:val="none" w:sz="0" w:space="0" w:color="auto"/>
        <w:bottom w:val="none" w:sz="0" w:space="0" w:color="auto"/>
        <w:right w:val="none" w:sz="0" w:space="0" w:color="auto"/>
      </w:divBdr>
    </w:div>
    <w:div w:id="2139881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2EB9-8A04-4AD7-A424-B2D921481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F0CCD-A7E6-4B60-A80E-1F7BAA32253D}">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3.xml><?xml version="1.0" encoding="utf-8"?>
<ds:datastoreItem xmlns:ds="http://schemas.openxmlformats.org/officeDocument/2006/customXml" ds:itemID="{9C4E7FAC-53B8-4292-82FB-9FE8362EA050}">
  <ds:schemaRefs>
    <ds:schemaRef ds:uri="http://schemas.microsoft.com/sharepoint/v3/contenttype/forms"/>
  </ds:schemaRefs>
</ds:datastoreItem>
</file>

<file path=customXml/itemProps4.xml><?xml version="1.0" encoding="utf-8"?>
<ds:datastoreItem xmlns:ds="http://schemas.openxmlformats.org/officeDocument/2006/customXml" ds:itemID="{A6F7ACDE-CEE3-4E7F-A5A3-6F88EBE8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13134</Words>
  <Characters>72239</Characters>
  <Application>Microsoft Office Word</Application>
  <DocSecurity>0</DocSecurity>
  <Lines>601</Lines>
  <Paragraphs>170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85203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5</cp:revision>
  <dcterms:created xsi:type="dcterms:W3CDTF">2026-05-10T13:05:00Z</dcterms:created>
  <dcterms:modified xsi:type="dcterms:W3CDTF">2026-05-13T14:12:00Z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