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DEBA" w14:textId="48296911" w:rsidR="009833F3" w:rsidRPr="009833F3" w:rsidRDefault="009833F3" w:rsidP="009833F3">
      <w:pPr>
        <w:widowControl w:val="0"/>
        <w:pBdr>
          <w:top w:val="single" w:sz="4" w:space="1" w:color="auto"/>
          <w:left w:val="single" w:sz="4" w:space="4" w:color="auto"/>
          <w:bottom w:val="single" w:sz="4" w:space="1" w:color="auto"/>
          <w:right w:val="single" w:sz="4" w:space="4" w:color="auto"/>
        </w:pBdr>
        <w:ind w:left="0" w:firstLine="0"/>
        <w:rPr>
          <w:szCs w:val="22"/>
        </w:rPr>
      </w:pPr>
      <w:r w:rsidRPr="009833F3">
        <w:rPr>
          <w:szCs w:val="22"/>
        </w:rPr>
        <w:t>Niniejszy dokument to zatwierdzone druki informacyjne dla leku Vildagliptin/Metformin hydrochloride Accord z wyróżnionymi zmianami wprowadzonymi od czasu poprzedniej procedury, mającymi wpływ na druki informacyjne (</w:t>
      </w:r>
      <w:r w:rsidRPr="009833F3">
        <w:rPr>
          <w:rStyle w:val="normaltextrun"/>
          <w:szCs w:val="22"/>
          <w:lang w:val="en-GB"/>
        </w:rPr>
        <w:t>EMA/VR/0000261613</w:t>
      </w:r>
      <w:r w:rsidRPr="009833F3">
        <w:rPr>
          <w:szCs w:val="22"/>
        </w:rPr>
        <w:t>) tracked.</w:t>
      </w:r>
    </w:p>
    <w:p w14:paraId="33055A64" w14:textId="77777777" w:rsidR="009833F3" w:rsidRPr="009833F3" w:rsidRDefault="009833F3" w:rsidP="009833F3">
      <w:pPr>
        <w:widowControl w:val="0"/>
        <w:pBdr>
          <w:top w:val="single" w:sz="4" w:space="1" w:color="auto"/>
          <w:left w:val="single" w:sz="4" w:space="4" w:color="auto"/>
          <w:bottom w:val="single" w:sz="4" w:space="1" w:color="auto"/>
          <w:right w:val="single" w:sz="4" w:space="4" w:color="auto"/>
        </w:pBdr>
        <w:ind w:left="0" w:firstLine="0"/>
        <w:rPr>
          <w:szCs w:val="22"/>
        </w:rPr>
      </w:pPr>
    </w:p>
    <w:p w14:paraId="6F69797B" w14:textId="77777777" w:rsidR="009833F3" w:rsidRPr="009833F3" w:rsidRDefault="009833F3" w:rsidP="009833F3">
      <w:pPr>
        <w:widowControl w:val="0"/>
        <w:pBdr>
          <w:top w:val="single" w:sz="4" w:space="1" w:color="auto"/>
          <w:left w:val="single" w:sz="4" w:space="4" w:color="auto"/>
          <w:bottom w:val="single" w:sz="4" w:space="1" w:color="auto"/>
          <w:right w:val="single" w:sz="4" w:space="4" w:color="auto"/>
        </w:pBdr>
        <w:ind w:left="0" w:firstLine="0"/>
        <w:rPr>
          <w:szCs w:val="22"/>
        </w:rPr>
      </w:pPr>
      <w:r w:rsidRPr="009833F3">
        <w:rPr>
          <w:szCs w:val="22"/>
        </w:rPr>
        <w:t>Więcej informacji znajduje się na stronie internetowej Europejskiej Agencji Leków:</w:t>
      </w:r>
    </w:p>
    <w:p w14:paraId="3C6644A4" w14:textId="23BAE1F5" w:rsidR="009833F3" w:rsidRPr="009833F3" w:rsidRDefault="00EF44D1" w:rsidP="009833F3">
      <w:pPr>
        <w:widowControl w:val="0"/>
        <w:pBdr>
          <w:top w:val="single" w:sz="4" w:space="1" w:color="auto"/>
          <w:left w:val="single" w:sz="4" w:space="4" w:color="auto"/>
          <w:bottom w:val="single" w:sz="4" w:space="1" w:color="auto"/>
          <w:right w:val="single" w:sz="4" w:space="4" w:color="auto"/>
        </w:pBdr>
        <w:ind w:left="0" w:firstLine="0"/>
        <w:rPr>
          <w:szCs w:val="22"/>
        </w:rPr>
      </w:pPr>
      <w:hyperlink r:id="rId11" w:history="1">
        <w:r>
          <w:rPr>
            <w:rStyle w:val="Hyperlink"/>
            <w:szCs w:val="22"/>
          </w:rPr>
          <w:t>https://www.ema.europa.eu/en/medicines/human/epar/vildagliptin-metformin-hydrochloride-accord</w:t>
        </w:r>
      </w:hyperlink>
      <w:r w:rsidR="009833F3" w:rsidRPr="009833F3">
        <w:rPr>
          <w:szCs w:val="22"/>
        </w:rPr>
        <w:fldChar w:fldCharType="begin"/>
      </w:r>
      <w:r w:rsidR="009833F3" w:rsidRPr="009833F3">
        <w:rPr>
          <w:szCs w:val="22"/>
        </w:rPr>
        <w:instrText>https://www.ema.europa.eu/en/medicines/human/epar/vildagliptin-metformin-hydrochloride-accord</w:instrText>
      </w:r>
      <w:r w:rsidR="009833F3" w:rsidRPr="009833F3">
        <w:rPr>
          <w:szCs w:val="22"/>
        </w:rPr>
        <w:fldChar w:fldCharType="separate"/>
      </w:r>
      <w:r w:rsidR="009833F3" w:rsidRPr="009833F3">
        <w:rPr>
          <w:color w:val="0000FF"/>
          <w:szCs w:val="22"/>
          <w:u w:val="single"/>
        </w:rPr>
        <w:t>https://www.ema.europa.eu/en/medicines/human/EPAR/voriconazole-accord</w:t>
      </w:r>
      <w:r w:rsidR="009833F3" w:rsidRPr="009833F3">
        <w:rPr>
          <w:szCs w:val="22"/>
        </w:rPr>
        <w:fldChar w:fldCharType="end"/>
      </w:r>
    </w:p>
    <w:p w14:paraId="3A642337" w14:textId="77777777" w:rsidR="009833F3" w:rsidRPr="009833F3" w:rsidRDefault="009833F3" w:rsidP="009833F3">
      <w:pPr>
        <w:widowControl w:val="0"/>
        <w:pBdr>
          <w:top w:val="single" w:sz="4" w:space="1" w:color="auto"/>
          <w:left w:val="single" w:sz="4" w:space="4" w:color="auto"/>
          <w:bottom w:val="single" w:sz="4" w:space="1" w:color="auto"/>
          <w:right w:val="single" w:sz="4" w:space="4" w:color="auto"/>
        </w:pBdr>
        <w:ind w:left="0" w:firstLine="0"/>
        <w:rPr>
          <w:szCs w:val="22"/>
        </w:rPr>
      </w:pPr>
    </w:p>
    <w:p w14:paraId="2EA7D471" w14:textId="77777777" w:rsidR="009833F3" w:rsidRPr="009833F3" w:rsidRDefault="009833F3" w:rsidP="009833F3">
      <w:pPr>
        <w:widowControl w:val="0"/>
        <w:ind w:left="0" w:firstLine="0"/>
        <w:jc w:val="center"/>
        <w:rPr>
          <w:szCs w:val="22"/>
        </w:rPr>
      </w:pPr>
      <w:r w:rsidRPr="009833F3">
        <w:rPr>
          <w:szCs w:val="22"/>
        </w:rPr>
        <w:br/>
      </w:r>
    </w:p>
    <w:p w14:paraId="4966FACD" w14:textId="77777777" w:rsidR="008A2514" w:rsidRDefault="008A2514" w:rsidP="004C760F">
      <w:pPr>
        <w:widowControl w:val="0"/>
      </w:pPr>
    </w:p>
    <w:p w14:paraId="0EB06DD5" w14:textId="77777777" w:rsidR="008A2514" w:rsidRDefault="008A2514" w:rsidP="004C760F">
      <w:pPr>
        <w:widowControl w:val="0"/>
      </w:pPr>
    </w:p>
    <w:p w14:paraId="21723250" w14:textId="77777777" w:rsidR="008A2514" w:rsidRDefault="008A2514" w:rsidP="004C760F">
      <w:pPr>
        <w:widowControl w:val="0"/>
      </w:pPr>
    </w:p>
    <w:p w14:paraId="3500E7CD" w14:textId="77777777" w:rsidR="008A2514" w:rsidRDefault="008A2514" w:rsidP="004C760F">
      <w:pPr>
        <w:widowControl w:val="0"/>
      </w:pPr>
    </w:p>
    <w:p w14:paraId="7EC97AE9" w14:textId="77777777" w:rsidR="008A2514" w:rsidRDefault="008A2514" w:rsidP="004C760F">
      <w:pPr>
        <w:widowControl w:val="0"/>
      </w:pPr>
    </w:p>
    <w:p w14:paraId="127D3BE0" w14:textId="77777777" w:rsidR="008A2514" w:rsidRDefault="008A2514" w:rsidP="004C760F">
      <w:pPr>
        <w:widowControl w:val="0"/>
      </w:pPr>
    </w:p>
    <w:p w14:paraId="696EC455" w14:textId="77777777" w:rsidR="008A2514" w:rsidRDefault="008A2514" w:rsidP="004C760F">
      <w:pPr>
        <w:widowControl w:val="0"/>
      </w:pPr>
    </w:p>
    <w:p w14:paraId="596EE76A" w14:textId="77777777" w:rsidR="008A2514" w:rsidRDefault="008A2514" w:rsidP="004C760F">
      <w:pPr>
        <w:widowControl w:val="0"/>
      </w:pPr>
    </w:p>
    <w:p w14:paraId="0EB0B4FD" w14:textId="77777777" w:rsidR="008A2514" w:rsidRDefault="008A2514" w:rsidP="004C760F">
      <w:pPr>
        <w:widowControl w:val="0"/>
      </w:pPr>
    </w:p>
    <w:p w14:paraId="2C1BFB78" w14:textId="77777777" w:rsidR="008A2514" w:rsidRDefault="008A2514" w:rsidP="004C760F">
      <w:pPr>
        <w:widowControl w:val="0"/>
      </w:pPr>
    </w:p>
    <w:p w14:paraId="488AEEDA" w14:textId="77777777" w:rsidR="008A2514" w:rsidRDefault="008A2514" w:rsidP="004C760F">
      <w:pPr>
        <w:widowControl w:val="0"/>
      </w:pPr>
    </w:p>
    <w:p w14:paraId="14FA0D3F" w14:textId="77777777" w:rsidR="008A2514" w:rsidRDefault="008A2514" w:rsidP="004C760F">
      <w:pPr>
        <w:widowControl w:val="0"/>
      </w:pPr>
    </w:p>
    <w:p w14:paraId="57DADA84" w14:textId="77777777" w:rsidR="008A2514" w:rsidRDefault="008A2514" w:rsidP="004C760F">
      <w:pPr>
        <w:widowControl w:val="0"/>
      </w:pPr>
    </w:p>
    <w:p w14:paraId="01FDCF60" w14:textId="77777777" w:rsidR="00D722DD" w:rsidRDefault="00D722DD" w:rsidP="004C760F">
      <w:pPr>
        <w:widowControl w:val="0"/>
      </w:pPr>
    </w:p>
    <w:p w14:paraId="01094C0D" w14:textId="77777777" w:rsidR="008A2514" w:rsidRPr="00440C66" w:rsidRDefault="008A2514" w:rsidP="004C760F">
      <w:pPr>
        <w:widowControl w:val="0"/>
        <w:jc w:val="center"/>
        <w:rPr>
          <w:b/>
        </w:rPr>
      </w:pPr>
      <w:r w:rsidRPr="00440C66">
        <w:rPr>
          <w:b/>
        </w:rPr>
        <w:t>ANEKS I</w:t>
      </w:r>
    </w:p>
    <w:p w14:paraId="5CB74EB6" w14:textId="77777777" w:rsidR="008A2514" w:rsidRPr="00440C66" w:rsidRDefault="008A2514" w:rsidP="004C760F">
      <w:pPr>
        <w:widowControl w:val="0"/>
        <w:tabs>
          <w:tab w:val="left" w:pos="5130"/>
        </w:tabs>
        <w:jc w:val="center"/>
      </w:pPr>
    </w:p>
    <w:p w14:paraId="7F539198" w14:textId="77777777" w:rsidR="008A2514" w:rsidRPr="00440C66" w:rsidRDefault="008A2514" w:rsidP="004C760F">
      <w:pPr>
        <w:widowControl w:val="0"/>
        <w:jc w:val="center"/>
        <w:rPr>
          <w:b/>
        </w:rPr>
      </w:pPr>
      <w:r w:rsidRPr="00440C66">
        <w:rPr>
          <w:b/>
        </w:rPr>
        <w:t>CHARAKTERYSTYKA PRODUKTU LECZNICZEGO</w:t>
      </w:r>
    </w:p>
    <w:p w14:paraId="4405807C" w14:textId="77777777" w:rsidR="008A2514" w:rsidRPr="00440C66" w:rsidRDefault="008A2514" w:rsidP="004C760F">
      <w:pPr>
        <w:widowControl w:val="0"/>
        <w:jc w:val="center"/>
      </w:pPr>
    </w:p>
    <w:p w14:paraId="221EF016" w14:textId="77777777" w:rsidR="008A2514" w:rsidRPr="00440C66" w:rsidRDefault="008A2514" w:rsidP="004C760F">
      <w:pPr>
        <w:widowControl w:val="0"/>
        <w:rPr>
          <w:b/>
        </w:rPr>
      </w:pPr>
      <w:r w:rsidRPr="00440C66">
        <w:rPr>
          <w:b/>
        </w:rPr>
        <w:br w:type="page"/>
      </w:r>
      <w:r w:rsidRPr="00440C66">
        <w:rPr>
          <w:b/>
        </w:rPr>
        <w:lastRenderedPageBreak/>
        <w:t>1.</w:t>
      </w:r>
      <w:r w:rsidRPr="00440C66">
        <w:rPr>
          <w:b/>
        </w:rPr>
        <w:tab/>
        <w:t>NAZWA PRODUKTU LECZNICZEGO</w:t>
      </w:r>
    </w:p>
    <w:p w14:paraId="17ED4A12" w14:textId="77777777" w:rsidR="008A2514" w:rsidRPr="00440C66" w:rsidRDefault="008A2514" w:rsidP="004C760F">
      <w:pPr>
        <w:widowControl w:val="0"/>
      </w:pPr>
    </w:p>
    <w:p w14:paraId="053F525C" w14:textId="6F8444E7" w:rsidR="008A2514" w:rsidRPr="00FC35A4" w:rsidRDefault="003C72B4" w:rsidP="004C760F">
      <w:pPr>
        <w:widowControl w:val="0"/>
        <w:rPr>
          <w:lang w:val="en-GB"/>
        </w:rPr>
      </w:pPr>
      <w:r>
        <w:rPr>
          <w:lang w:val="en-GB"/>
        </w:rPr>
        <w:t>Vildagliptin/Metformin hydrochloride Accord</w:t>
      </w:r>
      <w:r w:rsidR="0098076D" w:rsidRPr="00FC35A4">
        <w:rPr>
          <w:lang w:val="en-GB"/>
        </w:rPr>
        <w:t xml:space="preserve"> 50 </w:t>
      </w:r>
      <w:r w:rsidR="008A2514" w:rsidRPr="00FC35A4">
        <w:rPr>
          <w:lang w:val="en-GB"/>
        </w:rPr>
        <w:t>mg</w:t>
      </w:r>
      <w:r w:rsidR="0098076D" w:rsidRPr="00FC35A4">
        <w:rPr>
          <w:lang w:val="en-GB"/>
        </w:rPr>
        <w:t>/850 </w:t>
      </w:r>
      <w:r w:rsidR="00346503" w:rsidRPr="00FC35A4">
        <w:rPr>
          <w:lang w:val="en-GB"/>
        </w:rPr>
        <w:t>mg</w:t>
      </w:r>
      <w:r w:rsidR="008A2514" w:rsidRPr="00FC35A4">
        <w:rPr>
          <w:lang w:val="en-GB"/>
        </w:rPr>
        <w:t xml:space="preserve"> </w:t>
      </w:r>
      <w:proofErr w:type="spellStart"/>
      <w:r w:rsidR="008A2514" w:rsidRPr="00FC35A4">
        <w:rPr>
          <w:lang w:val="en-GB"/>
        </w:rPr>
        <w:t>tabletki</w:t>
      </w:r>
      <w:proofErr w:type="spellEnd"/>
      <w:r w:rsidR="00346503" w:rsidRPr="00FC35A4">
        <w:rPr>
          <w:lang w:val="en-GB"/>
        </w:rPr>
        <w:t xml:space="preserve"> </w:t>
      </w:r>
      <w:proofErr w:type="spellStart"/>
      <w:r w:rsidR="00346503" w:rsidRPr="00FC35A4">
        <w:rPr>
          <w:lang w:val="en-GB"/>
        </w:rPr>
        <w:t>powlekane</w:t>
      </w:r>
      <w:proofErr w:type="spellEnd"/>
    </w:p>
    <w:p w14:paraId="69474147" w14:textId="40544216" w:rsidR="00F877BA" w:rsidRPr="00FC35A4" w:rsidRDefault="003C72B4" w:rsidP="00F877BA">
      <w:pPr>
        <w:widowControl w:val="0"/>
        <w:rPr>
          <w:lang w:val="en-GB"/>
        </w:rPr>
      </w:pPr>
      <w:r>
        <w:rPr>
          <w:lang w:val="en-GB"/>
        </w:rPr>
        <w:t>Vildagliptin/Metformin hydrochloride Accord</w:t>
      </w:r>
      <w:r w:rsidR="00F877BA" w:rsidRPr="00FC35A4">
        <w:rPr>
          <w:lang w:val="en-GB"/>
        </w:rPr>
        <w:t xml:space="preserve"> 50 mg/1000 mg </w:t>
      </w:r>
      <w:proofErr w:type="spellStart"/>
      <w:r w:rsidR="00F877BA" w:rsidRPr="00FC35A4">
        <w:rPr>
          <w:lang w:val="en-GB"/>
        </w:rPr>
        <w:t>tabletki</w:t>
      </w:r>
      <w:proofErr w:type="spellEnd"/>
      <w:r w:rsidR="00F877BA" w:rsidRPr="00FC35A4">
        <w:rPr>
          <w:lang w:val="en-GB"/>
        </w:rPr>
        <w:t xml:space="preserve"> </w:t>
      </w:r>
      <w:proofErr w:type="spellStart"/>
      <w:r w:rsidR="00F877BA" w:rsidRPr="00FC35A4">
        <w:rPr>
          <w:lang w:val="en-GB"/>
        </w:rPr>
        <w:t>powlekane</w:t>
      </w:r>
      <w:proofErr w:type="spellEnd"/>
    </w:p>
    <w:p w14:paraId="6DA020EC" w14:textId="77777777" w:rsidR="008A2514" w:rsidRPr="00FC35A4" w:rsidRDefault="008A2514" w:rsidP="004C760F">
      <w:pPr>
        <w:widowControl w:val="0"/>
        <w:rPr>
          <w:lang w:val="en-GB"/>
        </w:rPr>
      </w:pPr>
    </w:p>
    <w:p w14:paraId="331BFFA9" w14:textId="77777777" w:rsidR="008A2514" w:rsidRPr="00FC35A4" w:rsidRDefault="008A2514" w:rsidP="004C760F">
      <w:pPr>
        <w:widowControl w:val="0"/>
        <w:rPr>
          <w:lang w:val="en-GB"/>
        </w:rPr>
      </w:pPr>
    </w:p>
    <w:p w14:paraId="542BCF09" w14:textId="77777777" w:rsidR="008A2514" w:rsidRPr="00FC35A4" w:rsidRDefault="0098076D" w:rsidP="004C760F">
      <w:pPr>
        <w:keepNext/>
        <w:widowControl w:val="0"/>
        <w:rPr>
          <w:b/>
          <w:lang w:val="en-GB"/>
        </w:rPr>
      </w:pPr>
      <w:r w:rsidRPr="00FC35A4">
        <w:rPr>
          <w:b/>
          <w:lang w:val="en-GB"/>
        </w:rPr>
        <w:t>2.</w:t>
      </w:r>
      <w:r w:rsidRPr="00FC35A4">
        <w:rPr>
          <w:b/>
          <w:lang w:val="en-GB"/>
        </w:rPr>
        <w:tab/>
        <w:t>SKŁAD JAKOŚCIOWY I ILOŚCIOWY</w:t>
      </w:r>
    </w:p>
    <w:p w14:paraId="2FB2618A" w14:textId="77777777" w:rsidR="008A2514" w:rsidRPr="00FC35A4" w:rsidRDefault="008A2514" w:rsidP="004C760F">
      <w:pPr>
        <w:keepNext/>
        <w:widowControl w:val="0"/>
        <w:rPr>
          <w:lang w:val="en-GB"/>
        </w:rPr>
      </w:pPr>
    </w:p>
    <w:p w14:paraId="6954B9BB" w14:textId="7B781CAE" w:rsidR="00F877BA" w:rsidRPr="00FC35A4" w:rsidRDefault="003C72B4" w:rsidP="00950B40">
      <w:pPr>
        <w:keepNext/>
        <w:widowControl w:val="0"/>
        <w:rPr>
          <w:u w:val="single"/>
          <w:lang w:val="en-GB"/>
        </w:rPr>
      </w:pPr>
      <w:r>
        <w:rPr>
          <w:u w:val="single"/>
          <w:lang w:val="en-GB"/>
        </w:rPr>
        <w:t>Vildagliptin/Metformin hydrochloride Accord</w:t>
      </w:r>
      <w:r w:rsidR="00F877BA" w:rsidRPr="00FC35A4">
        <w:rPr>
          <w:u w:val="single"/>
          <w:lang w:val="en-GB"/>
        </w:rPr>
        <w:t xml:space="preserve"> 50 mg/850 mg </w:t>
      </w:r>
      <w:proofErr w:type="spellStart"/>
      <w:r w:rsidR="00F877BA" w:rsidRPr="00FC35A4">
        <w:rPr>
          <w:u w:val="single"/>
          <w:lang w:val="en-GB"/>
        </w:rPr>
        <w:t>tabletki</w:t>
      </w:r>
      <w:proofErr w:type="spellEnd"/>
      <w:r w:rsidR="00F877BA" w:rsidRPr="00FC35A4">
        <w:rPr>
          <w:u w:val="single"/>
          <w:lang w:val="en-GB"/>
        </w:rPr>
        <w:t xml:space="preserve"> </w:t>
      </w:r>
      <w:proofErr w:type="spellStart"/>
      <w:r w:rsidR="00F877BA" w:rsidRPr="00FC35A4">
        <w:rPr>
          <w:u w:val="single"/>
          <w:lang w:val="en-GB"/>
        </w:rPr>
        <w:t>powlekane</w:t>
      </w:r>
      <w:proofErr w:type="spellEnd"/>
    </w:p>
    <w:p w14:paraId="72662986" w14:textId="77777777" w:rsidR="00F877BA" w:rsidRPr="00FC35A4" w:rsidRDefault="00F877BA" w:rsidP="004C760F">
      <w:pPr>
        <w:keepNext/>
        <w:widowControl w:val="0"/>
        <w:rPr>
          <w:lang w:val="en-GB"/>
        </w:rPr>
      </w:pPr>
    </w:p>
    <w:p w14:paraId="5453FDC7" w14:textId="48036CB4" w:rsidR="008A2514" w:rsidRPr="00440C66" w:rsidRDefault="008A2514" w:rsidP="004C760F">
      <w:pPr>
        <w:widowControl w:val="0"/>
        <w:ind w:left="0" w:firstLine="0"/>
      </w:pPr>
      <w:r w:rsidRPr="00440C66">
        <w:t xml:space="preserve">Każda tabletka </w:t>
      </w:r>
      <w:r w:rsidR="00346503" w:rsidRPr="00440C66">
        <w:t xml:space="preserve">powlekana </w:t>
      </w:r>
      <w:r w:rsidR="0098076D" w:rsidRPr="00440C66">
        <w:t>zawiera 50 </w:t>
      </w:r>
      <w:r w:rsidRPr="00440C66">
        <w:t>mg wildagliptyny</w:t>
      </w:r>
      <w:r w:rsidR="0098076D" w:rsidRPr="00440C66">
        <w:t xml:space="preserve"> i 850 </w:t>
      </w:r>
      <w:r w:rsidR="00346503" w:rsidRPr="00440C66">
        <w:t xml:space="preserve">mg </w:t>
      </w:r>
      <w:r w:rsidR="00A6765E" w:rsidRPr="00440C66">
        <w:t xml:space="preserve">chlorowodorku </w:t>
      </w:r>
      <w:r w:rsidR="001B58F0" w:rsidRPr="00440C66">
        <w:t xml:space="preserve">metforminy </w:t>
      </w:r>
      <w:r w:rsidR="0098076D" w:rsidRPr="00440C66">
        <w:t>(co odpowiada 660 </w:t>
      </w:r>
      <w:r w:rsidR="00346503" w:rsidRPr="00440C66">
        <w:t>mg metforminy)</w:t>
      </w:r>
      <w:r w:rsidRPr="00440C66">
        <w:t>.</w:t>
      </w:r>
    </w:p>
    <w:p w14:paraId="353B9E20" w14:textId="77777777" w:rsidR="008A2514" w:rsidRDefault="008A2514" w:rsidP="004C760F">
      <w:pPr>
        <w:widowControl w:val="0"/>
        <w:ind w:left="0" w:firstLine="0"/>
      </w:pPr>
    </w:p>
    <w:p w14:paraId="4B2DFB81" w14:textId="466E1A3E" w:rsidR="00F877BA" w:rsidRPr="00FC35A4" w:rsidRDefault="003C72B4" w:rsidP="00950B40">
      <w:pPr>
        <w:keepNext/>
        <w:widowControl w:val="0"/>
        <w:rPr>
          <w:u w:val="single"/>
          <w:lang w:val="en-GB"/>
        </w:rPr>
      </w:pPr>
      <w:r>
        <w:rPr>
          <w:u w:val="single"/>
          <w:lang w:val="en-GB"/>
        </w:rPr>
        <w:t>Vildagliptin/Metformin hydrochloride Accord</w:t>
      </w:r>
      <w:r w:rsidR="00F877BA" w:rsidRPr="00FC35A4">
        <w:rPr>
          <w:u w:val="single"/>
          <w:lang w:val="en-GB"/>
        </w:rPr>
        <w:t xml:space="preserve"> 50 mg/1000 mg </w:t>
      </w:r>
      <w:proofErr w:type="spellStart"/>
      <w:r w:rsidR="00F877BA" w:rsidRPr="00FC35A4">
        <w:rPr>
          <w:u w:val="single"/>
          <w:lang w:val="en-GB"/>
        </w:rPr>
        <w:t>tabletki</w:t>
      </w:r>
      <w:proofErr w:type="spellEnd"/>
      <w:r w:rsidR="00F877BA" w:rsidRPr="00FC35A4">
        <w:rPr>
          <w:u w:val="single"/>
          <w:lang w:val="en-GB"/>
        </w:rPr>
        <w:t xml:space="preserve"> </w:t>
      </w:r>
      <w:proofErr w:type="spellStart"/>
      <w:r w:rsidR="00F877BA" w:rsidRPr="00FC35A4">
        <w:rPr>
          <w:u w:val="single"/>
          <w:lang w:val="en-GB"/>
        </w:rPr>
        <w:t>powlekane</w:t>
      </w:r>
      <w:proofErr w:type="spellEnd"/>
    </w:p>
    <w:p w14:paraId="3E166173" w14:textId="77777777" w:rsidR="00F877BA" w:rsidRPr="00FC35A4" w:rsidRDefault="00F877BA" w:rsidP="00950B40">
      <w:pPr>
        <w:keepNext/>
        <w:widowControl w:val="0"/>
        <w:ind w:left="0" w:firstLine="0"/>
        <w:rPr>
          <w:lang w:val="en-GB"/>
        </w:rPr>
      </w:pPr>
    </w:p>
    <w:p w14:paraId="7BA54D98" w14:textId="39F0DF20" w:rsidR="00F877BA" w:rsidRPr="00440C66" w:rsidRDefault="00F877BA" w:rsidP="00F877BA">
      <w:pPr>
        <w:widowControl w:val="0"/>
        <w:ind w:left="0" w:firstLine="0"/>
      </w:pPr>
      <w:r w:rsidRPr="00440C66">
        <w:t>Każda tabletka powlekana zawiera 50 mg wildagliptyny</w:t>
      </w:r>
      <w:r>
        <w:t xml:space="preserve"> i 100</w:t>
      </w:r>
      <w:r w:rsidRPr="00440C66">
        <w:t xml:space="preserve">0 mg </w:t>
      </w:r>
      <w:r w:rsidR="00A6765E" w:rsidRPr="00440C66">
        <w:t>chlorowodor</w:t>
      </w:r>
      <w:r w:rsidR="00A6765E">
        <w:t>ku</w:t>
      </w:r>
      <w:r w:rsidR="00A6765E" w:rsidRPr="00440C66">
        <w:t xml:space="preserve"> </w:t>
      </w:r>
      <w:r w:rsidRPr="00440C66">
        <w:t xml:space="preserve">metforminy </w:t>
      </w:r>
      <w:r>
        <w:t>(co odpowiada 78</w:t>
      </w:r>
      <w:r w:rsidRPr="00440C66">
        <w:t>0 mg metforminy).</w:t>
      </w:r>
    </w:p>
    <w:p w14:paraId="0F9EB1BD" w14:textId="77777777" w:rsidR="00F877BA" w:rsidRPr="00440C66" w:rsidRDefault="00F877BA" w:rsidP="004C760F">
      <w:pPr>
        <w:widowControl w:val="0"/>
        <w:ind w:left="0" w:firstLine="0"/>
      </w:pPr>
    </w:p>
    <w:p w14:paraId="56155A54" w14:textId="77777777" w:rsidR="00F33CC1" w:rsidRPr="00440C66" w:rsidRDefault="008A2514" w:rsidP="004C760F">
      <w:pPr>
        <w:widowControl w:val="0"/>
      </w:pPr>
      <w:r w:rsidRPr="00440C66">
        <w:t>Pełny wykaz substancji pomocniczych, patrz punkt</w:t>
      </w:r>
      <w:r w:rsidR="00F877BA">
        <w:t> </w:t>
      </w:r>
      <w:r w:rsidRPr="00440C66">
        <w:t>6.1.</w:t>
      </w:r>
    </w:p>
    <w:p w14:paraId="0C372AFA" w14:textId="77777777" w:rsidR="008A2514" w:rsidRPr="00440C66" w:rsidRDefault="008A2514" w:rsidP="004C760F">
      <w:pPr>
        <w:widowControl w:val="0"/>
      </w:pPr>
    </w:p>
    <w:p w14:paraId="3B785FDC" w14:textId="77777777" w:rsidR="008A2514" w:rsidRPr="00440C66" w:rsidRDefault="008A2514" w:rsidP="004C760F">
      <w:pPr>
        <w:widowControl w:val="0"/>
      </w:pPr>
    </w:p>
    <w:p w14:paraId="140246C1" w14:textId="77777777" w:rsidR="008A2514" w:rsidRPr="00440C66" w:rsidRDefault="008A2514" w:rsidP="004C760F">
      <w:pPr>
        <w:keepNext/>
        <w:widowControl w:val="0"/>
        <w:rPr>
          <w:b/>
        </w:rPr>
      </w:pPr>
      <w:r w:rsidRPr="00440C66">
        <w:rPr>
          <w:b/>
        </w:rPr>
        <w:t>3.</w:t>
      </w:r>
      <w:r w:rsidRPr="00440C66">
        <w:rPr>
          <w:b/>
        </w:rPr>
        <w:tab/>
        <w:t>POSTAĆ FARMACEUTYCZNA</w:t>
      </w:r>
    </w:p>
    <w:p w14:paraId="366106B2" w14:textId="77777777" w:rsidR="008A2514" w:rsidRPr="00440C66" w:rsidRDefault="008A2514" w:rsidP="004C760F">
      <w:pPr>
        <w:keepNext/>
        <w:widowControl w:val="0"/>
      </w:pPr>
    </w:p>
    <w:p w14:paraId="368C3635" w14:textId="5FAF564F" w:rsidR="008A2514" w:rsidRDefault="005E07EF" w:rsidP="004C760F">
      <w:pPr>
        <w:widowControl w:val="0"/>
        <w:ind w:left="0" w:firstLine="0"/>
      </w:pPr>
      <w:r w:rsidRPr="005E07EF">
        <w:t>Tabletka powlekana</w:t>
      </w:r>
      <w:r>
        <w:t xml:space="preserve"> (tabletka)</w:t>
      </w:r>
    </w:p>
    <w:p w14:paraId="648EFAF9" w14:textId="2715B290" w:rsidR="005E07EF" w:rsidRDefault="005E07EF" w:rsidP="004C760F">
      <w:pPr>
        <w:widowControl w:val="0"/>
        <w:ind w:left="0" w:firstLine="0"/>
      </w:pPr>
    </w:p>
    <w:p w14:paraId="39A40113" w14:textId="5965FE32" w:rsidR="005E07EF" w:rsidRPr="00050A77" w:rsidRDefault="003C72B4" w:rsidP="005E07EF">
      <w:pPr>
        <w:keepNext/>
        <w:widowControl w:val="0"/>
        <w:rPr>
          <w:u w:val="single"/>
          <w:lang w:val="en-US"/>
        </w:rPr>
      </w:pPr>
      <w:r w:rsidRPr="00050A77">
        <w:rPr>
          <w:u w:val="single"/>
          <w:lang w:val="en-US"/>
        </w:rPr>
        <w:t>Vildagliptin/Metformin hydrochloride Accord</w:t>
      </w:r>
      <w:r w:rsidR="005E07EF" w:rsidRPr="00050A77">
        <w:rPr>
          <w:u w:val="single"/>
          <w:lang w:val="en-US"/>
        </w:rPr>
        <w:t xml:space="preserve"> 50 mg/850 mg </w:t>
      </w:r>
      <w:proofErr w:type="spellStart"/>
      <w:r w:rsidR="005E07EF" w:rsidRPr="00050A77">
        <w:rPr>
          <w:u w:val="single"/>
          <w:lang w:val="en-US"/>
        </w:rPr>
        <w:t>tabletki</w:t>
      </w:r>
      <w:proofErr w:type="spellEnd"/>
      <w:r w:rsidR="005E07EF" w:rsidRPr="00050A77">
        <w:rPr>
          <w:u w:val="single"/>
          <w:lang w:val="en-US"/>
        </w:rPr>
        <w:t xml:space="preserve"> </w:t>
      </w:r>
      <w:proofErr w:type="spellStart"/>
      <w:r w:rsidR="005E07EF" w:rsidRPr="00050A77">
        <w:rPr>
          <w:u w:val="single"/>
          <w:lang w:val="en-US"/>
        </w:rPr>
        <w:t>powlekane</w:t>
      </w:r>
      <w:proofErr w:type="spellEnd"/>
    </w:p>
    <w:p w14:paraId="066FF5EA" w14:textId="79C83335" w:rsidR="005E07EF" w:rsidRPr="00050A77" w:rsidRDefault="005E07EF" w:rsidP="004C760F">
      <w:pPr>
        <w:widowControl w:val="0"/>
        <w:ind w:left="0" w:firstLine="0"/>
        <w:rPr>
          <w:lang w:val="en-US"/>
        </w:rPr>
      </w:pPr>
    </w:p>
    <w:p w14:paraId="106162CE" w14:textId="50751480" w:rsidR="005E07EF" w:rsidRDefault="00145FF2" w:rsidP="004C760F">
      <w:pPr>
        <w:widowControl w:val="0"/>
        <w:ind w:left="0" w:firstLine="0"/>
      </w:pPr>
      <w:r>
        <w:t>Ż</w:t>
      </w:r>
      <w:r w:rsidR="005E07EF" w:rsidRPr="00FC35A4">
        <w:t xml:space="preserve">ółta, owalna, dwuwypukła tabletka powlekana z </w:t>
      </w:r>
      <w:r w:rsidR="005E07EF">
        <w:t xml:space="preserve">wytłoczonym </w:t>
      </w:r>
      <w:r>
        <w:t>napisem</w:t>
      </w:r>
      <w:r w:rsidR="005E07EF">
        <w:t xml:space="preserve"> „GG2” </w:t>
      </w:r>
      <w:r w:rsidR="004147BA">
        <w:t>na</w:t>
      </w:r>
      <w:r w:rsidR="005E07EF">
        <w:t xml:space="preserve"> jednej stronie</w:t>
      </w:r>
      <w:r w:rsidR="005E07EF" w:rsidRPr="00FC35A4">
        <w:t xml:space="preserve"> </w:t>
      </w:r>
      <w:r w:rsidR="005E07EF">
        <w:t xml:space="preserve">i bez </w:t>
      </w:r>
      <w:r>
        <w:t>napisu</w:t>
      </w:r>
      <w:r w:rsidR="005E07EF">
        <w:t xml:space="preserve"> </w:t>
      </w:r>
      <w:r w:rsidR="004147BA">
        <w:t>na odwrotnej</w:t>
      </w:r>
      <w:r w:rsidR="005E07EF">
        <w:t xml:space="preserve"> stronie.</w:t>
      </w:r>
      <w:r w:rsidR="00D21B4A">
        <w:t xml:space="preserve"> Wymiary tabletki wynoszą </w:t>
      </w:r>
      <w:r w:rsidR="004147BA">
        <w:t xml:space="preserve">w przybliżeniu </w:t>
      </w:r>
      <w:r w:rsidR="00D21B4A">
        <w:t xml:space="preserve">20,15 </w:t>
      </w:r>
      <w:r w:rsidR="00D21B4A" w:rsidRPr="00D21B4A">
        <w:t>×</w:t>
      </w:r>
      <w:r w:rsidR="00D21B4A">
        <w:t xml:space="preserve"> 8,00 mm.</w:t>
      </w:r>
    </w:p>
    <w:p w14:paraId="37154C7E" w14:textId="4EAF46E6" w:rsidR="00D21B4A" w:rsidRDefault="00D21B4A" w:rsidP="004C760F">
      <w:pPr>
        <w:widowControl w:val="0"/>
        <w:ind w:left="0" w:firstLine="0"/>
      </w:pPr>
    </w:p>
    <w:p w14:paraId="228EF167" w14:textId="7834E5D9" w:rsidR="00D21B4A" w:rsidRPr="00FC35A4" w:rsidRDefault="003C72B4" w:rsidP="00D21B4A">
      <w:pPr>
        <w:keepNext/>
        <w:widowControl w:val="0"/>
        <w:rPr>
          <w:u w:val="single"/>
        </w:rPr>
      </w:pPr>
      <w:r w:rsidRPr="00FC35A4">
        <w:rPr>
          <w:u w:val="single"/>
        </w:rPr>
        <w:t>Vildagliptin/Metformin hydrochloride Accord</w:t>
      </w:r>
      <w:r w:rsidR="00D21B4A" w:rsidRPr="00FC35A4">
        <w:rPr>
          <w:u w:val="single"/>
        </w:rPr>
        <w:t xml:space="preserve"> 50 mg/1000 mg tabletki powlekane</w:t>
      </w:r>
    </w:p>
    <w:p w14:paraId="353FC517" w14:textId="7AA4550F" w:rsidR="00D21B4A" w:rsidRPr="00FC35A4" w:rsidRDefault="00D21B4A" w:rsidP="004C760F">
      <w:pPr>
        <w:widowControl w:val="0"/>
        <w:ind w:left="0" w:firstLine="0"/>
      </w:pPr>
    </w:p>
    <w:p w14:paraId="0D602D18" w14:textId="6783D82B" w:rsidR="00D21B4A" w:rsidRDefault="00D21B4A" w:rsidP="004C760F">
      <w:pPr>
        <w:widowControl w:val="0"/>
        <w:ind w:left="0" w:firstLine="0"/>
      </w:pPr>
      <w:r w:rsidRPr="00FC35A4">
        <w:t xml:space="preserve">Ciemnożółta, owalna, dwuwypukła tabletka powlekana z wytłoczonym </w:t>
      </w:r>
      <w:r w:rsidR="00145FF2">
        <w:t>napisem</w:t>
      </w:r>
      <w:r w:rsidRPr="00FC35A4">
        <w:t xml:space="preserve"> „GG</w:t>
      </w:r>
      <w:r w:rsidR="00145FF2">
        <w:t>3</w:t>
      </w:r>
      <w:r w:rsidRPr="00FC35A4">
        <w:t xml:space="preserve">” </w:t>
      </w:r>
      <w:r w:rsidR="004147BA">
        <w:t>na</w:t>
      </w:r>
      <w:r w:rsidRPr="00FC35A4">
        <w:t xml:space="preserve"> jednej stronie i bez </w:t>
      </w:r>
      <w:r w:rsidR="00145FF2">
        <w:t>napisu</w:t>
      </w:r>
      <w:r w:rsidRPr="00FC35A4">
        <w:t xml:space="preserve"> </w:t>
      </w:r>
      <w:r w:rsidR="004147BA">
        <w:t>na odwrotnej</w:t>
      </w:r>
      <w:r w:rsidRPr="00FC35A4">
        <w:t xml:space="preserve"> stronie. Wymiary tabletki wynoszą </w:t>
      </w:r>
      <w:r w:rsidR="004147BA" w:rsidRPr="00F0164A">
        <w:t>w przybliżeniu</w:t>
      </w:r>
      <w:r w:rsidR="004147BA" w:rsidRPr="004147BA">
        <w:t xml:space="preserve"> </w:t>
      </w:r>
      <w:r w:rsidRPr="00FC35A4">
        <w:t>2</w:t>
      </w:r>
      <w:r w:rsidR="00145FF2">
        <w:t>1</w:t>
      </w:r>
      <w:r w:rsidRPr="00FC35A4">
        <w:t>,1</w:t>
      </w:r>
      <w:r w:rsidR="00145FF2">
        <w:t>1 </w:t>
      </w:r>
      <w:r w:rsidRPr="00FC35A4">
        <w:t>×</w:t>
      </w:r>
      <w:r w:rsidR="00145FF2">
        <w:t> </w:t>
      </w:r>
      <w:r w:rsidRPr="00FC35A4">
        <w:t>8,</w:t>
      </w:r>
      <w:r w:rsidR="00145FF2">
        <w:t>38 </w:t>
      </w:r>
      <w:r w:rsidRPr="00FC35A4">
        <w:t>mm.</w:t>
      </w:r>
    </w:p>
    <w:p w14:paraId="4C1BA54B" w14:textId="77777777" w:rsidR="00145FF2" w:rsidRPr="00D21B4A" w:rsidRDefault="00145FF2" w:rsidP="004C760F">
      <w:pPr>
        <w:widowControl w:val="0"/>
        <w:ind w:left="0" w:firstLine="0"/>
      </w:pPr>
    </w:p>
    <w:p w14:paraId="3C0855FD" w14:textId="77777777" w:rsidR="00F877BA" w:rsidRPr="00D21B4A" w:rsidRDefault="00F877BA" w:rsidP="004C760F">
      <w:pPr>
        <w:widowControl w:val="0"/>
        <w:ind w:left="0" w:firstLine="0"/>
      </w:pPr>
    </w:p>
    <w:p w14:paraId="26D7905F" w14:textId="77777777" w:rsidR="00F33CC1" w:rsidRPr="00440C66" w:rsidRDefault="008A2514" w:rsidP="004C760F">
      <w:pPr>
        <w:keepNext/>
        <w:widowControl w:val="0"/>
        <w:rPr>
          <w:b/>
        </w:rPr>
      </w:pPr>
      <w:r w:rsidRPr="00440C66">
        <w:rPr>
          <w:b/>
        </w:rPr>
        <w:t>4.</w:t>
      </w:r>
      <w:r w:rsidRPr="00440C66">
        <w:rPr>
          <w:b/>
        </w:rPr>
        <w:tab/>
        <w:t>SZCZEGÓŁOWE DANE KLINICZNE</w:t>
      </w:r>
    </w:p>
    <w:p w14:paraId="36CA4E99" w14:textId="77777777" w:rsidR="008A2514" w:rsidRPr="00440C66" w:rsidRDefault="008A2514" w:rsidP="004C760F">
      <w:pPr>
        <w:keepNext/>
        <w:widowControl w:val="0"/>
      </w:pPr>
    </w:p>
    <w:p w14:paraId="0A36255E" w14:textId="77777777" w:rsidR="008A2514" w:rsidRPr="00440C66" w:rsidRDefault="008A2514" w:rsidP="004C760F">
      <w:pPr>
        <w:keepNext/>
        <w:widowControl w:val="0"/>
        <w:rPr>
          <w:b/>
        </w:rPr>
      </w:pPr>
      <w:r w:rsidRPr="00440C66">
        <w:rPr>
          <w:b/>
        </w:rPr>
        <w:t>4.1</w:t>
      </w:r>
      <w:r w:rsidRPr="00440C66">
        <w:rPr>
          <w:b/>
        </w:rPr>
        <w:tab/>
        <w:t>Wskazania do stosowania</w:t>
      </w:r>
    </w:p>
    <w:p w14:paraId="5A443C32" w14:textId="77777777" w:rsidR="008A2514" w:rsidRPr="00440C66" w:rsidRDefault="008A2514" w:rsidP="004C760F">
      <w:pPr>
        <w:keepNext/>
        <w:widowControl w:val="0"/>
      </w:pPr>
    </w:p>
    <w:p w14:paraId="06C63B16" w14:textId="00004593" w:rsidR="00006DD2" w:rsidRPr="00440C66" w:rsidRDefault="007E79D2" w:rsidP="004C760F">
      <w:pPr>
        <w:keepNext/>
        <w:widowControl w:val="0"/>
        <w:ind w:left="0" w:firstLine="0"/>
      </w:pPr>
      <w:r>
        <w:t xml:space="preserve">Produkt </w:t>
      </w:r>
      <w:r w:rsidRPr="007E79D2">
        <w:t>Vildagliptin/Metformin hydrochloride Accord</w:t>
      </w:r>
      <w:r w:rsidR="008A2514" w:rsidRPr="00440C66">
        <w:t xml:space="preserve"> </w:t>
      </w:r>
      <w:r>
        <w:t>jest</w:t>
      </w:r>
      <w:r w:rsidR="008A2514" w:rsidRPr="00440C66">
        <w:t xml:space="preserve"> wska</w:t>
      </w:r>
      <w:r w:rsidR="00E75D76" w:rsidRPr="00440C66">
        <w:t>zan</w:t>
      </w:r>
      <w:r>
        <w:t>y</w:t>
      </w:r>
      <w:r w:rsidR="00E75D76" w:rsidRPr="00440C66">
        <w:t xml:space="preserve"> </w:t>
      </w:r>
      <w:r w:rsidR="006F016E">
        <w:t xml:space="preserve">do stosowania </w:t>
      </w:r>
      <w:r w:rsidR="00CD1E06">
        <w:t>jako uzupełnienie diety i ćwiczeń fizycznych w celu poprawy kontroli glikemii u osób dorosłych z</w:t>
      </w:r>
      <w:r w:rsidR="00E75D76" w:rsidRPr="00440C66">
        <w:t xml:space="preserve"> cukrzyc</w:t>
      </w:r>
      <w:r w:rsidR="00CD1E06">
        <w:t>ą</w:t>
      </w:r>
      <w:r w:rsidR="00E75D76" w:rsidRPr="00440C66">
        <w:t xml:space="preserve"> typu</w:t>
      </w:r>
      <w:r w:rsidR="00F877BA">
        <w:t> </w:t>
      </w:r>
      <w:r w:rsidR="00E75D76" w:rsidRPr="00440C66">
        <w:t>2</w:t>
      </w:r>
      <w:r w:rsidR="00006DD2" w:rsidRPr="00440C66">
        <w:t>:</w:t>
      </w:r>
    </w:p>
    <w:p w14:paraId="7DD56433" w14:textId="299A09C3" w:rsidR="00090296" w:rsidRDefault="008B20C2" w:rsidP="00774EBD">
      <w:pPr>
        <w:widowControl w:val="0"/>
        <w:numPr>
          <w:ilvl w:val="0"/>
          <w:numId w:val="16"/>
        </w:numPr>
        <w:ind w:left="567" w:hanging="567"/>
      </w:pPr>
      <w:r>
        <w:tab/>
      </w:r>
      <w:r w:rsidR="00CD1E06">
        <w:t xml:space="preserve">u pacjentów, </w:t>
      </w:r>
      <w:r w:rsidR="008A2514" w:rsidRPr="00440C66">
        <w:t xml:space="preserve">u których nie uzyskano </w:t>
      </w:r>
      <w:r w:rsidR="007F54AC" w:rsidRPr="00440C66">
        <w:t xml:space="preserve">wystarczającej </w:t>
      </w:r>
      <w:r w:rsidR="008A2514" w:rsidRPr="00440C66">
        <w:t>kontroli glikemii</w:t>
      </w:r>
      <w:r w:rsidR="00CD1E06">
        <w:t xml:space="preserve"> po zastosowaniu chlorowodorku </w:t>
      </w:r>
      <w:r w:rsidR="00357E71" w:rsidRPr="00440C66">
        <w:t>metforminy w monoterapii</w:t>
      </w:r>
      <w:r w:rsidR="00CD1E06">
        <w:t>.</w:t>
      </w:r>
    </w:p>
    <w:p w14:paraId="7E71F4FB" w14:textId="1998F0FB" w:rsidR="00090296" w:rsidRDefault="008B20C2" w:rsidP="00774EBD">
      <w:pPr>
        <w:widowControl w:val="0"/>
        <w:numPr>
          <w:ilvl w:val="0"/>
          <w:numId w:val="16"/>
        </w:numPr>
        <w:ind w:left="567" w:hanging="567"/>
      </w:pPr>
      <w:r>
        <w:tab/>
      </w:r>
      <w:r w:rsidR="00357E71" w:rsidRPr="00440C66">
        <w:t xml:space="preserve">u pacjentów </w:t>
      </w:r>
      <w:r w:rsidR="00CD1E06">
        <w:t xml:space="preserve">już </w:t>
      </w:r>
      <w:r w:rsidR="005318FB" w:rsidRPr="00440C66">
        <w:t xml:space="preserve">leczonych </w:t>
      </w:r>
      <w:r w:rsidR="00E75D76" w:rsidRPr="00440C66">
        <w:t>wildagliptyną w skojarzeniu</w:t>
      </w:r>
      <w:r w:rsidR="007F54AC" w:rsidRPr="00440C66">
        <w:t xml:space="preserve"> </w:t>
      </w:r>
      <w:r w:rsidR="00CD1E06">
        <w:t>z</w:t>
      </w:r>
      <w:r w:rsidR="007F54AC" w:rsidRPr="00440C66">
        <w:t xml:space="preserve"> </w:t>
      </w:r>
      <w:r w:rsidR="00CD1E06">
        <w:t xml:space="preserve">chlorowodorkiem </w:t>
      </w:r>
      <w:r w:rsidR="007F54AC" w:rsidRPr="00440C66">
        <w:t>metformin</w:t>
      </w:r>
      <w:r w:rsidR="00CD1E06">
        <w:t>y</w:t>
      </w:r>
      <w:r w:rsidR="007F54AC" w:rsidRPr="00440C66">
        <w:t>,</w:t>
      </w:r>
      <w:r w:rsidR="005318FB" w:rsidRPr="00440C66">
        <w:t xml:space="preserve"> w</w:t>
      </w:r>
      <w:r w:rsidR="00A21B39">
        <w:t> </w:t>
      </w:r>
      <w:r w:rsidR="005318FB" w:rsidRPr="00440C66">
        <w:t>postaci oddzielnych tabletek</w:t>
      </w:r>
      <w:r w:rsidR="00CD1E06">
        <w:t>.</w:t>
      </w:r>
    </w:p>
    <w:p w14:paraId="74D03625" w14:textId="77777777" w:rsidR="00361683" w:rsidRDefault="00A1314A" w:rsidP="00774EBD">
      <w:pPr>
        <w:widowControl w:val="0"/>
        <w:numPr>
          <w:ilvl w:val="0"/>
          <w:numId w:val="16"/>
        </w:numPr>
        <w:ind w:left="567" w:hanging="567"/>
      </w:pPr>
      <w:r>
        <w:tab/>
      </w:r>
      <w:r w:rsidR="00CD1E06">
        <w:t xml:space="preserve">w skojarzeniu z innymi produktami leczniczymi stosowanymi w leczeniu cukrzycy, w tym </w:t>
      </w:r>
      <w:r w:rsidR="00441947">
        <w:t>z</w:t>
      </w:r>
      <w:r w:rsidR="00A21B39">
        <w:t> </w:t>
      </w:r>
      <w:r w:rsidR="00CD1E06">
        <w:t xml:space="preserve">insuliną, gdy produkty te nie zapewniają wystarczającej kontroli glikemii (dostępne dane </w:t>
      </w:r>
      <w:r w:rsidR="002779BD">
        <w:t xml:space="preserve">o </w:t>
      </w:r>
      <w:r w:rsidR="00CD1E06">
        <w:t>różnych terapiach skojarzonych, patrz punkty 4.4, 4.5 i 5.1)</w:t>
      </w:r>
      <w:r w:rsidR="005A5A30">
        <w:t>.</w:t>
      </w:r>
    </w:p>
    <w:p w14:paraId="7DDFEE22" w14:textId="77777777" w:rsidR="008A2514" w:rsidRPr="00440C66" w:rsidRDefault="008A2514" w:rsidP="008B20C2">
      <w:pPr>
        <w:widowControl w:val="0"/>
        <w:ind w:left="0" w:firstLine="0"/>
      </w:pPr>
    </w:p>
    <w:p w14:paraId="12BF8F28" w14:textId="77777777" w:rsidR="008A2514" w:rsidRPr="00440C66" w:rsidRDefault="008A2514" w:rsidP="004C760F">
      <w:pPr>
        <w:keepNext/>
        <w:widowControl w:val="0"/>
      </w:pPr>
      <w:r w:rsidRPr="00440C66">
        <w:rPr>
          <w:b/>
        </w:rPr>
        <w:t>4.2</w:t>
      </w:r>
      <w:r w:rsidRPr="00440C66">
        <w:rPr>
          <w:b/>
        </w:rPr>
        <w:tab/>
        <w:t>Dawkowanie i sposób podawania</w:t>
      </w:r>
    </w:p>
    <w:p w14:paraId="59E3AE4C" w14:textId="77777777" w:rsidR="008A2514" w:rsidRPr="00440C66" w:rsidRDefault="008A2514" w:rsidP="004C760F">
      <w:pPr>
        <w:keepNext/>
        <w:widowControl w:val="0"/>
      </w:pPr>
    </w:p>
    <w:p w14:paraId="0EA27F5E" w14:textId="77777777" w:rsidR="008B6013" w:rsidRDefault="008B6013" w:rsidP="004C760F">
      <w:pPr>
        <w:keepNext/>
        <w:widowControl w:val="0"/>
        <w:ind w:left="0" w:firstLine="0"/>
        <w:rPr>
          <w:u w:val="single"/>
        </w:rPr>
      </w:pPr>
      <w:r w:rsidRPr="00440C66">
        <w:rPr>
          <w:u w:val="single"/>
        </w:rPr>
        <w:t>Dawkowanie</w:t>
      </w:r>
    </w:p>
    <w:p w14:paraId="0AFCDFE4" w14:textId="77777777" w:rsidR="00F877BA" w:rsidRPr="00837913" w:rsidRDefault="00F877BA" w:rsidP="004C760F">
      <w:pPr>
        <w:keepNext/>
        <w:widowControl w:val="0"/>
        <w:ind w:left="0" w:firstLine="0"/>
      </w:pPr>
    </w:p>
    <w:p w14:paraId="2225DDC9" w14:textId="77777777" w:rsidR="008A2514" w:rsidRPr="001C2341" w:rsidRDefault="008A2514" w:rsidP="004C760F">
      <w:pPr>
        <w:keepNext/>
        <w:widowControl w:val="0"/>
        <w:ind w:left="0" w:firstLine="0"/>
        <w:rPr>
          <w:i/>
          <w:u w:val="single"/>
        </w:rPr>
      </w:pPr>
      <w:r w:rsidRPr="001C2341">
        <w:rPr>
          <w:i/>
          <w:u w:val="single"/>
        </w:rPr>
        <w:t>Dorośli</w:t>
      </w:r>
      <w:r w:rsidR="00A51D1A" w:rsidRPr="001C2341">
        <w:rPr>
          <w:u w:val="single"/>
        </w:rPr>
        <w:t xml:space="preserve"> </w:t>
      </w:r>
      <w:r w:rsidR="00A51D1A" w:rsidRPr="001C2341">
        <w:rPr>
          <w:i/>
          <w:u w:val="single"/>
        </w:rPr>
        <w:t>z prawidłową czynnością nerek (GFR ≥</w:t>
      </w:r>
      <w:r w:rsidR="00666748" w:rsidRPr="001C2341">
        <w:rPr>
          <w:i/>
          <w:u w:val="single"/>
        </w:rPr>
        <w:t> </w:t>
      </w:r>
      <w:r w:rsidR="00A51D1A" w:rsidRPr="001C2341">
        <w:rPr>
          <w:i/>
          <w:u w:val="single"/>
        </w:rPr>
        <w:t>90</w:t>
      </w:r>
      <w:r w:rsidR="00666748" w:rsidRPr="001C2341">
        <w:rPr>
          <w:i/>
          <w:u w:val="single"/>
        </w:rPr>
        <w:t> </w:t>
      </w:r>
      <w:r w:rsidR="00A51D1A" w:rsidRPr="001C2341">
        <w:rPr>
          <w:i/>
          <w:u w:val="single"/>
        </w:rPr>
        <w:t>ml/min)</w:t>
      </w:r>
    </w:p>
    <w:p w14:paraId="21BA2517" w14:textId="21D16609" w:rsidR="004F6D2F" w:rsidRPr="00440C66" w:rsidRDefault="004F6D2F" w:rsidP="004C760F">
      <w:pPr>
        <w:widowControl w:val="0"/>
        <w:autoSpaceDE w:val="0"/>
        <w:autoSpaceDN w:val="0"/>
        <w:adjustRightInd w:val="0"/>
        <w:ind w:left="0" w:firstLine="0"/>
        <w:rPr>
          <w:noProof/>
          <w:szCs w:val="22"/>
        </w:rPr>
      </w:pPr>
      <w:r w:rsidRPr="00440C66">
        <w:rPr>
          <w:noProof/>
          <w:szCs w:val="22"/>
        </w:rPr>
        <w:t xml:space="preserve">Dawkę </w:t>
      </w:r>
      <w:r w:rsidR="007E79D2">
        <w:rPr>
          <w:noProof/>
          <w:szCs w:val="22"/>
        </w:rPr>
        <w:t>produktu</w:t>
      </w:r>
      <w:r w:rsidRPr="00440C66">
        <w:rPr>
          <w:noProof/>
          <w:szCs w:val="22"/>
        </w:rPr>
        <w:t xml:space="preserve"> </w:t>
      </w:r>
      <w:r w:rsidR="007E79D2" w:rsidRPr="007E79D2">
        <w:rPr>
          <w:noProof/>
          <w:szCs w:val="22"/>
        </w:rPr>
        <w:t xml:space="preserve">Vildagliptin/Metformin hydrochloride Accord </w:t>
      </w:r>
      <w:r w:rsidRPr="00440C66">
        <w:rPr>
          <w:noProof/>
          <w:szCs w:val="22"/>
        </w:rPr>
        <w:t xml:space="preserve">w leczeniu </w:t>
      </w:r>
      <w:r w:rsidR="00501050" w:rsidRPr="00440C66">
        <w:rPr>
          <w:noProof/>
          <w:szCs w:val="22"/>
        </w:rPr>
        <w:t xml:space="preserve">przeciwcukrzycowym </w:t>
      </w:r>
      <w:r w:rsidRPr="00440C66">
        <w:rPr>
          <w:noProof/>
          <w:szCs w:val="22"/>
        </w:rPr>
        <w:t xml:space="preserve">należy ustalać indywidualnie, </w:t>
      </w:r>
      <w:r w:rsidR="00551779" w:rsidRPr="00440C66">
        <w:rPr>
          <w:noProof/>
          <w:szCs w:val="22"/>
        </w:rPr>
        <w:t xml:space="preserve">na podstawie </w:t>
      </w:r>
      <w:r w:rsidRPr="00440C66">
        <w:rPr>
          <w:noProof/>
          <w:szCs w:val="22"/>
        </w:rPr>
        <w:t xml:space="preserve">aktualnego schematu leczenia pacjenta, skuteczności i </w:t>
      </w:r>
      <w:r w:rsidRPr="00440C66">
        <w:rPr>
          <w:noProof/>
          <w:szCs w:val="22"/>
        </w:rPr>
        <w:lastRenderedPageBreak/>
        <w:t xml:space="preserve">tolerancji terapii, nie przekraczając maksymalnej zalecanej dawki dobowej wynoszącej 100 mg wildagliptyny. Leczenie </w:t>
      </w:r>
      <w:r w:rsidR="007E79D2">
        <w:rPr>
          <w:noProof/>
          <w:szCs w:val="22"/>
        </w:rPr>
        <w:t>produktem</w:t>
      </w:r>
      <w:r w:rsidR="007E79D2" w:rsidRPr="007E79D2">
        <w:t xml:space="preserve"> </w:t>
      </w:r>
      <w:r w:rsidR="007E79D2" w:rsidRPr="007E79D2">
        <w:rPr>
          <w:noProof/>
          <w:szCs w:val="22"/>
        </w:rPr>
        <w:t>Vildagliptin/Metformin hydrochloride Accord</w:t>
      </w:r>
      <w:r w:rsidRPr="00440C66">
        <w:rPr>
          <w:noProof/>
          <w:szCs w:val="22"/>
        </w:rPr>
        <w:t xml:space="preserve"> można rozpoczynać od </w:t>
      </w:r>
      <w:r w:rsidR="00166634" w:rsidRPr="00440C66">
        <w:rPr>
          <w:noProof/>
          <w:szCs w:val="22"/>
        </w:rPr>
        <w:t xml:space="preserve">dawek </w:t>
      </w:r>
      <w:r w:rsidRPr="00440C66">
        <w:rPr>
          <w:noProof/>
          <w:szCs w:val="22"/>
        </w:rPr>
        <w:t>50 mg/850 mg lub 50 mg/1000</w:t>
      </w:r>
      <w:r w:rsidR="009E6A27" w:rsidRPr="00440C66">
        <w:rPr>
          <w:noProof/>
          <w:szCs w:val="22"/>
        </w:rPr>
        <w:t> </w:t>
      </w:r>
      <w:r w:rsidRPr="00440C66">
        <w:rPr>
          <w:noProof/>
          <w:szCs w:val="22"/>
        </w:rPr>
        <w:t xml:space="preserve">mg </w:t>
      </w:r>
      <w:r w:rsidR="002762F7" w:rsidRPr="00440C66">
        <w:rPr>
          <w:noProof/>
          <w:szCs w:val="22"/>
        </w:rPr>
        <w:t xml:space="preserve">podawanych </w:t>
      </w:r>
      <w:r w:rsidRPr="00440C66">
        <w:rPr>
          <w:noProof/>
          <w:szCs w:val="22"/>
        </w:rPr>
        <w:t>dwa razy na dobę, stosując jedną tabletkę rano i jedną wieczorem.</w:t>
      </w:r>
    </w:p>
    <w:p w14:paraId="7D2D9840" w14:textId="77777777" w:rsidR="004F6D2F" w:rsidRPr="00440C66" w:rsidRDefault="004F6D2F" w:rsidP="004C760F">
      <w:pPr>
        <w:widowControl w:val="0"/>
        <w:autoSpaceDE w:val="0"/>
        <w:autoSpaceDN w:val="0"/>
        <w:adjustRightInd w:val="0"/>
        <w:rPr>
          <w:noProof/>
          <w:szCs w:val="22"/>
        </w:rPr>
      </w:pPr>
    </w:p>
    <w:p w14:paraId="7762BA86" w14:textId="79442E26" w:rsidR="00EC38BE" w:rsidRPr="00440C66" w:rsidRDefault="004F6D2F" w:rsidP="00C62562">
      <w:pPr>
        <w:keepNext/>
        <w:keepLines/>
        <w:widowControl w:val="0"/>
        <w:autoSpaceDE w:val="0"/>
        <w:autoSpaceDN w:val="0"/>
        <w:adjustRightInd w:val="0"/>
        <w:rPr>
          <w:noProof/>
          <w:szCs w:val="22"/>
        </w:rPr>
      </w:pPr>
      <w:r w:rsidRPr="00440C66">
        <w:rPr>
          <w:noProof/>
          <w:szCs w:val="22"/>
        </w:rPr>
        <w:t>-</w:t>
      </w:r>
      <w:r w:rsidR="007F73F0" w:rsidRPr="00440C66">
        <w:rPr>
          <w:noProof/>
          <w:szCs w:val="22"/>
        </w:rPr>
        <w:tab/>
        <w:t>U</w:t>
      </w:r>
      <w:r w:rsidRPr="00440C66">
        <w:rPr>
          <w:noProof/>
          <w:szCs w:val="22"/>
        </w:rPr>
        <w:t xml:space="preserve"> pacjentów</w:t>
      </w:r>
      <w:r w:rsidR="00501050" w:rsidRPr="00440C66">
        <w:rPr>
          <w:noProof/>
          <w:szCs w:val="22"/>
        </w:rPr>
        <w:t>, u których glikemia nie jest wystarczająco kontrolowana</w:t>
      </w:r>
      <w:r w:rsidR="00A72D92" w:rsidRPr="00440C66">
        <w:rPr>
          <w:noProof/>
          <w:szCs w:val="22"/>
        </w:rPr>
        <w:t>,</w:t>
      </w:r>
      <w:r w:rsidR="00501050" w:rsidRPr="00440C66">
        <w:rPr>
          <w:noProof/>
          <w:szCs w:val="22"/>
        </w:rPr>
        <w:t xml:space="preserve"> pomimo podawania </w:t>
      </w:r>
      <w:r w:rsidRPr="00440C66">
        <w:rPr>
          <w:noProof/>
          <w:szCs w:val="22"/>
        </w:rPr>
        <w:t>maksymalnej tolerowanej dawki metforminy w monoterapii:</w:t>
      </w:r>
      <w:r w:rsidR="00C62562">
        <w:rPr>
          <w:noProof/>
          <w:szCs w:val="22"/>
        </w:rPr>
        <w:t xml:space="preserve"> </w:t>
      </w:r>
    </w:p>
    <w:p w14:paraId="2820171D" w14:textId="00898611" w:rsidR="004F6D2F" w:rsidRPr="00440C66" w:rsidRDefault="004F6D2F" w:rsidP="00FC35A4">
      <w:pPr>
        <w:keepNext/>
        <w:keepLines/>
        <w:widowControl w:val="0"/>
        <w:autoSpaceDE w:val="0"/>
        <w:autoSpaceDN w:val="0"/>
        <w:adjustRightInd w:val="0"/>
        <w:ind w:firstLine="0"/>
        <w:rPr>
          <w:noProof/>
          <w:szCs w:val="22"/>
        </w:rPr>
      </w:pPr>
      <w:r w:rsidRPr="00440C66">
        <w:rPr>
          <w:noProof/>
          <w:szCs w:val="22"/>
        </w:rPr>
        <w:t xml:space="preserve">Dawka początkowa </w:t>
      </w:r>
      <w:r w:rsidR="007E79D2">
        <w:rPr>
          <w:noProof/>
          <w:szCs w:val="22"/>
        </w:rPr>
        <w:t>produktu</w:t>
      </w:r>
      <w:r w:rsidR="007E79D2" w:rsidRPr="007E79D2">
        <w:t xml:space="preserve"> </w:t>
      </w:r>
      <w:r w:rsidR="007E79D2" w:rsidRPr="007E79D2">
        <w:rPr>
          <w:noProof/>
          <w:szCs w:val="22"/>
        </w:rPr>
        <w:t>Vildagliptin/Metformin hydrochloride Accord</w:t>
      </w:r>
      <w:r w:rsidRPr="00440C66">
        <w:rPr>
          <w:noProof/>
          <w:szCs w:val="22"/>
        </w:rPr>
        <w:t xml:space="preserve"> powinna </w:t>
      </w:r>
      <w:r w:rsidR="00501050" w:rsidRPr="00440C66">
        <w:rPr>
          <w:noProof/>
          <w:szCs w:val="22"/>
        </w:rPr>
        <w:t xml:space="preserve">zapewnić </w:t>
      </w:r>
      <w:r w:rsidRPr="00440C66">
        <w:rPr>
          <w:noProof/>
          <w:szCs w:val="22"/>
        </w:rPr>
        <w:t>dostarcz</w:t>
      </w:r>
      <w:r w:rsidR="00501050" w:rsidRPr="00440C66">
        <w:rPr>
          <w:noProof/>
          <w:szCs w:val="22"/>
        </w:rPr>
        <w:t>enie</w:t>
      </w:r>
      <w:r w:rsidRPr="00440C66">
        <w:rPr>
          <w:noProof/>
          <w:szCs w:val="22"/>
        </w:rPr>
        <w:t xml:space="preserve"> 50</w:t>
      </w:r>
      <w:r w:rsidR="00224916" w:rsidRPr="00440C66">
        <w:rPr>
          <w:noProof/>
          <w:szCs w:val="22"/>
        </w:rPr>
        <w:t> </w:t>
      </w:r>
      <w:r w:rsidRPr="00440C66">
        <w:rPr>
          <w:noProof/>
          <w:szCs w:val="22"/>
        </w:rPr>
        <w:t>mg wildagliptyny dwa razy na dobę (całkowita dawka dobowa 100 mg) oraz metformin</w:t>
      </w:r>
      <w:r w:rsidR="00501050" w:rsidRPr="00440C66">
        <w:rPr>
          <w:noProof/>
          <w:szCs w:val="22"/>
        </w:rPr>
        <w:t>y</w:t>
      </w:r>
      <w:r w:rsidRPr="00440C66">
        <w:rPr>
          <w:noProof/>
          <w:szCs w:val="22"/>
        </w:rPr>
        <w:t xml:space="preserve"> </w:t>
      </w:r>
      <w:r w:rsidR="007C7292" w:rsidRPr="00440C66">
        <w:rPr>
          <w:noProof/>
          <w:szCs w:val="22"/>
        </w:rPr>
        <w:t xml:space="preserve">w dawce </w:t>
      </w:r>
      <w:r w:rsidRPr="00440C66">
        <w:rPr>
          <w:noProof/>
          <w:szCs w:val="22"/>
        </w:rPr>
        <w:t>aktualnie przyjmowan</w:t>
      </w:r>
      <w:r w:rsidR="007C7292" w:rsidRPr="00440C66">
        <w:rPr>
          <w:noProof/>
          <w:szCs w:val="22"/>
        </w:rPr>
        <w:t>ej</w:t>
      </w:r>
      <w:r w:rsidRPr="00440C66">
        <w:rPr>
          <w:noProof/>
          <w:szCs w:val="22"/>
        </w:rPr>
        <w:t xml:space="preserve"> przez pacjenta.</w:t>
      </w:r>
    </w:p>
    <w:p w14:paraId="7223697B" w14:textId="77777777" w:rsidR="004F6D2F" w:rsidRPr="00440C66" w:rsidRDefault="004F6D2F" w:rsidP="004C760F">
      <w:pPr>
        <w:widowControl w:val="0"/>
        <w:autoSpaceDE w:val="0"/>
        <w:autoSpaceDN w:val="0"/>
        <w:adjustRightInd w:val="0"/>
        <w:rPr>
          <w:noProof/>
          <w:szCs w:val="22"/>
        </w:rPr>
      </w:pPr>
    </w:p>
    <w:p w14:paraId="7EF83F77" w14:textId="36E8FC57" w:rsidR="009508D6" w:rsidRPr="00440C66" w:rsidRDefault="004F6D2F" w:rsidP="00C62562">
      <w:pPr>
        <w:keepNext/>
        <w:keepLines/>
        <w:widowControl w:val="0"/>
        <w:autoSpaceDE w:val="0"/>
        <w:autoSpaceDN w:val="0"/>
        <w:adjustRightInd w:val="0"/>
        <w:rPr>
          <w:noProof/>
          <w:szCs w:val="22"/>
        </w:rPr>
      </w:pPr>
      <w:r w:rsidRPr="00440C66">
        <w:rPr>
          <w:noProof/>
          <w:szCs w:val="22"/>
        </w:rPr>
        <w:t>-</w:t>
      </w:r>
      <w:r w:rsidRPr="00440C66">
        <w:rPr>
          <w:noProof/>
          <w:szCs w:val="22"/>
        </w:rPr>
        <w:tab/>
      </w:r>
      <w:r w:rsidR="007F73F0" w:rsidRPr="00440C66">
        <w:rPr>
          <w:noProof/>
          <w:szCs w:val="22"/>
        </w:rPr>
        <w:t>U</w:t>
      </w:r>
      <w:r w:rsidRPr="00440C66">
        <w:rPr>
          <w:noProof/>
          <w:szCs w:val="22"/>
        </w:rPr>
        <w:t xml:space="preserve"> pacjentów wcześniej stosujących </w:t>
      </w:r>
      <w:r w:rsidR="004E6AE7" w:rsidRPr="00440C66">
        <w:rPr>
          <w:noProof/>
          <w:szCs w:val="22"/>
        </w:rPr>
        <w:t xml:space="preserve">jednocześnie </w:t>
      </w:r>
      <w:r w:rsidRPr="00440C66">
        <w:rPr>
          <w:noProof/>
          <w:szCs w:val="22"/>
        </w:rPr>
        <w:t>wildagliptyn</w:t>
      </w:r>
      <w:r w:rsidR="001C5900" w:rsidRPr="00440C66">
        <w:rPr>
          <w:noProof/>
          <w:szCs w:val="22"/>
        </w:rPr>
        <w:t>ę</w:t>
      </w:r>
      <w:r w:rsidRPr="00440C66">
        <w:rPr>
          <w:noProof/>
          <w:szCs w:val="22"/>
        </w:rPr>
        <w:t xml:space="preserve"> i metformin</w:t>
      </w:r>
      <w:r w:rsidR="001C5900" w:rsidRPr="00440C66">
        <w:rPr>
          <w:noProof/>
          <w:szCs w:val="22"/>
        </w:rPr>
        <w:t>ę</w:t>
      </w:r>
      <w:r w:rsidRPr="00440C66">
        <w:rPr>
          <w:noProof/>
          <w:szCs w:val="22"/>
        </w:rPr>
        <w:t xml:space="preserve"> w oddzielnych tabletkach:</w:t>
      </w:r>
      <w:r w:rsidR="00C62562">
        <w:rPr>
          <w:noProof/>
          <w:szCs w:val="22"/>
        </w:rPr>
        <w:t xml:space="preserve"> </w:t>
      </w:r>
    </w:p>
    <w:p w14:paraId="37FE4BB2" w14:textId="0C0096B9" w:rsidR="004F6D2F" w:rsidRPr="00440C66" w:rsidRDefault="004F6D2F" w:rsidP="00FC35A4">
      <w:pPr>
        <w:keepNext/>
        <w:keepLines/>
        <w:widowControl w:val="0"/>
        <w:autoSpaceDE w:val="0"/>
        <w:autoSpaceDN w:val="0"/>
        <w:adjustRightInd w:val="0"/>
        <w:ind w:firstLine="0"/>
        <w:rPr>
          <w:noProof/>
          <w:szCs w:val="22"/>
        </w:rPr>
      </w:pPr>
      <w:r w:rsidRPr="00440C66">
        <w:rPr>
          <w:noProof/>
          <w:szCs w:val="22"/>
        </w:rPr>
        <w:t xml:space="preserve">Podawanie </w:t>
      </w:r>
      <w:r w:rsidR="007E79D2">
        <w:rPr>
          <w:noProof/>
          <w:szCs w:val="22"/>
        </w:rPr>
        <w:t>produktu</w:t>
      </w:r>
      <w:r w:rsidR="007E79D2" w:rsidRPr="007E79D2">
        <w:t xml:space="preserve"> </w:t>
      </w:r>
      <w:r w:rsidR="007E79D2" w:rsidRPr="007E79D2">
        <w:rPr>
          <w:noProof/>
          <w:szCs w:val="22"/>
        </w:rPr>
        <w:t>Vildagliptin/Metformin hydrochloride Accord</w:t>
      </w:r>
      <w:r w:rsidRPr="00440C66">
        <w:rPr>
          <w:noProof/>
          <w:szCs w:val="22"/>
        </w:rPr>
        <w:t xml:space="preserve"> należy rozpoczynać od dawki wildagliptyny i metforminy aktualnie stosowanej przez pacjenta.</w:t>
      </w:r>
    </w:p>
    <w:p w14:paraId="31AACD39" w14:textId="77777777" w:rsidR="004F6D2F" w:rsidRPr="00440C66" w:rsidRDefault="004F6D2F" w:rsidP="004C760F">
      <w:pPr>
        <w:widowControl w:val="0"/>
        <w:autoSpaceDE w:val="0"/>
        <w:autoSpaceDN w:val="0"/>
        <w:adjustRightInd w:val="0"/>
        <w:rPr>
          <w:noProof/>
          <w:szCs w:val="22"/>
        </w:rPr>
      </w:pPr>
    </w:p>
    <w:p w14:paraId="53572751" w14:textId="0DA2EA76" w:rsidR="009508D6" w:rsidRPr="00440C66" w:rsidRDefault="004F6D2F" w:rsidP="00AE7878">
      <w:pPr>
        <w:keepNext/>
        <w:keepLines/>
        <w:widowControl w:val="0"/>
        <w:autoSpaceDE w:val="0"/>
        <w:autoSpaceDN w:val="0"/>
        <w:adjustRightInd w:val="0"/>
        <w:rPr>
          <w:noProof/>
          <w:szCs w:val="22"/>
        </w:rPr>
      </w:pPr>
      <w:r w:rsidRPr="00440C66">
        <w:rPr>
          <w:noProof/>
          <w:szCs w:val="22"/>
        </w:rPr>
        <w:t>-</w:t>
      </w:r>
      <w:r w:rsidRPr="00440C66">
        <w:rPr>
          <w:noProof/>
          <w:szCs w:val="22"/>
        </w:rPr>
        <w:tab/>
      </w:r>
      <w:r w:rsidR="00767F22" w:rsidRPr="00440C66">
        <w:rPr>
          <w:noProof/>
          <w:szCs w:val="22"/>
        </w:rPr>
        <w:t>U</w:t>
      </w:r>
      <w:r w:rsidR="00501050" w:rsidRPr="00440C66">
        <w:rPr>
          <w:noProof/>
          <w:szCs w:val="22"/>
        </w:rPr>
        <w:t xml:space="preserve"> pacjentów z niewystarczającą kontrolą glikemii pomimo zastosowania </w:t>
      </w:r>
      <w:r w:rsidR="00EB1E7C" w:rsidRPr="00440C66">
        <w:rPr>
          <w:noProof/>
          <w:szCs w:val="22"/>
        </w:rPr>
        <w:t>dwulekowej</w:t>
      </w:r>
      <w:r w:rsidR="00EB1E7C" w:rsidRPr="00440C66" w:rsidDel="00FC3B04">
        <w:rPr>
          <w:noProof/>
          <w:szCs w:val="22"/>
        </w:rPr>
        <w:t xml:space="preserve"> </w:t>
      </w:r>
      <w:r w:rsidR="00501050" w:rsidRPr="00440C66">
        <w:rPr>
          <w:noProof/>
          <w:szCs w:val="22"/>
        </w:rPr>
        <w:t xml:space="preserve">terapii </w:t>
      </w:r>
      <w:r w:rsidR="00FF713F" w:rsidRPr="00440C66">
        <w:rPr>
          <w:noProof/>
          <w:szCs w:val="22"/>
        </w:rPr>
        <w:t>skojarzonej -</w:t>
      </w:r>
      <w:r w:rsidR="00501050" w:rsidRPr="00440C66">
        <w:rPr>
          <w:noProof/>
          <w:szCs w:val="22"/>
        </w:rPr>
        <w:t xml:space="preserve"> metformin</w:t>
      </w:r>
      <w:r w:rsidR="00FF713F" w:rsidRPr="00440C66">
        <w:rPr>
          <w:noProof/>
          <w:szCs w:val="22"/>
        </w:rPr>
        <w:t>y z</w:t>
      </w:r>
      <w:r w:rsidR="00501050" w:rsidRPr="00440C66">
        <w:rPr>
          <w:noProof/>
          <w:szCs w:val="22"/>
        </w:rPr>
        <w:t xml:space="preserve"> sulfonylomocznikiem:</w:t>
      </w:r>
      <w:r w:rsidR="00C62562">
        <w:rPr>
          <w:noProof/>
          <w:szCs w:val="22"/>
        </w:rPr>
        <w:t xml:space="preserve"> </w:t>
      </w:r>
    </w:p>
    <w:p w14:paraId="274D76E6" w14:textId="5E2B7781" w:rsidR="00501050" w:rsidRPr="00440C66" w:rsidRDefault="00501050" w:rsidP="00FC35A4">
      <w:pPr>
        <w:keepNext/>
        <w:keepLines/>
        <w:widowControl w:val="0"/>
        <w:autoSpaceDE w:val="0"/>
        <w:autoSpaceDN w:val="0"/>
        <w:adjustRightInd w:val="0"/>
        <w:ind w:firstLine="0"/>
        <w:rPr>
          <w:szCs w:val="22"/>
        </w:rPr>
      </w:pPr>
      <w:r w:rsidRPr="00440C66">
        <w:rPr>
          <w:noProof/>
          <w:szCs w:val="22"/>
        </w:rPr>
        <w:t xml:space="preserve">Dawka </w:t>
      </w:r>
      <w:bookmarkStart w:id="0" w:name="_Hlk93048047"/>
      <w:r w:rsidR="007E79D2">
        <w:rPr>
          <w:noProof/>
          <w:szCs w:val="22"/>
        </w:rPr>
        <w:t>produktu</w:t>
      </w:r>
      <w:r w:rsidR="007E79D2" w:rsidRPr="007E79D2">
        <w:t xml:space="preserve"> </w:t>
      </w:r>
      <w:r w:rsidR="007E79D2" w:rsidRPr="007E79D2">
        <w:rPr>
          <w:noProof/>
          <w:szCs w:val="22"/>
        </w:rPr>
        <w:t>Vildagliptin/Metformin hydrochloride Accord</w:t>
      </w:r>
      <w:r w:rsidRPr="00440C66">
        <w:rPr>
          <w:noProof/>
          <w:szCs w:val="22"/>
        </w:rPr>
        <w:t xml:space="preserve"> </w:t>
      </w:r>
      <w:bookmarkEnd w:id="0"/>
      <w:r w:rsidRPr="00440C66">
        <w:rPr>
          <w:noProof/>
          <w:szCs w:val="22"/>
        </w:rPr>
        <w:t>powinna zapewnić dostarczenie 50</w:t>
      </w:r>
      <w:r w:rsidR="00F877BA">
        <w:rPr>
          <w:noProof/>
          <w:szCs w:val="22"/>
        </w:rPr>
        <w:t> </w:t>
      </w:r>
      <w:r w:rsidRPr="00440C66">
        <w:rPr>
          <w:noProof/>
          <w:szCs w:val="22"/>
        </w:rPr>
        <w:t xml:space="preserve">mg wildagliptyny dwa razy na dobę (całkowita dawka dobowa 100 mg) oraz metforminy w dawce zbliżonej do </w:t>
      </w:r>
      <w:r w:rsidR="00785BAB" w:rsidRPr="00440C66">
        <w:rPr>
          <w:noProof/>
          <w:szCs w:val="22"/>
        </w:rPr>
        <w:t xml:space="preserve">dawki </w:t>
      </w:r>
      <w:r w:rsidRPr="00440C66">
        <w:rPr>
          <w:noProof/>
          <w:szCs w:val="22"/>
        </w:rPr>
        <w:t>aktualnie stosowanej przez pacjenta.</w:t>
      </w:r>
      <w:r w:rsidRPr="00440C66">
        <w:rPr>
          <w:szCs w:val="22"/>
        </w:rPr>
        <w:t xml:space="preserve"> W przypadku</w:t>
      </w:r>
      <w:r w:rsidR="00273376" w:rsidRPr="00440C66">
        <w:rPr>
          <w:szCs w:val="22"/>
        </w:rPr>
        <w:t>,</w:t>
      </w:r>
      <w:r w:rsidR="009E6A27" w:rsidRPr="00440C66">
        <w:rPr>
          <w:szCs w:val="22"/>
        </w:rPr>
        <w:t xml:space="preserve"> </w:t>
      </w:r>
      <w:r w:rsidR="00DE0A0E" w:rsidRPr="00440C66">
        <w:rPr>
          <w:szCs w:val="22"/>
        </w:rPr>
        <w:t xml:space="preserve">gdy </w:t>
      </w:r>
      <w:r w:rsidR="007E79D2">
        <w:rPr>
          <w:szCs w:val="22"/>
        </w:rPr>
        <w:t>produkt</w:t>
      </w:r>
      <w:r w:rsidR="007E79D2" w:rsidRPr="007E79D2">
        <w:t xml:space="preserve"> </w:t>
      </w:r>
      <w:r w:rsidR="007E79D2" w:rsidRPr="007E79D2">
        <w:rPr>
          <w:szCs w:val="22"/>
        </w:rPr>
        <w:t>Vildagliptin/Metformin hydrochloride Accord</w:t>
      </w:r>
      <w:r w:rsidR="00DE0A0E" w:rsidRPr="00440C66">
        <w:rPr>
          <w:szCs w:val="22"/>
        </w:rPr>
        <w:t xml:space="preserve"> </w:t>
      </w:r>
      <w:r w:rsidR="007E79D2">
        <w:rPr>
          <w:szCs w:val="22"/>
        </w:rPr>
        <w:t>jest</w:t>
      </w:r>
      <w:r w:rsidR="00DE0A0E" w:rsidRPr="00440C66">
        <w:rPr>
          <w:szCs w:val="22"/>
        </w:rPr>
        <w:t xml:space="preserve"> stosowan</w:t>
      </w:r>
      <w:r w:rsidR="007E79D2">
        <w:rPr>
          <w:szCs w:val="22"/>
        </w:rPr>
        <w:t>y</w:t>
      </w:r>
      <w:r w:rsidR="00DE0A0E" w:rsidRPr="00440C66">
        <w:rPr>
          <w:szCs w:val="22"/>
        </w:rPr>
        <w:t xml:space="preserve"> w </w:t>
      </w:r>
      <w:r w:rsidR="00273376" w:rsidRPr="00440C66">
        <w:rPr>
          <w:szCs w:val="22"/>
        </w:rPr>
        <w:t>s</w:t>
      </w:r>
      <w:r w:rsidR="00DE0A0E" w:rsidRPr="00440C66">
        <w:rPr>
          <w:szCs w:val="22"/>
        </w:rPr>
        <w:t>kojarzeniu</w:t>
      </w:r>
      <w:r w:rsidRPr="00440C66">
        <w:rPr>
          <w:szCs w:val="22"/>
        </w:rPr>
        <w:t xml:space="preserve"> z</w:t>
      </w:r>
      <w:r w:rsidR="00A21B39">
        <w:rPr>
          <w:szCs w:val="22"/>
        </w:rPr>
        <w:t> </w:t>
      </w:r>
      <w:r w:rsidRPr="00440C66">
        <w:rPr>
          <w:szCs w:val="22"/>
        </w:rPr>
        <w:t>sulfonylomocznikiem</w:t>
      </w:r>
      <w:r w:rsidR="002D3642" w:rsidRPr="00440C66" w:rsidDel="002D3642">
        <w:rPr>
          <w:szCs w:val="22"/>
        </w:rPr>
        <w:t xml:space="preserve"> </w:t>
      </w:r>
      <w:r w:rsidRPr="00440C66">
        <w:rPr>
          <w:szCs w:val="22"/>
        </w:rPr>
        <w:t>w celu zmniejszenia ryzyka hipoglikemii</w:t>
      </w:r>
      <w:r w:rsidR="002D3642" w:rsidRPr="00440C66">
        <w:rPr>
          <w:szCs w:val="22"/>
        </w:rPr>
        <w:t xml:space="preserve"> można rozważyć podanie mniejszej dawki sulfonylomocznika</w:t>
      </w:r>
      <w:r w:rsidRPr="00440C66">
        <w:rPr>
          <w:noProof/>
          <w:szCs w:val="22"/>
        </w:rPr>
        <w:t>.</w:t>
      </w:r>
    </w:p>
    <w:p w14:paraId="61D72401" w14:textId="77777777" w:rsidR="00501050" w:rsidRPr="00440C66" w:rsidRDefault="00501050" w:rsidP="004C760F">
      <w:pPr>
        <w:widowControl w:val="0"/>
        <w:autoSpaceDE w:val="0"/>
        <w:autoSpaceDN w:val="0"/>
        <w:adjustRightInd w:val="0"/>
        <w:rPr>
          <w:noProof/>
          <w:szCs w:val="22"/>
        </w:rPr>
      </w:pPr>
    </w:p>
    <w:p w14:paraId="072A950C" w14:textId="44947CCF" w:rsidR="009508D6" w:rsidRPr="00440C66" w:rsidRDefault="00501050" w:rsidP="00AE7878">
      <w:pPr>
        <w:keepNext/>
        <w:keepLines/>
        <w:widowControl w:val="0"/>
        <w:autoSpaceDE w:val="0"/>
        <w:autoSpaceDN w:val="0"/>
        <w:adjustRightInd w:val="0"/>
        <w:rPr>
          <w:noProof/>
          <w:szCs w:val="22"/>
        </w:rPr>
      </w:pPr>
      <w:r w:rsidRPr="00440C66">
        <w:rPr>
          <w:noProof/>
          <w:szCs w:val="22"/>
        </w:rPr>
        <w:t>-</w:t>
      </w:r>
      <w:r w:rsidRPr="00440C66">
        <w:rPr>
          <w:noProof/>
          <w:szCs w:val="22"/>
        </w:rPr>
        <w:tab/>
        <w:t xml:space="preserve">U pacjentów z niewystarczającą kontrolą glikemii pomimo zastosowania </w:t>
      </w:r>
      <w:r w:rsidR="006A4646" w:rsidRPr="00440C66">
        <w:rPr>
          <w:noProof/>
          <w:szCs w:val="22"/>
        </w:rPr>
        <w:t xml:space="preserve">dwulekowej </w:t>
      </w:r>
      <w:r w:rsidRPr="00440C66">
        <w:rPr>
          <w:noProof/>
          <w:szCs w:val="22"/>
        </w:rPr>
        <w:t xml:space="preserve">terapii </w:t>
      </w:r>
      <w:r w:rsidR="00450DAE" w:rsidRPr="00440C66">
        <w:rPr>
          <w:noProof/>
          <w:szCs w:val="22"/>
        </w:rPr>
        <w:t xml:space="preserve">skojarzonej </w:t>
      </w:r>
      <w:r w:rsidR="006A4646" w:rsidRPr="00440C66">
        <w:rPr>
          <w:noProof/>
          <w:szCs w:val="22"/>
        </w:rPr>
        <w:t xml:space="preserve">- </w:t>
      </w:r>
      <w:r w:rsidRPr="00440C66">
        <w:rPr>
          <w:noProof/>
          <w:szCs w:val="22"/>
        </w:rPr>
        <w:t>insulin</w:t>
      </w:r>
      <w:r w:rsidR="006A4646" w:rsidRPr="00440C66">
        <w:rPr>
          <w:noProof/>
          <w:szCs w:val="22"/>
        </w:rPr>
        <w:t>y z</w:t>
      </w:r>
      <w:r w:rsidR="00586B36" w:rsidRPr="00440C66">
        <w:rPr>
          <w:noProof/>
          <w:szCs w:val="22"/>
        </w:rPr>
        <w:t xml:space="preserve"> metformin</w:t>
      </w:r>
      <w:r w:rsidR="00F90FA3" w:rsidRPr="00440C66">
        <w:rPr>
          <w:noProof/>
          <w:szCs w:val="22"/>
        </w:rPr>
        <w:t>ą</w:t>
      </w:r>
      <w:r w:rsidR="00586B36" w:rsidRPr="00440C66">
        <w:rPr>
          <w:noProof/>
          <w:szCs w:val="22"/>
        </w:rPr>
        <w:t xml:space="preserve"> w </w:t>
      </w:r>
      <w:r w:rsidRPr="00440C66">
        <w:rPr>
          <w:noProof/>
          <w:szCs w:val="22"/>
        </w:rPr>
        <w:t>maksymaln</w:t>
      </w:r>
      <w:r w:rsidR="00586B36" w:rsidRPr="00440C66">
        <w:rPr>
          <w:noProof/>
          <w:szCs w:val="22"/>
        </w:rPr>
        <w:t>ie</w:t>
      </w:r>
      <w:r w:rsidRPr="00440C66">
        <w:rPr>
          <w:noProof/>
          <w:szCs w:val="22"/>
        </w:rPr>
        <w:t xml:space="preserve"> tolerowan</w:t>
      </w:r>
      <w:r w:rsidR="00586B36" w:rsidRPr="00440C66">
        <w:rPr>
          <w:noProof/>
          <w:szCs w:val="22"/>
        </w:rPr>
        <w:t>ej</w:t>
      </w:r>
      <w:r w:rsidRPr="00440C66">
        <w:rPr>
          <w:noProof/>
          <w:szCs w:val="22"/>
        </w:rPr>
        <w:t xml:space="preserve"> daw</w:t>
      </w:r>
      <w:r w:rsidR="00586B36" w:rsidRPr="00440C66">
        <w:rPr>
          <w:noProof/>
          <w:szCs w:val="22"/>
        </w:rPr>
        <w:t>ce</w:t>
      </w:r>
      <w:r w:rsidRPr="00440C66">
        <w:rPr>
          <w:noProof/>
          <w:szCs w:val="22"/>
        </w:rPr>
        <w:t>:</w:t>
      </w:r>
      <w:r w:rsidR="00C62562">
        <w:rPr>
          <w:noProof/>
          <w:szCs w:val="22"/>
        </w:rPr>
        <w:t xml:space="preserve"> </w:t>
      </w:r>
    </w:p>
    <w:p w14:paraId="630BB0E7" w14:textId="7807CFD1" w:rsidR="00501050" w:rsidRPr="00440C66" w:rsidRDefault="00501050" w:rsidP="00FC35A4">
      <w:pPr>
        <w:keepNext/>
        <w:keepLines/>
        <w:widowControl w:val="0"/>
        <w:autoSpaceDE w:val="0"/>
        <w:autoSpaceDN w:val="0"/>
        <w:adjustRightInd w:val="0"/>
        <w:ind w:firstLine="0"/>
        <w:rPr>
          <w:noProof/>
          <w:szCs w:val="22"/>
        </w:rPr>
      </w:pPr>
      <w:r w:rsidRPr="00440C66">
        <w:rPr>
          <w:noProof/>
          <w:szCs w:val="22"/>
        </w:rPr>
        <w:t xml:space="preserve">Dawka </w:t>
      </w:r>
      <w:r w:rsidR="007E79D2">
        <w:rPr>
          <w:noProof/>
          <w:szCs w:val="22"/>
        </w:rPr>
        <w:t>produktu</w:t>
      </w:r>
      <w:r w:rsidR="007E79D2" w:rsidRPr="007E79D2">
        <w:t xml:space="preserve"> </w:t>
      </w:r>
      <w:r w:rsidR="007E79D2" w:rsidRPr="007E79D2">
        <w:rPr>
          <w:noProof/>
          <w:szCs w:val="22"/>
        </w:rPr>
        <w:t>Vildagliptin/Metformin hydrochloride Accord</w:t>
      </w:r>
      <w:r w:rsidRPr="00440C66">
        <w:rPr>
          <w:noProof/>
          <w:szCs w:val="22"/>
        </w:rPr>
        <w:t xml:space="preserve"> powinna zapewnić dostarczenie 50 mg wildagliptyny dwa razy na dobę (całkowita dawka dobowa 100 mg) oraz metforminy </w:t>
      </w:r>
      <w:r w:rsidR="00A42C2A" w:rsidRPr="00440C66">
        <w:rPr>
          <w:noProof/>
          <w:szCs w:val="22"/>
        </w:rPr>
        <w:t>w dawce zbli</w:t>
      </w:r>
      <w:r w:rsidR="00EB1E7C" w:rsidRPr="00440C66">
        <w:rPr>
          <w:noProof/>
          <w:szCs w:val="22"/>
        </w:rPr>
        <w:t>ż</w:t>
      </w:r>
      <w:r w:rsidR="00A42C2A" w:rsidRPr="00440C66">
        <w:rPr>
          <w:noProof/>
          <w:szCs w:val="22"/>
        </w:rPr>
        <w:t xml:space="preserve">onej </w:t>
      </w:r>
      <w:r w:rsidRPr="00440C66">
        <w:rPr>
          <w:noProof/>
          <w:szCs w:val="22"/>
        </w:rPr>
        <w:t xml:space="preserve">do </w:t>
      </w:r>
      <w:r w:rsidR="007165D7" w:rsidRPr="00440C66">
        <w:rPr>
          <w:noProof/>
          <w:szCs w:val="22"/>
        </w:rPr>
        <w:t xml:space="preserve">dawki </w:t>
      </w:r>
      <w:r w:rsidRPr="00440C66">
        <w:rPr>
          <w:noProof/>
          <w:szCs w:val="22"/>
        </w:rPr>
        <w:t>aktualnie przyjmowanej przez pacjenta.</w:t>
      </w:r>
    </w:p>
    <w:p w14:paraId="528E8008" w14:textId="77777777" w:rsidR="008873E3" w:rsidRPr="00440C66" w:rsidRDefault="008873E3" w:rsidP="004C760F">
      <w:pPr>
        <w:widowControl w:val="0"/>
        <w:ind w:left="0" w:firstLine="0"/>
      </w:pPr>
    </w:p>
    <w:p w14:paraId="3FD2A53F" w14:textId="77777777" w:rsidR="008873E3" w:rsidRPr="00440C66" w:rsidRDefault="00904A9B" w:rsidP="004C760F">
      <w:pPr>
        <w:widowControl w:val="0"/>
        <w:ind w:left="0" w:firstLine="0"/>
      </w:pPr>
      <w:r w:rsidRPr="00440C66">
        <w:t>Nie określono b</w:t>
      </w:r>
      <w:r w:rsidRPr="00440C66">
        <w:rPr>
          <w:color w:val="333333"/>
        </w:rPr>
        <w:t xml:space="preserve">ezpieczeństwa stosowania i skuteczności </w:t>
      </w:r>
      <w:r w:rsidRPr="00440C66">
        <w:rPr>
          <w:rStyle w:val="hps"/>
          <w:color w:val="333333"/>
        </w:rPr>
        <w:t>wildagliptyny i metforminy</w:t>
      </w:r>
      <w:r w:rsidRPr="00440C66">
        <w:rPr>
          <w:color w:val="333333"/>
        </w:rPr>
        <w:t xml:space="preserve"> </w:t>
      </w:r>
      <w:r w:rsidRPr="00440C66">
        <w:rPr>
          <w:rStyle w:val="hps"/>
          <w:color w:val="333333"/>
        </w:rPr>
        <w:t xml:space="preserve">w trzylekowej terapii doustnej </w:t>
      </w:r>
      <w:r w:rsidR="00B84638" w:rsidRPr="00440C66">
        <w:rPr>
          <w:rStyle w:val="hps"/>
          <w:color w:val="333333"/>
        </w:rPr>
        <w:t xml:space="preserve">- </w:t>
      </w:r>
      <w:r w:rsidRPr="00440C66">
        <w:rPr>
          <w:rStyle w:val="hps"/>
          <w:color w:val="333333"/>
        </w:rPr>
        <w:t>w skojarzeniu z</w:t>
      </w:r>
      <w:r w:rsidRPr="00440C66">
        <w:rPr>
          <w:color w:val="333333"/>
        </w:rPr>
        <w:t xml:space="preserve"> </w:t>
      </w:r>
      <w:r w:rsidRPr="00440C66">
        <w:rPr>
          <w:rStyle w:val="hps"/>
          <w:color w:val="333333"/>
        </w:rPr>
        <w:t>tiazolidynodionem.</w:t>
      </w:r>
    </w:p>
    <w:p w14:paraId="0F1A42C6" w14:textId="77777777" w:rsidR="008A2514" w:rsidRPr="00440C66" w:rsidRDefault="008A2514" w:rsidP="004C760F">
      <w:pPr>
        <w:widowControl w:val="0"/>
        <w:ind w:left="0" w:firstLine="0"/>
        <w:rPr>
          <w:i/>
        </w:rPr>
      </w:pPr>
    </w:p>
    <w:p w14:paraId="7D805415" w14:textId="77777777" w:rsidR="008A2514" w:rsidRPr="001C2341" w:rsidRDefault="008B6013" w:rsidP="004C760F">
      <w:pPr>
        <w:keepNext/>
        <w:widowControl w:val="0"/>
        <w:ind w:left="0" w:firstLine="0"/>
        <w:rPr>
          <w:i/>
          <w:u w:val="single"/>
        </w:rPr>
      </w:pPr>
      <w:r w:rsidRPr="001C2341">
        <w:rPr>
          <w:i/>
          <w:u w:val="single"/>
        </w:rPr>
        <w:t>S</w:t>
      </w:r>
      <w:r w:rsidR="008A2514" w:rsidRPr="001C2341">
        <w:rPr>
          <w:i/>
          <w:u w:val="single"/>
        </w:rPr>
        <w:t>zczególn</w:t>
      </w:r>
      <w:r w:rsidRPr="001C2341">
        <w:rPr>
          <w:i/>
          <w:u w:val="single"/>
        </w:rPr>
        <w:t>e</w:t>
      </w:r>
      <w:r w:rsidR="008A2514" w:rsidRPr="001C2341">
        <w:rPr>
          <w:i/>
          <w:u w:val="single"/>
        </w:rPr>
        <w:t xml:space="preserve"> populacj</w:t>
      </w:r>
      <w:r w:rsidRPr="001C2341">
        <w:rPr>
          <w:i/>
          <w:u w:val="single"/>
        </w:rPr>
        <w:t>e</w:t>
      </w:r>
      <w:r w:rsidR="00E5102E" w:rsidRPr="001C2341">
        <w:rPr>
          <w:i/>
          <w:u w:val="single"/>
        </w:rPr>
        <w:t xml:space="preserve"> pacjentów</w:t>
      </w:r>
    </w:p>
    <w:p w14:paraId="3F26A5A3" w14:textId="77777777" w:rsidR="008B6013" w:rsidRPr="00440C66" w:rsidRDefault="008B6013" w:rsidP="004C760F">
      <w:pPr>
        <w:keepNext/>
        <w:widowControl w:val="0"/>
        <w:ind w:left="0" w:firstLine="0"/>
        <w:rPr>
          <w:i/>
        </w:rPr>
      </w:pPr>
      <w:r w:rsidRPr="00440C66">
        <w:rPr>
          <w:i/>
        </w:rPr>
        <w:t xml:space="preserve">Pacjenci w podeszłym wieku (w wieku </w:t>
      </w:r>
      <w:r w:rsidRPr="00440C66">
        <w:rPr>
          <w:i/>
        </w:rPr>
        <w:sym w:font="Symbol" w:char="F0B3"/>
      </w:r>
      <w:r w:rsidRPr="00440C66">
        <w:rPr>
          <w:i/>
        </w:rPr>
        <w:t> 65 lat)</w:t>
      </w:r>
    </w:p>
    <w:p w14:paraId="48AD295E" w14:textId="18AF9199" w:rsidR="008B6013" w:rsidRPr="00440C66" w:rsidRDefault="008B6013" w:rsidP="004C760F">
      <w:pPr>
        <w:widowControl w:val="0"/>
        <w:ind w:left="0" w:firstLine="0"/>
      </w:pPr>
      <w:r w:rsidRPr="00440C66">
        <w:t>Metformina jest wydalana przez nerki, a u pacjentów w podeszłym wieku występuje skłonność do pogarszania się czynności nerek. Dlatego u osób w podeszłym wieku</w:t>
      </w:r>
      <w:r w:rsidRPr="00440C66">
        <w:rPr>
          <w:i/>
        </w:rPr>
        <w:t xml:space="preserve"> </w:t>
      </w:r>
      <w:r w:rsidRPr="00440C66">
        <w:t xml:space="preserve">stosujących </w:t>
      </w:r>
      <w:r w:rsidR="007E79D2">
        <w:t xml:space="preserve">produkt </w:t>
      </w:r>
      <w:r w:rsidR="007E79D2" w:rsidRPr="007E79D2">
        <w:t>Vildagliptin/Metformin hydrochloride Accord</w:t>
      </w:r>
      <w:r w:rsidRPr="00440C66">
        <w:t xml:space="preserve"> należy regularnie kontrolować czynność nerek (patrz punkty</w:t>
      </w:r>
      <w:r w:rsidR="00F877BA">
        <w:t> </w:t>
      </w:r>
      <w:r w:rsidRPr="00440C66">
        <w:t>4.4 i 5.2).</w:t>
      </w:r>
    </w:p>
    <w:p w14:paraId="3618DC1B" w14:textId="77777777" w:rsidR="008B6013" w:rsidRPr="00440C66" w:rsidRDefault="008B6013" w:rsidP="004C760F">
      <w:pPr>
        <w:widowControl w:val="0"/>
        <w:ind w:left="0" w:firstLine="0"/>
        <w:rPr>
          <w:i/>
        </w:rPr>
      </w:pPr>
    </w:p>
    <w:p w14:paraId="72C0D34B" w14:textId="77777777" w:rsidR="008A2514" w:rsidRPr="00440C66" w:rsidRDefault="008A2514" w:rsidP="004C760F">
      <w:pPr>
        <w:keepNext/>
        <w:widowControl w:val="0"/>
        <w:ind w:left="0" w:firstLine="0"/>
        <w:rPr>
          <w:i/>
        </w:rPr>
      </w:pPr>
      <w:r w:rsidRPr="00440C66">
        <w:rPr>
          <w:i/>
        </w:rPr>
        <w:t>Zab</w:t>
      </w:r>
      <w:r w:rsidR="008873E3" w:rsidRPr="00440C66">
        <w:rPr>
          <w:i/>
        </w:rPr>
        <w:t xml:space="preserve">urzenia czynności </w:t>
      </w:r>
      <w:r w:rsidRPr="00440C66">
        <w:rPr>
          <w:i/>
        </w:rPr>
        <w:t>nerek</w:t>
      </w:r>
    </w:p>
    <w:p w14:paraId="6A76DC21" w14:textId="58EA019D" w:rsidR="00A51D1A" w:rsidRDefault="00A51D1A" w:rsidP="004C760F">
      <w:pPr>
        <w:widowControl w:val="0"/>
        <w:ind w:left="0" w:firstLine="0"/>
      </w:pPr>
      <w:r>
        <w:t>Wartość GFR należy oznaczyć przed rozpoczęciem leczenia produktem zawierającym metforminę, a</w:t>
      </w:r>
      <w:r w:rsidR="00A21B39">
        <w:t> </w:t>
      </w:r>
      <w:r>
        <w:t>następnie co najmniej raz na rok. U pacjentów ze zwiększonym ryzykiem dalszego pogorszenia czynności nerek oraz u pacjentów w podeszłym wieku czynność nerek należy oceniać częściej, np. co 3–6</w:t>
      </w:r>
      <w:r w:rsidR="00666748">
        <w:t> </w:t>
      </w:r>
      <w:r>
        <w:t>miesięcy.</w:t>
      </w:r>
    </w:p>
    <w:p w14:paraId="6CE7CFCD" w14:textId="77777777" w:rsidR="00A51D1A" w:rsidRDefault="00A51D1A" w:rsidP="004C760F">
      <w:pPr>
        <w:widowControl w:val="0"/>
        <w:ind w:left="0" w:firstLine="0"/>
      </w:pPr>
    </w:p>
    <w:p w14:paraId="141BE84E" w14:textId="77777777" w:rsidR="00A51D1A" w:rsidRDefault="00A51D1A" w:rsidP="004C760F">
      <w:pPr>
        <w:widowControl w:val="0"/>
        <w:ind w:left="0" w:firstLine="0"/>
      </w:pPr>
      <w:r>
        <w:t>Maksymalna dawka dobowa metforminy powinna być optymalnie podzielona na 2–3</w:t>
      </w:r>
      <w:r w:rsidR="00666748">
        <w:t> </w:t>
      </w:r>
      <w:r>
        <w:t>dawki na dobę. Przed rozważeniem rozpoczęcia leczenia metforminą u pacjentów z wartością GFR &lt;</w:t>
      </w:r>
      <w:r w:rsidR="00666748">
        <w:t> </w:t>
      </w:r>
      <w:r>
        <w:t>60</w:t>
      </w:r>
      <w:r w:rsidR="00666748">
        <w:t> </w:t>
      </w:r>
      <w:r>
        <w:t>ml/min, należy przeanalizować czynniki mogące zwiększyć ryzyko kwasicy mleczanowej (patrz punkt</w:t>
      </w:r>
      <w:r w:rsidR="00666748">
        <w:t> </w:t>
      </w:r>
      <w:r>
        <w:t>4.4).</w:t>
      </w:r>
    </w:p>
    <w:p w14:paraId="0DABC37E" w14:textId="77777777" w:rsidR="00A51D1A" w:rsidRDefault="00A51D1A" w:rsidP="004C760F">
      <w:pPr>
        <w:widowControl w:val="0"/>
        <w:ind w:left="0" w:firstLine="0"/>
      </w:pPr>
    </w:p>
    <w:p w14:paraId="1177735F" w14:textId="5CA10565" w:rsidR="00A1314A" w:rsidRDefault="00A51D1A" w:rsidP="004C760F">
      <w:pPr>
        <w:widowControl w:val="0"/>
        <w:ind w:left="0" w:firstLine="0"/>
      </w:pPr>
      <w:r>
        <w:t xml:space="preserve">Jeśli nie ma postaci </w:t>
      </w:r>
      <w:r w:rsidR="007E79D2">
        <w:t>produktu</w:t>
      </w:r>
      <w:r>
        <w:t xml:space="preserve"> </w:t>
      </w:r>
      <w:r w:rsidR="007E79D2" w:rsidRPr="007E79D2">
        <w:t xml:space="preserve">Vildagliptin/Metformin hydrochloride Accord </w:t>
      </w:r>
      <w:r>
        <w:t>o odpowiedniej mocy, należy zastosować jego poszczególne składniki osobno zamiast produktu złożonego o ustalonej dawce.</w:t>
      </w:r>
    </w:p>
    <w:p w14:paraId="2E91B8A3" w14:textId="77777777" w:rsidR="00A51D1A" w:rsidRDefault="00A51D1A" w:rsidP="004C760F">
      <w:pPr>
        <w:widowControl w:val="0"/>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3931"/>
        <w:gridCol w:w="3545"/>
      </w:tblGrid>
      <w:tr w:rsidR="00D65BA4" w:rsidRPr="00954256" w14:paraId="6DDD0084" w14:textId="77777777">
        <w:tc>
          <w:tcPr>
            <w:tcW w:w="1594" w:type="dxa"/>
          </w:tcPr>
          <w:p w14:paraId="276516BD" w14:textId="77777777" w:rsidR="00D65BA4" w:rsidRPr="00A1314A" w:rsidRDefault="00D65BA4" w:rsidP="004C760F">
            <w:pPr>
              <w:keepNext/>
              <w:keepLines/>
              <w:widowControl w:val="0"/>
              <w:rPr>
                <w:color w:val="333333"/>
                <w:lang w:val="en"/>
              </w:rPr>
            </w:pPr>
            <w:r w:rsidRPr="00A1314A">
              <w:rPr>
                <w:color w:val="333333"/>
                <w:lang w:val="en"/>
              </w:rPr>
              <w:lastRenderedPageBreak/>
              <w:t>GFR ml/min</w:t>
            </w:r>
          </w:p>
        </w:tc>
        <w:tc>
          <w:tcPr>
            <w:tcW w:w="4024" w:type="dxa"/>
          </w:tcPr>
          <w:p w14:paraId="6C261C1C" w14:textId="77777777" w:rsidR="00D65BA4" w:rsidRPr="00A1314A" w:rsidRDefault="00D65BA4" w:rsidP="004C760F">
            <w:pPr>
              <w:keepNext/>
              <w:keepLines/>
              <w:widowControl w:val="0"/>
              <w:rPr>
                <w:color w:val="333333"/>
                <w:lang w:val="en"/>
              </w:rPr>
            </w:pPr>
            <w:proofErr w:type="spellStart"/>
            <w:r w:rsidRPr="00A1314A">
              <w:rPr>
                <w:color w:val="333333"/>
                <w:lang w:val="en"/>
              </w:rPr>
              <w:t>Metformina</w:t>
            </w:r>
            <w:proofErr w:type="spellEnd"/>
          </w:p>
        </w:tc>
        <w:tc>
          <w:tcPr>
            <w:tcW w:w="3669" w:type="dxa"/>
          </w:tcPr>
          <w:p w14:paraId="0D115B01" w14:textId="77777777" w:rsidR="00D65BA4" w:rsidRPr="00A1314A" w:rsidRDefault="00D65BA4" w:rsidP="004C760F">
            <w:pPr>
              <w:keepNext/>
              <w:keepLines/>
              <w:widowControl w:val="0"/>
              <w:rPr>
                <w:color w:val="333333"/>
                <w:lang w:val="en"/>
              </w:rPr>
            </w:pPr>
            <w:proofErr w:type="spellStart"/>
            <w:r>
              <w:rPr>
                <w:color w:val="333333"/>
                <w:lang w:val="en"/>
              </w:rPr>
              <w:t>Wildagliptyna</w:t>
            </w:r>
            <w:proofErr w:type="spellEnd"/>
          </w:p>
        </w:tc>
      </w:tr>
      <w:tr w:rsidR="00D65BA4" w:rsidRPr="00954256" w14:paraId="6F02C40F" w14:textId="77777777">
        <w:tc>
          <w:tcPr>
            <w:tcW w:w="1594" w:type="dxa"/>
          </w:tcPr>
          <w:p w14:paraId="5269A8E9" w14:textId="77777777" w:rsidR="00D65BA4" w:rsidRPr="00A1314A" w:rsidRDefault="00D65BA4" w:rsidP="004C760F">
            <w:pPr>
              <w:keepNext/>
              <w:keepLines/>
              <w:widowControl w:val="0"/>
              <w:rPr>
                <w:color w:val="333333"/>
                <w:lang w:val="en"/>
              </w:rPr>
            </w:pPr>
            <w:r w:rsidRPr="00A1314A">
              <w:rPr>
                <w:color w:val="333333"/>
                <w:lang w:val="en-US"/>
              </w:rPr>
              <w:t>60</w:t>
            </w:r>
            <w:r w:rsidRPr="00A1314A">
              <w:rPr>
                <w:color w:val="333333"/>
                <w:lang w:val="en-US"/>
              </w:rPr>
              <w:noBreakHyphen/>
              <w:t>89</w:t>
            </w:r>
          </w:p>
        </w:tc>
        <w:tc>
          <w:tcPr>
            <w:tcW w:w="4024" w:type="dxa"/>
          </w:tcPr>
          <w:p w14:paraId="3A81CE48" w14:textId="77777777" w:rsidR="00A51D1A" w:rsidRDefault="00A51D1A" w:rsidP="004C760F">
            <w:pPr>
              <w:keepNext/>
              <w:keepLines/>
              <w:widowControl w:val="0"/>
              <w:rPr>
                <w:color w:val="333333"/>
              </w:rPr>
            </w:pPr>
            <w:r w:rsidRPr="004C760F">
              <w:rPr>
                <w:color w:val="333333"/>
              </w:rPr>
              <w:t xml:space="preserve">Maksymalna dawka dobowa wynosi </w:t>
            </w:r>
          </w:p>
          <w:p w14:paraId="20D37F9E" w14:textId="77777777" w:rsidR="00A51D1A" w:rsidRPr="004C760F" w:rsidRDefault="00A51D1A" w:rsidP="004C760F">
            <w:pPr>
              <w:keepNext/>
              <w:keepLines/>
              <w:widowControl w:val="0"/>
              <w:rPr>
                <w:color w:val="333333"/>
              </w:rPr>
            </w:pPr>
            <w:r w:rsidRPr="004C760F">
              <w:rPr>
                <w:color w:val="333333"/>
              </w:rPr>
              <w:t>3000</w:t>
            </w:r>
            <w:r w:rsidR="00666748">
              <w:rPr>
                <w:color w:val="333333"/>
              </w:rPr>
              <w:t> </w:t>
            </w:r>
            <w:r w:rsidRPr="004C760F">
              <w:rPr>
                <w:color w:val="333333"/>
              </w:rPr>
              <w:t>mg.</w:t>
            </w:r>
          </w:p>
          <w:p w14:paraId="6CD3939B" w14:textId="77777777" w:rsidR="00601E2A" w:rsidRDefault="00A51D1A" w:rsidP="004C760F">
            <w:pPr>
              <w:keepNext/>
              <w:keepLines/>
              <w:widowControl w:val="0"/>
              <w:rPr>
                <w:color w:val="333333"/>
              </w:rPr>
            </w:pPr>
            <w:r w:rsidRPr="004C760F">
              <w:rPr>
                <w:color w:val="333333"/>
              </w:rPr>
              <w:t xml:space="preserve">Można rozważyć zmniejszenie dawki </w:t>
            </w:r>
          </w:p>
          <w:p w14:paraId="0BD29EE4" w14:textId="77777777" w:rsidR="00A51D1A" w:rsidRDefault="00A51D1A" w:rsidP="004C760F">
            <w:pPr>
              <w:keepNext/>
              <w:keepLines/>
              <w:widowControl w:val="0"/>
              <w:rPr>
                <w:color w:val="333333"/>
              </w:rPr>
            </w:pPr>
            <w:r w:rsidRPr="004C760F">
              <w:rPr>
                <w:color w:val="333333"/>
              </w:rPr>
              <w:t>w reakcji na pogarszającą się czynność</w:t>
            </w:r>
          </w:p>
          <w:p w14:paraId="2A2654CA" w14:textId="77777777" w:rsidR="00D65BA4" w:rsidRPr="004C760F" w:rsidRDefault="00A51D1A" w:rsidP="004C760F">
            <w:pPr>
              <w:keepNext/>
              <w:keepLines/>
              <w:widowControl w:val="0"/>
              <w:rPr>
                <w:color w:val="333333"/>
              </w:rPr>
            </w:pPr>
            <w:r w:rsidRPr="004C760F">
              <w:rPr>
                <w:color w:val="333333"/>
              </w:rPr>
              <w:t>nerek.</w:t>
            </w:r>
          </w:p>
        </w:tc>
        <w:tc>
          <w:tcPr>
            <w:tcW w:w="3669" w:type="dxa"/>
          </w:tcPr>
          <w:p w14:paraId="1B8F998F" w14:textId="77777777" w:rsidR="00D65BA4" w:rsidRPr="004C760F" w:rsidRDefault="00E42A0A" w:rsidP="004C760F">
            <w:pPr>
              <w:keepNext/>
              <w:keepLines/>
              <w:widowControl w:val="0"/>
              <w:ind w:left="0" w:firstLine="0"/>
              <w:rPr>
                <w:color w:val="333333"/>
              </w:rPr>
            </w:pPr>
            <w:r w:rsidRPr="004C760F">
              <w:rPr>
                <w:color w:val="333333"/>
              </w:rPr>
              <w:t xml:space="preserve">Nie jest konieczne dostosowanie </w:t>
            </w:r>
            <w:r w:rsidR="00D65BA4" w:rsidRPr="004C760F">
              <w:rPr>
                <w:color w:val="333333"/>
              </w:rPr>
              <w:t>dawki.</w:t>
            </w:r>
          </w:p>
        </w:tc>
      </w:tr>
      <w:tr w:rsidR="00D65BA4" w:rsidRPr="00954256" w14:paraId="7CE82661" w14:textId="77777777">
        <w:tc>
          <w:tcPr>
            <w:tcW w:w="1594" w:type="dxa"/>
          </w:tcPr>
          <w:p w14:paraId="58286DBB" w14:textId="77777777" w:rsidR="00D65BA4" w:rsidRPr="00A1314A" w:rsidRDefault="00D65BA4" w:rsidP="004C760F">
            <w:pPr>
              <w:keepNext/>
              <w:keepLines/>
              <w:widowControl w:val="0"/>
              <w:rPr>
                <w:color w:val="333333"/>
                <w:lang w:val="en"/>
              </w:rPr>
            </w:pPr>
            <w:r w:rsidRPr="00A1314A">
              <w:rPr>
                <w:color w:val="333333"/>
                <w:lang w:val="en-US"/>
              </w:rPr>
              <w:t>45</w:t>
            </w:r>
            <w:r w:rsidRPr="00A1314A">
              <w:rPr>
                <w:color w:val="333333"/>
                <w:lang w:val="en-US"/>
              </w:rPr>
              <w:noBreakHyphen/>
              <w:t>59</w:t>
            </w:r>
          </w:p>
        </w:tc>
        <w:tc>
          <w:tcPr>
            <w:tcW w:w="4024" w:type="dxa"/>
          </w:tcPr>
          <w:p w14:paraId="2206898F" w14:textId="77777777" w:rsidR="00A51D1A" w:rsidRDefault="00A51D1A" w:rsidP="004C760F">
            <w:pPr>
              <w:keepNext/>
              <w:keepLines/>
              <w:widowControl w:val="0"/>
              <w:rPr>
                <w:color w:val="333333"/>
              </w:rPr>
            </w:pPr>
            <w:r w:rsidRPr="004C760F">
              <w:rPr>
                <w:color w:val="333333"/>
              </w:rPr>
              <w:t xml:space="preserve">Maksymalna dawka dobowa wynosi </w:t>
            </w:r>
          </w:p>
          <w:p w14:paraId="6FD7F8A1" w14:textId="77777777" w:rsidR="00A51D1A" w:rsidRPr="004C760F" w:rsidRDefault="00A51D1A" w:rsidP="004C760F">
            <w:pPr>
              <w:keepNext/>
              <w:keepLines/>
              <w:widowControl w:val="0"/>
              <w:rPr>
                <w:color w:val="333333"/>
              </w:rPr>
            </w:pPr>
            <w:r w:rsidRPr="004C760F">
              <w:rPr>
                <w:color w:val="333333"/>
              </w:rPr>
              <w:t>2000</w:t>
            </w:r>
            <w:r w:rsidR="00666748">
              <w:rPr>
                <w:color w:val="333333"/>
              </w:rPr>
              <w:t> </w:t>
            </w:r>
            <w:r w:rsidRPr="004C760F">
              <w:rPr>
                <w:color w:val="333333"/>
              </w:rPr>
              <w:t>mg.</w:t>
            </w:r>
          </w:p>
          <w:p w14:paraId="4B6A35D8" w14:textId="77777777" w:rsidR="00A51D1A" w:rsidRDefault="00A51D1A" w:rsidP="004C760F">
            <w:pPr>
              <w:keepNext/>
              <w:keepLines/>
              <w:widowControl w:val="0"/>
              <w:rPr>
                <w:color w:val="333333"/>
              </w:rPr>
            </w:pPr>
            <w:r w:rsidRPr="004C760F">
              <w:rPr>
                <w:color w:val="333333"/>
              </w:rPr>
              <w:t>Dawka początkowa nie jest większa niż</w:t>
            </w:r>
          </w:p>
          <w:p w14:paraId="44A074F6" w14:textId="77777777" w:rsidR="00D65BA4" w:rsidRPr="004C760F" w:rsidRDefault="00A51D1A" w:rsidP="004C760F">
            <w:pPr>
              <w:keepNext/>
              <w:keepLines/>
              <w:widowControl w:val="0"/>
              <w:rPr>
                <w:color w:val="333333"/>
              </w:rPr>
            </w:pPr>
            <w:r w:rsidRPr="004C760F">
              <w:rPr>
                <w:color w:val="333333"/>
              </w:rPr>
              <w:t>połowa dawki maksymalnej.</w:t>
            </w:r>
          </w:p>
        </w:tc>
        <w:tc>
          <w:tcPr>
            <w:tcW w:w="3669" w:type="dxa"/>
            <w:vMerge w:val="restart"/>
          </w:tcPr>
          <w:p w14:paraId="5AB3E4DF" w14:textId="77777777" w:rsidR="00D65BA4" w:rsidRPr="000A48AE" w:rsidRDefault="00D65BA4" w:rsidP="004C760F">
            <w:pPr>
              <w:keepNext/>
              <w:keepLines/>
              <w:widowControl w:val="0"/>
              <w:rPr>
                <w:szCs w:val="22"/>
              </w:rPr>
            </w:pPr>
            <w:r w:rsidRPr="000A48AE">
              <w:rPr>
                <w:szCs w:val="22"/>
              </w:rPr>
              <w:t>Maksymalna dawka dobowa wynosi</w:t>
            </w:r>
          </w:p>
          <w:p w14:paraId="4260213E" w14:textId="77777777" w:rsidR="00D65BA4" w:rsidRPr="00A1314A" w:rsidRDefault="00D65BA4" w:rsidP="004C760F">
            <w:pPr>
              <w:keepNext/>
              <w:keepLines/>
              <w:widowControl w:val="0"/>
              <w:rPr>
                <w:color w:val="333333"/>
              </w:rPr>
            </w:pPr>
            <w:r w:rsidRPr="000A48AE">
              <w:rPr>
                <w:szCs w:val="22"/>
              </w:rPr>
              <w:t>50 mg.</w:t>
            </w:r>
          </w:p>
        </w:tc>
      </w:tr>
      <w:tr w:rsidR="00D65BA4" w:rsidRPr="00954256" w14:paraId="42E7F929" w14:textId="77777777">
        <w:trPr>
          <w:trHeight w:val="47"/>
        </w:trPr>
        <w:tc>
          <w:tcPr>
            <w:tcW w:w="1594" w:type="dxa"/>
          </w:tcPr>
          <w:p w14:paraId="711555CA" w14:textId="77777777" w:rsidR="00D65BA4" w:rsidRPr="00A1314A" w:rsidRDefault="00D65BA4" w:rsidP="004C760F">
            <w:pPr>
              <w:keepNext/>
              <w:keepLines/>
              <w:widowControl w:val="0"/>
              <w:rPr>
                <w:color w:val="333333"/>
                <w:lang w:val="en"/>
              </w:rPr>
            </w:pPr>
            <w:r w:rsidRPr="00A1314A">
              <w:rPr>
                <w:color w:val="333333"/>
                <w:lang w:val="en"/>
              </w:rPr>
              <w:t>30</w:t>
            </w:r>
            <w:r w:rsidRPr="00A1314A">
              <w:rPr>
                <w:color w:val="333333"/>
                <w:lang w:val="en"/>
              </w:rPr>
              <w:noBreakHyphen/>
              <w:t>44</w:t>
            </w:r>
          </w:p>
        </w:tc>
        <w:tc>
          <w:tcPr>
            <w:tcW w:w="4024" w:type="dxa"/>
          </w:tcPr>
          <w:p w14:paraId="5A891EA4" w14:textId="77777777" w:rsidR="009276E3" w:rsidRDefault="009276E3" w:rsidP="004C760F">
            <w:pPr>
              <w:keepNext/>
              <w:keepLines/>
              <w:widowControl w:val="0"/>
              <w:rPr>
                <w:color w:val="333333"/>
              </w:rPr>
            </w:pPr>
            <w:r w:rsidRPr="004C760F">
              <w:rPr>
                <w:color w:val="333333"/>
              </w:rPr>
              <w:t xml:space="preserve">Maksymalna dawka dobowa wynosi </w:t>
            </w:r>
          </w:p>
          <w:p w14:paraId="596967F2" w14:textId="77777777" w:rsidR="00D65BA4" w:rsidRDefault="009276E3" w:rsidP="004C760F">
            <w:pPr>
              <w:keepNext/>
              <w:keepLines/>
              <w:widowControl w:val="0"/>
              <w:rPr>
                <w:color w:val="333333"/>
              </w:rPr>
            </w:pPr>
            <w:r w:rsidRPr="004C760F">
              <w:rPr>
                <w:color w:val="333333"/>
              </w:rPr>
              <w:t>1000</w:t>
            </w:r>
            <w:r w:rsidR="00666748">
              <w:rPr>
                <w:color w:val="333333"/>
              </w:rPr>
              <w:t> </w:t>
            </w:r>
            <w:r w:rsidRPr="004C760F">
              <w:rPr>
                <w:color w:val="333333"/>
              </w:rPr>
              <w:t>mg.</w:t>
            </w:r>
          </w:p>
          <w:p w14:paraId="3BC59E1C" w14:textId="77777777" w:rsidR="009276E3" w:rsidRDefault="009276E3" w:rsidP="004C760F">
            <w:pPr>
              <w:keepNext/>
              <w:keepLines/>
              <w:widowControl w:val="0"/>
              <w:rPr>
                <w:rFonts w:cs="Helvetica"/>
              </w:rPr>
            </w:pPr>
            <w:r w:rsidRPr="008438A1">
              <w:rPr>
                <w:szCs w:val="22"/>
              </w:rPr>
              <w:t xml:space="preserve">Dawka początkowa nie </w:t>
            </w:r>
            <w:r>
              <w:rPr>
                <w:rFonts w:cs="Helvetica"/>
              </w:rPr>
              <w:t>jest większa niż</w:t>
            </w:r>
          </w:p>
          <w:p w14:paraId="274F60EE" w14:textId="77777777" w:rsidR="009276E3" w:rsidRPr="004C760F" w:rsidRDefault="009276E3" w:rsidP="004C760F">
            <w:pPr>
              <w:keepNext/>
              <w:keepLines/>
              <w:widowControl w:val="0"/>
              <w:rPr>
                <w:color w:val="333333"/>
              </w:rPr>
            </w:pPr>
            <w:r w:rsidRPr="008438A1">
              <w:rPr>
                <w:rFonts w:cs="Helvetica"/>
              </w:rPr>
              <w:t>połow</w:t>
            </w:r>
            <w:r>
              <w:rPr>
                <w:rFonts w:cs="Helvetica"/>
              </w:rPr>
              <w:t>a</w:t>
            </w:r>
            <w:r w:rsidRPr="008438A1">
              <w:rPr>
                <w:rFonts w:cs="Helvetica"/>
              </w:rPr>
              <w:t xml:space="preserve"> </w:t>
            </w:r>
            <w:r w:rsidRPr="008438A1">
              <w:rPr>
                <w:szCs w:val="22"/>
              </w:rPr>
              <w:t>dawki maksymalnej.</w:t>
            </w:r>
          </w:p>
        </w:tc>
        <w:tc>
          <w:tcPr>
            <w:tcW w:w="3669" w:type="dxa"/>
            <w:vMerge/>
          </w:tcPr>
          <w:p w14:paraId="2B464C40" w14:textId="77777777" w:rsidR="00D65BA4" w:rsidRPr="00954256" w:rsidRDefault="00D65BA4" w:rsidP="004C760F">
            <w:pPr>
              <w:keepNext/>
              <w:keepLines/>
              <w:widowControl w:val="0"/>
              <w:rPr>
                <w:color w:val="333333"/>
              </w:rPr>
            </w:pPr>
          </w:p>
        </w:tc>
      </w:tr>
      <w:tr w:rsidR="00D65BA4" w:rsidRPr="00D117C4" w14:paraId="104B7753" w14:textId="77777777">
        <w:trPr>
          <w:trHeight w:val="47"/>
        </w:trPr>
        <w:tc>
          <w:tcPr>
            <w:tcW w:w="1594" w:type="dxa"/>
          </w:tcPr>
          <w:p w14:paraId="584E5F6D" w14:textId="77777777" w:rsidR="00D65BA4" w:rsidRPr="00A1314A" w:rsidRDefault="00D65BA4" w:rsidP="004C760F">
            <w:pPr>
              <w:keepNext/>
              <w:keepLines/>
              <w:widowControl w:val="0"/>
              <w:rPr>
                <w:color w:val="333333"/>
                <w:lang w:val="en"/>
              </w:rPr>
            </w:pPr>
            <w:r w:rsidRPr="00A1314A">
              <w:rPr>
                <w:color w:val="333333"/>
                <w:lang w:val="en"/>
              </w:rPr>
              <w:t>&lt;30</w:t>
            </w:r>
          </w:p>
        </w:tc>
        <w:tc>
          <w:tcPr>
            <w:tcW w:w="4024" w:type="dxa"/>
          </w:tcPr>
          <w:p w14:paraId="51AFC804" w14:textId="77777777" w:rsidR="00D65BA4" w:rsidRPr="00D65BA4" w:rsidRDefault="009276E3" w:rsidP="004C760F">
            <w:pPr>
              <w:keepNext/>
              <w:keepLines/>
              <w:widowControl w:val="0"/>
              <w:rPr>
                <w:color w:val="333333"/>
                <w:lang w:val="en"/>
              </w:rPr>
            </w:pPr>
            <w:proofErr w:type="spellStart"/>
            <w:r w:rsidRPr="009276E3">
              <w:rPr>
                <w:color w:val="333333"/>
                <w:lang w:val="en"/>
              </w:rPr>
              <w:t>Metformina</w:t>
            </w:r>
            <w:proofErr w:type="spellEnd"/>
            <w:r w:rsidRPr="009276E3">
              <w:rPr>
                <w:color w:val="333333"/>
                <w:lang w:val="en"/>
              </w:rPr>
              <w:t xml:space="preserve"> jest </w:t>
            </w:r>
            <w:proofErr w:type="spellStart"/>
            <w:r w:rsidRPr="009276E3">
              <w:rPr>
                <w:color w:val="333333"/>
                <w:lang w:val="en"/>
              </w:rPr>
              <w:t>przeciwwskazana</w:t>
            </w:r>
            <w:proofErr w:type="spellEnd"/>
            <w:r w:rsidRPr="009276E3">
              <w:rPr>
                <w:color w:val="333333"/>
                <w:lang w:val="en"/>
              </w:rPr>
              <w:t>.</w:t>
            </w:r>
          </w:p>
        </w:tc>
        <w:tc>
          <w:tcPr>
            <w:tcW w:w="3669" w:type="dxa"/>
            <w:vMerge/>
          </w:tcPr>
          <w:p w14:paraId="5F991F1D" w14:textId="77777777" w:rsidR="00D65BA4" w:rsidRPr="00954256" w:rsidRDefault="00D65BA4" w:rsidP="004C760F">
            <w:pPr>
              <w:keepNext/>
              <w:keepLines/>
              <w:widowControl w:val="0"/>
              <w:rPr>
                <w:color w:val="333333"/>
                <w:lang w:val="en"/>
              </w:rPr>
            </w:pPr>
          </w:p>
        </w:tc>
      </w:tr>
    </w:tbl>
    <w:p w14:paraId="3A2D722F" w14:textId="77777777" w:rsidR="008873E3" w:rsidRPr="00440C66" w:rsidRDefault="008873E3" w:rsidP="004C760F">
      <w:pPr>
        <w:widowControl w:val="0"/>
        <w:ind w:left="0" w:firstLine="0"/>
      </w:pPr>
    </w:p>
    <w:p w14:paraId="7C825667" w14:textId="77777777" w:rsidR="008873E3" w:rsidRPr="00440C66" w:rsidRDefault="008873E3" w:rsidP="004C760F">
      <w:pPr>
        <w:keepNext/>
        <w:widowControl w:val="0"/>
        <w:ind w:left="0" w:firstLine="0"/>
        <w:rPr>
          <w:i/>
        </w:rPr>
      </w:pPr>
      <w:r w:rsidRPr="00440C66">
        <w:rPr>
          <w:i/>
        </w:rPr>
        <w:t>Zaburzenia czynności wątroby</w:t>
      </w:r>
    </w:p>
    <w:p w14:paraId="2F39ABC0" w14:textId="2915575C" w:rsidR="008873E3" w:rsidRPr="00440C66" w:rsidRDefault="002144BD" w:rsidP="004C760F">
      <w:pPr>
        <w:widowControl w:val="0"/>
        <w:ind w:left="0" w:firstLine="0"/>
      </w:pPr>
      <w:r w:rsidRPr="00440C66">
        <w:t xml:space="preserve">Nie należy stosować </w:t>
      </w:r>
      <w:r w:rsidR="007E79D2">
        <w:t>produktu</w:t>
      </w:r>
      <w:r w:rsidR="007E79D2" w:rsidRPr="007E79D2">
        <w:t xml:space="preserve"> Vildagliptin/Metformin hydrochloride Accord</w:t>
      </w:r>
      <w:r w:rsidR="008873E3" w:rsidRPr="00440C66">
        <w:t xml:space="preserve"> u pacjentów z zaburzeniami czynności wątroby</w:t>
      </w:r>
      <w:r w:rsidRPr="00440C66">
        <w:t>, w</w:t>
      </w:r>
      <w:r w:rsidR="00A21B39">
        <w:t> </w:t>
      </w:r>
      <w:r w:rsidRPr="00440C66">
        <w:t xml:space="preserve">tym u pacjentów, u których aktywność aminotransferazy alaninowej (AlAT) lub aminotransferazy asparaginianowej (AspAT) przed zastosowaniem leczenia przekraczała ponad 3 razy górną granicę normy (ULN – ang. </w:t>
      </w:r>
      <w:r w:rsidRPr="00FC35A4">
        <w:rPr>
          <w:i/>
          <w:iCs/>
        </w:rPr>
        <w:t>upper limit of normal</w:t>
      </w:r>
      <w:r w:rsidRPr="00440C66">
        <w:t xml:space="preserve">) </w:t>
      </w:r>
      <w:r w:rsidR="008873E3" w:rsidRPr="00440C66">
        <w:t>(patrz punkty</w:t>
      </w:r>
      <w:r w:rsidR="00F877BA">
        <w:t> </w:t>
      </w:r>
      <w:r w:rsidR="008873E3" w:rsidRPr="00440C66">
        <w:t>4.3</w:t>
      </w:r>
      <w:r w:rsidRPr="00440C66">
        <w:t>, 4.4</w:t>
      </w:r>
      <w:r w:rsidR="008873E3" w:rsidRPr="00440C66">
        <w:t xml:space="preserve"> i </w:t>
      </w:r>
      <w:r w:rsidRPr="00440C66">
        <w:t>4.8</w:t>
      </w:r>
      <w:r w:rsidR="008873E3" w:rsidRPr="00440C66">
        <w:t>).</w:t>
      </w:r>
    </w:p>
    <w:p w14:paraId="527EA1D1" w14:textId="77777777" w:rsidR="008873E3" w:rsidRPr="00440C66" w:rsidRDefault="008873E3" w:rsidP="004C760F">
      <w:pPr>
        <w:widowControl w:val="0"/>
        <w:ind w:left="0" w:firstLine="0"/>
      </w:pPr>
    </w:p>
    <w:p w14:paraId="5F12AA30" w14:textId="77777777" w:rsidR="008A2514" w:rsidRPr="00440C66" w:rsidRDefault="004524AE" w:rsidP="004C760F">
      <w:pPr>
        <w:keepNext/>
        <w:widowControl w:val="0"/>
        <w:ind w:left="0" w:firstLine="0"/>
        <w:rPr>
          <w:i/>
        </w:rPr>
      </w:pPr>
      <w:r w:rsidRPr="00440C66">
        <w:rPr>
          <w:i/>
        </w:rPr>
        <w:t>Dzieci</w:t>
      </w:r>
      <w:r w:rsidR="009E22DF" w:rsidRPr="00440C66">
        <w:rPr>
          <w:i/>
        </w:rPr>
        <w:t xml:space="preserve"> i młodzież</w:t>
      </w:r>
    </w:p>
    <w:p w14:paraId="6A17D66A" w14:textId="27DC9BC2" w:rsidR="008A2514" w:rsidRPr="00440C66" w:rsidRDefault="007E79D2" w:rsidP="004C760F">
      <w:pPr>
        <w:widowControl w:val="0"/>
        <w:ind w:left="0" w:firstLine="0"/>
      </w:pPr>
      <w:r>
        <w:t>Produkt</w:t>
      </w:r>
      <w:r w:rsidR="006A003C">
        <w:t>u</w:t>
      </w:r>
      <w:r>
        <w:t xml:space="preserve"> </w:t>
      </w:r>
      <w:r w:rsidRPr="007E79D2">
        <w:t>Vildagliptin/Metformin hydrochloride Accord</w:t>
      </w:r>
      <w:r w:rsidR="008A2514" w:rsidRPr="00440C66">
        <w:t xml:space="preserve"> nie zaleca</w:t>
      </w:r>
      <w:r w:rsidR="002874B9">
        <w:t xml:space="preserve"> się</w:t>
      </w:r>
      <w:r w:rsidR="008A2514" w:rsidRPr="00440C66">
        <w:t xml:space="preserve"> stosowa</w:t>
      </w:r>
      <w:r w:rsidR="002874B9">
        <w:t>ć</w:t>
      </w:r>
      <w:r w:rsidR="008A2514" w:rsidRPr="00440C66">
        <w:t xml:space="preserve"> u dzieci i młodzieży</w:t>
      </w:r>
      <w:r w:rsidR="00B3690A" w:rsidRPr="00440C66">
        <w:t xml:space="preserve"> (&lt; 18 lat). Nie określono bezpieczeństwa stosowania </w:t>
      </w:r>
      <w:r w:rsidR="00122DB1" w:rsidRPr="00440C66">
        <w:t>an</w:t>
      </w:r>
      <w:r w:rsidR="00B3690A" w:rsidRPr="00440C66">
        <w:t xml:space="preserve">i skuteczności </w:t>
      </w:r>
      <w:r w:rsidR="006A003C">
        <w:t>produktu</w:t>
      </w:r>
      <w:r w:rsidR="006A003C" w:rsidRPr="006A003C">
        <w:t xml:space="preserve"> Vildagliptin/Metformin hydrochloride Accord</w:t>
      </w:r>
      <w:r w:rsidR="00B3690A" w:rsidRPr="00440C66">
        <w:t xml:space="preserve"> u dzieci i</w:t>
      </w:r>
      <w:r w:rsidR="00A21B39">
        <w:t> </w:t>
      </w:r>
      <w:r w:rsidR="00B3690A" w:rsidRPr="00440C66">
        <w:t xml:space="preserve">młodzieży (&lt; 18 lat). </w:t>
      </w:r>
      <w:r w:rsidR="00F0660E">
        <w:t>Dane nie są dostępne</w:t>
      </w:r>
      <w:r w:rsidR="00B3690A" w:rsidRPr="00440C66">
        <w:t>.</w:t>
      </w:r>
    </w:p>
    <w:p w14:paraId="2F899EB0" w14:textId="77777777" w:rsidR="00B3690A" w:rsidRPr="00440C66" w:rsidRDefault="00B3690A" w:rsidP="004C760F">
      <w:pPr>
        <w:widowControl w:val="0"/>
        <w:ind w:left="0" w:firstLine="0"/>
      </w:pPr>
    </w:p>
    <w:p w14:paraId="4D999B48" w14:textId="77777777" w:rsidR="00B3690A" w:rsidRDefault="00B3690A" w:rsidP="004C760F">
      <w:pPr>
        <w:keepNext/>
        <w:widowControl w:val="0"/>
        <w:ind w:left="0" w:firstLine="0"/>
        <w:rPr>
          <w:u w:val="single"/>
        </w:rPr>
      </w:pPr>
      <w:r w:rsidRPr="00440C66">
        <w:rPr>
          <w:u w:val="single"/>
        </w:rPr>
        <w:t>Sposób podawania</w:t>
      </w:r>
    </w:p>
    <w:p w14:paraId="18E6EEBA" w14:textId="77777777" w:rsidR="00F0660E" w:rsidRPr="00440C66" w:rsidRDefault="00F0660E" w:rsidP="004C760F">
      <w:pPr>
        <w:keepNext/>
        <w:widowControl w:val="0"/>
        <w:ind w:left="0" w:firstLine="0"/>
        <w:rPr>
          <w:u w:val="single"/>
        </w:rPr>
      </w:pPr>
    </w:p>
    <w:p w14:paraId="6E6119AD" w14:textId="77777777" w:rsidR="00B3690A" w:rsidRPr="00440C66" w:rsidRDefault="00B3690A" w:rsidP="004C760F">
      <w:pPr>
        <w:widowControl w:val="0"/>
        <w:ind w:left="0" w:firstLine="0"/>
      </w:pPr>
      <w:r w:rsidRPr="00440C66">
        <w:t>Podanie doustne.</w:t>
      </w:r>
    </w:p>
    <w:p w14:paraId="1E230653" w14:textId="3D0A3257" w:rsidR="00B3690A" w:rsidRPr="00440C66" w:rsidRDefault="00B3690A" w:rsidP="004C760F">
      <w:pPr>
        <w:widowControl w:val="0"/>
        <w:ind w:left="0" w:firstLine="0"/>
      </w:pPr>
      <w:r w:rsidRPr="00440C66">
        <w:t xml:space="preserve">Przyjmowanie </w:t>
      </w:r>
      <w:r w:rsidR="006A003C">
        <w:t>produktu</w:t>
      </w:r>
      <w:r w:rsidR="006A003C" w:rsidRPr="006A003C">
        <w:t xml:space="preserve"> Vildagliptin/Metformin hydrochloride Accord</w:t>
      </w:r>
      <w:r w:rsidRPr="00440C66">
        <w:t xml:space="preserve"> podczas posiłku lub zaraz po posiłku może zmniejszyć objawy ze strony żołądka i jelit związane ze stosowaniem metforminy (patrz także punkt</w:t>
      </w:r>
      <w:r w:rsidR="00F0660E">
        <w:t> </w:t>
      </w:r>
      <w:r w:rsidRPr="00440C66">
        <w:t>5.2).</w:t>
      </w:r>
    </w:p>
    <w:p w14:paraId="40B65706" w14:textId="77777777" w:rsidR="00B3690A" w:rsidRPr="00440C66" w:rsidRDefault="00B3690A" w:rsidP="00500E8F">
      <w:pPr>
        <w:widowControl w:val="0"/>
        <w:ind w:left="0" w:firstLine="0"/>
      </w:pPr>
    </w:p>
    <w:p w14:paraId="2E3555DA" w14:textId="77777777" w:rsidR="008A2514" w:rsidRPr="00440C66" w:rsidRDefault="008A2514" w:rsidP="00BE489B">
      <w:pPr>
        <w:keepNext/>
        <w:widowControl w:val="0"/>
        <w:rPr>
          <w:b/>
        </w:rPr>
      </w:pPr>
      <w:r w:rsidRPr="00440C66">
        <w:rPr>
          <w:b/>
        </w:rPr>
        <w:t>4.3</w:t>
      </w:r>
      <w:r w:rsidRPr="00440C66">
        <w:rPr>
          <w:b/>
        </w:rPr>
        <w:tab/>
      </w:r>
      <w:r w:rsidR="001A546B">
        <w:rPr>
          <w:b/>
        </w:rPr>
        <w:tab/>
      </w:r>
      <w:r w:rsidRPr="00440C66">
        <w:rPr>
          <w:b/>
        </w:rPr>
        <w:t>Przeciwwskazania</w:t>
      </w:r>
    </w:p>
    <w:p w14:paraId="4F2B4969" w14:textId="77777777" w:rsidR="008A2514" w:rsidRPr="00440C66" w:rsidRDefault="008A2514" w:rsidP="00AC6206">
      <w:pPr>
        <w:keepNext/>
        <w:widowControl w:val="0"/>
      </w:pPr>
    </w:p>
    <w:p w14:paraId="4AAC2A58" w14:textId="77777777" w:rsidR="008A2514" w:rsidRPr="00440C66" w:rsidRDefault="008A2514" w:rsidP="00AC6206">
      <w:pPr>
        <w:widowControl w:val="0"/>
        <w:numPr>
          <w:ilvl w:val="0"/>
          <w:numId w:val="3"/>
        </w:numPr>
      </w:pPr>
      <w:r w:rsidRPr="00440C66">
        <w:t>Nadwrażliwość na substancję czynną lub na którąkolwiek substancję pomocniczą</w:t>
      </w:r>
      <w:r w:rsidR="00B3690A" w:rsidRPr="00440C66">
        <w:t xml:space="preserve"> wymienioną w punkcie</w:t>
      </w:r>
      <w:r w:rsidR="00F0660E">
        <w:t> </w:t>
      </w:r>
      <w:r w:rsidR="00B3690A" w:rsidRPr="00440C66">
        <w:t>6.1</w:t>
      </w:r>
      <w:r w:rsidR="00CA2DEE">
        <w:t>;</w:t>
      </w:r>
    </w:p>
    <w:p w14:paraId="49E14CB5" w14:textId="77777777" w:rsidR="00F02350" w:rsidRDefault="009276E3" w:rsidP="00A243D2">
      <w:pPr>
        <w:widowControl w:val="0"/>
        <w:numPr>
          <w:ilvl w:val="0"/>
          <w:numId w:val="3"/>
        </w:numPr>
      </w:pPr>
      <w:r w:rsidRPr="008438A1">
        <w:rPr>
          <w:szCs w:val="22"/>
        </w:rPr>
        <w:t xml:space="preserve">Każdy </w:t>
      </w:r>
      <w:r>
        <w:rPr>
          <w:szCs w:val="22"/>
        </w:rPr>
        <w:t xml:space="preserve">rodzaj </w:t>
      </w:r>
      <w:r w:rsidRPr="008438A1">
        <w:rPr>
          <w:szCs w:val="22"/>
        </w:rPr>
        <w:t>ostrej kwasicy metabolicznej (takiej jak kwasica mleczanowa, cukrzycowa kwasica ketonowa)</w:t>
      </w:r>
      <w:r w:rsidR="00CA2DEE">
        <w:rPr>
          <w:szCs w:val="22"/>
        </w:rPr>
        <w:t>;</w:t>
      </w:r>
    </w:p>
    <w:p w14:paraId="63489451" w14:textId="77777777" w:rsidR="008A2514" w:rsidRPr="00440C66" w:rsidRDefault="00F02350" w:rsidP="00B232B0">
      <w:pPr>
        <w:widowControl w:val="0"/>
        <w:numPr>
          <w:ilvl w:val="0"/>
          <w:numId w:val="3"/>
        </w:numPr>
      </w:pPr>
      <w:r>
        <w:t>C</w:t>
      </w:r>
      <w:r w:rsidR="00545545" w:rsidRPr="00440C66">
        <w:t>ukrzycowy stan przedśpiączkowy</w:t>
      </w:r>
      <w:r w:rsidR="00CA2DEE">
        <w:t>;</w:t>
      </w:r>
    </w:p>
    <w:p w14:paraId="726EDC16" w14:textId="77777777" w:rsidR="00545545" w:rsidRPr="00440C66" w:rsidRDefault="009276E3" w:rsidP="00B232B0">
      <w:pPr>
        <w:widowControl w:val="0"/>
        <w:numPr>
          <w:ilvl w:val="0"/>
          <w:numId w:val="3"/>
        </w:numPr>
      </w:pPr>
      <w:r>
        <w:t>Ciężka n</w:t>
      </w:r>
      <w:r w:rsidR="00545545" w:rsidRPr="00440C66">
        <w:t xml:space="preserve">iewydolność nerek </w:t>
      </w:r>
      <w:r w:rsidR="00D27758">
        <w:t xml:space="preserve">(GFR </w:t>
      </w:r>
      <w:r w:rsidR="004524AE" w:rsidRPr="00440C66">
        <w:t>&lt; </w:t>
      </w:r>
      <w:r w:rsidR="00D27758">
        <w:t>3</w:t>
      </w:r>
      <w:r w:rsidR="004524AE" w:rsidRPr="00440C66">
        <w:t>0 </w:t>
      </w:r>
      <w:r w:rsidR="00545545" w:rsidRPr="00440C66">
        <w:t>ml/min</w:t>
      </w:r>
      <w:r w:rsidR="00D27758">
        <w:t>)</w:t>
      </w:r>
      <w:r w:rsidR="00F0660E">
        <w:t xml:space="preserve"> (patrz punkt 4.4)</w:t>
      </w:r>
      <w:r w:rsidR="00CA2DEE">
        <w:t>;</w:t>
      </w:r>
    </w:p>
    <w:p w14:paraId="21FE3114" w14:textId="77777777" w:rsidR="00D1523A" w:rsidRPr="00440C66" w:rsidRDefault="00545545" w:rsidP="00950B40">
      <w:pPr>
        <w:keepNext/>
        <w:widowControl w:val="0"/>
        <w:numPr>
          <w:ilvl w:val="0"/>
          <w:numId w:val="3"/>
        </w:numPr>
      </w:pPr>
      <w:r w:rsidRPr="00440C66">
        <w:t xml:space="preserve">Stany ostre, które mogą </w:t>
      </w:r>
      <w:r w:rsidR="000313F2" w:rsidRPr="00440C66">
        <w:t xml:space="preserve">zaburzać </w:t>
      </w:r>
      <w:r w:rsidRPr="00440C66">
        <w:t>czynność nerek, takie jak</w:t>
      </w:r>
      <w:r w:rsidR="00D1523A" w:rsidRPr="00440C66">
        <w:t>:</w:t>
      </w:r>
    </w:p>
    <w:p w14:paraId="2FAD9420" w14:textId="77777777" w:rsidR="00D1523A" w:rsidRPr="00440C66" w:rsidRDefault="00545545" w:rsidP="00950B40">
      <w:pPr>
        <w:widowControl w:val="0"/>
        <w:numPr>
          <w:ilvl w:val="0"/>
          <w:numId w:val="4"/>
        </w:numPr>
      </w:pPr>
      <w:r w:rsidRPr="00440C66">
        <w:t>odwodnienie,</w:t>
      </w:r>
    </w:p>
    <w:p w14:paraId="31184A85" w14:textId="77777777" w:rsidR="00D1523A" w:rsidRPr="00440C66" w:rsidRDefault="00DD10D6" w:rsidP="008C5989">
      <w:pPr>
        <w:widowControl w:val="0"/>
        <w:numPr>
          <w:ilvl w:val="0"/>
          <w:numId w:val="4"/>
        </w:numPr>
      </w:pPr>
      <w:r w:rsidRPr="00440C66">
        <w:t>ciężkie</w:t>
      </w:r>
      <w:r w:rsidR="00545545" w:rsidRPr="00440C66">
        <w:t xml:space="preserve"> zakażenie,</w:t>
      </w:r>
    </w:p>
    <w:p w14:paraId="0BEFA151" w14:textId="77777777" w:rsidR="00D1523A" w:rsidRPr="00440C66" w:rsidRDefault="00545545" w:rsidP="008C5989">
      <w:pPr>
        <w:widowControl w:val="0"/>
        <w:numPr>
          <w:ilvl w:val="0"/>
          <w:numId w:val="4"/>
        </w:numPr>
      </w:pPr>
      <w:r w:rsidRPr="00440C66">
        <w:t>wstrz</w:t>
      </w:r>
      <w:r w:rsidR="00A445AA" w:rsidRPr="00440C66">
        <w:t>ąs,</w:t>
      </w:r>
    </w:p>
    <w:p w14:paraId="030C6178" w14:textId="77777777" w:rsidR="00545545" w:rsidRPr="00440C66" w:rsidRDefault="00A445AA" w:rsidP="008C5989">
      <w:pPr>
        <w:widowControl w:val="0"/>
        <w:numPr>
          <w:ilvl w:val="0"/>
          <w:numId w:val="4"/>
        </w:numPr>
      </w:pPr>
      <w:r w:rsidRPr="00440C66">
        <w:t xml:space="preserve">donaczyniowe podanie </w:t>
      </w:r>
      <w:r w:rsidR="00545545" w:rsidRPr="00440C66">
        <w:t>środków kont</w:t>
      </w:r>
      <w:r w:rsidR="00DD10D6" w:rsidRPr="00440C66">
        <w:t>r</w:t>
      </w:r>
      <w:r w:rsidR="00545545" w:rsidRPr="00440C66">
        <w:t>a</w:t>
      </w:r>
      <w:r w:rsidR="00DD10D6" w:rsidRPr="00440C66">
        <w:t>s</w:t>
      </w:r>
      <w:r w:rsidR="00545545" w:rsidRPr="00440C66">
        <w:t>towych</w:t>
      </w:r>
      <w:r w:rsidR="000313F2" w:rsidRPr="00440C66">
        <w:t xml:space="preserve"> zawierających</w:t>
      </w:r>
      <w:r w:rsidR="00545545" w:rsidRPr="00440C66">
        <w:t xml:space="preserve"> </w:t>
      </w:r>
      <w:r w:rsidR="00082C8F" w:rsidRPr="00440C66">
        <w:t xml:space="preserve">jod </w:t>
      </w:r>
      <w:r w:rsidR="00545545" w:rsidRPr="00440C66">
        <w:t>(patrz punkt</w:t>
      </w:r>
      <w:r w:rsidR="00F0660E">
        <w:t> </w:t>
      </w:r>
      <w:r w:rsidR="00545545" w:rsidRPr="00440C66">
        <w:t>4.4)</w:t>
      </w:r>
      <w:r w:rsidR="00CA2DEE">
        <w:t>;</w:t>
      </w:r>
    </w:p>
    <w:p w14:paraId="0D03DF2F" w14:textId="77777777" w:rsidR="000A66EA" w:rsidRPr="00440C66" w:rsidRDefault="00545545" w:rsidP="001C2341">
      <w:pPr>
        <w:widowControl w:val="0"/>
        <w:numPr>
          <w:ilvl w:val="0"/>
          <w:numId w:val="4"/>
        </w:numPr>
        <w:tabs>
          <w:tab w:val="clear" w:pos="1134"/>
          <w:tab w:val="num" w:pos="540"/>
        </w:tabs>
        <w:ind w:left="540" w:hanging="540"/>
      </w:pPr>
      <w:r w:rsidRPr="00440C66">
        <w:t>Ostra lub przewlekła choroba, która może być przyczyną niedotlenienia tkanek, taka jak</w:t>
      </w:r>
      <w:r w:rsidR="000A66EA" w:rsidRPr="00440C66">
        <w:t>:</w:t>
      </w:r>
    </w:p>
    <w:p w14:paraId="6895D675" w14:textId="77777777" w:rsidR="000A66EA" w:rsidRPr="00440C66" w:rsidRDefault="00545545" w:rsidP="00C1302F">
      <w:pPr>
        <w:widowControl w:val="0"/>
        <w:numPr>
          <w:ilvl w:val="0"/>
          <w:numId w:val="4"/>
        </w:numPr>
      </w:pPr>
      <w:r w:rsidRPr="00440C66">
        <w:t>niewydolność serca lub układu oddechowego,</w:t>
      </w:r>
    </w:p>
    <w:p w14:paraId="575122CE" w14:textId="77777777" w:rsidR="000A66EA" w:rsidRPr="00440C66" w:rsidRDefault="00A445AA" w:rsidP="00D94181">
      <w:pPr>
        <w:widowControl w:val="0"/>
        <w:numPr>
          <w:ilvl w:val="0"/>
          <w:numId w:val="4"/>
        </w:numPr>
      </w:pPr>
      <w:r w:rsidRPr="00440C66">
        <w:t>niedawno przebyty</w:t>
      </w:r>
      <w:r w:rsidR="00545545" w:rsidRPr="00440C66">
        <w:t xml:space="preserve"> zawał mięśnia sercowego,</w:t>
      </w:r>
    </w:p>
    <w:p w14:paraId="5EB1215C" w14:textId="77777777" w:rsidR="00545545" w:rsidRPr="00440C66" w:rsidRDefault="00545545" w:rsidP="004C760F">
      <w:pPr>
        <w:widowControl w:val="0"/>
        <w:numPr>
          <w:ilvl w:val="0"/>
          <w:numId w:val="4"/>
        </w:numPr>
      </w:pPr>
      <w:r w:rsidRPr="00440C66">
        <w:t>wstrząs</w:t>
      </w:r>
      <w:r w:rsidR="00CA2DEE">
        <w:t>;</w:t>
      </w:r>
    </w:p>
    <w:p w14:paraId="4C59AF2C" w14:textId="77777777" w:rsidR="00545545" w:rsidRPr="00440C66" w:rsidRDefault="00545545" w:rsidP="001C2341">
      <w:pPr>
        <w:widowControl w:val="0"/>
        <w:numPr>
          <w:ilvl w:val="0"/>
          <w:numId w:val="4"/>
        </w:numPr>
        <w:tabs>
          <w:tab w:val="clear" w:pos="1134"/>
          <w:tab w:val="num" w:pos="540"/>
        </w:tabs>
        <w:ind w:left="540" w:hanging="540"/>
      </w:pPr>
      <w:r w:rsidRPr="00440C66">
        <w:t>Zaburzenia czynności wątroby</w:t>
      </w:r>
      <w:r w:rsidR="002144BD" w:rsidRPr="00440C66">
        <w:t xml:space="preserve"> (patrz punkty</w:t>
      </w:r>
      <w:r w:rsidR="00F0660E">
        <w:t> </w:t>
      </w:r>
      <w:r w:rsidR="00A64D86" w:rsidRPr="00440C66">
        <w:t>4.2, 4.4 i 4.8)</w:t>
      </w:r>
      <w:r w:rsidR="00CA2DEE">
        <w:t>;</w:t>
      </w:r>
    </w:p>
    <w:p w14:paraId="27A20247" w14:textId="77777777" w:rsidR="00545545" w:rsidRPr="00440C66" w:rsidRDefault="00545545" w:rsidP="001C2341">
      <w:pPr>
        <w:widowControl w:val="0"/>
        <w:numPr>
          <w:ilvl w:val="0"/>
          <w:numId w:val="4"/>
        </w:numPr>
        <w:tabs>
          <w:tab w:val="clear" w:pos="1134"/>
          <w:tab w:val="num" w:pos="540"/>
        </w:tabs>
        <w:ind w:left="540" w:hanging="540"/>
      </w:pPr>
      <w:r w:rsidRPr="00440C66">
        <w:t>Ostre zatrucie alkoholem, alkoholizm</w:t>
      </w:r>
      <w:r w:rsidR="00CA2DEE">
        <w:t>;</w:t>
      </w:r>
    </w:p>
    <w:p w14:paraId="0D3E28BA" w14:textId="77777777" w:rsidR="00545545" w:rsidRPr="00440C66" w:rsidRDefault="00B3690A" w:rsidP="001C2341">
      <w:pPr>
        <w:widowControl w:val="0"/>
        <w:numPr>
          <w:ilvl w:val="0"/>
          <w:numId w:val="4"/>
        </w:numPr>
        <w:tabs>
          <w:tab w:val="clear" w:pos="1134"/>
          <w:tab w:val="num" w:pos="540"/>
        </w:tabs>
        <w:ind w:left="540" w:hanging="540"/>
      </w:pPr>
      <w:r w:rsidRPr="00440C66">
        <w:t xml:space="preserve">Karmienie piersią </w:t>
      </w:r>
      <w:r w:rsidR="00545545" w:rsidRPr="00440C66">
        <w:t>(patrz punkt</w:t>
      </w:r>
      <w:r w:rsidR="00F0660E">
        <w:t> </w:t>
      </w:r>
      <w:r w:rsidR="00545545" w:rsidRPr="00440C66">
        <w:t>4.6)</w:t>
      </w:r>
      <w:r w:rsidR="00CA2DEE">
        <w:t>.</w:t>
      </w:r>
    </w:p>
    <w:p w14:paraId="24AD0D43" w14:textId="77777777" w:rsidR="008A2514" w:rsidRPr="00440C66" w:rsidRDefault="008A2514" w:rsidP="004C760F">
      <w:pPr>
        <w:widowControl w:val="0"/>
      </w:pPr>
    </w:p>
    <w:p w14:paraId="1DE284D4" w14:textId="77777777" w:rsidR="00F33CC1" w:rsidRPr="00440C66" w:rsidRDefault="008A2514" w:rsidP="004C760F">
      <w:pPr>
        <w:keepNext/>
        <w:widowControl w:val="0"/>
        <w:rPr>
          <w:b/>
        </w:rPr>
      </w:pPr>
      <w:r w:rsidRPr="00440C66">
        <w:rPr>
          <w:b/>
        </w:rPr>
        <w:lastRenderedPageBreak/>
        <w:t>4.4</w:t>
      </w:r>
      <w:r w:rsidRPr="00440C66">
        <w:rPr>
          <w:b/>
        </w:rPr>
        <w:tab/>
        <w:t>Specjalne ostrzeżenia i środki ostrożności dotyczące stosowania</w:t>
      </w:r>
    </w:p>
    <w:p w14:paraId="160E896B" w14:textId="77777777" w:rsidR="008A2514" w:rsidRPr="00440C66" w:rsidRDefault="008A2514" w:rsidP="004C760F">
      <w:pPr>
        <w:keepNext/>
        <w:widowControl w:val="0"/>
      </w:pPr>
    </w:p>
    <w:p w14:paraId="46BA7D87" w14:textId="77777777" w:rsidR="008A2514" w:rsidRDefault="008A2514" w:rsidP="004C760F">
      <w:pPr>
        <w:keepNext/>
        <w:widowControl w:val="0"/>
        <w:rPr>
          <w:u w:val="single"/>
        </w:rPr>
      </w:pPr>
      <w:r w:rsidRPr="00440C66">
        <w:rPr>
          <w:u w:val="single"/>
        </w:rPr>
        <w:t>Ogólne</w:t>
      </w:r>
    </w:p>
    <w:p w14:paraId="7B6E6B99" w14:textId="77777777" w:rsidR="00F0660E" w:rsidRPr="00440C66" w:rsidRDefault="00F0660E" w:rsidP="004C760F">
      <w:pPr>
        <w:keepNext/>
        <w:widowControl w:val="0"/>
        <w:rPr>
          <w:u w:val="single"/>
        </w:rPr>
      </w:pPr>
    </w:p>
    <w:p w14:paraId="5622B854" w14:textId="1A4A7013" w:rsidR="008A2514" w:rsidRPr="00440C66" w:rsidRDefault="006A003C" w:rsidP="004C760F">
      <w:pPr>
        <w:widowControl w:val="0"/>
        <w:ind w:left="0" w:firstLine="0"/>
      </w:pPr>
      <w:r>
        <w:t>Produkt</w:t>
      </w:r>
      <w:r w:rsidRPr="006A003C">
        <w:t xml:space="preserve"> Vildagliptin/Metformin hydrochloride Accord</w:t>
      </w:r>
      <w:r w:rsidR="008A2514" w:rsidRPr="00440C66">
        <w:t xml:space="preserve"> nie </w:t>
      </w:r>
      <w:r w:rsidR="004763CB" w:rsidRPr="00440C66">
        <w:t>zastępuj</w:t>
      </w:r>
      <w:r>
        <w:t>e</w:t>
      </w:r>
      <w:r w:rsidR="004763CB" w:rsidRPr="00440C66">
        <w:t xml:space="preserve"> </w:t>
      </w:r>
      <w:r w:rsidR="008A2514" w:rsidRPr="00440C66">
        <w:t>insulin</w:t>
      </w:r>
      <w:r w:rsidR="00A87AEB" w:rsidRPr="00440C66">
        <w:t>y</w:t>
      </w:r>
      <w:r w:rsidR="008A2514" w:rsidRPr="00440C66">
        <w:t xml:space="preserve"> u pacjentów wymagających podawania insuliny</w:t>
      </w:r>
      <w:r w:rsidR="00545545" w:rsidRPr="00440C66">
        <w:t xml:space="preserve"> i n</w:t>
      </w:r>
      <w:r w:rsidR="008A2514" w:rsidRPr="00440C66">
        <w:t xml:space="preserve">ie należy </w:t>
      </w:r>
      <w:r>
        <w:t>go</w:t>
      </w:r>
      <w:r w:rsidR="00545545" w:rsidRPr="00440C66">
        <w:t xml:space="preserve"> </w:t>
      </w:r>
      <w:r w:rsidR="008A2514" w:rsidRPr="00440C66">
        <w:t>podawać pacjentom z cukrzycą t</w:t>
      </w:r>
      <w:r w:rsidR="00A445AA" w:rsidRPr="00440C66">
        <w:t>ypu</w:t>
      </w:r>
      <w:r w:rsidR="00D722DD" w:rsidRPr="00440C66">
        <w:t> </w:t>
      </w:r>
      <w:r w:rsidR="00A445AA" w:rsidRPr="00440C66">
        <w:t>1</w:t>
      </w:r>
      <w:r w:rsidR="008A2514" w:rsidRPr="00440C66">
        <w:t>.</w:t>
      </w:r>
    </w:p>
    <w:p w14:paraId="0D065027" w14:textId="77777777" w:rsidR="008A2514" w:rsidRPr="00440C66" w:rsidRDefault="008A2514" w:rsidP="004C760F">
      <w:pPr>
        <w:widowControl w:val="0"/>
        <w:ind w:left="0" w:firstLine="0"/>
      </w:pPr>
    </w:p>
    <w:p w14:paraId="463D8F48" w14:textId="77777777" w:rsidR="00545545" w:rsidRDefault="00545545" w:rsidP="004C760F">
      <w:pPr>
        <w:keepNext/>
        <w:widowControl w:val="0"/>
        <w:ind w:left="0" w:firstLine="0"/>
        <w:rPr>
          <w:u w:val="single"/>
        </w:rPr>
      </w:pPr>
      <w:r w:rsidRPr="00440C66">
        <w:rPr>
          <w:u w:val="single"/>
        </w:rPr>
        <w:t xml:space="preserve">Kwasica </w:t>
      </w:r>
      <w:r w:rsidR="00D6784D" w:rsidRPr="00440C66">
        <w:rPr>
          <w:u w:val="single"/>
        </w:rPr>
        <w:t>mleczanowa</w:t>
      </w:r>
    </w:p>
    <w:p w14:paraId="42AE8FF4" w14:textId="77777777" w:rsidR="00F0660E" w:rsidRPr="00837913" w:rsidRDefault="00F0660E" w:rsidP="004C760F">
      <w:pPr>
        <w:keepNext/>
        <w:widowControl w:val="0"/>
        <w:ind w:left="0" w:firstLine="0"/>
      </w:pPr>
    </w:p>
    <w:p w14:paraId="3DD55277" w14:textId="1964F0B6" w:rsidR="002E11A8" w:rsidRDefault="002E11A8" w:rsidP="004C760F">
      <w:pPr>
        <w:widowControl w:val="0"/>
        <w:ind w:left="0" w:firstLine="0"/>
      </w:pPr>
      <w:r>
        <w:t>Kwasica mleczanowa, bardzo rzadkie</w:t>
      </w:r>
      <w:r w:rsidR="00F0660E">
        <w:t>,</w:t>
      </w:r>
      <w:r>
        <w:t xml:space="preserve"> ale ciężkie powikłanie metaboliczne, występuje najczęściej w</w:t>
      </w:r>
      <w:r w:rsidR="00A21B39">
        <w:t> </w:t>
      </w:r>
      <w:r>
        <w:t>ostrym pogorszeniu czynności nerek, chorobach układu krążenia lub chorobach układu oddechowego, lub posocznicy. W przypadkach nagłego pogorszenia czynności nerek dochodzi do kumulacji metforminy, co zwiększa ryzyko kwasicy mleczanowej.</w:t>
      </w:r>
    </w:p>
    <w:p w14:paraId="3BC97C5E" w14:textId="77777777" w:rsidR="00D73131" w:rsidRDefault="00D73131" w:rsidP="004C760F">
      <w:pPr>
        <w:widowControl w:val="0"/>
        <w:ind w:left="0" w:firstLine="0"/>
      </w:pPr>
    </w:p>
    <w:p w14:paraId="3BB4F385" w14:textId="77777777" w:rsidR="002E11A8" w:rsidRDefault="002E11A8" w:rsidP="004C760F">
      <w:pPr>
        <w:widowControl w:val="0"/>
        <w:ind w:left="0" w:firstLine="0"/>
      </w:pPr>
      <w:r>
        <w:t>W przypadku odwodnienia (ciężka biegunka lub wymioty, gorączka lub zmniejszona podaż płynów) należy tymczasowo wstrzymać stosowanie metforminy i zalecane jest zwrócenie się do lekarza.</w:t>
      </w:r>
    </w:p>
    <w:p w14:paraId="27EF1933" w14:textId="77777777" w:rsidR="00D73131" w:rsidRDefault="00D73131" w:rsidP="004C760F">
      <w:pPr>
        <w:widowControl w:val="0"/>
        <w:ind w:left="0" w:firstLine="0"/>
      </w:pPr>
    </w:p>
    <w:p w14:paraId="1AA671E0" w14:textId="77777777" w:rsidR="00D73131" w:rsidRDefault="002E11A8" w:rsidP="004C760F">
      <w:pPr>
        <w:widowControl w:val="0"/>
        <w:ind w:left="0" w:firstLine="0"/>
      </w:pPr>
      <w:r>
        <w:t>U pacjentów leczonych metforminą należy ostrożnie rozpoczynać leczenie produktami leczniczymi, które mogą ciężko zaburzyć czynność nerek (takimi jak leki przeciwnadciśnieniowe, moczopędne lub NLPZ). Inne czynniki ryzyka kwasicy mleczanowej to nadmierne spożycie alkoholu, niewydolność wątroby, źle kontrolowana cukrzyca, ketoza, długotrwałe głodzenie i wszelkie stany związane z</w:t>
      </w:r>
      <w:r w:rsidR="00303F62">
        <w:t> </w:t>
      </w:r>
      <w:r>
        <w:t>niedotlenieniem, jak również jednoczesne stosowanie produktów leczniczych mogących wywołać kwasicę mleczanową (patrz punkty</w:t>
      </w:r>
      <w:r w:rsidR="00666748">
        <w:t> </w:t>
      </w:r>
      <w:r>
        <w:t>4.3 i 4.5).</w:t>
      </w:r>
    </w:p>
    <w:p w14:paraId="7E6B68A0" w14:textId="77777777" w:rsidR="00D73131" w:rsidRPr="00440C66" w:rsidRDefault="00D73131" w:rsidP="004C760F">
      <w:pPr>
        <w:widowControl w:val="0"/>
        <w:ind w:left="0" w:firstLine="0"/>
      </w:pPr>
    </w:p>
    <w:p w14:paraId="7999C28D" w14:textId="50732625" w:rsidR="002E3EDE" w:rsidRDefault="00D73131" w:rsidP="004C760F">
      <w:pPr>
        <w:widowControl w:val="0"/>
        <w:ind w:left="0" w:firstLine="0"/>
      </w:pPr>
      <w:r w:rsidRPr="008438A1">
        <w:t>Pacjen</w:t>
      </w:r>
      <w:r>
        <w:t>tów i (</w:t>
      </w:r>
      <w:r w:rsidRPr="008438A1">
        <w:t>lub</w:t>
      </w:r>
      <w:r>
        <w:t xml:space="preserve">) ich </w:t>
      </w:r>
      <w:r w:rsidRPr="008438A1">
        <w:t>opiekun</w:t>
      </w:r>
      <w:r>
        <w:t xml:space="preserve">ów należy </w:t>
      </w:r>
      <w:r w:rsidRPr="008438A1">
        <w:t>poinformowa</w:t>
      </w:r>
      <w:r>
        <w:t>ć</w:t>
      </w:r>
      <w:r w:rsidRPr="008438A1">
        <w:t xml:space="preserve"> o ryzyku </w:t>
      </w:r>
      <w:r w:rsidRPr="002E56EE">
        <w:t>wystąpienia</w:t>
      </w:r>
      <w:r w:rsidRPr="008438A1">
        <w:t xml:space="preserve"> kwasicy mleczanowej.</w:t>
      </w:r>
      <w:r>
        <w:t xml:space="preserve"> </w:t>
      </w:r>
      <w:r w:rsidR="0090036E" w:rsidRPr="00440C66">
        <w:t>Kwasic</w:t>
      </w:r>
      <w:r>
        <w:t>ę</w:t>
      </w:r>
      <w:r w:rsidR="0090036E" w:rsidRPr="00440C66">
        <w:t xml:space="preserve"> mleczanow</w:t>
      </w:r>
      <w:r>
        <w:t>ą</w:t>
      </w:r>
      <w:r w:rsidR="0090036E" w:rsidRPr="00440C66">
        <w:t xml:space="preserve"> charakteryzuje </w:t>
      </w:r>
      <w:r>
        <w:t>występowanie</w:t>
      </w:r>
      <w:r w:rsidR="0090036E" w:rsidRPr="00440C66">
        <w:t xml:space="preserve"> </w:t>
      </w:r>
      <w:r w:rsidR="00082C8F" w:rsidRPr="00440C66">
        <w:t xml:space="preserve">duszności </w:t>
      </w:r>
      <w:r>
        <w:t>kwasiczej</w:t>
      </w:r>
      <w:r w:rsidR="0090036E" w:rsidRPr="00440C66">
        <w:t>, ból</w:t>
      </w:r>
      <w:r>
        <w:t>u</w:t>
      </w:r>
      <w:r w:rsidR="0090036E" w:rsidRPr="00440C66">
        <w:t xml:space="preserve"> brzucha</w:t>
      </w:r>
      <w:r>
        <w:t>, skurczów mięśni, astenii</w:t>
      </w:r>
      <w:r w:rsidR="0090036E" w:rsidRPr="00440C66">
        <w:t xml:space="preserve"> i hipotermi</w:t>
      </w:r>
      <w:r>
        <w:t>i</w:t>
      </w:r>
      <w:r w:rsidR="0090036E" w:rsidRPr="00440C66">
        <w:t xml:space="preserve">, </w:t>
      </w:r>
      <w:r>
        <w:t xml:space="preserve">po której następuje śpiączka. </w:t>
      </w:r>
      <w:r w:rsidRPr="00D73131">
        <w:t>W razie wystąpienia podejrzanych objawów pacjent powinien odstawić metforminę i szukać natychmiastowej pomocy medycznej. Odchylenia od wartości prawidłowych w wynikach badań laboratoryjnych obejmują zmniejszenie wartości pH krwi (&lt;</w:t>
      </w:r>
      <w:r w:rsidR="00666748">
        <w:t> </w:t>
      </w:r>
      <w:r w:rsidRPr="00D73131">
        <w:t>7,35), zwiększenie stężenia mleczanów w osoczu (&gt;</w:t>
      </w:r>
      <w:r w:rsidR="00666748">
        <w:t> </w:t>
      </w:r>
      <w:r w:rsidRPr="00D73131">
        <w:t>5</w:t>
      </w:r>
      <w:r w:rsidR="00666748">
        <w:t> </w:t>
      </w:r>
      <w:r w:rsidRPr="00D73131">
        <w:t>mmol/l) oraz zwiększenie luki anionowej i</w:t>
      </w:r>
      <w:r w:rsidR="00A21B39">
        <w:t> </w:t>
      </w:r>
      <w:r w:rsidRPr="00D73131">
        <w:t>stosu</w:t>
      </w:r>
      <w:r w:rsidR="00303F62">
        <w:t xml:space="preserve">nku </w:t>
      </w:r>
      <w:r>
        <w:t>mleczanów do pirogronianów</w:t>
      </w:r>
      <w:r w:rsidR="0090036E" w:rsidRPr="00440C66">
        <w:t xml:space="preserve">. </w:t>
      </w:r>
    </w:p>
    <w:p w14:paraId="178C66FA" w14:textId="77777777" w:rsidR="00387086" w:rsidRDefault="00387086" w:rsidP="004C760F">
      <w:pPr>
        <w:widowControl w:val="0"/>
        <w:ind w:left="0" w:firstLine="0"/>
      </w:pPr>
    </w:p>
    <w:p w14:paraId="4CBE6480" w14:textId="77777777" w:rsidR="00387086" w:rsidRPr="00387086" w:rsidRDefault="00387086" w:rsidP="00387086">
      <w:pPr>
        <w:widowControl w:val="0"/>
        <w:ind w:left="0" w:firstLine="0"/>
        <w:rPr>
          <w:i/>
          <w:iCs/>
          <w:u w:val="single"/>
        </w:rPr>
      </w:pPr>
      <w:r w:rsidRPr="00387086">
        <w:rPr>
          <w:i/>
          <w:iCs/>
          <w:u w:val="single"/>
        </w:rPr>
        <w:t>Pacjenci ze stwierdzonymi lub podejrzewanymi chorobami mitochondrialnymi</w:t>
      </w:r>
    </w:p>
    <w:p w14:paraId="3F2251D9" w14:textId="77777777" w:rsidR="00387086" w:rsidRDefault="00387086" w:rsidP="00387086">
      <w:pPr>
        <w:widowControl w:val="0"/>
        <w:ind w:left="0" w:firstLine="0"/>
      </w:pPr>
      <w:r>
        <w:t>U pacjentów ze stwierdzonymi chorobami mitochondrialnymi, takimi jak zespół encefalopatii mitochondrialnej z kwasicą mleczanową i incydentami podobnymi do udarów (MELAS, ang. mitochondrial encephalopathy with lactic acidosis and stroke-like episodes) oraz cukrzyca z głuchotą dziedziczona w sposób matczyny (MIDD, ang. maternal inherited diabetes and deafness), stosowanie metforminy nie jest zalecane z powodu ryzyka nasilenia kwasicy mleczanowej i powikłań neurologicznych, co może prowadzić do nasilenia choroby.</w:t>
      </w:r>
    </w:p>
    <w:p w14:paraId="249FE268" w14:textId="77777777" w:rsidR="00387086" w:rsidRDefault="00387086" w:rsidP="00387086">
      <w:pPr>
        <w:widowControl w:val="0"/>
        <w:ind w:left="0" w:firstLine="0"/>
      </w:pPr>
    </w:p>
    <w:p w14:paraId="6CEBD847" w14:textId="77777777" w:rsidR="00387086" w:rsidRDefault="00387086" w:rsidP="00387086">
      <w:pPr>
        <w:widowControl w:val="0"/>
        <w:ind w:left="0" w:firstLine="0"/>
      </w:pPr>
      <w:r>
        <w:t xml:space="preserve">Jeśli u pacjenta po przyjęciu metforminy wystąpią objawy przedmiotowe i podmiotowe świadczące </w:t>
      </w:r>
    </w:p>
    <w:p w14:paraId="1FFD78A3" w14:textId="16704AA2" w:rsidR="00387086" w:rsidRDefault="00387086" w:rsidP="00387086">
      <w:pPr>
        <w:widowControl w:val="0"/>
        <w:ind w:left="0" w:firstLine="0"/>
      </w:pPr>
      <w:r>
        <w:t>o zespole MELAS lub MIDD, należy natychmiast przerwać leczenie metforminą i przeprowadzić szybką ocenę diagnostyczną.</w:t>
      </w:r>
    </w:p>
    <w:p w14:paraId="1AC981F4" w14:textId="77777777" w:rsidR="00D73131" w:rsidRDefault="00D73131" w:rsidP="004C760F">
      <w:pPr>
        <w:widowControl w:val="0"/>
        <w:ind w:left="0" w:firstLine="0"/>
      </w:pPr>
    </w:p>
    <w:p w14:paraId="3F8B2251" w14:textId="77777777" w:rsidR="00D73131" w:rsidRPr="001C2341" w:rsidRDefault="00B279B4" w:rsidP="004C760F">
      <w:pPr>
        <w:keepNext/>
        <w:widowControl w:val="0"/>
        <w:ind w:left="0" w:firstLine="0"/>
        <w:rPr>
          <w:i/>
          <w:u w:val="single"/>
        </w:rPr>
      </w:pPr>
      <w:r w:rsidRPr="001C2341">
        <w:rPr>
          <w:i/>
          <w:u w:val="single"/>
        </w:rPr>
        <w:t>Podawanie środków kontrastowych zawierających jod</w:t>
      </w:r>
    </w:p>
    <w:p w14:paraId="57B04B80" w14:textId="77777777" w:rsidR="00B279B4" w:rsidRPr="00601E2A" w:rsidRDefault="00B279B4" w:rsidP="004C760F">
      <w:pPr>
        <w:widowControl w:val="0"/>
        <w:ind w:left="0" w:firstLine="0"/>
      </w:pPr>
      <w:r>
        <w:rPr>
          <w:rFonts w:cs="Helvetica"/>
        </w:rPr>
        <w:t>Donaczyniowe podanie</w:t>
      </w:r>
      <w:r w:rsidRPr="008438A1">
        <w:rPr>
          <w:rFonts w:cs="Helvetica"/>
        </w:rPr>
        <w:t xml:space="preserve"> środków kontrastowych zawierających jod może doprowadzić do nefropatii </w:t>
      </w:r>
      <w:r>
        <w:rPr>
          <w:rFonts w:cs="Helvetica"/>
        </w:rPr>
        <w:t xml:space="preserve">wywołanej środkiem </w:t>
      </w:r>
      <w:r w:rsidRPr="008438A1">
        <w:rPr>
          <w:rFonts w:cs="Helvetica"/>
        </w:rPr>
        <w:t>kontrast</w:t>
      </w:r>
      <w:r>
        <w:rPr>
          <w:rFonts w:cs="Helvetica"/>
        </w:rPr>
        <w:t>owym</w:t>
      </w:r>
      <w:r w:rsidRPr="008438A1">
        <w:rPr>
          <w:rFonts w:cs="Helvetica"/>
        </w:rPr>
        <w:t xml:space="preserve">, powodując kumulację metforminy i zwiększenie ryzyka kwasicy mleczanowej. Należy przerwać stosowanie metforminy przed badaniem lub podczas badania obrazowego i </w:t>
      </w:r>
      <w:r w:rsidRPr="009D3085">
        <w:rPr>
          <w:rFonts w:cs="Helvetica"/>
        </w:rPr>
        <w:t xml:space="preserve">nie stosować jej przez co najmniej 48 godzin po badaniu, po </w:t>
      </w:r>
      <w:r>
        <w:rPr>
          <w:rFonts w:cs="Helvetica"/>
        </w:rPr>
        <w:t xml:space="preserve">czym </w:t>
      </w:r>
      <w:r w:rsidRPr="009D3085">
        <w:rPr>
          <w:rFonts w:cs="Helvetica"/>
        </w:rPr>
        <w:t xml:space="preserve">można wznowić </w:t>
      </w:r>
      <w:r>
        <w:rPr>
          <w:rFonts w:cs="Helvetica"/>
        </w:rPr>
        <w:t xml:space="preserve">podawanie metforminy </w:t>
      </w:r>
      <w:r w:rsidRPr="009D3085">
        <w:rPr>
          <w:rFonts w:cs="Helvetica"/>
        </w:rPr>
        <w:t>pod warunkiem ponownej oceny czynności nerek i stwierdzeniu, że jest ona stabilna (patrz punkty</w:t>
      </w:r>
      <w:r w:rsidRPr="008438A1">
        <w:rPr>
          <w:rFonts w:cs="Helvetica"/>
        </w:rPr>
        <w:t> 4.2 i 4.5).</w:t>
      </w:r>
    </w:p>
    <w:p w14:paraId="214D51AE" w14:textId="77777777" w:rsidR="0090036E" w:rsidRPr="00440C66" w:rsidRDefault="0090036E" w:rsidP="004C760F">
      <w:pPr>
        <w:widowControl w:val="0"/>
        <w:ind w:left="0" w:firstLine="0"/>
      </w:pPr>
    </w:p>
    <w:p w14:paraId="2E43546F" w14:textId="77777777" w:rsidR="008A2514" w:rsidRDefault="00F0160D" w:rsidP="004C760F">
      <w:pPr>
        <w:keepNext/>
        <w:widowControl w:val="0"/>
        <w:ind w:left="0" w:firstLine="0"/>
        <w:rPr>
          <w:u w:val="single"/>
        </w:rPr>
      </w:pPr>
      <w:r w:rsidRPr="00F0160D">
        <w:rPr>
          <w:u w:val="single"/>
        </w:rPr>
        <w:t>C</w:t>
      </w:r>
      <w:r w:rsidR="008A2514" w:rsidRPr="00F0160D">
        <w:rPr>
          <w:u w:val="single"/>
        </w:rPr>
        <w:t>zynnoś</w:t>
      </w:r>
      <w:r w:rsidRPr="00F0160D">
        <w:rPr>
          <w:u w:val="single"/>
        </w:rPr>
        <w:t>ć</w:t>
      </w:r>
      <w:r w:rsidR="008A2514" w:rsidRPr="00F0160D">
        <w:rPr>
          <w:u w:val="single"/>
        </w:rPr>
        <w:t xml:space="preserve"> nerek</w:t>
      </w:r>
    </w:p>
    <w:p w14:paraId="680AE018" w14:textId="77777777" w:rsidR="00F0660E" w:rsidRPr="00837913" w:rsidRDefault="00F0660E" w:rsidP="004C760F">
      <w:pPr>
        <w:keepNext/>
        <w:widowControl w:val="0"/>
        <w:ind w:left="0" w:firstLine="0"/>
      </w:pPr>
    </w:p>
    <w:p w14:paraId="0443D449" w14:textId="6C8B43D6" w:rsidR="00B279B4" w:rsidRDefault="00B279B4" w:rsidP="004C760F">
      <w:pPr>
        <w:widowControl w:val="0"/>
        <w:ind w:left="0" w:firstLine="0"/>
      </w:pPr>
      <w:r w:rsidRPr="008438A1">
        <w:t>Wartość GFR powinna być oznaczona przed rozpoczęciem leczenia, a następnie w regularnych odstępach czasu, patrz punkt 4.2. Metformina jest przeciwwskazana u pacjentów z GFR &lt; 30 ml/min i</w:t>
      </w:r>
      <w:r w:rsidR="00A21B39">
        <w:t> </w:t>
      </w:r>
      <w:r w:rsidRPr="008438A1">
        <w:t xml:space="preserve">należy ją tymczasowo odstawić w razie występowania stanów wpływających na czynność nerek, </w:t>
      </w:r>
      <w:r w:rsidRPr="008438A1">
        <w:lastRenderedPageBreak/>
        <w:t>patrz punkt 4.3.</w:t>
      </w:r>
    </w:p>
    <w:p w14:paraId="3933A6A6" w14:textId="77777777" w:rsidR="005A5A30" w:rsidRDefault="005A5A30" w:rsidP="004C760F">
      <w:pPr>
        <w:widowControl w:val="0"/>
        <w:ind w:left="0" w:firstLine="0"/>
      </w:pPr>
    </w:p>
    <w:p w14:paraId="0D8CF5A4" w14:textId="77777777" w:rsidR="005A5A30" w:rsidRDefault="0075712B" w:rsidP="004C760F">
      <w:pPr>
        <w:widowControl w:val="0"/>
        <w:ind w:left="0" w:firstLine="0"/>
      </w:pPr>
      <w:r>
        <w:t>Należy zachować ostrożność stosując jednocześnie produkty lecznicze, które mogą wpłynąć na czynność nerek, powodować istotne zmiany hemodynamiczne lub hamować transport nerkowy i</w:t>
      </w:r>
      <w:r w:rsidR="00A21B39">
        <w:t> </w:t>
      </w:r>
      <w:r>
        <w:t>zwiększa</w:t>
      </w:r>
      <w:r w:rsidR="006B1393">
        <w:t>ć</w:t>
      </w:r>
      <w:r>
        <w:t xml:space="preserve"> ogólnoustrojową ekspozycję na metforminę (patrz punkt 4.5).</w:t>
      </w:r>
    </w:p>
    <w:p w14:paraId="73B8450E" w14:textId="77777777" w:rsidR="000854CB" w:rsidRPr="00440C66" w:rsidRDefault="000854CB" w:rsidP="004C760F">
      <w:pPr>
        <w:widowControl w:val="0"/>
        <w:ind w:left="0" w:firstLine="0"/>
      </w:pPr>
    </w:p>
    <w:p w14:paraId="7F3E17ED" w14:textId="77777777" w:rsidR="003A62E4" w:rsidRDefault="003A62E4" w:rsidP="004C760F">
      <w:pPr>
        <w:keepNext/>
        <w:widowControl w:val="0"/>
        <w:ind w:left="0" w:firstLine="0"/>
        <w:rPr>
          <w:u w:val="single"/>
        </w:rPr>
      </w:pPr>
      <w:r w:rsidRPr="00440C66">
        <w:rPr>
          <w:u w:val="single"/>
        </w:rPr>
        <w:t>Zaburzenia czynności wątroby</w:t>
      </w:r>
    </w:p>
    <w:p w14:paraId="0C28EA65" w14:textId="77777777" w:rsidR="00F0660E" w:rsidRPr="00837913" w:rsidRDefault="00F0660E" w:rsidP="004C760F">
      <w:pPr>
        <w:keepNext/>
        <w:widowControl w:val="0"/>
        <w:ind w:left="0" w:firstLine="0"/>
      </w:pPr>
    </w:p>
    <w:p w14:paraId="18B4CB95" w14:textId="6DE10D8F" w:rsidR="002B2533" w:rsidRPr="00440C66" w:rsidRDefault="002B2533" w:rsidP="004C760F">
      <w:pPr>
        <w:widowControl w:val="0"/>
        <w:ind w:left="0" w:firstLine="0"/>
      </w:pPr>
      <w:r w:rsidRPr="00440C66">
        <w:t xml:space="preserve">Nie należy stosować </w:t>
      </w:r>
      <w:bookmarkStart w:id="1" w:name="_Hlk93048430"/>
      <w:r w:rsidR="006A003C">
        <w:t>produktu</w:t>
      </w:r>
      <w:r w:rsidR="006A003C" w:rsidRPr="006A003C">
        <w:t xml:space="preserve"> Vildagliptin/Metformin hydrochloride Accord</w:t>
      </w:r>
      <w:r w:rsidRPr="00440C66">
        <w:t xml:space="preserve"> </w:t>
      </w:r>
      <w:bookmarkEnd w:id="1"/>
      <w:r w:rsidRPr="00440C66">
        <w:t>u pacjentów z zaburzeniami czynności wątroby</w:t>
      </w:r>
      <w:r w:rsidR="00A64D86" w:rsidRPr="00440C66">
        <w:t>, w</w:t>
      </w:r>
      <w:r w:rsidR="00A21B39">
        <w:t> </w:t>
      </w:r>
      <w:r w:rsidR="00A64D86" w:rsidRPr="00440C66">
        <w:t>tym u pacjentów, u których aktywność AlAT lub AspAT przed zastosowaniem leczenia przekraczała ponad 3 razy ULN (patrz punkty</w:t>
      </w:r>
      <w:r w:rsidR="00F0660E">
        <w:t> </w:t>
      </w:r>
      <w:r w:rsidR="00A64D86" w:rsidRPr="00440C66">
        <w:t>4.2, 4.3 i 4.8)</w:t>
      </w:r>
      <w:r w:rsidRPr="00440C66">
        <w:t>.</w:t>
      </w:r>
    </w:p>
    <w:p w14:paraId="6AF2D104" w14:textId="77777777" w:rsidR="002B2533" w:rsidRPr="00440C66" w:rsidRDefault="002B2533" w:rsidP="004C760F">
      <w:pPr>
        <w:widowControl w:val="0"/>
        <w:ind w:left="0" w:firstLine="0"/>
        <w:rPr>
          <w:u w:val="single"/>
        </w:rPr>
      </w:pPr>
    </w:p>
    <w:p w14:paraId="00498802" w14:textId="77777777" w:rsidR="002B2533" w:rsidRPr="001C2341" w:rsidRDefault="002B2533" w:rsidP="004C760F">
      <w:pPr>
        <w:keepNext/>
        <w:widowControl w:val="0"/>
        <w:ind w:left="0" w:firstLine="0"/>
        <w:rPr>
          <w:i/>
          <w:u w:val="single"/>
        </w:rPr>
      </w:pPr>
      <w:r w:rsidRPr="001C2341">
        <w:rPr>
          <w:i/>
          <w:u w:val="single"/>
        </w:rPr>
        <w:t>Monitorowanie enzymów wątrobowych</w:t>
      </w:r>
    </w:p>
    <w:p w14:paraId="1FF36A74" w14:textId="3BA24FAC" w:rsidR="003A62E4" w:rsidRPr="00440C66" w:rsidRDefault="00A64D86" w:rsidP="004C760F">
      <w:pPr>
        <w:widowControl w:val="0"/>
        <w:ind w:left="0" w:firstLine="0"/>
      </w:pPr>
      <w:r w:rsidRPr="00440C66">
        <w:t xml:space="preserve">Zaburzenia czynności wątroby (w tym zapalenie wątroby) </w:t>
      </w:r>
      <w:r w:rsidR="00320179" w:rsidRPr="00440C66">
        <w:t xml:space="preserve">po zastosowaniu wildagliptyny </w:t>
      </w:r>
      <w:r w:rsidRPr="00440C66">
        <w:t>zgłaszano rzadko. W przypadkach tych, przebiegały one zazwyczaj bezobjawowo, bez następstw klinicznych, a</w:t>
      </w:r>
      <w:r w:rsidR="00A21B39">
        <w:t> </w:t>
      </w:r>
      <w:r w:rsidRPr="00440C66">
        <w:t xml:space="preserve">wyniki prób czynnościowych wątroby wracały do normy po zaprzestaniu leczenia. Próby czynnościowe wątroby należy wykonywać przed rozpoczęciem leczenia </w:t>
      </w:r>
      <w:r w:rsidR="000A7B43" w:rsidRPr="000A7B43">
        <w:t>wildagliptyn</w:t>
      </w:r>
      <w:r w:rsidR="000A7B43">
        <w:t>ą</w:t>
      </w:r>
      <w:r w:rsidR="000A7B43" w:rsidRPr="000A7B43">
        <w:t xml:space="preserve"> + chlorowodork</w:t>
      </w:r>
      <w:r w:rsidR="000A7B43">
        <w:t>iem</w:t>
      </w:r>
      <w:r w:rsidR="000A7B43" w:rsidRPr="000A7B43">
        <w:t xml:space="preserve"> metforminy</w:t>
      </w:r>
      <w:r w:rsidRPr="00440C66">
        <w:t xml:space="preserve"> w celu poznania wartości wyjściowej u danego pacjenta. Czynność wątroby należy monitorować w czasie leczenia </w:t>
      </w:r>
      <w:r w:rsidR="000A7B43" w:rsidRPr="000A7B43">
        <w:t>wildagliptyn</w:t>
      </w:r>
      <w:r w:rsidR="000A7B43">
        <w:t>ą</w:t>
      </w:r>
      <w:r w:rsidR="000A7B43" w:rsidRPr="000A7B43">
        <w:t xml:space="preserve"> + chlorowodork</w:t>
      </w:r>
      <w:r w:rsidR="000A7B43">
        <w:t>iem</w:t>
      </w:r>
      <w:r w:rsidR="000A7B43" w:rsidRPr="000A7B43">
        <w:t xml:space="preserve"> metforminy</w:t>
      </w:r>
      <w:r w:rsidR="00CC68CD" w:rsidRPr="00440C66">
        <w:t xml:space="preserve"> </w:t>
      </w:r>
      <w:r w:rsidRPr="00440C66">
        <w:t>w odstępach trzymiesięcznych w</w:t>
      </w:r>
      <w:r w:rsidR="00A21B39">
        <w:t> </w:t>
      </w:r>
      <w:r w:rsidRPr="00440C66">
        <w:t>czasie pierwszego roku, a następnie okresowo.</w:t>
      </w:r>
      <w:r w:rsidR="00156CF9" w:rsidRPr="00440C66">
        <w:t xml:space="preserve"> </w:t>
      </w:r>
      <w:r w:rsidR="000579E2" w:rsidRPr="00440C66">
        <w:t>U p</w:t>
      </w:r>
      <w:r w:rsidR="004E3871" w:rsidRPr="00440C66">
        <w:t>acjentów</w:t>
      </w:r>
      <w:r w:rsidR="000579E2" w:rsidRPr="00440C66">
        <w:t>, u których wystąpi</w:t>
      </w:r>
      <w:r w:rsidR="004E3871" w:rsidRPr="00440C66">
        <w:t xml:space="preserve"> zwiększon</w:t>
      </w:r>
      <w:r w:rsidR="000579E2" w:rsidRPr="00440C66">
        <w:t>a</w:t>
      </w:r>
      <w:r w:rsidR="004E3871" w:rsidRPr="00440C66">
        <w:t xml:space="preserve"> </w:t>
      </w:r>
      <w:r w:rsidR="001C7687" w:rsidRPr="00440C66">
        <w:t>aktywnoś</w:t>
      </w:r>
      <w:r w:rsidR="000579E2" w:rsidRPr="00440C66">
        <w:t>ć</w:t>
      </w:r>
      <w:r w:rsidR="001C7687" w:rsidRPr="00440C66">
        <w:t xml:space="preserve"> </w:t>
      </w:r>
      <w:r w:rsidR="004E3871" w:rsidRPr="00440C66">
        <w:t>aminotransferaz</w:t>
      </w:r>
      <w:r w:rsidR="000579E2" w:rsidRPr="00440C66">
        <w:t>,</w:t>
      </w:r>
      <w:r w:rsidR="001C7687" w:rsidRPr="00440C66">
        <w:t xml:space="preserve"> należy </w:t>
      </w:r>
      <w:r w:rsidR="000579E2" w:rsidRPr="00440C66">
        <w:t xml:space="preserve">wykonać </w:t>
      </w:r>
      <w:r w:rsidR="00911E26" w:rsidRPr="00440C66">
        <w:t>powtórnie próby wątrobowe w celu potwierdzenia</w:t>
      </w:r>
      <w:r w:rsidR="001C7687" w:rsidRPr="00440C66">
        <w:t xml:space="preserve"> wcześniejszego wyniku</w:t>
      </w:r>
      <w:r w:rsidR="00911E26" w:rsidRPr="00440C66">
        <w:t>.</w:t>
      </w:r>
      <w:r w:rsidR="001C7687" w:rsidRPr="00440C66">
        <w:t xml:space="preserve"> </w:t>
      </w:r>
      <w:r w:rsidR="00911E26" w:rsidRPr="00440C66">
        <w:t>Kolejne</w:t>
      </w:r>
      <w:r w:rsidR="001C7687" w:rsidRPr="00440C66">
        <w:t xml:space="preserve"> badania </w:t>
      </w:r>
      <w:r w:rsidR="00911E26" w:rsidRPr="00440C66">
        <w:t>powinny być wykonywane</w:t>
      </w:r>
      <w:r w:rsidR="001C7687" w:rsidRPr="00440C66">
        <w:t xml:space="preserve"> często</w:t>
      </w:r>
      <w:r w:rsidR="00911E26" w:rsidRPr="00440C66">
        <w:t>,</w:t>
      </w:r>
      <w:r w:rsidR="001C7687" w:rsidRPr="00440C66">
        <w:t xml:space="preserve"> aż</w:t>
      </w:r>
      <w:r w:rsidR="00D31777" w:rsidRPr="00440C66">
        <w:t xml:space="preserve"> do </w:t>
      </w:r>
      <w:r w:rsidR="00911E26" w:rsidRPr="00440C66">
        <w:t>ustąpienia zaburzenia(ń)</w:t>
      </w:r>
      <w:r w:rsidR="001C7687" w:rsidRPr="00440C66">
        <w:t>.</w:t>
      </w:r>
      <w:r w:rsidR="00F27B9A" w:rsidRPr="00440C66">
        <w:t xml:space="preserve"> </w:t>
      </w:r>
      <w:r w:rsidR="00DB7DBC" w:rsidRPr="00440C66">
        <w:t xml:space="preserve">W </w:t>
      </w:r>
      <w:r w:rsidR="00911E26" w:rsidRPr="00440C66">
        <w:t xml:space="preserve">razie </w:t>
      </w:r>
      <w:r w:rsidR="00DB7DBC" w:rsidRPr="00440C66">
        <w:t xml:space="preserve">utrzymywania się aktywności </w:t>
      </w:r>
      <w:r w:rsidR="00736123" w:rsidRPr="00440C66">
        <w:t>AspAT lub</w:t>
      </w:r>
      <w:r w:rsidR="00DB7DBC" w:rsidRPr="00440C66">
        <w:t xml:space="preserve"> </w:t>
      </w:r>
      <w:r w:rsidR="00736123" w:rsidRPr="00440C66">
        <w:t>AlA</w:t>
      </w:r>
      <w:r w:rsidR="00DB7DBC" w:rsidRPr="00440C66">
        <w:t xml:space="preserve">T </w:t>
      </w:r>
      <w:r w:rsidR="00911E26" w:rsidRPr="00440C66">
        <w:t xml:space="preserve">co najmniej 3 razy większej od </w:t>
      </w:r>
      <w:r w:rsidR="00DB7DBC" w:rsidRPr="00440C66">
        <w:t xml:space="preserve">górnej granicy normy, zaleca się zaprzestanie leczenia </w:t>
      </w:r>
      <w:r w:rsidR="000A7B43" w:rsidRPr="000A7B43">
        <w:t>wildagliptyn</w:t>
      </w:r>
      <w:r w:rsidR="000A7B43">
        <w:t>ą</w:t>
      </w:r>
      <w:r w:rsidR="000A7B43" w:rsidRPr="000A7B43">
        <w:t xml:space="preserve"> + chlorowodork</w:t>
      </w:r>
      <w:r w:rsidR="000A7B43">
        <w:t>iem</w:t>
      </w:r>
      <w:r w:rsidR="000A7B43" w:rsidRPr="000A7B43">
        <w:t xml:space="preserve"> metforminy</w:t>
      </w:r>
      <w:r w:rsidR="00DB7DBC" w:rsidRPr="00440C66">
        <w:t>.</w:t>
      </w:r>
      <w:r w:rsidR="00CC68CD" w:rsidRPr="00440C66">
        <w:t xml:space="preserve"> Pacjenci, u</w:t>
      </w:r>
      <w:r w:rsidR="00A21B39">
        <w:t> </w:t>
      </w:r>
      <w:r w:rsidR="00CC68CD" w:rsidRPr="00440C66">
        <w:t xml:space="preserve">których wystąpi żółtaczka lub inne objawy wskazujące na zaburzenia czynności wątroby powinni przerwać stosowanie </w:t>
      </w:r>
      <w:r w:rsidR="000A7B43" w:rsidRPr="000A7B43">
        <w:t>wildagliptyny + chlorowodorku metforminy</w:t>
      </w:r>
      <w:r w:rsidR="00CC68CD" w:rsidRPr="00440C66">
        <w:t>.</w:t>
      </w:r>
    </w:p>
    <w:p w14:paraId="5847A0AF" w14:textId="77777777" w:rsidR="00DB7DBC" w:rsidRPr="00440C66" w:rsidRDefault="00DB7DBC" w:rsidP="004C760F">
      <w:pPr>
        <w:widowControl w:val="0"/>
        <w:ind w:left="0" w:firstLine="0"/>
      </w:pPr>
    </w:p>
    <w:p w14:paraId="4EEC38CF" w14:textId="7D0B06E5" w:rsidR="00CC68CD" w:rsidRPr="00440C66" w:rsidRDefault="00CC68CD" w:rsidP="004C760F">
      <w:pPr>
        <w:widowControl w:val="0"/>
        <w:ind w:left="0" w:firstLine="0"/>
      </w:pPr>
      <w:r w:rsidRPr="00440C66">
        <w:t xml:space="preserve">Po przerwaniu leczenia </w:t>
      </w:r>
      <w:r w:rsidR="006A003C">
        <w:t>produktem</w:t>
      </w:r>
      <w:r w:rsidR="006A003C" w:rsidRPr="006A003C">
        <w:t xml:space="preserve"> Vildagliptin/Metformin hydrochloride Accord</w:t>
      </w:r>
      <w:r w:rsidRPr="00440C66">
        <w:t xml:space="preserve"> i uzyskaniu prawidłowych wyników prób czynnościowych wątroby nie należy ponownie rozpoczynać leczenia </w:t>
      </w:r>
      <w:r w:rsidR="006A003C">
        <w:t>nim</w:t>
      </w:r>
      <w:r w:rsidRPr="00440C66">
        <w:t>.</w:t>
      </w:r>
    </w:p>
    <w:p w14:paraId="574C31DE" w14:textId="77777777" w:rsidR="00CC68CD" w:rsidRPr="00440C66" w:rsidRDefault="00CC68CD" w:rsidP="004C760F">
      <w:pPr>
        <w:widowControl w:val="0"/>
        <w:ind w:left="0" w:firstLine="0"/>
      </w:pPr>
    </w:p>
    <w:p w14:paraId="2121F53B" w14:textId="77777777" w:rsidR="009729C7" w:rsidRDefault="009729C7" w:rsidP="004C760F">
      <w:pPr>
        <w:keepNext/>
        <w:widowControl w:val="0"/>
        <w:ind w:left="0" w:firstLine="0"/>
        <w:rPr>
          <w:u w:val="single"/>
        </w:rPr>
      </w:pPr>
      <w:r w:rsidRPr="00440C66">
        <w:rPr>
          <w:u w:val="single"/>
        </w:rPr>
        <w:t>Zaburzenia skór</w:t>
      </w:r>
      <w:r w:rsidR="003D2202" w:rsidRPr="00440C66">
        <w:rPr>
          <w:u w:val="single"/>
        </w:rPr>
        <w:t>y</w:t>
      </w:r>
    </w:p>
    <w:p w14:paraId="2EC99B45" w14:textId="77777777" w:rsidR="00F0660E" w:rsidRPr="00440C66" w:rsidRDefault="00F0660E" w:rsidP="004C760F">
      <w:pPr>
        <w:keepNext/>
        <w:widowControl w:val="0"/>
        <w:ind w:left="0" w:firstLine="0"/>
        <w:rPr>
          <w:u w:val="single"/>
        </w:rPr>
      </w:pPr>
    </w:p>
    <w:p w14:paraId="075680CF" w14:textId="2B0843C8" w:rsidR="009729C7" w:rsidRPr="00440C66" w:rsidRDefault="00D31777" w:rsidP="004C760F">
      <w:pPr>
        <w:widowControl w:val="0"/>
        <w:ind w:left="0" w:firstLine="0"/>
      </w:pPr>
      <w:r w:rsidRPr="00440C66">
        <w:t>Podczas nie</w:t>
      </w:r>
      <w:r w:rsidR="002572A2" w:rsidRPr="00440C66">
        <w:t>k</w:t>
      </w:r>
      <w:r w:rsidRPr="00440C66">
        <w:t>linicznych</w:t>
      </w:r>
      <w:r w:rsidR="002572A2" w:rsidRPr="00440C66">
        <w:t xml:space="preserve"> badań toksykologicznych zgłaszano występowanie zmian </w:t>
      </w:r>
      <w:r w:rsidR="003D2202" w:rsidRPr="00440C66">
        <w:t xml:space="preserve">chorobowych </w:t>
      </w:r>
      <w:r w:rsidR="002572A2" w:rsidRPr="00440C66">
        <w:t xml:space="preserve">skóry, w tym powstawanie pęcherzy i owrzodzeń na kończynach </w:t>
      </w:r>
      <w:r w:rsidRPr="00440C66">
        <w:t xml:space="preserve">u </w:t>
      </w:r>
      <w:r w:rsidR="002572A2" w:rsidRPr="00440C66">
        <w:t>małp, którym podawano wildagliptynę (patrz punkt</w:t>
      </w:r>
      <w:r w:rsidR="00F0660E">
        <w:t> </w:t>
      </w:r>
      <w:r w:rsidR="002572A2" w:rsidRPr="00440C66">
        <w:t xml:space="preserve">5.3). </w:t>
      </w:r>
      <w:r w:rsidR="00B5178A" w:rsidRPr="00440C66">
        <w:t>Mimo iż w badaniach klinicznych n</w:t>
      </w:r>
      <w:r w:rsidR="002572A2" w:rsidRPr="00440C66">
        <w:t xml:space="preserve">ie obserwowano zwiększonej częstości występowania zmian </w:t>
      </w:r>
      <w:r w:rsidR="003D2202" w:rsidRPr="00440C66">
        <w:t>chorobowych skóry</w:t>
      </w:r>
      <w:r w:rsidR="002572A2" w:rsidRPr="00440C66">
        <w:t xml:space="preserve">, </w:t>
      </w:r>
      <w:r w:rsidR="00B5178A" w:rsidRPr="00440C66">
        <w:t xml:space="preserve">istnieje ograniczone </w:t>
      </w:r>
      <w:r w:rsidR="002572A2" w:rsidRPr="00440C66">
        <w:t xml:space="preserve">doświadczenie </w:t>
      </w:r>
      <w:r w:rsidR="00B5178A" w:rsidRPr="00440C66">
        <w:t>dotyczące</w:t>
      </w:r>
      <w:r w:rsidR="00204895" w:rsidRPr="00440C66">
        <w:t xml:space="preserve"> stosowania produktu </w:t>
      </w:r>
      <w:r w:rsidR="00470122" w:rsidRPr="00440C66">
        <w:t xml:space="preserve">leczniczego </w:t>
      </w:r>
      <w:r w:rsidR="00204895" w:rsidRPr="00440C66">
        <w:t>u</w:t>
      </w:r>
      <w:r w:rsidR="00B5178A" w:rsidRPr="00440C66">
        <w:t xml:space="preserve"> </w:t>
      </w:r>
      <w:r w:rsidR="002572A2" w:rsidRPr="00440C66">
        <w:t xml:space="preserve">pacjentów ze </w:t>
      </w:r>
      <w:r w:rsidRPr="00440C66">
        <w:t>skórnymi</w:t>
      </w:r>
      <w:r w:rsidR="002572A2" w:rsidRPr="00440C66">
        <w:t xml:space="preserve"> powikłaniami cukrzycowymi. </w:t>
      </w:r>
      <w:r w:rsidR="005705C7" w:rsidRPr="00440C66">
        <w:t>Ponadto, po wprowadzeniu produktu leczniczego do obrotu zgłaszano przypadki występowania pęcherzowych i</w:t>
      </w:r>
      <w:r w:rsidR="00A21B39">
        <w:t> </w:t>
      </w:r>
      <w:r w:rsidR="005705C7" w:rsidRPr="00440C66">
        <w:t xml:space="preserve">złuszczających zmian skórnych. </w:t>
      </w:r>
      <w:r w:rsidR="002572A2" w:rsidRPr="00440C66">
        <w:t>Z tego względu, w ramach rutynowego postępowania z pacjentami chorymi na cukrzycę</w:t>
      </w:r>
      <w:r w:rsidR="00630034" w:rsidRPr="00440C66">
        <w:t>,</w:t>
      </w:r>
      <w:r w:rsidR="002572A2" w:rsidRPr="00440C66">
        <w:t xml:space="preserve"> zaleca się monitorowanie zaburzeń skór</w:t>
      </w:r>
      <w:r w:rsidR="003D2202" w:rsidRPr="00440C66">
        <w:t>y</w:t>
      </w:r>
      <w:r w:rsidR="001D54F7" w:rsidRPr="00440C66">
        <w:t>,</w:t>
      </w:r>
      <w:r w:rsidR="002572A2" w:rsidRPr="00440C66">
        <w:t xml:space="preserve"> takich jak powstawanie pęcherzy i</w:t>
      </w:r>
      <w:r w:rsidR="00A21B39">
        <w:t> </w:t>
      </w:r>
      <w:r w:rsidR="002572A2" w:rsidRPr="00440C66">
        <w:t>owrzodzeń.</w:t>
      </w:r>
    </w:p>
    <w:p w14:paraId="1C983767" w14:textId="77777777" w:rsidR="002572A2" w:rsidRPr="00440C66" w:rsidRDefault="002572A2" w:rsidP="004C760F">
      <w:pPr>
        <w:widowControl w:val="0"/>
        <w:ind w:left="0" w:firstLine="0"/>
      </w:pPr>
    </w:p>
    <w:p w14:paraId="169238B9" w14:textId="77777777" w:rsidR="004C694C" w:rsidRDefault="00544F75" w:rsidP="004C760F">
      <w:pPr>
        <w:keepNext/>
        <w:widowControl w:val="0"/>
        <w:ind w:left="0" w:firstLine="0"/>
        <w:rPr>
          <w:szCs w:val="22"/>
          <w:u w:val="single"/>
        </w:rPr>
      </w:pPr>
      <w:r w:rsidRPr="00440C66">
        <w:rPr>
          <w:szCs w:val="22"/>
          <w:u w:val="single"/>
        </w:rPr>
        <w:t>Ostre z</w:t>
      </w:r>
      <w:r w:rsidR="004C694C" w:rsidRPr="00440C66">
        <w:rPr>
          <w:szCs w:val="22"/>
          <w:u w:val="single"/>
        </w:rPr>
        <w:t>apalenie trzustki</w:t>
      </w:r>
    </w:p>
    <w:p w14:paraId="0296BD92" w14:textId="77777777" w:rsidR="00F0660E" w:rsidRPr="00440C66" w:rsidRDefault="00F0660E" w:rsidP="004C760F">
      <w:pPr>
        <w:keepNext/>
        <w:widowControl w:val="0"/>
        <w:ind w:left="0" w:firstLine="0"/>
        <w:rPr>
          <w:szCs w:val="22"/>
          <w:u w:val="single"/>
        </w:rPr>
      </w:pPr>
    </w:p>
    <w:p w14:paraId="6BF32B88" w14:textId="77777777" w:rsidR="004C694C" w:rsidRPr="00440C66" w:rsidRDefault="00544F75" w:rsidP="004C760F">
      <w:pPr>
        <w:widowControl w:val="0"/>
        <w:ind w:left="0" w:firstLine="0"/>
        <w:rPr>
          <w:szCs w:val="22"/>
        </w:rPr>
      </w:pPr>
      <w:r w:rsidRPr="00440C66">
        <w:rPr>
          <w:szCs w:val="22"/>
        </w:rPr>
        <w:t xml:space="preserve">Stosowanie wildagliptyny jest związane z ryzykiem wystąpienia </w:t>
      </w:r>
      <w:r w:rsidR="0081082A" w:rsidRPr="00440C66">
        <w:rPr>
          <w:szCs w:val="22"/>
        </w:rPr>
        <w:t>ostre</w:t>
      </w:r>
      <w:r w:rsidRPr="00440C66">
        <w:rPr>
          <w:szCs w:val="22"/>
        </w:rPr>
        <w:t>go</w:t>
      </w:r>
      <w:r w:rsidR="0081082A" w:rsidRPr="00440C66">
        <w:rPr>
          <w:szCs w:val="22"/>
        </w:rPr>
        <w:t xml:space="preserve"> zapalenia trzustki. Należy poinformować pacjentów o charakterystycznym objawie ostrego zapalenia trzustki.</w:t>
      </w:r>
    </w:p>
    <w:p w14:paraId="6AD9E1AA" w14:textId="77777777" w:rsidR="0081082A" w:rsidRPr="00440C66" w:rsidRDefault="0081082A" w:rsidP="004C760F">
      <w:pPr>
        <w:widowControl w:val="0"/>
        <w:ind w:left="0" w:firstLine="0"/>
        <w:rPr>
          <w:szCs w:val="22"/>
        </w:rPr>
      </w:pPr>
    </w:p>
    <w:p w14:paraId="43B31ED5" w14:textId="771D2539" w:rsidR="004C694C" w:rsidRPr="00440C66" w:rsidRDefault="0081082A" w:rsidP="004C760F">
      <w:pPr>
        <w:widowControl w:val="0"/>
        <w:ind w:left="0" w:firstLine="0"/>
        <w:rPr>
          <w:szCs w:val="22"/>
        </w:rPr>
      </w:pPr>
      <w:r w:rsidRPr="00440C66">
        <w:rPr>
          <w:szCs w:val="22"/>
        </w:rPr>
        <w:t xml:space="preserve">W razie podejrzenia wystąpienia zapalenia trzustki, należy </w:t>
      </w:r>
      <w:r w:rsidR="00B85412" w:rsidRPr="00440C66">
        <w:rPr>
          <w:szCs w:val="22"/>
        </w:rPr>
        <w:t>przerwać stosowanie</w:t>
      </w:r>
      <w:r w:rsidRPr="00440C66">
        <w:rPr>
          <w:szCs w:val="22"/>
        </w:rPr>
        <w:t xml:space="preserve"> wildagliptyny</w:t>
      </w:r>
      <w:r w:rsidR="00E2516C" w:rsidRPr="00440C66">
        <w:rPr>
          <w:szCs w:val="22"/>
        </w:rPr>
        <w:t>;</w:t>
      </w:r>
      <w:r w:rsidR="00544F75" w:rsidRPr="00440C66">
        <w:rPr>
          <w:szCs w:val="22"/>
        </w:rPr>
        <w:t xml:space="preserve"> w</w:t>
      </w:r>
      <w:r w:rsidR="00A21B39">
        <w:rPr>
          <w:szCs w:val="22"/>
        </w:rPr>
        <w:t> </w:t>
      </w:r>
      <w:r w:rsidR="00544F75" w:rsidRPr="00440C66">
        <w:rPr>
          <w:szCs w:val="22"/>
        </w:rPr>
        <w:t xml:space="preserve">razie potwierdzenia ostrego zapalenia trzustki, nie należy wznawiać stosowania wildagliptyny. Należy zachować ostrożność u pacjentów </w:t>
      </w:r>
      <w:r w:rsidR="00E2516C" w:rsidRPr="00440C66">
        <w:rPr>
          <w:szCs w:val="22"/>
        </w:rPr>
        <w:t xml:space="preserve">z </w:t>
      </w:r>
      <w:r w:rsidR="00544F75" w:rsidRPr="00440C66">
        <w:rPr>
          <w:szCs w:val="22"/>
        </w:rPr>
        <w:t>ostrym zapaleni</w:t>
      </w:r>
      <w:r w:rsidR="00E2516C" w:rsidRPr="00440C66">
        <w:rPr>
          <w:szCs w:val="22"/>
        </w:rPr>
        <w:t>em</w:t>
      </w:r>
      <w:r w:rsidR="00544F75" w:rsidRPr="00440C66">
        <w:rPr>
          <w:szCs w:val="22"/>
        </w:rPr>
        <w:t xml:space="preserve"> trzustki</w:t>
      </w:r>
      <w:r w:rsidR="00E2516C" w:rsidRPr="00440C66">
        <w:rPr>
          <w:szCs w:val="22"/>
        </w:rPr>
        <w:t xml:space="preserve"> w wywiadzie.</w:t>
      </w:r>
    </w:p>
    <w:p w14:paraId="49B2B6C2" w14:textId="77777777" w:rsidR="007F73F0" w:rsidRPr="00440C66" w:rsidRDefault="007F73F0" w:rsidP="004C760F">
      <w:pPr>
        <w:widowControl w:val="0"/>
        <w:autoSpaceDE w:val="0"/>
        <w:autoSpaceDN w:val="0"/>
        <w:adjustRightInd w:val="0"/>
        <w:rPr>
          <w:szCs w:val="22"/>
          <w:u w:val="single"/>
          <w:lang w:bidi="th-TH"/>
        </w:rPr>
      </w:pPr>
    </w:p>
    <w:p w14:paraId="681A0119" w14:textId="77777777" w:rsidR="00904A9B" w:rsidRDefault="00421D2C" w:rsidP="004C760F">
      <w:pPr>
        <w:keepNext/>
        <w:widowControl w:val="0"/>
        <w:ind w:left="0" w:firstLine="0"/>
        <w:rPr>
          <w:szCs w:val="22"/>
          <w:u w:val="single"/>
          <w:lang w:bidi="th-TH"/>
        </w:rPr>
      </w:pPr>
      <w:r w:rsidRPr="00440C66">
        <w:rPr>
          <w:szCs w:val="22"/>
          <w:u w:val="single"/>
          <w:lang w:bidi="th-TH"/>
        </w:rPr>
        <w:t>Hipoglikemia</w:t>
      </w:r>
    </w:p>
    <w:p w14:paraId="48A90701" w14:textId="77777777" w:rsidR="00F0660E" w:rsidRPr="00440C66" w:rsidRDefault="00F0660E" w:rsidP="004C760F">
      <w:pPr>
        <w:keepNext/>
        <w:widowControl w:val="0"/>
        <w:ind w:left="0" w:firstLine="0"/>
        <w:rPr>
          <w:szCs w:val="22"/>
          <w:u w:val="single"/>
          <w:lang w:bidi="th-TH"/>
        </w:rPr>
      </w:pPr>
    </w:p>
    <w:p w14:paraId="177E92EC" w14:textId="77777777" w:rsidR="004C694C" w:rsidRPr="00440C66" w:rsidRDefault="007F73F0" w:rsidP="004C760F">
      <w:pPr>
        <w:widowControl w:val="0"/>
        <w:ind w:left="0" w:firstLine="0"/>
      </w:pPr>
      <w:r w:rsidRPr="00440C66">
        <w:rPr>
          <w:szCs w:val="22"/>
          <w:lang w:bidi="th-TH"/>
        </w:rPr>
        <w:t xml:space="preserve">Znanym działaniem sulfonylomoczników jest wywoływanie hipoglikemii. </w:t>
      </w:r>
      <w:r w:rsidR="00421D2C" w:rsidRPr="00440C66">
        <w:rPr>
          <w:szCs w:val="22"/>
          <w:lang w:bidi="th-TH"/>
        </w:rPr>
        <w:t>U p</w:t>
      </w:r>
      <w:r w:rsidR="00421D2C" w:rsidRPr="00440C66">
        <w:rPr>
          <w:rStyle w:val="hps"/>
          <w:color w:val="333333"/>
        </w:rPr>
        <w:t>acjentów otrzymujących</w:t>
      </w:r>
      <w:r w:rsidR="00421D2C" w:rsidRPr="00440C66">
        <w:rPr>
          <w:color w:val="333333"/>
        </w:rPr>
        <w:t xml:space="preserve"> </w:t>
      </w:r>
      <w:r w:rsidR="00421D2C" w:rsidRPr="00440C66">
        <w:rPr>
          <w:rStyle w:val="hps"/>
          <w:color w:val="333333"/>
        </w:rPr>
        <w:t>wildagliptynę w skojarzeniu</w:t>
      </w:r>
      <w:r w:rsidR="00421D2C" w:rsidRPr="00440C66">
        <w:rPr>
          <w:color w:val="333333"/>
        </w:rPr>
        <w:t xml:space="preserve"> </w:t>
      </w:r>
      <w:r w:rsidR="00421D2C" w:rsidRPr="00440C66">
        <w:rPr>
          <w:rStyle w:val="hps"/>
          <w:color w:val="333333"/>
        </w:rPr>
        <w:t>z sulfonylomocznikiem</w:t>
      </w:r>
      <w:r w:rsidR="00421D2C" w:rsidRPr="00440C66">
        <w:rPr>
          <w:color w:val="333333"/>
        </w:rPr>
        <w:t xml:space="preserve"> </w:t>
      </w:r>
      <w:r w:rsidR="00421D2C" w:rsidRPr="00440C66">
        <w:rPr>
          <w:rStyle w:val="hps"/>
          <w:color w:val="333333"/>
        </w:rPr>
        <w:t>może wystąpić ryzyko</w:t>
      </w:r>
      <w:r w:rsidR="00421D2C" w:rsidRPr="00440C66">
        <w:rPr>
          <w:color w:val="333333"/>
        </w:rPr>
        <w:t xml:space="preserve"> </w:t>
      </w:r>
      <w:r w:rsidR="00421D2C" w:rsidRPr="00440C66">
        <w:rPr>
          <w:rStyle w:val="hps"/>
          <w:color w:val="333333"/>
        </w:rPr>
        <w:t>hipoglikemii.</w:t>
      </w:r>
      <w:r w:rsidR="00421D2C" w:rsidRPr="00440C66">
        <w:rPr>
          <w:rStyle w:val="hps"/>
          <w:rFonts w:ascii="Arial" w:hAnsi="Arial" w:cs="Arial"/>
          <w:color w:val="333333"/>
        </w:rPr>
        <w:t xml:space="preserve"> </w:t>
      </w:r>
      <w:r w:rsidRPr="00440C66">
        <w:rPr>
          <w:szCs w:val="22"/>
          <w:lang w:bidi="th-TH"/>
        </w:rPr>
        <w:t xml:space="preserve">Z tego względu można rozważyć podanie mniejszej dawki sulfonylomocznika, aby </w:t>
      </w:r>
      <w:r w:rsidRPr="00440C66">
        <w:rPr>
          <w:szCs w:val="22"/>
          <w:lang w:bidi="th-TH"/>
        </w:rPr>
        <w:lastRenderedPageBreak/>
        <w:t>zmniejszyć ryzyko hipoglikemii.</w:t>
      </w:r>
    </w:p>
    <w:p w14:paraId="6DD72E3D" w14:textId="77777777" w:rsidR="007F73F0" w:rsidRPr="00440C66" w:rsidRDefault="007F73F0" w:rsidP="004C760F">
      <w:pPr>
        <w:widowControl w:val="0"/>
        <w:ind w:left="0" w:firstLine="0"/>
        <w:rPr>
          <w:u w:val="single"/>
        </w:rPr>
      </w:pPr>
    </w:p>
    <w:p w14:paraId="7315D770" w14:textId="77777777" w:rsidR="002572A2" w:rsidRDefault="002572A2" w:rsidP="004C760F">
      <w:pPr>
        <w:keepNext/>
        <w:widowControl w:val="0"/>
        <w:ind w:left="0" w:firstLine="0"/>
        <w:rPr>
          <w:u w:val="single"/>
        </w:rPr>
      </w:pPr>
      <w:r w:rsidRPr="00440C66">
        <w:rPr>
          <w:u w:val="single"/>
        </w:rPr>
        <w:t>Zabieg chirurgiczn</w:t>
      </w:r>
      <w:r w:rsidR="00B279B4">
        <w:rPr>
          <w:u w:val="single"/>
        </w:rPr>
        <w:t>y</w:t>
      </w:r>
    </w:p>
    <w:p w14:paraId="27F6D881" w14:textId="77777777" w:rsidR="00F0660E" w:rsidRDefault="00F0660E" w:rsidP="004C760F">
      <w:pPr>
        <w:keepNext/>
        <w:widowControl w:val="0"/>
        <w:ind w:left="0" w:firstLine="0"/>
        <w:rPr>
          <w:u w:val="single"/>
        </w:rPr>
      </w:pPr>
    </w:p>
    <w:p w14:paraId="43DC873C" w14:textId="3429E62E" w:rsidR="00B279B4" w:rsidRPr="00440C66" w:rsidRDefault="00B279B4" w:rsidP="004C760F">
      <w:pPr>
        <w:keepNext/>
        <w:widowControl w:val="0"/>
        <w:ind w:left="0" w:firstLine="0"/>
        <w:rPr>
          <w:u w:val="single"/>
        </w:rPr>
      </w:pPr>
      <w:r>
        <w:rPr>
          <w:rFonts w:cs="Helvetica"/>
        </w:rPr>
        <w:t>P</w:t>
      </w:r>
      <w:r w:rsidRPr="008438A1">
        <w:rPr>
          <w:rFonts w:cs="Helvetica"/>
        </w:rPr>
        <w:t xml:space="preserve">odawanie metforminy </w:t>
      </w:r>
      <w:r>
        <w:rPr>
          <w:rFonts w:cs="Helvetica"/>
        </w:rPr>
        <w:t xml:space="preserve">musi być przerwane </w:t>
      </w:r>
      <w:r w:rsidRPr="008438A1">
        <w:rPr>
          <w:rFonts w:cs="Helvetica"/>
        </w:rPr>
        <w:t>bezpośrednio przed zabiegiem chirurgicznym w</w:t>
      </w:r>
      <w:r w:rsidR="00A21B39">
        <w:rPr>
          <w:rFonts w:cs="Helvetica"/>
        </w:rPr>
        <w:t> </w:t>
      </w:r>
      <w:r w:rsidRPr="008438A1">
        <w:rPr>
          <w:rFonts w:cs="Helvetica"/>
        </w:rPr>
        <w:t>znieczuleniu ogólnym, podpajęczynówkowym lub zewnątrzoponowym. Leczenie można wznowić nie wcześniej niż po 48 godzin</w:t>
      </w:r>
      <w:r>
        <w:rPr>
          <w:rFonts w:cs="Helvetica"/>
        </w:rPr>
        <w:t>ach</w:t>
      </w:r>
      <w:r w:rsidRPr="008438A1">
        <w:rPr>
          <w:rFonts w:cs="Helvetica"/>
        </w:rPr>
        <w:t xml:space="preserve"> po zabiegu chirurgicznym lub wznowieniu odżywiania doustnego</w:t>
      </w:r>
      <w:r>
        <w:rPr>
          <w:rFonts w:cs="Helvetica"/>
        </w:rPr>
        <w:t xml:space="preserve"> oraz</w:t>
      </w:r>
      <w:r w:rsidRPr="008438A1">
        <w:rPr>
          <w:rFonts w:cs="Helvetica"/>
        </w:rPr>
        <w:t xml:space="preserve"> dopiero po ponownej ocenie czynności nerek i stwierdzeniu, że jest stabilna</w:t>
      </w:r>
      <w:r>
        <w:rPr>
          <w:rFonts w:cs="Helvetica"/>
        </w:rPr>
        <w:t>.</w:t>
      </w:r>
    </w:p>
    <w:p w14:paraId="7E3CCF60" w14:textId="77777777" w:rsidR="00F27B9A" w:rsidRPr="00440C66" w:rsidRDefault="00F27B9A" w:rsidP="004C760F">
      <w:pPr>
        <w:widowControl w:val="0"/>
        <w:ind w:left="0" w:firstLine="0"/>
      </w:pPr>
    </w:p>
    <w:p w14:paraId="7DEC9A1F" w14:textId="77777777" w:rsidR="008A2514" w:rsidRPr="00440C66" w:rsidRDefault="008A2514" w:rsidP="004C760F">
      <w:pPr>
        <w:keepNext/>
        <w:widowControl w:val="0"/>
        <w:rPr>
          <w:b/>
        </w:rPr>
      </w:pPr>
      <w:r w:rsidRPr="00440C66">
        <w:rPr>
          <w:b/>
        </w:rPr>
        <w:t>4.5</w:t>
      </w:r>
      <w:r w:rsidRPr="00440C66">
        <w:rPr>
          <w:b/>
        </w:rPr>
        <w:tab/>
        <w:t xml:space="preserve">Interakcje z innymi </w:t>
      </w:r>
      <w:r w:rsidR="009E22DF" w:rsidRPr="00440C66">
        <w:rPr>
          <w:b/>
        </w:rPr>
        <w:t>produktami leczniczymi</w:t>
      </w:r>
      <w:r w:rsidRPr="00440C66">
        <w:rPr>
          <w:b/>
        </w:rPr>
        <w:t xml:space="preserve"> i inne rodzaje interakcji</w:t>
      </w:r>
    </w:p>
    <w:p w14:paraId="78E18807" w14:textId="77777777" w:rsidR="008A2514" w:rsidRPr="00440C66" w:rsidRDefault="008A2514" w:rsidP="004C760F">
      <w:pPr>
        <w:keepNext/>
        <w:widowControl w:val="0"/>
      </w:pPr>
    </w:p>
    <w:p w14:paraId="7F2C5C9D" w14:textId="09FC13E4" w:rsidR="004B1B4E" w:rsidRPr="00440C66" w:rsidRDefault="004B1B4E" w:rsidP="004C760F">
      <w:pPr>
        <w:widowControl w:val="0"/>
        <w:ind w:left="0" w:firstLine="0"/>
      </w:pPr>
      <w:r w:rsidRPr="00440C66">
        <w:t xml:space="preserve">Nie przeprowadzono oficjalnych badań dotyczących interakcji z </w:t>
      </w:r>
      <w:r w:rsidR="006A003C">
        <w:t xml:space="preserve">produktem </w:t>
      </w:r>
      <w:r w:rsidR="006A003C" w:rsidRPr="006A003C">
        <w:t>Vildagliptin/Metformin hydrochloride Accord</w:t>
      </w:r>
      <w:r w:rsidRPr="00440C66">
        <w:t xml:space="preserve">. Następujące </w:t>
      </w:r>
      <w:r w:rsidR="00B43256" w:rsidRPr="00440C66">
        <w:t xml:space="preserve">dostępne </w:t>
      </w:r>
      <w:r w:rsidRPr="00440C66">
        <w:t xml:space="preserve">informacje </w:t>
      </w:r>
      <w:r w:rsidR="00B43256" w:rsidRPr="00440C66">
        <w:t xml:space="preserve">dotyczą </w:t>
      </w:r>
      <w:r w:rsidRPr="00440C66">
        <w:t xml:space="preserve">każdej substancji </w:t>
      </w:r>
      <w:r w:rsidR="00CF6302" w:rsidRPr="00440C66">
        <w:t xml:space="preserve">czynnej </w:t>
      </w:r>
      <w:r w:rsidRPr="00440C66">
        <w:t>z osobna.</w:t>
      </w:r>
    </w:p>
    <w:p w14:paraId="63E9FEC6" w14:textId="77777777" w:rsidR="004B1B4E" w:rsidRPr="00440C66" w:rsidRDefault="004B1B4E" w:rsidP="004C760F">
      <w:pPr>
        <w:widowControl w:val="0"/>
        <w:ind w:left="0" w:firstLine="0"/>
        <w:rPr>
          <w:u w:val="single"/>
        </w:rPr>
      </w:pPr>
    </w:p>
    <w:p w14:paraId="22DFE8FE" w14:textId="77777777" w:rsidR="0068762B" w:rsidRDefault="0068762B" w:rsidP="00950B40">
      <w:pPr>
        <w:keepNext/>
        <w:ind w:left="0" w:firstLine="0"/>
        <w:rPr>
          <w:u w:val="single"/>
        </w:rPr>
      </w:pPr>
      <w:r w:rsidRPr="00440C66">
        <w:rPr>
          <w:u w:val="single"/>
        </w:rPr>
        <w:t>Wildagliptyna</w:t>
      </w:r>
    </w:p>
    <w:p w14:paraId="02FA23CE" w14:textId="77777777" w:rsidR="00F0660E" w:rsidRPr="00440C66" w:rsidRDefault="00F0660E" w:rsidP="00950B40">
      <w:pPr>
        <w:keepNext/>
        <w:ind w:left="0" w:firstLine="0"/>
        <w:rPr>
          <w:u w:val="single"/>
        </w:rPr>
      </w:pPr>
    </w:p>
    <w:p w14:paraId="513C4CE8" w14:textId="467050E5" w:rsidR="008A2514" w:rsidRPr="00440C66" w:rsidRDefault="00B5178A" w:rsidP="00837913">
      <w:pPr>
        <w:ind w:left="0" w:firstLine="0"/>
      </w:pPr>
      <w:r w:rsidRPr="00440C66">
        <w:t>Potencjalne oddziaływanie w</w:t>
      </w:r>
      <w:r w:rsidR="008A2514" w:rsidRPr="00440C66">
        <w:t>ildagliptyn</w:t>
      </w:r>
      <w:r w:rsidRPr="00440C66">
        <w:t>y</w:t>
      </w:r>
      <w:r w:rsidR="008A2514" w:rsidRPr="00440C66">
        <w:t xml:space="preserve"> </w:t>
      </w:r>
      <w:r w:rsidRPr="00440C66">
        <w:t>z</w:t>
      </w:r>
      <w:r w:rsidR="008A2514" w:rsidRPr="00440C66">
        <w:t xml:space="preserve"> </w:t>
      </w:r>
      <w:r w:rsidR="00630034" w:rsidRPr="00440C66">
        <w:t xml:space="preserve">równocześnie stosowanymi </w:t>
      </w:r>
      <w:r w:rsidRPr="00440C66">
        <w:t>produktami leczniczymi jest niewielkie</w:t>
      </w:r>
      <w:r w:rsidR="008A2514" w:rsidRPr="00440C66">
        <w:t xml:space="preserve">. Ponieważ wildagliptyna nie jest substratem enzymu cytochromu P (CYP) 450 i nie hamuje ani nie indukuje enzymów CYP 450 </w:t>
      </w:r>
      <w:r w:rsidR="00630034" w:rsidRPr="00440C66">
        <w:t>prawdopodobieństwo</w:t>
      </w:r>
      <w:r w:rsidRPr="00440C66">
        <w:t>,</w:t>
      </w:r>
      <w:r w:rsidR="008A2514" w:rsidRPr="00440C66">
        <w:t xml:space="preserve"> by wildagliptyna wchodziła w interakcje z</w:t>
      </w:r>
      <w:r w:rsidR="00A21B39">
        <w:t> </w:t>
      </w:r>
      <w:r w:rsidR="00470122" w:rsidRPr="00440C66">
        <w:t>produktami leczniczymi</w:t>
      </w:r>
      <w:r w:rsidR="008A2514" w:rsidRPr="00440C66">
        <w:t xml:space="preserve"> będącymi substratami, inhibitorami lub induktorami tych </w:t>
      </w:r>
      <w:r w:rsidRPr="00440C66">
        <w:t>enzymów jest niewielkie</w:t>
      </w:r>
      <w:r w:rsidR="008A2514" w:rsidRPr="00440C66">
        <w:t>.</w:t>
      </w:r>
    </w:p>
    <w:p w14:paraId="115F4D88" w14:textId="77777777" w:rsidR="008A2514" w:rsidRPr="00440C66" w:rsidRDefault="008A2514" w:rsidP="004C760F">
      <w:pPr>
        <w:widowControl w:val="0"/>
        <w:ind w:left="0" w:firstLine="0"/>
      </w:pPr>
    </w:p>
    <w:p w14:paraId="102E1E72" w14:textId="77777777" w:rsidR="0068762B" w:rsidRPr="00440C66" w:rsidRDefault="000807E7" w:rsidP="004C760F">
      <w:pPr>
        <w:widowControl w:val="0"/>
        <w:ind w:left="0" w:firstLine="0"/>
      </w:pPr>
      <w:r w:rsidRPr="00440C66">
        <w:t xml:space="preserve">Wyniki </w:t>
      </w:r>
      <w:r w:rsidR="002E6CFA" w:rsidRPr="00440C66">
        <w:t>badań</w:t>
      </w:r>
      <w:r w:rsidR="004B1B4E" w:rsidRPr="00440C66">
        <w:t xml:space="preserve"> klinicznych przeprowadzonych z </w:t>
      </w:r>
      <w:r w:rsidRPr="00440C66">
        <w:t>doustnymi lekami przeciwcukrzycowymi</w:t>
      </w:r>
      <w:r w:rsidR="004B1B4E" w:rsidRPr="00440C66">
        <w:t xml:space="preserve"> – pioglitazonem, metforminą i gliburydem w skojarzeniu z wildagliptyną</w:t>
      </w:r>
      <w:r w:rsidRPr="00440C66">
        <w:t xml:space="preserve"> </w:t>
      </w:r>
      <w:r w:rsidR="00F4532C" w:rsidRPr="00440C66">
        <w:t>nie wykazały</w:t>
      </w:r>
      <w:r w:rsidRPr="00440C66">
        <w:t xml:space="preserve"> klinicznie istotnych interakcji farmakokinetycznych</w:t>
      </w:r>
      <w:r w:rsidR="004B1B4E" w:rsidRPr="00440C66">
        <w:t xml:space="preserve"> w populacji docelowej</w:t>
      </w:r>
      <w:r w:rsidRPr="00440C66">
        <w:t>.</w:t>
      </w:r>
    </w:p>
    <w:p w14:paraId="5452AC31" w14:textId="77777777" w:rsidR="000807E7" w:rsidRPr="00440C66" w:rsidRDefault="000807E7" w:rsidP="004C760F">
      <w:pPr>
        <w:widowControl w:val="0"/>
        <w:ind w:left="0" w:firstLine="0"/>
      </w:pPr>
    </w:p>
    <w:p w14:paraId="02A4B729" w14:textId="77777777" w:rsidR="000807E7" w:rsidRPr="00440C66" w:rsidRDefault="00C90311" w:rsidP="004C760F">
      <w:pPr>
        <w:widowControl w:val="0"/>
        <w:ind w:left="0" w:firstLine="0"/>
      </w:pPr>
      <w:r w:rsidRPr="00440C66">
        <w:t xml:space="preserve">Badania interakcji lek-lek z digoksyną (substratem P-glikoproteiny) i warfaryną (substratem CYP2C9) </w:t>
      </w:r>
      <w:r w:rsidR="00032F55" w:rsidRPr="00440C66">
        <w:t xml:space="preserve">z udziałem zdrowych ochotników </w:t>
      </w:r>
      <w:r w:rsidR="00F4532C" w:rsidRPr="00440C66">
        <w:t xml:space="preserve">nie </w:t>
      </w:r>
      <w:r w:rsidR="00032F55" w:rsidRPr="00440C66">
        <w:t xml:space="preserve">wykazały </w:t>
      </w:r>
      <w:r w:rsidR="00F4532C" w:rsidRPr="00440C66">
        <w:t xml:space="preserve">klinicznie </w:t>
      </w:r>
      <w:r w:rsidR="00032F55" w:rsidRPr="00440C66">
        <w:t>istotnych interakcji farmakokinetycznych</w:t>
      </w:r>
      <w:r w:rsidRPr="00440C66">
        <w:t xml:space="preserve"> po jednoczesnym podaniu tych leków z wildagliptyną</w:t>
      </w:r>
      <w:r w:rsidR="00032F55" w:rsidRPr="00440C66">
        <w:t>.</w:t>
      </w:r>
    </w:p>
    <w:p w14:paraId="04134DD4" w14:textId="77777777" w:rsidR="00E45BE7" w:rsidRPr="00440C66" w:rsidRDefault="00E45BE7" w:rsidP="004C760F">
      <w:pPr>
        <w:widowControl w:val="0"/>
        <w:ind w:left="0" w:firstLine="0"/>
      </w:pPr>
    </w:p>
    <w:p w14:paraId="739D7EC1" w14:textId="77777777" w:rsidR="00E45BE7" w:rsidRDefault="00E45BE7" w:rsidP="004C760F">
      <w:pPr>
        <w:widowControl w:val="0"/>
        <w:ind w:left="0" w:firstLine="0"/>
      </w:pPr>
      <w:r w:rsidRPr="00440C66">
        <w:t xml:space="preserve">Przeprowadzono badania interakcji lek-lek </w:t>
      </w:r>
      <w:r w:rsidR="00F4532C" w:rsidRPr="00440C66">
        <w:t>z</w:t>
      </w:r>
      <w:r w:rsidRPr="00440C66">
        <w:t xml:space="preserve"> amlodypin</w:t>
      </w:r>
      <w:r w:rsidR="00F4532C" w:rsidRPr="00440C66">
        <w:t>ą</w:t>
      </w:r>
      <w:r w:rsidRPr="00440C66">
        <w:t>, ramipryl</w:t>
      </w:r>
      <w:r w:rsidR="00F4532C" w:rsidRPr="00440C66">
        <w:t>em</w:t>
      </w:r>
      <w:r w:rsidRPr="00440C66">
        <w:t>, walsartan</w:t>
      </w:r>
      <w:r w:rsidR="00F4532C" w:rsidRPr="00440C66">
        <w:t>em</w:t>
      </w:r>
      <w:r w:rsidRPr="00440C66">
        <w:t xml:space="preserve"> i symwastatyn</w:t>
      </w:r>
      <w:r w:rsidR="00F4532C" w:rsidRPr="00440C66">
        <w:t>ą, które podawano zdrowym ochotnikom</w:t>
      </w:r>
      <w:r w:rsidRPr="00440C66">
        <w:t xml:space="preserve">. W badaniach tych nie obserwowano klinicznie istotnych interakcji farmakokinetycznych po jednoczesnym podaniu </w:t>
      </w:r>
      <w:r w:rsidR="00080C0B" w:rsidRPr="00440C66">
        <w:t xml:space="preserve">tych leków z </w:t>
      </w:r>
      <w:r w:rsidRPr="00440C66">
        <w:t>wildagliptyn</w:t>
      </w:r>
      <w:r w:rsidR="00080C0B" w:rsidRPr="00440C66">
        <w:t>ą</w:t>
      </w:r>
      <w:r w:rsidRPr="00440C66">
        <w:t>.</w:t>
      </w:r>
      <w:r w:rsidR="00091A5F" w:rsidRPr="00440C66">
        <w:t xml:space="preserve"> Nie zostało to jednak ustalone w populacji docelowej.</w:t>
      </w:r>
    </w:p>
    <w:p w14:paraId="7C14A08B" w14:textId="77777777" w:rsidR="00454601" w:rsidRDefault="00454601" w:rsidP="004C760F">
      <w:pPr>
        <w:widowControl w:val="0"/>
        <w:ind w:left="0" w:firstLine="0"/>
      </w:pPr>
    </w:p>
    <w:p w14:paraId="3E6001E3" w14:textId="77777777" w:rsidR="00454601" w:rsidRPr="001C2341" w:rsidRDefault="002D1455" w:rsidP="004C760F">
      <w:pPr>
        <w:keepNext/>
        <w:widowControl w:val="0"/>
        <w:ind w:left="0" w:firstLine="0"/>
        <w:rPr>
          <w:i/>
          <w:u w:val="single"/>
        </w:rPr>
      </w:pPr>
      <w:r w:rsidRPr="001C2341">
        <w:rPr>
          <w:i/>
          <w:u w:val="single"/>
        </w:rPr>
        <w:t xml:space="preserve">Stosowanie w skojarzeniu </w:t>
      </w:r>
      <w:r w:rsidR="00454601" w:rsidRPr="001C2341">
        <w:rPr>
          <w:i/>
          <w:u w:val="single"/>
        </w:rPr>
        <w:t>z inhibitorami ACE</w:t>
      </w:r>
    </w:p>
    <w:p w14:paraId="04353204" w14:textId="77777777" w:rsidR="00454601" w:rsidRPr="00440C66" w:rsidRDefault="00454601" w:rsidP="004C760F">
      <w:pPr>
        <w:widowControl w:val="0"/>
        <w:ind w:left="0" w:firstLine="0"/>
      </w:pPr>
      <w:r w:rsidRPr="003C506F">
        <w:t>U pacjentów jednocześnie przyjmujących inhibitory ACE może zwiększyć się ryzyko obrzęku naczynioruchowego</w:t>
      </w:r>
      <w:r w:rsidR="003E27C2" w:rsidRPr="003C506F">
        <w:t xml:space="preserve"> </w:t>
      </w:r>
      <w:r w:rsidRPr="003C506F">
        <w:t>(patrz punkt 4.8).</w:t>
      </w:r>
    </w:p>
    <w:p w14:paraId="07CC810C" w14:textId="77777777" w:rsidR="008A2514" w:rsidRPr="00440C66" w:rsidRDefault="008A2514" w:rsidP="004C760F">
      <w:pPr>
        <w:widowControl w:val="0"/>
        <w:ind w:left="0" w:firstLine="0"/>
      </w:pPr>
    </w:p>
    <w:p w14:paraId="4B7F68AC" w14:textId="5DDC4764" w:rsidR="008A2514" w:rsidRPr="00440C66" w:rsidRDefault="008A2514" w:rsidP="004C760F">
      <w:pPr>
        <w:widowControl w:val="0"/>
        <w:ind w:left="0" w:firstLine="0"/>
      </w:pPr>
      <w:r w:rsidRPr="00440C66">
        <w:t>Podobnie jak w przypadku innych doustnych leków prze</w:t>
      </w:r>
      <w:r w:rsidR="009C5DED" w:rsidRPr="00440C66">
        <w:t xml:space="preserve">ciwcukrzycowych, </w:t>
      </w:r>
      <w:r w:rsidR="00080C0B" w:rsidRPr="00440C66">
        <w:t xml:space="preserve">hipoglikemizujące </w:t>
      </w:r>
      <w:r w:rsidR="009C5DED" w:rsidRPr="00440C66">
        <w:t>działanie wildagliptyny może być osłabione</w:t>
      </w:r>
      <w:r w:rsidRPr="00440C66">
        <w:t xml:space="preserve"> pod wpływem </w:t>
      </w:r>
      <w:r w:rsidR="00080C0B" w:rsidRPr="00440C66">
        <w:t xml:space="preserve">niektórych </w:t>
      </w:r>
      <w:r w:rsidRPr="00440C66">
        <w:t xml:space="preserve">leków, w tym tiazydów, kortykosteroidów, </w:t>
      </w:r>
      <w:r w:rsidR="009C5DED" w:rsidRPr="00440C66">
        <w:t xml:space="preserve">leków stosowanych w leczeniu </w:t>
      </w:r>
      <w:r w:rsidR="002A33F2" w:rsidRPr="00440C66">
        <w:t xml:space="preserve">chorób </w:t>
      </w:r>
      <w:r w:rsidR="009C5DED" w:rsidRPr="00440C66">
        <w:t>gruczołu tarczowego</w:t>
      </w:r>
      <w:r w:rsidRPr="00440C66">
        <w:t xml:space="preserve"> i</w:t>
      </w:r>
      <w:r w:rsidR="00A21B39">
        <w:t> </w:t>
      </w:r>
      <w:r w:rsidRPr="00440C66">
        <w:t>sympatykomimetyków.</w:t>
      </w:r>
    </w:p>
    <w:p w14:paraId="71DF7AFA" w14:textId="77777777" w:rsidR="008A2514" w:rsidRPr="00440C66" w:rsidRDefault="008A2514" w:rsidP="004C760F">
      <w:pPr>
        <w:widowControl w:val="0"/>
      </w:pPr>
    </w:p>
    <w:p w14:paraId="257DC9A0" w14:textId="77777777" w:rsidR="00E45BE7" w:rsidRDefault="00E45BE7" w:rsidP="004C760F">
      <w:pPr>
        <w:keepNext/>
        <w:widowControl w:val="0"/>
        <w:rPr>
          <w:u w:val="single"/>
        </w:rPr>
      </w:pPr>
      <w:r w:rsidRPr="00440C66">
        <w:rPr>
          <w:u w:val="single"/>
        </w:rPr>
        <w:t>Metformina</w:t>
      </w:r>
    </w:p>
    <w:p w14:paraId="65ACBBE4" w14:textId="77777777" w:rsidR="00F0660E" w:rsidRPr="00837913" w:rsidRDefault="00F0660E" w:rsidP="004C760F">
      <w:pPr>
        <w:keepNext/>
        <w:widowControl w:val="0"/>
      </w:pPr>
    </w:p>
    <w:p w14:paraId="2EB0FF95" w14:textId="77777777" w:rsidR="00F33CC1" w:rsidRPr="001C2341" w:rsidRDefault="00F46B92" w:rsidP="004C760F">
      <w:pPr>
        <w:keepNext/>
        <w:widowControl w:val="0"/>
        <w:rPr>
          <w:i/>
          <w:u w:val="single"/>
        </w:rPr>
      </w:pPr>
      <w:r w:rsidRPr="001C2341">
        <w:rPr>
          <w:i/>
          <w:u w:val="single"/>
        </w:rPr>
        <w:t>Niezalecane jednoczesne stosowanie</w:t>
      </w:r>
    </w:p>
    <w:p w14:paraId="5749C43B" w14:textId="77777777" w:rsidR="00F46B92" w:rsidRPr="001C2341" w:rsidRDefault="00F46B92" w:rsidP="004C760F">
      <w:pPr>
        <w:widowControl w:val="0"/>
        <w:ind w:left="0" w:firstLine="0"/>
        <w:rPr>
          <w:rFonts w:cs="Arial"/>
        </w:rPr>
      </w:pPr>
      <w:r w:rsidRPr="001C2341">
        <w:rPr>
          <w:rFonts w:cs="Arial"/>
          <w:i/>
          <w:iCs/>
        </w:rPr>
        <w:t>Alkohol</w:t>
      </w:r>
    </w:p>
    <w:p w14:paraId="43F9E1C0" w14:textId="77777777" w:rsidR="00601E2A" w:rsidRDefault="00F46B92" w:rsidP="004C760F">
      <w:pPr>
        <w:widowControl w:val="0"/>
        <w:ind w:left="0" w:firstLine="0"/>
        <w:rPr>
          <w:rFonts w:cs="Helvetica"/>
        </w:rPr>
      </w:pPr>
      <w:r w:rsidRPr="008438A1">
        <w:rPr>
          <w:rFonts w:cs="Helvetica"/>
        </w:rPr>
        <w:t>Zatrucie alkoholem związane jest ze zwiększonym ryzykiem kwa</w:t>
      </w:r>
      <w:r>
        <w:rPr>
          <w:rFonts w:cs="Helvetica"/>
        </w:rPr>
        <w:t>sicy mleczanowej, szczególnie w </w:t>
      </w:r>
      <w:r w:rsidRPr="008438A1">
        <w:rPr>
          <w:rFonts w:cs="Helvetica"/>
        </w:rPr>
        <w:t>przypadkach</w:t>
      </w:r>
      <w:r>
        <w:rPr>
          <w:rFonts w:cs="Helvetica"/>
        </w:rPr>
        <w:t xml:space="preserve"> głodzenia</w:t>
      </w:r>
      <w:r w:rsidRPr="008438A1">
        <w:rPr>
          <w:rFonts w:cs="Helvetica"/>
        </w:rPr>
        <w:t>, niedożywienia lub zaburzeń czynności wątroby.</w:t>
      </w:r>
    </w:p>
    <w:p w14:paraId="6456662E" w14:textId="77777777" w:rsidR="00F46B92" w:rsidRDefault="00F46B92" w:rsidP="004C760F">
      <w:pPr>
        <w:widowControl w:val="0"/>
        <w:ind w:left="0" w:firstLine="0"/>
      </w:pPr>
    </w:p>
    <w:p w14:paraId="619ACDF9" w14:textId="77777777" w:rsidR="00601E2A" w:rsidRPr="001C2341" w:rsidRDefault="00601E2A" w:rsidP="004C760F">
      <w:pPr>
        <w:keepNext/>
        <w:widowControl w:val="0"/>
        <w:shd w:val="clear" w:color="auto" w:fill="FFFFFF"/>
        <w:rPr>
          <w:rFonts w:cs="Arial"/>
        </w:rPr>
      </w:pPr>
      <w:r w:rsidRPr="001C2341">
        <w:rPr>
          <w:rFonts w:cs="Arial"/>
          <w:i/>
          <w:iCs/>
        </w:rPr>
        <w:t>Środki kontrastowe zawierające jod</w:t>
      </w:r>
    </w:p>
    <w:p w14:paraId="0ADCAC71" w14:textId="77777777" w:rsidR="00601E2A" w:rsidRDefault="00601E2A" w:rsidP="004C760F">
      <w:pPr>
        <w:widowControl w:val="0"/>
        <w:ind w:left="0" w:firstLine="0"/>
      </w:pPr>
      <w:r w:rsidRPr="008438A1">
        <w:t>Stosowanie metforminy mus</w:t>
      </w:r>
      <w:r>
        <w:t xml:space="preserve">i </w:t>
      </w:r>
      <w:r w:rsidRPr="008438A1">
        <w:t xml:space="preserve">być przerwane przed badaniem lub podczas badania obrazowego; nie wolno wznawiać </w:t>
      </w:r>
      <w:r>
        <w:t xml:space="preserve">jej </w:t>
      </w:r>
      <w:r w:rsidRPr="008438A1">
        <w:t xml:space="preserve">stosowania przez co najmniej 48 godzin po badaniu, </w:t>
      </w:r>
      <w:r w:rsidRPr="009D3085">
        <w:rPr>
          <w:rFonts w:cs="Helvetica"/>
        </w:rPr>
        <w:t xml:space="preserve">po </w:t>
      </w:r>
      <w:r>
        <w:rPr>
          <w:rFonts w:cs="Helvetica"/>
        </w:rPr>
        <w:t xml:space="preserve">czym </w:t>
      </w:r>
      <w:r w:rsidRPr="009D3085">
        <w:rPr>
          <w:rFonts w:cs="Helvetica"/>
        </w:rPr>
        <w:t xml:space="preserve">można wznowić </w:t>
      </w:r>
      <w:r>
        <w:rPr>
          <w:rFonts w:cs="Helvetica"/>
        </w:rPr>
        <w:t xml:space="preserve">podawanie metforminy </w:t>
      </w:r>
      <w:r w:rsidRPr="008438A1">
        <w:t>pod warunkiem ponownej oceny czynności nerek i stwierdzeniu, że jest ona stabilna (patrz punkty 4.2 i 4.4).</w:t>
      </w:r>
    </w:p>
    <w:p w14:paraId="1C4FD6C4" w14:textId="77777777" w:rsidR="005E1511" w:rsidRPr="00440C66" w:rsidRDefault="005E1511" w:rsidP="004C760F">
      <w:pPr>
        <w:widowControl w:val="0"/>
        <w:ind w:left="0" w:firstLine="0"/>
      </w:pPr>
    </w:p>
    <w:p w14:paraId="3DEED4F3" w14:textId="77777777" w:rsidR="005E1511" w:rsidRPr="001C2341" w:rsidRDefault="005E1511" w:rsidP="004C760F">
      <w:pPr>
        <w:keepNext/>
        <w:widowControl w:val="0"/>
        <w:ind w:left="0" w:firstLine="0"/>
        <w:rPr>
          <w:i/>
          <w:u w:val="single"/>
        </w:rPr>
      </w:pPr>
      <w:r w:rsidRPr="001C2341">
        <w:rPr>
          <w:i/>
          <w:u w:val="single"/>
        </w:rPr>
        <w:lastRenderedPageBreak/>
        <w:t>Skojarzenia</w:t>
      </w:r>
      <w:r w:rsidR="00913E1F" w:rsidRPr="001C2341">
        <w:rPr>
          <w:i/>
          <w:u w:val="single"/>
        </w:rPr>
        <w:t xml:space="preserve"> leków</w:t>
      </w:r>
      <w:r w:rsidRPr="001C2341">
        <w:rPr>
          <w:i/>
          <w:u w:val="single"/>
        </w:rPr>
        <w:t xml:space="preserve"> wymagające zachowania środków ostrożności </w:t>
      </w:r>
      <w:r w:rsidR="00F0160D" w:rsidRPr="001C2341">
        <w:rPr>
          <w:i/>
          <w:u w:val="single"/>
        </w:rPr>
        <w:t xml:space="preserve">podczas </w:t>
      </w:r>
      <w:r w:rsidRPr="001C2341">
        <w:rPr>
          <w:i/>
          <w:u w:val="single"/>
        </w:rPr>
        <w:t>stosowania</w:t>
      </w:r>
    </w:p>
    <w:p w14:paraId="0E6C4D84" w14:textId="77777777" w:rsidR="00601E2A" w:rsidRDefault="00601E2A" w:rsidP="004C760F">
      <w:pPr>
        <w:widowControl w:val="0"/>
        <w:ind w:left="0" w:firstLine="0"/>
      </w:pPr>
      <w:r w:rsidRPr="008438A1">
        <w:rPr>
          <w:rFonts w:cs="Helvetica"/>
        </w:rPr>
        <w:t xml:space="preserve">Pewne produkty lecznicze mogą wywierać niekorzystne działanie na czynność nerek, co może zwiększać ryzyko kwasicy mleczanowej, np. </w:t>
      </w:r>
      <w:r>
        <w:rPr>
          <w:rFonts w:cs="Helvetica"/>
        </w:rPr>
        <w:t>niesteroidowe leki przeciwzapalne (</w:t>
      </w:r>
      <w:r w:rsidRPr="008438A1">
        <w:rPr>
          <w:rFonts w:cs="Helvetica"/>
        </w:rPr>
        <w:t>NLPZ</w:t>
      </w:r>
      <w:r>
        <w:rPr>
          <w:rFonts w:cs="Helvetica"/>
        </w:rPr>
        <w:t>)</w:t>
      </w:r>
      <w:r w:rsidRPr="008438A1">
        <w:rPr>
          <w:rFonts w:cs="Helvetica"/>
        </w:rPr>
        <w:t xml:space="preserve">, w tym selektywne inhibitory cyklooksygenazy (COX) 2, inhibitory ACE, antagoniści receptora angiotensyny II i leki moczopędne, w szczególności pętlowe. W razie </w:t>
      </w:r>
      <w:r>
        <w:rPr>
          <w:rFonts w:cs="Helvetica"/>
        </w:rPr>
        <w:t xml:space="preserve">rozpoczynania </w:t>
      </w:r>
      <w:r w:rsidRPr="008438A1">
        <w:rPr>
          <w:rFonts w:cs="Helvetica"/>
        </w:rPr>
        <w:t xml:space="preserve">stosowania lub stosowania takich produktów </w:t>
      </w:r>
      <w:r>
        <w:rPr>
          <w:rFonts w:cs="Helvetica"/>
        </w:rPr>
        <w:t xml:space="preserve">w skojarzeniu </w:t>
      </w:r>
      <w:r w:rsidRPr="008438A1">
        <w:rPr>
          <w:rFonts w:cs="Helvetica"/>
        </w:rPr>
        <w:t>z metforminą</w:t>
      </w:r>
      <w:r>
        <w:rPr>
          <w:rFonts w:cs="Helvetica"/>
        </w:rPr>
        <w:t>,</w:t>
      </w:r>
      <w:r w:rsidRPr="008438A1">
        <w:rPr>
          <w:rFonts w:cs="Helvetica"/>
        </w:rPr>
        <w:t xml:space="preserve"> konieczne jest dokładne monitorowanie czynności nerek.</w:t>
      </w:r>
      <w:r w:rsidRPr="008438A1">
        <w:t xml:space="preserve"> </w:t>
      </w:r>
    </w:p>
    <w:p w14:paraId="6BE66F42" w14:textId="77777777" w:rsidR="00601E2A" w:rsidRDefault="00601E2A" w:rsidP="004C760F">
      <w:pPr>
        <w:widowControl w:val="0"/>
        <w:ind w:left="0" w:firstLine="0"/>
      </w:pPr>
    </w:p>
    <w:p w14:paraId="02471A8F" w14:textId="5555A0B1" w:rsidR="005E1511" w:rsidRPr="00440C66" w:rsidRDefault="00104E2A" w:rsidP="004C760F">
      <w:pPr>
        <w:widowControl w:val="0"/>
        <w:ind w:left="0" w:firstLine="0"/>
      </w:pPr>
      <w:r w:rsidRPr="00440C66">
        <w:t>Gl</w:t>
      </w:r>
      <w:r w:rsidR="00901A32" w:rsidRPr="00440C66">
        <w:t>i</w:t>
      </w:r>
      <w:r w:rsidRPr="00440C66">
        <w:t xml:space="preserve">kokortykosteroidy, </w:t>
      </w:r>
      <w:r w:rsidR="00901A32" w:rsidRPr="00440C66">
        <w:t>agoniści</w:t>
      </w:r>
      <w:r w:rsidR="00913E1F" w:rsidRPr="00440C66">
        <w:t xml:space="preserve"> receptorów beta-2-adrenergicznych</w:t>
      </w:r>
      <w:r w:rsidR="00901A32" w:rsidRPr="00440C66">
        <w:t xml:space="preserve"> i leki moczopędne mają</w:t>
      </w:r>
      <w:r w:rsidRPr="00440C66">
        <w:t xml:space="preserve"> działanie</w:t>
      </w:r>
      <w:r w:rsidR="00913E1F" w:rsidRPr="00440C66">
        <w:t xml:space="preserve"> </w:t>
      </w:r>
      <w:r w:rsidRPr="00440C66">
        <w:t xml:space="preserve">hiperglikemiczne. Należy poinformować o tym pacjenta i częściej oznaczać stężenie glukozy we krwi, </w:t>
      </w:r>
      <w:r w:rsidR="00B948AE" w:rsidRPr="00440C66">
        <w:t>szczególnie</w:t>
      </w:r>
      <w:r w:rsidRPr="00440C66">
        <w:t xml:space="preserve"> na początku leczenia. W razie konieczności dawkę </w:t>
      </w:r>
      <w:r w:rsidR="006A003C">
        <w:t>produktu</w:t>
      </w:r>
      <w:r w:rsidR="006A003C" w:rsidRPr="006A003C">
        <w:t xml:space="preserve"> Vildagliptin/Metformin hydrochloride Accord</w:t>
      </w:r>
      <w:r w:rsidRPr="00440C66">
        <w:t xml:space="preserve"> można dostosować</w:t>
      </w:r>
      <w:r w:rsidR="00901A32" w:rsidRPr="00440C66">
        <w:t xml:space="preserve"> podczas leczenia </w:t>
      </w:r>
      <w:r w:rsidR="005624A3" w:rsidRPr="00440C66">
        <w:t xml:space="preserve">w </w:t>
      </w:r>
      <w:r w:rsidR="00901A32" w:rsidRPr="00440C66">
        <w:t>skojarz</w:t>
      </w:r>
      <w:r w:rsidR="005624A3" w:rsidRPr="00440C66">
        <w:t>eniu z</w:t>
      </w:r>
      <w:r w:rsidRPr="00440C66">
        <w:t xml:space="preserve"> tymi lekami i po ich odstawieniu.</w:t>
      </w:r>
    </w:p>
    <w:p w14:paraId="7CD2A2DB" w14:textId="77777777" w:rsidR="000E61A8" w:rsidRPr="00440C66" w:rsidRDefault="000E61A8" w:rsidP="004C760F">
      <w:pPr>
        <w:widowControl w:val="0"/>
        <w:ind w:left="0" w:firstLine="0"/>
      </w:pPr>
    </w:p>
    <w:p w14:paraId="37BEB3A2" w14:textId="77777777" w:rsidR="000E61A8" w:rsidRPr="00440C66" w:rsidRDefault="000E61A8" w:rsidP="004C760F">
      <w:pPr>
        <w:widowControl w:val="0"/>
        <w:ind w:left="0" w:firstLine="0"/>
      </w:pPr>
      <w:r w:rsidRPr="00440C66">
        <w:t>Inhibitory konwertazy angiotensyny (</w:t>
      </w:r>
      <w:r w:rsidR="00B948AE" w:rsidRPr="00440C66">
        <w:t>ACE</w:t>
      </w:r>
      <w:r w:rsidRPr="00440C66">
        <w:t xml:space="preserve">) mogą </w:t>
      </w:r>
      <w:r w:rsidR="006A22E4" w:rsidRPr="00440C66">
        <w:t xml:space="preserve">zmniejszać </w:t>
      </w:r>
      <w:r w:rsidRPr="00440C66">
        <w:t>stężenie glukozy we krwi. W razie konieczności dawkę leku przeciw</w:t>
      </w:r>
      <w:r w:rsidR="006A22E4" w:rsidRPr="00440C66">
        <w:t>cukrzycowego,</w:t>
      </w:r>
      <w:r w:rsidR="000B58AD" w:rsidRPr="00440C66">
        <w:t xml:space="preserve"> </w:t>
      </w:r>
      <w:r w:rsidRPr="00440C66">
        <w:t xml:space="preserve">należy dostosować </w:t>
      </w:r>
      <w:r w:rsidR="00B948AE" w:rsidRPr="00440C66">
        <w:t>w czasie</w:t>
      </w:r>
      <w:r w:rsidRPr="00440C66">
        <w:t xml:space="preserve"> leczenia innym produktem leczniczym i po jego odstawieniu.</w:t>
      </w:r>
    </w:p>
    <w:p w14:paraId="29FE1303" w14:textId="77777777" w:rsidR="00A4080A" w:rsidRDefault="00A4080A" w:rsidP="004C760F">
      <w:pPr>
        <w:widowControl w:val="0"/>
        <w:ind w:left="0" w:firstLine="0"/>
      </w:pPr>
    </w:p>
    <w:p w14:paraId="132C26AB" w14:textId="77777777" w:rsidR="0075712B" w:rsidRDefault="0075712B" w:rsidP="004C760F">
      <w:pPr>
        <w:widowControl w:val="0"/>
        <w:ind w:left="0" w:firstLine="0"/>
      </w:pPr>
      <w:r>
        <w:t>Jednoczesne stosowanie produktów leczniczych, które zaburzają działanie wspólnych układów transportujących zlokalizowanych w kanalikach nerkowych uczestniczących w wydalaniu metforminy przez nerki (np.</w:t>
      </w:r>
      <w:r w:rsidR="00297EEB">
        <w:t xml:space="preserve"> inhibitory transportera kationów organicznych-2 [OCT2]/ekstruzji wielolekowej i</w:t>
      </w:r>
      <w:r w:rsidR="00A21B39">
        <w:t> </w:t>
      </w:r>
      <w:r w:rsidR="00297EEB">
        <w:t>toksyn [MATE] takie jak ranolazyna, wandetanib, dolutegrawir i cymetydyna</w:t>
      </w:r>
      <w:r>
        <w:t>) mogą zwiększać</w:t>
      </w:r>
      <w:r w:rsidR="00297EEB">
        <w:t xml:space="preserve"> ogólnoustrojową ekspozycję na metforminę.</w:t>
      </w:r>
    </w:p>
    <w:p w14:paraId="1FD43A07" w14:textId="77777777" w:rsidR="0075712B" w:rsidRPr="00440C66" w:rsidRDefault="0075712B" w:rsidP="004C760F">
      <w:pPr>
        <w:widowControl w:val="0"/>
        <w:ind w:left="0" w:firstLine="0"/>
      </w:pPr>
    </w:p>
    <w:p w14:paraId="2BC2D218" w14:textId="77777777" w:rsidR="008A2514" w:rsidRPr="00440C66" w:rsidRDefault="008A2514" w:rsidP="004C760F">
      <w:pPr>
        <w:keepNext/>
        <w:widowControl w:val="0"/>
        <w:rPr>
          <w:b/>
        </w:rPr>
      </w:pPr>
      <w:r w:rsidRPr="00440C66">
        <w:rPr>
          <w:b/>
        </w:rPr>
        <w:t>4.6</w:t>
      </w:r>
      <w:r w:rsidRPr="00440C66">
        <w:rPr>
          <w:b/>
        </w:rPr>
        <w:tab/>
      </w:r>
      <w:r w:rsidR="009E22DF" w:rsidRPr="00440C66">
        <w:rPr>
          <w:b/>
        </w:rPr>
        <w:t>Wpływ na płodność, c</w:t>
      </w:r>
      <w:r w:rsidRPr="00440C66">
        <w:rPr>
          <w:b/>
        </w:rPr>
        <w:t>iąż</w:t>
      </w:r>
      <w:r w:rsidR="009E22DF" w:rsidRPr="00440C66">
        <w:rPr>
          <w:b/>
        </w:rPr>
        <w:t>ę</w:t>
      </w:r>
      <w:r w:rsidRPr="00440C66">
        <w:rPr>
          <w:b/>
        </w:rPr>
        <w:t xml:space="preserve"> i laktacj</w:t>
      </w:r>
      <w:r w:rsidR="009E22DF" w:rsidRPr="00440C66">
        <w:rPr>
          <w:b/>
        </w:rPr>
        <w:t>ę</w:t>
      </w:r>
    </w:p>
    <w:p w14:paraId="6C02BB5B" w14:textId="77777777" w:rsidR="008A2514" w:rsidRPr="00440C66" w:rsidRDefault="008A2514" w:rsidP="004C760F">
      <w:pPr>
        <w:keepNext/>
        <w:widowControl w:val="0"/>
      </w:pPr>
    </w:p>
    <w:p w14:paraId="3FDA8DB1" w14:textId="77777777" w:rsidR="009E22DF" w:rsidRDefault="009E22DF" w:rsidP="004C760F">
      <w:pPr>
        <w:keepNext/>
        <w:widowControl w:val="0"/>
        <w:rPr>
          <w:u w:val="single"/>
        </w:rPr>
      </w:pPr>
      <w:r w:rsidRPr="00440C66">
        <w:rPr>
          <w:u w:val="single"/>
        </w:rPr>
        <w:t>Ciąża</w:t>
      </w:r>
    </w:p>
    <w:p w14:paraId="3E7A8E0D" w14:textId="77777777" w:rsidR="00F0660E" w:rsidRPr="00837913" w:rsidRDefault="00F0660E" w:rsidP="004C760F">
      <w:pPr>
        <w:keepNext/>
        <w:widowControl w:val="0"/>
      </w:pPr>
    </w:p>
    <w:p w14:paraId="7EA85EE3" w14:textId="1E2AB285" w:rsidR="00EA68C0" w:rsidRPr="00440C66" w:rsidRDefault="00082C8F" w:rsidP="004C760F">
      <w:pPr>
        <w:widowControl w:val="0"/>
        <w:ind w:left="0" w:firstLine="0"/>
      </w:pPr>
      <w:r w:rsidRPr="00440C66">
        <w:t>Brak</w:t>
      </w:r>
      <w:r w:rsidR="006A22E4" w:rsidRPr="00440C66">
        <w:t xml:space="preserve"> </w:t>
      </w:r>
      <w:r w:rsidR="00EA68C0" w:rsidRPr="00440C66">
        <w:t xml:space="preserve">wystarczających danych dotyczących stosowania </w:t>
      </w:r>
      <w:r w:rsidR="00070C89">
        <w:t>produktu</w:t>
      </w:r>
      <w:r w:rsidR="00EA68C0" w:rsidRPr="00440C66">
        <w:t xml:space="preserve"> </w:t>
      </w:r>
      <w:r w:rsidR="00070C89" w:rsidRPr="00070C89">
        <w:t xml:space="preserve">Vildagliptin/Metformin hydrochloride Accord </w:t>
      </w:r>
      <w:r w:rsidR="00EA68C0" w:rsidRPr="00440C66">
        <w:t>u kobiet w</w:t>
      </w:r>
      <w:r w:rsidR="00A21B39">
        <w:t> </w:t>
      </w:r>
      <w:r w:rsidR="009C569D">
        <w:t xml:space="preserve">okresie </w:t>
      </w:r>
      <w:r w:rsidR="00EA68C0" w:rsidRPr="00440C66">
        <w:t xml:space="preserve">ciąży. W przypadku wildagliptyny, badania na zwierzętach wykazały szkodliwy wpływ na reprodukcję po podaniu </w:t>
      </w:r>
      <w:r w:rsidR="00B948AE" w:rsidRPr="00440C66">
        <w:t>dużych</w:t>
      </w:r>
      <w:r w:rsidR="00EA68C0" w:rsidRPr="00440C66">
        <w:t xml:space="preserve"> dawek. W przypadku metforminy, badania na zwierzętach nie wykazały szkodliwego wpływu na reprodukcję. Badania na zwierzętach przeprowadzone z</w:t>
      </w:r>
      <w:r w:rsidR="00A21B39">
        <w:t> </w:t>
      </w:r>
      <w:r w:rsidR="00EA68C0" w:rsidRPr="00440C66">
        <w:t>podawaniem wildagliptyny i metforminy nie dostarczyły dowodów na działanie teratogenne, jednak wykazały działania toksyczne na płód po podaniu dawek toksycznych dla matki (patrz punkt 5.3).</w:t>
      </w:r>
      <w:r w:rsidR="00D722DD" w:rsidRPr="00440C66">
        <w:t xml:space="preserve"> </w:t>
      </w:r>
      <w:r w:rsidR="006329C2" w:rsidRPr="00440C66">
        <w:t xml:space="preserve">Potencjalne zagrożenie dla człowieka nie jest znane. </w:t>
      </w:r>
      <w:r w:rsidR="00070C89">
        <w:t>Produktu</w:t>
      </w:r>
      <w:r w:rsidR="00EA68C0" w:rsidRPr="00440C66">
        <w:t xml:space="preserve"> </w:t>
      </w:r>
      <w:r w:rsidR="00070C89" w:rsidRPr="00070C89">
        <w:t xml:space="preserve">Vildagliptin/Metformin hydrochloride Accord </w:t>
      </w:r>
      <w:r w:rsidR="00EA68C0" w:rsidRPr="00440C66">
        <w:t>nie stosować w</w:t>
      </w:r>
      <w:r w:rsidR="00A21B39">
        <w:t> </w:t>
      </w:r>
      <w:r w:rsidR="00DD2B23" w:rsidRPr="00440C66">
        <w:t xml:space="preserve">okresie </w:t>
      </w:r>
      <w:r w:rsidR="00EA68C0" w:rsidRPr="00440C66">
        <w:t>ciąży.</w:t>
      </w:r>
    </w:p>
    <w:p w14:paraId="1C4D2653" w14:textId="77777777" w:rsidR="00EA68C0" w:rsidRPr="00440C66" w:rsidRDefault="00EA68C0" w:rsidP="004C760F">
      <w:pPr>
        <w:widowControl w:val="0"/>
        <w:ind w:left="0" w:firstLine="0"/>
      </w:pPr>
    </w:p>
    <w:p w14:paraId="56C3FB5E" w14:textId="77777777" w:rsidR="009E22DF" w:rsidRDefault="009E22DF" w:rsidP="004C760F">
      <w:pPr>
        <w:keepNext/>
        <w:widowControl w:val="0"/>
        <w:ind w:left="0" w:firstLine="0"/>
        <w:rPr>
          <w:u w:val="single"/>
        </w:rPr>
      </w:pPr>
      <w:r w:rsidRPr="00440C66">
        <w:rPr>
          <w:u w:val="single"/>
        </w:rPr>
        <w:t>Karmienie piersią</w:t>
      </w:r>
    </w:p>
    <w:p w14:paraId="378F2E59" w14:textId="77777777" w:rsidR="009C569D" w:rsidRPr="00837913" w:rsidRDefault="009C569D" w:rsidP="004C760F">
      <w:pPr>
        <w:keepNext/>
        <w:widowControl w:val="0"/>
        <w:ind w:left="0" w:firstLine="0"/>
      </w:pPr>
    </w:p>
    <w:p w14:paraId="0AF1E713" w14:textId="419D3D97" w:rsidR="00415382" w:rsidRPr="00440C66" w:rsidRDefault="00801724" w:rsidP="004C760F">
      <w:pPr>
        <w:widowControl w:val="0"/>
        <w:ind w:left="0" w:firstLine="0"/>
      </w:pPr>
      <w:r w:rsidRPr="005811F9">
        <w:t xml:space="preserve">Badania na zwierzętach wykazały </w:t>
      </w:r>
      <w:r w:rsidRPr="0038031A">
        <w:t>przenikanie</w:t>
      </w:r>
      <w:r w:rsidRPr="001C2341">
        <w:t xml:space="preserve"> </w:t>
      </w:r>
      <w:r w:rsidR="006329C2" w:rsidRPr="001C2341">
        <w:t>z</w:t>
      </w:r>
      <w:r w:rsidR="006329C2" w:rsidRPr="005811F9">
        <w:t>arówno m</w:t>
      </w:r>
      <w:r w:rsidR="006329C2" w:rsidRPr="0038031A">
        <w:t>etformin</w:t>
      </w:r>
      <w:r w:rsidR="009C569D" w:rsidRPr="001C2341">
        <w:t>y</w:t>
      </w:r>
      <w:r w:rsidR="006329C2" w:rsidRPr="001C2341">
        <w:t>, jak i wildagliptyn</w:t>
      </w:r>
      <w:r w:rsidR="009C569D" w:rsidRPr="001C2341">
        <w:t>y</w:t>
      </w:r>
      <w:r w:rsidR="00707455" w:rsidRPr="001C2341">
        <w:t xml:space="preserve"> do</w:t>
      </w:r>
      <w:r w:rsidR="006329C2" w:rsidRPr="001C2341">
        <w:t xml:space="preserve"> mlek</w:t>
      </w:r>
      <w:r w:rsidR="00707455" w:rsidRPr="001C2341">
        <w:t>a</w:t>
      </w:r>
      <w:r w:rsidR="006329C2" w:rsidRPr="001C2341">
        <w:t xml:space="preserve">. </w:t>
      </w:r>
      <w:r w:rsidR="008A2514" w:rsidRPr="001C2341">
        <w:t>Nie</w:t>
      </w:r>
      <w:r w:rsidR="008A2514" w:rsidRPr="00440C66">
        <w:t xml:space="preserve"> wiadomo, czy wildagliptyna przenika do mleka </w:t>
      </w:r>
      <w:r w:rsidR="0063220C" w:rsidRPr="00440C66">
        <w:t>ludzkiego</w:t>
      </w:r>
      <w:r w:rsidR="009C661E" w:rsidRPr="00440C66">
        <w:t xml:space="preserve">, jednak metformina </w:t>
      </w:r>
      <w:r w:rsidR="00D371D4" w:rsidRPr="00440C66">
        <w:t xml:space="preserve">przenika do </w:t>
      </w:r>
      <w:r w:rsidR="009C661E" w:rsidRPr="00440C66">
        <w:t>mlek</w:t>
      </w:r>
      <w:r w:rsidR="00D371D4" w:rsidRPr="00440C66">
        <w:t xml:space="preserve">a </w:t>
      </w:r>
      <w:r w:rsidR="0063220C" w:rsidRPr="00440C66">
        <w:t>ludzkiego</w:t>
      </w:r>
      <w:r w:rsidR="009C661E" w:rsidRPr="00440C66">
        <w:t xml:space="preserve"> w niewielkich ilościach. Z uwagi na możliwe ryzyko </w:t>
      </w:r>
      <w:r w:rsidR="002D4785" w:rsidRPr="00440C66">
        <w:t>wystąpienia</w:t>
      </w:r>
      <w:r w:rsidR="009C661E" w:rsidRPr="00440C66">
        <w:t xml:space="preserve"> hipoglikemii wywołanej metforminą u noworodka</w:t>
      </w:r>
      <w:r w:rsidR="0005536F" w:rsidRPr="00440C66">
        <w:t>, jak również brak danych dotyczących</w:t>
      </w:r>
      <w:r w:rsidR="00D371D4" w:rsidRPr="00440C66">
        <w:t xml:space="preserve"> stosowania</w:t>
      </w:r>
      <w:r w:rsidR="0005536F" w:rsidRPr="00440C66">
        <w:t xml:space="preserve"> wildagliptyny u ludzi</w:t>
      </w:r>
      <w:r w:rsidR="009C661E" w:rsidRPr="00440C66">
        <w:t xml:space="preserve">, </w:t>
      </w:r>
      <w:r w:rsidR="00070C89">
        <w:t>produktu</w:t>
      </w:r>
      <w:r w:rsidR="00070C89" w:rsidRPr="00070C89">
        <w:t xml:space="preserve"> Vildagliptin/Metformin hydrochloride Accord</w:t>
      </w:r>
      <w:r w:rsidR="009C661E" w:rsidRPr="00440C66">
        <w:t xml:space="preserve"> nie stosować w okresie </w:t>
      </w:r>
      <w:r w:rsidR="00122DB1" w:rsidRPr="00440C66">
        <w:t xml:space="preserve">karmienia piersią </w:t>
      </w:r>
      <w:r w:rsidR="009C661E" w:rsidRPr="00440C66">
        <w:t>(patrz punkt</w:t>
      </w:r>
      <w:r w:rsidR="00707D3C">
        <w:t> </w:t>
      </w:r>
      <w:r w:rsidR="009C661E" w:rsidRPr="00440C66">
        <w:t>4.3).</w:t>
      </w:r>
    </w:p>
    <w:p w14:paraId="7D3A761A" w14:textId="77777777" w:rsidR="005705C7" w:rsidRPr="00440C66" w:rsidRDefault="005705C7" w:rsidP="004C760F">
      <w:pPr>
        <w:widowControl w:val="0"/>
        <w:ind w:left="0" w:firstLine="0"/>
        <w:rPr>
          <w:u w:val="single"/>
        </w:rPr>
      </w:pPr>
    </w:p>
    <w:p w14:paraId="46D1B81C" w14:textId="77777777" w:rsidR="005705C7" w:rsidRDefault="005705C7" w:rsidP="004C760F">
      <w:pPr>
        <w:keepNext/>
        <w:widowControl w:val="0"/>
        <w:ind w:left="0" w:firstLine="0"/>
        <w:rPr>
          <w:u w:val="single"/>
        </w:rPr>
      </w:pPr>
      <w:r w:rsidRPr="00440C66">
        <w:rPr>
          <w:u w:val="single"/>
        </w:rPr>
        <w:t>Płodność</w:t>
      </w:r>
    </w:p>
    <w:p w14:paraId="7690DCF7" w14:textId="77777777" w:rsidR="00707D3C" w:rsidRPr="00837913" w:rsidRDefault="00707D3C" w:rsidP="004C760F">
      <w:pPr>
        <w:keepNext/>
        <w:widowControl w:val="0"/>
        <w:ind w:left="0" w:firstLine="0"/>
      </w:pPr>
    </w:p>
    <w:p w14:paraId="2E79E4EB" w14:textId="4C0AA098" w:rsidR="00F33CC1" w:rsidRPr="00440C66" w:rsidRDefault="005705C7" w:rsidP="004C760F">
      <w:pPr>
        <w:widowControl w:val="0"/>
        <w:ind w:left="0" w:firstLine="0"/>
      </w:pPr>
      <w:r w:rsidRPr="00440C66">
        <w:t xml:space="preserve">Nie przeprowadzono badań nad wpływem </w:t>
      </w:r>
      <w:r w:rsidR="00070C89">
        <w:t>produktu</w:t>
      </w:r>
      <w:r w:rsidR="00070C89" w:rsidRPr="00070C89">
        <w:t xml:space="preserve"> Vildagliptin/Metformin hydrochloride Accord</w:t>
      </w:r>
      <w:r w:rsidRPr="00440C66">
        <w:t xml:space="preserve"> na płodność u ludzi (patrz punkt</w:t>
      </w:r>
      <w:r w:rsidR="00707D3C">
        <w:t> </w:t>
      </w:r>
      <w:r w:rsidRPr="00440C66">
        <w:t>5.3).</w:t>
      </w:r>
    </w:p>
    <w:p w14:paraId="154FE883" w14:textId="77777777" w:rsidR="005705C7" w:rsidRPr="00440C66" w:rsidRDefault="005705C7" w:rsidP="004C760F">
      <w:pPr>
        <w:widowControl w:val="0"/>
        <w:ind w:left="0" w:firstLine="0"/>
      </w:pPr>
    </w:p>
    <w:p w14:paraId="3597949A" w14:textId="77777777" w:rsidR="008A2514" w:rsidRPr="00440C66" w:rsidRDefault="008A2514" w:rsidP="004C760F">
      <w:pPr>
        <w:keepNext/>
        <w:widowControl w:val="0"/>
        <w:rPr>
          <w:b/>
        </w:rPr>
      </w:pPr>
      <w:r w:rsidRPr="00440C66">
        <w:rPr>
          <w:b/>
        </w:rPr>
        <w:t>4.7</w:t>
      </w:r>
      <w:r w:rsidRPr="00440C66">
        <w:rPr>
          <w:b/>
        </w:rPr>
        <w:tab/>
        <w:t>Wpływ na zdolność prowadzenia pojazd</w:t>
      </w:r>
      <w:r w:rsidR="009E22DF" w:rsidRPr="00440C66">
        <w:rPr>
          <w:b/>
        </w:rPr>
        <w:t>ów</w:t>
      </w:r>
      <w:r w:rsidRPr="00440C66">
        <w:rPr>
          <w:b/>
        </w:rPr>
        <w:t xml:space="preserve"> i obsługiwania </w:t>
      </w:r>
      <w:r w:rsidR="009E22DF" w:rsidRPr="00440C66">
        <w:rPr>
          <w:b/>
        </w:rPr>
        <w:t>maszyn</w:t>
      </w:r>
    </w:p>
    <w:p w14:paraId="132C9577" w14:textId="77777777" w:rsidR="008A2514" w:rsidRPr="00440C66" w:rsidRDefault="008A2514" w:rsidP="004C760F">
      <w:pPr>
        <w:keepNext/>
        <w:widowControl w:val="0"/>
      </w:pPr>
    </w:p>
    <w:p w14:paraId="306EAE94" w14:textId="2B55E588" w:rsidR="008A2514" w:rsidRPr="00440C66" w:rsidRDefault="008A2514" w:rsidP="004C760F">
      <w:pPr>
        <w:widowControl w:val="0"/>
        <w:ind w:left="0" w:firstLine="0"/>
      </w:pPr>
      <w:r w:rsidRPr="00440C66">
        <w:t xml:space="preserve">Nie przeprowadzono badań nad wpływem </w:t>
      </w:r>
      <w:r w:rsidR="00E10A20" w:rsidRPr="00E10A20">
        <w:t>wildagliptyny + chlorowodorku metforminy</w:t>
      </w:r>
      <w:r w:rsidRPr="00440C66">
        <w:t xml:space="preserve"> na zdolność prowadzenia pojazdów</w:t>
      </w:r>
      <w:r w:rsidR="00DD2B23" w:rsidRPr="00440C66">
        <w:t xml:space="preserve"> </w:t>
      </w:r>
      <w:r w:rsidRPr="00440C66">
        <w:t>i</w:t>
      </w:r>
      <w:r w:rsidR="00A21B39">
        <w:t> </w:t>
      </w:r>
      <w:r w:rsidRPr="00440C66">
        <w:t>obsługi</w:t>
      </w:r>
      <w:r w:rsidR="00DD2B23" w:rsidRPr="00440C66">
        <w:t>wania</w:t>
      </w:r>
      <w:r w:rsidRPr="00440C66">
        <w:t xml:space="preserve"> </w:t>
      </w:r>
      <w:r w:rsidR="009E22DF" w:rsidRPr="00440C66">
        <w:t>maszyn</w:t>
      </w:r>
      <w:r w:rsidRPr="00440C66">
        <w:t>. Pacjenci, u których wystąpią zawroty głowy</w:t>
      </w:r>
      <w:r w:rsidR="00415382" w:rsidRPr="00440C66">
        <w:t xml:space="preserve"> jako działania niepożądane </w:t>
      </w:r>
      <w:r w:rsidR="007F54AC" w:rsidRPr="00440C66">
        <w:t>produkt</w:t>
      </w:r>
      <w:r w:rsidR="00DD2B23" w:rsidRPr="00440C66">
        <w:t>u</w:t>
      </w:r>
      <w:r w:rsidR="00F36713" w:rsidRPr="00440C66">
        <w:t xml:space="preserve"> leczniczego</w:t>
      </w:r>
      <w:r w:rsidR="002D4785" w:rsidRPr="00440C66">
        <w:t>,</w:t>
      </w:r>
      <w:r w:rsidR="00415382" w:rsidRPr="00440C66">
        <w:t xml:space="preserve"> </w:t>
      </w:r>
      <w:r w:rsidRPr="00440C66">
        <w:t xml:space="preserve">powinni </w:t>
      </w:r>
      <w:r w:rsidR="00415382" w:rsidRPr="00440C66">
        <w:t xml:space="preserve">unikać </w:t>
      </w:r>
      <w:r w:rsidRPr="00440C66">
        <w:t>prowadz</w:t>
      </w:r>
      <w:r w:rsidR="00415382" w:rsidRPr="00440C66">
        <w:t>enia pojazdów</w:t>
      </w:r>
      <w:r w:rsidR="00DD2B23" w:rsidRPr="00440C66">
        <w:t xml:space="preserve"> </w:t>
      </w:r>
      <w:r w:rsidRPr="00440C66">
        <w:t xml:space="preserve">i obsługi </w:t>
      </w:r>
      <w:r w:rsidR="004D7963" w:rsidRPr="00440C66">
        <w:t>maszyn</w:t>
      </w:r>
      <w:r w:rsidRPr="00440C66">
        <w:t>.</w:t>
      </w:r>
    </w:p>
    <w:p w14:paraId="212C2E06" w14:textId="77777777" w:rsidR="008A2514" w:rsidRPr="00440C66" w:rsidRDefault="008A2514" w:rsidP="004C760F">
      <w:pPr>
        <w:widowControl w:val="0"/>
        <w:ind w:left="0" w:firstLine="0"/>
      </w:pPr>
    </w:p>
    <w:p w14:paraId="36EE4FE2" w14:textId="77777777" w:rsidR="008A2514" w:rsidRPr="00440C66" w:rsidRDefault="008A2514" w:rsidP="004C760F">
      <w:pPr>
        <w:keepNext/>
        <w:widowControl w:val="0"/>
        <w:rPr>
          <w:b/>
        </w:rPr>
      </w:pPr>
      <w:r w:rsidRPr="00440C66">
        <w:rPr>
          <w:b/>
        </w:rPr>
        <w:lastRenderedPageBreak/>
        <w:t>4.8</w:t>
      </w:r>
      <w:r w:rsidRPr="00440C66">
        <w:rPr>
          <w:b/>
        </w:rPr>
        <w:tab/>
        <w:t>Działania niepożądane</w:t>
      </w:r>
    </w:p>
    <w:p w14:paraId="75D24B2B" w14:textId="77777777" w:rsidR="00050A77" w:rsidRDefault="00050A77" w:rsidP="00050A77">
      <w:pPr>
        <w:keepNext/>
        <w:widowControl w:val="0"/>
        <w:ind w:left="0" w:firstLine="0"/>
        <w:rPr>
          <w:u w:val="single"/>
        </w:rPr>
      </w:pPr>
    </w:p>
    <w:p w14:paraId="423079E5" w14:textId="19E15DA5" w:rsidR="00050A77" w:rsidRDefault="00050A77" w:rsidP="00050A77">
      <w:pPr>
        <w:keepNext/>
        <w:widowControl w:val="0"/>
        <w:ind w:left="0" w:firstLine="0"/>
        <w:rPr>
          <w:u w:val="single"/>
        </w:rPr>
      </w:pPr>
      <w:r w:rsidRPr="00440C66">
        <w:rPr>
          <w:u w:val="single"/>
        </w:rPr>
        <w:t>Podsumowanie profilu bezpieczeństwa</w:t>
      </w:r>
    </w:p>
    <w:p w14:paraId="6F7B5150" w14:textId="23486CF1" w:rsidR="008A2514" w:rsidRDefault="008A2514" w:rsidP="004C760F">
      <w:pPr>
        <w:keepNext/>
        <w:widowControl w:val="0"/>
      </w:pPr>
    </w:p>
    <w:p w14:paraId="2C88108D" w14:textId="5DB9E6C3" w:rsidR="00050A77" w:rsidRDefault="00050A77" w:rsidP="00050A77">
      <w:pPr>
        <w:keepNext/>
        <w:widowControl w:val="0"/>
        <w:ind w:left="0" w:firstLine="0"/>
        <w:rPr>
          <w:szCs w:val="22"/>
        </w:rPr>
      </w:pPr>
      <w:r>
        <w:rPr>
          <w:szCs w:val="22"/>
        </w:rPr>
        <w:t>Dane dotyczące bezpieczeństwa uzyskano od łącznej liczby 6 197 pacjentów z ekspozycją na wildagliptynę/metforminę w randomizowanych badaniach kontrolowanych placebo. 3 698 spośród tych pacjentów otrzymało wildagliptynę/metforminę, a 2 499 pacjentów otrzymało placebo/metforminę.</w:t>
      </w:r>
    </w:p>
    <w:p w14:paraId="3FD6BF40" w14:textId="77777777" w:rsidR="00050A77" w:rsidRPr="00440C66" w:rsidRDefault="00050A77" w:rsidP="004C760F">
      <w:pPr>
        <w:keepNext/>
        <w:widowControl w:val="0"/>
      </w:pPr>
    </w:p>
    <w:p w14:paraId="68EB5D73" w14:textId="4F117D76" w:rsidR="00A705FE" w:rsidRPr="00440C66" w:rsidRDefault="00A705FE" w:rsidP="004C760F">
      <w:pPr>
        <w:widowControl w:val="0"/>
        <w:ind w:left="0" w:firstLine="0"/>
      </w:pPr>
      <w:r w:rsidRPr="00440C66">
        <w:t xml:space="preserve">Nie przeprowadzono badań klinicznych </w:t>
      </w:r>
      <w:r w:rsidR="00D371D4" w:rsidRPr="00440C66">
        <w:t xml:space="preserve">nad </w:t>
      </w:r>
      <w:r w:rsidRPr="00440C66">
        <w:t xml:space="preserve">leczniczym podawaniem </w:t>
      </w:r>
      <w:r w:rsidR="00070C89">
        <w:t>produktu</w:t>
      </w:r>
      <w:r w:rsidR="00070C89" w:rsidRPr="00070C89">
        <w:t xml:space="preserve"> Vildagliptin/Metformin hydrochloride Accord</w:t>
      </w:r>
      <w:r w:rsidRPr="00440C66">
        <w:t xml:space="preserve">. Wykazano jednak </w:t>
      </w:r>
      <w:r w:rsidR="00DD2B23" w:rsidRPr="00440C66">
        <w:t>bio</w:t>
      </w:r>
      <w:r w:rsidRPr="00440C66">
        <w:t xml:space="preserve">równoważność pomiędzy </w:t>
      </w:r>
      <w:r w:rsidR="00070C89">
        <w:t>produktem</w:t>
      </w:r>
      <w:r w:rsidRPr="00440C66">
        <w:t xml:space="preserve"> </w:t>
      </w:r>
      <w:r w:rsidR="00070C89" w:rsidRPr="00070C89">
        <w:t xml:space="preserve">Vildagliptin/Metformin hydrochloride Accord </w:t>
      </w:r>
      <w:r w:rsidRPr="00440C66">
        <w:t>a jednoczesnym stosowaniem wildagliptyny i metforminy (patrz punkt</w:t>
      </w:r>
      <w:r w:rsidR="00707D3C">
        <w:t> </w:t>
      </w:r>
      <w:r w:rsidRPr="00440C66">
        <w:t>5.2).</w:t>
      </w:r>
      <w:r w:rsidR="0041511E" w:rsidRPr="00440C66">
        <w:t xml:space="preserve"> </w:t>
      </w:r>
    </w:p>
    <w:p w14:paraId="5FDDDC41" w14:textId="77777777" w:rsidR="00366790" w:rsidRPr="00440C66" w:rsidRDefault="00366790" w:rsidP="004C760F">
      <w:pPr>
        <w:keepNext/>
        <w:widowControl w:val="0"/>
        <w:ind w:left="0" w:firstLine="0"/>
        <w:rPr>
          <w:u w:val="single"/>
        </w:rPr>
      </w:pPr>
    </w:p>
    <w:p w14:paraId="5D579030" w14:textId="1D7C704F" w:rsidR="0041511E" w:rsidRPr="00440C66" w:rsidRDefault="0041511E" w:rsidP="004C760F">
      <w:pPr>
        <w:widowControl w:val="0"/>
        <w:ind w:left="0" w:firstLine="0"/>
      </w:pPr>
      <w:r w:rsidRPr="00440C66">
        <w:t xml:space="preserve">Działania niepożądane były w większości łagodne i przemijające i nie wymagały przerwania leczenia. Nie stwierdzono </w:t>
      </w:r>
      <w:r w:rsidR="007C2785" w:rsidRPr="00440C66">
        <w:t>korelacji</w:t>
      </w:r>
      <w:r w:rsidRPr="00440C66">
        <w:t xml:space="preserve"> pomiędzy występowaniem działań niepożądanych a wiekiem, grupą etniczną pacjenta, czasem leczenia lub </w:t>
      </w:r>
      <w:r w:rsidR="007C2785" w:rsidRPr="00440C66">
        <w:t xml:space="preserve">wielkością </w:t>
      </w:r>
      <w:r w:rsidRPr="00440C66">
        <w:t>dawk</w:t>
      </w:r>
      <w:r w:rsidR="007C2785" w:rsidRPr="00440C66">
        <w:t>i</w:t>
      </w:r>
      <w:r w:rsidRPr="00440C66">
        <w:t xml:space="preserve"> dobow</w:t>
      </w:r>
      <w:r w:rsidR="007C2785" w:rsidRPr="00440C66">
        <w:t>ej</w:t>
      </w:r>
      <w:r w:rsidRPr="00440C66">
        <w:t>.</w:t>
      </w:r>
      <w:r w:rsidR="00050A77">
        <w:t xml:space="preserve"> </w:t>
      </w:r>
      <w:r w:rsidR="00050A77">
        <w:rPr>
          <w:szCs w:val="22"/>
        </w:rPr>
        <w:t>Stosowanie wildagliptyny wiąże się z ryzykiem wystąpienia zapalenia trzustki. Po zastosowaniu metforminy zgłaszano występowanie kwasicy mleczanowej, zwłaszcza u pacjentów ze współistniejącymi zaburzeniami czynności nerek (patrz punkt 4.4).</w:t>
      </w:r>
    </w:p>
    <w:p w14:paraId="034374D5" w14:textId="77777777" w:rsidR="0041511E" w:rsidRPr="00440C66" w:rsidRDefault="0041511E" w:rsidP="004C760F">
      <w:pPr>
        <w:widowControl w:val="0"/>
        <w:ind w:left="0" w:firstLine="0"/>
      </w:pPr>
    </w:p>
    <w:p w14:paraId="19A9C0E2" w14:textId="77777777" w:rsidR="002A5F9C" w:rsidRDefault="002A5F9C" w:rsidP="004C760F">
      <w:pPr>
        <w:keepNext/>
        <w:widowControl w:val="0"/>
        <w:ind w:left="0" w:firstLine="0"/>
        <w:rPr>
          <w:u w:val="single"/>
        </w:rPr>
      </w:pPr>
      <w:r w:rsidRPr="00440C66">
        <w:rPr>
          <w:u w:val="single"/>
        </w:rPr>
        <w:t>Tabelaryczne zestawienie działań niepożądanych</w:t>
      </w:r>
    </w:p>
    <w:p w14:paraId="20595121" w14:textId="77777777" w:rsidR="00366790" w:rsidRPr="00837913" w:rsidRDefault="00366790" w:rsidP="004C760F">
      <w:pPr>
        <w:keepNext/>
        <w:widowControl w:val="0"/>
        <w:ind w:left="0" w:firstLine="0"/>
      </w:pPr>
    </w:p>
    <w:p w14:paraId="1D8A2D37" w14:textId="69F4A47C" w:rsidR="0041511E" w:rsidRPr="00440C66" w:rsidRDefault="0041511E" w:rsidP="004C760F">
      <w:pPr>
        <w:widowControl w:val="0"/>
        <w:ind w:left="0" w:firstLine="0"/>
      </w:pPr>
      <w:r w:rsidRPr="00440C66">
        <w:t xml:space="preserve">Poniżej wymieniono działania niepożądane </w:t>
      </w:r>
      <w:r w:rsidR="002305FD" w:rsidRPr="00440C66">
        <w:t xml:space="preserve">występujące </w:t>
      </w:r>
      <w:r w:rsidRPr="00440C66">
        <w:t>u pacjentów otrzymujących wildagliptyn</w:t>
      </w:r>
      <w:r w:rsidR="002D4785" w:rsidRPr="00440C66">
        <w:t>ę</w:t>
      </w:r>
      <w:r w:rsidRPr="00440C66">
        <w:t xml:space="preserve"> w</w:t>
      </w:r>
      <w:r w:rsidR="00A21B39">
        <w:t> </w:t>
      </w:r>
      <w:r w:rsidRPr="00440C66">
        <w:t xml:space="preserve">podwójnie </w:t>
      </w:r>
      <w:r w:rsidR="00C43D5C" w:rsidRPr="00440C66">
        <w:t>za</w:t>
      </w:r>
      <w:r w:rsidRPr="00440C66">
        <w:t>ślep</w:t>
      </w:r>
      <w:r w:rsidR="00C43D5C" w:rsidRPr="00440C66">
        <w:t>ionych</w:t>
      </w:r>
      <w:r w:rsidRPr="00440C66">
        <w:t xml:space="preserve"> badaniach </w:t>
      </w:r>
      <w:r w:rsidR="006D6846">
        <w:t xml:space="preserve">klinicznych </w:t>
      </w:r>
      <w:r w:rsidR="0039451D" w:rsidRPr="00440C66">
        <w:t>stosowaną w monoterapii oraz jako terapi</w:t>
      </w:r>
      <w:r w:rsidR="00501050" w:rsidRPr="00440C66">
        <w:t>e</w:t>
      </w:r>
      <w:r w:rsidR="0039451D" w:rsidRPr="00440C66">
        <w:t xml:space="preserve"> dodatkow</w:t>
      </w:r>
      <w:r w:rsidR="00501050" w:rsidRPr="00440C66">
        <w:t>e</w:t>
      </w:r>
      <w:r w:rsidRPr="00440C66">
        <w:t xml:space="preserve">, według klasyfikacji układów </w:t>
      </w:r>
      <w:r w:rsidR="004118C1" w:rsidRPr="00440C66">
        <w:t>i narządów oraz</w:t>
      </w:r>
      <w:r w:rsidRPr="00440C66">
        <w:t xml:space="preserve"> bezwzględnej częstości występowania. Częstość występow</w:t>
      </w:r>
      <w:r w:rsidR="001F6FC8" w:rsidRPr="00440C66">
        <w:t>ania określo</w:t>
      </w:r>
      <w:r w:rsidRPr="00440C66">
        <w:t>no w następujący sposób: bardzo często (</w:t>
      </w:r>
      <w:r w:rsidRPr="00440C66">
        <w:sym w:font="Symbol" w:char="F0B3"/>
      </w:r>
      <w:r w:rsidR="00F520B0" w:rsidRPr="00440C66">
        <w:t>1/10), często (</w:t>
      </w:r>
      <w:r w:rsidR="00F520B0" w:rsidRPr="00440C66">
        <w:sym w:font="Symbol" w:char="F0B3"/>
      </w:r>
      <w:r w:rsidR="00F520B0" w:rsidRPr="00440C66">
        <w:t>1/100</w:t>
      </w:r>
      <w:r w:rsidR="004D7963" w:rsidRPr="00440C66">
        <w:t xml:space="preserve"> do</w:t>
      </w:r>
      <w:r w:rsidR="00F520B0" w:rsidRPr="00440C66">
        <w:t xml:space="preserve"> &lt;1/10), </w:t>
      </w:r>
      <w:r w:rsidRPr="00440C66">
        <w:t>niezbyt często (</w:t>
      </w:r>
      <w:r w:rsidRPr="00440C66">
        <w:sym w:font="Symbol" w:char="F0B3"/>
      </w:r>
      <w:r w:rsidR="001F6FC8" w:rsidRPr="00440C66">
        <w:t>1/1</w:t>
      </w:r>
      <w:r w:rsidR="00F33CC1" w:rsidRPr="00440C66">
        <w:t> </w:t>
      </w:r>
      <w:r w:rsidRPr="00440C66">
        <w:t>000</w:t>
      </w:r>
      <w:r w:rsidR="004D7963" w:rsidRPr="00440C66">
        <w:t xml:space="preserve"> do</w:t>
      </w:r>
      <w:r w:rsidRPr="00440C66">
        <w:t xml:space="preserve"> &lt;1/100)</w:t>
      </w:r>
      <w:r w:rsidR="00F520B0" w:rsidRPr="00440C66">
        <w:t>, rzadko (</w:t>
      </w:r>
      <w:r w:rsidR="00F520B0" w:rsidRPr="00440C66">
        <w:sym w:font="Symbol" w:char="F0B3"/>
      </w:r>
      <w:r w:rsidR="001F6FC8" w:rsidRPr="00440C66">
        <w:t>1/10 000</w:t>
      </w:r>
      <w:r w:rsidR="004D7963" w:rsidRPr="00440C66">
        <w:t xml:space="preserve"> do</w:t>
      </w:r>
      <w:r w:rsidR="001F6FC8" w:rsidRPr="00440C66">
        <w:t xml:space="preserve"> &lt;1/1</w:t>
      </w:r>
      <w:r w:rsidR="00F33CC1" w:rsidRPr="00440C66">
        <w:t> </w:t>
      </w:r>
      <w:r w:rsidR="0088436D" w:rsidRPr="00440C66">
        <w:t>000); bardzo rzadko (&lt;1/10 </w:t>
      </w:r>
      <w:r w:rsidR="00F520B0" w:rsidRPr="00440C66">
        <w:t>000), nieznana (</w:t>
      </w:r>
      <w:r w:rsidR="0088436D" w:rsidRPr="00440C66">
        <w:t>częstość nie może</w:t>
      </w:r>
      <w:r w:rsidR="00F520B0" w:rsidRPr="00440C66">
        <w:t xml:space="preserve"> </w:t>
      </w:r>
      <w:r w:rsidR="0088436D" w:rsidRPr="00440C66">
        <w:t>być określona</w:t>
      </w:r>
      <w:r w:rsidR="00F520B0" w:rsidRPr="00440C66">
        <w:t xml:space="preserve"> na podstawie dostępnych danych)</w:t>
      </w:r>
      <w:r w:rsidRPr="00440C66">
        <w:t>.</w:t>
      </w:r>
      <w:r w:rsidR="00F520B0" w:rsidRPr="00440C66">
        <w:t xml:space="preserve"> W obrębie każdej grupy o określonej częstości </w:t>
      </w:r>
      <w:r w:rsidR="0088436D" w:rsidRPr="00440C66">
        <w:t xml:space="preserve">występowania </w:t>
      </w:r>
      <w:r w:rsidR="002A5F9C" w:rsidRPr="00440C66">
        <w:t xml:space="preserve">działania </w:t>
      </w:r>
      <w:r w:rsidR="00F520B0" w:rsidRPr="00440C66">
        <w:t>niepożądane są wymienione zgodnie ze zmniejszającym się nasileniem.</w:t>
      </w:r>
    </w:p>
    <w:p w14:paraId="58F562BB" w14:textId="77777777" w:rsidR="0041511E" w:rsidRPr="00440C66" w:rsidRDefault="0041511E" w:rsidP="004C760F">
      <w:pPr>
        <w:widowControl w:val="0"/>
        <w:ind w:left="0" w:firstLine="0"/>
      </w:pPr>
    </w:p>
    <w:p w14:paraId="58D99246" w14:textId="26374A34" w:rsidR="001841A7" w:rsidRPr="00440C66" w:rsidRDefault="0088436D" w:rsidP="004C760F">
      <w:pPr>
        <w:keepNext/>
        <w:keepLines/>
        <w:widowControl w:val="0"/>
        <w:ind w:left="1080" w:hanging="1080"/>
        <w:rPr>
          <w:b/>
        </w:rPr>
      </w:pPr>
      <w:r w:rsidRPr="00440C66">
        <w:rPr>
          <w:b/>
        </w:rPr>
        <w:t>Tabela </w:t>
      </w:r>
      <w:r w:rsidR="001841A7" w:rsidRPr="00440C66">
        <w:rPr>
          <w:b/>
        </w:rPr>
        <w:t>1</w:t>
      </w:r>
      <w:r w:rsidR="001841A7" w:rsidRPr="00440C66">
        <w:rPr>
          <w:b/>
        </w:rPr>
        <w:tab/>
      </w:r>
      <w:r w:rsidR="006D6846">
        <w:rPr>
          <w:b/>
          <w:bCs/>
          <w:szCs w:val="22"/>
        </w:rPr>
        <w:t>Działania niepożądane zgłaszane u pacjentów otrzymujących wildagliptynę i metforminę (jako poszczególne składniki osobno lub jako produkt złożony o ustalonej dawce) lub w skojarzeniu z innymi lekami przeciwcukrzycowymi w badaniach klinicznych i po wprowadzeniu do obrotu</w:t>
      </w:r>
    </w:p>
    <w:p w14:paraId="2DCD6850" w14:textId="110128D3" w:rsidR="0005536F" w:rsidRDefault="0005536F" w:rsidP="004C760F">
      <w:pPr>
        <w:keepNext/>
        <w:keepLines/>
        <w:widowControl w:val="0"/>
        <w:ind w:left="0" w:firstLine="0"/>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53"/>
        <w:gridCol w:w="4354"/>
      </w:tblGrid>
      <w:tr w:rsidR="006D6846" w14:paraId="61F37D42" w14:textId="77777777" w:rsidTr="00B45953">
        <w:trPr>
          <w:trHeight w:val="224"/>
        </w:trPr>
        <w:tc>
          <w:tcPr>
            <w:tcW w:w="4353" w:type="dxa"/>
            <w:tcBorders>
              <w:top w:val="none" w:sz="6" w:space="0" w:color="auto"/>
              <w:bottom w:val="none" w:sz="6" w:space="0" w:color="auto"/>
              <w:right w:val="none" w:sz="6" w:space="0" w:color="auto"/>
            </w:tcBorders>
          </w:tcPr>
          <w:p w14:paraId="16666038" w14:textId="77777777" w:rsidR="006D6846" w:rsidRPr="00B45953" w:rsidRDefault="006D6846">
            <w:pPr>
              <w:pStyle w:val="Default"/>
              <w:rPr>
                <w:sz w:val="22"/>
                <w:szCs w:val="22"/>
                <w:lang w:val="pl-PL"/>
              </w:rPr>
            </w:pPr>
            <w:r w:rsidRPr="00B45953">
              <w:rPr>
                <w:b/>
                <w:bCs/>
                <w:sz w:val="22"/>
                <w:szCs w:val="22"/>
                <w:lang w:val="pl-PL"/>
              </w:rPr>
              <w:t xml:space="preserve">Klasyfikacja układów i narządów – działanie niepożądane </w:t>
            </w:r>
          </w:p>
        </w:tc>
        <w:tc>
          <w:tcPr>
            <w:tcW w:w="4353" w:type="dxa"/>
            <w:tcBorders>
              <w:top w:val="none" w:sz="6" w:space="0" w:color="auto"/>
              <w:left w:val="none" w:sz="6" w:space="0" w:color="auto"/>
              <w:bottom w:val="none" w:sz="6" w:space="0" w:color="auto"/>
            </w:tcBorders>
          </w:tcPr>
          <w:p w14:paraId="70860ED2" w14:textId="77777777" w:rsidR="006D6846" w:rsidRDefault="006D6846">
            <w:pPr>
              <w:pStyle w:val="Default"/>
              <w:rPr>
                <w:sz w:val="22"/>
                <w:szCs w:val="22"/>
              </w:rPr>
            </w:pPr>
            <w:proofErr w:type="spellStart"/>
            <w:r>
              <w:rPr>
                <w:b/>
                <w:bCs/>
                <w:sz w:val="22"/>
                <w:szCs w:val="22"/>
              </w:rPr>
              <w:t>Częstość</w:t>
            </w:r>
            <w:proofErr w:type="spellEnd"/>
            <w:r>
              <w:rPr>
                <w:b/>
                <w:bCs/>
                <w:sz w:val="22"/>
                <w:szCs w:val="22"/>
              </w:rPr>
              <w:t xml:space="preserve"> </w:t>
            </w:r>
            <w:proofErr w:type="spellStart"/>
            <w:r>
              <w:rPr>
                <w:b/>
                <w:bCs/>
                <w:sz w:val="22"/>
                <w:szCs w:val="22"/>
              </w:rPr>
              <w:t>występowania</w:t>
            </w:r>
            <w:proofErr w:type="spellEnd"/>
            <w:r>
              <w:rPr>
                <w:b/>
                <w:bCs/>
                <w:sz w:val="22"/>
                <w:szCs w:val="22"/>
              </w:rPr>
              <w:t xml:space="preserve"> </w:t>
            </w:r>
          </w:p>
        </w:tc>
      </w:tr>
      <w:tr w:rsidR="006D6846" w14:paraId="410430D2" w14:textId="77777777" w:rsidTr="00B45953">
        <w:trPr>
          <w:trHeight w:val="98"/>
        </w:trPr>
        <w:tc>
          <w:tcPr>
            <w:tcW w:w="8707" w:type="dxa"/>
            <w:gridSpan w:val="2"/>
            <w:tcBorders>
              <w:top w:val="none" w:sz="6" w:space="0" w:color="auto"/>
              <w:bottom w:val="none" w:sz="6" w:space="0" w:color="auto"/>
            </w:tcBorders>
          </w:tcPr>
          <w:p w14:paraId="55192744" w14:textId="77777777" w:rsidR="006D6846" w:rsidRDefault="006D6846">
            <w:pPr>
              <w:pStyle w:val="Default"/>
              <w:rPr>
                <w:sz w:val="22"/>
                <w:szCs w:val="22"/>
              </w:rPr>
            </w:pPr>
            <w:proofErr w:type="spellStart"/>
            <w:r>
              <w:rPr>
                <w:b/>
                <w:bCs/>
                <w:sz w:val="22"/>
                <w:szCs w:val="22"/>
              </w:rPr>
              <w:t>Zakażenia</w:t>
            </w:r>
            <w:proofErr w:type="spellEnd"/>
            <w:r>
              <w:rPr>
                <w:b/>
                <w:bCs/>
                <w:sz w:val="22"/>
                <w:szCs w:val="22"/>
              </w:rPr>
              <w:t xml:space="preserve"> i </w:t>
            </w:r>
            <w:proofErr w:type="spellStart"/>
            <w:r>
              <w:rPr>
                <w:b/>
                <w:bCs/>
                <w:sz w:val="22"/>
                <w:szCs w:val="22"/>
              </w:rPr>
              <w:t>zarażenia</w:t>
            </w:r>
            <w:proofErr w:type="spellEnd"/>
            <w:r>
              <w:rPr>
                <w:b/>
                <w:bCs/>
                <w:sz w:val="22"/>
                <w:szCs w:val="22"/>
              </w:rPr>
              <w:t xml:space="preserve"> </w:t>
            </w:r>
            <w:proofErr w:type="spellStart"/>
            <w:r>
              <w:rPr>
                <w:b/>
                <w:bCs/>
                <w:sz w:val="22"/>
                <w:szCs w:val="22"/>
              </w:rPr>
              <w:t>pasożytnicze</w:t>
            </w:r>
            <w:proofErr w:type="spellEnd"/>
            <w:r>
              <w:rPr>
                <w:b/>
                <w:bCs/>
                <w:sz w:val="22"/>
                <w:szCs w:val="22"/>
              </w:rPr>
              <w:t xml:space="preserve"> </w:t>
            </w:r>
          </w:p>
        </w:tc>
      </w:tr>
      <w:tr w:rsidR="006D6846" w14:paraId="3AE0228B" w14:textId="77777777" w:rsidTr="00B45953">
        <w:trPr>
          <w:trHeight w:val="100"/>
        </w:trPr>
        <w:tc>
          <w:tcPr>
            <w:tcW w:w="4353" w:type="dxa"/>
            <w:tcBorders>
              <w:top w:val="none" w:sz="6" w:space="0" w:color="auto"/>
              <w:bottom w:val="none" w:sz="6" w:space="0" w:color="auto"/>
              <w:right w:val="none" w:sz="6" w:space="0" w:color="auto"/>
            </w:tcBorders>
          </w:tcPr>
          <w:p w14:paraId="58D1CF50" w14:textId="77777777" w:rsidR="006D6846" w:rsidRDefault="006D6846">
            <w:pPr>
              <w:pStyle w:val="Default"/>
              <w:rPr>
                <w:sz w:val="22"/>
                <w:szCs w:val="22"/>
              </w:rPr>
            </w:pPr>
            <w:proofErr w:type="spellStart"/>
            <w:r>
              <w:rPr>
                <w:sz w:val="22"/>
                <w:szCs w:val="22"/>
              </w:rPr>
              <w:t>Zakażenie</w:t>
            </w:r>
            <w:proofErr w:type="spellEnd"/>
            <w:r>
              <w:rPr>
                <w:sz w:val="22"/>
                <w:szCs w:val="22"/>
              </w:rPr>
              <w:t xml:space="preserve"> </w:t>
            </w:r>
            <w:proofErr w:type="spellStart"/>
            <w:r>
              <w:rPr>
                <w:sz w:val="22"/>
                <w:szCs w:val="22"/>
              </w:rPr>
              <w:t>górnych</w:t>
            </w:r>
            <w:proofErr w:type="spellEnd"/>
            <w:r>
              <w:rPr>
                <w:sz w:val="22"/>
                <w:szCs w:val="22"/>
              </w:rPr>
              <w:t xml:space="preserve"> </w:t>
            </w:r>
            <w:proofErr w:type="spellStart"/>
            <w:r>
              <w:rPr>
                <w:sz w:val="22"/>
                <w:szCs w:val="22"/>
              </w:rPr>
              <w:t>dróg</w:t>
            </w:r>
            <w:proofErr w:type="spellEnd"/>
            <w:r>
              <w:rPr>
                <w:sz w:val="22"/>
                <w:szCs w:val="22"/>
              </w:rPr>
              <w:t xml:space="preserve"> </w:t>
            </w:r>
            <w:proofErr w:type="spellStart"/>
            <w:r>
              <w:rPr>
                <w:sz w:val="22"/>
                <w:szCs w:val="22"/>
              </w:rPr>
              <w:t>oddechowych</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040B26E7"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3BD8E917" w14:textId="77777777" w:rsidTr="00B45953">
        <w:trPr>
          <w:trHeight w:val="100"/>
        </w:trPr>
        <w:tc>
          <w:tcPr>
            <w:tcW w:w="4353" w:type="dxa"/>
            <w:tcBorders>
              <w:top w:val="none" w:sz="6" w:space="0" w:color="auto"/>
              <w:bottom w:val="none" w:sz="6" w:space="0" w:color="auto"/>
              <w:right w:val="none" w:sz="6" w:space="0" w:color="auto"/>
            </w:tcBorders>
          </w:tcPr>
          <w:p w14:paraId="4399F1EF" w14:textId="77777777" w:rsidR="006D6846" w:rsidRDefault="006D6846">
            <w:pPr>
              <w:pStyle w:val="Default"/>
              <w:rPr>
                <w:sz w:val="22"/>
                <w:szCs w:val="22"/>
              </w:rPr>
            </w:pPr>
            <w:proofErr w:type="spellStart"/>
            <w:r>
              <w:rPr>
                <w:sz w:val="22"/>
                <w:szCs w:val="22"/>
              </w:rPr>
              <w:t>Zapalenie</w:t>
            </w:r>
            <w:proofErr w:type="spellEnd"/>
            <w:r>
              <w:rPr>
                <w:sz w:val="22"/>
                <w:szCs w:val="22"/>
              </w:rPr>
              <w:t xml:space="preserve"> </w:t>
            </w:r>
            <w:proofErr w:type="spellStart"/>
            <w:r>
              <w:rPr>
                <w:sz w:val="22"/>
                <w:szCs w:val="22"/>
              </w:rPr>
              <w:t>nosogardzieli</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03E32396"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52542B94" w14:textId="77777777" w:rsidTr="00B45953">
        <w:trPr>
          <w:trHeight w:val="98"/>
        </w:trPr>
        <w:tc>
          <w:tcPr>
            <w:tcW w:w="8707" w:type="dxa"/>
            <w:gridSpan w:val="2"/>
            <w:tcBorders>
              <w:top w:val="none" w:sz="6" w:space="0" w:color="auto"/>
              <w:bottom w:val="none" w:sz="6" w:space="0" w:color="auto"/>
            </w:tcBorders>
          </w:tcPr>
          <w:p w14:paraId="0B72E8A8" w14:textId="77777777" w:rsidR="006D6846" w:rsidRDefault="006D6846">
            <w:pPr>
              <w:pStyle w:val="Default"/>
              <w:rPr>
                <w:sz w:val="22"/>
                <w:szCs w:val="22"/>
              </w:rPr>
            </w:pPr>
            <w:proofErr w:type="spellStart"/>
            <w:r>
              <w:rPr>
                <w:b/>
                <w:bCs/>
                <w:sz w:val="22"/>
                <w:szCs w:val="22"/>
              </w:rPr>
              <w:t>Zaburzenia</w:t>
            </w:r>
            <w:proofErr w:type="spellEnd"/>
            <w:r>
              <w:rPr>
                <w:b/>
                <w:bCs/>
                <w:sz w:val="22"/>
                <w:szCs w:val="22"/>
              </w:rPr>
              <w:t xml:space="preserve"> </w:t>
            </w:r>
            <w:proofErr w:type="spellStart"/>
            <w:r>
              <w:rPr>
                <w:b/>
                <w:bCs/>
                <w:sz w:val="22"/>
                <w:szCs w:val="22"/>
              </w:rPr>
              <w:t>metabolizmu</w:t>
            </w:r>
            <w:proofErr w:type="spellEnd"/>
            <w:r>
              <w:rPr>
                <w:b/>
                <w:bCs/>
                <w:sz w:val="22"/>
                <w:szCs w:val="22"/>
              </w:rPr>
              <w:t xml:space="preserve"> i </w:t>
            </w:r>
            <w:proofErr w:type="spellStart"/>
            <w:r>
              <w:rPr>
                <w:b/>
                <w:bCs/>
                <w:sz w:val="22"/>
                <w:szCs w:val="22"/>
              </w:rPr>
              <w:t>odżywiania</w:t>
            </w:r>
            <w:proofErr w:type="spellEnd"/>
            <w:r>
              <w:rPr>
                <w:b/>
                <w:bCs/>
                <w:sz w:val="22"/>
                <w:szCs w:val="22"/>
              </w:rPr>
              <w:t xml:space="preserve"> </w:t>
            </w:r>
          </w:p>
        </w:tc>
      </w:tr>
      <w:tr w:rsidR="006D6846" w14:paraId="33D66E75" w14:textId="77777777" w:rsidTr="00B45953">
        <w:trPr>
          <w:trHeight w:val="100"/>
        </w:trPr>
        <w:tc>
          <w:tcPr>
            <w:tcW w:w="4353" w:type="dxa"/>
            <w:tcBorders>
              <w:top w:val="none" w:sz="6" w:space="0" w:color="auto"/>
              <w:bottom w:val="none" w:sz="6" w:space="0" w:color="auto"/>
              <w:right w:val="none" w:sz="6" w:space="0" w:color="auto"/>
            </w:tcBorders>
          </w:tcPr>
          <w:p w14:paraId="0218AF9A" w14:textId="77777777" w:rsidR="006D6846" w:rsidRDefault="006D6846">
            <w:pPr>
              <w:pStyle w:val="Default"/>
              <w:rPr>
                <w:sz w:val="22"/>
                <w:szCs w:val="22"/>
              </w:rPr>
            </w:pPr>
            <w:proofErr w:type="spellStart"/>
            <w:r>
              <w:rPr>
                <w:sz w:val="22"/>
                <w:szCs w:val="22"/>
              </w:rPr>
              <w:t>Hipoglikemia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08154A77"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2179EE7F" w14:textId="77777777" w:rsidTr="00B45953">
        <w:trPr>
          <w:trHeight w:val="100"/>
        </w:trPr>
        <w:tc>
          <w:tcPr>
            <w:tcW w:w="4353" w:type="dxa"/>
            <w:tcBorders>
              <w:top w:val="none" w:sz="6" w:space="0" w:color="auto"/>
              <w:bottom w:val="none" w:sz="6" w:space="0" w:color="auto"/>
              <w:right w:val="none" w:sz="6" w:space="0" w:color="auto"/>
            </w:tcBorders>
          </w:tcPr>
          <w:p w14:paraId="445843F4" w14:textId="77777777" w:rsidR="006D6846" w:rsidRDefault="006D6846">
            <w:pPr>
              <w:pStyle w:val="Default"/>
              <w:rPr>
                <w:sz w:val="22"/>
                <w:szCs w:val="22"/>
              </w:rPr>
            </w:pPr>
            <w:r>
              <w:rPr>
                <w:sz w:val="22"/>
                <w:szCs w:val="22"/>
              </w:rPr>
              <w:t xml:space="preserve">Utrata </w:t>
            </w:r>
            <w:proofErr w:type="spellStart"/>
            <w:r>
              <w:rPr>
                <w:sz w:val="22"/>
                <w:szCs w:val="22"/>
              </w:rPr>
              <w:t>apetytu</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0933C0D9"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749CC294" w14:textId="77777777" w:rsidTr="00B45953">
        <w:trPr>
          <w:trHeight w:val="101"/>
        </w:trPr>
        <w:tc>
          <w:tcPr>
            <w:tcW w:w="4353" w:type="dxa"/>
            <w:tcBorders>
              <w:top w:val="none" w:sz="6" w:space="0" w:color="auto"/>
              <w:bottom w:val="none" w:sz="6" w:space="0" w:color="auto"/>
              <w:right w:val="none" w:sz="6" w:space="0" w:color="auto"/>
            </w:tcBorders>
          </w:tcPr>
          <w:p w14:paraId="5DBF3150" w14:textId="77777777" w:rsidR="006D6846" w:rsidRPr="00B45953" w:rsidRDefault="006D6846">
            <w:pPr>
              <w:pStyle w:val="Default"/>
              <w:rPr>
                <w:sz w:val="22"/>
                <w:szCs w:val="22"/>
                <w:lang w:val="pl-PL"/>
              </w:rPr>
            </w:pPr>
            <w:r w:rsidRPr="00B45953">
              <w:rPr>
                <w:sz w:val="22"/>
                <w:szCs w:val="22"/>
                <w:lang w:val="pl-PL"/>
              </w:rPr>
              <w:t>Zmniejszenie wchłaniania witaminy B</w:t>
            </w:r>
            <w:r w:rsidRPr="00B45953">
              <w:rPr>
                <w:sz w:val="14"/>
                <w:szCs w:val="14"/>
                <w:lang w:val="pl-PL"/>
              </w:rPr>
              <w:t xml:space="preserve">12 </w:t>
            </w:r>
            <w:r w:rsidRPr="00B45953">
              <w:rPr>
                <w:sz w:val="22"/>
                <w:szCs w:val="22"/>
                <w:lang w:val="pl-PL"/>
              </w:rPr>
              <w:t xml:space="preserve">i kwasica mleczanowa </w:t>
            </w:r>
          </w:p>
        </w:tc>
        <w:tc>
          <w:tcPr>
            <w:tcW w:w="4353" w:type="dxa"/>
            <w:tcBorders>
              <w:top w:val="none" w:sz="6" w:space="0" w:color="auto"/>
              <w:left w:val="none" w:sz="6" w:space="0" w:color="auto"/>
              <w:bottom w:val="none" w:sz="6" w:space="0" w:color="auto"/>
            </w:tcBorders>
          </w:tcPr>
          <w:p w14:paraId="0AD3A63A" w14:textId="77777777" w:rsidR="006D6846" w:rsidRDefault="006D6846">
            <w:pPr>
              <w:pStyle w:val="Default"/>
              <w:rPr>
                <w:sz w:val="22"/>
                <w:szCs w:val="22"/>
              </w:rPr>
            </w:pPr>
            <w:proofErr w:type="spellStart"/>
            <w:r>
              <w:rPr>
                <w:sz w:val="22"/>
                <w:szCs w:val="22"/>
              </w:rPr>
              <w:t>bardzo</w:t>
            </w:r>
            <w:proofErr w:type="spellEnd"/>
            <w:r>
              <w:rPr>
                <w:sz w:val="22"/>
                <w:szCs w:val="22"/>
              </w:rPr>
              <w:t xml:space="preserve"> </w:t>
            </w:r>
            <w:proofErr w:type="spellStart"/>
            <w:r>
              <w:rPr>
                <w:sz w:val="22"/>
                <w:szCs w:val="22"/>
              </w:rPr>
              <w:t>rzadko</w:t>
            </w:r>
            <w:proofErr w:type="spellEnd"/>
            <w:r>
              <w:rPr>
                <w:sz w:val="22"/>
                <w:szCs w:val="22"/>
              </w:rPr>
              <w:t xml:space="preserve">* </w:t>
            </w:r>
          </w:p>
        </w:tc>
      </w:tr>
      <w:tr w:rsidR="006D6846" w14:paraId="35FE9D66" w14:textId="77777777" w:rsidTr="00B45953">
        <w:trPr>
          <w:trHeight w:val="98"/>
        </w:trPr>
        <w:tc>
          <w:tcPr>
            <w:tcW w:w="8707" w:type="dxa"/>
            <w:gridSpan w:val="2"/>
            <w:tcBorders>
              <w:top w:val="none" w:sz="6" w:space="0" w:color="auto"/>
              <w:bottom w:val="none" w:sz="6" w:space="0" w:color="auto"/>
            </w:tcBorders>
          </w:tcPr>
          <w:p w14:paraId="3CE19ADB" w14:textId="77777777" w:rsidR="006D6846" w:rsidRDefault="006D6846">
            <w:pPr>
              <w:pStyle w:val="Default"/>
              <w:rPr>
                <w:sz w:val="22"/>
                <w:szCs w:val="22"/>
              </w:rPr>
            </w:pPr>
            <w:proofErr w:type="spellStart"/>
            <w:r>
              <w:rPr>
                <w:b/>
                <w:bCs/>
                <w:sz w:val="22"/>
                <w:szCs w:val="22"/>
              </w:rPr>
              <w:t>Zaburzenia</w:t>
            </w:r>
            <w:proofErr w:type="spellEnd"/>
            <w:r>
              <w:rPr>
                <w:b/>
                <w:bCs/>
                <w:sz w:val="22"/>
                <w:szCs w:val="22"/>
              </w:rPr>
              <w:t xml:space="preserve"> </w:t>
            </w:r>
            <w:proofErr w:type="spellStart"/>
            <w:r>
              <w:rPr>
                <w:b/>
                <w:bCs/>
                <w:sz w:val="22"/>
                <w:szCs w:val="22"/>
              </w:rPr>
              <w:t>układu</w:t>
            </w:r>
            <w:proofErr w:type="spellEnd"/>
            <w:r>
              <w:rPr>
                <w:b/>
                <w:bCs/>
                <w:sz w:val="22"/>
                <w:szCs w:val="22"/>
              </w:rPr>
              <w:t xml:space="preserve"> </w:t>
            </w:r>
            <w:proofErr w:type="spellStart"/>
            <w:r>
              <w:rPr>
                <w:b/>
                <w:bCs/>
                <w:sz w:val="22"/>
                <w:szCs w:val="22"/>
              </w:rPr>
              <w:t>nerwowego</w:t>
            </w:r>
            <w:proofErr w:type="spellEnd"/>
            <w:r>
              <w:rPr>
                <w:b/>
                <w:bCs/>
                <w:sz w:val="22"/>
                <w:szCs w:val="22"/>
              </w:rPr>
              <w:t xml:space="preserve"> </w:t>
            </w:r>
          </w:p>
        </w:tc>
      </w:tr>
      <w:tr w:rsidR="006D6846" w14:paraId="522FFE97" w14:textId="77777777" w:rsidTr="00B45953">
        <w:trPr>
          <w:trHeight w:val="100"/>
        </w:trPr>
        <w:tc>
          <w:tcPr>
            <w:tcW w:w="4353" w:type="dxa"/>
            <w:tcBorders>
              <w:top w:val="none" w:sz="6" w:space="0" w:color="auto"/>
              <w:bottom w:val="none" w:sz="6" w:space="0" w:color="auto"/>
              <w:right w:val="none" w:sz="6" w:space="0" w:color="auto"/>
            </w:tcBorders>
          </w:tcPr>
          <w:p w14:paraId="03E923BB" w14:textId="77777777" w:rsidR="006D6846" w:rsidRDefault="006D6846">
            <w:pPr>
              <w:pStyle w:val="Default"/>
              <w:rPr>
                <w:sz w:val="22"/>
                <w:szCs w:val="22"/>
              </w:rPr>
            </w:pPr>
            <w:proofErr w:type="spellStart"/>
            <w:r>
              <w:rPr>
                <w:sz w:val="22"/>
                <w:szCs w:val="22"/>
              </w:rPr>
              <w:t>Zawroty</w:t>
            </w:r>
            <w:proofErr w:type="spellEnd"/>
            <w:r>
              <w:rPr>
                <w:sz w:val="22"/>
                <w:szCs w:val="22"/>
              </w:rPr>
              <w:t xml:space="preserve"> </w:t>
            </w:r>
            <w:proofErr w:type="spellStart"/>
            <w:r>
              <w:rPr>
                <w:sz w:val="22"/>
                <w:szCs w:val="22"/>
              </w:rPr>
              <w:t>głowy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220C6FF6"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5F914734" w14:textId="77777777" w:rsidTr="00B45953">
        <w:trPr>
          <w:trHeight w:val="100"/>
        </w:trPr>
        <w:tc>
          <w:tcPr>
            <w:tcW w:w="4353" w:type="dxa"/>
            <w:tcBorders>
              <w:top w:val="none" w:sz="6" w:space="0" w:color="auto"/>
              <w:bottom w:val="none" w:sz="6" w:space="0" w:color="auto"/>
              <w:right w:val="none" w:sz="6" w:space="0" w:color="auto"/>
            </w:tcBorders>
          </w:tcPr>
          <w:p w14:paraId="1646D8F9" w14:textId="77777777" w:rsidR="006D6846" w:rsidRDefault="006D6846">
            <w:pPr>
              <w:pStyle w:val="Default"/>
              <w:rPr>
                <w:sz w:val="22"/>
                <w:szCs w:val="22"/>
              </w:rPr>
            </w:pPr>
            <w:proofErr w:type="spellStart"/>
            <w:r>
              <w:rPr>
                <w:sz w:val="22"/>
                <w:szCs w:val="22"/>
              </w:rPr>
              <w:t>Ból</w:t>
            </w:r>
            <w:proofErr w:type="spellEnd"/>
            <w:r>
              <w:rPr>
                <w:sz w:val="22"/>
                <w:szCs w:val="22"/>
              </w:rPr>
              <w:t xml:space="preserve"> </w:t>
            </w:r>
            <w:proofErr w:type="spellStart"/>
            <w:r>
              <w:rPr>
                <w:sz w:val="22"/>
                <w:szCs w:val="22"/>
              </w:rPr>
              <w:t>głowy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36FE946F"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3EC7BF7B" w14:textId="77777777" w:rsidTr="00B45953">
        <w:trPr>
          <w:trHeight w:val="100"/>
        </w:trPr>
        <w:tc>
          <w:tcPr>
            <w:tcW w:w="4353" w:type="dxa"/>
            <w:tcBorders>
              <w:top w:val="none" w:sz="6" w:space="0" w:color="auto"/>
              <w:bottom w:val="none" w:sz="6" w:space="0" w:color="auto"/>
              <w:right w:val="none" w:sz="6" w:space="0" w:color="auto"/>
            </w:tcBorders>
          </w:tcPr>
          <w:p w14:paraId="636590C5" w14:textId="77777777" w:rsidR="006D6846" w:rsidRDefault="006D6846">
            <w:pPr>
              <w:pStyle w:val="Default"/>
              <w:rPr>
                <w:sz w:val="22"/>
                <w:szCs w:val="22"/>
              </w:rPr>
            </w:pPr>
            <w:proofErr w:type="spellStart"/>
            <w:r>
              <w:rPr>
                <w:sz w:val="22"/>
                <w:szCs w:val="22"/>
              </w:rPr>
              <w:t>Drżenie</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4A6FD193"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0494FADF" w14:textId="77777777" w:rsidTr="00B45953">
        <w:trPr>
          <w:trHeight w:val="100"/>
        </w:trPr>
        <w:tc>
          <w:tcPr>
            <w:tcW w:w="4353" w:type="dxa"/>
            <w:tcBorders>
              <w:top w:val="none" w:sz="6" w:space="0" w:color="auto"/>
              <w:bottom w:val="none" w:sz="6" w:space="0" w:color="auto"/>
              <w:right w:val="none" w:sz="6" w:space="0" w:color="auto"/>
            </w:tcBorders>
          </w:tcPr>
          <w:p w14:paraId="1009ABAD" w14:textId="77777777" w:rsidR="006D6846" w:rsidRDefault="006D6846">
            <w:pPr>
              <w:pStyle w:val="Default"/>
              <w:rPr>
                <w:sz w:val="22"/>
                <w:szCs w:val="22"/>
              </w:rPr>
            </w:pPr>
            <w:proofErr w:type="spellStart"/>
            <w:r>
              <w:rPr>
                <w:sz w:val="22"/>
                <w:szCs w:val="22"/>
              </w:rPr>
              <w:t>Metaliczny</w:t>
            </w:r>
            <w:proofErr w:type="spellEnd"/>
            <w:r>
              <w:rPr>
                <w:sz w:val="22"/>
                <w:szCs w:val="22"/>
              </w:rPr>
              <w:t xml:space="preserve"> </w:t>
            </w:r>
            <w:proofErr w:type="spellStart"/>
            <w:r>
              <w:rPr>
                <w:sz w:val="22"/>
                <w:szCs w:val="22"/>
              </w:rPr>
              <w:t>posmak</w:t>
            </w:r>
            <w:proofErr w:type="spellEnd"/>
            <w:r>
              <w:rPr>
                <w:sz w:val="22"/>
                <w:szCs w:val="22"/>
              </w:rPr>
              <w:t xml:space="preserve"> w </w:t>
            </w:r>
            <w:proofErr w:type="spellStart"/>
            <w:r>
              <w:rPr>
                <w:sz w:val="22"/>
                <w:szCs w:val="22"/>
              </w:rPr>
              <w:t>ustach</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5E0BC517"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6D3DEFD5" w14:textId="77777777" w:rsidTr="00B45953">
        <w:trPr>
          <w:trHeight w:val="98"/>
        </w:trPr>
        <w:tc>
          <w:tcPr>
            <w:tcW w:w="8707" w:type="dxa"/>
            <w:gridSpan w:val="2"/>
            <w:tcBorders>
              <w:top w:val="none" w:sz="6" w:space="0" w:color="auto"/>
              <w:bottom w:val="none" w:sz="6" w:space="0" w:color="auto"/>
            </w:tcBorders>
          </w:tcPr>
          <w:p w14:paraId="6268E59F" w14:textId="77777777" w:rsidR="006D6846" w:rsidRDefault="006D6846">
            <w:pPr>
              <w:pStyle w:val="Default"/>
              <w:rPr>
                <w:sz w:val="22"/>
                <w:szCs w:val="22"/>
              </w:rPr>
            </w:pPr>
            <w:proofErr w:type="spellStart"/>
            <w:r>
              <w:rPr>
                <w:b/>
                <w:bCs/>
                <w:sz w:val="22"/>
                <w:szCs w:val="22"/>
              </w:rPr>
              <w:t>Zaburzenia</w:t>
            </w:r>
            <w:proofErr w:type="spellEnd"/>
            <w:r>
              <w:rPr>
                <w:b/>
                <w:bCs/>
                <w:sz w:val="22"/>
                <w:szCs w:val="22"/>
              </w:rPr>
              <w:t xml:space="preserve"> </w:t>
            </w:r>
            <w:proofErr w:type="spellStart"/>
            <w:r>
              <w:rPr>
                <w:b/>
                <w:bCs/>
                <w:sz w:val="22"/>
                <w:szCs w:val="22"/>
              </w:rPr>
              <w:t>żołądka</w:t>
            </w:r>
            <w:proofErr w:type="spellEnd"/>
            <w:r>
              <w:rPr>
                <w:b/>
                <w:bCs/>
                <w:sz w:val="22"/>
                <w:szCs w:val="22"/>
              </w:rPr>
              <w:t xml:space="preserve"> i </w:t>
            </w:r>
            <w:proofErr w:type="spellStart"/>
            <w:r>
              <w:rPr>
                <w:b/>
                <w:bCs/>
                <w:sz w:val="22"/>
                <w:szCs w:val="22"/>
              </w:rPr>
              <w:t>jelit</w:t>
            </w:r>
            <w:proofErr w:type="spellEnd"/>
            <w:r>
              <w:rPr>
                <w:b/>
                <w:bCs/>
                <w:sz w:val="22"/>
                <w:szCs w:val="22"/>
              </w:rPr>
              <w:t xml:space="preserve"> </w:t>
            </w:r>
          </w:p>
        </w:tc>
      </w:tr>
      <w:tr w:rsidR="006D6846" w14:paraId="75C8F351" w14:textId="77777777" w:rsidTr="00B45953">
        <w:trPr>
          <w:trHeight w:val="100"/>
        </w:trPr>
        <w:tc>
          <w:tcPr>
            <w:tcW w:w="4353" w:type="dxa"/>
            <w:tcBorders>
              <w:top w:val="none" w:sz="6" w:space="0" w:color="auto"/>
              <w:bottom w:val="none" w:sz="6" w:space="0" w:color="auto"/>
              <w:right w:val="none" w:sz="6" w:space="0" w:color="auto"/>
            </w:tcBorders>
          </w:tcPr>
          <w:p w14:paraId="7C26ADDE" w14:textId="77777777" w:rsidR="006D6846" w:rsidRDefault="006D6846">
            <w:pPr>
              <w:pStyle w:val="Default"/>
              <w:rPr>
                <w:sz w:val="22"/>
                <w:szCs w:val="22"/>
              </w:rPr>
            </w:pPr>
            <w:r>
              <w:rPr>
                <w:sz w:val="22"/>
                <w:szCs w:val="22"/>
              </w:rPr>
              <w:t xml:space="preserve">Wymioty </w:t>
            </w:r>
          </w:p>
        </w:tc>
        <w:tc>
          <w:tcPr>
            <w:tcW w:w="4353" w:type="dxa"/>
            <w:tcBorders>
              <w:top w:val="none" w:sz="6" w:space="0" w:color="auto"/>
              <w:left w:val="none" w:sz="6" w:space="0" w:color="auto"/>
              <w:bottom w:val="none" w:sz="6" w:space="0" w:color="auto"/>
            </w:tcBorders>
          </w:tcPr>
          <w:p w14:paraId="72E928A3"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7FF722C5" w14:textId="77777777" w:rsidTr="00B45953">
        <w:trPr>
          <w:trHeight w:val="100"/>
        </w:trPr>
        <w:tc>
          <w:tcPr>
            <w:tcW w:w="4353" w:type="dxa"/>
            <w:tcBorders>
              <w:top w:val="none" w:sz="6" w:space="0" w:color="auto"/>
              <w:bottom w:val="none" w:sz="6" w:space="0" w:color="auto"/>
              <w:right w:val="none" w:sz="6" w:space="0" w:color="auto"/>
            </w:tcBorders>
          </w:tcPr>
          <w:p w14:paraId="392B5F3D" w14:textId="77777777" w:rsidR="006D6846" w:rsidRDefault="006D6846">
            <w:pPr>
              <w:pStyle w:val="Default"/>
              <w:rPr>
                <w:sz w:val="22"/>
                <w:szCs w:val="22"/>
              </w:rPr>
            </w:pPr>
            <w:proofErr w:type="spellStart"/>
            <w:r>
              <w:rPr>
                <w:sz w:val="22"/>
                <w:szCs w:val="22"/>
              </w:rPr>
              <w:t>Biegunka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4FF187E4"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1135E585" w14:textId="77777777" w:rsidTr="00B45953">
        <w:trPr>
          <w:trHeight w:val="100"/>
        </w:trPr>
        <w:tc>
          <w:tcPr>
            <w:tcW w:w="4353" w:type="dxa"/>
            <w:tcBorders>
              <w:top w:val="none" w:sz="6" w:space="0" w:color="auto"/>
              <w:bottom w:val="none" w:sz="6" w:space="0" w:color="auto"/>
              <w:right w:val="none" w:sz="6" w:space="0" w:color="auto"/>
            </w:tcBorders>
          </w:tcPr>
          <w:p w14:paraId="46FDE3D1" w14:textId="77777777" w:rsidR="006D6846" w:rsidRDefault="006D6846">
            <w:pPr>
              <w:pStyle w:val="Default"/>
              <w:rPr>
                <w:sz w:val="22"/>
                <w:szCs w:val="22"/>
              </w:rPr>
            </w:pPr>
            <w:proofErr w:type="spellStart"/>
            <w:r>
              <w:rPr>
                <w:sz w:val="22"/>
                <w:szCs w:val="22"/>
              </w:rPr>
              <w:t>Nudności</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5199355"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6FD1BEB3" w14:textId="77777777" w:rsidTr="00B45953">
        <w:trPr>
          <w:trHeight w:val="100"/>
        </w:trPr>
        <w:tc>
          <w:tcPr>
            <w:tcW w:w="4353" w:type="dxa"/>
            <w:tcBorders>
              <w:top w:val="none" w:sz="6" w:space="0" w:color="auto"/>
              <w:bottom w:val="none" w:sz="6" w:space="0" w:color="auto"/>
              <w:right w:val="none" w:sz="6" w:space="0" w:color="auto"/>
            </w:tcBorders>
          </w:tcPr>
          <w:p w14:paraId="5BB2D749" w14:textId="77777777" w:rsidR="006D6846" w:rsidRDefault="006D6846">
            <w:pPr>
              <w:pStyle w:val="Default"/>
              <w:rPr>
                <w:sz w:val="22"/>
                <w:szCs w:val="22"/>
              </w:rPr>
            </w:pPr>
            <w:proofErr w:type="spellStart"/>
            <w:r>
              <w:rPr>
                <w:sz w:val="22"/>
                <w:szCs w:val="22"/>
              </w:rPr>
              <w:t>Choroba</w:t>
            </w:r>
            <w:proofErr w:type="spellEnd"/>
            <w:r>
              <w:rPr>
                <w:sz w:val="22"/>
                <w:szCs w:val="22"/>
              </w:rPr>
              <w:t xml:space="preserve"> </w:t>
            </w:r>
            <w:proofErr w:type="spellStart"/>
            <w:r>
              <w:rPr>
                <w:sz w:val="22"/>
                <w:szCs w:val="22"/>
              </w:rPr>
              <w:t>refluksowa</w:t>
            </w:r>
            <w:proofErr w:type="spellEnd"/>
            <w:r>
              <w:rPr>
                <w:sz w:val="22"/>
                <w:szCs w:val="22"/>
              </w:rPr>
              <w:t xml:space="preserve"> </w:t>
            </w:r>
            <w:proofErr w:type="spellStart"/>
            <w:r>
              <w:rPr>
                <w:sz w:val="22"/>
                <w:szCs w:val="22"/>
              </w:rPr>
              <w:t>przełyku</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76F9FFA8"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4BF12716" w14:textId="77777777" w:rsidTr="00B45953">
        <w:trPr>
          <w:trHeight w:val="100"/>
        </w:trPr>
        <w:tc>
          <w:tcPr>
            <w:tcW w:w="4353" w:type="dxa"/>
            <w:tcBorders>
              <w:top w:val="none" w:sz="6" w:space="0" w:color="auto"/>
              <w:bottom w:val="none" w:sz="6" w:space="0" w:color="auto"/>
              <w:right w:val="none" w:sz="6" w:space="0" w:color="auto"/>
            </w:tcBorders>
          </w:tcPr>
          <w:p w14:paraId="5C8DBDCE" w14:textId="77777777" w:rsidR="006D6846" w:rsidRDefault="006D6846">
            <w:pPr>
              <w:pStyle w:val="Default"/>
              <w:rPr>
                <w:sz w:val="22"/>
                <w:szCs w:val="22"/>
              </w:rPr>
            </w:pPr>
            <w:proofErr w:type="spellStart"/>
            <w:r>
              <w:rPr>
                <w:sz w:val="22"/>
                <w:szCs w:val="22"/>
              </w:rPr>
              <w:lastRenderedPageBreak/>
              <w:t>Wzdęcia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44B76D83"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5DBC9463" w14:textId="77777777" w:rsidTr="00B45953">
        <w:trPr>
          <w:trHeight w:val="100"/>
        </w:trPr>
        <w:tc>
          <w:tcPr>
            <w:tcW w:w="4353" w:type="dxa"/>
            <w:tcBorders>
              <w:top w:val="none" w:sz="6" w:space="0" w:color="auto"/>
              <w:bottom w:val="none" w:sz="6" w:space="0" w:color="auto"/>
              <w:right w:val="none" w:sz="6" w:space="0" w:color="auto"/>
            </w:tcBorders>
          </w:tcPr>
          <w:p w14:paraId="7D75516D" w14:textId="77777777" w:rsidR="006D6846" w:rsidRDefault="006D6846">
            <w:pPr>
              <w:pStyle w:val="Default"/>
              <w:rPr>
                <w:sz w:val="22"/>
                <w:szCs w:val="22"/>
              </w:rPr>
            </w:pPr>
            <w:proofErr w:type="spellStart"/>
            <w:r>
              <w:rPr>
                <w:sz w:val="22"/>
                <w:szCs w:val="22"/>
              </w:rPr>
              <w:t>Zaparcie</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8C1CC05"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79E4EDDA" w14:textId="77777777" w:rsidTr="00B45953">
        <w:trPr>
          <w:trHeight w:val="100"/>
        </w:trPr>
        <w:tc>
          <w:tcPr>
            <w:tcW w:w="4353" w:type="dxa"/>
            <w:tcBorders>
              <w:top w:val="none" w:sz="6" w:space="0" w:color="auto"/>
              <w:bottom w:val="none" w:sz="6" w:space="0" w:color="auto"/>
              <w:right w:val="none" w:sz="6" w:space="0" w:color="auto"/>
            </w:tcBorders>
          </w:tcPr>
          <w:p w14:paraId="26957920" w14:textId="77777777" w:rsidR="006D6846" w:rsidRPr="00B45953" w:rsidRDefault="006D6846">
            <w:pPr>
              <w:pStyle w:val="Default"/>
              <w:rPr>
                <w:sz w:val="22"/>
                <w:szCs w:val="22"/>
                <w:lang w:val="pl-PL"/>
              </w:rPr>
            </w:pPr>
            <w:r w:rsidRPr="00B45953">
              <w:rPr>
                <w:sz w:val="22"/>
                <w:szCs w:val="22"/>
                <w:lang w:val="pl-PL"/>
              </w:rPr>
              <w:t xml:space="preserve">Ból brzucha, w tym ból w nadbrzuszu </w:t>
            </w:r>
          </w:p>
        </w:tc>
        <w:tc>
          <w:tcPr>
            <w:tcW w:w="4353" w:type="dxa"/>
            <w:tcBorders>
              <w:top w:val="none" w:sz="6" w:space="0" w:color="auto"/>
              <w:left w:val="none" w:sz="6" w:space="0" w:color="auto"/>
              <w:bottom w:val="none" w:sz="6" w:space="0" w:color="auto"/>
            </w:tcBorders>
          </w:tcPr>
          <w:p w14:paraId="4F548E53"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6F26E0F1" w14:textId="77777777" w:rsidTr="00B45953">
        <w:trPr>
          <w:trHeight w:val="100"/>
        </w:trPr>
        <w:tc>
          <w:tcPr>
            <w:tcW w:w="4353" w:type="dxa"/>
            <w:tcBorders>
              <w:top w:val="none" w:sz="6" w:space="0" w:color="auto"/>
              <w:bottom w:val="none" w:sz="6" w:space="0" w:color="auto"/>
              <w:right w:val="none" w:sz="6" w:space="0" w:color="auto"/>
            </w:tcBorders>
          </w:tcPr>
          <w:p w14:paraId="5E85AD05" w14:textId="77777777" w:rsidR="006D6846" w:rsidRDefault="006D6846">
            <w:pPr>
              <w:pStyle w:val="Default"/>
              <w:rPr>
                <w:sz w:val="22"/>
                <w:szCs w:val="22"/>
              </w:rPr>
            </w:pPr>
            <w:proofErr w:type="spellStart"/>
            <w:r>
              <w:rPr>
                <w:sz w:val="22"/>
                <w:szCs w:val="22"/>
              </w:rPr>
              <w:t>Zapalenie</w:t>
            </w:r>
            <w:proofErr w:type="spellEnd"/>
            <w:r>
              <w:rPr>
                <w:sz w:val="22"/>
                <w:szCs w:val="22"/>
              </w:rPr>
              <w:t xml:space="preserve"> </w:t>
            </w:r>
            <w:proofErr w:type="spellStart"/>
            <w:r>
              <w:rPr>
                <w:sz w:val="22"/>
                <w:szCs w:val="22"/>
              </w:rPr>
              <w:t>trzustki</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494B7727"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5C94851F" w14:textId="77777777" w:rsidTr="00B45953">
        <w:trPr>
          <w:trHeight w:val="98"/>
        </w:trPr>
        <w:tc>
          <w:tcPr>
            <w:tcW w:w="8707" w:type="dxa"/>
            <w:gridSpan w:val="2"/>
            <w:tcBorders>
              <w:top w:val="none" w:sz="6" w:space="0" w:color="auto"/>
              <w:bottom w:val="none" w:sz="6" w:space="0" w:color="auto"/>
            </w:tcBorders>
          </w:tcPr>
          <w:p w14:paraId="41906C38" w14:textId="77777777" w:rsidR="006D6846" w:rsidRPr="00B45953" w:rsidRDefault="006D6846">
            <w:pPr>
              <w:pStyle w:val="Default"/>
              <w:rPr>
                <w:sz w:val="22"/>
                <w:szCs w:val="22"/>
                <w:lang w:val="pl-PL"/>
              </w:rPr>
            </w:pPr>
            <w:r w:rsidRPr="00B45953">
              <w:rPr>
                <w:b/>
                <w:bCs/>
                <w:sz w:val="22"/>
                <w:szCs w:val="22"/>
                <w:lang w:val="pl-PL"/>
              </w:rPr>
              <w:t xml:space="preserve">Zaburzenia wątroby i dróg żółciowych </w:t>
            </w:r>
          </w:p>
        </w:tc>
      </w:tr>
      <w:tr w:rsidR="006D6846" w14:paraId="6ECB141F" w14:textId="77777777" w:rsidTr="00B45953">
        <w:trPr>
          <w:trHeight w:val="100"/>
        </w:trPr>
        <w:tc>
          <w:tcPr>
            <w:tcW w:w="4353" w:type="dxa"/>
            <w:tcBorders>
              <w:top w:val="none" w:sz="6" w:space="0" w:color="auto"/>
              <w:bottom w:val="none" w:sz="6" w:space="0" w:color="auto"/>
              <w:right w:val="none" w:sz="6" w:space="0" w:color="auto"/>
            </w:tcBorders>
          </w:tcPr>
          <w:p w14:paraId="48C3DBDD" w14:textId="77777777" w:rsidR="006D6846" w:rsidRDefault="006D6846">
            <w:pPr>
              <w:pStyle w:val="Default"/>
              <w:rPr>
                <w:sz w:val="22"/>
                <w:szCs w:val="22"/>
              </w:rPr>
            </w:pPr>
            <w:proofErr w:type="spellStart"/>
            <w:r>
              <w:rPr>
                <w:sz w:val="22"/>
                <w:szCs w:val="22"/>
              </w:rPr>
              <w:t>Zapalenie</w:t>
            </w:r>
            <w:proofErr w:type="spellEnd"/>
            <w:r>
              <w:rPr>
                <w:sz w:val="22"/>
                <w:szCs w:val="22"/>
              </w:rPr>
              <w:t xml:space="preserve"> </w:t>
            </w:r>
            <w:proofErr w:type="spellStart"/>
            <w:r>
              <w:rPr>
                <w:sz w:val="22"/>
                <w:szCs w:val="22"/>
              </w:rPr>
              <w:t>wątroby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CD692D1"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61CFBEEE" w14:textId="77777777" w:rsidTr="00B45953">
        <w:trPr>
          <w:trHeight w:val="98"/>
        </w:trPr>
        <w:tc>
          <w:tcPr>
            <w:tcW w:w="8707" w:type="dxa"/>
            <w:gridSpan w:val="2"/>
            <w:tcBorders>
              <w:top w:val="none" w:sz="6" w:space="0" w:color="auto"/>
              <w:bottom w:val="none" w:sz="6" w:space="0" w:color="auto"/>
            </w:tcBorders>
          </w:tcPr>
          <w:p w14:paraId="7FCFCBF0" w14:textId="77777777" w:rsidR="006D6846" w:rsidRPr="00B45953" w:rsidRDefault="006D6846">
            <w:pPr>
              <w:pStyle w:val="Default"/>
              <w:rPr>
                <w:sz w:val="22"/>
                <w:szCs w:val="22"/>
                <w:lang w:val="pl-PL"/>
              </w:rPr>
            </w:pPr>
            <w:r w:rsidRPr="00B45953">
              <w:rPr>
                <w:b/>
                <w:bCs/>
                <w:sz w:val="22"/>
                <w:szCs w:val="22"/>
                <w:lang w:val="pl-PL"/>
              </w:rPr>
              <w:t xml:space="preserve">Zaburzenia skóry i tkanki podskórnej </w:t>
            </w:r>
          </w:p>
        </w:tc>
      </w:tr>
      <w:tr w:rsidR="006D6846" w14:paraId="70680C8F" w14:textId="77777777" w:rsidTr="00B45953">
        <w:trPr>
          <w:trHeight w:val="100"/>
        </w:trPr>
        <w:tc>
          <w:tcPr>
            <w:tcW w:w="4353" w:type="dxa"/>
            <w:tcBorders>
              <w:top w:val="none" w:sz="6" w:space="0" w:color="auto"/>
              <w:bottom w:val="none" w:sz="6" w:space="0" w:color="auto"/>
              <w:right w:val="none" w:sz="6" w:space="0" w:color="auto"/>
            </w:tcBorders>
          </w:tcPr>
          <w:p w14:paraId="79DC9D54" w14:textId="77777777" w:rsidR="006D6846" w:rsidRDefault="006D6846">
            <w:pPr>
              <w:pStyle w:val="Default"/>
              <w:rPr>
                <w:sz w:val="22"/>
                <w:szCs w:val="22"/>
              </w:rPr>
            </w:pPr>
            <w:proofErr w:type="spellStart"/>
            <w:r>
              <w:rPr>
                <w:sz w:val="22"/>
                <w:szCs w:val="22"/>
              </w:rPr>
              <w:t>Nadmierne</w:t>
            </w:r>
            <w:proofErr w:type="spellEnd"/>
            <w:r>
              <w:rPr>
                <w:sz w:val="22"/>
                <w:szCs w:val="22"/>
              </w:rPr>
              <w:t xml:space="preserve"> </w:t>
            </w:r>
            <w:proofErr w:type="spellStart"/>
            <w:r>
              <w:rPr>
                <w:sz w:val="22"/>
                <w:szCs w:val="22"/>
              </w:rPr>
              <w:t>pocenie</w:t>
            </w:r>
            <w:proofErr w:type="spellEnd"/>
            <w:r>
              <w:rPr>
                <w:sz w:val="22"/>
                <w:szCs w:val="22"/>
              </w:rPr>
              <w:t xml:space="preserve"> </w:t>
            </w:r>
            <w:proofErr w:type="spellStart"/>
            <w:r>
              <w:rPr>
                <w:sz w:val="22"/>
                <w:szCs w:val="22"/>
              </w:rPr>
              <w:t>się</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F8C9CCC"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06EAAC45" w14:textId="77777777" w:rsidTr="00B45953">
        <w:trPr>
          <w:trHeight w:val="100"/>
        </w:trPr>
        <w:tc>
          <w:tcPr>
            <w:tcW w:w="4353" w:type="dxa"/>
            <w:tcBorders>
              <w:top w:val="none" w:sz="6" w:space="0" w:color="auto"/>
              <w:bottom w:val="none" w:sz="6" w:space="0" w:color="auto"/>
              <w:right w:val="none" w:sz="6" w:space="0" w:color="auto"/>
            </w:tcBorders>
          </w:tcPr>
          <w:p w14:paraId="62B6AA9B" w14:textId="77777777" w:rsidR="006D6846" w:rsidRDefault="006D6846">
            <w:pPr>
              <w:pStyle w:val="Default"/>
              <w:rPr>
                <w:sz w:val="22"/>
                <w:szCs w:val="22"/>
              </w:rPr>
            </w:pPr>
            <w:proofErr w:type="spellStart"/>
            <w:r>
              <w:rPr>
                <w:sz w:val="22"/>
                <w:szCs w:val="22"/>
              </w:rPr>
              <w:t>Świąd</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4BBE270"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47A1663D" w14:textId="77777777" w:rsidTr="00B45953">
        <w:trPr>
          <w:trHeight w:val="100"/>
        </w:trPr>
        <w:tc>
          <w:tcPr>
            <w:tcW w:w="4353" w:type="dxa"/>
            <w:tcBorders>
              <w:top w:val="none" w:sz="6" w:space="0" w:color="auto"/>
              <w:bottom w:val="none" w:sz="6" w:space="0" w:color="auto"/>
              <w:right w:val="none" w:sz="6" w:space="0" w:color="auto"/>
            </w:tcBorders>
          </w:tcPr>
          <w:p w14:paraId="73DF94C7" w14:textId="77777777" w:rsidR="006D6846" w:rsidRDefault="006D6846">
            <w:pPr>
              <w:pStyle w:val="Default"/>
              <w:rPr>
                <w:sz w:val="22"/>
                <w:szCs w:val="22"/>
              </w:rPr>
            </w:pPr>
            <w:proofErr w:type="spellStart"/>
            <w:r>
              <w:rPr>
                <w:sz w:val="22"/>
                <w:szCs w:val="22"/>
              </w:rPr>
              <w:t>Wysypka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635B7B98"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43793FE9" w14:textId="77777777" w:rsidTr="00B45953">
        <w:trPr>
          <w:trHeight w:val="100"/>
        </w:trPr>
        <w:tc>
          <w:tcPr>
            <w:tcW w:w="4353" w:type="dxa"/>
            <w:tcBorders>
              <w:top w:val="none" w:sz="6" w:space="0" w:color="auto"/>
              <w:bottom w:val="none" w:sz="6" w:space="0" w:color="auto"/>
              <w:right w:val="none" w:sz="6" w:space="0" w:color="auto"/>
            </w:tcBorders>
          </w:tcPr>
          <w:p w14:paraId="15DBFAD8" w14:textId="77777777" w:rsidR="006D6846" w:rsidRDefault="006D6846">
            <w:pPr>
              <w:pStyle w:val="Default"/>
              <w:rPr>
                <w:sz w:val="22"/>
                <w:szCs w:val="22"/>
              </w:rPr>
            </w:pPr>
            <w:proofErr w:type="spellStart"/>
            <w:r>
              <w:rPr>
                <w:sz w:val="22"/>
                <w:szCs w:val="22"/>
              </w:rPr>
              <w:t>Zapalenie</w:t>
            </w:r>
            <w:proofErr w:type="spellEnd"/>
            <w:r>
              <w:rPr>
                <w:sz w:val="22"/>
                <w:szCs w:val="22"/>
              </w:rPr>
              <w:t xml:space="preserve"> </w:t>
            </w:r>
            <w:proofErr w:type="spellStart"/>
            <w:r>
              <w:rPr>
                <w:sz w:val="22"/>
                <w:szCs w:val="22"/>
              </w:rPr>
              <w:t>skóry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3332EB4A"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1769376F" w14:textId="77777777" w:rsidTr="00B45953">
        <w:trPr>
          <w:trHeight w:val="100"/>
        </w:trPr>
        <w:tc>
          <w:tcPr>
            <w:tcW w:w="4353" w:type="dxa"/>
            <w:tcBorders>
              <w:top w:val="none" w:sz="6" w:space="0" w:color="auto"/>
              <w:bottom w:val="none" w:sz="6" w:space="0" w:color="auto"/>
              <w:right w:val="none" w:sz="6" w:space="0" w:color="auto"/>
            </w:tcBorders>
          </w:tcPr>
          <w:p w14:paraId="1D95B92B" w14:textId="77777777" w:rsidR="006D6846" w:rsidRDefault="006D6846">
            <w:pPr>
              <w:pStyle w:val="Default"/>
              <w:rPr>
                <w:sz w:val="22"/>
                <w:szCs w:val="22"/>
              </w:rPr>
            </w:pPr>
            <w:proofErr w:type="spellStart"/>
            <w:r>
              <w:rPr>
                <w:sz w:val="22"/>
                <w:szCs w:val="22"/>
              </w:rPr>
              <w:t>Rumień</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3ED7333"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3874C0B9" w14:textId="77777777" w:rsidTr="00B45953">
        <w:trPr>
          <w:trHeight w:val="100"/>
        </w:trPr>
        <w:tc>
          <w:tcPr>
            <w:tcW w:w="4353" w:type="dxa"/>
            <w:tcBorders>
              <w:top w:val="none" w:sz="6" w:space="0" w:color="auto"/>
              <w:bottom w:val="none" w:sz="6" w:space="0" w:color="auto"/>
              <w:right w:val="none" w:sz="6" w:space="0" w:color="auto"/>
            </w:tcBorders>
          </w:tcPr>
          <w:p w14:paraId="3A8050E0" w14:textId="77777777" w:rsidR="006D6846" w:rsidRDefault="006D6846">
            <w:pPr>
              <w:pStyle w:val="Default"/>
              <w:rPr>
                <w:sz w:val="22"/>
                <w:szCs w:val="22"/>
              </w:rPr>
            </w:pPr>
            <w:proofErr w:type="spellStart"/>
            <w:r>
              <w:rPr>
                <w:sz w:val="22"/>
                <w:szCs w:val="22"/>
              </w:rPr>
              <w:t>Pokrzywka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67AB7A03"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023991B3" w14:textId="77777777" w:rsidTr="00B45953">
        <w:trPr>
          <w:trHeight w:val="111"/>
        </w:trPr>
        <w:tc>
          <w:tcPr>
            <w:tcW w:w="4353" w:type="dxa"/>
            <w:tcBorders>
              <w:top w:val="none" w:sz="6" w:space="0" w:color="auto"/>
              <w:bottom w:val="none" w:sz="6" w:space="0" w:color="auto"/>
              <w:right w:val="none" w:sz="6" w:space="0" w:color="auto"/>
            </w:tcBorders>
          </w:tcPr>
          <w:p w14:paraId="721247CE" w14:textId="77777777" w:rsidR="006D6846" w:rsidRPr="00B45953" w:rsidRDefault="006D6846">
            <w:pPr>
              <w:pStyle w:val="Default"/>
              <w:rPr>
                <w:sz w:val="22"/>
                <w:szCs w:val="22"/>
                <w:lang w:val="pl-PL"/>
              </w:rPr>
            </w:pPr>
            <w:r w:rsidRPr="00B45953">
              <w:rPr>
                <w:sz w:val="22"/>
                <w:szCs w:val="22"/>
                <w:lang w:val="pl-PL"/>
              </w:rPr>
              <w:t xml:space="preserve">Złuszczające i pęcherzowe zmiany skórne, w tym pemfigoid pęcherzowy </w:t>
            </w:r>
          </w:p>
        </w:tc>
        <w:tc>
          <w:tcPr>
            <w:tcW w:w="4353" w:type="dxa"/>
            <w:tcBorders>
              <w:top w:val="none" w:sz="6" w:space="0" w:color="auto"/>
              <w:left w:val="none" w:sz="6" w:space="0" w:color="auto"/>
              <w:bottom w:val="none" w:sz="6" w:space="0" w:color="auto"/>
            </w:tcBorders>
          </w:tcPr>
          <w:p w14:paraId="4259986E" w14:textId="3DFFC6E5" w:rsidR="006D6846" w:rsidRDefault="006D6846">
            <w:pPr>
              <w:pStyle w:val="Default"/>
              <w:rPr>
                <w:sz w:val="22"/>
                <w:szCs w:val="22"/>
              </w:rPr>
            </w:pPr>
            <w:proofErr w:type="spellStart"/>
            <w:r>
              <w:rPr>
                <w:sz w:val="22"/>
                <w:szCs w:val="22"/>
              </w:rPr>
              <w:t>nieznana</w:t>
            </w:r>
            <w:proofErr w:type="spellEnd"/>
            <w:r w:rsidRPr="00B45953">
              <w:rPr>
                <w:sz w:val="22"/>
                <w:szCs w:val="22"/>
                <w:vertAlign w:val="superscript"/>
              </w:rPr>
              <w:t>†</w:t>
            </w:r>
            <w:r>
              <w:rPr>
                <w:sz w:val="22"/>
                <w:szCs w:val="22"/>
              </w:rPr>
              <w:t xml:space="preserve"> </w:t>
            </w:r>
          </w:p>
        </w:tc>
      </w:tr>
      <w:tr w:rsidR="006D6846" w14:paraId="7F8C8A26" w14:textId="77777777" w:rsidTr="00B45953">
        <w:trPr>
          <w:trHeight w:val="111"/>
        </w:trPr>
        <w:tc>
          <w:tcPr>
            <w:tcW w:w="4353" w:type="dxa"/>
            <w:tcBorders>
              <w:top w:val="none" w:sz="6" w:space="0" w:color="auto"/>
              <w:bottom w:val="none" w:sz="6" w:space="0" w:color="auto"/>
              <w:right w:val="none" w:sz="6" w:space="0" w:color="auto"/>
            </w:tcBorders>
          </w:tcPr>
          <w:p w14:paraId="75973C6B" w14:textId="77777777" w:rsidR="006D6846" w:rsidRDefault="006D6846">
            <w:pPr>
              <w:pStyle w:val="Default"/>
              <w:rPr>
                <w:sz w:val="22"/>
                <w:szCs w:val="22"/>
              </w:rPr>
            </w:pPr>
            <w:proofErr w:type="spellStart"/>
            <w:r>
              <w:rPr>
                <w:sz w:val="22"/>
                <w:szCs w:val="22"/>
              </w:rPr>
              <w:t>Zapalenie</w:t>
            </w:r>
            <w:proofErr w:type="spellEnd"/>
            <w:r>
              <w:rPr>
                <w:sz w:val="22"/>
                <w:szCs w:val="22"/>
              </w:rPr>
              <w:t xml:space="preserve"> </w:t>
            </w:r>
            <w:proofErr w:type="spellStart"/>
            <w:r>
              <w:rPr>
                <w:sz w:val="22"/>
                <w:szCs w:val="22"/>
              </w:rPr>
              <w:t>naczyń</w:t>
            </w:r>
            <w:proofErr w:type="spellEnd"/>
            <w:r>
              <w:rPr>
                <w:sz w:val="22"/>
                <w:szCs w:val="22"/>
              </w:rPr>
              <w:t xml:space="preserve"> </w:t>
            </w:r>
            <w:proofErr w:type="spellStart"/>
            <w:r>
              <w:rPr>
                <w:sz w:val="22"/>
                <w:szCs w:val="22"/>
              </w:rPr>
              <w:t>skóry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45F5BE26" w14:textId="77259FE8" w:rsidR="006D6846" w:rsidRDefault="006D6846">
            <w:pPr>
              <w:pStyle w:val="Default"/>
              <w:rPr>
                <w:sz w:val="22"/>
                <w:szCs w:val="22"/>
              </w:rPr>
            </w:pPr>
            <w:proofErr w:type="spellStart"/>
            <w:r>
              <w:rPr>
                <w:sz w:val="22"/>
                <w:szCs w:val="22"/>
              </w:rPr>
              <w:t>nieznana</w:t>
            </w:r>
            <w:proofErr w:type="spellEnd"/>
            <w:r w:rsidRPr="00B45953">
              <w:rPr>
                <w:sz w:val="22"/>
                <w:szCs w:val="22"/>
                <w:vertAlign w:val="superscript"/>
              </w:rPr>
              <w:t>†</w:t>
            </w:r>
            <w:r>
              <w:rPr>
                <w:sz w:val="22"/>
                <w:szCs w:val="22"/>
              </w:rPr>
              <w:t xml:space="preserve"> </w:t>
            </w:r>
          </w:p>
        </w:tc>
      </w:tr>
      <w:tr w:rsidR="006D6846" w14:paraId="12535B83" w14:textId="77777777" w:rsidTr="00B45953">
        <w:trPr>
          <w:trHeight w:val="98"/>
        </w:trPr>
        <w:tc>
          <w:tcPr>
            <w:tcW w:w="8707" w:type="dxa"/>
            <w:gridSpan w:val="2"/>
            <w:tcBorders>
              <w:top w:val="none" w:sz="6" w:space="0" w:color="auto"/>
              <w:bottom w:val="none" w:sz="6" w:space="0" w:color="auto"/>
            </w:tcBorders>
          </w:tcPr>
          <w:p w14:paraId="4D9CC58C" w14:textId="77777777" w:rsidR="006D6846" w:rsidRPr="00B45953" w:rsidRDefault="006D6846">
            <w:pPr>
              <w:pStyle w:val="Default"/>
              <w:rPr>
                <w:sz w:val="22"/>
                <w:szCs w:val="22"/>
                <w:lang w:val="pl-PL"/>
              </w:rPr>
            </w:pPr>
            <w:r w:rsidRPr="00B45953">
              <w:rPr>
                <w:b/>
                <w:bCs/>
                <w:sz w:val="22"/>
                <w:szCs w:val="22"/>
                <w:lang w:val="pl-PL"/>
              </w:rPr>
              <w:t xml:space="preserve">Zaburzenia mięśniowo-szkieletowe i tkanki łącznej </w:t>
            </w:r>
          </w:p>
        </w:tc>
      </w:tr>
      <w:tr w:rsidR="006D6846" w14:paraId="4F407485" w14:textId="77777777" w:rsidTr="00B45953">
        <w:trPr>
          <w:trHeight w:val="100"/>
        </w:trPr>
        <w:tc>
          <w:tcPr>
            <w:tcW w:w="4353" w:type="dxa"/>
            <w:tcBorders>
              <w:top w:val="none" w:sz="6" w:space="0" w:color="auto"/>
              <w:bottom w:val="none" w:sz="6" w:space="0" w:color="auto"/>
              <w:right w:val="none" w:sz="6" w:space="0" w:color="auto"/>
            </w:tcBorders>
          </w:tcPr>
          <w:p w14:paraId="22EA674A" w14:textId="77777777" w:rsidR="006D6846" w:rsidRDefault="006D6846">
            <w:pPr>
              <w:pStyle w:val="Default"/>
              <w:rPr>
                <w:sz w:val="22"/>
                <w:szCs w:val="22"/>
              </w:rPr>
            </w:pPr>
            <w:proofErr w:type="spellStart"/>
            <w:r>
              <w:rPr>
                <w:sz w:val="22"/>
                <w:szCs w:val="22"/>
              </w:rPr>
              <w:t>Ból</w:t>
            </w:r>
            <w:proofErr w:type="spellEnd"/>
            <w:r>
              <w:rPr>
                <w:sz w:val="22"/>
                <w:szCs w:val="22"/>
              </w:rPr>
              <w:t xml:space="preserve"> </w:t>
            </w:r>
            <w:proofErr w:type="spellStart"/>
            <w:r>
              <w:rPr>
                <w:sz w:val="22"/>
                <w:szCs w:val="22"/>
              </w:rPr>
              <w:t>stawów</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5894C4A"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4F9251DE" w14:textId="77777777" w:rsidTr="00B45953">
        <w:trPr>
          <w:trHeight w:val="100"/>
        </w:trPr>
        <w:tc>
          <w:tcPr>
            <w:tcW w:w="4353" w:type="dxa"/>
            <w:tcBorders>
              <w:top w:val="none" w:sz="6" w:space="0" w:color="auto"/>
              <w:bottom w:val="none" w:sz="6" w:space="0" w:color="auto"/>
              <w:right w:val="none" w:sz="6" w:space="0" w:color="auto"/>
            </w:tcBorders>
          </w:tcPr>
          <w:p w14:paraId="76C2F0A6" w14:textId="77777777" w:rsidR="006D6846" w:rsidRDefault="006D6846">
            <w:pPr>
              <w:pStyle w:val="Default"/>
              <w:rPr>
                <w:sz w:val="22"/>
                <w:szCs w:val="22"/>
              </w:rPr>
            </w:pPr>
            <w:proofErr w:type="spellStart"/>
            <w:r>
              <w:rPr>
                <w:sz w:val="22"/>
                <w:szCs w:val="22"/>
              </w:rPr>
              <w:t>Ból</w:t>
            </w:r>
            <w:proofErr w:type="spellEnd"/>
            <w:r>
              <w:rPr>
                <w:sz w:val="22"/>
                <w:szCs w:val="22"/>
              </w:rPr>
              <w:t xml:space="preserve"> </w:t>
            </w:r>
            <w:proofErr w:type="spellStart"/>
            <w:r>
              <w:rPr>
                <w:sz w:val="22"/>
                <w:szCs w:val="22"/>
              </w:rPr>
              <w:t>mięśni</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2F970472"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45BA8146" w14:textId="77777777" w:rsidTr="00B45953">
        <w:trPr>
          <w:trHeight w:val="98"/>
        </w:trPr>
        <w:tc>
          <w:tcPr>
            <w:tcW w:w="8707" w:type="dxa"/>
            <w:gridSpan w:val="2"/>
            <w:tcBorders>
              <w:top w:val="none" w:sz="6" w:space="0" w:color="auto"/>
              <w:bottom w:val="none" w:sz="6" w:space="0" w:color="auto"/>
            </w:tcBorders>
          </w:tcPr>
          <w:p w14:paraId="3B5BA44A" w14:textId="77777777" w:rsidR="006D6846" w:rsidRPr="00B45953" w:rsidRDefault="006D6846">
            <w:pPr>
              <w:pStyle w:val="Default"/>
              <w:rPr>
                <w:sz w:val="22"/>
                <w:szCs w:val="22"/>
                <w:lang w:val="pl-PL"/>
              </w:rPr>
            </w:pPr>
            <w:r w:rsidRPr="00B45953">
              <w:rPr>
                <w:b/>
                <w:bCs/>
                <w:sz w:val="22"/>
                <w:szCs w:val="22"/>
                <w:lang w:val="pl-PL"/>
              </w:rPr>
              <w:t xml:space="preserve">Zaburzenia ogólne i stany w miejscu podania </w:t>
            </w:r>
          </w:p>
        </w:tc>
      </w:tr>
      <w:tr w:rsidR="006D6846" w14:paraId="6346F1E2" w14:textId="77777777" w:rsidTr="00B45953">
        <w:trPr>
          <w:trHeight w:val="100"/>
        </w:trPr>
        <w:tc>
          <w:tcPr>
            <w:tcW w:w="4353" w:type="dxa"/>
            <w:tcBorders>
              <w:top w:val="none" w:sz="6" w:space="0" w:color="auto"/>
              <w:bottom w:val="none" w:sz="6" w:space="0" w:color="auto"/>
              <w:right w:val="none" w:sz="6" w:space="0" w:color="auto"/>
            </w:tcBorders>
          </w:tcPr>
          <w:p w14:paraId="1EFE44D5" w14:textId="77777777" w:rsidR="006D6846" w:rsidRDefault="006D6846">
            <w:pPr>
              <w:pStyle w:val="Default"/>
              <w:rPr>
                <w:sz w:val="22"/>
                <w:szCs w:val="22"/>
              </w:rPr>
            </w:pPr>
            <w:proofErr w:type="spellStart"/>
            <w:r>
              <w:rPr>
                <w:sz w:val="22"/>
                <w:szCs w:val="22"/>
              </w:rPr>
              <w:t>Astenia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BA35029" w14:textId="77777777" w:rsidR="006D6846" w:rsidRDefault="006D6846">
            <w:pPr>
              <w:pStyle w:val="Default"/>
              <w:rPr>
                <w:sz w:val="22"/>
                <w:szCs w:val="22"/>
              </w:rPr>
            </w:pPr>
            <w:proofErr w:type="spellStart"/>
            <w:r>
              <w:rPr>
                <w:sz w:val="22"/>
                <w:szCs w:val="22"/>
              </w:rPr>
              <w:t>często</w:t>
            </w:r>
            <w:proofErr w:type="spellEnd"/>
            <w:r>
              <w:rPr>
                <w:sz w:val="22"/>
                <w:szCs w:val="22"/>
              </w:rPr>
              <w:t xml:space="preserve"> </w:t>
            </w:r>
          </w:p>
        </w:tc>
      </w:tr>
      <w:tr w:rsidR="006D6846" w14:paraId="4942C735" w14:textId="77777777" w:rsidTr="00B45953">
        <w:trPr>
          <w:trHeight w:val="100"/>
        </w:trPr>
        <w:tc>
          <w:tcPr>
            <w:tcW w:w="4353" w:type="dxa"/>
            <w:tcBorders>
              <w:top w:val="none" w:sz="6" w:space="0" w:color="auto"/>
              <w:bottom w:val="none" w:sz="6" w:space="0" w:color="auto"/>
              <w:right w:val="none" w:sz="6" w:space="0" w:color="auto"/>
            </w:tcBorders>
          </w:tcPr>
          <w:p w14:paraId="33BA65C3" w14:textId="77777777" w:rsidR="006D6846" w:rsidRDefault="006D6846">
            <w:pPr>
              <w:pStyle w:val="Default"/>
              <w:rPr>
                <w:sz w:val="22"/>
                <w:szCs w:val="22"/>
              </w:rPr>
            </w:pPr>
            <w:proofErr w:type="spellStart"/>
            <w:r>
              <w:rPr>
                <w:sz w:val="22"/>
                <w:szCs w:val="22"/>
              </w:rPr>
              <w:t>Uczucie</w:t>
            </w:r>
            <w:proofErr w:type="spellEnd"/>
            <w:r>
              <w:rPr>
                <w:sz w:val="22"/>
                <w:szCs w:val="22"/>
              </w:rPr>
              <w:t xml:space="preserve"> </w:t>
            </w:r>
            <w:proofErr w:type="spellStart"/>
            <w:r>
              <w:rPr>
                <w:sz w:val="22"/>
                <w:szCs w:val="22"/>
              </w:rPr>
              <w:t>zmęczenia</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0DEAA95"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77333D23" w14:textId="77777777" w:rsidTr="00B45953">
        <w:trPr>
          <w:trHeight w:val="100"/>
        </w:trPr>
        <w:tc>
          <w:tcPr>
            <w:tcW w:w="4353" w:type="dxa"/>
            <w:tcBorders>
              <w:top w:val="none" w:sz="6" w:space="0" w:color="auto"/>
              <w:bottom w:val="none" w:sz="6" w:space="0" w:color="auto"/>
              <w:right w:val="none" w:sz="6" w:space="0" w:color="auto"/>
            </w:tcBorders>
          </w:tcPr>
          <w:p w14:paraId="21E1151F" w14:textId="77777777" w:rsidR="006D6846" w:rsidRDefault="006D6846">
            <w:pPr>
              <w:pStyle w:val="Default"/>
              <w:rPr>
                <w:sz w:val="22"/>
                <w:szCs w:val="22"/>
              </w:rPr>
            </w:pPr>
            <w:proofErr w:type="spellStart"/>
            <w:r>
              <w:rPr>
                <w:sz w:val="22"/>
                <w:szCs w:val="22"/>
              </w:rPr>
              <w:t>Dreszcze</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52F40A12"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7618834F" w14:textId="77777777" w:rsidTr="00B45953">
        <w:trPr>
          <w:trHeight w:val="100"/>
        </w:trPr>
        <w:tc>
          <w:tcPr>
            <w:tcW w:w="4353" w:type="dxa"/>
            <w:tcBorders>
              <w:top w:val="none" w:sz="6" w:space="0" w:color="auto"/>
              <w:bottom w:val="none" w:sz="6" w:space="0" w:color="auto"/>
              <w:right w:val="none" w:sz="6" w:space="0" w:color="auto"/>
            </w:tcBorders>
          </w:tcPr>
          <w:p w14:paraId="03BD5770" w14:textId="77777777" w:rsidR="006D6846" w:rsidRDefault="006D6846">
            <w:pPr>
              <w:pStyle w:val="Default"/>
              <w:rPr>
                <w:sz w:val="22"/>
                <w:szCs w:val="22"/>
              </w:rPr>
            </w:pPr>
            <w:proofErr w:type="spellStart"/>
            <w:r>
              <w:rPr>
                <w:sz w:val="22"/>
                <w:szCs w:val="22"/>
              </w:rPr>
              <w:t>Obrzęk</w:t>
            </w:r>
            <w:proofErr w:type="spellEnd"/>
            <w:r>
              <w:rPr>
                <w:sz w:val="22"/>
                <w:szCs w:val="22"/>
              </w:rPr>
              <w:t xml:space="preserve"> </w:t>
            </w:r>
            <w:proofErr w:type="spellStart"/>
            <w:r>
              <w:rPr>
                <w:sz w:val="22"/>
                <w:szCs w:val="22"/>
              </w:rPr>
              <w:t>obwodowy</w:t>
            </w:r>
            <w:proofErr w:type="spellEnd"/>
            <w:r>
              <w:rPr>
                <w:sz w:val="22"/>
                <w:szCs w:val="22"/>
              </w:rPr>
              <w:t xml:space="preserve"> </w:t>
            </w:r>
          </w:p>
        </w:tc>
        <w:tc>
          <w:tcPr>
            <w:tcW w:w="4353" w:type="dxa"/>
            <w:tcBorders>
              <w:top w:val="none" w:sz="6" w:space="0" w:color="auto"/>
              <w:left w:val="none" w:sz="6" w:space="0" w:color="auto"/>
              <w:bottom w:val="none" w:sz="6" w:space="0" w:color="auto"/>
            </w:tcBorders>
          </w:tcPr>
          <w:p w14:paraId="11D01093"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2EB8EDA7" w14:textId="77777777" w:rsidTr="00B45953">
        <w:trPr>
          <w:trHeight w:val="98"/>
        </w:trPr>
        <w:tc>
          <w:tcPr>
            <w:tcW w:w="8707" w:type="dxa"/>
            <w:gridSpan w:val="2"/>
            <w:tcBorders>
              <w:top w:val="none" w:sz="6" w:space="0" w:color="auto"/>
              <w:bottom w:val="none" w:sz="6" w:space="0" w:color="auto"/>
            </w:tcBorders>
          </w:tcPr>
          <w:p w14:paraId="25725879" w14:textId="77777777" w:rsidR="006D6846" w:rsidRDefault="006D6846">
            <w:pPr>
              <w:pStyle w:val="Default"/>
              <w:rPr>
                <w:sz w:val="22"/>
                <w:szCs w:val="22"/>
              </w:rPr>
            </w:pPr>
            <w:proofErr w:type="spellStart"/>
            <w:r>
              <w:rPr>
                <w:b/>
                <w:bCs/>
                <w:sz w:val="22"/>
                <w:szCs w:val="22"/>
              </w:rPr>
              <w:t>Badania</w:t>
            </w:r>
            <w:proofErr w:type="spellEnd"/>
            <w:r>
              <w:rPr>
                <w:b/>
                <w:bCs/>
                <w:sz w:val="22"/>
                <w:szCs w:val="22"/>
              </w:rPr>
              <w:t xml:space="preserve"> </w:t>
            </w:r>
            <w:proofErr w:type="spellStart"/>
            <w:r>
              <w:rPr>
                <w:b/>
                <w:bCs/>
                <w:sz w:val="22"/>
                <w:szCs w:val="22"/>
              </w:rPr>
              <w:t>diagnostyczne</w:t>
            </w:r>
            <w:proofErr w:type="spellEnd"/>
            <w:r>
              <w:rPr>
                <w:b/>
                <w:bCs/>
                <w:sz w:val="22"/>
                <w:szCs w:val="22"/>
              </w:rPr>
              <w:t xml:space="preserve"> </w:t>
            </w:r>
          </w:p>
        </w:tc>
      </w:tr>
      <w:tr w:rsidR="006D6846" w14:paraId="30F3ADF5" w14:textId="77777777" w:rsidTr="00B45953">
        <w:trPr>
          <w:trHeight w:val="100"/>
        </w:trPr>
        <w:tc>
          <w:tcPr>
            <w:tcW w:w="4353" w:type="dxa"/>
            <w:tcBorders>
              <w:top w:val="none" w:sz="6" w:space="0" w:color="auto"/>
              <w:bottom w:val="none" w:sz="6" w:space="0" w:color="auto"/>
              <w:right w:val="none" w:sz="6" w:space="0" w:color="auto"/>
            </w:tcBorders>
          </w:tcPr>
          <w:p w14:paraId="0781F564" w14:textId="77777777" w:rsidR="006D6846" w:rsidRPr="00B45953" w:rsidRDefault="006D6846">
            <w:pPr>
              <w:pStyle w:val="Default"/>
              <w:rPr>
                <w:sz w:val="22"/>
                <w:szCs w:val="22"/>
                <w:lang w:val="pl-PL"/>
              </w:rPr>
            </w:pPr>
            <w:r w:rsidRPr="00B45953">
              <w:rPr>
                <w:sz w:val="22"/>
                <w:szCs w:val="22"/>
                <w:lang w:val="pl-PL"/>
              </w:rPr>
              <w:t xml:space="preserve">Nieprawidłowe wyniki prób czynnościowych wątroby </w:t>
            </w:r>
          </w:p>
        </w:tc>
        <w:tc>
          <w:tcPr>
            <w:tcW w:w="4353" w:type="dxa"/>
            <w:tcBorders>
              <w:top w:val="none" w:sz="6" w:space="0" w:color="auto"/>
              <w:left w:val="none" w:sz="6" w:space="0" w:color="auto"/>
              <w:bottom w:val="none" w:sz="6" w:space="0" w:color="auto"/>
            </w:tcBorders>
          </w:tcPr>
          <w:p w14:paraId="1FAFA903" w14:textId="77777777" w:rsidR="006D6846" w:rsidRDefault="006D6846">
            <w:pPr>
              <w:pStyle w:val="Default"/>
              <w:rPr>
                <w:sz w:val="22"/>
                <w:szCs w:val="22"/>
              </w:rPr>
            </w:pPr>
            <w:proofErr w:type="spellStart"/>
            <w:r>
              <w:rPr>
                <w:sz w:val="22"/>
                <w:szCs w:val="22"/>
              </w:rPr>
              <w:t>niezbyt</w:t>
            </w:r>
            <w:proofErr w:type="spellEnd"/>
            <w:r>
              <w:rPr>
                <w:sz w:val="22"/>
                <w:szCs w:val="22"/>
              </w:rPr>
              <w:t xml:space="preserve"> </w:t>
            </w:r>
            <w:proofErr w:type="spellStart"/>
            <w:r>
              <w:rPr>
                <w:sz w:val="22"/>
                <w:szCs w:val="22"/>
              </w:rPr>
              <w:t>często</w:t>
            </w:r>
            <w:proofErr w:type="spellEnd"/>
            <w:r>
              <w:rPr>
                <w:sz w:val="22"/>
                <w:szCs w:val="22"/>
              </w:rPr>
              <w:t xml:space="preserve"> </w:t>
            </w:r>
          </w:p>
        </w:tc>
      </w:tr>
      <w:tr w:rsidR="006D6846" w14:paraId="4E4F0A80" w14:textId="77777777" w:rsidTr="00B45953">
        <w:trPr>
          <w:trHeight w:val="606"/>
        </w:trPr>
        <w:tc>
          <w:tcPr>
            <w:tcW w:w="8707" w:type="dxa"/>
            <w:gridSpan w:val="2"/>
            <w:tcBorders>
              <w:top w:val="none" w:sz="6" w:space="0" w:color="auto"/>
              <w:bottom w:val="none" w:sz="6" w:space="0" w:color="auto"/>
            </w:tcBorders>
          </w:tcPr>
          <w:p w14:paraId="0F656FFE" w14:textId="10E4521B" w:rsidR="006D6846" w:rsidRPr="00B45953" w:rsidRDefault="006D6846" w:rsidP="00B45953">
            <w:pPr>
              <w:pStyle w:val="Default"/>
              <w:ind w:left="284" w:hanging="284"/>
              <w:rPr>
                <w:sz w:val="22"/>
                <w:szCs w:val="22"/>
                <w:lang w:val="pl-PL"/>
              </w:rPr>
            </w:pPr>
            <w:r w:rsidRPr="00B45953">
              <w:rPr>
                <w:sz w:val="22"/>
                <w:szCs w:val="22"/>
                <w:lang w:val="pl-PL"/>
              </w:rPr>
              <w:t xml:space="preserve">* </w:t>
            </w:r>
            <w:r w:rsidR="00CF5EF8">
              <w:rPr>
                <w:sz w:val="22"/>
                <w:szCs w:val="22"/>
                <w:lang w:val="pl-PL"/>
              </w:rPr>
              <w:t xml:space="preserve">  </w:t>
            </w:r>
            <w:r w:rsidRPr="00B45953">
              <w:rPr>
                <w:sz w:val="22"/>
                <w:szCs w:val="22"/>
                <w:lang w:val="pl-PL"/>
              </w:rPr>
              <w:t xml:space="preserve">Działania niepożądane zgłoszone u pacjentów, którzy otrzymali metforminę w monoterapii i których nie obserwowano u pacjentów otrzymujących wildagliptynę+ metforminę jako produkt złożony o ustalonej dawce. W celu uzyskania dodatkowych informacji należy odnieść się do charakterystyki produktu leczniczego dla metforminy. </w:t>
            </w:r>
          </w:p>
          <w:p w14:paraId="41860A89" w14:textId="18058932" w:rsidR="006D6846" w:rsidRPr="00B45953" w:rsidRDefault="006D6846">
            <w:pPr>
              <w:pStyle w:val="Default"/>
              <w:rPr>
                <w:sz w:val="22"/>
                <w:szCs w:val="22"/>
                <w:lang w:val="pl-PL"/>
              </w:rPr>
            </w:pPr>
            <w:r w:rsidRPr="00B45953">
              <w:rPr>
                <w:sz w:val="22"/>
                <w:szCs w:val="22"/>
                <w:vertAlign w:val="superscript"/>
                <w:lang w:val="pl-PL"/>
              </w:rPr>
              <w:t>†</w:t>
            </w:r>
            <w:r w:rsidRPr="00B45953">
              <w:rPr>
                <w:sz w:val="14"/>
                <w:szCs w:val="14"/>
                <w:lang w:val="pl-PL"/>
              </w:rPr>
              <w:t xml:space="preserve"> </w:t>
            </w:r>
            <w:r w:rsidR="00CF5EF8">
              <w:rPr>
                <w:sz w:val="14"/>
                <w:szCs w:val="14"/>
                <w:lang w:val="pl-PL"/>
              </w:rPr>
              <w:t xml:space="preserve">     </w:t>
            </w:r>
            <w:r w:rsidRPr="00B45953">
              <w:rPr>
                <w:sz w:val="22"/>
                <w:szCs w:val="22"/>
                <w:lang w:val="pl-PL"/>
              </w:rPr>
              <w:t xml:space="preserve">Na podstawie doświadczenia po wprowadzeniu do obrotu. </w:t>
            </w:r>
          </w:p>
        </w:tc>
      </w:tr>
    </w:tbl>
    <w:p w14:paraId="396977A2" w14:textId="77777777" w:rsidR="00CF5EF8" w:rsidRPr="00B45953" w:rsidRDefault="00CF5EF8" w:rsidP="00CF5EF8">
      <w:pPr>
        <w:pStyle w:val="Default"/>
        <w:rPr>
          <w:sz w:val="22"/>
          <w:szCs w:val="22"/>
          <w:u w:val="single"/>
          <w:lang w:val="pl-PL"/>
        </w:rPr>
      </w:pPr>
      <w:r w:rsidRPr="00B45953">
        <w:rPr>
          <w:sz w:val="22"/>
          <w:szCs w:val="22"/>
          <w:u w:val="single"/>
          <w:lang w:val="pl-PL"/>
        </w:rPr>
        <w:t xml:space="preserve">Opis wybranych działań niepożądanych </w:t>
      </w:r>
    </w:p>
    <w:p w14:paraId="66B3CEE1" w14:textId="77777777" w:rsidR="003F4393" w:rsidRDefault="003F4393" w:rsidP="00CF5EF8">
      <w:pPr>
        <w:pStyle w:val="Default"/>
        <w:rPr>
          <w:i/>
          <w:iCs/>
          <w:sz w:val="22"/>
          <w:szCs w:val="22"/>
          <w:lang w:val="pl-PL"/>
        </w:rPr>
      </w:pPr>
    </w:p>
    <w:p w14:paraId="1E1F4F08" w14:textId="1F67A864" w:rsidR="00CF5EF8" w:rsidRPr="00B45953" w:rsidRDefault="00CF5EF8" w:rsidP="00CF5EF8">
      <w:pPr>
        <w:pStyle w:val="Default"/>
        <w:rPr>
          <w:sz w:val="22"/>
          <w:szCs w:val="22"/>
          <w:u w:val="single"/>
          <w:lang w:val="pl-PL"/>
        </w:rPr>
      </w:pPr>
      <w:r w:rsidRPr="00B45953">
        <w:rPr>
          <w:i/>
          <w:iCs/>
          <w:sz w:val="22"/>
          <w:szCs w:val="22"/>
          <w:u w:val="single"/>
          <w:lang w:val="pl-PL"/>
        </w:rPr>
        <w:t xml:space="preserve">Wildagliptyna </w:t>
      </w:r>
    </w:p>
    <w:p w14:paraId="32279CD4" w14:textId="77777777" w:rsidR="00CF5EF8" w:rsidRPr="00B45953" w:rsidRDefault="00CF5EF8" w:rsidP="00CF5EF8">
      <w:pPr>
        <w:pStyle w:val="Default"/>
        <w:rPr>
          <w:sz w:val="22"/>
          <w:szCs w:val="22"/>
          <w:lang w:val="pl-PL"/>
        </w:rPr>
      </w:pPr>
      <w:r w:rsidRPr="00B45953">
        <w:rPr>
          <w:i/>
          <w:iCs/>
          <w:sz w:val="22"/>
          <w:szCs w:val="22"/>
          <w:lang w:val="pl-PL"/>
        </w:rPr>
        <w:t xml:space="preserve">Zaburzenia czynności wątroby </w:t>
      </w:r>
    </w:p>
    <w:p w14:paraId="34B85053" w14:textId="77777777" w:rsidR="00CF5EF8" w:rsidRPr="00B45953" w:rsidRDefault="00CF5EF8" w:rsidP="00CF5EF8">
      <w:pPr>
        <w:pStyle w:val="Default"/>
        <w:rPr>
          <w:sz w:val="22"/>
          <w:szCs w:val="22"/>
          <w:lang w:val="pl-PL"/>
        </w:rPr>
      </w:pPr>
      <w:r w:rsidRPr="00B45953">
        <w:rPr>
          <w:sz w:val="22"/>
          <w:szCs w:val="22"/>
          <w:lang w:val="pl-PL"/>
        </w:rPr>
        <w:t xml:space="preserve">Zaburzenia czynności wątroby (w tym zapalenie wątroby) po zastosowaniu wildagliptyny zgłaszano rzadko. W przypadkach tych, przebiegały one zazwyczaj bezobjawowo, bez następstw klinicznych, a wyniki prób czynnościowych wątroby wracały do normy po zaprzestaniu leczenia. W kontrolowanych, trwających do 24 tygodni badaniach, w których produkt leczniczy stosowano w monoterapii lub w skojarzeniu z innymi produktami leczniczymi, częstość zwiększenia AlAT lub AspAT przekraczająca trzy lub więcej razy górną granicę normy (stwierdzona w trakcie co najmniej 2 kolejnych pomiarów lub ostatniej wizyty w czasie leczenia) wynosiła odpowiednio 0,2%, 0,3% i 0,2% dla wildagliptyny w dawce 50 mg raz na dobę, wildagliptyny w dawce 50 mg dwa razy na dobę i wszystkich leków porównywanych. Te zwiększenia aktywności aminotransferaz były zazwyczaj bezobjawowe, z natury niepostępujące i niezwiązane z cholestazą ani żółtaczką. </w:t>
      </w:r>
    </w:p>
    <w:p w14:paraId="4E3AD97E" w14:textId="77777777" w:rsidR="003F4393" w:rsidRDefault="003F4393" w:rsidP="00CF5EF8">
      <w:pPr>
        <w:pStyle w:val="Default"/>
        <w:rPr>
          <w:i/>
          <w:iCs/>
          <w:sz w:val="22"/>
          <w:szCs w:val="22"/>
          <w:lang w:val="pl-PL"/>
        </w:rPr>
      </w:pPr>
    </w:p>
    <w:p w14:paraId="1DEE5BCB" w14:textId="1AD73C8E" w:rsidR="00CF5EF8" w:rsidRPr="00B45953" w:rsidRDefault="00CF5EF8" w:rsidP="00CF5EF8">
      <w:pPr>
        <w:pStyle w:val="Default"/>
        <w:rPr>
          <w:sz w:val="22"/>
          <w:szCs w:val="22"/>
          <w:lang w:val="pl-PL"/>
        </w:rPr>
      </w:pPr>
      <w:r w:rsidRPr="00B45953">
        <w:rPr>
          <w:i/>
          <w:iCs/>
          <w:sz w:val="22"/>
          <w:szCs w:val="22"/>
          <w:lang w:val="pl-PL"/>
        </w:rPr>
        <w:t xml:space="preserve">Obrzęk naczynioruchowy </w:t>
      </w:r>
    </w:p>
    <w:p w14:paraId="5C4433D7" w14:textId="77777777" w:rsidR="00CF5EF8" w:rsidRPr="00B45953" w:rsidRDefault="00CF5EF8" w:rsidP="00CF5EF8">
      <w:pPr>
        <w:pStyle w:val="Default"/>
        <w:rPr>
          <w:sz w:val="22"/>
          <w:szCs w:val="22"/>
          <w:lang w:val="pl-PL"/>
        </w:rPr>
      </w:pPr>
      <w:r w:rsidRPr="00B45953">
        <w:rPr>
          <w:sz w:val="22"/>
          <w:szCs w:val="22"/>
          <w:lang w:val="pl-PL"/>
        </w:rPr>
        <w:t xml:space="preserve">Podczas przyjmowania wildagliptyny rzadko zgłaszano przypadki obrzęku naczynioruchowego, występujące z częstością podobną do grupy kontrolnej. Większy odsetek tych objawów zgłaszano, gdy wildagliptynę podawano w skojarzeniu z inhibitorem ACE. Większość zdarzeń miała charakter łagodny i ustępowała w czasie leczenia wildagliptyną. </w:t>
      </w:r>
    </w:p>
    <w:p w14:paraId="2B1B05CD" w14:textId="77777777" w:rsidR="003F4393" w:rsidRDefault="003F4393" w:rsidP="00CF5EF8">
      <w:pPr>
        <w:pStyle w:val="Default"/>
        <w:rPr>
          <w:i/>
          <w:iCs/>
          <w:sz w:val="22"/>
          <w:szCs w:val="22"/>
          <w:lang w:val="pl-PL"/>
        </w:rPr>
      </w:pPr>
    </w:p>
    <w:p w14:paraId="3F85A8AE" w14:textId="63F78E4D" w:rsidR="00CF5EF8" w:rsidRPr="00B45953" w:rsidRDefault="00CF5EF8" w:rsidP="00CF5EF8">
      <w:pPr>
        <w:pStyle w:val="Default"/>
        <w:rPr>
          <w:sz w:val="22"/>
          <w:szCs w:val="22"/>
          <w:lang w:val="pl-PL"/>
        </w:rPr>
      </w:pPr>
      <w:r w:rsidRPr="00B45953">
        <w:rPr>
          <w:i/>
          <w:iCs/>
          <w:sz w:val="22"/>
          <w:szCs w:val="22"/>
          <w:lang w:val="pl-PL"/>
        </w:rPr>
        <w:t xml:space="preserve">Hipoglikemia </w:t>
      </w:r>
    </w:p>
    <w:p w14:paraId="05A4F26E" w14:textId="77777777" w:rsidR="00CF5EF8" w:rsidRPr="00B45953" w:rsidRDefault="00CF5EF8" w:rsidP="00CF5EF8">
      <w:pPr>
        <w:pStyle w:val="Default"/>
        <w:rPr>
          <w:sz w:val="22"/>
          <w:szCs w:val="22"/>
          <w:lang w:val="pl-PL"/>
        </w:rPr>
      </w:pPr>
      <w:r w:rsidRPr="00B45953">
        <w:rPr>
          <w:sz w:val="22"/>
          <w:szCs w:val="22"/>
          <w:lang w:val="pl-PL"/>
        </w:rPr>
        <w:t xml:space="preserve">Hipoglikemia występowała niezbyt często, gdy wildagliptynę (0,4%) stosowano w monoterapii w porównawczych badaniach z monoterapią kontrolowanych substancją czynną lub placebo (0,2%). Nie zgłoszono ciężkich lub poważnych zdarzeń hipoglikemii. Gdy wildagliptynę stosowano w skojarzeniu </w:t>
      </w:r>
      <w:r w:rsidRPr="00B45953">
        <w:rPr>
          <w:sz w:val="22"/>
          <w:szCs w:val="22"/>
          <w:lang w:val="pl-PL"/>
        </w:rPr>
        <w:lastRenderedPageBreak/>
        <w:t xml:space="preserve">z metforminą, hipoglikemia wystąpiła u 1% pacjentów leczonych wildagliptyną i u 0,4% pacjentów otrzymujących placebo. Po dodaniu pioglitazonu hipoglikemia wystąpiła u 0,6% pacjentów leczonych wildagliptyną i u 1,9% pacjentów otrzymujących placebo. Po dodaniu sulfonylomocznika hipoglikemia wystąpiła u 1,2% pacjentów leczonych wildagliptyną i u 0,6% pacjentów otrzymujących placebo. Po dodaniu sulfonylomocznika i metforminy, hipoglikemia wystąpiła u 5,1% pacjentów leczonych wildagliptyną i u 1,9% pacjentów otrzymujących placebo. U pacjentów przyjmujących wildagliptynę w skojarzeniu z insuliną częstość występowania hipoglikemii wyniosła 14% dla wildagliptyny i 16% dla placebo. </w:t>
      </w:r>
    </w:p>
    <w:p w14:paraId="38CF0C66" w14:textId="77777777" w:rsidR="00687E4A" w:rsidRDefault="00687E4A" w:rsidP="00CF5EF8">
      <w:pPr>
        <w:pStyle w:val="Default"/>
        <w:rPr>
          <w:i/>
          <w:iCs/>
          <w:sz w:val="22"/>
          <w:szCs w:val="22"/>
          <w:lang w:val="pl-PL"/>
        </w:rPr>
      </w:pPr>
    </w:p>
    <w:p w14:paraId="23F529EC" w14:textId="41CB8C38" w:rsidR="00CF5EF8" w:rsidRPr="00B45953" w:rsidRDefault="00CF5EF8" w:rsidP="00CF5EF8">
      <w:pPr>
        <w:pStyle w:val="Default"/>
        <w:rPr>
          <w:sz w:val="22"/>
          <w:szCs w:val="22"/>
          <w:u w:val="single"/>
          <w:lang w:val="pl-PL"/>
        </w:rPr>
      </w:pPr>
      <w:r w:rsidRPr="00B45953">
        <w:rPr>
          <w:i/>
          <w:iCs/>
          <w:sz w:val="22"/>
          <w:szCs w:val="22"/>
          <w:u w:val="single"/>
          <w:lang w:val="pl-PL"/>
        </w:rPr>
        <w:t xml:space="preserve">Metformina </w:t>
      </w:r>
    </w:p>
    <w:p w14:paraId="0F5612E9" w14:textId="77777777" w:rsidR="00CF5EF8" w:rsidRPr="00B45953" w:rsidRDefault="00CF5EF8" w:rsidP="00CF5EF8">
      <w:pPr>
        <w:pStyle w:val="Default"/>
        <w:rPr>
          <w:sz w:val="22"/>
          <w:szCs w:val="22"/>
          <w:lang w:val="pl-PL"/>
        </w:rPr>
      </w:pPr>
      <w:r w:rsidRPr="00B45953">
        <w:rPr>
          <w:i/>
          <w:iCs/>
          <w:sz w:val="22"/>
          <w:szCs w:val="22"/>
          <w:lang w:val="pl-PL"/>
        </w:rPr>
        <w:t xml:space="preserve">Zmniejszenie wchłaniania witaminy B12 </w:t>
      </w:r>
    </w:p>
    <w:p w14:paraId="742035C1" w14:textId="77777777" w:rsidR="00CF5EF8" w:rsidRPr="00B45953" w:rsidRDefault="00CF5EF8" w:rsidP="00CF5EF8">
      <w:pPr>
        <w:pStyle w:val="Default"/>
        <w:rPr>
          <w:sz w:val="22"/>
          <w:szCs w:val="22"/>
          <w:lang w:val="pl-PL"/>
        </w:rPr>
      </w:pPr>
      <w:r w:rsidRPr="00B45953">
        <w:rPr>
          <w:sz w:val="22"/>
          <w:szCs w:val="22"/>
          <w:lang w:val="pl-PL"/>
        </w:rPr>
        <w:t>U pacjentów leczonych przewlekle metforminą bardzo rzadko obserwowano zmniejszenie wchłaniania witaminy B</w:t>
      </w:r>
      <w:r w:rsidRPr="00B45953">
        <w:rPr>
          <w:sz w:val="14"/>
          <w:szCs w:val="14"/>
          <w:lang w:val="pl-PL"/>
        </w:rPr>
        <w:t xml:space="preserve">12 </w:t>
      </w:r>
      <w:r w:rsidRPr="00B45953">
        <w:rPr>
          <w:sz w:val="22"/>
          <w:szCs w:val="22"/>
          <w:lang w:val="pl-PL"/>
        </w:rPr>
        <w:t xml:space="preserve">wraz ze zmniejszeniem jej stężenia w surowicy. Należy wziąć pod uwagę te działania jako czynnik etiologiczny ewentualnej niedokrwistości megaloblastycznej. </w:t>
      </w:r>
    </w:p>
    <w:p w14:paraId="7F093A76" w14:textId="77777777" w:rsidR="00687E4A" w:rsidRDefault="00687E4A" w:rsidP="00CF5EF8">
      <w:pPr>
        <w:pStyle w:val="Default"/>
        <w:rPr>
          <w:i/>
          <w:iCs/>
          <w:sz w:val="22"/>
          <w:szCs w:val="22"/>
          <w:lang w:val="pl-PL"/>
        </w:rPr>
      </w:pPr>
    </w:p>
    <w:p w14:paraId="12BB2766" w14:textId="67C80233" w:rsidR="00CF5EF8" w:rsidRPr="00B45953" w:rsidRDefault="00CF5EF8" w:rsidP="00CF5EF8">
      <w:pPr>
        <w:pStyle w:val="Default"/>
        <w:rPr>
          <w:sz w:val="22"/>
          <w:szCs w:val="22"/>
          <w:lang w:val="pl-PL"/>
        </w:rPr>
      </w:pPr>
      <w:r w:rsidRPr="00B45953">
        <w:rPr>
          <w:i/>
          <w:iCs/>
          <w:sz w:val="22"/>
          <w:szCs w:val="22"/>
          <w:lang w:val="pl-PL"/>
        </w:rPr>
        <w:t xml:space="preserve">Czynność wątroby </w:t>
      </w:r>
    </w:p>
    <w:p w14:paraId="30E33851" w14:textId="77777777" w:rsidR="00CF5EF8" w:rsidRPr="00B45953" w:rsidRDefault="00CF5EF8" w:rsidP="00CF5EF8">
      <w:pPr>
        <w:pStyle w:val="Default"/>
        <w:rPr>
          <w:sz w:val="22"/>
          <w:szCs w:val="22"/>
          <w:lang w:val="pl-PL"/>
        </w:rPr>
      </w:pPr>
      <w:r w:rsidRPr="00B45953">
        <w:rPr>
          <w:sz w:val="22"/>
          <w:szCs w:val="22"/>
          <w:lang w:val="pl-PL"/>
        </w:rPr>
        <w:t xml:space="preserve">Zgłaszano pojedyncze przypadki nieprawidłowych wyników prób czynnościowych wątroby lub zapalenia wątroby, które ustępowały po przerwaniu leczenia metforminą. </w:t>
      </w:r>
    </w:p>
    <w:p w14:paraId="317F3D2D" w14:textId="77777777" w:rsidR="00687E4A" w:rsidRDefault="00687E4A" w:rsidP="00CF5EF8">
      <w:pPr>
        <w:pStyle w:val="Default"/>
        <w:rPr>
          <w:i/>
          <w:iCs/>
          <w:sz w:val="22"/>
          <w:szCs w:val="22"/>
          <w:lang w:val="pl-PL"/>
        </w:rPr>
      </w:pPr>
    </w:p>
    <w:p w14:paraId="17F4411D" w14:textId="7CE67E11" w:rsidR="00CF5EF8" w:rsidRPr="00B45953" w:rsidRDefault="00CF5EF8" w:rsidP="00CF5EF8">
      <w:pPr>
        <w:pStyle w:val="Default"/>
        <w:rPr>
          <w:sz w:val="22"/>
          <w:szCs w:val="22"/>
          <w:lang w:val="pl-PL"/>
        </w:rPr>
      </w:pPr>
      <w:r w:rsidRPr="00B45953">
        <w:rPr>
          <w:i/>
          <w:iCs/>
          <w:sz w:val="22"/>
          <w:szCs w:val="22"/>
          <w:lang w:val="pl-PL"/>
        </w:rPr>
        <w:t xml:space="preserve">Zaburzenia żołądka i jelit </w:t>
      </w:r>
    </w:p>
    <w:p w14:paraId="08150583" w14:textId="1072A62B" w:rsidR="00CF5EF8" w:rsidRDefault="00CF5EF8" w:rsidP="00B45953">
      <w:pPr>
        <w:keepNext/>
        <w:widowControl w:val="0"/>
        <w:ind w:left="0" w:firstLine="0"/>
        <w:rPr>
          <w:noProof/>
          <w:szCs w:val="22"/>
          <w:u w:val="single"/>
        </w:rPr>
      </w:pPr>
      <w:r>
        <w:rPr>
          <w:szCs w:val="22"/>
        </w:rPr>
        <w:t>Działania niepożądane ze strony żołądka i jelit występują najczęściej w czasie rozpoczynania leczenia i w większości przypadków ustępują spontanicznie. W celu zapobieżenia ich występowaniu, zaleca się przyjmowanie metforminy 2 razy na dobę podczas posiłków lub po posiłku. Powolne zwiększanie dawki może także poprawić tolerancję leczenia przez układ pokarmowy.</w:t>
      </w:r>
    </w:p>
    <w:p w14:paraId="38339170" w14:textId="77777777" w:rsidR="00687E4A" w:rsidRDefault="00687E4A" w:rsidP="004C760F">
      <w:pPr>
        <w:keepNext/>
        <w:widowControl w:val="0"/>
        <w:rPr>
          <w:noProof/>
          <w:szCs w:val="22"/>
          <w:u w:val="single"/>
        </w:rPr>
      </w:pPr>
    </w:p>
    <w:p w14:paraId="706B5DC8" w14:textId="58F132B8" w:rsidR="00122DB1" w:rsidRDefault="00122DB1" w:rsidP="004C760F">
      <w:pPr>
        <w:keepNext/>
        <w:widowControl w:val="0"/>
        <w:rPr>
          <w:noProof/>
          <w:szCs w:val="22"/>
          <w:u w:val="single"/>
        </w:rPr>
      </w:pPr>
      <w:r w:rsidRPr="00440C66">
        <w:rPr>
          <w:noProof/>
          <w:szCs w:val="22"/>
          <w:u w:val="single"/>
        </w:rPr>
        <w:t>Zgłaszanie podejrzewanych działań niepożądanych</w:t>
      </w:r>
    </w:p>
    <w:p w14:paraId="61F9A862" w14:textId="77777777" w:rsidR="00366790" w:rsidRPr="00837913" w:rsidRDefault="00366790" w:rsidP="004C760F">
      <w:pPr>
        <w:keepNext/>
        <w:widowControl w:val="0"/>
        <w:rPr>
          <w:szCs w:val="22"/>
        </w:rPr>
      </w:pPr>
    </w:p>
    <w:p w14:paraId="41BD92A4" w14:textId="77777777" w:rsidR="00C8305C" w:rsidRPr="00440C66" w:rsidRDefault="00122DB1" w:rsidP="004C760F">
      <w:pPr>
        <w:widowControl w:val="0"/>
        <w:ind w:left="0" w:firstLine="0"/>
        <w:rPr>
          <w:szCs w:val="22"/>
        </w:rPr>
      </w:pPr>
      <w:r w:rsidRPr="00440C66">
        <w:rPr>
          <w:noProof/>
          <w:szCs w:val="22"/>
        </w:rPr>
        <w:t>Po dopuszczeniu produktu leczniczego do obrotu istotne jest zgłaszanie podejrzewanych działań niepożądanych.</w:t>
      </w:r>
      <w:r w:rsidRPr="00440C66">
        <w:rPr>
          <w:szCs w:val="22"/>
        </w:rPr>
        <w:t xml:space="preserve"> </w:t>
      </w:r>
      <w:r w:rsidRPr="00440C66">
        <w:rPr>
          <w:noProof/>
          <w:szCs w:val="22"/>
        </w:rPr>
        <w:t>Umożliwia to nieprzerwane monitorowanie stosunku korzyści do ryzyka stosowania produktu leczniczego.</w:t>
      </w:r>
      <w:r w:rsidRPr="00440C66">
        <w:rPr>
          <w:szCs w:val="22"/>
        </w:rPr>
        <w:t xml:space="preserve"> </w:t>
      </w:r>
      <w:r w:rsidRPr="00440C66">
        <w:rPr>
          <w:noProof/>
          <w:szCs w:val="22"/>
        </w:rPr>
        <w:t>Osoby należące do fachowego personelu medycznego powinny zgłaszać wszelkie podejrzewane działania niepożądane</w:t>
      </w:r>
      <w:r w:rsidRPr="00440C66" w:rsidDel="00B5162A">
        <w:rPr>
          <w:color w:val="00B050"/>
          <w:szCs w:val="22"/>
        </w:rPr>
        <w:t xml:space="preserve"> </w:t>
      </w:r>
      <w:r w:rsidRPr="001C2341">
        <w:rPr>
          <w:szCs w:val="22"/>
        </w:rPr>
        <w:t>za pośrednictwem</w:t>
      </w:r>
      <w:r w:rsidRPr="00440C66">
        <w:rPr>
          <w:szCs w:val="22"/>
          <w:shd w:val="pct15" w:color="auto" w:fill="auto"/>
        </w:rPr>
        <w:t xml:space="preserve"> krajowego systemu zgłaszania wymienionego w </w:t>
      </w:r>
      <w:hyperlink r:id="rId12" w:history="1">
        <w:r w:rsidRPr="00440C66">
          <w:rPr>
            <w:rStyle w:val="Hyperlink"/>
            <w:shd w:val="pct15" w:color="auto" w:fill="auto"/>
          </w:rPr>
          <w:t>załączniku V</w:t>
        </w:r>
      </w:hyperlink>
      <w:r w:rsidRPr="00440C66">
        <w:rPr>
          <w:szCs w:val="22"/>
        </w:rPr>
        <w:t>.</w:t>
      </w:r>
    </w:p>
    <w:p w14:paraId="20AF6BA8" w14:textId="77777777" w:rsidR="00122DB1" w:rsidRPr="00440C66" w:rsidRDefault="00122DB1" w:rsidP="004C760F">
      <w:pPr>
        <w:widowControl w:val="0"/>
        <w:ind w:left="0" w:firstLine="0"/>
      </w:pPr>
    </w:p>
    <w:p w14:paraId="04C1C9DA" w14:textId="77777777" w:rsidR="008A2514" w:rsidRPr="00440C66" w:rsidRDefault="008A2514" w:rsidP="004C760F">
      <w:pPr>
        <w:keepNext/>
        <w:widowControl w:val="0"/>
        <w:rPr>
          <w:b/>
        </w:rPr>
      </w:pPr>
      <w:r w:rsidRPr="00440C66">
        <w:rPr>
          <w:b/>
        </w:rPr>
        <w:t>4.9</w:t>
      </w:r>
      <w:r w:rsidRPr="00440C66">
        <w:rPr>
          <w:b/>
        </w:rPr>
        <w:tab/>
        <w:t>Przedawkowanie</w:t>
      </w:r>
    </w:p>
    <w:p w14:paraId="19695E0E" w14:textId="77777777" w:rsidR="008A2514" w:rsidRPr="00440C66" w:rsidRDefault="008A2514" w:rsidP="004C760F">
      <w:pPr>
        <w:keepNext/>
        <w:widowControl w:val="0"/>
      </w:pPr>
    </w:p>
    <w:p w14:paraId="7A49F8DA" w14:textId="3C823253" w:rsidR="001C216C" w:rsidRPr="00440C66" w:rsidRDefault="001C216C" w:rsidP="00FC35A4">
      <w:pPr>
        <w:widowControl w:val="0"/>
        <w:ind w:left="0" w:firstLine="0"/>
      </w:pPr>
      <w:r w:rsidRPr="00440C66">
        <w:t xml:space="preserve">Brak danych dotyczących przedawkowania </w:t>
      </w:r>
      <w:r w:rsidR="00070C89">
        <w:t>produktu</w:t>
      </w:r>
      <w:r w:rsidR="00070C89" w:rsidRPr="00070C89">
        <w:t xml:space="preserve"> Vildagliptin/Metformin hydrochloride Accord</w:t>
      </w:r>
      <w:r w:rsidRPr="00440C66">
        <w:t>.</w:t>
      </w:r>
    </w:p>
    <w:p w14:paraId="02DCC520" w14:textId="77777777" w:rsidR="001C216C" w:rsidRPr="00440C66" w:rsidRDefault="001C216C" w:rsidP="004C760F">
      <w:pPr>
        <w:widowControl w:val="0"/>
        <w:rPr>
          <w:i/>
        </w:rPr>
      </w:pPr>
    </w:p>
    <w:p w14:paraId="6A830EE6" w14:textId="77777777" w:rsidR="00591941" w:rsidRDefault="00591941" w:rsidP="004C760F">
      <w:pPr>
        <w:keepNext/>
        <w:widowControl w:val="0"/>
        <w:rPr>
          <w:u w:val="single"/>
        </w:rPr>
      </w:pPr>
      <w:r w:rsidRPr="00954256">
        <w:rPr>
          <w:u w:val="single"/>
        </w:rPr>
        <w:t>Wildagliptyna</w:t>
      </w:r>
    </w:p>
    <w:p w14:paraId="40DF8930" w14:textId="77777777" w:rsidR="007E78DE" w:rsidRPr="00837913" w:rsidRDefault="007E78DE" w:rsidP="004C760F">
      <w:pPr>
        <w:keepNext/>
        <w:widowControl w:val="0"/>
      </w:pPr>
    </w:p>
    <w:p w14:paraId="5A9EDC0A" w14:textId="77777777" w:rsidR="00591941" w:rsidRPr="00440C66" w:rsidRDefault="008A71F4" w:rsidP="004C760F">
      <w:pPr>
        <w:widowControl w:val="0"/>
        <w:ind w:left="0" w:firstLine="0"/>
      </w:pPr>
      <w:r w:rsidRPr="00440C66">
        <w:t>Informacje dotyczące</w:t>
      </w:r>
      <w:r w:rsidR="00591941" w:rsidRPr="00440C66">
        <w:t xml:space="preserve"> przedawkowania </w:t>
      </w:r>
      <w:r w:rsidRPr="00440C66">
        <w:t>wildagliptyny są ograniczone</w:t>
      </w:r>
      <w:r w:rsidR="00591941" w:rsidRPr="00440C66">
        <w:t>.</w:t>
      </w:r>
    </w:p>
    <w:p w14:paraId="25727075" w14:textId="77777777" w:rsidR="00C37763" w:rsidRPr="001C2341" w:rsidRDefault="00C37763" w:rsidP="004C760F">
      <w:pPr>
        <w:keepNext/>
        <w:widowControl w:val="0"/>
        <w:ind w:left="0" w:firstLine="0"/>
        <w:rPr>
          <w:i/>
          <w:u w:val="single"/>
        </w:rPr>
      </w:pPr>
      <w:r w:rsidRPr="001C2341">
        <w:rPr>
          <w:i/>
          <w:u w:val="single"/>
        </w:rPr>
        <w:t>Objawy</w:t>
      </w:r>
    </w:p>
    <w:p w14:paraId="3250F4D3" w14:textId="25E1B36F" w:rsidR="008A2514" w:rsidRPr="00440C66" w:rsidRDefault="008A2514" w:rsidP="004C760F">
      <w:pPr>
        <w:widowControl w:val="0"/>
        <w:ind w:left="0" w:firstLine="0"/>
      </w:pPr>
      <w:r w:rsidRPr="00440C66">
        <w:t xml:space="preserve">Informacje o prawdopodobnych objawach przedawkowania </w:t>
      </w:r>
      <w:r w:rsidR="00591941" w:rsidRPr="00440C66">
        <w:t xml:space="preserve">wildagliptyny </w:t>
      </w:r>
      <w:r w:rsidRPr="00440C66">
        <w:t xml:space="preserve">pochodzą z badania tolerancji </w:t>
      </w:r>
      <w:r w:rsidR="00591941" w:rsidRPr="00440C66">
        <w:t>wildagliptyny</w:t>
      </w:r>
      <w:r w:rsidRPr="00440C66">
        <w:t xml:space="preserve"> </w:t>
      </w:r>
      <w:r w:rsidR="00D912E5" w:rsidRPr="00440C66">
        <w:t xml:space="preserve">podawanej w coraz większych dawkach </w:t>
      </w:r>
      <w:r w:rsidR="008A71F4" w:rsidRPr="00440C66">
        <w:t>osobom zdrowym przez 10 </w:t>
      </w:r>
      <w:r w:rsidRPr="00440C66">
        <w:t>dn</w:t>
      </w:r>
      <w:r w:rsidR="008A71F4" w:rsidRPr="00440C66">
        <w:t xml:space="preserve">i. </w:t>
      </w:r>
      <w:r w:rsidR="00D912E5" w:rsidRPr="00440C66">
        <w:t>W</w:t>
      </w:r>
      <w:r w:rsidR="00A21B39">
        <w:t> </w:t>
      </w:r>
      <w:r w:rsidR="00D912E5" w:rsidRPr="00440C66">
        <w:t>przypadku stosowania dawki</w:t>
      </w:r>
      <w:r w:rsidR="008A71F4" w:rsidRPr="00440C66">
        <w:t xml:space="preserve"> 400 </w:t>
      </w:r>
      <w:r w:rsidRPr="00440C66">
        <w:t xml:space="preserve">mg odnotowano trzy przypadki bólu mięśni oraz pojedyncze przypadki łagodnych i przemijających parestezji, gorączki, obrzęku oraz </w:t>
      </w:r>
      <w:r w:rsidR="008A71F4" w:rsidRPr="00440C66">
        <w:t>przemijającego</w:t>
      </w:r>
      <w:r w:rsidRPr="00440C66">
        <w:t xml:space="preserve"> </w:t>
      </w:r>
      <w:r w:rsidR="008A71F4" w:rsidRPr="00440C66">
        <w:t>zwiększenia</w:t>
      </w:r>
      <w:r w:rsidRPr="00440C66">
        <w:t xml:space="preserve"> </w:t>
      </w:r>
      <w:r w:rsidR="008A71F4" w:rsidRPr="00440C66">
        <w:t xml:space="preserve">stężenia lipazy. </w:t>
      </w:r>
      <w:r w:rsidR="00D912E5" w:rsidRPr="00440C66">
        <w:t>W przypadku stosowania dawki</w:t>
      </w:r>
      <w:r w:rsidR="008A71F4" w:rsidRPr="00440C66">
        <w:t xml:space="preserve"> 600 </w:t>
      </w:r>
      <w:r w:rsidRPr="00440C66">
        <w:t xml:space="preserve">mg, u jednej osoby wystąpił obrzęk stóp i dłoni oraz </w:t>
      </w:r>
      <w:r w:rsidR="008A71F4" w:rsidRPr="00440C66">
        <w:t>zwiększenie</w:t>
      </w:r>
      <w:r w:rsidRPr="00440C66">
        <w:t xml:space="preserve"> aktywności kinazy kreatynowej (CPK), </w:t>
      </w:r>
      <w:r w:rsidR="008A71F4" w:rsidRPr="00440C66">
        <w:t>AspA</w:t>
      </w:r>
      <w:r w:rsidRPr="00440C66">
        <w:t xml:space="preserve">T, </w:t>
      </w:r>
      <w:r w:rsidR="00D774F6" w:rsidRPr="00440C66">
        <w:t xml:space="preserve">stężenia </w:t>
      </w:r>
      <w:r w:rsidRPr="00440C66">
        <w:t>białka C-reaktywnego (CRP) oraz stężenia mioglobiny</w:t>
      </w:r>
      <w:r w:rsidR="00D774F6" w:rsidRPr="00440C66">
        <w:t>. U</w:t>
      </w:r>
      <w:r w:rsidRPr="00440C66">
        <w:t xml:space="preserve"> trzech innych osób obserwowano obrzęk stóp</w:t>
      </w:r>
      <w:r w:rsidR="00D774F6" w:rsidRPr="00440C66">
        <w:t>, w tym</w:t>
      </w:r>
      <w:r w:rsidRPr="00440C66">
        <w:t xml:space="preserve"> parestezj</w:t>
      </w:r>
      <w:r w:rsidR="00D774F6" w:rsidRPr="00440C66">
        <w:t>e</w:t>
      </w:r>
      <w:r w:rsidRPr="00440C66">
        <w:t xml:space="preserve"> w</w:t>
      </w:r>
      <w:r w:rsidR="00A21B39">
        <w:t> </w:t>
      </w:r>
      <w:r w:rsidRPr="00440C66">
        <w:t xml:space="preserve">dwóch przypadkach. Wszystkie objawy i nieprawidłowe wyniki badań laboratoryjnych ustąpiły </w:t>
      </w:r>
      <w:r w:rsidR="00591941" w:rsidRPr="00440C66">
        <w:t>po odstawieniu</w:t>
      </w:r>
      <w:r w:rsidRPr="00440C66">
        <w:t xml:space="preserve"> badanego</w:t>
      </w:r>
      <w:r w:rsidR="00591941" w:rsidRPr="00440C66">
        <w:t xml:space="preserve"> produktu leczniczego</w:t>
      </w:r>
      <w:r w:rsidR="00D774F6" w:rsidRPr="00440C66">
        <w:t xml:space="preserve"> bez konieczności leczenia</w:t>
      </w:r>
      <w:r w:rsidRPr="00440C66">
        <w:t>.</w:t>
      </w:r>
    </w:p>
    <w:p w14:paraId="66CCFE98" w14:textId="77777777" w:rsidR="008A2514" w:rsidRPr="00440C66" w:rsidRDefault="008A2514" w:rsidP="004C760F">
      <w:pPr>
        <w:widowControl w:val="0"/>
        <w:ind w:left="0" w:firstLine="0"/>
      </w:pPr>
    </w:p>
    <w:p w14:paraId="614FF30B" w14:textId="77777777" w:rsidR="00591941" w:rsidRDefault="00591941" w:rsidP="004C760F">
      <w:pPr>
        <w:keepNext/>
        <w:widowControl w:val="0"/>
        <w:ind w:left="0" w:firstLine="0"/>
        <w:rPr>
          <w:u w:val="single"/>
        </w:rPr>
      </w:pPr>
      <w:r w:rsidRPr="00954256">
        <w:rPr>
          <w:u w:val="single"/>
        </w:rPr>
        <w:t>Metformina</w:t>
      </w:r>
    </w:p>
    <w:p w14:paraId="532BE76E" w14:textId="77777777" w:rsidR="007E78DE" w:rsidRPr="00954256" w:rsidRDefault="007E78DE" w:rsidP="004C760F">
      <w:pPr>
        <w:keepNext/>
        <w:widowControl w:val="0"/>
        <w:ind w:left="0" w:firstLine="0"/>
        <w:rPr>
          <w:u w:val="single"/>
        </w:rPr>
      </w:pPr>
    </w:p>
    <w:p w14:paraId="565A3928" w14:textId="77777777" w:rsidR="00591941" w:rsidRPr="00440C66" w:rsidRDefault="005C44A2" w:rsidP="004C760F">
      <w:pPr>
        <w:widowControl w:val="0"/>
        <w:ind w:left="0" w:firstLine="0"/>
      </w:pPr>
      <w:r w:rsidRPr="00440C66">
        <w:t>Znaczne przedawkowanie metforminy (lub współistniejące ryzyko wystąpienia kwasicy mleczanowej) może prowadzić do wystąpienia kwasicy mleczanowej, która jest stanem zagrożenia wymagającym hospitalizacji.</w:t>
      </w:r>
    </w:p>
    <w:p w14:paraId="5E4F9756" w14:textId="77777777" w:rsidR="00591941" w:rsidRPr="00440C66" w:rsidRDefault="00591941" w:rsidP="004C760F">
      <w:pPr>
        <w:widowControl w:val="0"/>
        <w:ind w:left="0" w:firstLine="0"/>
      </w:pPr>
    </w:p>
    <w:p w14:paraId="2E6D95FC" w14:textId="77777777" w:rsidR="008A2514" w:rsidRPr="001C2341" w:rsidRDefault="008A2514" w:rsidP="004C760F">
      <w:pPr>
        <w:keepNext/>
        <w:widowControl w:val="0"/>
        <w:ind w:left="0" w:firstLine="0"/>
        <w:rPr>
          <w:i/>
          <w:u w:val="single"/>
        </w:rPr>
      </w:pPr>
      <w:r w:rsidRPr="001C2341">
        <w:rPr>
          <w:i/>
          <w:u w:val="single"/>
        </w:rPr>
        <w:lastRenderedPageBreak/>
        <w:t>Postępowanie</w:t>
      </w:r>
    </w:p>
    <w:p w14:paraId="3D1FB2EC" w14:textId="77777777" w:rsidR="008A2514" w:rsidRPr="00440C66" w:rsidRDefault="00C1654F" w:rsidP="004C760F">
      <w:pPr>
        <w:widowControl w:val="0"/>
        <w:ind w:left="0" w:firstLine="0"/>
      </w:pPr>
      <w:r w:rsidRPr="00440C66">
        <w:t>Najskuteczniejszą metodą usunięcia metforminy z ustroju jest hemodializa. Jednak w</w:t>
      </w:r>
      <w:r w:rsidR="008A2514" w:rsidRPr="00440C66">
        <w:t xml:space="preserve">ildagliptyny nie można usunąć z </w:t>
      </w:r>
      <w:r w:rsidR="00D774F6" w:rsidRPr="00440C66">
        <w:t xml:space="preserve">organizmu </w:t>
      </w:r>
      <w:r w:rsidR="008A2514" w:rsidRPr="00440C66">
        <w:t>za pomocą hemodializy</w:t>
      </w:r>
      <w:r w:rsidRPr="00440C66">
        <w:t>, natomiast jej</w:t>
      </w:r>
      <w:r w:rsidR="008A2514" w:rsidRPr="00440C66">
        <w:t xml:space="preserve"> główny metabolit będący produktem hydrolizy (LAY 151) może być usuwany z </w:t>
      </w:r>
      <w:r w:rsidR="00D774F6" w:rsidRPr="00440C66">
        <w:t xml:space="preserve">organizmu </w:t>
      </w:r>
      <w:r w:rsidR="008A2514" w:rsidRPr="00440C66">
        <w:t>podczas hemodializy. Zaleca się leczenie podtrzymujące.</w:t>
      </w:r>
    </w:p>
    <w:p w14:paraId="041FE16D" w14:textId="77777777" w:rsidR="008A2514" w:rsidRPr="00440C66" w:rsidRDefault="008A2514" w:rsidP="004C760F">
      <w:pPr>
        <w:widowControl w:val="0"/>
      </w:pPr>
    </w:p>
    <w:p w14:paraId="5617D655" w14:textId="77777777" w:rsidR="008A71F4" w:rsidRPr="00440C66" w:rsidRDefault="008A71F4" w:rsidP="004C760F">
      <w:pPr>
        <w:widowControl w:val="0"/>
      </w:pPr>
    </w:p>
    <w:p w14:paraId="6B865C82" w14:textId="77777777" w:rsidR="008A2514" w:rsidRPr="00440C66" w:rsidRDefault="008A2514" w:rsidP="004C760F">
      <w:pPr>
        <w:keepNext/>
        <w:widowControl w:val="0"/>
        <w:rPr>
          <w:b/>
        </w:rPr>
      </w:pPr>
      <w:r w:rsidRPr="00440C66">
        <w:rPr>
          <w:b/>
        </w:rPr>
        <w:t>5.</w:t>
      </w:r>
      <w:r w:rsidRPr="00440C66">
        <w:rPr>
          <w:b/>
        </w:rPr>
        <w:tab/>
        <w:t>WŁAŚCIWOŚCI FARMAKOLOGICZNE</w:t>
      </w:r>
    </w:p>
    <w:p w14:paraId="1C97DB11" w14:textId="77777777" w:rsidR="008A2514" w:rsidRPr="00440C66" w:rsidRDefault="008A2514" w:rsidP="004C760F">
      <w:pPr>
        <w:keepNext/>
        <w:widowControl w:val="0"/>
      </w:pPr>
    </w:p>
    <w:p w14:paraId="08BBEE20" w14:textId="77777777" w:rsidR="008A2514" w:rsidRPr="00440C66" w:rsidRDefault="008A2514" w:rsidP="004C760F">
      <w:pPr>
        <w:keepNext/>
        <w:widowControl w:val="0"/>
        <w:rPr>
          <w:b/>
        </w:rPr>
      </w:pPr>
      <w:r w:rsidRPr="00440C66">
        <w:rPr>
          <w:b/>
        </w:rPr>
        <w:t>5.1</w:t>
      </w:r>
      <w:r w:rsidRPr="00440C66">
        <w:rPr>
          <w:b/>
        </w:rPr>
        <w:tab/>
        <w:t>Właściwości farmakodynamiczne</w:t>
      </w:r>
    </w:p>
    <w:p w14:paraId="2CAAF806" w14:textId="77777777" w:rsidR="008A2514" w:rsidRPr="00440C66" w:rsidRDefault="008A2514" w:rsidP="004C760F">
      <w:pPr>
        <w:keepNext/>
        <w:widowControl w:val="0"/>
      </w:pPr>
    </w:p>
    <w:p w14:paraId="35F9D313" w14:textId="77777777" w:rsidR="008A2514" w:rsidRPr="00440C66" w:rsidRDefault="008A2514" w:rsidP="004C760F">
      <w:pPr>
        <w:keepNext/>
        <w:widowControl w:val="0"/>
        <w:ind w:left="0" w:firstLine="0"/>
      </w:pPr>
      <w:r w:rsidRPr="00440C66">
        <w:t xml:space="preserve">Grupa farmakoterapeutyczna: </w:t>
      </w:r>
      <w:r w:rsidR="00C37763" w:rsidRPr="00440C66">
        <w:t>Produkty lecznicze stosowane w leczeniu cukrzycy, z</w:t>
      </w:r>
      <w:r w:rsidR="00DC1F92" w:rsidRPr="00440C66">
        <w:t>ło</w:t>
      </w:r>
      <w:r w:rsidR="004319AD" w:rsidRPr="00440C66">
        <w:t>ż</w:t>
      </w:r>
      <w:r w:rsidR="00DC1F92" w:rsidRPr="00440C66">
        <w:t>one leki doustne</w:t>
      </w:r>
      <w:r w:rsidR="005666FB" w:rsidRPr="00440C66">
        <w:t xml:space="preserve">, </w:t>
      </w:r>
      <w:r w:rsidR="00AB7871" w:rsidRPr="00440C66">
        <w:t>zmniejszając</w:t>
      </w:r>
      <w:r w:rsidR="00DC1F92" w:rsidRPr="00440C66">
        <w:t>e</w:t>
      </w:r>
      <w:r w:rsidR="00AB7871" w:rsidRPr="00440C66">
        <w:t xml:space="preserve"> </w:t>
      </w:r>
      <w:r w:rsidRPr="00440C66">
        <w:t>stężenie glukozy we krwi,</w:t>
      </w:r>
      <w:r w:rsidR="004763D0" w:rsidRPr="00440C66">
        <w:t xml:space="preserve"> </w:t>
      </w:r>
      <w:r w:rsidRPr="00440C66">
        <w:t>kod ATC:</w:t>
      </w:r>
      <w:r w:rsidR="00F97CF6" w:rsidRPr="00440C66">
        <w:t xml:space="preserve"> A10BD08</w:t>
      </w:r>
    </w:p>
    <w:p w14:paraId="4C235206" w14:textId="77777777" w:rsidR="008A2514" w:rsidRPr="00440C66" w:rsidRDefault="008A2514" w:rsidP="004C760F">
      <w:pPr>
        <w:keepNext/>
        <w:widowControl w:val="0"/>
      </w:pPr>
    </w:p>
    <w:p w14:paraId="020E8D05" w14:textId="77777777" w:rsidR="00C37763" w:rsidRDefault="00C37763" w:rsidP="004C760F">
      <w:pPr>
        <w:keepNext/>
        <w:widowControl w:val="0"/>
        <w:ind w:left="0" w:firstLine="0"/>
        <w:rPr>
          <w:u w:val="single"/>
        </w:rPr>
      </w:pPr>
      <w:r w:rsidRPr="00440C66">
        <w:rPr>
          <w:u w:val="single"/>
        </w:rPr>
        <w:t>Mechanizm działania</w:t>
      </w:r>
    </w:p>
    <w:p w14:paraId="0344AE52" w14:textId="77777777" w:rsidR="007E78DE" w:rsidRPr="00440C66" w:rsidRDefault="007E78DE" w:rsidP="004C760F">
      <w:pPr>
        <w:keepNext/>
        <w:widowControl w:val="0"/>
        <w:ind w:left="0" w:firstLine="0"/>
        <w:rPr>
          <w:u w:val="single"/>
        </w:rPr>
      </w:pPr>
    </w:p>
    <w:p w14:paraId="7CE0276D" w14:textId="11526603" w:rsidR="00F33CC1" w:rsidRPr="00440C66" w:rsidRDefault="00070C89" w:rsidP="004C760F">
      <w:pPr>
        <w:widowControl w:val="0"/>
        <w:ind w:left="0" w:firstLine="0"/>
      </w:pPr>
      <w:r>
        <w:t>Produkt</w:t>
      </w:r>
      <w:r w:rsidRPr="00070C89">
        <w:t xml:space="preserve"> Vildagliptin/Metformin hydrochloride Accord</w:t>
      </w:r>
      <w:r w:rsidR="008230B0" w:rsidRPr="00440C66">
        <w:t xml:space="preserve"> </w:t>
      </w:r>
      <w:r>
        <w:t>zawiera</w:t>
      </w:r>
      <w:r w:rsidR="000B4960" w:rsidRPr="00440C66">
        <w:t xml:space="preserve"> dwie </w:t>
      </w:r>
      <w:r w:rsidR="00EC451F" w:rsidRPr="00440C66">
        <w:t>substancj</w:t>
      </w:r>
      <w:r w:rsidR="000B4960" w:rsidRPr="00440C66">
        <w:t>e</w:t>
      </w:r>
      <w:r w:rsidR="00EC451F" w:rsidRPr="00440C66">
        <w:t xml:space="preserve"> hipoglikemizując</w:t>
      </w:r>
      <w:r w:rsidR="000B4960" w:rsidRPr="00440C66">
        <w:t>e</w:t>
      </w:r>
      <w:r w:rsidR="008230B0" w:rsidRPr="00440C66">
        <w:t xml:space="preserve"> o uzupełniający</w:t>
      </w:r>
      <w:r w:rsidR="00EC451F" w:rsidRPr="00440C66">
        <w:t>ch się</w:t>
      </w:r>
      <w:r w:rsidR="008230B0" w:rsidRPr="00440C66">
        <w:t xml:space="preserve"> mechanizm</w:t>
      </w:r>
      <w:r w:rsidR="00EC451F" w:rsidRPr="00440C66">
        <w:t>ach</w:t>
      </w:r>
      <w:r w:rsidR="008230B0" w:rsidRPr="00440C66">
        <w:t xml:space="preserve"> działania, </w:t>
      </w:r>
      <w:r w:rsidR="000B4960" w:rsidRPr="00440C66">
        <w:t xml:space="preserve">stosowane </w:t>
      </w:r>
      <w:r w:rsidR="008230B0" w:rsidRPr="00440C66">
        <w:t>w celu poprawy kontroli glikemi</w:t>
      </w:r>
      <w:r w:rsidR="00EE6E75" w:rsidRPr="00440C66">
        <w:t>i u pacjentów z cukrzycą typu</w:t>
      </w:r>
      <w:r w:rsidR="007E78DE">
        <w:t> </w:t>
      </w:r>
      <w:r w:rsidR="00EE6E75" w:rsidRPr="00440C66">
        <w:t>2</w:t>
      </w:r>
      <w:r w:rsidR="008230B0" w:rsidRPr="00440C66">
        <w:t>:</w:t>
      </w:r>
      <w:r w:rsidR="00EC451F" w:rsidRPr="00440C66">
        <w:t xml:space="preserve"> wildagliptyn</w:t>
      </w:r>
      <w:r w:rsidR="000B4960" w:rsidRPr="00440C66">
        <w:t xml:space="preserve">ę </w:t>
      </w:r>
      <w:r w:rsidR="00EC451F" w:rsidRPr="00440C66">
        <w:t xml:space="preserve">z grupy </w:t>
      </w:r>
      <w:r w:rsidR="000B4960" w:rsidRPr="00440C66">
        <w:t xml:space="preserve">leków </w:t>
      </w:r>
      <w:r w:rsidR="00EC451F" w:rsidRPr="00440C66">
        <w:t>poprawiających czynność wysepek Langerhansa i metforminy</w:t>
      </w:r>
      <w:r w:rsidR="00E460BD" w:rsidRPr="00440C66">
        <w:t xml:space="preserve"> chlorowodorek -</w:t>
      </w:r>
      <w:r w:rsidR="00EC451F" w:rsidRPr="00440C66">
        <w:t xml:space="preserve"> lek z grupy biguanidów.</w:t>
      </w:r>
    </w:p>
    <w:p w14:paraId="3E5574CF" w14:textId="77777777" w:rsidR="00145F6B" w:rsidRPr="00440C66" w:rsidRDefault="00145F6B" w:rsidP="004C760F">
      <w:pPr>
        <w:widowControl w:val="0"/>
        <w:ind w:left="0" w:firstLine="0"/>
      </w:pPr>
    </w:p>
    <w:p w14:paraId="6F6EF0E7" w14:textId="5EAD6BC9" w:rsidR="00145F6B" w:rsidRPr="00440C66" w:rsidRDefault="00145F6B" w:rsidP="004C760F">
      <w:pPr>
        <w:widowControl w:val="0"/>
        <w:ind w:left="0" w:firstLine="0"/>
      </w:pPr>
      <w:r w:rsidRPr="00440C66">
        <w:t>Wildagliptyna</w:t>
      </w:r>
      <w:r w:rsidR="00112295" w:rsidRPr="00440C66">
        <w:t xml:space="preserve">, </w:t>
      </w:r>
      <w:r w:rsidR="00FD5D0B" w:rsidRPr="00440C66">
        <w:t>lek z grupy związków poprawiających czynność wysepek Langerhansa, jest silnym i</w:t>
      </w:r>
      <w:r w:rsidR="00A21B39">
        <w:t> </w:t>
      </w:r>
      <w:r w:rsidR="00FD5D0B" w:rsidRPr="00440C66">
        <w:t xml:space="preserve">selektywnym inhibitorem </w:t>
      </w:r>
      <w:r w:rsidRPr="00440C66">
        <w:t>peptydazy dipeptydylowej-4 (DPP-4)</w:t>
      </w:r>
      <w:r w:rsidR="00FD5D0B" w:rsidRPr="00440C66">
        <w:t xml:space="preserve">. </w:t>
      </w:r>
      <w:r w:rsidRPr="00440C66">
        <w:t xml:space="preserve">Działanie metforminy polega głównie na zmniejszaniu </w:t>
      </w:r>
      <w:r w:rsidR="00EE6E75" w:rsidRPr="00440C66">
        <w:t>endogennego wątrobowego</w:t>
      </w:r>
      <w:r w:rsidRPr="00440C66">
        <w:t xml:space="preserve"> </w:t>
      </w:r>
      <w:r w:rsidR="00EE6E75" w:rsidRPr="00440C66">
        <w:t>wytwarzania</w:t>
      </w:r>
      <w:r w:rsidRPr="00440C66">
        <w:t xml:space="preserve"> glukozy.</w:t>
      </w:r>
    </w:p>
    <w:p w14:paraId="0E1CC79B" w14:textId="77777777" w:rsidR="00C37763" w:rsidRPr="00440C66" w:rsidRDefault="00C37763" w:rsidP="004C760F">
      <w:pPr>
        <w:widowControl w:val="0"/>
        <w:ind w:left="0" w:firstLine="0"/>
        <w:rPr>
          <w:u w:val="single"/>
        </w:rPr>
      </w:pPr>
    </w:p>
    <w:p w14:paraId="01223830" w14:textId="77777777" w:rsidR="00145F6B" w:rsidRDefault="00122DB1" w:rsidP="004C760F">
      <w:pPr>
        <w:keepNext/>
        <w:widowControl w:val="0"/>
        <w:ind w:left="0" w:firstLine="0"/>
        <w:rPr>
          <w:u w:val="single"/>
        </w:rPr>
      </w:pPr>
      <w:r w:rsidRPr="00440C66">
        <w:rPr>
          <w:u w:val="single"/>
        </w:rPr>
        <w:t>D</w:t>
      </w:r>
      <w:r w:rsidR="00C37763" w:rsidRPr="00440C66">
        <w:rPr>
          <w:u w:val="single"/>
        </w:rPr>
        <w:t>ziałani</w:t>
      </w:r>
      <w:r w:rsidRPr="00440C66">
        <w:rPr>
          <w:u w:val="single"/>
        </w:rPr>
        <w:t>e</w:t>
      </w:r>
      <w:r w:rsidR="00C37763" w:rsidRPr="00440C66">
        <w:rPr>
          <w:u w:val="single"/>
        </w:rPr>
        <w:t xml:space="preserve"> farmakodynamiczne</w:t>
      </w:r>
    </w:p>
    <w:p w14:paraId="18D249BB" w14:textId="77777777" w:rsidR="007E78DE" w:rsidRPr="00440C66" w:rsidRDefault="007E78DE" w:rsidP="004C760F">
      <w:pPr>
        <w:keepNext/>
        <w:widowControl w:val="0"/>
        <w:ind w:left="0" w:firstLine="0"/>
      </w:pPr>
    </w:p>
    <w:p w14:paraId="56633891" w14:textId="77777777" w:rsidR="00C37763" w:rsidRPr="001C2341" w:rsidRDefault="00C37763" w:rsidP="004C760F">
      <w:pPr>
        <w:keepNext/>
        <w:widowControl w:val="0"/>
        <w:ind w:left="0" w:firstLine="0"/>
        <w:rPr>
          <w:i/>
          <w:u w:val="single"/>
        </w:rPr>
      </w:pPr>
      <w:r w:rsidRPr="001C2341">
        <w:rPr>
          <w:i/>
          <w:u w:val="single"/>
        </w:rPr>
        <w:t>Wildagliptyna</w:t>
      </w:r>
    </w:p>
    <w:p w14:paraId="377DE968" w14:textId="77777777" w:rsidR="00C37763" w:rsidRPr="00440C66" w:rsidRDefault="00C37763" w:rsidP="004C760F">
      <w:pPr>
        <w:widowControl w:val="0"/>
        <w:ind w:left="0" w:firstLine="0"/>
      </w:pPr>
      <w:r w:rsidRPr="00440C66">
        <w:t>Wildagliptyna działa głównie poprzez hamowanie aktywności DPP-4, enzymu odpowiedzialnego za rozpad inkretyn GLP-1 (glukagonopodobnego peptydu-1) i GIP (żołądkowego peptydu hamującego).</w:t>
      </w:r>
    </w:p>
    <w:p w14:paraId="74700AF4" w14:textId="77777777" w:rsidR="00C37763" w:rsidRPr="00440C66" w:rsidRDefault="00C37763" w:rsidP="004C760F">
      <w:pPr>
        <w:widowControl w:val="0"/>
        <w:ind w:left="0" w:firstLine="0"/>
      </w:pPr>
    </w:p>
    <w:p w14:paraId="09611A1F" w14:textId="77777777" w:rsidR="00C37763" w:rsidRPr="00440C66" w:rsidRDefault="00C37763" w:rsidP="004C760F">
      <w:pPr>
        <w:widowControl w:val="0"/>
        <w:ind w:left="0" w:firstLine="0"/>
      </w:pPr>
      <w:r w:rsidRPr="00440C66">
        <w:t>Podanie wildagliptyny powoduje szybkie i całkowite zahamowanie czynności DPP-4, powodując zwiększenie stężenia endogennych inkretyn GLP-1 i GIP, zarówno na czczo, jak i po posiłku.</w:t>
      </w:r>
    </w:p>
    <w:p w14:paraId="6D33C4E4" w14:textId="77777777" w:rsidR="00C37763" w:rsidRPr="00440C66" w:rsidRDefault="00C37763" w:rsidP="004C760F">
      <w:pPr>
        <w:widowControl w:val="0"/>
        <w:ind w:left="0" w:firstLine="0"/>
      </w:pPr>
    </w:p>
    <w:p w14:paraId="7615506B" w14:textId="77777777" w:rsidR="00C37763" w:rsidRPr="00440C66" w:rsidRDefault="00C37763" w:rsidP="004C760F">
      <w:pPr>
        <w:widowControl w:val="0"/>
        <w:ind w:left="0" w:firstLine="0"/>
      </w:pPr>
      <w:r w:rsidRPr="00440C66">
        <w:t>Zwiększając endogenne stężenie tych inkretyn wildagliptyna zwiększa wrażliwość komórek beta na glukozę, co skutkuje zwiększonym wydzielaniem insuliny zależnym od glukozy. Leczenie wildagliptyną w dawce od 50 do 100 mg na dobę u pacjentów z cukrzycą typu 2 znacząco poprawiło markery czynności komórek beta w tym HOMA-</w:t>
      </w:r>
      <w:r w:rsidRPr="00440C66">
        <w:rPr>
          <w:iCs/>
          <w:szCs w:val="22"/>
        </w:rPr>
        <w:t>β</w:t>
      </w:r>
      <w:r w:rsidRPr="00440C66">
        <w:t xml:space="preserve"> (ang. Homeostasis Model Assessment-</w:t>
      </w:r>
      <w:r w:rsidRPr="00440C66">
        <w:rPr>
          <w:iCs/>
          <w:szCs w:val="22"/>
        </w:rPr>
        <w:t>β</w:t>
      </w:r>
      <w:r w:rsidRPr="00440C66">
        <w:t>), stosunek proinsuliny do insuliny oraz wskaźniki reaktywności komórek beta na test tolerancji często podawanego posiłku. U osób bez cukrzycy (z prawidłową glikemią) wildagliptyna nie stymuluje wydzielania insuliny ani nie zmniejsza stężenia glukozy.</w:t>
      </w:r>
    </w:p>
    <w:p w14:paraId="2ABB00CC" w14:textId="77777777" w:rsidR="00C37763" w:rsidRPr="00440C66" w:rsidRDefault="00C37763" w:rsidP="004C760F">
      <w:pPr>
        <w:widowControl w:val="0"/>
        <w:ind w:left="0" w:firstLine="0"/>
      </w:pPr>
    </w:p>
    <w:p w14:paraId="631A698D" w14:textId="77777777" w:rsidR="00C37763" w:rsidRPr="00440C66" w:rsidRDefault="00C37763" w:rsidP="004C760F">
      <w:pPr>
        <w:widowControl w:val="0"/>
        <w:ind w:left="0" w:firstLine="0"/>
      </w:pPr>
      <w:r w:rsidRPr="00440C66">
        <w:t>Zwiększając endogenne stężenie GLP-1 wildagliptyna poprawia również wrażliwość komórek alfa na glukozę, sprawiając, że wydzielanie glukagonu jest w większym stopniu dostosowane do stężenia glukozy.</w:t>
      </w:r>
    </w:p>
    <w:p w14:paraId="07501F17" w14:textId="77777777" w:rsidR="00C37763" w:rsidRPr="00440C66" w:rsidRDefault="00C37763" w:rsidP="004C760F">
      <w:pPr>
        <w:widowControl w:val="0"/>
        <w:ind w:left="0" w:firstLine="0"/>
      </w:pPr>
    </w:p>
    <w:p w14:paraId="27C5792B" w14:textId="77777777" w:rsidR="00C37763" w:rsidRPr="00440C66" w:rsidRDefault="00C37763" w:rsidP="004C760F">
      <w:pPr>
        <w:widowControl w:val="0"/>
        <w:ind w:left="0" w:firstLine="0"/>
      </w:pPr>
      <w:r w:rsidRPr="00440C66">
        <w:t>Zwiększenie współczynnika insulina/glukagon podczas hiperglikemii, w wyniku zwiększonego stężenia inkretyn, skutkuje zmniejszonym wątrobowym wydzielaniem glukozy, zarówno na czczo, jak i po posiłku, a w konsekwencji - zmniejszeniem glikemii.</w:t>
      </w:r>
    </w:p>
    <w:p w14:paraId="5DC628DB" w14:textId="77777777" w:rsidR="00C37763" w:rsidRPr="00440C66" w:rsidRDefault="00C37763" w:rsidP="004C760F">
      <w:pPr>
        <w:widowControl w:val="0"/>
        <w:ind w:left="0" w:firstLine="0"/>
      </w:pPr>
    </w:p>
    <w:p w14:paraId="161A4948" w14:textId="77777777" w:rsidR="00C37763" w:rsidRPr="00440C66" w:rsidRDefault="00C37763" w:rsidP="004C760F">
      <w:pPr>
        <w:widowControl w:val="0"/>
        <w:ind w:left="0" w:firstLine="0"/>
      </w:pPr>
      <w:r w:rsidRPr="00440C66">
        <w:t>W czasie leczenia wildagliptyną nie zaobserwowano wpływu zwiększonego stężenia GLP-1 na opóźnianie opróżniania żołądkowego.</w:t>
      </w:r>
    </w:p>
    <w:p w14:paraId="0979FBF8" w14:textId="77777777" w:rsidR="00C37763" w:rsidRPr="00440C66" w:rsidRDefault="00C37763" w:rsidP="004C760F">
      <w:pPr>
        <w:widowControl w:val="0"/>
        <w:ind w:left="0" w:firstLine="0"/>
      </w:pPr>
    </w:p>
    <w:p w14:paraId="27C3FE09" w14:textId="77777777" w:rsidR="00C37763" w:rsidRPr="001C2341" w:rsidRDefault="00C37763" w:rsidP="004C760F">
      <w:pPr>
        <w:keepNext/>
        <w:widowControl w:val="0"/>
        <w:ind w:left="0" w:firstLine="0"/>
        <w:rPr>
          <w:i/>
          <w:u w:val="single"/>
        </w:rPr>
      </w:pPr>
      <w:r w:rsidRPr="001C2341">
        <w:rPr>
          <w:i/>
          <w:u w:val="single"/>
        </w:rPr>
        <w:t>Metformina</w:t>
      </w:r>
    </w:p>
    <w:p w14:paraId="24F567CD" w14:textId="77777777" w:rsidR="00C37763" w:rsidRPr="00440C66" w:rsidRDefault="00C37763" w:rsidP="004C760F">
      <w:pPr>
        <w:widowControl w:val="0"/>
        <w:ind w:left="0" w:firstLine="0"/>
      </w:pPr>
      <w:r w:rsidRPr="00440C66">
        <w:t>Metformina jest biguanidem o działaniu przeciwcukrzycowym, zmniejszającym zarówno podstawowe, jak i poposiłkowe stężenie glukozy w osoczu. Metformina nie pobudza wydzielania insuliny i dlatego nie wywołuje hipoglikemii ani nie wpływa na zwiększenie masy ciała.</w:t>
      </w:r>
    </w:p>
    <w:p w14:paraId="759BF6B7" w14:textId="77777777" w:rsidR="00C37763" w:rsidRPr="00440C66" w:rsidRDefault="00C37763" w:rsidP="004C760F">
      <w:pPr>
        <w:widowControl w:val="0"/>
        <w:ind w:left="0" w:firstLine="0"/>
      </w:pPr>
    </w:p>
    <w:p w14:paraId="7B54C31D" w14:textId="77777777" w:rsidR="00C37763" w:rsidRPr="00440C66" w:rsidRDefault="00C37763" w:rsidP="004C760F">
      <w:pPr>
        <w:keepNext/>
        <w:widowControl w:val="0"/>
        <w:ind w:left="0" w:firstLine="0"/>
      </w:pPr>
      <w:r w:rsidRPr="00440C66">
        <w:t>Metformina może wywierać działanie zmniejszające stężenie glukozy poprzez trzy mechanizmy:</w:t>
      </w:r>
    </w:p>
    <w:p w14:paraId="7DCE1A74" w14:textId="3E0CDC48" w:rsidR="00C37763" w:rsidRPr="00440C66" w:rsidRDefault="00C37763" w:rsidP="004C760F">
      <w:pPr>
        <w:widowControl w:val="0"/>
      </w:pPr>
      <w:r w:rsidRPr="00440C66">
        <w:t>-</w:t>
      </w:r>
      <w:r w:rsidRPr="00440C66">
        <w:tab/>
        <w:t>zmniejszając wątrobowe wytwarzanie glukozy poprzez zahamowanie glukoneogenezy i</w:t>
      </w:r>
      <w:r w:rsidR="00A21B39">
        <w:t> </w:t>
      </w:r>
      <w:r w:rsidRPr="00440C66">
        <w:t>glikogenolizy;</w:t>
      </w:r>
    </w:p>
    <w:p w14:paraId="66D9DC22" w14:textId="77777777" w:rsidR="00C37763" w:rsidRPr="00440C66" w:rsidRDefault="00C37763" w:rsidP="004C760F">
      <w:pPr>
        <w:widowControl w:val="0"/>
      </w:pPr>
      <w:r w:rsidRPr="00440C66">
        <w:t>-</w:t>
      </w:r>
      <w:r w:rsidRPr="00440C66">
        <w:tab/>
        <w:t>w mięśniach, poprzez niewielkie zwiększenie wrażliwości na insulinę, poprawiając obwodowy wychwyt glukozy i jej zużycie;</w:t>
      </w:r>
    </w:p>
    <w:p w14:paraId="4EDEF844" w14:textId="77777777" w:rsidR="00C37763" w:rsidRPr="00440C66" w:rsidRDefault="00C37763" w:rsidP="004C760F">
      <w:pPr>
        <w:widowControl w:val="0"/>
      </w:pPr>
      <w:r w:rsidRPr="00440C66">
        <w:t>-</w:t>
      </w:r>
      <w:r w:rsidRPr="00440C66">
        <w:tab/>
        <w:t>opóźniając jelitowe wchłanianie glukozy.</w:t>
      </w:r>
    </w:p>
    <w:p w14:paraId="5AE72277" w14:textId="4CA5DC28" w:rsidR="00C37763" w:rsidRPr="00440C66" w:rsidRDefault="00C37763" w:rsidP="004C760F">
      <w:pPr>
        <w:widowControl w:val="0"/>
        <w:ind w:left="0" w:firstLine="0"/>
      </w:pPr>
      <w:r w:rsidRPr="00440C66">
        <w:t>Metformina pobudza wewnątrzkomórkową syntezę glikogenu działając na syntazę glikogenu oraz zwiększa zdolności transportowe specyficznych błonowych transporterów glukozy (GLUT-1 i</w:t>
      </w:r>
      <w:r w:rsidR="00A21B39">
        <w:t> </w:t>
      </w:r>
      <w:r w:rsidRPr="00440C66">
        <w:t>GLUT</w:t>
      </w:r>
      <w:r w:rsidR="00A21B39">
        <w:noBreakHyphen/>
      </w:r>
      <w:r w:rsidRPr="00440C66">
        <w:t>4).</w:t>
      </w:r>
    </w:p>
    <w:p w14:paraId="7022204B" w14:textId="77777777" w:rsidR="00C37763" w:rsidRPr="00440C66" w:rsidRDefault="00C37763" w:rsidP="004C760F">
      <w:pPr>
        <w:widowControl w:val="0"/>
        <w:ind w:left="0" w:firstLine="0"/>
      </w:pPr>
    </w:p>
    <w:p w14:paraId="683DE11E" w14:textId="11FBCEDD" w:rsidR="00C37763" w:rsidRPr="00440C66" w:rsidRDefault="00C37763" w:rsidP="004C760F">
      <w:pPr>
        <w:widowControl w:val="0"/>
        <w:ind w:left="0" w:firstLine="0"/>
      </w:pPr>
      <w:r w:rsidRPr="00440C66">
        <w:t>U ludzi, niezależnie od wpływu na glikemię, metformina działa korzystnie na metabolizm lipidów. Potwierdzają to wyniki średnio- i długoterminowych kontrolowanych badań klinicznych z</w:t>
      </w:r>
      <w:r w:rsidR="00A21B39">
        <w:t> </w:t>
      </w:r>
      <w:r w:rsidRPr="00440C66">
        <w:t>zastosowaniem dawek terapeutycznych: metformina zmniejsza stężenie cholesterolu całkowitego, cholesterolu LDL i trójglicerydów w surowicy.</w:t>
      </w:r>
    </w:p>
    <w:p w14:paraId="28F2301D" w14:textId="77777777" w:rsidR="00C37763" w:rsidRPr="00440C66" w:rsidRDefault="00C37763" w:rsidP="004C760F">
      <w:pPr>
        <w:widowControl w:val="0"/>
        <w:ind w:left="0" w:firstLine="0"/>
      </w:pPr>
    </w:p>
    <w:p w14:paraId="6E2C97CF" w14:textId="77777777" w:rsidR="00C37763" w:rsidRPr="00440C66" w:rsidRDefault="00C37763" w:rsidP="004C760F">
      <w:pPr>
        <w:keepNext/>
        <w:widowControl w:val="0"/>
        <w:ind w:left="0" w:firstLine="0"/>
      </w:pPr>
      <w:r w:rsidRPr="00440C66">
        <w:t>W prospektywnym, randomizowanym badaniu UKPDS (</w:t>
      </w:r>
      <w:r w:rsidRPr="00440C66">
        <w:rPr>
          <w:i/>
        </w:rPr>
        <w:t>ang. UK Prospective Diabetes Study)</w:t>
      </w:r>
      <w:r w:rsidRPr="00440C66">
        <w:t xml:space="preserve"> wykazano długoterminowe korzyści intensywnej kontroli glikemii w cukrzycy typu</w:t>
      </w:r>
      <w:r w:rsidR="007E78DE">
        <w:t> </w:t>
      </w:r>
      <w:r w:rsidRPr="00440C66">
        <w:t>2. Analiza wyników uzyskanych u pacjentów z nadwagą, leczonych metforminą po niepowodzeniu leczenia samą dietą wykazała:</w:t>
      </w:r>
    </w:p>
    <w:p w14:paraId="3FC8C0C8" w14:textId="043BB015" w:rsidR="00C37763" w:rsidRPr="00440C66" w:rsidRDefault="00C37763" w:rsidP="004C760F">
      <w:pPr>
        <w:widowControl w:val="0"/>
      </w:pPr>
      <w:r w:rsidRPr="00440C66">
        <w:t>-</w:t>
      </w:r>
      <w:r w:rsidRPr="00440C66">
        <w:tab/>
        <w:t>istotne zmniejszenie bezwzględnego ryzyka wszelkich powikłań związanych z cukrzycą, w</w:t>
      </w:r>
      <w:r w:rsidR="00A21B39">
        <w:t> </w:t>
      </w:r>
      <w:r w:rsidRPr="00440C66">
        <w:t>grupie metforminy (29,8 zdarzeń/1000 pacjento-lat) w porównaniu z leczeniem samą dietą (43,3 zdarzenia/1000 pacjento-lat), p=0,0023 oraz w porównaniu z łącznymi wynikami dla grup leczonych sulfonylomocznikiem i insuliną w monoterapii (40,1 zdarzeń/1000 pacjento-lat), p=0,0034;</w:t>
      </w:r>
    </w:p>
    <w:p w14:paraId="139897BE" w14:textId="77777777" w:rsidR="00C37763" w:rsidRPr="00440C66" w:rsidRDefault="00C37763" w:rsidP="004C760F">
      <w:pPr>
        <w:widowControl w:val="0"/>
      </w:pPr>
      <w:r w:rsidRPr="00440C66">
        <w:t>-</w:t>
      </w:r>
      <w:r w:rsidRPr="00440C66">
        <w:tab/>
        <w:t>istotne zmniejszenie bezwzględnego ryzyka zgonu związanego z cukrzycą: metformina 7,5 zdarzeń/1000 pacjento-lat, sama dieta 12,7 zdarzeń/1000 pacjento-lat, p=0,017;</w:t>
      </w:r>
    </w:p>
    <w:p w14:paraId="60021AC1" w14:textId="00DEC729" w:rsidR="00C37763" w:rsidRPr="00440C66" w:rsidRDefault="00C37763" w:rsidP="004C760F">
      <w:pPr>
        <w:widowControl w:val="0"/>
      </w:pPr>
      <w:r w:rsidRPr="00440C66">
        <w:t>-</w:t>
      </w:r>
      <w:r w:rsidRPr="00440C66">
        <w:tab/>
        <w:t>istotne zmniejszenie bezwzględnego ryzyka ogólnej śmiertelności: metformina 13,5 zdarzeń/1000 pacjento-lat w porównaniu z samą dietą 20,6 zdarzeń/1000 pacjento-lat (p=0,011) oraz w porównaniu z łącznymi wynikami dla grup leczonych sulfonylomocznikiem i</w:t>
      </w:r>
      <w:r w:rsidR="00A21B39">
        <w:t> </w:t>
      </w:r>
      <w:r w:rsidRPr="00440C66">
        <w:t>insuliną w monoterapii 18,9 zdarzeń/1000 pacjento-lat (p=0,021);</w:t>
      </w:r>
    </w:p>
    <w:p w14:paraId="4BC949EF" w14:textId="77777777" w:rsidR="00C37763" w:rsidRPr="00440C66" w:rsidRDefault="00C37763" w:rsidP="004C760F">
      <w:pPr>
        <w:widowControl w:val="0"/>
      </w:pPr>
      <w:r w:rsidRPr="00440C66">
        <w:t>-</w:t>
      </w:r>
      <w:r w:rsidRPr="00440C66">
        <w:tab/>
        <w:t>istotne zmniejszenie bezwzględnego ryzyka zawału mięśnia sercowego: metformina 11 zdarzeń/1000 pacjento-lat, sama dieta 18 zdarzeń/1000 pacjento-lat (p=0,01).</w:t>
      </w:r>
    </w:p>
    <w:p w14:paraId="04263E47" w14:textId="77777777" w:rsidR="00C37763" w:rsidRPr="00440C66" w:rsidRDefault="00C37763" w:rsidP="004C760F">
      <w:pPr>
        <w:widowControl w:val="0"/>
        <w:ind w:left="0" w:firstLine="0"/>
      </w:pPr>
    </w:p>
    <w:p w14:paraId="4A2FE536" w14:textId="77777777" w:rsidR="00C37763" w:rsidRDefault="00C37763" w:rsidP="004C760F">
      <w:pPr>
        <w:keepNext/>
        <w:widowControl w:val="0"/>
        <w:ind w:left="0" w:firstLine="0"/>
        <w:rPr>
          <w:u w:val="single"/>
        </w:rPr>
      </w:pPr>
      <w:r w:rsidRPr="00440C66">
        <w:rPr>
          <w:u w:val="single"/>
        </w:rPr>
        <w:t>Skuteczność kliniczna i bezpieczeństwo stosowania</w:t>
      </w:r>
    </w:p>
    <w:p w14:paraId="2A792408" w14:textId="77777777" w:rsidR="007E78DE" w:rsidRPr="00440C66" w:rsidRDefault="007E78DE" w:rsidP="004C760F">
      <w:pPr>
        <w:keepNext/>
        <w:widowControl w:val="0"/>
        <w:ind w:left="0" w:firstLine="0"/>
        <w:rPr>
          <w:u w:val="single"/>
        </w:rPr>
      </w:pPr>
    </w:p>
    <w:p w14:paraId="04681177" w14:textId="7D8B25D7" w:rsidR="00145F6B" w:rsidRPr="00440C66" w:rsidRDefault="00737428" w:rsidP="004C760F">
      <w:pPr>
        <w:widowControl w:val="0"/>
        <w:ind w:left="0" w:firstLine="0"/>
      </w:pPr>
      <w:r w:rsidRPr="00440C66">
        <w:t>Wildagliptyna dołączona do schematu leczenia u pacjentów bez zadowalającej kontroli glikemii pomimo monoterapii metforminą spowodowała dodatkową, statystycznie istotną średnią redukcję HbA</w:t>
      </w:r>
      <w:r w:rsidRPr="00440C66">
        <w:rPr>
          <w:vertAlign w:val="subscript"/>
        </w:rPr>
        <w:t>1c</w:t>
      </w:r>
      <w:r w:rsidR="00EE6E75" w:rsidRPr="00440C66">
        <w:t xml:space="preserve"> po 6 </w:t>
      </w:r>
      <w:r w:rsidR="0039436F" w:rsidRPr="00440C66">
        <w:t>miesiącach</w:t>
      </w:r>
      <w:r w:rsidRPr="00440C66">
        <w:t xml:space="preserve"> leczenia w porównaniu z placebo (różnica pomiędzy grupami od -0,7% do </w:t>
      </w:r>
      <w:r w:rsidR="00A21B39">
        <w:noBreakHyphen/>
      </w:r>
      <w:r w:rsidRPr="00440C66">
        <w:t>1,1% odpowiedn</w:t>
      </w:r>
      <w:r w:rsidR="00EE6E75" w:rsidRPr="00440C66">
        <w:t>io dla wildagliptyny w dawce 50 mg i 100 </w:t>
      </w:r>
      <w:r w:rsidRPr="00440C66">
        <w:t>mg). Odsetek pa</w:t>
      </w:r>
      <w:r w:rsidR="0039436F" w:rsidRPr="00440C66">
        <w:t>cjentów z redukcją</w:t>
      </w:r>
      <w:r w:rsidRPr="00440C66">
        <w:t xml:space="preserve"> HbA</w:t>
      </w:r>
      <w:r w:rsidRPr="00440C66">
        <w:rPr>
          <w:vertAlign w:val="subscript"/>
        </w:rPr>
        <w:t>1c</w:t>
      </w:r>
      <w:r w:rsidRPr="00440C66">
        <w:t xml:space="preserve"> o </w:t>
      </w:r>
      <w:r w:rsidRPr="00440C66">
        <w:sym w:font="Symbol" w:char="F0B3"/>
      </w:r>
      <w:r w:rsidR="00AA7716" w:rsidRPr="00440C66">
        <w:t> </w:t>
      </w:r>
      <w:r w:rsidRPr="00440C66">
        <w:t xml:space="preserve">0,7% względem wartości wyjściowych był statystycznie istotnie większy w obu grupach otrzymujących wildagliptynę </w:t>
      </w:r>
      <w:r w:rsidR="007223CD" w:rsidRPr="00440C66">
        <w:t>i</w:t>
      </w:r>
      <w:r w:rsidRPr="00440C66">
        <w:t xml:space="preserve"> metforminę (odpowiednio 46% i 60%) w porównaniu </w:t>
      </w:r>
      <w:r w:rsidR="007223CD" w:rsidRPr="00440C66">
        <w:t xml:space="preserve">do pacjentów otrzymujących </w:t>
      </w:r>
      <w:r w:rsidRPr="00440C66">
        <w:t>metformin</w:t>
      </w:r>
      <w:r w:rsidR="007223CD" w:rsidRPr="00440C66">
        <w:t>ę</w:t>
      </w:r>
      <w:r w:rsidRPr="00440C66">
        <w:t xml:space="preserve"> </w:t>
      </w:r>
      <w:r w:rsidR="007223CD" w:rsidRPr="00440C66">
        <w:t>i</w:t>
      </w:r>
      <w:r w:rsidRPr="00440C66">
        <w:t xml:space="preserve"> placebo (20%).</w:t>
      </w:r>
    </w:p>
    <w:p w14:paraId="2772AB71" w14:textId="77777777" w:rsidR="00737428" w:rsidRPr="00440C66" w:rsidRDefault="00737428" w:rsidP="004C760F">
      <w:pPr>
        <w:widowControl w:val="0"/>
        <w:ind w:left="0" w:firstLine="0"/>
      </w:pPr>
    </w:p>
    <w:p w14:paraId="7527E424" w14:textId="0768071B" w:rsidR="00C8305C" w:rsidRPr="00440C66" w:rsidRDefault="00C8305C" w:rsidP="004C760F">
      <w:pPr>
        <w:widowControl w:val="0"/>
        <w:ind w:left="0" w:firstLine="0"/>
      </w:pPr>
      <w:r w:rsidRPr="00440C66">
        <w:t>W 24-tygodniowym badaniu wildagliptyna (50 mg dwa razy na dobę) była porównywana z pioglitazonem (30 mg raz na dobę) u pacjentów niewystarczająco kontrolowanych za pomocą metforminy</w:t>
      </w:r>
      <w:r w:rsidR="00FF63DF" w:rsidRPr="00440C66">
        <w:t xml:space="preserve"> (średnia dawka dobowa wynosiła 2020 mg)</w:t>
      </w:r>
      <w:r w:rsidRPr="00440C66">
        <w:t>. Średnia redukcja HbA</w:t>
      </w:r>
      <w:r w:rsidRPr="00440C66">
        <w:rPr>
          <w:vertAlign w:val="subscript"/>
        </w:rPr>
        <w:t xml:space="preserve">1c </w:t>
      </w:r>
      <w:r w:rsidRPr="00440C66">
        <w:t xml:space="preserve">od wartości wyjściowej wynoszącej 8,4% wynosiła </w:t>
      </w:r>
      <w:r w:rsidRPr="00440C66">
        <w:noBreakHyphen/>
        <w:t>0,9% w przypadku stosowania wildagliptyny w skojarzeniu z</w:t>
      </w:r>
      <w:r w:rsidR="00A21B39">
        <w:t> </w:t>
      </w:r>
      <w:r w:rsidRPr="00440C66">
        <w:t xml:space="preserve">metforminą i </w:t>
      </w:r>
      <w:r w:rsidRPr="00440C66">
        <w:noBreakHyphen/>
        <w:t xml:space="preserve">1,0% w przypadku stosowania pioglitazonu w skojarzeniu z metforminą. </w:t>
      </w:r>
      <w:r w:rsidR="00FF63DF" w:rsidRPr="00440C66">
        <w:t>Średnie zwiększenie masy ciała wynoszące +1,9 kg obserwowano u pacjentów otrzymujących pioglitazon w</w:t>
      </w:r>
      <w:r w:rsidR="00A21B39">
        <w:t> </w:t>
      </w:r>
      <w:r w:rsidR="00FF63DF" w:rsidRPr="00440C66">
        <w:t>skojarzeniu z metforminą w porównaniu do +0,3 kg u pacjentów otrzymujących wildagliptynę w</w:t>
      </w:r>
      <w:r w:rsidR="00A21B39">
        <w:t> </w:t>
      </w:r>
      <w:r w:rsidR="00FF63DF" w:rsidRPr="00440C66">
        <w:t>skojarzeniu z metforminą.</w:t>
      </w:r>
    </w:p>
    <w:p w14:paraId="16682DF8" w14:textId="77777777" w:rsidR="00C8305C" w:rsidRPr="00440C66" w:rsidRDefault="00C8305C" w:rsidP="004C760F">
      <w:pPr>
        <w:widowControl w:val="0"/>
        <w:ind w:left="0" w:firstLine="0"/>
      </w:pPr>
    </w:p>
    <w:p w14:paraId="35B8445B" w14:textId="3CE5487D" w:rsidR="00C8305C" w:rsidRPr="00440C66" w:rsidRDefault="00C8305C" w:rsidP="004C760F">
      <w:pPr>
        <w:widowControl w:val="0"/>
        <w:ind w:left="0" w:firstLine="0"/>
      </w:pPr>
      <w:r w:rsidRPr="00440C66">
        <w:t>W badaniu</w:t>
      </w:r>
      <w:r w:rsidR="00FF63DF" w:rsidRPr="00440C66">
        <w:t xml:space="preserve"> klinicznym</w:t>
      </w:r>
      <w:r w:rsidRPr="00440C66">
        <w:t>, trwającym 2 lata, wildagliptyna (</w:t>
      </w:r>
      <w:r w:rsidR="00FF63DF" w:rsidRPr="00440C66">
        <w:t>50 mg dwa razy na dobę</w:t>
      </w:r>
      <w:r w:rsidRPr="00440C66">
        <w:t>) była porównywana z glimepirydem (w dawce do 6 mg/dobę</w:t>
      </w:r>
      <w:r w:rsidR="00FF63DF" w:rsidRPr="00440C66">
        <w:t xml:space="preserve"> – średnia dawka w czasie 2 lat wynosiła 4,6 mg</w:t>
      </w:r>
      <w:r w:rsidRPr="00440C66">
        <w:t>) u pacjentów leczonych metforminą</w:t>
      </w:r>
      <w:r w:rsidR="00FF63DF" w:rsidRPr="00440C66">
        <w:t xml:space="preserve"> (średnia dawka dobowa wynosiła 1894 mg)</w:t>
      </w:r>
      <w:r w:rsidRPr="00440C66">
        <w:t>. Po 1 roku średnie redukcje HbA</w:t>
      </w:r>
      <w:r w:rsidRPr="00440C66">
        <w:rPr>
          <w:vertAlign w:val="subscript"/>
        </w:rPr>
        <w:t>1c</w:t>
      </w:r>
      <w:r w:rsidRPr="00440C66">
        <w:t xml:space="preserve"> </w:t>
      </w:r>
      <w:r w:rsidR="00FF63DF" w:rsidRPr="00440C66">
        <w:t>od wartości wyjściowej HbA</w:t>
      </w:r>
      <w:r w:rsidR="00FF63DF" w:rsidRPr="00440C66">
        <w:rPr>
          <w:vertAlign w:val="subscript"/>
        </w:rPr>
        <w:t>1c</w:t>
      </w:r>
      <w:r w:rsidR="00FF63DF" w:rsidRPr="00440C66">
        <w:t xml:space="preserve"> wynoszącej 7,3% </w:t>
      </w:r>
      <w:r w:rsidRPr="00440C66">
        <w:t xml:space="preserve">wynosiły </w:t>
      </w:r>
      <w:r w:rsidRPr="00440C66">
        <w:noBreakHyphen/>
        <w:t xml:space="preserve">0,4% </w:t>
      </w:r>
      <w:r w:rsidR="00890D09" w:rsidRPr="00440C66">
        <w:t xml:space="preserve">w przypadku stosowania </w:t>
      </w:r>
      <w:r w:rsidRPr="00440C66">
        <w:lastRenderedPageBreak/>
        <w:t xml:space="preserve">wildagliptyny w skojarzeniu z metforminą i </w:t>
      </w:r>
      <w:r w:rsidRPr="00440C66">
        <w:noBreakHyphen/>
        <w:t xml:space="preserve">0,5% </w:t>
      </w:r>
      <w:r w:rsidR="00890D09" w:rsidRPr="00440C66">
        <w:t xml:space="preserve">w przypadku stosowania </w:t>
      </w:r>
      <w:r w:rsidRPr="00440C66">
        <w:t>glimepirydu w</w:t>
      </w:r>
      <w:r w:rsidR="00A21B39">
        <w:t> </w:t>
      </w:r>
      <w:r w:rsidRPr="00440C66">
        <w:t xml:space="preserve">skojarzeniu z metforminą. Zmiana masy ciała </w:t>
      </w:r>
      <w:r w:rsidR="00615C9A" w:rsidRPr="00440C66">
        <w:t xml:space="preserve">w przypadku stosowania </w:t>
      </w:r>
      <w:r w:rsidRPr="00440C66">
        <w:t xml:space="preserve">wildagliptyny wynosiła </w:t>
      </w:r>
      <w:r w:rsidRPr="00440C66">
        <w:noBreakHyphen/>
        <w:t xml:space="preserve">0,2 kg w porównaniu z +1,6 kg </w:t>
      </w:r>
      <w:r w:rsidR="00615C9A" w:rsidRPr="00440C66">
        <w:t xml:space="preserve">w przypadku stosowania </w:t>
      </w:r>
      <w:r w:rsidRPr="00440C66">
        <w:t>glimepirydu. Częstość występowania hipoglikemii była znacznie mniejsza w grupie wildagliptyny (1,7%) niż w grupie glimepirydu (16,2%). W punkcie końcowym badania (2 lata) wartość HbA</w:t>
      </w:r>
      <w:r w:rsidRPr="00440C66">
        <w:rPr>
          <w:vertAlign w:val="subscript"/>
        </w:rPr>
        <w:t>1c</w:t>
      </w:r>
      <w:r w:rsidRPr="00440C66">
        <w:t xml:space="preserve"> była podobna do wartoś</w:t>
      </w:r>
      <w:r w:rsidR="00506E42" w:rsidRPr="00440C66">
        <w:t>ci</w:t>
      </w:r>
      <w:r w:rsidRPr="00440C66">
        <w:t xml:space="preserve"> wyjściow</w:t>
      </w:r>
      <w:r w:rsidR="00506E42" w:rsidRPr="00440C66">
        <w:t>ych</w:t>
      </w:r>
      <w:r w:rsidRPr="00440C66">
        <w:t xml:space="preserve"> w obu </w:t>
      </w:r>
      <w:r w:rsidR="00DA62BA" w:rsidRPr="00440C66">
        <w:t xml:space="preserve">leczonych </w:t>
      </w:r>
      <w:r w:rsidRPr="00440C66">
        <w:t xml:space="preserve">grupach, a zmiany masy ciała i różnice w częstości występowania hipoglikemii </w:t>
      </w:r>
      <w:r w:rsidR="005E077F" w:rsidRPr="00440C66">
        <w:t>utrzymywały się</w:t>
      </w:r>
      <w:r w:rsidRPr="00440C66">
        <w:t>.</w:t>
      </w:r>
    </w:p>
    <w:p w14:paraId="792338E9" w14:textId="77777777" w:rsidR="00C8305C" w:rsidRPr="00440C66" w:rsidRDefault="00C8305C" w:rsidP="004C760F">
      <w:pPr>
        <w:widowControl w:val="0"/>
        <w:ind w:left="0" w:firstLine="0"/>
      </w:pPr>
    </w:p>
    <w:p w14:paraId="574B4B63" w14:textId="431AA74C" w:rsidR="00471F63" w:rsidRPr="00440C66" w:rsidRDefault="00471F63" w:rsidP="004C760F">
      <w:pPr>
        <w:widowControl w:val="0"/>
        <w:ind w:left="0" w:firstLine="0"/>
      </w:pPr>
      <w:r w:rsidRPr="00440C66">
        <w:t>W badaniu klinicznym, trwającym 52 tygodnie, wildagliptyna (50 mg dwa razy na dobę) była porównywana z gliklazydem (</w:t>
      </w:r>
      <w:r w:rsidR="00165C53" w:rsidRPr="00440C66">
        <w:t>średnia dawka dobowa wynosiła</w:t>
      </w:r>
      <w:r w:rsidR="007872AC" w:rsidRPr="00440C66">
        <w:t xml:space="preserve"> 229,5 mg</w:t>
      </w:r>
      <w:r w:rsidRPr="00440C66">
        <w:t>) u pacjentów niewystarczająco kontrolowanych za pomocą metforminy</w:t>
      </w:r>
      <w:r w:rsidR="007872AC" w:rsidRPr="00440C66">
        <w:t xml:space="preserve"> (wyjściowa dawka metforminy wynosiła 1928 mg/dobę)</w:t>
      </w:r>
      <w:r w:rsidRPr="00440C66">
        <w:t xml:space="preserve">. Po 1 roku </w:t>
      </w:r>
      <w:r w:rsidR="00693A6B" w:rsidRPr="00440C66">
        <w:t xml:space="preserve">zmniejszenie </w:t>
      </w:r>
      <w:r w:rsidR="00160BC5" w:rsidRPr="00440C66">
        <w:t xml:space="preserve">wartości </w:t>
      </w:r>
      <w:r w:rsidRPr="00440C66">
        <w:t>HbA</w:t>
      </w:r>
      <w:r w:rsidRPr="00440C66">
        <w:rPr>
          <w:vertAlign w:val="subscript"/>
        </w:rPr>
        <w:t>1c</w:t>
      </w:r>
      <w:r w:rsidRPr="00440C66">
        <w:t xml:space="preserve"> </w:t>
      </w:r>
      <w:r w:rsidR="00693A6B" w:rsidRPr="00440C66">
        <w:t xml:space="preserve">wyniosło średnio </w:t>
      </w:r>
      <w:r w:rsidRPr="00440C66">
        <w:t>0,81% w przypadku stosowania wildagliptyny w skojarzeniu z metforminą (średnia wartość wyjściowa HbA</w:t>
      </w:r>
      <w:r w:rsidRPr="00440C66">
        <w:rPr>
          <w:vertAlign w:val="subscript"/>
        </w:rPr>
        <w:t>1c</w:t>
      </w:r>
      <w:r w:rsidRPr="00440C66">
        <w:t xml:space="preserve"> wynosiła 8,4%) oraz</w:t>
      </w:r>
      <w:r w:rsidR="00693A6B" w:rsidRPr="00440C66">
        <w:t xml:space="preserve"> </w:t>
      </w:r>
      <w:r w:rsidRPr="00440C66">
        <w:t>0,85% w przypadku stosowania gliklazydu w skojarzeniu z metforminą (średnia wartość wyjściowa HbA</w:t>
      </w:r>
      <w:r w:rsidRPr="00440C66">
        <w:rPr>
          <w:vertAlign w:val="subscript"/>
        </w:rPr>
        <w:t>1c</w:t>
      </w:r>
      <w:r w:rsidRPr="00440C66">
        <w:t xml:space="preserve"> wynosiła 8,5%). </w:t>
      </w:r>
      <w:r w:rsidR="0050306A" w:rsidRPr="00440C66">
        <w:t>Nie w</w:t>
      </w:r>
      <w:r w:rsidRPr="00440C66">
        <w:t>ykazano statystycznie przewag</w:t>
      </w:r>
      <w:r w:rsidR="0050306A" w:rsidRPr="00440C66">
        <w:t>i</w:t>
      </w:r>
      <w:r w:rsidRPr="00440C66">
        <w:t xml:space="preserve"> jednego leczenia nad drugim</w:t>
      </w:r>
      <w:r w:rsidR="007872AC" w:rsidRPr="00440C66">
        <w:t xml:space="preserve"> (95% CI </w:t>
      </w:r>
      <w:r w:rsidR="00A365E6" w:rsidRPr="00440C66">
        <w:noBreakHyphen/>
      </w:r>
      <w:r w:rsidR="007872AC" w:rsidRPr="00440C66">
        <w:t>0,11 – 0,20)</w:t>
      </w:r>
      <w:r w:rsidRPr="00440C66">
        <w:t>. Zmiana masy ciała w przypadku stosowania wildagliptyny wynosiła +0,1 kg w</w:t>
      </w:r>
      <w:r w:rsidR="00A21B39">
        <w:t> </w:t>
      </w:r>
      <w:r w:rsidRPr="00440C66">
        <w:t>porównaniu z</w:t>
      </w:r>
      <w:r w:rsidR="00E25743" w:rsidRPr="00440C66">
        <w:t>e</w:t>
      </w:r>
      <w:r w:rsidRPr="00440C66">
        <w:t xml:space="preserve"> </w:t>
      </w:r>
      <w:r w:rsidR="00E25743" w:rsidRPr="00440C66">
        <w:t xml:space="preserve">zwiększeniem </w:t>
      </w:r>
      <w:r w:rsidRPr="00440C66">
        <w:t>masy ciała wynoszącym +1,4 kg w przypadku stosowania gliklazydu.</w:t>
      </w:r>
    </w:p>
    <w:p w14:paraId="7E9801D5" w14:textId="77777777" w:rsidR="00471F63" w:rsidRPr="00440C66" w:rsidRDefault="00471F63" w:rsidP="004C760F">
      <w:pPr>
        <w:widowControl w:val="0"/>
        <w:ind w:left="0" w:firstLine="0"/>
      </w:pPr>
    </w:p>
    <w:p w14:paraId="288B45A9" w14:textId="3EF52271" w:rsidR="00471F63" w:rsidRPr="00440C66" w:rsidRDefault="00471F63" w:rsidP="004C760F">
      <w:pPr>
        <w:widowControl w:val="0"/>
        <w:ind w:left="0" w:firstLine="0"/>
      </w:pPr>
      <w:r w:rsidRPr="00440C66">
        <w:t xml:space="preserve">W badaniu klinicznym, trwającym 24 tygodnie, oceniano skuteczność leczenia </w:t>
      </w:r>
      <w:r w:rsidR="00F36713" w:rsidRPr="00440C66">
        <w:t>produktem</w:t>
      </w:r>
      <w:r w:rsidRPr="00440C66">
        <w:t xml:space="preserve"> złożonym zawierającym wildagliptynę i metforminę (dawka była zwiększana stopniowo do 50 mg/500 mg dwa razy na dobę lub 50 mg/1000 mg dwa razy na dobę) w terapii początkowej u pacjentów, którzy nie byli wcześniej poddawani leczeniu. </w:t>
      </w:r>
      <w:r w:rsidR="00F84581" w:rsidRPr="00440C66">
        <w:t xml:space="preserve">W stosunku do wartości wyjściowej </w:t>
      </w:r>
      <w:r w:rsidR="00F84581" w:rsidRPr="00440C66">
        <w:rPr>
          <w:szCs w:val="22"/>
        </w:rPr>
        <w:t>HbA</w:t>
      </w:r>
      <w:r w:rsidR="00F84581" w:rsidRPr="00440C66">
        <w:rPr>
          <w:szCs w:val="22"/>
          <w:vertAlign w:val="subscript"/>
        </w:rPr>
        <w:t>1c</w:t>
      </w:r>
      <w:r w:rsidR="00F84581" w:rsidRPr="00440C66">
        <w:rPr>
          <w:szCs w:val="22"/>
        </w:rPr>
        <w:t xml:space="preserve"> </w:t>
      </w:r>
      <w:r w:rsidR="00F84581" w:rsidRPr="00440C66">
        <w:rPr>
          <w:rStyle w:val="Char"/>
          <w:rFonts w:ascii="Times New Roman" w:hAnsi="Times New Roman" w:cs="Times New Roman"/>
          <w:b w:val="0"/>
          <w:sz w:val="22"/>
          <w:szCs w:val="22"/>
          <w:lang w:val="pl-PL"/>
        </w:rPr>
        <w:t>8</w:t>
      </w:r>
      <w:r w:rsidR="008D4739" w:rsidRPr="00440C66">
        <w:rPr>
          <w:rStyle w:val="Char"/>
          <w:rFonts w:ascii="Times New Roman" w:hAnsi="Times New Roman" w:cs="Times New Roman"/>
          <w:b w:val="0"/>
          <w:sz w:val="22"/>
          <w:szCs w:val="22"/>
          <w:lang w:val="pl-PL"/>
        </w:rPr>
        <w:t>,</w:t>
      </w:r>
      <w:r w:rsidR="00F84581" w:rsidRPr="00440C66">
        <w:rPr>
          <w:rStyle w:val="Char"/>
          <w:rFonts w:ascii="Times New Roman" w:hAnsi="Times New Roman" w:cs="Times New Roman"/>
          <w:b w:val="0"/>
          <w:sz w:val="22"/>
          <w:szCs w:val="22"/>
          <w:lang w:val="pl-PL"/>
        </w:rPr>
        <w:t xml:space="preserve">6%, </w:t>
      </w:r>
      <w:r w:rsidR="00F84581" w:rsidRPr="00440C66">
        <w:rPr>
          <w:szCs w:val="22"/>
        </w:rPr>
        <w:t>w</w:t>
      </w:r>
      <w:r w:rsidRPr="00440C66">
        <w:rPr>
          <w:szCs w:val="22"/>
        </w:rPr>
        <w:t>ildagliptyna</w:t>
      </w:r>
      <w:r w:rsidRPr="00440C66">
        <w:t xml:space="preserve"> w</w:t>
      </w:r>
      <w:r w:rsidR="00A21B39">
        <w:t> </w:t>
      </w:r>
      <w:r w:rsidRPr="00440C66">
        <w:t>skojarzeniu z metforminą w dawce 50 mg/1000 mg dwa razy na dobę</w:t>
      </w:r>
      <w:r w:rsidR="00F84581" w:rsidRPr="00440C66">
        <w:t>,</w:t>
      </w:r>
      <w:r w:rsidRPr="00440C66">
        <w:t xml:space="preserve"> zmniejszyła </w:t>
      </w:r>
      <w:r w:rsidR="00F84581" w:rsidRPr="00440C66">
        <w:t xml:space="preserve">wartość </w:t>
      </w:r>
      <w:r w:rsidRPr="00440C66">
        <w:t>HbA</w:t>
      </w:r>
      <w:r w:rsidRPr="00440C66">
        <w:rPr>
          <w:vertAlign w:val="subscript"/>
        </w:rPr>
        <w:t>1c</w:t>
      </w:r>
      <w:r w:rsidRPr="00440C66">
        <w:t xml:space="preserve"> o</w:t>
      </w:r>
      <w:r w:rsidR="00A21B39">
        <w:t> </w:t>
      </w:r>
      <w:r w:rsidRPr="00440C66">
        <w:t xml:space="preserve">1,82%, wildagliptyna w skojarzeniu z metforminą w dawce 50 mg/500 mg dwa razy na dobę o </w:t>
      </w:r>
      <w:r w:rsidR="00A365E6" w:rsidRPr="00440C66">
        <w:noBreakHyphen/>
      </w:r>
      <w:r w:rsidRPr="00440C66">
        <w:t>1,61%</w:t>
      </w:r>
      <w:r w:rsidR="00D1732B" w:rsidRPr="00440C66">
        <w:t xml:space="preserve">, metformina w dawce 1000 mg dwa razy na dobę o </w:t>
      </w:r>
      <w:r w:rsidR="00A365E6" w:rsidRPr="00440C66">
        <w:noBreakHyphen/>
      </w:r>
      <w:r w:rsidR="00D1732B" w:rsidRPr="00440C66">
        <w:t>1,36%, natomiast wildagliptyna w</w:t>
      </w:r>
      <w:r w:rsidR="00A21B39">
        <w:t> </w:t>
      </w:r>
      <w:r w:rsidR="00D1732B" w:rsidRPr="00440C66">
        <w:t xml:space="preserve">dawce 50 mg dwa razy na dobę o </w:t>
      </w:r>
      <w:r w:rsidR="00A365E6" w:rsidRPr="00440C66">
        <w:noBreakHyphen/>
      </w:r>
      <w:r w:rsidR="00D1732B" w:rsidRPr="00440C66">
        <w:t>1,09%</w:t>
      </w:r>
      <w:r w:rsidRPr="00440C66">
        <w:t>. U pacjentów z wartością wyjściową</w:t>
      </w:r>
      <w:r w:rsidR="00F84581" w:rsidRPr="00440C66">
        <w:t xml:space="preserve"> HbA</w:t>
      </w:r>
      <w:r w:rsidR="00F84581" w:rsidRPr="00440C66">
        <w:rPr>
          <w:vertAlign w:val="subscript"/>
        </w:rPr>
        <w:t>1c</w:t>
      </w:r>
      <w:r w:rsidRPr="00440C66">
        <w:t xml:space="preserve"> ≥10,0% obserwowano większą redukcję HbA</w:t>
      </w:r>
      <w:r w:rsidRPr="00440C66">
        <w:rPr>
          <w:vertAlign w:val="subscript"/>
        </w:rPr>
        <w:t>1c</w:t>
      </w:r>
      <w:r w:rsidRPr="00440C66">
        <w:t>.</w:t>
      </w:r>
    </w:p>
    <w:p w14:paraId="01FC32D9" w14:textId="77777777" w:rsidR="0090451B" w:rsidRPr="00440C66" w:rsidRDefault="0090451B" w:rsidP="004C760F">
      <w:pPr>
        <w:widowControl w:val="0"/>
        <w:autoSpaceDE w:val="0"/>
        <w:autoSpaceDN w:val="0"/>
        <w:adjustRightInd w:val="0"/>
        <w:rPr>
          <w:rStyle w:val="Char"/>
          <w:rFonts w:ascii="Times New Roman" w:hAnsi="Times New Roman"/>
          <w:b w:val="0"/>
          <w:sz w:val="22"/>
          <w:szCs w:val="22"/>
          <w:lang w:val="pl-PL"/>
        </w:rPr>
      </w:pPr>
    </w:p>
    <w:p w14:paraId="43376920" w14:textId="77777777" w:rsidR="00501050" w:rsidRPr="00440C66" w:rsidRDefault="00501050" w:rsidP="004C760F">
      <w:pPr>
        <w:widowControl w:val="0"/>
        <w:autoSpaceDE w:val="0"/>
        <w:autoSpaceDN w:val="0"/>
        <w:adjustRightInd w:val="0"/>
        <w:ind w:left="0" w:firstLine="0"/>
        <w:rPr>
          <w:rStyle w:val="Char"/>
          <w:rFonts w:ascii="Times New Roman" w:hAnsi="Times New Roman"/>
          <w:b w:val="0"/>
          <w:sz w:val="22"/>
          <w:szCs w:val="22"/>
          <w:lang w:val="pl-PL"/>
        </w:rPr>
      </w:pPr>
      <w:r w:rsidRPr="00440C66">
        <w:rPr>
          <w:rStyle w:val="Char"/>
          <w:rFonts w:ascii="Times New Roman" w:hAnsi="Times New Roman"/>
          <w:b w:val="0"/>
          <w:sz w:val="22"/>
          <w:szCs w:val="22"/>
          <w:lang w:val="pl-PL"/>
        </w:rPr>
        <w:t>Skuteczność i bezpieczeństwo stosowania wildagliptyny (w dawce 50</w:t>
      </w:r>
      <w:r w:rsidR="007E78DE">
        <w:rPr>
          <w:rStyle w:val="Char"/>
          <w:rFonts w:ascii="Times New Roman" w:hAnsi="Times New Roman"/>
          <w:b w:val="0"/>
          <w:sz w:val="22"/>
          <w:szCs w:val="22"/>
          <w:lang w:val="pl-PL"/>
        </w:rPr>
        <w:t> </w:t>
      </w:r>
      <w:r w:rsidRPr="00440C66">
        <w:rPr>
          <w:rStyle w:val="Char"/>
          <w:rFonts w:ascii="Times New Roman" w:hAnsi="Times New Roman"/>
          <w:b w:val="0"/>
          <w:sz w:val="22"/>
          <w:szCs w:val="22"/>
          <w:lang w:val="pl-PL"/>
        </w:rPr>
        <w:t>mg dwa razy na dobę) w skojarzeniu z metforminą (w dawce ≥1500 mg na dobę) i glimepirydem (w dawce ≥4 mg na dobę) oceniano u 318 pacjentów podczas 24-tygodniowego, randomizowanego, podwójnie zaślepionego badania kontrolowanego placebo. Wildagliptyna w skojarzeniu z metforminą i glimepirydem spowodowała znaczne zmniejszenie wartości HbA</w:t>
      </w:r>
      <w:r w:rsidRPr="00440C66">
        <w:rPr>
          <w:rStyle w:val="Char"/>
          <w:rFonts w:ascii="Times New Roman" w:hAnsi="Times New Roman"/>
          <w:b w:val="0"/>
          <w:sz w:val="22"/>
          <w:szCs w:val="22"/>
          <w:vertAlign w:val="subscript"/>
          <w:lang w:val="pl-PL"/>
        </w:rPr>
        <w:t>1</w:t>
      </w:r>
      <w:r w:rsidR="004E033A" w:rsidRPr="00440C66">
        <w:rPr>
          <w:rStyle w:val="Char"/>
          <w:rFonts w:ascii="Times New Roman" w:hAnsi="Times New Roman"/>
          <w:b w:val="0"/>
          <w:sz w:val="22"/>
          <w:szCs w:val="22"/>
          <w:vertAlign w:val="subscript"/>
          <w:lang w:val="pl-PL"/>
        </w:rPr>
        <w:t>c</w:t>
      </w:r>
      <w:r w:rsidRPr="00440C66">
        <w:rPr>
          <w:rStyle w:val="Char"/>
          <w:rFonts w:ascii="Times New Roman" w:hAnsi="Times New Roman"/>
          <w:b w:val="0"/>
          <w:sz w:val="22"/>
          <w:szCs w:val="22"/>
          <w:lang w:val="pl-PL"/>
        </w:rPr>
        <w:t xml:space="preserve"> w porównaniu z placebo. Po dokonaniu korekty względem placebo wartość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zmniejszyła się średnio o </w:t>
      </w:r>
      <w:r w:rsidR="0000251F" w:rsidRPr="00440C66">
        <w:rPr>
          <w:rStyle w:val="Char"/>
          <w:rFonts w:ascii="Times New Roman" w:hAnsi="Times New Roman"/>
          <w:b w:val="0"/>
          <w:sz w:val="22"/>
          <w:szCs w:val="22"/>
          <w:lang w:val="pl-PL"/>
        </w:rPr>
        <w:noBreakHyphen/>
      </w:r>
      <w:r w:rsidRPr="00440C66">
        <w:rPr>
          <w:rStyle w:val="Char"/>
          <w:rFonts w:ascii="Times New Roman" w:hAnsi="Times New Roman"/>
          <w:b w:val="0"/>
          <w:sz w:val="22"/>
          <w:szCs w:val="22"/>
          <w:lang w:val="pl-PL"/>
        </w:rPr>
        <w:t>0,76%w stosunku do średniej wyjściowej wartości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wynoszącej 8,8%.</w:t>
      </w:r>
    </w:p>
    <w:p w14:paraId="3FC8D69B" w14:textId="77777777" w:rsidR="0090451B" w:rsidRDefault="0090451B" w:rsidP="004C760F">
      <w:pPr>
        <w:widowControl w:val="0"/>
        <w:autoSpaceDE w:val="0"/>
        <w:autoSpaceDN w:val="0"/>
        <w:adjustRightInd w:val="0"/>
        <w:rPr>
          <w:szCs w:val="22"/>
        </w:rPr>
      </w:pPr>
    </w:p>
    <w:p w14:paraId="16DDCAF5" w14:textId="5D3710E8" w:rsidR="001B24D3" w:rsidRDefault="001B24D3" w:rsidP="009B6AFB">
      <w:pPr>
        <w:widowControl w:val="0"/>
        <w:autoSpaceDE w:val="0"/>
        <w:autoSpaceDN w:val="0"/>
        <w:adjustRightInd w:val="0"/>
        <w:ind w:left="0" w:firstLine="0"/>
        <w:rPr>
          <w:szCs w:val="22"/>
        </w:rPr>
      </w:pPr>
      <w:r>
        <w:rPr>
          <w:szCs w:val="22"/>
        </w:rPr>
        <w:t>Przeprowadzono pięcioletnie wieloośrodkowe, randomizowane badanie metodą podw</w:t>
      </w:r>
      <w:r w:rsidR="00FD46A8">
        <w:rPr>
          <w:szCs w:val="22"/>
        </w:rPr>
        <w:t>ó</w:t>
      </w:r>
      <w:r>
        <w:rPr>
          <w:szCs w:val="22"/>
        </w:rPr>
        <w:t>jnie ślepej próby (VERIFY) z udziałem pacjentów z cukrzycą typu</w:t>
      </w:r>
      <w:r w:rsidR="009B6AFB">
        <w:rPr>
          <w:szCs w:val="22"/>
        </w:rPr>
        <w:t> </w:t>
      </w:r>
      <w:r>
        <w:rPr>
          <w:szCs w:val="22"/>
        </w:rPr>
        <w:t xml:space="preserve">2 w celu </w:t>
      </w:r>
      <w:r w:rsidRPr="008B20C2">
        <w:rPr>
          <w:szCs w:val="22"/>
        </w:rPr>
        <w:t xml:space="preserve">oceny </w:t>
      </w:r>
      <w:r w:rsidR="00EE7DCE" w:rsidRPr="008B20C2">
        <w:rPr>
          <w:szCs w:val="22"/>
        </w:rPr>
        <w:t>skuteczności</w:t>
      </w:r>
      <w:r w:rsidR="00FD46A8" w:rsidRPr="008B20C2">
        <w:rPr>
          <w:szCs w:val="22"/>
        </w:rPr>
        <w:t xml:space="preserve"> wczesnego</w:t>
      </w:r>
      <w:r w:rsidR="00FD46A8">
        <w:rPr>
          <w:szCs w:val="22"/>
        </w:rPr>
        <w:t xml:space="preserve"> leczenia skojarzonego wildagliptyną </w:t>
      </w:r>
      <w:r w:rsidR="00E1367B">
        <w:rPr>
          <w:szCs w:val="22"/>
        </w:rPr>
        <w:t>z</w:t>
      </w:r>
      <w:r w:rsidR="00FD46A8">
        <w:rPr>
          <w:szCs w:val="22"/>
        </w:rPr>
        <w:t xml:space="preserve"> metforminą (N=998) w porównaniu ze standardowym leczeniem początkowym metforminą w monoterapii,</w:t>
      </w:r>
      <w:r w:rsidR="00E1367B">
        <w:rPr>
          <w:szCs w:val="22"/>
        </w:rPr>
        <w:t xml:space="preserve"> po którym następowało leczenie</w:t>
      </w:r>
      <w:r w:rsidR="00FD46A8">
        <w:rPr>
          <w:szCs w:val="22"/>
        </w:rPr>
        <w:t xml:space="preserve"> skojarz</w:t>
      </w:r>
      <w:r w:rsidR="00441947">
        <w:rPr>
          <w:szCs w:val="22"/>
        </w:rPr>
        <w:t>one</w:t>
      </w:r>
      <w:r w:rsidR="00FD46A8">
        <w:rPr>
          <w:szCs w:val="22"/>
        </w:rPr>
        <w:t xml:space="preserve"> z wildagliptyną (grupa leczenia sekwencyjnego) (N=1 003) u pacjentów z nowo rozpoznaną cukrzycą typu</w:t>
      </w:r>
      <w:r w:rsidR="009B6AFB">
        <w:rPr>
          <w:szCs w:val="22"/>
        </w:rPr>
        <w:t> </w:t>
      </w:r>
      <w:r w:rsidR="00FD46A8">
        <w:rPr>
          <w:szCs w:val="22"/>
        </w:rPr>
        <w:t xml:space="preserve">2. </w:t>
      </w:r>
      <w:r w:rsidR="002779BD">
        <w:rPr>
          <w:szCs w:val="22"/>
        </w:rPr>
        <w:t>Schemat l</w:t>
      </w:r>
      <w:r w:rsidR="00FD46A8">
        <w:rPr>
          <w:szCs w:val="22"/>
        </w:rPr>
        <w:t>eczenia skojarzonego wildagliptyną w dawce 50 mg dwa razy na dobę z metforminą spowodował statystycznie i klinicznie istotne</w:t>
      </w:r>
      <w:r w:rsidR="002779BD">
        <w:rPr>
          <w:szCs w:val="22"/>
        </w:rPr>
        <w:t xml:space="preserve"> względne</w:t>
      </w:r>
      <w:r w:rsidR="00FD46A8">
        <w:rPr>
          <w:szCs w:val="22"/>
        </w:rPr>
        <w:t xml:space="preserve"> zmniejszenie ryzyka dla parametru „czas do potwierdzonego niepowodzenia leczenia początkowego” (</w:t>
      </w:r>
      <w:r w:rsidR="00E1367B">
        <w:rPr>
          <w:szCs w:val="22"/>
        </w:rPr>
        <w:t xml:space="preserve">wartość </w:t>
      </w:r>
      <w:r w:rsidR="00FD46A8">
        <w:rPr>
          <w:szCs w:val="22"/>
        </w:rPr>
        <w:t>Hb</w:t>
      </w:r>
      <w:r w:rsidR="00E1367B">
        <w:rPr>
          <w:szCs w:val="22"/>
        </w:rPr>
        <w:t>A</w:t>
      </w:r>
      <w:r w:rsidR="00E1367B">
        <w:rPr>
          <w:szCs w:val="22"/>
          <w:vertAlign w:val="subscript"/>
        </w:rPr>
        <w:t>1c</w:t>
      </w:r>
      <w:r w:rsidR="00E1367B">
        <w:rPr>
          <w:szCs w:val="22"/>
        </w:rPr>
        <w:t xml:space="preserve"> ≥7%) w porównaniu z monoterapią metforminą u wcześniej nieleczonych pacjentów z cukrzycą typu 2 w 5</w:t>
      </w:r>
      <w:r w:rsidR="009B6AFB">
        <w:rPr>
          <w:szCs w:val="22"/>
        </w:rPr>
        <w:noBreakHyphen/>
      </w:r>
      <w:r w:rsidR="00E1367B">
        <w:rPr>
          <w:szCs w:val="22"/>
        </w:rPr>
        <w:t>letnim okresie trwania badania</w:t>
      </w:r>
      <w:r w:rsidR="002779BD">
        <w:rPr>
          <w:szCs w:val="22"/>
        </w:rPr>
        <w:t xml:space="preserve"> (HR [9</w:t>
      </w:r>
      <w:r w:rsidR="001F391F">
        <w:rPr>
          <w:szCs w:val="22"/>
        </w:rPr>
        <w:t>5</w:t>
      </w:r>
      <w:r w:rsidR="002779BD">
        <w:rPr>
          <w:szCs w:val="22"/>
        </w:rPr>
        <w:t>% CI]: 0,51 [0,45; 0,58]; p&lt;0,001)</w:t>
      </w:r>
      <w:r w:rsidR="00E1367B">
        <w:rPr>
          <w:szCs w:val="22"/>
        </w:rPr>
        <w:t>. Częstość występowania niepowodzenia terapii</w:t>
      </w:r>
      <w:r w:rsidR="00565BF1">
        <w:rPr>
          <w:szCs w:val="22"/>
        </w:rPr>
        <w:t xml:space="preserve"> początkowej</w:t>
      </w:r>
      <w:r w:rsidR="00E1367B">
        <w:rPr>
          <w:szCs w:val="22"/>
        </w:rPr>
        <w:t xml:space="preserve"> (wartość HbA</w:t>
      </w:r>
      <w:r w:rsidR="00E1367B">
        <w:rPr>
          <w:szCs w:val="22"/>
          <w:vertAlign w:val="subscript"/>
        </w:rPr>
        <w:t>1c</w:t>
      </w:r>
      <w:r w:rsidR="00E1367B">
        <w:rPr>
          <w:szCs w:val="22"/>
        </w:rPr>
        <w:t xml:space="preserve"> ≥7%) wyniosła 429 (43,6%) pacjentów w grupie leczenia skojarzonego i 614 (62,1%) pacjentów w grupie leczenia sekwencyjnego.</w:t>
      </w:r>
    </w:p>
    <w:p w14:paraId="55BFD9E4" w14:textId="77777777" w:rsidR="001B24D3" w:rsidRPr="00440C66" w:rsidRDefault="001B24D3" w:rsidP="009B6AFB">
      <w:pPr>
        <w:widowControl w:val="0"/>
        <w:autoSpaceDE w:val="0"/>
        <w:autoSpaceDN w:val="0"/>
        <w:adjustRightInd w:val="0"/>
        <w:ind w:left="0" w:firstLine="0"/>
        <w:rPr>
          <w:szCs w:val="22"/>
        </w:rPr>
      </w:pPr>
    </w:p>
    <w:p w14:paraId="3C16E535" w14:textId="2490758A" w:rsidR="00501050" w:rsidRPr="00440C66" w:rsidRDefault="00501050" w:rsidP="004C760F">
      <w:pPr>
        <w:widowControl w:val="0"/>
        <w:autoSpaceDE w:val="0"/>
        <w:autoSpaceDN w:val="0"/>
        <w:adjustRightInd w:val="0"/>
        <w:ind w:left="0" w:firstLine="0"/>
        <w:rPr>
          <w:szCs w:val="22"/>
        </w:rPr>
      </w:pPr>
      <w:r w:rsidRPr="00440C66">
        <w:rPr>
          <w:szCs w:val="22"/>
        </w:rPr>
        <w:t>Przeprowadzono 24-tygodniowe, randomizowane, podwójnie zaślepione badanie kontrolowane placebo z udziałem 449 pacjentów w celu oceny skuteczności i bezpieczeństwa stosowania wildagliptyny (w dawce 50 mg dwa razy na dobę) w skojarzeniu ze stałą dawką insuliny bazalnej lub gotowej mieszanki insulinowej (średnia dawka dobowa 41 jednostek), z jednoczesnym stosowaniem metforminy (n=276) lub bez</w:t>
      </w:r>
      <w:r w:rsidR="004029EE" w:rsidRPr="00440C66">
        <w:rPr>
          <w:szCs w:val="22"/>
        </w:rPr>
        <w:t xml:space="preserve"> </w:t>
      </w:r>
      <w:r w:rsidR="006D3759" w:rsidRPr="00440C66">
        <w:rPr>
          <w:szCs w:val="22"/>
        </w:rPr>
        <w:t xml:space="preserve">jej stosowania </w:t>
      </w:r>
      <w:r w:rsidRPr="00440C66">
        <w:rPr>
          <w:szCs w:val="22"/>
        </w:rPr>
        <w:t>(n=173). Wildagliptyna w skojarzeniu z insuliną powodowała istotne zmniejszenie wartości HbA</w:t>
      </w:r>
      <w:r w:rsidRPr="00440C66">
        <w:rPr>
          <w:szCs w:val="22"/>
          <w:vertAlign w:val="subscript"/>
        </w:rPr>
        <w:t>1c</w:t>
      </w:r>
      <w:r w:rsidRPr="00440C66">
        <w:rPr>
          <w:szCs w:val="22"/>
        </w:rPr>
        <w:t xml:space="preserve"> w porównaniu z placebo. W całej populacji pacjentów średnie zmniejszenie względem średniej wyjściowej wartości HbA</w:t>
      </w:r>
      <w:r w:rsidRPr="00440C66">
        <w:rPr>
          <w:szCs w:val="22"/>
          <w:vertAlign w:val="subscript"/>
        </w:rPr>
        <w:t>1c</w:t>
      </w:r>
      <w:r w:rsidRPr="00440C66">
        <w:rPr>
          <w:szCs w:val="22"/>
        </w:rPr>
        <w:t xml:space="preserve"> wynoszącej 8,8%, skorygowane względem placebo wyniosło </w:t>
      </w:r>
      <w:r w:rsidRPr="00440C66">
        <w:rPr>
          <w:szCs w:val="22"/>
        </w:rPr>
        <w:noBreakHyphen/>
        <w:t xml:space="preserve">0,72%. W podgrupach pacjentów leczonych insuliną z </w:t>
      </w:r>
      <w:r w:rsidRPr="00440C66">
        <w:rPr>
          <w:szCs w:val="22"/>
        </w:rPr>
        <w:lastRenderedPageBreak/>
        <w:t>jednoczesnym stosowaniem metforminy lub bez</w:t>
      </w:r>
      <w:r w:rsidR="004D5553" w:rsidRPr="00440C66">
        <w:rPr>
          <w:szCs w:val="22"/>
        </w:rPr>
        <w:t xml:space="preserve"> jej stosowania</w:t>
      </w:r>
      <w:r w:rsidRPr="00440C66">
        <w:rPr>
          <w:szCs w:val="22"/>
        </w:rPr>
        <w:t>, średnie zmniejszenie wartości HbA</w:t>
      </w:r>
      <w:r w:rsidRPr="00440C66">
        <w:rPr>
          <w:szCs w:val="22"/>
          <w:vertAlign w:val="subscript"/>
        </w:rPr>
        <w:t>1c</w:t>
      </w:r>
      <w:r w:rsidRPr="00440C66">
        <w:rPr>
          <w:szCs w:val="22"/>
        </w:rPr>
        <w:t xml:space="preserve"> skorygowane względem placebo wyniosło odpowiednio </w:t>
      </w:r>
      <w:r w:rsidRPr="00440C66">
        <w:rPr>
          <w:szCs w:val="22"/>
        </w:rPr>
        <w:noBreakHyphen/>
        <w:t xml:space="preserve">0,63% i </w:t>
      </w:r>
      <w:r w:rsidRPr="00440C66">
        <w:rPr>
          <w:szCs w:val="22"/>
        </w:rPr>
        <w:noBreakHyphen/>
        <w:t>0,84%. Częstość występowania hipoglikemii w całej populacji pacjentów wyniosła 8,4% i 7,2% odpowiednio w grupie wildagliptyny i</w:t>
      </w:r>
      <w:r w:rsidR="00A21B39">
        <w:rPr>
          <w:szCs w:val="22"/>
        </w:rPr>
        <w:t> </w:t>
      </w:r>
      <w:r w:rsidRPr="00440C66">
        <w:rPr>
          <w:szCs w:val="22"/>
        </w:rPr>
        <w:t xml:space="preserve">placebo. U pacjentów otrzymujących wildagliptynę nie doszło do </w:t>
      </w:r>
      <w:r w:rsidR="004E3304" w:rsidRPr="00440C66">
        <w:rPr>
          <w:szCs w:val="22"/>
        </w:rPr>
        <w:t xml:space="preserve">zwiększenia </w:t>
      </w:r>
      <w:r w:rsidRPr="00440C66">
        <w:rPr>
          <w:szCs w:val="22"/>
        </w:rPr>
        <w:t>masy ciała (+0,2 kg), natomiast u pacjentów przyjmujących placebo masa ciała zmniejszyła się (</w:t>
      </w:r>
      <w:r w:rsidRPr="00440C66">
        <w:rPr>
          <w:szCs w:val="22"/>
        </w:rPr>
        <w:noBreakHyphen/>
        <w:t>0,7 kg).</w:t>
      </w:r>
    </w:p>
    <w:p w14:paraId="5563F2E0" w14:textId="77777777" w:rsidR="0090451B" w:rsidRPr="00440C66" w:rsidRDefault="0090451B" w:rsidP="004C760F">
      <w:pPr>
        <w:widowControl w:val="0"/>
        <w:autoSpaceDE w:val="0"/>
        <w:autoSpaceDN w:val="0"/>
        <w:adjustRightInd w:val="0"/>
        <w:rPr>
          <w:szCs w:val="22"/>
        </w:rPr>
      </w:pPr>
    </w:p>
    <w:p w14:paraId="7669664B" w14:textId="54FA0021" w:rsidR="009F571E" w:rsidRPr="00440C66" w:rsidRDefault="00501050" w:rsidP="004C760F">
      <w:pPr>
        <w:widowControl w:val="0"/>
        <w:ind w:left="0" w:firstLine="0"/>
        <w:rPr>
          <w:rStyle w:val="Char"/>
          <w:rFonts w:ascii="Times New Roman" w:hAnsi="Times New Roman"/>
          <w:b w:val="0"/>
          <w:sz w:val="22"/>
          <w:szCs w:val="22"/>
          <w:lang w:val="pl-PL"/>
        </w:rPr>
      </w:pPr>
      <w:r w:rsidRPr="00440C66">
        <w:rPr>
          <w:rStyle w:val="Char"/>
          <w:rFonts w:ascii="Times New Roman" w:hAnsi="Times New Roman"/>
          <w:b w:val="0"/>
          <w:sz w:val="22"/>
          <w:szCs w:val="22"/>
          <w:lang w:val="pl-PL"/>
        </w:rPr>
        <w:t xml:space="preserve">W </w:t>
      </w:r>
      <w:r w:rsidR="002031EC" w:rsidRPr="00440C66">
        <w:rPr>
          <w:rStyle w:val="Char"/>
          <w:rFonts w:ascii="Times New Roman" w:hAnsi="Times New Roman"/>
          <w:b w:val="0"/>
          <w:sz w:val="22"/>
          <w:szCs w:val="22"/>
          <w:lang w:val="pl-PL"/>
        </w:rPr>
        <w:t xml:space="preserve">innym </w:t>
      </w:r>
      <w:r w:rsidRPr="00440C66">
        <w:rPr>
          <w:rStyle w:val="Char"/>
          <w:rFonts w:ascii="Times New Roman" w:hAnsi="Times New Roman"/>
          <w:b w:val="0"/>
          <w:sz w:val="22"/>
          <w:szCs w:val="22"/>
          <w:lang w:val="pl-PL"/>
        </w:rPr>
        <w:t>24-tygodniowym badaniu z udziałem pacjentów z bardziej zaawansowaną cukrzycą typu 2 niedostatecznie kontrolowaną za pomocą insuliny (krótko i dłużej działającej, średnia dawka insuliny 80 j.m./dobę), średnie zmniejszenie wartości HbA</w:t>
      </w:r>
      <w:r w:rsidRPr="00440C66">
        <w:rPr>
          <w:rStyle w:val="Char"/>
          <w:rFonts w:ascii="Times New Roman" w:hAnsi="Times New Roman"/>
          <w:b w:val="0"/>
          <w:sz w:val="22"/>
          <w:szCs w:val="22"/>
          <w:vertAlign w:val="subscript"/>
          <w:lang w:val="pl-PL"/>
        </w:rPr>
        <w:t>1c</w:t>
      </w:r>
      <w:r w:rsidRPr="00440C66">
        <w:rPr>
          <w:rStyle w:val="Char"/>
          <w:rFonts w:ascii="Times New Roman" w:hAnsi="Times New Roman"/>
          <w:b w:val="0"/>
          <w:sz w:val="22"/>
          <w:szCs w:val="22"/>
          <w:lang w:val="pl-PL"/>
        </w:rPr>
        <w:t xml:space="preserve"> po dodaniu wildagliptyny (w dawce 50 mg dwa razy na dobę) do leczenia insuliną</w:t>
      </w:r>
      <w:r w:rsidR="002031EC" w:rsidRPr="00440C66">
        <w:rPr>
          <w:rStyle w:val="Char"/>
          <w:rFonts w:ascii="Times New Roman" w:hAnsi="Times New Roman"/>
          <w:b w:val="0"/>
          <w:sz w:val="22"/>
          <w:szCs w:val="22"/>
          <w:lang w:val="pl-PL"/>
        </w:rPr>
        <w:t>,</w:t>
      </w:r>
      <w:r w:rsidRPr="00440C66">
        <w:rPr>
          <w:rStyle w:val="Char"/>
          <w:rFonts w:ascii="Times New Roman" w:hAnsi="Times New Roman"/>
          <w:b w:val="0"/>
          <w:sz w:val="22"/>
          <w:szCs w:val="22"/>
          <w:lang w:val="pl-PL"/>
        </w:rPr>
        <w:t xml:space="preserve"> było statystycznie istotnie większe niż po zastosowaniu placebo z</w:t>
      </w:r>
      <w:r w:rsidR="00A21B39">
        <w:rPr>
          <w:rStyle w:val="Char"/>
          <w:rFonts w:ascii="Times New Roman" w:hAnsi="Times New Roman"/>
          <w:b w:val="0"/>
          <w:sz w:val="22"/>
          <w:szCs w:val="22"/>
          <w:lang w:val="pl-PL"/>
        </w:rPr>
        <w:t> </w:t>
      </w:r>
      <w:r w:rsidRPr="00440C66">
        <w:rPr>
          <w:rStyle w:val="Char"/>
          <w:rFonts w:ascii="Times New Roman" w:hAnsi="Times New Roman"/>
          <w:b w:val="0"/>
          <w:sz w:val="22"/>
          <w:szCs w:val="22"/>
          <w:lang w:val="pl-PL"/>
        </w:rPr>
        <w:t>insuliną (0,5% w porównaniu do 0,2%). Częstość występowania hipoglikemii była mniejsza w grupie wildagliptyny niż w grupie placebo (22,9% w porównaniu do 29,6%).</w:t>
      </w:r>
    </w:p>
    <w:p w14:paraId="4486532B" w14:textId="77777777" w:rsidR="0090451B" w:rsidRPr="00440C66" w:rsidRDefault="0090451B" w:rsidP="004C760F">
      <w:pPr>
        <w:widowControl w:val="0"/>
        <w:ind w:left="0" w:firstLine="0"/>
        <w:rPr>
          <w:u w:val="single"/>
        </w:rPr>
      </w:pPr>
    </w:p>
    <w:p w14:paraId="70315F47" w14:textId="77777777" w:rsidR="00BE489B" w:rsidRPr="00AC6206" w:rsidRDefault="00BE489B" w:rsidP="00BE489B">
      <w:pPr>
        <w:keepNext/>
        <w:autoSpaceDE w:val="0"/>
        <w:autoSpaceDN w:val="0"/>
        <w:rPr>
          <w:i/>
          <w:iCs/>
          <w:color w:val="333333"/>
          <w:u w:val="single"/>
        </w:rPr>
      </w:pPr>
      <w:r w:rsidRPr="00AC6206">
        <w:rPr>
          <w:i/>
          <w:iCs/>
          <w:color w:val="333333"/>
          <w:u w:val="single"/>
        </w:rPr>
        <w:t>Ryzyko chorób sercowo-naczyniowych</w:t>
      </w:r>
    </w:p>
    <w:p w14:paraId="31210BA6" w14:textId="77777777" w:rsidR="00BE489B" w:rsidRDefault="00BE489B" w:rsidP="00BE489B">
      <w:pPr>
        <w:ind w:left="0" w:firstLine="0"/>
        <w:rPr>
          <w:color w:val="333333"/>
        </w:rPr>
      </w:pPr>
      <w:r w:rsidRPr="00AC6206">
        <w:t>W przeprowadzonej meta-analizie niezależnie i prospektywnie oceniającej występowanie zdarzeń sercowo-naczyniowych w 37 badaniach klinicznych fazy III i IV z monoterapią i leczeniem skojarzonym, trwających do ponad 2 lat (średni czas ekspozycji wyniósł 50</w:t>
      </w:r>
      <w:r w:rsidR="007952A3">
        <w:t> </w:t>
      </w:r>
      <w:r w:rsidRPr="00AC6206">
        <w:t>tygodni dla wildagliptyny i 49</w:t>
      </w:r>
      <w:r w:rsidR="007952A3">
        <w:t> </w:t>
      </w:r>
      <w:r w:rsidRPr="00AC6206">
        <w:t xml:space="preserve">tygodni dla produktów porównawczych) wykazano, że leczenie wildagliptyną nie wiązało się ze zwiększonym ryzykiem chorób sercowo-naczyniowych w porównaniu do leków porównawczych. </w:t>
      </w:r>
      <w:r w:rsidRPr="00AC6206">
        <w:rPr>
          <w:color w:val="333333"/>
        </w:rPr>
        <w:t xml:space="preserve">Punkt końcowy złożony z ocenionych ciężkich zdarzeń sercowo-naczyniowych (MACE) obejmujących ostry zawał mięśnia sercowego, udar lub zgon z przyczyn sercowo-naczyniowych był podobny dla wildagliptyny w porównaniu z czynnym </w:t>
      </w:r>
      <w:r w:rsidRPr="00AC6206">
        <w:t xml:space="preserve">lekiem porównawczym </w:t>
      </w:r>
      <w:r w:rsidRPr="00AC6206">
        <w:rPr>
          <w:color w:val="333333"/>
        </w:rPr>
        <w:t>oraz placebo [współczynnik ryzyka Mantel-Haenszela (M-H RR) wyniósł 0,82 (95% CI 0,61</w:t>
      </w:r>
      <w:r w:rsidRPr="00AC6206">
        <w:rPr>
          <w:color w:val="333333"/>
        </w:rPr>
        <w:noBreakHyphen/>
        <w:t>1,11)]. MACE wystąpiło u 83 z 9 599 (0,86%) pacjentów leczonych wildagliptyną oraz u 85 z 7 102 (1,20%) pacjentów otrzymujących lek porównawczy. Ocena każdego z poszczególnych elementów MACE nie wykazała zwiększonego ryzyka (podobny M-H RR). Zdarzenia potwierdzonej niewydolności serca (HF) definiowane jako HF wymagająca hospitalizacji lub nowy przypadek HF były zgłaszane u 41 (0,43%) pacjentów leczonych wildagliptyną i u 32 (0,45%) pacjentów otrzymujących produkt porównawczy, a M-H RR wyniósł 1,08 (95% CI 0,68-1,70).</w:t>
      </w:r>
    </w:p>
    <w:p w14:paraId="5BC8A5A9" w14:textId="77777777" w:rsidR="005A315B" w:rsidRPr="00440C66" w:rsidRDefault="005A315B" w:rsidP="004C760F">
      <w:pPr>
        <w:widowControl w:val="0"/>
        <w:ind w:left="0" w:firstLine="0"/>
        <w:rPr>
          <w:u w:val="single"/>
        </w:rPr>
      </w:pPr>
    </w:p>
    <w:p w14:paraId="3B8833BD" w14:textId="77777777" w:rsidR="009F571E" w:rsidRDefault="009F571E" w:rsidP="004C760F">
      <w:pPr>
        <w:keepNext/>
        <w:widowControl w:val="0"/>
        <w:ind w:left="0" w:firstLine="0"/>
        <w:rPr>
          <w:u w:val="single"/>
        </w:rPr>
      </w:pPr>
      <w:r w:rsidRPr="00440C66">
        <w:rPr>
          <w:u w:val="single"/>
        </w:rPr>
        <w:t>Dzieci i młodzież</w:t>
      </w:r>
    </w:p>
    <w:p w14:paraId="7335B059" w14:textId="77777777" w:rsidR="007E78DE" w:rsidRPr="00440C66" w:rsidRDefault="007E78DE" w:rsidP="004C760F">
      <w:pPr>
        <w:keepNext/>
        <w:widowControl w:val="0"/>
        <w:ind w:left="0" w:firstLine="0"/>
        <w:rPr>
          <w:u w:val="single"/>
        </w:rPr>
      </w:pPr>
    </w:p>
    <w:p w14:paraId="6DBB4C9A" w14:textId="15E3D964" w:rsidR="00471F63" w:rsidRPr="00440C66" w:rsidRDefault="009F571E" w:rsidP="004C760F">
      <w:pPr>
        <w:widowControl w:val="0"/>
        <w:ind w:left="0" w:firstLine="0"/>
      </w:pPr>
      <w:r w:rsidRPr="00440C66">
        <w:rPr>
          <w:noProof/>
          <w:szCs w:val="22"/>
        </w:rPr>
        <w:t>Europejska Agencja Leków uchyliła obowiązek dołączania wyników badań</w:t>
      </w:r>
      <w:r w:rsidR="00555599">
        <w:rPr>
          <w:noProof/>
          <w:szCs w:val="22"/>
        </w:rPr>
        <w:t xml:space="preserve"> produktu leczniczego </w:t>
      </w:r>
      <w:r w:rsidR="00F70D97" w:rsidRPr="001C2341">
        <w:rPr>
          <w:noProof/>
          <w:szCs w:val="22"/>
        </w:rPr>
        <w:t xml:space="preserve">złożonego </w:t>
      </w:r>
      <w:r w:rsidR="00555599" w:rsidRPr="005811F9">
        <w:rPr>
          <w:noProof/>
          <w:szCs w:val="22"/>
        </w:rPr>
        <w:t xml:space="preserve">zawierającego </w:t>
      </w:r>
      <w:r w:rsidRPr="001C2341">
        <w:rPr>
          <w:noProof/>
          <w:szCs w:val="22"/>
        </w:rPr>
        <w:t>wildagliptyn</w:t>
      </w:r>
      <w:r w:rsidR="00555599" w:rsidRPr="001C2341">
        <w:rPr>
          <w:noProof/>
          <w:szCs w:val="22"/>
        </w:rPr>
        <w:t>ę</w:t>
      </w:r>
      <w:r w:rsidRPr="001C2341">
        <w:rPr>
          <w:noProof/>
          <w:szCs w:val="22"/>
        </w:rPr>
        <w:t xml:space="preserve"> </w:t>
      </w:r>
      <w:r w:rsidR="00E72452" w:rsidRPr="001C2341">
        <w:rPr>
          <w:noProof/>
          <w:szCs w:val="22"/>
        </w:rPr>
        <w:t xml:space="preserve">i metforminę </w:t>
      </w:r>
      <w:r w:rsidRPr="001C2341">
        <w:rPr>
          <w:noProof/>
          <w:szCs w:val="22"/>
        </w:rPr>
        <w:t>we wszystkich podgrupach populacji dzieci i</w:t>
      </w:r>
      <w:r w:rsidR="00A21B39">
        <w:rPr>
          <w:noProof/>
          <w:szCs w:val="22"/>
        </w:rPr>
        <w:t> </w:t>
      </w:r>
      <w:r w:rsidRPr="00440C66">
        <w:rPr>
          <w:noProof/>
          <w:szCs w:val="22"/>
        </w:rPr>
        <w:t>młodzieży z cukrzycą typu 2 (stosowanie u dzieci i młodzieży, patrz punkt</w:t>
      </w:r>
      <w:r w:rsidR="007E78DE">
        <w:rPr>
          <w:noProof/>
          <w:szCs w:val="22"/>
        </w:rPr>
        <w:t> </w:t>
      </w:r>
      <w:r w:rsidRPr="00440C66">
        <w:rPr>
          <w:noProof/>
          <w:szCs w:val="22"/>
        </w:rPr>
        <w:t>4.2).</w:t>
      </w:r>
    </w:p>
    <w:p w14:paraId="45769CF7" w14:textId="77777777" w:rsidR="008A2514" w:rsidRPr="00440C66" w:rsidRDefault="008A2514" w:rsidP="004C760F">
      <w:pPr>
        <w:widowControl w:val="0"/>
        <w:ind w:left="0" w:firstLine="0"/>
      </w:pPr>
    </w:p>
    <w:p w14:paraId="727094A8" w14:textId="77777777" w:rsidR="00F33CC1" w:rsidRPr="00440C66" w:rsidRDefault="008A2514" w:rsidP="004C760F">
      <w:pPr>
        <w:keepNext/>
        <w:widowControl w:val="0"/>
        <w:rPr>
          <w:b/>
        </w:rPr>
      </w:pPr>
      <w:r w:rsidRPr="00440C66">
        <w:rPr>
          <w:b/>
        </w:rPr>
        <w:t>5.2</w:t>
      </w:r>
      <w:r w:rsidRPr="00440C66">
        <w:rPr>
          <w:b/>
        </w:rPr>
        <w:tab/>
        <w:t>Właściwości farmakokinetyczne</w:t>
      </w:r>
    </w:p>
    <w:p w14:paraId="6403E492" w14:textId="77777777" w:rsidR="008A2514" w:rsidRPr="00440C66" w:rsidRDefault="008A2514" w:rsidP="004C760F">
      <w:pPr>
        <w:keepNext/>
        <w:widowControl w:val="0"/>
      </w:pPr>
    </w:p>
    <w:p w14:paraId="0464927B" w14:textId="02FE50B5" w:rsidR="00981FA2" w:rsidRPr="00FC35A4" w:rsidRDefault="00070C89" w:rsidP="004C760F">
      <w:pPr>
        <w:keepNext/>
        <w:widowControl w:val="0"/>
        <w:ind w:left="0" w:firstLine="0"/>
        <w:rPr>
          <w:i/>
          <w:iCs/>
          <w:u w:val="single"/>
        </w:rPr>
      </w:pPr>
      <w:r w:rsidRPr="00070C89">
        <w:rPr>
          <w:i/>
          <w:iCs/>
          <w:u w:val="single"/>
        </w:rPr>
        <w:t>Vildagliptin/Metformin hydrochloride Accord</w:t>
      </w:r>
    </w:p>
    <w:p w14:paraId="21541934" w14:textId="77777777" w:rsidR="007E78DE" w:rsidRPr="00440C66" w:rsidRDefault="007E78DE" w:rsidP="004C760F">
      <w:pPr>
        <w:keepNext/>
        <w:widowControl w:val="0"/>
        <w:ind w:left="0" w:firstLine="0"/>
        <w:rPr>
          <w:u w:val="single"/>
        </w:rPr>
      </w:pPr>
    </w:p>
    <w:p w14:paraId="3257B349" w14:textId="77777777" w:rsidR="00981FA2" w:rsidRPr="001C2341" w:rsidRDefault="00981FA2" w:rsidP="004C760F">
      <w:pPr>
        <w:keepNext/>
        <w:widowControl w:val="0"/>
        <w:ind w:left="0" w:firstLine="0"/>
        <w:rPr>
          <w:i/>
          <w:u w:val="single"/>
        </w:rPr>
      </w:pPr>
      <w:r w:rsidRPr="001C2341">
        <w:rPr>
          <w:i/>
          <w:u w:val="single"/>
        </w:rPr>
        <w:t>Wchłanianie</w:t>
      </w:r>
    </w:p>
    <w:p w14:paraId="6985D7BA" w14:textId="651F80BE" w:rsidR="00F33CC1" w:rsidRPr="00440C66" w:rsidRDefault="00B741C0" w:rsidP="004C760F">
      <w:pPr>
        <w:widowControl w:val="0"/>
        <w:ind w:left="0" w:firstLine="0"/>
      </w:pPr>
      <w:r w:rsidRPr="00440C66">
        <w:t>Wykazano biorównoważ</w:t>
      </w:r>
      <w:r w:rsidR="00663CB9" w:rsidRPr="00440C66">
        <w:t xml:space="preserve">ność pomiędzy </w:t>
      </w:r>
      <w:r w:rsidR="00070C89">
        <w:t>produktem</w:t>
      </w:r>
      <w:r w:rsidR="00070C89" w:rsidRPr="00070C89">
        <w:t xml:space="preserve"> Vildagliptin/Metformin hydrochloride Accord</w:t>
      </w:r>
      <w:r w:rsidR="003958C1" w:rsidRPr="00440C66">
        <w:t xml:space="preserve"> w trzech dawkach (50 mg/500</w:t>
      </w:r>
      <w:r w:rsidR="00644311" w:rsidRPr="00440C66">
        <w:t> </w:t>
      </w:r>
      <w:r w:rsidR="003958C1" w:rsidRPr="00440C66">
        <w:t>mg, 50 mg/850 mg i 50 mg/1000 </w:t>
      </w:r>
      <w:r w:rsidR="00663CB9" w:rsidRPr="00440C66">
        <w:t xml:space="preserve">mg) a połączeniem tabletek wildagliptyny z chlorowodorkiem </w:t>
      </w:r>
      <w:r w:rsidR="00C80B3E" w:rsidRPr="00440C66">
        <w:t xml:space="preserve">metforminy </w:t>
      </w:r>
      <w:r w:rsidR="00663CB9" w:rsidRPr="00440C66">
        <w:t>w analogicznych dawkach.</w:t>
      </w:r>
    </w:p>
    <w:p w14:paraId="4EB1DD1A" w14:textId="77777777" w:rsidR="00663CB9" w:rsidRPr="00440C66" w:rsidRDefault="00663CB9" w:rsidP="004C760F">
      <w:pPr>
        <w:widowControl w:val="0"/>
        <w:ind w:left="0" w:firstLine="0"/>
      </w:pPr>
    </w:p>
    <w:p w14:paraId="187C02D1" w14:textId="7C14014B" w:rsidR="00663CB9" w:rsidRPr="00440C66" w:rsidRDefault="00663CB9" w:rsidP="004C760F">
      <w:pPr>
        <w:widowControl w:val="0"/>
        <w:ind w:left="0" w:firstLine="0"/>
      </w:pPr>
      <w:r w:rsidRPr="00440C66">
        <w:t xml:space="preserve">Pokarm nie wpływa na zakres i tempo wchłaniania wildagliptyny z </w:t>
      </w:r>
      <w:r w:rsidR="00070C89">
        <w:t>produktu</w:t>
      </w:r>
      <w:r w:rsidR="00070C89" w:rsidRPr="00070C89">
        <w:t xml:space="preserve"> Vildagliptin/Metformin hydrochloride Accord</w:t>
      </w:r>
      <w:r w:rsidRPr="00440C66">
        <w:t xml:space="preserve">. Zakres i </w:t>
      </w:r>
      <w:r w:rsidR="00105183" w:rsidRPr="00440C66">
        <w:t xml:space="preserve">szybkość </w:t>
      </w:r>
      <w:r w:rsidRPr="00440C66">
        <w:t>wchłaniania metforminy</w:t>
      </w:r>
      <w:r w:rsidR="0063035C" w:rsidRPr="00440C66">
        <w:t xml:space="preserve"> z </w:t>
      </w:r>
      <w:r w:rsidR="00070C89">
        <w:t>produktu</w:t>
      </w:r>
      <w:r w:rsidR="0063035C" w:rsidRPr="00440C66">
        <w:t xml:space="preserve"> </w:t>
      </w:r>
      <w:r w:rsidR="00070C89" w:rsidRPr="00070C89">
        <w:t xml:space="preserve">Vildagliptin/Metformin hydrochloride Accord </w:t>
      </w:r>
      <w:r w:rsidR="00761848">
        <w:t xml:space="preserve">w dawce </w:t>
      </w:r>
      <w:r w:rsidR="0063035C" w:rsidRPr="00440C66">
        <w:t>50 mg/1000 </w:t>
      </w:r>
      <w:r w:rsidRPr="00440C66">
        <w:t xml:space="preserve">mg były zmniejszone, gdy podawano </w:t>
      </w:r>
      <w:r w:rsidR="00C80B3E">
        <w:t>go</w:t>
      </w:r>
      <w:r w:rsidR="00761848">
        <w:t xml:space="preserve"> </w:t>
      </w:r>
      <w:r w:rsidRPr="00440C66">
        <w:t>z pokarmem, co znalazło odzwierciedlenie w</w:t>
      </w:r>
      <w:r w:rsidR="00A21B39">
        <w:t> </w:t>
      </w:r>
      <w:r w:rsidRPr="00440C66">
        <w:t>zmniejszeniu wartości C</w:t>
      </w:r>
      <w:r w:rsidRPr="00440C66">
        <w:rPr>
          <w:vertAlign w:val="subscript"/>
        </w:rPr>
        <w:t>max</w:t>
      </w:r>
      <w:r w:rsidRPr="00440C66">
        <w:t xml:space="preserve"> o 26%, AUC – o 7% i opóźnieniu czasu T</w:t>
      </w:r>
      <w:r w:rsidRPr="00440C66">
        <w:rPr>
          <w:vertAlign w:val="subscript"/>
        </w:rPr>
        <w:t>max</w:t>
      </w:r>
      <w:r w:rsidR="0063035C" w:rsidRPr="00440C66">
        <w:t xml:space="preserve"> (2 do 4 </w:t>
      </w:r>
      <w:r w:rsidRPr="00440C66">
        <w:t>h).</w:t>
      </w:r>
    </w:p>
    <w:p w14:paraId="6884D3A1" w14:textId="77777777" w:rsidR="00663CB9" w:rsidRPr="00440C66" w:rsidRDefault="00663CB9" w:rsidP="004C760F">
      <w:pPr>
        <w:widowControl w:val="0"/>
        <w:ind w:left="0" w:firstLine="0"/>
      </w:pPr>
    </w:p>
    <w:p w14:paraId="4AB7C12C" w14:textId="7A3AE54B" w:rsidR="00663CB9" w:rsidRPr="00440C66" w:rsidRDefault="0063035C" w:rsidP="004C760F">
      <w:pPr>
        <w:keepNext/>
        <w:widowControl w:val="0"/>
        <w:ind w:left="0" w:firstLine="0"/>
      </w:pPr>
      <w:r w:rsidRPr="00440C66">
        <w:t xml:space="preserve">Poniższe </w:t>
      </w:r>
      <w:r w:rsidR="00122BD7" w:rsidRPr="00440C66">
        <w:t xml:space="preserve">informacje </w:t>
      </w:r>
      <w:r w:rsidRPr="00440C66">
        <w:t>odzwierciedlają</w:t>
      </w:r>
      <w:r w:rsidR="00663CB9" w:rsidRPr="00440C66">
        <w:t xml:space="preserve"> właściwości farmakokinetyczne substancji czynnych </w:t>
      </w:r>
      <w:r w:rsidR="00663CB9" w:rsidRPr="00440C66">
        <w:lastRenderedPageBreak/>
        <w:t xml:space="preserve">wchodzących w skład </w:t>
      </w:r>
      <w:r w:rsidR="00070C89">
        <w:t>produktu</w:t>
      </w:r>
      <w:r w:rsidR="00070C89" w:rsidRPr="00070C89">
        <w:t xml:space="preserve"> Vildagliptin/Metformin hydrochloride Accord</w:t>
      </w:r>
      <w:r w:rsidR="00663CB9" w:rsidRPr="00440C66">
        <w:t>.</w:t>
      </w:r>
    </w:p>
    <w:p w14:paraId="067A8E3A" w14:textId="77777777" w:rsidR="00663CB9" w:rsidRPr="00440C66" w:rsidRDefault="00663CB9" w:rsidP="004C760F">
      <w:pPr>
        <w:keepNext/>
        <w:widowControl w:val="0"/>
        <w:ind w:left="0" w:firstLine="0"/>
      </w:pPr>
    </w:p>
    <w:p w14:paraId="26AF075C" w14:textId="77777777" w:rsidR="00663CB9" w:rsidRDefault="00663CB9" w:rsidP="004C760F">
      <w:pPr>
        <w:keepNext/>
        <w:widowControl w:val="0"/>
        <w:ind w:left="0" w:firstLine="0"/>
        <w:rPr>
          <w:u w:val="single"/>
        </w:rPr>
      </w:pPr>
      <w:r w:rsidRPr="00440C66">
        <w:rPr>
          <w:u w:val="single"/>
        </w:rPr>
        <w:t>Wildagliptyna</w:t>
      </w:r>
    </w:p>
    <w:p w14:paraId="23BA286B" w14:textId="77777777" w:rsidR="007E78DE" w:rsidRPr="00440C66" w:rsidRDefault="007E78DE" w:rsidP="004C760F">
      <w:pPr>
        <w:keepNext/>
        <w:widowControl w:val="0"/>
        <w:ind w:left="0" w:firstLine="0"/>
        <w:rPr>
          <w:u w:val="single"/>
        </w:rPr>
      </w:pPr>
    </w:p>
    <w:p w14:paraId="37AD5C1A" w14:textId="77777777" w:rsidR="00663CB9" w:rsidRPr="001C2341" w:rsidRDefault="00663CB9" w:rsidP="004C760F">
      <w:pPr>
        <w:keepNext/>
        <w:widowControl w:val="0"/>
        <w:ind w:left="0" w:firstLine="0"/>
        <w:rPr>
          <w:i/>
          <w:u w:val="single"/>
        </w:rPr>
      </w:pPr>
      <w:r w:rsidRPr="001C2341">
        <w:rPr>
          <w:i/>
          <w:u w:val="single"/>
        </w:rPr>
        <w:t>Wchłanianie</w:t>
      </w:r>
    </w:p>
    <w:p w14:paraId="10B31303" w14:textId="621FF889" w:rsidR="008A2514" w:rsidRPr="00440C66" w:rsidRDefault="008A2514" w:rsidP="004C760F">
      <w:pPr>
        <w:widowControl w:val="0"/>
        <w:ind w:left="0" w:firstLine="0"/>
      </w:pPr>
      <w:r w:rsidRPr="00440C66">
        <w:t>Po podaniu doustnym na czczo wildagliptyna jest szybko wchłaniana, a maksymalne stężeni</w:t>
      </w:r>
      <w:r w:rsidR="0063035C" w:rsidRPr="00440C66">
        <w:t>a w</w:t>
      </w:r>
      <w:r w:rsidR="00A21B39">
        <w:t> </w:t>
      </w:r>
      <w:r w:rsidR="0063035C" w:rsidRPr="00440C66">
        <w:t>osoczu obserwuje się po 1,7 </w:t>
      </w:r>
      <w:r w:rsidRPr="00440C66">
        <w:t>h. Spożycie pokarmu opóźnia</w:t>
      </w:r>
      <w:r w:rsidR="00F31D17" w:rsidRPr="00440C66">
        <w:t xml:space="preserve"> nieznacznie </w:t>
      </w:r>
      <w:r w:rsidRPr="00440C66">
        <w:t xml:space="preserve">czas uzyskania maksymalnego stężenia </w:t>
      </w:r>
      <w:r w:rsidR="0063035C" w:rsidRPr="00440C66">
        <w:t xml:space="preserve">w osoczu </w:t>
      </w:r>
      <w:r w:rsidR="00105183" w:rsidRPr="00440C66">
        <w:t xml:space="preserve">- </w:t>
      </w:r>
      <w:r w:rsidR="0063035C" w:rsidRPr="00440C66">
        <w:t>do 2,5 </w:t>
      </w:r>
      <w:r w:rsidRPr="00440C66">
        <w:t xml:space="preserve">h, jednak nie zmienia </w:t>
      </w:r>
      <w:r w:rsidR="00105183" w:rsidRPr="00440C66">
        <w:t xml:space="preserve">całkowitej ekspozycji na </w:t>
      </w:r>
      <w:r w:rsidR="00BD1F19" w:rsidRPr="00440C66">
        <w:t>produkt leczniczy</w:t>
      </w:r>
      <w:r w:rsidRPr="00440C66">
        <w:t xml:space="preserve"> (AUC). Podanie wildagliptyny z pokarmem powodowało zmniejszenie wartości C</w:t>
      </w:r>
      <w:r w:rsidRPr="00440C66">
        <w:rPr>
          <w:vertAlign w:val="subscript"/>
        </w:rPr>
        <w:t>ma</w:t>
      </w:r>
      <w:r w:rsidR="00105183" w:rsidRPr="00440C66">
        <w:rPr>
          <w:vertAlign w:val="subscript"/>
        </w:rPr>
        <w:t>x</w:t>
      </w:r>
      <w:r w:rsidRPr="00440C66">
        <w:t xml:space="preserve"> (19%)</w:t>
      </w:r>
      <w:r w:rsidR="00981FA2" w:rsidRPr="00440C66">
        <w:t xml:space="preserve"> w porównaniu do dawkowania na czczo</w:t>
      </w:r>
      <w:r w:rsidRPr="00440C66">
        <w:t xml:space="preserve">. </w:t>
      </w:r>
      <w:r w:rsidR="001B043B" w:rsidRPr="00440C66">
        <w:t>N</w:t>
      </w:r>
      <w:r w:rsidRPr="00440C66">
        <w:t>asilenie tych zmian nie ma</w:t>
      </w:r>
      <w:r w:rsidR="001B043B" w:rsidRPr="00440C66">
        <w:t xml:space="preserve"> jednak</w:t>
      </w:r>
      <w:r w:rsidRPr="00440C66">
        <w:t xml:space="preserve"> znaczenia klinicznego, więc </w:t>
      </w:r>
      <w:r w:rsidR="00C5529C" w:rsidRPr="00440C66">
        <w:t>wildagliptynę</w:t>
      </w:r>
      <w:r w:rsidRPr="00440C66">
        <w:t xml:space="preserve"> można podawać </w:t>
      </w:r>
      <w:r w:rsidR="0056134A" w:rsidRPr="00440C66">
        <w:t>niezależnie od posiłków</w:t>
      </w:r>
      <w:r w:rsidRPr="00440C66">
        <w:t xml:space="preserve">. </w:t>
      </w:r>
      <w:r w:rsidR="00105183" w:rsidRPr="00440C66">
        <w:t>Całkowita biodostępność</w:t>
      </w:r>
      <w:r w:rsidRPr="00440C66">
        <w:t xml:space="preserve"> wynosi 85%.</w:t>
      </w:r>
    </w:p>
    <w:p w14:paraId="40ED0B18" w14:textId="77777777" w:rsidR="008A2514" w:rsidRPr="00440C66" w:rsidRDefault="008A2514" w:rsidP="004C760F">
      <w:pPr>
        <w:widowControl w:val="0"/>
        <w:ind w:left="0" w:firstLine="0"/>
      </w:pPr>
    </w:p>
    <w:p w14:paraId="60CF699D" w14:textId="77777777" w:rsidR="008A2514" w:rsidRPr="001C2341" w:rsidRDefault="008A2514" w:rsidP="004C760F">
      <w:pPr>
        <w:keepNext/>
        <w:widowControl w:val="0"/>
        <w:ind w:left="0" w:firstLine="0"/>
        <w:rPr>
          <w:i/>
          <w:u w:val="single"/>
        </w:rPr>
      </w:pPr>
      <w:r w:rsidRPr="001C2341">
        <w:rPr>
          <w:i/>
          <w:u w:val="single"/>
        </w:rPr>
        <w:t>Dystrybucja</w:t>
      </w:r>
    </w:p>
    <w:p w14:paraId="10139A55" w14:textId="77777777" w:rsidR="008A2514" w:rsidRPr="00440C66" w:rsidRDefault="008A2514" w:rsidP="004C760F">
      <w:pPr>
        <w:widowControl w:val="0"/>
        <w:ind w:left="0" w:firstLine="0"/>
      </w:pPr>
      <w:r w:rsidRPr="00440C66">
        <w:t xml:space="preserve">Wildagliptyna w niewielkim stopniu wiąże się z białkami osocza (9,3%) i </w:t>
      </w:r>
      <w:r w:rsidR="00247334" w:rsidRPr="00440C66">
        <w:t xml:space="preserve">jest </w:t>
      </w:r>
      <w:r w:rsidRPr="00440C66">
        <w:t>równomiernie rozmieszcz</w:t>
      </w:r>
      <w:r w:rsidR="00C26D85" w:rsidRPr="00440C66">
        <w:t>a</w:t>
      </w:r>
      <w:r w:rsidRPr="00440C66">
        <w:t>na w osoczu i krwinkach czerwonych. Średnia objętość dystrybucji wildagliptyny w stanie stacjonarnym po podaniu dożylnym (V</w:t>
      </w:r>
      <w:r w:rsidRPr="00440C66">
        <w:rPr>
          <w:vertAlign w:val="subscript"/>
        </w:rPr>
        <w:t>ss</w:t>
      </w:r>
      <w:r w:rsidR="0063035C" w:rsidRPr="00440C66">
        <w:t xml:space="preserve">) wynosi </w:t>
      </w:r>
      <w:smartTag w:uri="urn:schemas-microsoft-com:office:smarttags" w:element="metricconverter">
        <w:smartTagPr>
          <w:attr w:name="ProductID" w:val="71ﾠlitr￳w"/>
        </w:smartTagPr>
        <w:r w:rsidR="0063035C" w:rsidRPr="00440C66">
          <w:t>71 </w:t>
        </w:r>
        <w:r w:rsidRPr="00440C66">
          <w:t>litrów</w:t>
        </w:r>
      </w:smartTag>
      <w:r w:rsidRPr="00440C66">
        <w:t>, co sugeruje dystrybucję poza naczynia.</w:t>
      </w:r>
    </w:p>
    <w:p w14:paraId="5B1470BD" w14:textId="77777777" w:rsidR="008A2514" w:rsidRPr="00440C66" w:rsidRDefault="008A2514" w:rsidP="004C760F">
      <w:pPr>
        <w:widowControl w:val="0"/>
        <w:ind w:left="0" w:firstLine="0"/>
      </w:pPr>
    </w:p>
    <w:p w14:paraId="3A35F5E7" w14:textId="77777777" w:rsidR="008A2514" w:rsidRPr="001C2341" w:rsidRDefault="00C06EFE" w:rsidP="004C760F">
      <w:pPr>
        <w:keepNext/>
        <w:widowControl w:val="0"/>
        <w:ind w:left="0" w:firstLine="0"/>
        <w:rPr>
          <w:i/>
          <w:u w:val="single"/>
        </w:rPr>
      </w:pPr>
      <w:r w:rsidRPr="001C2341">
        <w:rPr>
          <w:i/>
          <w:u w:val="single"/>
        </w:rPr>
        <w:t>Metabolizm</w:t>
      </w:r>
    </w:p>
    <w:p w14:paraId="43276055" w14:textId="7F8E8B70" w:rsidR="008A2514" w:rsidRPr="00440C66" w:rsidRDefault="008A184D" w:rsidP="004C760F">
      <w:pPr>
        <w:widowControl w:val="0"/>
        <w:ind w:left="0" w:firstLine="0"/>
      </w:pPr>
      <w:r w:rsidRPr="00440C66">
        <w:t>U ludzi znaczna część dawki wildagliptyny</w:t>
      </w:r>
      <w:r w:rsidR="008A2514" w:rsidRPr="00440C66">
        <w:t xml:space="preserve">, 69%, jest metabolizowana. Główny metabolit (LAY 151) jest farmakologicznie nieaktywny i jest on produktem hydrolizy grupy cyjanowej. Metabolit ten stanowi 57% dawki, a kolejnym metabolitem jest produkt hydrolizy amidu (4% dawki). Na podstawie badania </w:t>
      </w:r>
      <w:r w:rsidR="008A2514" w:rsidRPr="00440C66">
        <w:rPr>
          <w:i/>
        </w:rPr>
        <w:t>in vivo</w:t>
      </w:r>
      <w:r w:rsidR="008A2514" w:rsidRPr="00440C66">
        <w:t xml:space="preserve"> na szczurach z niedoborem DPP-4 stwierdzono, że peptydaza dipeptydylowa IV (DPP</w:t>
      </w:r>
      <w:r w:rsidR="00A21B39">
        <w:noBreakHyphen/>
      </w:r>
      <w:r w:rsidR="008A2514" w:rsidRPr="00440C66">
        <w:t>4) częściowo przyczynia się do hydrolizy wildagliptyny. Wildagliptyna nie jest metabolizowa</w:t>
      </w:r>
      <w:r w:rsidR="0063035C" w:rsidRPr="00440C66">
        <w:t>na za pośrednictwem enzymów CYP </w:t>
      </w:r>
      <w:r w:rsidR="008A2514" w:rsidRPr="00440C66">
        <w:t xml:space="preserve">450 w wymiernych </w:t>
      </w:r>
      <w:r w:rsidR="00105183" w:rsidRPr="00440C66">
        <w:t>ilościach.</w:t>
      </w:r>
      <w:r w:rsidR="008A2514" w:rsidRPr="00440C66">
        <w:t xml:space="preserve"> </w:t>
      </w:r>
      <w:r w:rsidR="00105183" w:rsidRPr="00440C66">
        <w:t>D</w:t>
      </w:r>
      <w:r w:rsidR="008A2514" w:rsidRPr="00440C66">
        <w:t xml:space="preserve">latego należy oczekiwać, że klirens metaboliczny wildagliptyny nie będzie zależał od jednocześnie przyjmowanych </w:t>
      </w:r>
      <w:r w:rsidR="00FE0437" w:rsidRPr="00440C66">
        <w:t>produktów leczniczych</w:t>
      </w:r>
      <w:r w:rsidR="008A2514" w:rsidRPr="00440C66">
        <w:t xml:space="preserve"> będących inhibitorami</w:t>
      </w:r>
      <w:r w:rsidRPr="00440C66">
        <w:t xml:space="preserve"> i (</w:t>
      </w:r>
      <w:r w:rsidR="008A2514" w:rsidRPr="00440C66">
        <w:t>lub</w:t>
      </w:r>
      <w:r w:rsidRPr="00440C66">
        <w:t>)</w:t>
      </w:r>
      <w:r w:rsidR="00646BF0" w:rsidRPr="00440C66">
        <w:t xml:space="preserve"> induktorami CYP </w:t>
      </w:r>
      <w:r w:rsidR="008A2514" w:rsidRPr="00440C66">
        <w:t>450.</w:t>
      </w:r>
      <w:r w:rsidR="00105183" w:rsidRPr="00440C66">
        <w:t xml:space="preserve"> </w:t>
      </w:r>
      <w:r w:rsidR="008A2514" w:rsidRPr="00440C66">
        <w:t xml:space="preserve">Badania </w:t>
      </w:r>
      <w:r w:rsidR="008A2514" w:rsidRPr="00440C66">
        <w:rPr>
          <w:i/>
        </w:rPr>
        <w:t>in vitro</w:t>
      </w:r>
      <w:r w:rsidR="008A2514" w:rsidRPr="00440C66">
        <w:t xml:space="preserve"> wykazały, że wildagliptyna nie hamuje i nie </w:t>
      </w:r>
      <w:r w:rsidR="00646BF0" w:rsidRPr="00440C66">
        <w:t>indukuje aktywności enzymów CYP </w:t>
      </w:r>
      <w:r w:rsidR="008A2514" w:rsidRPr="00440C66">
        <w:t xml:space="preserve">450. Dlatego istnieje małe prawdopodobieństwo, by wildagliptyna miała wpływ na klirens metaboliczny jednocześnie przyjmowanych </w:t>
      </w:r>
      <w:r w:rsidR="00FE0437" w:rsidRPr="00440C66">
        <w:t>produktów leczniczych</w:t>
      </w:r>
      <w:r w:rsidR="00646BF0" w:rsidRPr="00440C66">
        <w:t xml:space="preserve"> metabolizowanych przez CYP 1A2, CYP 2C8, CYP 2C9, CYP 2C19, CYP 2D6, CYP 2E1 i CYP </w:t>
      </w:r>
      <w:r w:rsidR="008A2514" w:rsidRPr="00440C66">
        <w:t>3A4/5.</w:t>
      </w:r>
    </w:p>
    <w:p w14:paraId="58A7664F" w14:textId="77777777" w:rsidR="008A2514" w:rsidRPr="00440C66" w:rsidRDefault="008A2514" w:rsidP="004C760F">
      <w:pPr>
        <w:widowControl w:val="0"/>
        <w:ind w:left="0" w:firstLine="0"/>
      </w:pPr>
    </w:p>
    <w:p w14:paraId="290CBED7" w14:textId="77777777" w:rsidR="008A2514" w:rsidRPr="001C2341" w:rsidRDefault="00C06EFE" w:rsidP="004C760F">
      <w:pPr>
        <w:keepNext/>
        <w:widowControl w:val="0"/>
        <w:ind w:left="0" w:firstLine="0"/>
        <w:rPr>
          <w:i/>
          <w:u w:val="single"/>
        </w:rPr>
      </w:pPr>
      <w:r w:rsidRPr="001C2341">
        <w:rPr>
          <w:i/>
          <w:u w:val="single"/>
        </w:rPr>
        <w:t>Eliminacja</w:t>
      </w:r>
    </w:p>
    <w:p w14:paraId="69020549" w14:textId="1A884891" w:rsidR="008A2514" w:rsidRPr="00440C66" w:rsidRDefault="008A2514" w:rsidP="004C760F">
      <w:pPr>
        <w:widowControl w:val="0"/>
        <w:ind w:left="0" w:firstLine="0"/>
      </w:pPr>
      <w:r w:rsidRPr="00440C66">
        <w:t xml:space="preserve">Po podaniu doustnym wildagliptyny znakowanej </w:t>
      </w:r>
      <w:smartTag w:uri="urn:schemas-microsoft-com:office:smarttags" w:element="metricconverter">
        <w:smartTagPr>
          <w:attr w:name="ProductID" w:val="14C"/>
        </w:smartTagPr>
        <w:r w:rsidRPr="00440C66">
          <w:rPr>
            <w:vertAlign w:val="superscript"/>
          </w:rPr>
          <w:t>14</w:t>
        </w:r>
        <w:r w:rsidRPr="00440C66">
          <w:t>C</w:t>
        </w:r>
      </w:smartTag>
      <w:r w:rsidRPr="00440C66">
        <w:t>, około 85% dawki było wydalane z moczem, a</w:t>
      </w:r>
      <w:r w:rsidR="00A21B39">
        <w:t> </w:t>
      </w:r>
      <w:r w:rsidRPr="00440C66">
        <w:t xml:space="preserve">15% - z kałem. </w:t>
      </w:r>
      <w:r w:rsidR="00646BF0" w:rsidRPr="00440C66">
        <w:t>Po podaniu doustnym 23% dawki wildagliptyny w postaci niezmienionej jest wydalane przez nerki</w:t>
      </w:r>
      <w:r w:rsidRPr="00440C66">
        <w:t xml:space="preserve">. Po dożylnym podaniu wildagliptyny osobom zdrowym, całkowity klirens osoczowy </w:t>
      </w:r>
      <w:r w:rsidR="00646BF0" w:rsidRPr="00440C66">
        <w:t>i nerkowy wyniósł odpowiednio 41 i 13 </w:t>
      </w:r>
      <w:r w:rsidRPr="00440C66">
        <w:t xml:space="preserve">l/h. Średni okres półtrwania w fazie eliminacji po </w:t>
      </w:r>
      <w:r w:rsidR="00646BF0" w:rsidRPr="00440C66">
        <w:t>podaniu dożylnym wynosi w przybli</w:t>
      </w:r>
      <w:r w:rsidR="00434C14" w:rsidRPr="00440C66">
        <w:t>ż</w:t>
      </w:r>
      <w:r w:rsidR="00646BF0" w:rsidRPr="00440C66">
        <w:t>eniu 2 </w:t>
      </w:r>
      <w:r w:rsidRPr="00440C66">
        <w:t>godzin</w:t>
      </w:r>
      <w:r w:rsidR="00646BF0" w:rsidRPr="00440C66">
        <w:t>y</w:t>
      </w:r>
      <w:r w:rsidRPr="00440C66">
        <w:t xml:space="preserve">. Okres półtrwania w fazie eliminacji po </w:t>
      </w:r>
      <w:r w:rsidR="00646BF0" w:rsidRPr="00440C66">
        <w:t>podaniu doustnym wynosi w przybliżeniu 3 </w:t>
      </w:r>
      <w:r w:rsidRPr="00440C66">
        <w:t>godzin</w:t>
      </w:r>
      <w:r w:rsidR="00646BF0" w:rsidRPr="00440C66">
        <w:t>y</w:t>
      </w:r>
      <w:r w:rsidRPr="00440C66">
        <w:t>.</w:t>
      </w:r>
    </w:p>
    <w:p w14:paraId="0D91B0CB" w14:textId="77777777" w:rsidR="008A2514" w:rsidRPr="00440C66" w:rsidRDefault="008A2514" w:rsidP="004C760F">
      <w:pPr>
        <w:widowControl w:val="0"/>
        <w:ind w:left="0" w:firstLine="0"/>
      </w:pPr>
    </w:p>
    <w:p w14:paraId="2938051C" w14:textId="77777777" w:rsidR="008A2514" w:rsidRPr="001C2341" w:rsidRDefault="008A2514" w:rsidP="004C760F">
      <w:pPr>
        <w:keepNext/>
        <w:widowControl w:val="0"/>
        <w:ind w:left="0" w:firstLine="0"/>
        <w:rPr>
          <w:i/>
          <w:u w:val="single"/>
        </w:rPr>
      </w:pPr>
      <w:r w:rsidRPr="001C2341">
        <w:rPr>
          <w:i/>
          <w:u w:val="single"/>
        </w:rPr>
        <w:t xml:space="preserve">Liniowość </w:t>
      </w:r>
      <w:r w:rsidR="00C06EFE" w:rsidRPr="001C2341">
        <w:rPr>
          <w:i/>
          <w:u w:val="single"/>
        </w:rPr>
        <w:t>lub</w:t>
      </w:r>
      <w:r w:rsidRPr="001C2341">
        <w:rPr>
          <w:i/>
          <w:u w:val="single"/>
        </w:rPr>
        <w:t xml:space="preserve"> </w:t>
      </w:r>
      <w:r w:rsidR="00C06EFE" w:rsidRPr="001C2341">
        <w:rPr>
          <w:i/>
          <w:u w:val="single"/>
        </w:rPr>
        <w:t>n</w:t>
      </w:r>
      <w:r w:rsidRPr="001C2341">
        <w:rPr>
          <w:i/>
          <w:u w:val="single"/>
        </w:rPr>
        <w:t>ieliniowość</w:t>
      </w:r>
    </w:p>
    <w:p w14:paraId="6528C0D6" w14:textId="7954A655" w:rsidR="008A2514" w:rsidRPr="00440C66" w:rsidRDefault="008A2514" w:rsidP="004C760F">
      <w:pPr>
        <w:widowControl w:val="0"/>
        <w:ind w:left="0" w:firstLine="0"/>
      </w:pPr>
      <w:r w:rsidRPr="00440C66">
        <w:t>Wartości C</w:t>
      </w:r>
      <w:r w:rsidR="00646BF0" w:rsidRPr="00440C66">
        <w:rPr>
          <w:vertAlign w:val="subscript"/>
        </w:rPr>
        <w:t>max</w:t>
      </w:r>
      <w:r w:rsidRPr="00440C66">
        <w:t xml:space="preserve"> oraz pole pod krzywą zależności stężenia w osoczu od czasu (AUC) </w:t>
      </w:r>
      <w:r w:rsidR="00646BF0" w:rsidRPr="00440C66">
        <w:t>zwiększały się</w:t>
      </w:r>
      <w:r w:rsidRPr="00440C66">
        <w:t xml:space="preserve"> w</w:t>
      </w:r>
      <w:r w:rsidR="00A21B39">
        <w:t> </w:t>
      </w:r>
      <w:r w:rsidRPr="00440C66">
        <w:t>sposób w przybliżeniu proporcjonalny do dawki w zakresie dawek terapeutycznych.</w:t>
      </w:r>
    </w:p>
    <w:p w14:paraId="677ABE63" w14:textId="77777777" w:rsidR="008A2514" w:rsidRPr="00440C66" w:rsidRDefault="008A2514" w:rsidP="004C760F">
      <w:pPr>
        <w:widowControl w:val="0"/>
        <w:ind w:left="0" w:firstLine="0"/>
      </w:pPr>
    </w:p>
    <w:p w14:paraId="6AE6C456" w14:textId="77777777" w:rsidR="008A2514" w:rsidRPr="001C2341" w:rsidRDefault="00646BF0" w:rsidP="004C760F">
      <w:pPr>
        <w:keepNext/>
        <w:widowControl w:val="0"/>
        <w:ind w:left="0" w:firstLine="0"/>
        <w:rPr>
          <w:i/>
          <w:u w:val="single"/>
        </w:rPr>
      </w:pPr>
      <w:r w:rsidRPr="001C2341">
        <w:rPr>
          <w:i/>
          <w:u w:val="single"/>
        </w:rPr>
        <w:t>Charakterystyka</w:t>
      </w:r>
      <w:r w:rsidR="008A2514" w:rsidRPr="001C2341">
        <w:rPr>
          <w:i/>
          <w:u w:val="single"/>
        </w:rPr>
        <w:t xml:space="preserve"> pacjentów</w:t>
      </w:r>
    </w:p>
    <w:p w14:paraId="3207186B" w14:textId="77777777" w:rsidR="00F33CC1" w:rsidRPr="00440C66" w:rsidRDefault="008A2514" w:rsidP="004C760F">
      <w:pPr>
        <w:widowControl w:val="0"/>
        <w:ind w:left="0" w:firstLine="0"/>
      </w:pPr>
      <w:r w:rsidRPr="00440C66">
        <w:t>Płeć</w:t>
      </w:r>
      <w:r w:rsidR="00A03EBE" w:rsidRPr="00440C66">
        <w:t xml:space="preserve">: </w:t>
      </w:r>
      <w:r w:rsidRPr="00440C66">
        <w:t xml:space="preserve">Nie obserwowano </w:t>
      </w:r>
      <w:r w:rsidR="0000226D" w:rsidRPr="00440C66">
        <w:t xml:space="preserve">klinicznie istotnych </w:t>
      </w:r>
      <w:r w:rsidRPr="00440C66">
        <w:t>różnic w farmakokinetyce wildagliptyny pomiędzy zdrowymi kobietami a mężczyznami w szerokim zakresie wieku i wskaźnika masy ciała (BMI). Hamowanie aktywności DPP-4 przez wildagliptynę nie zależy od płci.</w:t>
      </w:r>
    </w:p>
    <w:p w14:paraId="5540A067" w14:textId="77777777" w:rsidR="008A2514" w:rsidRPr="00440C66" w:rsidRDefault="008A2514" w:rsidP="004C760F">
      <w:pPr>
        <w:widowControl w:val="0"/>
        <w:ind w:left="0" w:firstLine="0"/>
      </w:pPr>
    </w:p>
    <w:p w14:paraId="2B567FF6" w14:textId="77777777" w:rsidR="008A2514" w:rsidRPr="00440C66" w:rsidRDefault="008A2514" w:rsidP="004C760F">
      <w:pPr>
        <w:widowControl w:val="0"/>
        <w:ind w:left="0" w:firstLine="0"/>
      </w:pPr>
      <w:r w:rsidRPr="00440C66">
        <w:t>Wiek</w:t>
      </w:r>
      <w:r w:rsidR="0000226D" w:rsidRPr="00440C66">
        <w:t xml:space="preserve">: </w:t>
      </w:r>
      <w:r w:rsidRPr="00440C66">
        <w:t>U zdrowych osób w podeszłym wieku (</w:t>
      </w:r>
      <w:r w:rsidRPr="00440C66">
        <w:sym w:font="Symbol" w:char="F0B3"/>
      </w:r>
      <w:r w:rsidR="00646BF0" w:rsidRPr="00440C66">
        <w:t> 70 </w:t>
      </w:r>
      <w:r w:rsidRPr="00440C66">
        <w:t>lat) całkowite pole pod krzywą (AUC)</w:t>
      </w:r>
      <w:r w:rsidR="005A148A" w:rsidRPr="00440C66">
        <w:t xml:space="preserve"> dla wildagliptyny (w dawce 100 mg na </w:t>
      </w:r>
      <w:r w:rsidRPr="00440C66">
        <w:t xml:space="preserve">dobę) było </w:t>
      </w:r>
      <w:r w:rsidR="005A148A" w:rsidRPr="00440C66">
        <w:t>większe</w:t>
      </w:r>
      <w:r w:rsidRPr="00440C66">
        <w:t xml:space="preserve"> o 32%, przy 18% </w:t>
      </w:r>
      <w:r w:rsidR="005A148A" w:rsidRPr="00440C66">
        <w:t>zwiększeniu</w:t>
      </w:r>
      <w:r w:rsidRPr="00440C66">
        <w:t xml:space="preserve"> maksymalnego stężenia w osoczu </w:t>
      </w:r>
      <w:r w:rsidR="005A148A" w:rsidRPr="00440C66">
        <w:t>niż u zdrowych</w:t>
      </w:r>
      <w:r w:rsidRPr="00440C66">
        <w:t xml:space="preserve"> </w:t>
      </w:r>
      <w:r w:rsidR="005A148A" w:rsidRPr="00440C66">
        <w:t>młodych osób</w:t>
      </w:r>
      <w:r w:rsidRPr="00440C66">
        <w:t xml:space="preserve"> </w:t>
      </w:r>
      <w:r w:rsidR="005A148A" w:rsidRPr="00440C66">
        <w:t>(w wieku 18</w:t>
      </w:r>
      <w:r w:rsidR="00F33CC1" w:rsidRPr="00440C66">
        <w:noBreakHyphen/>
      </w:r>
      <w:r w:rsidR="005A148A" w:rsidRPr="00440C66">
        <w:t>40 </w:t>
      </w:r>
      <w:r w:rsidRPr="00440C66">
        <w:t>lat). Uważa się jednak, że zmiany te nie są klinicznie istotne. Hamowanie aktywności DPP-4 przez wildagliptynę nie zależy od wieku.</w:t>
      </w:r>
    </w:p>
    <w:p w14:paraId="3077D377" w14:textId="77777777" w:rsidR="008A2514" w:rsidRPr="00440C66" w:rsidRDefault="008A2514" w:rsidP="004C760F">
      <w:pPr>
        <w:widowControl w:val="0"/>
        <w:ind w:left="0" w:firstLine="0"/>
      </w:pPr>
    </w:p>
    <w:p w14:paraId="7FF84090" w14:textId="77777777" w:rsidR="008A2514" w:rsidRPr="00440C66" w:rsidRDefault="008A2514" w:rsidP="004C760F">
      <w:pPr>
        <w:widowControl w:val="0"/>
        <w:ind w:left="0" w:firstLine="0"/>
      </w:pPr>
      <w:r w:rsidRPr="00440C66">
        <w:t>Zaburzenia czynności wątroby</w:t>
      </w:r>
      <w:r w:rsidR="0000226D" w:rsidRPr="00440C66">
        <w:t xml:space="preserve">: </w:t>
      </w:r>
      <w:r w:rsidR="00981FA2" w:rsidRPr="00440C66">
        <w:t>U pacjentów z łagodnymi, umiarkowanymi lub ciężkimi zaburzeniami czynności wątroby (Child-Pugh A</w:t>
      </w:r>
      <w:r w:rsidR="00A21038" w:rsidRPr="00440C66">
        <w:noBreakHyphen/>
      </w:r>
      <w:r w:rsidR="00981FA2" w:rsidRPr="00440C66">
        <w:t xml:space="preserve">C) nie występowały </w:t>
      </w:r>
      <w:r w:rsidR="00D20343" w:rsidRPr="00440C66">
        <w:t xml:space="preserve">klinicznie istotne </w:t>
      </w:r>
      <w:r w:rsidR="00981FA2" w:rsidRPr="00440C66">
        <w:t xml:space="preserve">zmiany </w:t>
      </w:r>
      <w:r w:rsidR="00D20343" w:rsidRPr="00440C66">
        <w:t xml:space="preserve">(maksimum ~30%) </w:t>
      </w:r>
      <w:r w:rsidR="00981FA2" w:rsidRPr="00440C66">
        <w:t xml:space="preserve">w </w:t>
      </w:r>
      <w:r w:rsidR="00685738" w:rsidRPr="00440C66">
        <w:t>ekspozycji</w:t>
      </w:r>
      <w:r w:rsidR="00D20343" w:rsidRPr="00440C66">
        <w:t xml:space="preserve"> na wildagliptynę.</w:t>
      </w:r>
    </w:p>
    <w:p w14:paraId="71D1C753" w14:textId="77777777" w:rsidR="008A2514" w:rsidRPr="00440C66" w:rsidRDefault="008A2514" w:rsidP="004C760F">
      <w:pPr>
        <w:widowControl w:val="0"/>
        <w:ind w:left="0" w:firstLine="0"/>
      </w:pPr>
    </w:p>
    <w:p w14:paraId="17D8B477" w14:textId="3F7E0BE8" w:rsidR="00F33CC1" w:rsidRPr="00440C66" w:rsidRDefault="008A2514" w:rsidP="004C760F">
      <w:pPr>
        <w:widowControl w:val="0"/>
        <w:ind w:left="0" w:firstLine="0"/>
      </w:pPr>
      <w:r w:rsidRPr="00440C66">
        <w:lastRenderedPageBreak/>
        <w:t>Zaburzenia czynności nerek</w:t>
      </w:r>
      <w:r w:rsidR="0000226D" w:rsidRPr="00440C66">
        <w:t xml:space="preserve">: </w:t>
      </w:r>
      <w:r w:rsidRPr="00440C66">
        <w:t>U pacjentów z łagodnymi, umiarkowanymi lub ciężki</w:t>
      </w:r>
      <w:r w:rsidR="00ED0BA0" w:rsidRPr="00440C66">
        <w:t>mi zaburzeniami czynności nerek,</w:t>
      </w:r>
      <w:r w:rsidRPr="00440C66">
        <w:t xml:space="preserve"> </w:t>
      </w:r>
      <w:r w:rsidR="0081093F" w:rsidRPr="00440C66">
        <w:t>całkowity wpływ wildagliptyny na organizm zwiększał</w:t>
      </w:r>
      <w:r w:rsidRPr="00440C66">
        <w:t xml:space="preserve"> się (C</w:t>
      </w:r>
      <w:r w:rsidRPr="00440C66">
        <w:rPr>
          <w:vertAlign w:val="subscript"/>
        </w:rPr>
        <w:t>ma</w:t>
      </w:r>
      <w:r w:rsidR="00BB67AD" w:rsidRPr="00440C66">
        <w:rPr>
          <w:vertAlign w:val="subscript"/>
        </w:rPr>
        <w:t>x</w:t>
      </w:r>
      <w:r w:rsidRPr="00440C66">
        <w:t xml:space="preserve"> 8</w:t>
      </w:r>
      <w:r w:rsidR="00F33CC1" w:rsidRPr="00440C66">
        <w:noBreakHyphen/>
      </w:r>
      <w:r w:rsidRPr="00440C66">
        <w:t>66%; AUC 32</w:t>
      </w:r>
      <w:r w:rsidR="00F33CC1" w:rsidRPr="00440C66">
        <w:noBreakHyphen/>
      </w:r>
      <w:r w:rsidRPr="00440C66">
        <w:t>134%), a całkowity klirens ogólnoustrojowy był mniejszy w porównaniu do pacjentów z</w:t>
      </w:r>
      <w:r w:rsidR="00A21B39">
        <w:t> </w:t>
      </w:r>
      <w:r w:rsidRPr="00440C66">
        <w:t>prawidłową czynnością nerek.</w:t>
      </w:r>
    </w:p>
    <w:p w14:paraId="6F8FEFB3" w14:textId="77777777" w:rsidR="008A2514" w:rsidRPr="00440C66" w:rsidRDefault="008A2514" w:rsidP="004C760F">
      <w:pPr>
        <w:widowControl w:val="0"/>
        <w:ind w:left="0" w:firstLine="0"/>
      </w:pPr>
    </w:p>
    <w:p w14:paraId="7FEBA840" w14:textId="77777777" w:rsidR="008A2514" w:rsidRPr="00440C66" w:rsidRDefault="008A2514" w:rsidP="004C760F">
      <w:pPr>
        <w:widowControl w:val="0"/>
        <w:ind w:left="0" w:firstLine="0"/>
      </w:pPr>
      <w:r w:rsidRPr="00440C66">
        <w:t>Grupy etniczne</w:t>
      </w:r>
      <w:r w:rsidR="00ED0BA0" w:rsidRPr="00440C66">
        <w:t xml:space="preserve">: </w:t>
      </w:r>
      <w:r w:rsidR="0081093F" w:rsidRPr="00440C66">
        <w:t>Ograniczone dane wskazują, iż rasa nie ma znacznego wpływu na farmakokinetykę wildagliptyny</w:t>
      </w:r>
      <w:r w:rsidRPr="00440C66">
        <w:t>.</w:t>
      </w:r>
    </w:p>
    <w:p w14:paraId="0EA293C4" w14:textId="77777777" w:rsidR="00EC67DC" w:rsidRPr="00440C66" w:rsidRDefault="00EC67DC" w:rsidP="004C760F">
      <w:pPr>
        <w:widowControl w:val="0"/>
        <w:ind w:left="0" w:firstLine="0"/>
      </w:pPr>
    </w:p>
    <w:p w14:paraId="0E0B8B11" w14:textId="77777777" w:rsidR="00EC67DC" w:rsidRDefault="00EC67DC" w:rsidP="004C760F">
      <w:pPr>
        <w:keepNext/>
        <w:widowControl w:val="0"/>
        <w:ind w:left="0" w:firstLine="0"/>
        <w:rPr>
          <w:u w:val="single"/>
        </w:rPr>
      </w:pPr>
      <w:r w:rsidRPr="00440C66">
        <w:rPr>
          <w:u w:val="single"/>
        </w:rPr>
        <w:t>Metformina</w:t>
      </w:r>
    </w:p>
    <w:p w14:paraId="6BE2BBE0" w14:textId="77777777" w:rsidR="007E78DE" w:rsidRPr="00837913" w:rsidRDefault="007E78DE" w:rsidP="004C760F">
      <w:pPr>
        <w:keepNext/>
        <w:widowControl w:val="0"/>
        <w:ind w:left="0" w:firstLine="0"/>
      </w:pPr>
    </w:p>
    <w:p w14:paraId="744E831F" w14:textId="77777777" w:rsidR="00EC67DC" w:rsidRPr="001C2341" w:rsidRDefault="00F456B9" w:rsidP="004C760F">
      <w:pPr>
        <w:keepNext/>
        <w:widowControl w:val="0"/>
        <w:ind w:left="0" w:firstLine="0"/>
        <w:rPr>
          <w:i/>
          <w:u w:val="single"/>
        </w:rPr>
      </w:pPr>
      <w:r w:rsidRPr="001C2341">
        <w:rPr>
          <w:i/>
          <w:u w:val="single"/>
        </w:rPr>
        <w:t>Wchłanianie</w:t>
      </w:r>
    </w:p>
    <w:p w14:paraId="03093B1F" w14:textId="77777777" w:rsidR="00F456B9" w:rsidRPr="00440C66" w:rsidRDefault="002514AA" w:rsidP="004C760F">
      <w:pPr>
        <w:widowControl w:val="0"/>
        <w:ind w:left="0" w:firstLine="0"/>
      </w:pPr>
      <w:r w:rsidRPr="00440C66">
        <w:t xml:space="preserve">Po doustnym podaniu metforminy, </w:t>
      </w:r>
      <w:r w:rsidR="00D20343" w:rsidRPr="00440C66">
        <w:t>maksymalne stężenie w osoczu krwi (</w:t>
      </w:r>
      <w:r w:rsidR="0025752A" w:rsidRPr="00440C66">
        <w:t>C</w:t>
      </w:r>
      <w:r w:rsidRPr="00440C66">
        <w:rPr>
          <w:vertAlign w:val="subscript"/>
        </w:rPr>
        <w:t>max</w:t>
      </w:r>
      <w:r w:rsidR="00D20343" w:rsidRPr="00440C66">
        <w:t>)</w:t>
      </w:r>
      <w:r w:rsidRPr="00440C66">
        <w:t xml:space="preserve"> </w:t>
      </w:r>
      <w:r w:rsidR="006927FD" w:rsidRPr="00440C66">
        <w:t>osiągan</w:t>
      </w:r>
      <w:r w:rsidR="00D20343" w:rsidRPr="00440C66">
        <w:t>e</w:t>
      </w:r>
      <w:r w:rsidR="0081093F" w:rsidRPr="00440C66">
        <w:t xml:space="preserve"> jest </w:t>
      </w:r>
      <w:r w:rsidR="00D20343" w:rsidRPr="00440C66">
        <w:t xml:space="preserve">po upływie około </w:t>
      </w:r>
      <w:r w:rsidR="0081093F" w:rsidRPr="00440C66">
        <w:t>2,5 </w:t>
      </w:r>
      <w:r w:rsidRPr="00440C66">
        <w:t>h. Bezwzgl</w:t>
      </w:r>
      <w:r w:rsidR="0081093F" w:rsidRPr="00440C66">
        <w:t xml:space="preserve">ędna </w:t>
      </w:r>
      <w:r w:rsidR="006A2090" w:rsidRPr="00440C66">
        <w:t>bio</w:t>
      </w:r>
      <w:r w:rsidR="0081093F" w:rsidRPr="00440C66">
        <w:t>dostępność</w:t>
      </w:r>
      <w:r w:rsidR="006A2090" w:rsidRPr="00440C66">
        <w:t xml:space="preserve"> metforminy z</w:t>
      </w:r>
      <w:r w:rsidR="0081093F" w:rsidRPr="00440C66">
        <w:t xml:space="preserve"> </w:t>
      </w:r>
      <w:r w:rsidRPr="00440C66">
        <w:t>tabletki</w:t>
      </w:r>
      <w:r w:rsidR="006A2090" w:rsidRPr="00440C66">
        <w:t xml:space="preserve"> 500 mg</w:t>
      </w:r>
      <w:r w:rsidRPr="00440C66">
        <w:t xml:space="preserve"> wynosi około 50</w:t>
      </w:r>
      <w:r w:rsidR="00F33CC1" w:rsidRPr="00440C66">
        <w:noBreakHyphen/>
      </w:r>
      <w:r w:rsidRPr="00440C66">
        <w:t>60% u osób zdrowych. Po podaniu dawki doustnej</w:t>
      </w:r>
      <w:r w:rsidR="00333A00" w:rsidRPr="00440C66">
        <w:t>,</w:t>
      </w:r>
      <w:r w:rsidRPr="00440C66">
        <w:t xml:space="preserve"> zawartość niewchłoniętej frakcji w kale wynosił</w:t>
      </w:r>
      <w:r w:rsidR="0081093F" w:rsidRPr="00440C66">
        <w:t>a</w:t>
      </w:r>
      <w:r w:rsidRPr="00440C66">
        <w:t xml:space="preserve"> 20</w:t>
      </w:r>
      <w:r w:rsidR="00F33CC1" w:rsidRPr="00440C66">
        <w:noBreakHyphen/>
      </w:r>
      <w:r w:rsidRPr="00440C66">
        <w:t>30%.</w:t>
      </w:r>
    </w:p>
    <w:p w14:paraId="142DB54F" w14:textId="77777777" w:rsidR="002514AA" w:rsidRPr="00440C66" w:rsidRDefault="002514AA" w:rsidP="004C760F">
      <w:pPr>
        <w:widowControl w:val="0"/>
        <w:ind w:left="0" w:firstLine="0"/>
      </w:pPr>
    </w:p>
    <w:p w14:paraId="38914F26" w14:textId="619B9507" w:rsidR="002514AA" w:rsidRPr="00440C66" w:rsidRDefault="002514AA" w:rsidP="004C760F">
      <w:pPr>
        <w:widowControl w:val="0"/>
        <w:ind w:left="0" w:firstLine="0"/>
      </w:pPr>
      <w:r w:rsidRPr="00440C66">
        <w:t>Po podaniu doustnym absorpcja metforminy jest wysyca</w:t>
      </w:r>
      <w:r w:rsidR="009B579C" w:rsidRPr="00440C66">
        <w:t>l</w:t>
      </w:r>
      <w:r w:rsidRPr="00440C66">
        <w:t>na i niepełna. Uznaje się, że farmakokinetyka wchłaniania metforminy jest nieliniowa. Po podaniu zazwyczaj stosowanych dawek i schematów dawkowania metforminy</w:t>
      </w:r>
      <w:r w:rsidR="001026DD" w:rsidRPr="00440C66">
        <w:t xml:space="preserve"> stężenia w osoczu w stanie stacjonarnym </w:t>
      </w:r>
      <w:r w:rsidR="00115350" w:rsidRPr="00440C66">
        <w:t>osiągane</w:t>
      </w:r>
      <w:r w:rsidR="001026DD" w:rsidRPr="00440C66">
        <w:t xml:space="preserve"> są w </w:t>
      </w:r>
      <w:r w:rsidR="00115350" w:rsidRPr="00440C66">
        <w:t>ciągu</w:t>
      </w:r>
      <w:r w:rsidR="0081093F" w:rsidRPr="00440C66">
        <w:t xml:space="preserve"> 24</w:t>
      </w:r>
      <w:r w:rsidR="00F33CC1" w:rsidRPr="00440C66">
        <w:noBreakHyphen/>
      </w:r>
      <w:r w:rsidR="0081093F" w:rsidRPr="00440C66">
        <w:t>48 </w:t>
      </w:r>
      <w:r w:rsidR="001026DD" w:rsidRPr="00440C66">
        <w:t>h i</w:t>
      </w:r>
      <w:r w:rsidR="00A21B39">
        <w:t> </w:t>
      </w:r>
      <w:r w:rsidR="0081093F" w:rsidRPr="00440C66">
        <w:t>zazwyczaj</w:t>
      </w:r>
      <w:r w:rsidR="001026DD" w:rsidRPr="00440C66">
        <w:t xml:space="preserve"> wynoszą </w:t>
      </w:r>
      <w:r w:rsidR="0081093F" w:rsidRPr="00440C66">
        <w:t>mniej niż</w:t>
      </w:r>
      <w:r w:rsidR="001026DD" w:rsidRPr="00440C66">
        <w:t xml:space="preserve"> 1</w:t>
      </w:r>
      <w:r w:rsidR="0081093F" w:rsidRPr="00440C66">
        <w:t> </w:t>
      </w:r>
      <w:r w:rsidR="001026DD" w:rsidRPr="00440C66">
        <w:sym w:font="Symbol" w:char="F06D"/>
      </w:r>
      <w:r w:rsidR="001026DD" w:rsidRPr="00440C66">
        <w:t>g/ml.</w:t>
      </w:r>
      <w:r w:rsidR="00540350" w:rsidRPr="00440C66">
        <w:t xml:space="preserve"> W kontrolowanych badaniach klinicznych, maksymalne stężenie metforminy w osoczu (C</w:t>
      </w:r>
      <w:r w:rsidR="00540350" w:rsidRPr="00440C66">
        <w:rPr>
          <w:vertAlign w:val="subscript"/>
        </w:rPr>
        <w:t>max</w:t>
      </w:r>
      <w:r w:rsidR="0081093F" w:rsidRPr="00440C66">
        <w:t>) nie przekraczało 4 </w:t>
      </w:r>
      <w:r w:rsidR="00540350" w:rsidRPr="00440C66">
        <w:sym w:font="Symbol" w:char="F06D"/>
      </w:r>
      <w:r w:rsidR="00540350" w:rsidRPr="00440C66">
        <w:t>g/ml, nawet po podaniu maksymalnych dawek.</w:t>
      </w:r>
    </w:p>
    <w:p w14:paraId="39963F2B" w14:textId="77777777" w:rsidR="008F761C" w:rsidRPr="00440C66" w:rsidRDefault="008F761C" w:rsidP="004C760F">
      <w:pPr>
        <w:widowControl w:val="0"/>
        <w:ind w:left="0" w:firstLine="0"/>
      </w:pPr>
    </w:p>
    <w:p w14:paraId="540230B5" w14:textId="77777777" w:rsidR="008F761C" w:rsidRPr="00440C66" w:rsidRDefault="008F761C" w:rsidP="004C760F">
      <w:pPr>
        <w:widowControl w:val="0"/>
        <w:ind w:left="0" w:firstLine="0"/>
      </w:pPr>
      <w:r w:rsidRPr="00440C66">
        <w:t xml:space="preserve">Spożycie pokarmu nieznacznie opóźnia i </w:t>
      </w:r>
      <w:r w:rsidR="00616F6A" w:rsidRPr="00440C66">
        <w:t xml:space="preserve">zmniejsza </w:t>
      </w:r>
      <w:r w:rsidR="0081093F" w:rsidRPr="00440C66">
        <w:t>wchłanianie</w:t>
      </w:r>
      <w:r w:rsidR="00616F6A" w:rsidRPr="00440C66">
        <w:t xml:space="preserve"> m</w:t>
      </w:r>
      <w:r w:rsidR="0081093F" w:rsidRPr="00440C66">
        <w:t>etforminy. Po podaniu dawki 850 </w:t>
      </w:r>
      <w:r w:rsidR="00616F6A" w:rsidRPr="00440C66">
        <w:t>mg maksymalne stęż</w:t>
      </w:r>
      <w:r w:rsidR="00A85738" w:rsidRPr="00440C66">
        <w:t>enie</w:t>
      </w:r>
      <w:r w:rsidR="004039D1" w:rsidRPr="00440C66">
        <w:t xml:space="preserve"> w osoczu było o 40% </w:t>
      </w:r>
      <w:r w:rsidR="00BB67AD" w:rsidRPr="00440C66">
        <w:t>mniejsze</w:t>
      </w:r>
      <w:r w:rsidR="004039D1" w:rsidRPr="00440C66">
        <w:t>, AUC zmniejszało się o 25% a czas uzyskania maksymalnego stęże</w:t>
      </w:r>
      <w:r w:rsidR="00A85738" w:rsidRPr="00440C66">
        <w:t>nia w osoczu był wydłużony o 35 </w:t>
      </w:r>
      <w:r w:rsidR="004039D1" w:rsidRPr="00440C66">
        <w:t xml:space="preserve">minut. Znaczenie kliniczne </w:t>
      </w:r>
      <w:r w:rsidR="00A808F0" w:rsidRPr="00440C66">
        <w:t xml:space="preserve">zmniejszenia </w:t>
      </w:r>
      <w:r w:rsidR="004039D1" w:rsidRPr="00440C66">
        <w:t>tych wartości nie jest znane.</w:t>
      </w:r>
    </w:p>
    <w:p w14:paraId="731372A8" w14:textId="77777777" w:rsidR="004039D1" w:rsidRPr="00440C66" w:rsidRDefault="004039D1" w:rsidP="004C760F">
      <w:pPr>
        <w:widowControl w:val="0"/>
        <w:ind w:left="0" w:firstLine="0"/>
      </w:pPr>
    </w:p>
    <w:p w14:paraId="4C228E3E" w14:textId="77777777" w:rsidR="004039D1" w:rsidRPr="001C2341" w:rsidRDefault="004039D1" w:rsidP="004C760F">
      <w:pPr>
        <w:keepNext/>
        <w:widowControl w:val="0"/>
        <w:ind w:left="0" w:firstLine="0"/>
        <w:rPr>
          <w:i/>
          <w:u w:val="single"/>
        </w:rPr>
      </w:pPr>
      <w:r w:rsidRPr="001C2341">
        <w:rPr>
          <w:i/>
          <w:u w:val="single"/>
        </w:rPr>
        <w:t>Dystrybucja</w:t>
      </w:r>
    </w:p>
    <w:p w14:paraId="64B7BA10" w14:textId="77777777" w:rsidR="004039D1" w:rsidRPr="00440C66" w:rsidRDefault="001A375A" w:rsidP="004C760F">
      <w:pPr>
        <w:widowControl w:val="0"/>
        <w:ind w:left="0" w:firstLine="0"/>
      </w:pPr>
      <w:r w:rsidRPr="00440C66">
        <w:t xml:space="preserve">Metformina w znikomym stopniu wiąże się z białkami osocza. Metformina przenika do erytrocytów. </w:t>
      </w:r>
      <w:r w:rsidR="00F56BFD" w:rsidRPr="00440C66">
        <w:t xml:space="preserve">Średnie wartości </w:t>
      </w:r>
      <w:r w:rsidR="00D20343" w:rsidRPr="00440C66">
        <w:t xml:space="preserve">objętości dystrybucji </w:t>
      </w:r>
      <w:r w:rsidR="00685738" w:rsidRPr="00440C66">
        <w:t>(</w:t>
      </w:r>
      <w:r w:rsidR="00F56BFD" w:rsidRPr="00440C66">
        <w:t>V</w:t>
      </w:r>
      <w:r w:rsidR="00F56BFD" w:rsidRPr="00440C66">
        <w:rPr>
          <w:vertAlign w:val="subscript"/>
        </w:rPr>
        <w:t>d</w:t>
      </w:r>
      <w:r w:rsidR="00685738" w:rsidRPr="00440C66">
        <w:t>)</w:t>
      </w:r>
      <w:r w:rsidR="00A85738" w:rsidRPr="00440C66">
        <w:t xml:space="preserve"> wahały się od 63 do </w:t>
      </w:r>
      <w:smartTag w:uri="urn:schemas-microsoft-com:office:smarttags" w:element="metricconverter">
        <w:smartTagPr>
          <w:attr w:name="ProductID" w:val="276ﾠlitr￳w"/>
        </w:smartTagPr>
        <w:r w:rsidR="00A85738" w:rsidRPr="00440C66">
          <w:t>276 </w:t>
        </w:r>
        <w:r w:rsidR="00F56BFD" w:rsidRPr="00440C66">
          <w:t>litrów</w:t>
        </w:r>
      </w:smartTag>
      <w:r w:rsidR="00F56BFD" w:rsidRPr="00440C66">
        <w:t>.</w:t>
      </w:r>
    </w:p>
    <w:p w14:paraId="7769D3F9" w14:textId="77777777" w:rsidR="00A4221E" w:rsidRPr="00440C66" w:rsidRDefault="00A4221E" w:rsidP="004C760F">
      <w:pPr>
        <w:widowControl w:val="0"/>
        <w:ind w:left="0" w:firstLine="0"/>
      </w:pPr>
    </w:p>
    <w:p w14:paraId="31F5E155" w14:textId="77777777" w:rsidR="00A4221E" w:rsidRPr="001C2341" w:rsidRDefault="00A4221E" w:rsidP="004C760F">
      <w:pPr>
        <w:keepNext/>
        <w:widowControl w:val="0"/>
        <w:ind w:left="0" w:firstLine="0"/>
        <w:rPr>
          <w:i/>
          <w:u w:val="single"/>
        </w:rPr>
      </w:pPr>
      <w:r w:rsidRPr="001C2341">
        <w:rPr>
          <w:i/>
          <w:u w:val="single"/>
        </w:rPr>
        <w:t>Metabolizm</w:t>
      </w:r>
    </w:p>
    <w:p w14:paraId="40D246AE" w14:textId="77777777" w:rsidR="00E71EB3" w:rsidRPr="00440C66" w:rsidRDefault="00E71EB3" w:rsidP="004C760F">
      <w:pPr>
        <w:widowControl w:val="0"/>
        <w:ind w:left="0" w:firstLine="0"/>
      </w:pPr>
      <w:r w:rsidRPr="00440C66">
        <w:t>Metformina jest wydalana w postaci niezmienionej z moczem. U ludzi nie zidentyfikowano żadnych metabolitów metforminy.</w:t>
      </w:r>
    </w:p>
    <w:p w14:paraId="5DEE6204" w14:textId="77777777" w:rsidR="00E71EB3" w:rsidRPr="00440C66" w:rsidRDefault="00E71EB3" w:rsidP="004C760F">
      <w:pPr>
        <w:widowControl w:val="0"/>
        <w:ind w:left="0" w:firstLine="0"/>
      </w:pPr>
    </w:p>
    <w:p w14:paraId="1D33275F" w14:textId="77777777" w:rsidR="00E71EB3" w:rsidRPr="001C2341" w:rsidRDefault="00C06EFE" w:rsidP="004C760F">
      <w:pPr>
        <w:keepNext/>
        <w:widowControl w:val="0"/>
        <w:ind w:left="0" w:firstLine="0"/>
        <w:rPr>
          <w:i/>
          <w:u w:val="single"/>
        </w:rPr>
      </w:pPr>
      <w:r w:rsidRPr="001C2341">
        <w:rPr>
          <w:i/>
          <w:u w:val="single"/>
        </w:rPr>
        <w:t>Eliminacja</w:t>
      </w:r>
    </w:p>
    <w:p w14:paraId="4E7A1AE9" w14:textId="77777777" w:rsidR="00E71EB3" w:rsidRPr="00440C66" w:rsidRDefault="00685738" w:rsidP="004C760F">
      <w:pPr>
        <w:widowControl w:val="0"/>
        <w:ind w:left="0" w:firstLine="0"/>
      </w:pPr>
      <w:r w:rsidRPr="00440C66">
        <w:t xml:space="preserve">Metformina jest wydalana na drodze wydzielania nerkowego. </w:t>
      </w:r>
      <w:r w:rsidR="00443E1F" w:rsidRPr="00440C66">
        <w:t>Klirens nerkowy metforminy przekracza</w:t>
      </w:r>
      <w:r w:rsidR="00A85738" w:rsidRPr="00440C66">
        <w:t xml:space="preserve"> 400 </w:t>
      </w:r>
      <w:r w:rsidR="00443E1F" w:rsidRPr="00440C66">
        <w:t>ml/min</w:t>
      </w:r>
      <w:r w:rsidR="00863706" w:rsidRPr="00440C66">
        <w:t xml:space="preserve">, co wskazuje na wydalanie metforminy drogą </w:t>
      </w:r>
      <w:r w:rsidR="006927FD" w:rsidRPr="00440C66">
        <w:t>przesączania</w:t>
      </w:r>
      <w:r w:rsidR="00863706" w:rsidRPr="00440C66">
        <w:t xml:space="preserve"> kłębuszkowego i wydzielania kanalikowego. Po podaniu doustnej dawki </w:t>
      </w:r>
      <w:r w:rsidR="00FE0437" w:rsidRPr="00440C66">
        <w:t>produktu leczniczego</w:t>
      </w:r>
      <w:r w:rsidR="00863706" w:rsidRPr="00440C66">
        <w:t xml:space="preserve">, </w:t>
      </w:r>
      <w:r w:rsidR="00854E09" w:rsidRPr="00440C66">
        <w:t>okres półtrwania w końcowej fa</w:t>
      </w:r>
      <w:r w:rsidR="00A85738" w:rsidRPr="00440C66">
        <w:t>zie eliminacji wynosi około 6,5 </w:t>
      </w:r>
      <w:r w:rsidR="00854E09" w:rsidRPr="00440C66">
        <w:t xml:space="preserve">h. U pacjentów z zaburzeniami czynności nerek klirens nerkowy jest zmniejszony proporcjonalnie do klirensu kreatyniny, a zatem okres półtrwania </w:t>
      </w:r>
      <w:r w:rsidR="00F40AE3" w:rsidRPr="00440C66">
        <w:t xml:space="preserve">w fazie </w:t>
      </w:r>
      <w:r w:rsidR="00854E09" w:rsidRPr="00440C66">
        <w:t>eliminacji ulega wydłużeniu</w:t>
      </w:r>
      <w:r w:rsidR="00144761" w:rsidRPr="00440C66">
        <w:t xml:space="preserve">, powodując </w:t>
      </w:r>
      <w:r w:rsidR="00A85738" w:rsidRPr="00440C66">
        <w:t>zwiększenie</w:t>
      </w:r>
      <w:r w:rsidR="00144761" w:rsidRPr="00440C66">
        <w:t xml:space="preserve"> stężenia metforminy w osoczu.</w:t>
      </w:r>
    </w:p>
    <w:p w14:paraId="3D674DB6" w14:textId="77777777" w:rsidR="008A2514" w:rsidRPr="00440C66" w:rsidRDefault="008A2514" w:rsidP="004C760F">
      <w:pPr>
        <w:widowControl w:val="0"/>
        <w:ind w:left="0" w:firstLine="0"/>
      </w:pPr>
    </w:p>
    <w:p w14:paraId="3F1D1CA1" w14:textId="77777777" w:rsidR="008A2514" w:rsidRPr="00440C66" w:rsidRDefault="008A2514" w:rsidP="004C760F">
      <w:pPr>
        <w:keepNext/>
        <w:widowControl w:val="0"/>
        <w:rPr>
          <w:b/>
        </w:rPr>
      </w:pPr>
      <w:r w:rsidRPr="00440C66">
        <w:rPr>
          <w:b/>
        </w:rPr>
        <w:t>5.3</w:t>
      </w:r>
      <w:r w:rsidRPr="00440C66">
        <w:rPr>
          <w:b/>
        </w:rPr>
        <w:tab/>
        <w:t>Przedkliniczne dane o bezpieczeństwie</w:t>
      </w:r>
    </w:p>
    <w:p w14:paraId="5AE01A56" w14:textId="77777777" w:rsidR="008A2514" w:rsidRPr="00440C66" w:rsidRDefault="008A2514" w:rsidP="004C760F">
      <w:pPr>
        <w:keepNext/>
        <w:widowControl w:val="0"/>
        <w:ind w:left="0" w:firstLine="0"/>
      </w:pPr>
    </w:p>
    <w:p w14:paraId="625F4AE1" w14:textId="778D2B0C" w:rsidR="001E51CA" w:rsidRPr="00440C66" w:rsidRDefault="001E51CA" w:rsidP="004C760F">
      <w:pPr>
        <w:widowControl w:val="0"/>
        <w:ind w:left="0" w:firstLine="0"/>
      </w:pPr>
      <w:r w:rsidRPr="00440C66">
        <w:t xml:space="preserve">Połączenie substancji czynnych </w:t>
      </w:r>
      <w:r w:rsidR="000D1A97" w:rsidRPr="000D1A97">
        <w:t>wildagliptyn</w:t>
      </w:r>
      <w:r w:rsidR="000D1A97">
        <w:t>a</w:t>
      </w:r>
      <w:r w:rsidR="000D1A97" w:rsidRPr="000D1A97">
        <w:t xml:space="preserve"> + chlorowodor</w:t>
      </w:r>
      <w:r w:rsidR="000D1A97">
        <w:t>e</w:t>
      </w:r>
      <w:r w:rsidR="000D1A97" w:rsidRPr="000D1A97">
        <w:t>k metforminy</w:t>
      </w:r>
      <w:r w:rsidRPr="00440C66">
        <w:t xml:space="preserve"> było przedmiotem badań </w:t>
      </w:r>
      <w:r w:rsidR="00A85738" w:rsidRPr="00440C66">
        <w:t>na zwierzętach trwających do 13 </w:t>
      </w:r>
      <w:r w:rsidRPr="00440C66">
        <w:t>tygodni.</w:t>
      </w:r>
      <w:r w:rsidR="006B3DED" w:rsidRPr="00440C66">
        <w:t xml:space="preserve"> Nie stwierdzono nowych działań toksycznych związanych z</w:t>
      </w:r>
      <w:r w:rsidR="00A21B39">
        <w:t> </w:t>
      </w:r>
      <w:r w:rsidR="006B3DED" w:rsidRPr="00440C66">
        <w:t>podawaniem tych substancji w postaci produktu złożonego. Poniższe dane pochodzą z badań przeprowadzonych osobno dla wildagliptyny i metforminy.</w:t>
      </w:r>
    </w:p>
    <w:p w14:paraId="7CC87A51" w14:textId="77777777" w:rsidR="006B3DED" w:rsidRPr="00440C66" w:rsidRDefault="006B3DED" w:rsidP="004C760F">
      <w:pPr>
        <w:widowControl w:val="0"/>
        <w:ind w:left="0" w:firstLine="0"/>
      </w:pPr>
    </w:p>
    <w:p w14:paraId="32097ACD" w14:textId="77777777" w:rsidR="006B3DED" w:rsidRDefault="006B3DED" w:rsidP="004C760F">
      <w:pPr>
        <w:keepNext/>
        <w:widowControl w:val="0"/>
        <w:ind w:left="0" w:firstLine="0"/>
        <w:rPr>
          <w:u w:val="single"/>
        </w:rPr>
      </w:pPr>
      <w:r w:rsidRPr="00440C66">
        <w:rPr>
          <w:u w:val="single"/>
        </w:rPr>
        <w:t>Wildagliptyna</w:t>
      </w:r>
    </w:p>
    <w:p w14:paraId="30B8CA3D" w14:textId="77777777" w:rsidR="007E78DE" w:rsidRPr="00440C66" w:rsidRDefault="007E78DE" w:rsidP="004C760F">
      <w:pPr>
        <w:keepNext/>
        <w:widowControl w:val="0"/>
        <w:ind w:left="0" w:firstLine="0"/>
        <w:rPr>
          <w:u w:val="single"/>
        </w:rPr>
      </w:pPr>
    </w:p>
    <w:p w14:paraId="3C334FBE" w14:textId="77777777" w:rsidR="001A68C1" w:rsidRPr="00440C66" w:rsidRDefault="001A68C1" w:rsidP="004C760F">
      <w:pPr>
        <w:widowControl w:val="0"/>
        <w:ind w:left="0" w:firstLine="0"/>
      </w:pPr>
      <w:r w:rsidRPr="00440C66">
        <w:t>U psów obserwowano opóźnienia wewnątrzsercowego przewodzenia impulsów a dawka</w:t>
      </w:r>
      <w:r w:rsidR="007E78DE">
        <w:t>,</w:t>
      </w:r>
      <w:r w:rsidRPr="00440C66">
        <w:t xml:space="preserve"> </w:t>
      </w:r>
      <w:r w:rsidR="00421BAB" w:rsidRPr="00440C66">
        <w:t xml:space="preserve">po podaniu której nie występowało takie działanie </w:t>
      </w:r>
      <w:r w:rsidR="00FE0437" w:rsidRPr="00440C66">
        <w:t>produktu leczniczego</w:t>
      </w:r>
      <w:r w:rsidR="00421BAB" w:rsidRPr="00440C66">
        <w:t xml:space="preserve"> </w:t>
      </w:r>
      <w:r w:rsidR="00A85738" w:rsidRPr="00440C66">
        <w:t>wynosiła 15 mg/kg </w:t>
      </w:r>
      <w:r w:rsidRPr="00440C66">
        <w:t>mc. (7</w:t>
      </w:r>
      <w:r w:rsidR="00421BAB" w:rsidRPr="00440C66">
        <w:t> razy więcej od</w:t>
      </w:r>
      <w:r w:rsidRPr="00440C66">
        <w:t xml:space="preserve"> </w:t>
      </w:r>
      <w:r w:rsidR="00A85738" w:rsidRPr="00440C66">
        <w:t xml:space="preserve">całkowitego wpływu </w:t>
      </w:r>
      <w:r w:rsidR="00FE0437" w:rsidRPr="00440C66">
        <w:t>produktu leczniczego</w:t>
      </w:r>
      <w:r w:rsidR="00A85738" w:rsidRPr="00440C66">
        <w:t xml:space="preserve"> na organizm u ludzi </w:t>
      </w:r>
      <w:r w:rsidRPr="00440C66">
        <w:t>na podstawie C</w:t>
      </w:r>
      <w:r w:rsidR="00A85738" w:rsidRPr="00440C66">
        <w:rPr>
          <w:vertAlign w:val="subscript"/>
        </w:rPr>
        <w:t>max</w:t>
      </w:r>
      <w:r w:rsidRPr="00440C66">
        <w:t>).</w:t>
      </w:r>
    </w:p>
    <w:p w14:paraId="1786EDBD" w14:textId="77777777" w:rsidR="001A68C1" w:rsidRPr="00440C66" w:rsidRDefault="001A68C1" w:rsidP="004C760F">
      <w:pPr>
        <w:widowControl w:val="0"/>
        <w:ind w:left="0" w:firstLine="0"/>
      </w:pPr>
    </w:p>
    <w:p w14:paraId="2E5B2A9A" w14:textId="2B6F2106" w:rsidR="001A68C1" w:rsidRPr="00440C66" w:rsidRDefault="001A68C1" w:rsidP="004C760F">
      <w:pPr>
        <w:widowControl w:val="0"/>
        <w:ind w:left="0" w:firstLine="0"/>
      </w:pPr>
      <w:r w:rsidRPr="00440C66">
        <w:lastRenderedPageBreak/>
        <w:t>U szczurów i myszy obserwowano gromadzenie się piankowatych makrofagów pęcherzykowych w</w:t>
      </w:r>
      <w:r w:rsidR="00A21B39">
        <w:t> </w:t>
      </w:r>
      <w:r w:rsidRPr="00440C66">
        <w:t>płucach. U szczurów dawka niewywołująca niekorzyst</w:t>
      </w:r>
      <w:r w:rsidR="00A85738" w:rsidRPr="00440C66">
        <w:t xml:space="preserve">nego działania </w:t>
      </w:r>
      <w:r w:rsidR="00FE0437" w:rsidRPr="00440C66">
        <w:t>produktu leczniczego</w:t>
      </w:r>
      <w:r w:rsidR="00A85738" w:rsidRPr="00440C66">
        <w:t xml:space="preserve"> wynosiła 25 mg/kg </w:t>
      </w:r>
      <w:r w:rsidRPr="00440C66">
        <w:t>mc. (5</w:t>
      </w:r>
      <w:r w:rsidR="00421BAB" w:rsidRPr="00440C66">
        <w:t> razy więcej niż całkowity</w:t>
      </w:r>
      <w:r w:rsidR="00A85738" w:rsidRPr="00440C66">
        <w:t xml:space="preserve"> wpływ </w:t>
      </w:r>
      <w:r w:rsidR="00FE0437" w:rsidRPr="00440C66">
        <w:t>produktu leczniczego</w:t>
      </w:r>
      <w:r w:rsidR="00A85738" w:rsidRPr="00440C66">
        <w:t xml:space="preserve"> na organizm u ludzi</w:t>
      </w:r>
      <w:r w:rsidR="00421BAB" w:rsidRPr="00440C66">
        <w:t>,</w:t>
      </w:r>
      <w:r w:rsidR="00A85738" w:rsidRPr="00440C66">
        <w:t xml:space="preserve"> </w:t>
      </w:r>
      <w:r w:rsidRPr="00440C66">
        <w:t>na podstawie AUC), a u myszy – 750</w:t>
      </w:r>
      <w:r w:rsidR="00427C26" w:rsidRPr="00440C66">
        <w:t> mg/kg </w:t>
      </w:r>
      <w:r w:rsidRPr="00440C66">
        <w:t>mc. (142</w:t>
      </w:r>
      <w:r w:rsidR="00421BAB" w:rsidRPr="00440C66">
        <w:t> razy więcej niż całkowity</w:t>
      </w:r>
      <w:r w:rsidR="00427C26" w:rsidRPr="00440C66">
        <w:t xml:space="preserve"> wpływ </w:t>
      </w:r>
      <w:r w:rsidR="00FE0437" w:rsidRPr="00440C66">
        <w:t>produktu leczniczego</w:t>
      </w:r>
      <w:r w:rsidR="00427C26" w:rsidRPr="00440C66">
        <w:t xml:space="preserve"> na organizm u ludzi</w:t>
      </w:r>
      <w:r w:rsidRPr="00440C66">
        <w:t>).</w:t>
      </w:r>
    </w:p>
    <w:p w14:paraId="7A7E1F99" w14:textId="77777777" w:rsidR="001A68C1" w:rsidRPr="00440C66" w:rsidRDefault="001A68C1" w:rsidP="004C760F">
      <w:pPr>
        <w:widowControl w:val="0"/>
        <w:ind w:left="0" w:firstLine="0"/>
      </w:pPr>
    </w:p>
    <w:p w14:paraId="538F1FA0" w14:textId="77777777" w:rsidR="001A68C1" w:rsidRPr="00440C66" w:rsidRDefault="001A68C1" w:rsidP="004C760F">
      <w:pPr>
        <w:widowControl w:val="0"/>
        <w:ind w:left="0" w:firstLine="0"/>
      </w:pPr>
      <w:r w:rsidRPr="00440C66">
        <w:t xml:space="preserve">U psów obserwowano objawy ze strony przewodu pokarmowego, </w:t>
      </w:r>
      <w:r w:rsidR="00427C26" w:rsidRPr="00440C66">
        <w:t>szczególnie</w:t>
      </w:r>
      <w:r w:rsidRPr="00440C66">
        <w:t xml:space="preserve"> miękkie stolce, śluzowate stolce, biegunkę, a </w:t>
      </w:r>
      <w:r w:rsidR="00421BAB" w:rsidRPr="00440C66">
        <w:t xml:space="preserve">po podaniu </w:t>
      </w:r>
      <w:r w:rsidR="00427C26" w:rsidRPr="00440C66">
        <w:t>większych</w:t>
      </w:r>
      <w:r w:rsidRPr="00440C66">
        <w:t xml:space="preserve"> daw</w:t>
      </w:r>
      <w:r w:rsidR="00421BAB" w:rsidRPr="00440C66">
        <w:t>ek</w:t>
      </w:r>
      <w:r w:rsidRPr="00440C66">
        <w:t xml:space="preserve"> obecność krwi w kale. Nie ustalono </w:t>
      </w:r>
      <w:r w:rsidR="00427C26" w:rsidRPr="00440C66">
        <w:t>wielkości</w:t>
      </w:r>
      <w:r w:rsidRPr="00440C66">
        <w:t xml:space="preserve"> dawki </w:t>
      </w:r>
      <w:r w:rsidR="006927FD" w:rsidRPr="00440C66">
        <w:t>niepowodującej</w:t>
      </w:r>
      <w:r w:rsidRPr="00440C66">
        <w:t xml:space="preserve"> tych działań.</w:t>
      </w:r>
    </w:p>
    <w:p w14:paraId="34BD1E75" w14:textId="77777777" w:rsidR="001A68C1" w:rsidRPr="00440C66" w:rsidRDefault="001A68C1" w:rsidP="004C760F">
      <w:pPr>
        <w:widowControl w:val="0"/>
        <w:ind w:left="0" w:firstLine="0"/>
      </w:pPr>
    </w:p>
    <w:p w14:paraId="56464678" w14:textId="77777777" w:rsidR="001A68C1" w:rsidRPr="00440C66" w:rsidRDefault="001A68C1" w:rsidP="004C760F">
      <w:pPr>
        <w:widowControl w:val="0"/>
        <w:ind w:left="0" w:firstLine="0"/>
        <w:rPr>
          <w:i/>
        </w:rPr>
      </w:pPr>
      <w:r w:rsidRPr="00440C66">
        <w:t xml:space="preserve">Wildagliptyna nie </w:t>
      </w:r>
      <w:r w:rsidR="00421BAB" w:rsidRPr="00440C66">
        <w:t xml:space="preserve">wykazywała </w:t>
      </w:r>
      <w:r w:rsidRPr="00440C66">
        <w:t xml:space="preserve">działania mutagennego w konwencjonalnych badaniach genotoksyczności </w:t>
      </w:r>
      <w:r w:rsidRPr="00440C66">
        <w:rPr>
          <w:i/>
        </w:rPr>
        <w:t>in vitro</w:t>
      </w:r>
      <w:r w:rsidRPr="00440C66">
        <w:t xml:space="preserve"> i </w:t>
      </w:r>
      <w:r w:rsidRPr="00440C66">
        <w:rPr>
          <w:i/>
        </w:rPr>
        <w:t>in vivo.</w:t>
      </w:r>
    </w:p>
    <w:p w14:paraId="610A4CDF" w14:textId="77777777" w:rsidR="001A68C1" w:rsidRPr="00440C66" w:rsidRDefault="001A68C1" w:rsidP="004C760F">
      <w:pPr>
        <w:widowControl w:val="0"/>
        <w:ind w:left="0" w:firstLine="0"/>
      </w:pPr>
    </w:p>
    <w:p w14:paraId="6333FAB3" w14:textId="20BCF4CF" w:rsidR="00427C26" w:rsidRPr="00440C66" w:rsidRDefault="001A68C1" w:rsidP="004C760F">
      <w:pPr>
        <w:widowControl w:val="0"/>
        <w:ind w:left="0" w:firstLine="0"/>
      </w:pPr>
      <w:r w:rsidRPr="00440C66">
        <w:t>Badania wpływu na płodność i wczesny rozwój zarodka szczurów nie dostarczyły dowodów</w:t>
      </w:r>
      <w:r w:rsidR="00EE11A6" w:rsidRPr="00440C66">
        <w:t>,</w:t>
      </w:r>
      <w:r w:rsidRPr="00440C66">
        <w:t xml:space="preserve"> potwierdzających zaburzenia płodności, zdolności </w:t>
      </w:r>
      <w:r w:rsidR="00421BAB" w:rsidRPr="00440C66">
        <w:t xml:space="preserve">do </w:t>
      </w:r>
      <w:r w:rsidRPr="00440C66">
        <w:t>reprodukcj</w:t>
      </w:r>
      <w:r w:rsidR="00421BAB" w:rsidRPr="00440C66">
        <w:t>i</w:t>
      </w:r>
      <w:r w:rsidRPr="00440C66">
        <w:t xml:space="preserve"> lub wczesnego rozwoju zarodka spowodowan</w:t>
      </w:r>
      <w:r w:rsidR="00EE11A6" w:rsidRPr="00440C66">
        <w:t>ych</w:t>
      </w:r>
      <w:r w:rsidRPr="00440C66">
        <w:t xml:space="preserve"> wildagliptyną. Toksyczne działanie na zarodek i płód oceniano u szczurów i</w:t>
      </w:r>
      <w:r w:rsidR="00A21B39">
        <w:t> </w:t>
      </w:r>
      <w:r w:rsidRPr="00440C66">
        <w:t>królików. U szczurów stwierdzono większą częstość występowania falistych żeber w związku z</w:t>
      </w:r>
      <w:r w:rsidR="00DA6B97" w:rsidRPr="00440C66">
        <w:t>e</w:t>
      </w:r>
      <w:r w:rsidRPr="00440C66">
        <w:t xml:space="preserve"> </w:t>
      </w:r>
      <w:r w:rsidR="00DA6B97" w:rsidRPr="00440C66">
        <w:t xml:space="preserve">zmniejszeniem </w:t>
      </w:r>
      <w:r w:rsidRPr="00440C66">
        <w:t xml:space="preserve">parametrów masy ciała matki, a dawka niepowodująca niekorzystnego </w:t>
      </w:r>
      <w:r w:rsidR="00427C26" w:rsidRPr="00440C66">
        <w:t>działania wynosiła 75 mg/kg </w:t>
      </w:r>
      <w:r w:rsidRPr="00440C66">
        <w:t>mc. (</w:t>
      </w:r>
      <w:r w:rsidR="00427C26" w:rsidRPr="00440C66">
        <w:t xml:space="preserve">10 razy więcej niż całkowity wpływ </w:t>
      </w:r>
      <w:r w:rsidR="00FE0437" w:rsidRPr="00440C66">
        <w:t>produktu leczniczego</w:t>
      </w:r>
      <w:r w:rsidR="00427C26" w:rsidRPr="00440C66">
        <w:t xml:space="preserve"> na organizm u</w:t>
      </w:r>
      <w:r w:rsidR="00A21B39">
        <w:t> </w:t>
      </w:r>
      <w:r w:rsidR="00427C26" w:rsidRPr="00440C66">
        <w:t>ludzi</w:t>
      </w:r>
      <w:r w:rsidRPr="00440C66">
        <w:t xml:space="preserve">). U królików, </w:t>
      </w:r>
      <w:r w:rsidR="00FD1778" w:rsidRPr="00440C66">
        <w:t xml:space="preserve">zmniejszenie </w:t>
      </w:r>
      <w:r w:rsidRPr="00440C66">
        <w:t>masy ciała płodu i zmiany kośćca wskazujące na opóźnienia rozwoju obserwowano jedynie w</w:t>
      </w:r>
      <w:r w:rsidR="00421BAB" w:rsidRPr="00440C66">
        <w:t>tedy, gdy</w:t>
      </w:r>
      <w:r w:rsidRPr="00440C66">
        <w:t xml:space="preserve"> </w:t>
      </w:r>
      <w:r w:rsidR="00421BAB" w:rsidRPr="00440C66">
        <w:t xml:space="preserve">występowały </w:t>
      </w:r>
      <w:r w:rsidRPr="00440C66">
        <w:t>ciężki</w:t>
      </w:r>
      <w:r w:rsidR="00421BAB" w:rsidRPr="00440C66">
        <w:t>e</w:t>
      </w:r>
      <w:r w:rsidRPr="00440C66">
        <w:t xml:space="preserve"> działa</w:t>
      </w:r>
      <w:r w:rsidR="00421BAB" w:rsidRPr="00440C66">
        <w:t>nia</w:t>
      </w:r>
      <w:r w:rsidRPr="00440C66">
        <w:t xml:space="preserve"> toksyczn</w:t>
      </w:r>
      <w:r w:rsidR="00421BAB" w:rsidRPr="00440C66">
        <w:t>e</w:t>
      </w:r>
      <w:r w:rsidRPr="00440C66">
        <w:t xml:space="preserve"> </w:t>
      </w:r>
      <w:r w:rsidR="00421BAB" w:rsidRPr="00440C66">
        <w:t xml:space="preserve">u </w:t>
      </w:r>
      <w:r w:rsidRPr="00440C66">
        <w:t>matk</w:t>
      </w:r>
      <w:r w:rsidR="00421BAB" w:rsidRPr="00440C66">
        <w:t>i</w:t>
      </w:r>
      <w:r w:rsidRPr="00440C66">
        <w:t xml:space="preserve">, a dawka niepowodująca niekorzystnego </w:t>
      </w:r>
      <w:r w:rsidR="00427C26" w:rsidRPr="00440C66">
        <w:t>działania</w:t>
      </w:r>
      <w:r w:rsidRPr="00440C66">
        <w:t xml:space="preserve"> </w:t>
      </w:r>
      <w:r w:rsidR="00427C26" w:rsidRPr="00440C66">
        <w:t>wynosiła 50 mg/kg </w:t>
      </w:r>
      <w:r w:rsidRPr="00440C66">
        <w:t>mc. (</w:t>
      </w:r>
      <w:r w:rsidR="00427C26" w:rsidRPr="00440C66">
        <w:t xml:space="preserve">9 razy więcej niż całkowity wpływ </w:t>
      </w:r>
      <w:r w:rsidR="00FE0437" w:rsidRPr="00440C66">
        <w:t>produktu leczniczego</w:t>
      </w:r>
      <w:r w:rsidR="00427C26" w:rsidRPr="00440C66">
        <w:t xml:space="preserve"> na organizm u ludzi</w:t>
      </w:r>
      <w:r w:rsidRPr="00440C66">
        <w:t xml:space="preserve">). Badanie rozwoju przed- i pourodzeniowego przeprowadzono na szczurach. </w:t>
      </w:r>
      <w:r w:rsidR="00427C26" w:rsidRPr="00440C66">
        <w:t>Toksyczne działanie, w tym przemijające zmniejszenie masy ciała i</w:t>
      </w:r>
      <w:r w:rsidR="00A21B39">
        <w:t> </w:t>
      </w:r>
      <w:r w:rsidR="00427C26" w:rsidRPr="00440C66">
        <w:t xml:space="preserve">zmniejszoną aktywność ruchową w pokoleniu F1, obserwowano jedynie w związku z toksycznym działaniem na matkę po podaniu </w:t>
      </w:r>
      <w:r w:rsidR="00FE0437" w:rsidRPr="00440C66">
        <w:t>produktu leczniczego</w:t>
      </w:r>
      <w:r w:rsidR="00427C26" w:rsidRPr="00440C66">
        <w:t xml:space="preserve"> w dawce </w:t>
      </w:r>
      <w:r w:rsidR="00427C26" w:rsidRPr="00440C66">
        <w:sym w:font="Symbol" w:char="F0B3"/>
      </w:r>
      <w:r w:rsidR="00427C26" w:rsidRPr="00440C66">
        <w:t> 150 mg/kg mc.</w:t>
      </w:r>
    </w:p>
    <w:p w14:paraId="5C259040" w14:textId="77777777" w:rsidR="001A68C1" w:rsidRPr="00440C66" w:rsidRDefault="001A68C1" w:rsidP="004C760F">
      <w:pPr>
        <w:widowControl w:val="0"/>
        <w:ind w:left="0" w:firstLine="0"/>
      </w:pPr>
    </w:p>
    <w:p w14:paraId="281BBE52" w14:textId="3D13AE41" w:rsidR="001A68C1" w:rsidRPr="00440C66" w:rsidRDefault="001A68C1" w:rsidP="004C760F">
      <w:pPr>
        <w:widowControl w:val="0"/>
        <w:ind w:left="0" w:firstLine="0"/>
      </w:pPr>
      <w:r w:rsidRPr="00440C66">
        <w:t xml:space="preserve">Przeprowadzono dwuletnie badanie rakotwórczości </w:t>
      </w:r>
      <w:r w:rsidR="00427C26" w:rsidRPr="00440C66">
        <w:t>na szczurach</w:t>
      </w:r>
      <w:r w:rsidRPr="00440C66">
        <w:t>, którym podawano dawki</w:t>
      </w:r>
      <w:r w:rsidR="00D634DE" w:rsidRPr="00440C66">
        <w:t xml:space="preserve"> doustne</w:t>
      </w:r>
      <w:r w:rsidR="00427C26" w:rsidRPr="00440C66">
        <w:t xml:space="preserve"> do 900 mg/kg </w:t>
      </w:r>
      <w:r w:rsidRPr="00440C66">
        <w:t>mc. (</w:t>
      </w:r>
      <w:r w:rsidR="00427C26" w:rsidRPr="00440C66">
        <w:t xml:space="preserve">około 200 razy większe od całkowitego wpływu </w:t>
      </w:r>
      <w:r w:rsidR="00FE0437" w:rsidRPr="00440C66">
        <w:t>produktu leczniczego</w:t>
      </w:r>
      <w:r w:rsidR="00427C26" w:rsidRPr="00440C66">
        <w:t xml:space="preserve"> na organizm u</w:t>
      </w:r>
      <w:r w:rsidR="00A21B39">
        <w:t> </w:t>
      </w:r>
      <w:r w:rsidR="00427C26" w:rsidRPr="00440C66">
        <w:t>ludzi po podaniu maksymalnej zalecanej dawki</w:t>
      </w:r>
      <w:r w:rsidRPr="00440C66">
        <w:t xml:space="preserve">). Nie stwierdzono </w:t>
      </w:r>
      <w:r w:rsidR="00EA518C" w:rsidRPr="00440C66">
        <w:t>zwiększenia</w:t>
      </w:r>
      <w:r w:rsidRPr="00440C66">
        <w:t xml:space="preserve"> częstości występowania guzów </w:t>
      </w:r>
      <w:r w:rsidR="00D70CD0" w:rsidRPr="00440C66">
        <w:t xml:space="preserve">w związku ze stosowaniem </w:t>
      </w:r>
      <w:r w:rsidRPr="00440C66">
        <w:t>wildagliptyn</w:t>
      </w:r>
      <w:r w:rsidR="00D70CD0" w:rsidRPr="00440C66">
        <w:t>y</w:t>
      </w:r>
      <w:r w:rsidRPr="00440C66">
        <w:t>. W innym dwuletnim badaniu rakotwórczość oceniano u myszy, którym poda</w:t>
      </w:r>
      <w:r w:rsidR="00EA518C" w:rsidRPr="00440C66">
        <w:t>wano doustne dawki do 1000 mg/kg </w:t>
      </w:r>
      <w:r w:rsidRPr="00440C66">
        <w:t>mc. Obserwowano zwiększoną częstość występowania gruczolakoraka sutków i naczyniakomięsaka krwionośnego, a</w:t>
      </w:r>
      <w:r w:rsidR="00A21B39">
        <w:t> </w:t>
      </w:r>
      <w:r w:rsidRPr="00440C66">
        <w:t xml:space="preserve">dawka niepowodująca niekorzystnego </w:t>
      </w:r>
      <w:r w:rsidR="00EA518C" w:rsidRPr="00440C66">
        <w:t>działania wynosiła odpowiednio 500 mg/kg </w:t>
      </w:r>
      <w:r w:rsidRPr="00440C66">
        <w:t>mc. (</w:t>
      </w:r>
      <w:r w:rsidR="00EA518C" w:rsidRPr="00440C66">
        <w:t xml:space="preserve">59 razy więcej niż całkowity wpływ </w:t>
      </w:r>
      <w:r w:rsidR="00FE0437" w:rsidRPr="00440C66">
        <w:t>produktu leczniczego</w:t>
      </w:r>
      <w:r w:rsidR="00EA518C" w:rsidRPr="00440C66">
        <w:t xml:space="preserve"> na organizm u ludzi) i 100 mg/kg </w:t>
      </w:r>
      <w:r w:rsidRPr="00440C66">
        <w:t>mc. (</w:t>
      </w:r>
      <w:r w:rsidR="00EA518C" w:rsidRPr="00440C66">
        <w:t xml:space="preserve">16 razy więcej niż całkowity wpływ </w:t>
      </w:r>
      <w:r w:rsidR="00FE0437" w:rsidRPr="00440C66">
        <w:t>produktu leczniczego</w:t>
      </w:r>
      <w:r w:rsidR="00EA518C" w:rsidRPr="00440C66">
        <w:t xml:space="preserve"> na organizm u ludzi</w:t>
      </w:r>
      <w:r w:rsidRPr="00440C66">
        <w:t>). Uważa się, że zwiększona częstość występowania tych guzów u myszy nie stanowi istotnego ryzyka dla ludzi</w:t>
      </w:r>
      <w:r w:rsidR="00D70CD0" w:rsidRPr="00440C66">
        <w:t>. Stwierdzono to</w:t>
      </w:r>
      <w:r w:rsidRPr="00440C66">
        <w:t xml:space="preserve"> na podstawie braku działań genotoksycznych wildagliptyny i jej głównego metabolitu, występowania guzów tylko u jednego gatunku</w:t>
      </w:r>
      <w:r w:rsidR="00685738" w:rsidRPr="00440C66">
        <w:t xml:space="preserve"> i</w:t>
      </w:r>
      <w:r w:rsidRPr="00440C66">
        <w:t xml:space="preserve"> </w:t>
      </w:r>
      <w:r w:rsidR="00D70CD0" w:rsidRPr="00440C66">
        <w:t xml:space="preserve">dużej ekspozycji na </w:t>
      </w:r>
      <w:r w:rsidR="00FE0437" w:rsidRPr="00440C66">
        <w:t>produkt leczniczy</w:t>
      </w:r>
      <w:r w:rsidRPr="00440C66">
        <w:t>, przy któr</w:t>
      </w:r>
      <w:r w:rsidR="00D70CD0" w:rsidRPr="00440C66">
        <w:t>ej</w:t>
      </w:r>
      <w:r w:rsidRPr="00440C66">
        <w:t xml:space="preserve"> obserwowano guzy.</w:t>
      </w:r>
    </w:p>
    <w:p w14:paraId="4B6105D0" w14:textId="77777777" w:rsidR="001A68C1" w:rsidRPr="00440C66" w:rsidRDefault="001A68C1" w:rsidP="004C760F">
      <w:pPr>
        <w:widowControl w:val="0"/>
        <w:ind w:left="0" w:firstLine="0"/>
      </w:pPr>
    </w:p>
    <w:p w14:paraId="6428D4FA" w14:textId="3710CAC1" w:rsidR="001A68C1" w:rsidRPr="00440C66" w:rsidRDefault="001A68C1" w:rsidP="004C760F">
      <w:pPr>
        <w:widowControl w:val="0"/>
        <w:ind w:left="0" w:firstLine="0"/>
      </w:pPr>
      <w:r w:rsidRPr="00440C66">
        <w:t xml:space="preserve">W 13-tygodniowym badaniu toksykologicznym na małpach cynomolgus, odnotowano zmiany skórne </w:t>
      </w:r>
      <w:r w:rsidR="00D70CD0" w:rsidRPr="00440C66">
        <w:t xml:space="preserve">po zastosowaniu </w:t>
      </w:r>
      <w:r w:rsidRPr="00440C66">
        <w:t>daw</w:t>
      </w:r>
      <w:r w:rsidR="00D70CD0" w:rsidRPr="00440C66">
        <w:t>ek</w:t>
      </w:r>
      <w:r w:rsidRPr="00440C66">
        <w:t xml:space="preserve"> </w:t>
      </w:r>
      <w:r w:rsidRPr="00440C66">
        <w:sym w:font="Symbol" w:char="F0B3"/>
      </w:r>
      <w:r w:rsidR="00EA518C" w:rsidRPr="00440C66">
        <w:t> 5 mg/kg </w:t>
      </w:r>
      <w:r w:rsidRPr="00440C66">
        <w:t>mc./dobę. Zmiany te były zlokalizowane na kończynach (dłoniach, stopach,</w:t>
      </w:r>
      <w:r w:rsidR="00EA518C" w:rsidRPr="00440C66">
        <w:t xml:space="preserve"> uszach i ogonie). </w:t>
      </w:r>
      <w:r w:rsidR="00D70CD0" w:rsidRPr="00440C66">
        <w:t>Stosując dawkę</w:t>
      </w:r>
      <w:r w:rsidR="00EA518C" w:rsidRPr="00440C66">
        <w:t xml:space="preserve"> 5 mg/kg </w:t>
      </w:r>
      <w:r w:rsidRPr="00440C66">
        <w:t>mc./dobę (</w:t>
      </w:r>
      <w:r w:rsidR="00D70CD0" w:rsidRPr="00440C66">
        <w:t xml:space="preserve">ekspozycja na </w:t>
      </w:r>
      <w:r w:rsidR="00FE0437" w:rsidRPr="00440C66">
        <w:t>produkt leczniczy</w:t>
      </w:r>
      <w:r w:rsidR="00D70CD0" w:rsidRPr="00440C66">
        <w:t xml:space="preserve"> </w:t>
      </w:r>
      <w:r w:rsidRPr="00440C66">
        <w:t>w</w:t>
      </w:r>
      <w:r w:rsidR="00A21B39">
        <w:t> </w:t>
      </w:r>
      <w:r w:rsidRPr="00440C66">
        <w:t>przybliżeniu</w:t>
      </w:r>
      <w:r w:rsidR="00D70CD0" w:rsidRPr="00440C66">
        <w:t xml:space="preserve"> równa</w:t>
      </w:r>
      <w:r w:rsidRPr="00440C66">
        <w:t xml:space="preserve"> A</w:t>
      </w:r>
      <w:r w:rsidR="00EA518C" w:rsidRPr="00440C66">
        <w:t>UC u ludzi po podaniu dawki 100 </w:t>
      </w:r>
      <w:r w:rsidRPr="00440C66">
        <w:t xml:space="preserve">mg) obserwowano jedynie pęcherzyki na skórze. Znikały one pomimo kontynuowania leczenia i nie powodowały </w:t>
      </w:r>
      <w:r w:rsidR="00D70CD0" w:rsidRPr="00440C66">
        <w:t xml:space="preserve">nieprawidłowości </w:t>
      </w:r>
      <w:r w:rsidRPr="00440C66">
        <w:t xml:space="preserve">histopatologicznych. Łuszczenie się skóry płatami lub drobnymi fragmentami, strupy i rany na ogonie z odpowiadającymi im zmianami w badaniu histopatologicznym odnotowano </w:t>
      </w:r>
      <w:r w:rsidR="00D70CD0" w:rsidRPr="00440C66">
        <w:t>po stosowaniu dawek</w:t>
      </w:r>
      <w:r w:rsidRPr="00440C66">
        <w:t xml:space="preserve"> </w:t>
      </w:r>
      <w:r w:rsidRPr="00440C66">
        <w:sym w:font="Symbol" w:char="F0B3"/>
      </w:r>
      <w:r w:rsidR="00EA518C" w:rsidRPr="00440C66">
        <w:t> 20 mg/kg </w:t>
      </w:r>
      <w:r w:rsidRPr="00440C66">
        <w:t>mc./dobę (</w:t>
      </w:r>
      <w:r w:rsidR="00EA518C" w:rsidRPr="00440C66">
        <w:t>w przybliżeniu 3 razy większych od AUC u ludzi po podaniu dawki 100 mg</w:t>
      </w:r>
      <w:r w:rsidRPr="00440C66">
        <w:t xml:space="preserve">). Zmiany martwicze ogona stwierdzano po zastosowaniu dawki </w:t>
      </w:r>
      <w:r w:rsidRPr="00440C66">
        <w:sym w:font="Symbol" w:char="F0B3"/>
      </w:r>
      <w:r w:rsidR="00EA518C" w:rsidRPr="00440C66">
        <w:t> 80 mg/kg </w:t>
      </w:r>
      <w:r w:rsidRPr="00440C66">
        <w:t>mc./dobę. Zmiany skórne były nieodwracalne w 4-tygodniowym okresie zdrowien</w:t>
      </w:r>
      <w:r w:rsidR="00726355" w:rsidRPr="00440C66">
        <w:t>ia u małp leczonych dawkami 160 mg/kg </w:t>
      </w:r>
      <w:r w:rsidRPr="00440C66">
        <w:t>mc./dobę.</w:t>
      </w:r>
    </w:p>
    <w:p w14:paraId="0D7F618D" w14:textId="77777777" w:rsidR="008A2514" w:rsidRPr="00440C66" w:rsidRDefault="008A2514" w:rsidP="004C760F">
      <w:pPr>
        <w:widowControl w:val="0"/>
        <w:ind w:left="0" w:firstLine="0"/>
      </w:pPr>
    </w:p>
    <w:p w14:paraId="6ACE12D2" w14:textId="77777777" w:rsidR="00250F79" w:rsidRDefault="00250F79" w:rsidP="004C760F">
      <w:pPr>
        <w:keepNext/>
        <w:widowControl w:val="0"/>
        <w:ind w:left="0" w:firstLine="0"/>
        <w:rPr>
          <w:u w:val="single"/>
        </w:rPr>
      </w:pPr>
      <w:r w:rsidRPr="00440C66">
        <w:rPr>
          <w:u w:val="single"/>
        </w:rPr>
        <w:t>Metformina</w:t>
      </w:r>
    </w:p>
    <w:p w14:paraId="7EB4EFC1" w14:textId="77777777" w:rsidR="00C53CA2" w:rsidRPr="00837913" w:rsidRDefault="00C53CA2" w:rsidP="004C760F">
      <w:pPr>
        <w:keepNext/>
        <w:widowControl w:val="0"/>
        <w:ind w:left="0" w:firstLine="0"/>
      </w:pPr>
    </w:p>
    <w:p w14:paraId="7E5ECDD9" w14:textId="77777777" w:rsidR="00250F79" w:rsidRPr="00440C66" w:rsidRDefault="00EE4CE6" w:rsidP="004C760F">
      <w:pPr>
        <w:widowControl w:val="0"/>
        <w:ind w:left="0" w:firstLine="0"/>
      </w:pPr>
      <w:r w:rsidRPr="00440C66">
        <w:t xml:space="preserve">Dane </w:t>
      </w:r>
      <w:r w:rsidR="00E97F82" w:rsidRPr="00440C66">
        <w:t xml:space="preserve">niekliniczne </w:t>
      </w:r>
      <w:r w:rsidRPr="00440C66">
        <w:t>dla metforminy</w:t>
      </w:r>
      <w:r w:rsidR="00C53CA2">
        <w:t>,</w:t>
      </w:r>
      <w:r w:rsidRPr="00440C66">
        <w:t xml:space="preserve"> </w:t>
      </w:r>
      <w:r w:rsidR="00750D06" w:rsidRPr="00440C66">
        <w:t xml:space="preserve">wynikające z </w:t>
      </w:r>
      <w:r w:rsidR="00016987" w:rsidRPr="00440C66">
        <w:t xml:space="preserve">konwencjonalnych </w:t>
      </w:r>
      <w:r w:rsidRPr="00440C66">
        <w:t>badań farmakologiczn</w:t>
      </w:r>
      <w:r w:rsidR="00016987" w:rsidRPr="00440C66">
        <w:t>ych dotyczących bezpieczeństwa, badań</w:t>
      </w:r>
      <w:r w:rsidRPr="00440C66">
        <w:t xml:space="preserve"> toksyczności po podaniu wielokrotny</w:t>
      </w:r>
      <w:r w:rsidR="009D4800" w:rsidRPr="00440C66">
        <w:t>m</w:t>
      </w:r>
      <w:r w:rsidRPr="00440C66">
        <w:t xml:space="preserve">, genotoksyczności, </w:t>
      </w:r>
      <w:r w:rsidRPr="00440C66">
        <w:lastRenderedPageBreak/>
        <w:t>rakotwórcz</w:t>
      </w:r>
      <w:r w:rsidR="00016987" w:rsidRPr="00440C66">
        <w:t>ości</w:t>
      </w:r>
      <w:r w:rsidRPr="00440C66">
        <w:t xml:space="preserve"> oraz toksycznego wpływu na </w:t>
      </w:r>
      <w:r w:rsidR="00016987" w:rsidRPr="00440C66">
        <w:t>rozród, nie ujawniają szczególnego zagrożenia dla człowieka</w:t>
      </w:r>
      <w:r w:rsidRPr="00440C66">
        <w:t>.</w:t>
      </w:r>
    </w:p>
    <w:p w14:paraId="160BFF16" w14:textId="77777777" w:rsidR="001A68C1" w:rsidRPr="00440C66" w:rsidRDefault="001A68C1" w:rsidP="004C760F">
      <w:pPr>
        <w:widowControl w:val="0"/>
        <w:ind w:left="0" w:firstLine="0"/>
      </w:pPr>
    </w:p>
    <w:p w14:paraId="6545AF34" w14:textId="77777777" w:rsidR="00726355" w:rsidRPr="00440C66" w:rsidRDefault="00726355" w:rsidP="004C760F">
      <w:pPr>
        <w:widowControl w:val="0"/>
        <w:ind w:left="0" w:firstLine="0"/>
      </w:pPr>
    </w:p>
    <w:p w14:paraId="3D5F5148" w14:textId="77777777" w:rsidR="008A2514" w:rsidRPr="00440C66" w:rsidRDefault="008A2514" w:rsidP="004C760F">
      <w:pPr>
        <w:keepNext/>
        <w:widowControl w:val="0"/>
        <w:rPr>
          <w:b/>
        </w:rPr>
      </w:pPr>
      <w:r w:rsidRPr="00440C66">
        <w:rPr>
          <w:b/>
        </w:rPr>
        <w:t>6.</w:t>
      </w:r>
      <w:r w:rsidRPr="00440C66">
        <w:rPr>
          <w:b/>
        </w:rPr>
        <w:tab/>
        <w:t>DANE FARMACEUTYCZNE</w:t>
      </w:r>
    </w:p>
    <w:p w14:paraId="0CBE0682" w14:textId="77777777" w:rsidR="008A2514" w:rsidRPr="00440C66" w:rsidRDefault="008A2514" w:rsidP="004C760F">
      <w:pPr>
        <w:keepNext/>
        <w:widowControl w:val="0"/>
      </w:pPr>
    </w:p>
    <w:p w14:paraId="710C6A69" w14:textId="77777777" w:rsidR="008A2514" w:rsidRPr="00440C66" w:rsidRDefault="008A2514" w:rsidP="004C760F">
      <w:pPr>
        <w:keepNext/>
        <w:widowControl w:val="0"/>
        <w:rPr>
          <w:b/>
        </w:rPr>
      </w:pPr>
      <w:r w:rsidRPr="00440C66">
        <w:rPr>
          <w:b/>
        </w:rPr>
        <w:t>6.1</w:t>
      </w:r>
      <w:r w:rsidRPr="00440C66">
        <w:rPr>
          <w:b/>
        </w:rPr>
        <w:tab/>
        <w:t>Wykaz substancji pomocniczych</w:t>
      </w:r>
    </w:p>
    <w:p w14:paraId="045B3F66" w14:textId="77777777" w:rsidR="008A2514" w:rsidRPr="00440C66" w:rsidRDefault="008A2514" w:rsidP="004C760F">
      <w:pPr>
        <w:keepNext/>
        <w:widowControl w:val="0"/>
      </w:pPr>
    </w:p>
    <w:p w14:paraId="6B35A9AF" w14:textId="77777777" w:rsidR="000D1A97" w:rsidRDefault="000D1A97" w:rsidP="000D1A97">
      <w:pPr>
        <w:keepNext/>
        <w:widowControl w:val="0"/>
        <w:rPr>
          <w:u w:val="single"/>
        </w:rPr>
      </w:pPr>
      <w:r w:rsidRPr="001C2341">
        <w:rPr>
          <w:u w:val="single"/>
        </w:rPr>
        <w:t>Rdzeń tabletki</w:t>
      </w:r>
    </w:p>
    <w:p w14:paraId="764D4435" w14:textId="3414AB6F" w:rsidR="000D1A97" w:rsidRDefault="000D1A97" w:rsidP="004C760F">
      <w:pPr>
        <w:keepNext/>
        <w:widowControl w:val="0"/>
        <w:rPr>
          <w:u w:val="single"/>
        </w:rPr>
      </w:pPr>
    </w:p>
    <w:p w14:paraId="529DC22D" w14:textId="77777777" w:rsidR="000D1A97" w:rsidRPr="00440C66" w:rsidRDefault="000D1A97" w:rsidP="000D1A97">
      <w:pPr>
        <w:keepNext/>
        <w:widowControl w:val="0"/>
      </w:pPr>
      <w:r w:rsidRPr="00440C66">
        <w:t>Hydroksypropyloceluloza</w:t>
      </w:r>
    </w:p>
    <w:p w14:paraId="18019685" w14:textId="04899317" w:rsidR="000D1A97" w:rsidRPr="00FC35A4" w:rsidRDefault="00DF200B" w:rsidP="004C760F">
      <w:pPr>
        <w:keepNext/>
        <w:widowControl w:val="0"/>
      </w:pPr>
      <w:r w:rsidRPr="00FC35A4">
        <w:t>Hydroksypropyloceluloza o niskim stopniu podstawienia</w:t>
      </w:r>
    </w:p>
    <w:p w14:paraId="2CDC92FA" w14:textId="5A4355FA" w:rsidR="00DF200B" w:rsidRPr="00FC35A4" w:rsidRDefault="00DF200B" w:rsidP="004C760F">
      <w:pPr>
        <w:keepNext/>
        <w:widowControl w:val="0"/>
      </w:pPr>
      <w:r w:rsidRPr="00FC35A4">
        <w:t>Celuloza mikrokrystaliczna</w:t>
      </w:r>
    </w:p>
    <w:p w14:paraId="5FC3A3DB" w14:textId="4BBA5EAF" w:rsidR="00DF200B" w:rsidRPr="00440C66" w:rsidRDefault="00DF200B" w:rsidP="00DF200B">
      <w:pPr>
        <w:widowControl w:val="0"/>
      </w:pPr>
      <w:r>
        <w:t>S</w:t>
      </w:r>
      <w:r w:rsidRPr="00440C66">
        <w:t xml:space="preserve">tearynian </w:t>
      </w:r>
      <w:r>
        <w:t>m</w:t>
      </w:r>
      <w:r w:rsidRPr="00440C66">
        <w:t xml:space="preserve">agnezu </w:t>
      </w:r>
    </w:p>
    <w:p w14:paraId="644637BA" w14:textId="77777777" w:rsidR="00DF200B" w:rsidRDefault="00DF200B" w:rsidP="004C760F">
      <w:pPr>
        <w:keepNext/>
        <w:widowControl w:val="0"/>
        <w:rPr>
          <w:u w:val="single"/>
        </w:rPr>
      </w:pPr>
    </w:p>
    <w:p w14:paraId="51A2A538" w14:textId="77777777" w:rsidR="00DF200B" w:rsidRDefault="00DF200B" w:rsidP="00DF200B">
      <w:pPr>
        <w:keepNext/>
        <w:widowControl w:val="0"/>
        <w:rPr>
          <w:u w:val="single"/>
        </w:rPr>
      </w:pPr>
      <w:r w:rsidRPr="001C2341">
        <w:rPr>
          <w:u w:val="single"/>
        </w:rPr>
        <w:t>Otoczka</w:t>
      </w:r>
    </w:p>
    <w:p w14:paraId="67A934A7" w14:textId="77777777" w:rsidR="00DF200B" w:rsidRPr="001C2341" w:rsidRDefault="00DF200B" w:rsidP="00DF200B">
      <w:pPr>
        <w:keepNext/>
        <w:widowControl w:val="0"/>
        <w:rPr>
          <w:u w:val="single"/>
        </w:rPr>
      </w:pPr>
    </w:p>
    <w:p w14:paraId="6155C64E" w14:textId="5AC87427" w:rsidR="00DF200B" w:rsidRPr="00440C66" w:rsidRDefault="00DF200B" w:rsidP="00DF200B">
      <w:pPr>
        <w:keepNext/>
        <w:widowControl w:val="0"/>
      </w:pPr>
      <w:r w:rsidRPr="00440C66">
        <w:t>Hypromeloza</w:t>
      </w:r>
      <w:r>
        <w:t xml:space="preserve"> 2910</w:t>
      </w:r>
    </w:p>
    <w:p w14:paraId="32A57DCC" w14:textId="7062CCDC" w:rsidR="00DF200B" w:rsidRPr="00440C66" w:rsidRDefault="00DF200B" w:rsidP="00DF200B">
      <w:pPr>
        <w:keepNext/>
        <w:widowControl w:val="0"/>
      </w:pPr>
      <w:r>
        <w:t>D</w:t>
      </w:r>
      <w:r w:rsidRPr="00440C66">
        <w:t xml:space="preserve">wutlenek </w:t>
      </w:r>
      <w:r>
        <w:t>t</w:t>
      </w:r>
      <w:r w:rsidRPr="00440C66">
        <w:t>ytanu (E 171)</w:t>
      </w:r>
    </w:p>
    <w:p w14:paraId="11D7BE53" w14:textId="6092A1AF" w:rsidR="00DF200B" w:rsidRPr="00440C66" w:rsidRDefault="00DF200B" w:rsidP="00DF200B">
      <w:pPr>
        <w:keepNext/>
        <w:widowControl w:val="0"/>
      </w:pPr>
      <w:r>
        <w:t>Żółty t</w:t>
      </w:r>
      <w:r w:rsidRPr="00440C66">
        <w:t xml:space="preserve">lenek </w:t>
      </w:r>
      <w:r>
        <w:t>ż</w:t>
      </w:r>
      <w:r w:rsidRPr="00440C66">
        <w:t>elaza (E 172)</w:t>
      </w:r>
    </w:p>
    <w:p w14:paraId="1CAD2702" w14:textId="7DB9651D" w:rsidR="00DF200B" w:rsidRPr="00440C66" w:rsidRDefault="00DF200B" w:rsidP="00DF200B">
      <w:pPr>
        <w:keepNext/>
        <w:widowControl w:val="0"/>
      </w:pPr>
      <w:r w:rsidRPr="00440C66">
        <w:t xml:space="preserve">Makrogol </w:t>
      </w:r>
      <w:r w:rsidR="006B01D5">
        <w:t>6</w:t>
      </w:r>
      <w:r w:rsidRPr="00440C66">
        <w:t>000</w:t>
      </w:r>
    </w:p>
    <w:p w14:paraId="39BE3BB0" w14:textId="77777777" w:rsidR="00DF200B" w:rsidRPr="00440C66" w:rsidRDefault="00DF200B" w:rsidP="00DF200B">
      <w:pPr>
        <w:widowControl w:val="0"/>
      </w:pPr>
      <w:r w:rsidRPr="00440C66">
        <w:t>Talk</w:t>
      </w:r>
    </w:p>
    <w:p w14:paraId="6BE2B7A0" w14:textId="77777777" w:rsidR="008A2514" w:rsidRPr="00440C66" w:rsidRDefault="008A2514" w:rsidP="004C760F">
      <w:pPr>
        <w:widowControl w:val="0"/>
      </w:pPr>
    </w:p>
    <w:p w14:paraId="73AB7699" w14:textId="77777777" w:rsidR="008A2514" w:rsidRPr="00440C66" w:rsidRDefault="008A2514" w:rsidP="004C760F">
      <w:pPr>
        <w:keepNext/>
        <w:widowControl w:val="0"/>
        <w:rPr>
          <w:b/>
        </w:rPr>
      </w:pPr>
      <w:r w:rsidRPr="00440C66">
        <w:rPr>
          <w:b/>
        </w:rPr>
        <w:t>6.2</w:t>
      </w:r>
      <w:r w:rsidRPr="00440C66">
        <w:rPr>
          <w:b/>
        </w:rPr>
        <w:tab/>
        <w:t>Niezgodności farmaceutyczne</w:t>
      </w:r>
    </w:p>
    <w:p w14:paraId="13F1C6FE" w14:textId="77777777" w:rsidR="008A2514" w:rsidRPr="00440C66" w:rsidRDefault="008A2514" w:rsidP="004C760F">
      <w:pPr>
        <w:keepNext/>
        <w:widowControl w:val="0"/>
      </w:pPr>
    </w:p>
    <w:p w14:paraId="3D6BB80B" w14:textId="77777777" w:rsidR="008A2514" w:rsidRPr="00440C66" w:rsidRDefault="0044437B" w:rsidP="004C760F">
      <w:pPr>
        <w:widowControl w:val="0"/>
        <w:ind w:left="0" w:firstLine="0"/>
      </w:pPr>
      <w:r w:rsidRPr="00440C66">
        <w:t>Nie dotyczy</w:t>
      </w:r>
      <w:r w:rsidR="00E73914" w:rsidRPr="00440C66">
        <w:t>.</w:t>
      </w:r>
    </w:p>
    <w:p w14:paraId="6880598E" w14:textId="77777777" w:rsidR="008A2514" w:rsidRPr="00440C66" w:rsidRDefault="008A2514" w:rsidP="004C760F">
      <w:pPr>
        <w:widowControl w:val="0"/>
      </w:pPr>
    </w:p>
    <w:p w14:paraId="1EF89B71" w14:textId="77777777" w:rsidR="008A2514" w:rsidRPr="00440C66" w:rsidRDefault="008A2514" w:rsidP="004C760F">
      <w:pPr>
        <w:keepNext/>
        <w:widowControl w:val="0"/>
        <w:rPr>
          <w:b/>
        </w:rPr>
      </w:pPr>
      <w:r w:rsidRPr="00440C66">
        <w:rPr>
          <w:b/>
        </w:rPr>
        <w:t>6.3</w:t>
      </w:r>
      <w:r w:rsidRPr="00440C66">
        <w:rPr>
          <w:b/>
        </w:rPr>
        <w:tab/>
        <w:t xml:space="preserve">Okres </w:t>
      </w:r>
      <w:r w:rsidR="00726355" w:rsidRPr="00440C66">
        <w:rPr>
          <w:b/>
        </w:rPr>
        <w:t>ważności</w:t>
      </w:r>
    </w:p>
    <w:p w14:paraId="42700562" w14:textId="77777777" w:rsidR="008A2514" w:rsidRPr="00440C66" w:rsidRDefault="008A2514" w:rsidP="004C760F">
      <w:pPr>
        <w:keepNext/>
        <w:widowControl w:val="0"/>
      </w:pPr>
    </w:p>
    <w:p w14:paraId="5E8B5771" w14:textId="72C8ED36" w:rsidR="008A2514" w:rsidRPr="00440C66" w:rsidRDefault="00DF200B" w:rsidP="004C760F">
      <w:pPr>
        <w:keepNext/>
        <w:widowControl w:val="0"/>
      </w:pPr>
      <w:r>
        <w:rPr>
          <w:noProof/>
          <w:szCs w:val="22"/>
        </w:rPr>
        <w:t>2</w:t>
      </w:r>
      <w:r w:rsidRPr="00440C66">
        <w:rPr>
          <w:szCs w:val="22"/>
        </w:rPr>
        <w:t> </w:t>
      </w:r>
      <w:r w:rsidRPr="00E464A3">
        <w:rPr>
          <w:noProof/>
          <w:szCs w:val="22"/>
        </w:rPr>
        <w:t>lata</w:t>
      </w:r>
    </w:p>
    <w:p w14:paraId="60C4BFB2" w14:textId="77777777" w:rsidR="00AC11D5" w:rsidRPr="00440C66" w:rsidRDefault="00AC11D5" w:rsidP="004C760F">
      <w:pPr>
        <w:widowControl w:val="0"/>
      </w:pPr>
    </w:p>
    <w:p w14:paraId="76FAF530" w14:textId="77777777" w:rsidR="008A2514" w:rsidRPr="00440C66" w:rsidRDefault="008A2514" w:rsidP="004C760F">
      <w:pPr>
        <w:keepNext/>
        <w:widowControl w:val="0"/>
        <w:rPr>
          <w:b/>
        </w:rPr>
      </w:pPr>
      <w:r w:rsidRPr="00440C66">
        <w:rPr>
          <w:b/>
        </w:rPr>
        <w:t>6.4</w:t>
      </w:r>
      <w:r w:rsidRPr="00440C66">
        <w:rPr>
          <w:b/>
        </w:rPr>
        <w:tab/>
        <w:t xml:space="preserve">Specjalne środki ostrożności </w:t>
      </w:r>
      <w:r w:rsidR="004D7963" w:rsidRPr="00440C66">
        <w:rPr>
          <w:b/>
        </w:rPr>
        <w:t>podczas</w:t>
      </w:r>
      <w:r w:rsidRPr="00440C66">
        <w:rPr>
          <w:b/>
        </w:rPr>
        <w:t xml:space="preserve"> przechowywani</w:t>
      </w:r>
      <w:r w:rsidR="004D7963" w:rsidRPr="00440C66">
        <w:rPr>
          <w:b/>
        </w:rPr>
        <w:t>a</w:t>
      </w:r>
    </w:p>
    <w:p w14:paraId="149D375D" w14:textId="77777777" w:rsidR="008A2514" w:rsidRPr="00440C66" w:rsidRDefault="008A2514" w:rsidP="004C760F">
      <w:pPr>
        <w:keepNext/>
        <w:widowControl w:val="0"/>
      </w:pPr>
    </w:p>
    <w:p w14:paraId="264FE983" w14:textId="28BD3658" w:rsidR="008A2514" w:rsidRDefault="005B0695" w:rsidP="004C760F">
      <w:pPr>
        <w:widowControl w:val="0"/>
      </w:pPr>
      <w:r w:rsidRPr="005B0695">
        <w:t>Brak specjalnych zaleceń dotyczących przechowywania produktu leczniczego</w:t>
      </w:r>
      <w:r w:rsidR="00C80B3E">
        <w:t>.</w:t>
      </w:r>
    </w:p>
    <w:p w14:paraId="4B045EBB" w14:textId="77777777" w:rsidR="005B0695" w:rsidRPr="00440C66" w:rsidRDefault="005B0695" w:rsidP="004C760F">
      <w:pPr>
        <w:widowControl w:val="0"/>
      </w:pPr>
    </w:p>
    <w:p w14:paraId="62BE02FB" w14:textId="77777777" w:rsidR="008A2514" w:rsidRPr="00440C66" w:rsidRDefault="008A2514" w:rsidP="004C760F">
      <w:pPr>
        <w:keepNext/>
        <w:widowControl w:val="0"/>
        <w:rPr>
          <w:b/>
        </w:rPr>
      </w:pPr>
      <w:r w:rsidRPr="00440C66">
        <w:rPr>
          <w:b/>
        </w:rPr>
        <w:t>6.5</w:t>
      </w:r>
      <w:r w:rsidRPr="00440C66">
        <w:rPr>
          <w:b/>
        </w:rPr>
        <w:tab/>
        <w:t>Rodzaj i zawartość opakowania</w:t>
      </w:r>
    </w:p>
    <w:p w14:paraId="2E854076" w14:textId="77777777" w:rsidR="008A2514" w:rsidRPr="00440C66" w:rsidRDefault="008A2514" w:rsidP="004C760F">
      <w:pPr>
        <w:keepNext/>
        <w:widowControl w:val="0"/>
      </w:pPr>
    </w:p>
    <w:p w14:paraId="41670B7B" w14:textId="6DF0FCC2" w:rsidR="005B0695" w:rsidRDefault="005B0695" w:rsidP="005B0695">
      <w:pPr>
        <w:keepNext/>
        <w:widowControl w:val="0"/>
      </w:pPr>
      <w:r w:rsidRPr="005B0695">
        <w:t xml:space="preserve">Blister z </w:t>
      </w:r>
      <w:r w:rsidR="00C80B3E">
        <w:t xml:space="preserve">podwójnej folii </w:t>
      </w:r>
      <w:r w:rsidRPr="005B0695">
        <w:t>aluminium.</w:t>
      </w:r>
      <w:r>
        <w:t xml:space="preserve"> Opakowania po 30</w:t>
      </w:r>
      <w:r w:rsidR="005F4D8E">
        <w:t>,</w:t>
      </w:r>
      <w:r>
        <w:t xml:space="preserve"> 60 </w:t>
      </w:r>
      <w:r w:rsidR="005F4D8E">
        <w:t xml:space="preserve">lub 180 </w:t>
      </w:r>
      <w:r>
        <w:t>tabletek powlekanych.</w:t>
      </w:r>
    </w:p>
    <w:p w14:paraId="11169A9F" w14:textId="77777777" w:rsidR="005B0695" w:rsidRDefault="005B0695" w:rsidP="005B0695">
      <w:pPr>
        <w:keepNext/>
        <w:widowControl w:val="0"/>
      </w:pPr>
    </w:p>
    <w:p w14:paraId="7DA7DCAA" w14:textId="77777777" w:rsidR="005B0695" w:rsidRDefault="005B0695" w:rsidP="005B0695">
      <w:pPr>
        <w:keepNext/>
        <w:widowControl w:val="0"/>
      </w:pPr>
      <w:r w:rsidRPr="005B0695">
        <w:t>Nie wszystkie wielkości opakowań muszą znajdować się w obrocie.</w:t>
      </w:r>
    </w:p>
    <w:p w14:paraId="7CC4EA92" w14:textId="77777777" w:rsidR="008A2514" w:rsidRPr="00440C66" w:rsidRDefault="008A2514" w:rsidP="004C760F">
      <w:pPr>
        <w:widowControl w:val="0"/>
      </w:pPr>
    </w:p>
    <w:p w14:paraId="2967EC62" w14:textId="77777777" w:rsidR="00F33CC1" w:rsidRPr="00440C66" w:rsidRDefault="008A2514" w:rsidP="004C760F">
      <w:pPr>
        <w:keepNext/>
        <w:widowControl w:val="0"/>
        <w:rPr>
          <w:b/>
        </w:rPr>
      </w:pPr>
      <w:r w:rsidRPr="00440C66">
        <w:rPr>
          <w:b/>
        </w:rPr>
        <w:t>6.6</w:t>
      </w:r>
      <w:r w:rsidRPr="00440C66">
        <w:rPr>
          <w:b/>
        </w:rPr>
        <w:tab/>
      </w:r>
      <w:r w:rsidR="00726355" w:rsidRPr="00440C66">
        <w:rPr>
          <w:b/>
        </w:rPr>
        <w:t>S</w:t>
      </w:r>
      <w:r w:rsidR="004D7963" w:rsidRPr="00440C66">
        <w:rPr>
          <w:b/>
        </w:rPr>
        <w:t>pecja</w:t>
      </w:r>
      <w:r w:rsidR="00726355" w:rsidRPr="00440C66">
        <w:rPr>
          <w:b/>
        </w:rPr>
        <w:t>lne środki ostrożności dotyczące usuwania</w:t>
      </w:r>
    </w:p>
    <w:p w14:paraId="12E4437F" w14:textId="77777777" w:rsidR="008A2514" w:rsidRPr="00440C66" w:rsidRDefault="008A2514" w:rsidP="004C760F">
      <w:pPr>
        <w:keepNext/>
        <w:widowControl w:val="0"/>
      </w:pPr>
    </w:p>
    <w:p w14:paraId="59FE1515" w14:textId="022F019C" w:rsidR="008A2514" w:rsidRPr="00440C66" w:rsidRDefault="005B0695" w:rsidP="004C760F">
      <w:pPr>
        <w:widowControl w:val="0"/>
        <w:ind w:left="0" w:firstLine="0"/>
      </w:pPr>
      <w:r w:rsidRPr="005B0695">
        <w:t>Wszelkie niewykorzystane resztki produktu leczniczego lub jego odpady należy usunąć zgodnie z lokalnymi przepisami.</w:t>
      </w:r>
    </w:p>
    <w:p w14:paraId="037BBE71" w14:textId="77777777" w:rsidR="008A2514" w:rsidRPr="00440C66" w:rsidRDefault="008A2514" w:rsidP="004C760F">
      <w:pPr>
        <w:widowControl w:val="0"/>
      </w:pPr>
    </w:p>
    <w:p w14:paraId="3D45B989" w14:textId="77777777" w:rsidR="008A2514" w:rsidRPr="00440C66" w:rsidRDefault="008A2514" w:rsidP="004C760F">
      <w:pPr>
        <w:widowControl w:val="0"/>
      </w:pPr>
    </w:p>
    <w:p w14:paraId="36EB975C" w14:textId="77777777" w:rsidR="008A2514" w:rsidRPr="00440C66" w:rsidRDefault="008A2514" w:rsidP="00837913">
      <w:pPr>
        <w:keepNext/>
        <w:widowControl w:val="0"/>
        <w:rPr>
          <w:b/>
        </w:rPr>
      </w:pPr>
      <w:r w:rsidRPr="00440C66">
        <w:rPr>
          <w:b/>
        </w:rPr>
        <w:t>7.</w:t>
      </w:r>
      <w:r w:rsidRPr="00440C66">
        <w:rPr>
          <w:b/>
        </w:rPr>
        <w:tab/>
        <w:t>PODMIOT ODPOWIEDZIALNY POSIADAJĄCY POZWOLENIE NA DOPUSZCZENIE DO OBROTU</w:t>
      </w:r>
    </w:p>
    <w:p w14:paraId="071A6F0E" w14:textId="77777777" w:rsidR="008A2514" w:rsidRPr="00440C66" w:rsidRDefault="008A2514" w:rsidP="00837913">
      <w:pPr>
        <w:keepNext/>
        <w:widowControl w:val="0"/>
      </w:pPr>
    </w:p>
    <w:p w14:paraId="5CBA62EA" w14:textId="77777777" w:rsidR="005B0695" w:rsidRPr="005B0695" w:rsidRDefault="005B0695" w:rsidP="005B0695">
      <w:pPr>
        <w:keepNext/>
        <w:widowControl w:val="0"/>
        <w:rPr>
          <w:lang w:val="en-US"/>
        </w:rPr>
      </w:pPr>
      <w:r w:rsidRPr="005B0695">
        <w:rPr>
          <w:lang w:val="en-US"/>
        </w:rPr>
        <w:t>Accord Healthcare S.L.U</w:t>
      </w:r>
    </w:p>
    <w:p w14:paraId="757195A1" w14:textId="747EB6B3" w:rsidR="005B0695" w:rsidRPr="005B0695" w:rsidRDefault="005B0695" w:rsidP="005B0695">
      <w:pPr>
        <w:keepNext/>
        <w:widowControl w:val="0"/>
        <w:rPr>
          <w:lang w:val="en-US"/>
        </w:rPr>
      </w:pPr>
      <w:r w:rsidRPr="005B0695">
        <w:rPr>
          <w:lang w:val="en-US"/>
        </w:rPr>
        <w:t xml:space="preserve">World Trade Center, Moll de Barcelona s/n </w:t>
      </w:r>
    </w:p>
    <w:p w14:paraId="21862D89" w14:textId="5A32111F" w:rsidR="005B0695" w:rsidRPr="00FC35A4" w:rsidRDefault="005B0695" w:rsidP="005B0695">
      <w:pPr>
        <w:keepNext/>
        <w:widowControl w:val="0"/>
        <w:rPr>
          <w:lang w:val="es-ES"/>
        </w:rPr>
      </w:pPr>
      <w:r w:rsidRPr="00FC35A4">
        <w:rPr>
          <w:lang w:val="es-ES"/>
        </w:rPr>
        <w:t>Edifici Est, 6a planta,</w:t>
      </w:r>
    </w:p>
    <w:p w14:paraId="338DB7EA" w14:textId="57E5074F" w:rsidR="005B0695" w:rsidRPr="00FC35A4" w:rsidRDefault="005B0695" w:rsidP="005B0695">
      <w:pPr>
        <w:keepNext/>
        <w:widowControl w:val="0"/>
        <w:rPr>
          <w:lang w:val="es-ES"/>
        </w:rPr>
      </w:pPr>
      <w:r w:rsidRPr="00FC35A4">
        <w:rPr>
          <w:lang w:val="es-ES"/>
        </w:rPr>
        <w:t>08039 Barcelona</w:t>
      </w:r>
    </w:p>
    <w:p w14:paraId="510EFF06" w14:textId="4A6048F4" w:rsidR="008A2514" w:rsidRPr="00440C66" w:rsidRDefault="005B0695" w:rsidP="00FC35A4">
      <w:pPr>
        <w:keepNext/>
        <w:widowControl w:val="0"/>
        <w:ind w:left="0" w:firstLine="0"/>
      </w:pPr>
      <w:r w:rsidRPr="00FC35A4">
        <w:t>Hiszpania</w:t>
      </w:r>
    </w:p>
    <w:p w14:paraId="475A6D6F" w14:textId="77777777" w:rsidR="008910B7" w:rsidRPr="00440C66" w:rsidRDefault="008910B7" w:rsidP="004C760F">
      <w:pPr>
        <w:widowControl w:val="0"/>
      </w:pPr>
    </w:p>
    <w:p w14:paraId="73251682" w14:textId="77777777" w:rsidR="008A2514" w:rsidRPr="00440C66" w:rsidRDefault="008A2514" w:rsidP="004C760F">
      <w:pPr>
        <w:widowControl w:val="0"/>
      </w:pPr>
    </w:p>
    <w:p w14:paraId="70DD7B99" w14:textId="77777777" w:rsidR="008A2514" w:rsidRPr="00440C66" w:rsidRDefault="008A2514" w:rsidP="00837913">
      <w:pPr>
        <w:keepNext/>
        <w:widowControl w:val="0"/>
        <w:rPr>
          <w:b/>
        </w:rPr>
      </w:pPr>
      <w:r w:rsidRPr="00440C66">
        <w:rPr>
          <w:b/>
        </w:rPr>
        <w:lastRenderedPageBreak/>
        <w:t>8.</w:t>
      </w:r>
      <w:r w:rsidRPr="00440C66">
        <w:rPr>
          <w:b/>
        </w:rPr>
        <w:tab/>
        <w:t>NUMERY POZWOLE</w:t>
      </w:r>
      <w:r w:rsidR="008910B7" w:rsidRPr="00440C66">
        <w:rPr>
          <w:b/>
        </w:rPr>
        <w:t>Ń</w:t>
      </w:r>
      <w:r w:rsidRPr="00440C66">
        <w:rPr>
          <w:b/>
        </w:rPr>
        <w:t xml:space="preserve"> NA DOPUSZCZENIE DO OBROTU</w:t>
      </w:r>
    </w:p>
    <w:p w14:paraId="7BDB9EE1" w14:textId="77777777" w:rsidR="008A2514" w:rsidRDefault="008A2514" w:rsidP="00837913">
      <w:pPr>
        <w:keepNext/>
        <w:widowControl w:val="0"/>
      </w:pPr>
    </w:p>
    <w:p w14:paraId="733FEBE7" w14:textId="511D8BF2" w:rsidR="005B0695" w:rsidRPr="00FC35A4" w:rsidRDefault="005B0695" w:rsidP="00837913">
      <w:pPr>
        <w:keepNext/>
        <w:widowControl w:val="0"/>
      </w:pPr>
      <w:r w:rsidRPr="00FC35A4">
        <w:t>EU/1/21/1611/001‒00</w:t>
      </w:r>
      <w:r w:rsidR="00EB6767">
        <w:t>6</w:t>
      </w:r>
    </w:p>
    <w:p w14:paraId="4265AE26" w14:textId="77777777" w:rsidR="00687356" w:rsidRPr="0058200C" w:rsidRDefault="00687356" w:rsidP="004C760F">
      <w:pPr>
        <w:widowControl w:val="0"/>
      </w:pPr>
    </w:p>
    <w:p w14:paraId="51D6B581" w14:textId="77777777" w:rsidR="00500E8F" w:rsidRPr="0058200C" w:rsidRDefault="00500E8F" w:rsidP="004C760F">
      <w:pPr>
        <w:widowControl w:val="0"/>
      </w:pPr>
    </w:p>
    <w:p w14:paraId="34FDFD91" w14:textId="77777777" w:rsidR="008A2514" w:rsidRPr="00440C66" w:rsidRDefault="008A2514" w:rsidP="004C760F">
      <w:pPr>
        <w:keepNext/>
        <w:widowControl w:val="0"/>
        <w:rPr>
          <w:b/>
        </w:rPr>
      </w:pPr>
      <w:r w:rsidRPr="00440C66">
        <w:rPr>
          <w:b/>
        </w:rPr>
        <w:t>9.</w:t>
      </w:r>
      <w:r w:rsidRPr="00440C66">
        <w:rPr>
          <w:b/>
        </w:rPr>
        <w:tab/>
        <w:t xml:space="preserve">DATA WYDANIA PIERWSZEGO POZWOLENIA NA DOPUSZCZENIE DO OBROTU </w:t>
      </w:r>
      <w:r w:rsidR="00016987" w:rsidRPr="00440C66">
        <w:rPr>
          <w:b/>
        </w:rPr>
        <w:t>I</w:t>
      </w:r>
      <w:r w:rsidRPr="00440C66">
        <w:rPr>
          <w:b/>
        </w:rPr>
        <w:t xml:space="preserve"> DATA PRZEDŁUŻENIA POZWOLENIA</w:t>
      </w:r>
    </w:p>
    <w:p w14:paraId="0EF56624" w14:textId="77777777" w:rsidR="008A2514" w:rsidRPr="00440C66" w:rsidRDefault="008A2514" w:rsidP="004C760F">
      <w:pPr>
        <w:keepNext/>
        <w:widowControl w:val="0"/>
      </w:pPr>
    </w:p>
    <w:p w14:paraId="792400FD" w14:textId="5D84E8A7" w:rsidR="005B0695" w:rsidRDefault="005B0695" w:rsidP="004C760F">
      <w:pPr>
        <w:keepNext/>
        <w:widowControl w:val="0"/>
      </w:pPr>
      <w:bookmarkStart w:id="2" w:name="_Hlk93049999"/>
      <w:r w:rsidRPr="005B0695">
        <w:t>Data wydania pierwszego pozwolenia na dopuszczenie do obrotu:</w:t>
      </w:r>
      <w:r w:rsidR="00164FA5">
        <w:t xml:space="preserve"> </w:t>
      </w:r>
      <w:r w:rsidR="00164FA5" w:rsidRPr="00164FA5">
        <w:t>24 marca 2022</w:t>
      </w:r>
    </w:p>
    <w:bookmarkEnd w:id="2"/>
    <w:p w14:paraId="09D20FFE" w14:textId="77777777" w:rsidR="00687356" w:rsidRPr="00440C66" w:rsidRDefault="00687356" w:rsidP="004C760F">
      <w:pPr>
        <w:widowControl w:val="0"/>
      </w:pPr>
    </w:p>
    <w:p w14:paraId="5ABC4835" w14:textId="77777777" w:rsidR="00687356" w:rsidRPr="00440C66" w:rsidRDefault="00687356" w:rsidP="004C760F">
      <w:pPr>
        <w:widowControl w:val="0"/>
      </w:pPr>
    </w:p>
    <w:p w14:paraId="042AF74B" w14:textId="77777777" w:rsidR="008A2514" w:rsidRPr="00440C66" w:rsidRDefault="008A2514" w:rsidP="004C760F">
      <w:pPr>
        <w:keepNext/>
        <w:widowControl w:val="0"/>
        <w:rPr>
          <w:b/>
        </w:rPr>
      </w:pPr>
      <w:r w:rsidRPr="00440C66">
        <w:rPr>
          <w:b/>
        </w:rPr>
        <w:t>10.</w:t>
      </w:r>
      <w:r w:rsidRPr="00440C66">
        <w:rPr>
          <w:b/>
        </w:rPr>
        <w:tab/>
        <w:t>DATA ZATWIERDZENIA LUB CZĘŚCIOWEJ ZMIANY TEKSTU CHARAKTERYSTYKI PRODUKTU LECZNICZEGO</w:t>
      </w:r>
    </w:p>
    <w:p w14:paraId="47554C98" w14:textId="77777777" w:rsidR="004D7963" w:rsidRPr="00440C66" w:rsidRDefault="004D7963" w:rsidP="004C760F">
      <w:pPr>
        <w:keepNext/>
        <w:widowControl w:val="0"/>
        <w:ind w:left="0" w:firstLine="0"/>
      </w:pPr>
    </w:p>
    <w:p w14:paraId="2E684680" w14:textId="144F5C18" w:rsidR="004D7963" w:rsidRPr="00440C66" w:rsidRDefault="004D7963" w:rsidP="004C760F">
      <w:pPr>
        <w:widowControl w:val="0"/>
        <w:ind w:left="0" w:firstLine="0"/>
      </w:pPr>
      <w:r w:rsidRPr="00440C66">
        <w:rPr>
          <w:noProof/>
          <w:szCs w:val="22"/>
        </w:rPr>
        <w:t>Szczegółow</w:t>
      </w:r>
      <w:r w:rsidR="00C06EFE" w:rsidRPr="00440C66">
        <w:rPr>
          <w:noProof/>
          <w:szCs w:val="22"/>
        </w:rPr>
        <w:t>e</w:t>
      </w:r>
      <w:r w:rsidRPr="00440C66">
        <w:rPr>
          <w:noProof/>
          <w:szCs w:val="22"/>
        </w:rPr>
        <w:t xml:space="preserve"> informacj</w:t>
      </w:r>
      <w:r w:rsidR="00C06EFE" w:rsidRPr="00440C66">
        <w:rPr>
          <w:noProof/>
          <w:szCs w:val="22"/>
        </w:rPr>
        <w:t>e</w:t>
      </w:r>
      <w:r w:rsidRPr="00440C66">
        <w:rPr>
          <w:noProof/>
          <w:szCs w:val="22"/>
        </w:rPr>
        <w:t xml:space="preserve"> o tym produkcie</w:t>
      </w:r>
      <w:r w:rsidR="00C06EFE" w:rsidRPr="00440C66">
        <w:rPr>
          <w:noProof/>
          <w:szCs w:val="22"/>
        </w:rPr>
        <w:t xml:space="preserve"> leczniczym</w:t>
      </w:r>
      <w:r w:rsidRPr="00440C66">
        <w:rPr>
          <w:noProof/>
          <w:szCs w:val="22"/>
        </w:rPr>
        <w:t xml:space="preserve"> </w:t>
      </w:r>
      <w:r w:rsidR="00C06EFE" w:rsidRPr="00440C66">
        <w:rPr>
          <w:noProof/>
          <w:szCs w:val="22"/>
        </w:rPr>
        <w:t>są</w:t>
      </w:r>
      <w:r w:rsidRPr="00440C66">
        <w:rPr>
          <w:noProof/>
          <w:szCs w:val="22"/>
        </w:rPr>
        <w:t xml:space="preserve"> dostępn</w:t>
      </w:r>
      <w:r w:rsidR="00C06EFE" w:rsidRPr="00440C66">
        <w:rPr>
          <w:noProof/>
          <w:szCs w:val="22"/>
        </w:rPr>
        <w:t>e</w:t>
      </w:r>
      <w:r w:rsidRPr="00440C66">
        <w:rPr>
          <w:noProof/>
          <w:szCs w:val="22"/>
        </w:rPr>
        <w:t xml:space="preserve"> na stronie internetowej Europejskiej Agencji Leków http://www.</w:t>
      </w:r>
      <w:r w:rsidR="00BB154F" w:rsidRPr="00440C66">
        <w:t>ema.europa.eu</w:t>
      </w:r>
      <w:r w:rsidR="00C80B3E">
        <w:t>.</w:t>
      </w:r>
    </w:p>
    <w:p w14:paraId="716569D3" w14:textId="77777777" w:rsidR="003C0F9F" w:rsidRPr="00440C66" w:rsidRDefault="008A2514" w:rsidP="001C2341">
      <w:pPr>
        <w:widowControl w:val="0"/>
        <w:ind w:left="0" w:firstLine="0"/>
        <w:rPr>
          <w:szCs w:val="22"/>
        </w:rPr>
      </w:pPr>
      <w:r w:rsidRPr="00440C66">
        <w:br w:type="page"/>
      </w:r>
    </w:p>
    <w:p w14:paraId="5A99AEE0" w14:textId="77777777" w:rsidR="00C6294E" w:rsidRPr="00440C66" w:rsidRDefault="00C6294E" w:rsidP="004C760F">
      <w:pPr>
        <w:widowControl w:val="0"/>
        <w:rPr>
          <w:szCs w:val="22"/>
        </w:rPr>
      </w:pPr>
    </w:p>
    <w:p w14:paraId="54D69E84" w14:textId="77777777" w:rsidR="00C6294E" w:rsidRPr="00440C66" w:rsidRDefault="00C6294E" w:rsidP="004C760F">
      <w:pPr>
        <w:widowControl w:val="0"/>
        <w:rPr>
          <w:szCs w:val="22"/>
        </w:rPr>
      </w:pPr>
    </w:p>
    <w:p w14:paraId="488C114F" w14:textId="77777777" w:rsidR="00C6294E" w:rsidRPr="00440C66" w:rsidRDefault="00C6294E" w:rsidP="004C760F">
      <w:pPr>
        <w:widowControl w:val="0"/>
        <w:rPr>
          <w:szCs w:val="22"/>
        </w:rPr>
      </w:pPr>
    </w:p>
    <w:p w14:paraId="4080D7FE" w14:textId="77777777" w:rsidR="00C6294E" w:rsidRPr="00440C66" w:rsidRDefault="00C6294E" w:rsidP="004C760F">
      <w:pPr>
        <w:widowControl w:val="0"/>
        <w:rPr>
          <w:szCs w:val="22"/>
        </w:rPr>
      </w:pPr>
    </w:p>
    <w:p w14:paraId="29EB1260" w14:textId="77777777" w:rsidR="00C6294E" w:rsidRPr="00440C66" w:rsidRDefault="00C6294E" w:rsidP="004C760F">
      <w:pPr>
        <w:widowControl w:val="0"/>
        <w:rPr>
          <w:szCs w:val="22"/>
        </w:rPr>
      </w:pPr>
    </w:p>
    <w:p w14:paraId="3A2CC451" w14:textId="77777777" w:rsidR="00C6294E" w:rsidRPr="00440C66" w:rsidRDefault="00C6294E" w:rsidP="004C760F">
      <w:pPr>
        <w:widowControl w:val="0"/>
        <w:rPr>
          <w:szCs w:val="22"/>
        </w:rPr>
      </w:pPr>
    </w:p>
    <w:p w14:paraId="6274304A" w14:textId="77777777" w:rsidR="00C6294E" w:rsidRPr="00440C66" w:rsidRDefault="00C6294E" w:rsidP="004C760F">
      <w:pPr>
        <w:widowControl w:val="0"/>
        <w:rPr>
          <w:szCs w:val="22"/>
        </w:rPr>
      </w:pPr>
    </w:p>
    <w:p w14:paraId="1E6D710F" w14:textId="77777777" w:rsidR="00C6294E" w:rsidRPr="00440C66" w:rsidRDefault="00C6294E" w:rsidP="004C760F">
      <w:pPr>
        <w:widowControl w:val="0"/>
        <w:rPr>
          <w:szCs w:val="22"/>
        </w:rPr>
      </w:pPr>
    </w:p>
    <w:p w14:paraId="67970EAF" w14:textId="77777777" w:rsidR="00C6294E" w:rsidRPr="00440C66" w:rsidRDefault="00C6294E" w:rsidP="004C760F">
      <w:pPr>
        <w:widowControl w:val="0"/>
        <w:rPr>
          <w:szCs w:val="22"/>
        </w:rPr>
      </w:pPr>
    </w:p>
    <w:p w14:paraId="291B3F4B" w14:textId="77777777" w:rsidR="00C6294E" w:rsidRPr="00440C66" w:rsidRDefault="00C6294E" w:rsidP="004C760F">
      <w:pPr>
        <w:widowControl w:val="0"/>
        <w:rPr>
          <w:szCs w:val="22"/>
        </w:rPr>
      </w:pPr>
    </w:p>
    <w:p w14:paraId="1557F36B" w14:textId="77777777" w:rsidR="00C6294E" w:rsidRPr="00440C66" w:rsidRDefault="00C6294E" w:rsidP="004C760F">
      <w:pPr>
        <w:widowControl w:val="0"/>
        <w:rPr>
          <w:szCs w:val="22"/>
        </w:rPr>
      </w:pPr>
    </w:p>
    <w:p w14:paraId="6A221B2C" w14:textId="77777777" w:rsidR="00C6294E" w:rsidRPr="00440C66" w:rsidRDefault="00C6294E" w:rsidP="004C760F">
      <w:pPr>
        <w:widowControl w:val="0"/>
        <w:rPr>
          <w:szCs w:val="22"/>
        </w:rPr>
      </w:pPr>
    </w:p>
    <w:p w14:paraId="397955E1" w14:textId="77777777" w:rsidR="00C6294E" w:rsidRPr="00440C66" w:rsidRDefault="00C6294E" w:rsidP="004C760F">
      <w:pPr>
        <w:widowControl w:val="0"/>
        <w:rPr>
          <w:szCs w:val="22"/>
        </w:rPr>
      </w:pPr>
    </w:p>
    <w:p w14:paraId="7EE06BFB" w14:textId="77777777" w:rsidR="00C6294E" w:rsidRPr="00440C66" w:rsidRDefault="00C6294E" w:rsidP="004C760F">
      <w:pPr>
        <w:widowControl w:val="0"/>
        <w:rPr>
          <w:szCs w:val="22"/>
        </w:rPr>
      </w:pPr>
    </w:p>
    <w:p w14:paraId="029B74D2" w14:textId="77777777" w:rsidR="00C6294E" w:rsidRPr="00440C66" w:rsidRDefault="00C6294E" w:rsidP="004C760F">
      <w:pPr>
        <w:widowControl w:val="0"/>
        <w:rPr>
          <w:szCs w:val="22"/>
        </w:rPr>
      </w:pPr>
    </w:p>
    <w:p w14:paraId="20DD60DA" w14:textId="77777777" w:rsidR="00C6294E" w:rsidRPr="00440C66" w:rsidRDefault="00C6294E" w:rsidP="004C760F">
      <w:pPr>
        <w:widowControl w:val="0"/>
        <w:rPr>
          <w:szCs w:val="22"/>
        </w:rPr>
      </w:pPr>
    </w:p>
    <w:p w14:paraId="67D94664" w14:textId="77777777" w:rsidR="00C6294E" w:rsidRPr="00440C66" w:rsidRDefault="00C6294E" w:rsidP="004C760F">
      <w:pPr>
        <w:widowControl w:val="0"/>
        <w:rPr>
          <w:szCs w:val="22"/>
        </w:rPr>
      </w:pPr>
    </w:p>
    <w:p w14:paraId="156E47D7" w14:textId="77777777" w:rsidR="00C6294E" w:rsidRPr="00440C66" w:rsidRDefault="00C6294E" w:rsidP="004C760F">
      <w:pPr>
        <w:widowControl w:val="0"/>
        <w:rPr>
          <w:szCs w:val="22"/>
        </w:rPr>
      </w:pPr>
    </w:p>
    <w:p w14:paraId="42C6D0F5" w14:textId="77777777" w:rsidR="00C6294E" w:rsidRDefault="00C6294E" w:rsidP="004C760F">
      <w:pPr>
        <w:widowControl w:val="0"/>
        <w:rPr>
          <w:szCs w:val="22"/>
        </w:rPr>
      </w:pPr>
    </w:p>
    <w:p w14:paraId="604B1647" w14:textId="77777777" w:rsidR="00837913" w:rsidRPr="00440C66" w:rsidRDefault="00837913" w:rsidP="004C760F">
      <w:pPr>
        <w:widowControl w:val="0"/>
        <w:rPr>
          <w:szCs w:val="22"/>
        </w:rPr>
      </w:pPr>
    </w:p>
    <w:p w14:paraId="3BA28260" w14:textId="77777777" w:rsidR="00C6294E" w:rsidRPr="00440C66" w:rsidRDefault="00C6294E" w:rsidP="004C760F">
      <w:pPr>
        <w:widowControl w:val="0"/>
        <w:rPr>
          <w:szCs w:val="22"/>
        </w:rPr>
      </w:pPr>
    </w:p>
    <w:p w14:paraId="64707BE2" w14:textId="77777777" w:rsidR="00C6294E" w:rsidRPr="00440C66" w:rsidRDefault="00C6294E" w:rsidP="004C760F">
      <w:pPr>
        <w:widowControl w:val="0"/>
        <w:rPr>
          <w:szCs w:val="22"/>
        </w:rPr>
      </w:pPr>
    </w:p>
    <w:p w14:paraId="4A4D733B" w14:textId="77777777" w:rsidR="005E02D4" w:rsidRPr="00440C66" w:rsidRDefault="005E02D4" w:rsidP="004C760F">
      <w:pPr>
        <w:widowControl w:val="0"/>
        <w:ind w:left="0" w:firstLine="0"/>
        <w:rPr>
          <w:szCs w:val="22"/>
        </w:rPr>
      </w:pPr>
    </w:p>
    <w:p w14:paraId="184A6804" w14:textId="77777777" w:rsidR="00C6294E" w:rsidRPr="00440C66" w:rsidRDefault="00C6294E" w:rsidP="004C760F">
      <w:pPr>
        <w:widowControl w:val="0"/>
        <w:jc w:val="center"/>
        <w:rPr>
          <w:noProof/>
        </w:rPr>
      </w:pPr>
      <w:r w:rsidRPr="00440C66">
        <w:rPr>
          <w:b/>
          <w:noProof/>
        </w:rPr>
        <w:t>ANEKS II</w:t>
      </w:r>
    </w:p>
    <w:p w14:paraId="79852329" w14:textId="77777777" w:rsidR="00C6294E" w:rsidRPr="00440C66" w:rsidRDefault="00C6294E" w:rsidP="004C760F">
      <w:pPr>
        <w:widowControl w:val="0"/>
        <w:ind w:left="0" w:right="1416" w:firstLine="0"/>
        <w:rPr>
          <w:noProof/>
        </w:rPr>
      </w:pPr>
    </w:p>
    <w:p w14:paraId="03A2E791" w14:textId="6A992EBC" w:rsidR="00384DD6" w:rsidRPr="00440C66" w:rsidRDefault="00384DD6" w:rsidP="004C760F">
      <w:pPr>
        <w:widowControl w:val="0"/>
        <w:ind w:left="1701" w:right="1416"/>
        <w:rPr>
          <w:b/>
          <w:noProof/>
        </w:rPr>
      </w:pPr>
      <w:r w:rsidRPr="00440C66">
        <w:rPr>
          <w:b/>
          <w:noProof/>
        </w:rPr>
        <w:t>A.</w:t>
      </w:r>
      <w:r w:rsidRPr="00440C66">
        <w:rPr>
          <w:b/>
          <w:noProof/>
        </w:rPr>
        <w:tab/>
        <w:t>WYTWÓRC</w:t>
      </w:r>
      <w:r w:rsidR="005B0695">
        <w:rPr>
          <w:b/>
          <w:noProof/>
        </w:rPr>
        <w:t>Y</w:t>
      </w:r>
      <w:r w:rsidRPr="00440C66">
        <w:rPr>
          <w:b/>
          <w:noProof/>
        </w:rPr>
        <w:t xml:space="preserve"> ODPOWIEDZIALN</w:t>
      </w:r>
      <w:r w:rsidR="005B0695">
        <w:rPr>
          <w:b/>
          <w:noProof/>
        </w:rPr>
        <w:t>I</w:t>
      </w:r>
      <w:r w:rsidRPr="00440C66">
        <w:rPr>
          <w:b/>
          <w:noProof/>
        </w:rPr>
        <w:t xml:space="preserve"> ZA ZWOLNIENIE SERII</w:t>
      </w:r>
    </w:p>
    <w:p w14:paraId="1B9A48F8" w14:textId="77777777" w:rsidR="00C06EFE" w:rsidRPr="00440C66" w:rsidRDefault="00C06EFE" w:rsidP="004C760F">
      <w:pPr>
        <w:widowControl w:val="0"/>
        <w:ind w:left="0" w:right="1416" w:firstLine="0"/>
        <w:rPr>
          <w:noProof/>
        </w:rPr>
      </w:pPr>
    </w:p>
    <w:p w14:paraId="08EE1AC7" w14:textId="77777777" w:rsidR="00384DD6" w:rsidRPr="00440C66" w:rsidRDefault="00384DD6" w:rsidP="004C760F">
      <w:pPr>
        <w:widowControl w:val="0"/>
        <w:ind w:left="1701" w:right="1416"/>
        <w:rPr>
          <w:b/>
          <w:noProof/>
        </w:rPr>
      </w:pPr>
      <w:r w:rsidRPr="00440C66">
        <w:rPr>
          <w:b/>
          <w:noProof/>
        </w:rPr>
        <w:t>B.</w:t>
      </w:r>
      <w:r w:rsidRPr="00440C66">
        <w:rPr>
          <w:b/>
          <w:noProof/>
        </w:rPr>
        <w:tab/>
        <w:t>WARUNKI LUB OGRANICZENIA DOTYCZĄCE ZAOPATRZENIA I STOSOWANIA</w:t>
      </w:r>
    </w:p>
    <w:p w14:paraId="3185FF1D" w14:textId="77777777" w:rsidR="00384DD6" w:rsidRPr="00440C66" w:rsidRDefault="00384DD6" w:rsidP="004C760F">
      <w:pPr>
        <w:widowControl w:val="0"/>
        <w:ind w:left="0" w:right="1416" w:firstLine="0"/>
        <w:rPr>
          <w:noProof/>
        </w:rPr>
      </w:pPr>
    </w:p>
    <w:p w14:paraId="7C98C590" w14:textId="77777777" w:rsidR="00384DD6" w:rsidRPr="00440C66" w:rsidRDefault="00384DD6" w:rsidP="004C760F">
      <w:pPr>
        <w:widowControl w:val="0"/>
        <w:ind w:left="1701" w:right="1416"/>
        <w:rPr>
          <w:b/>
          <w:noProof/>
        </w:rPr>
      </w:pPr>
      <w:r w:rsidRPr="00440C66">
        <w:rPr>
          <w:b/>
          <w:noProof/>
        </w:rPr>
        <w:t>C.</w:t>
      </w:r>
      <w:r w:rsidRPr="00440C66">
        <w:rPr>
          <w:b/>
          <w:noProof/>
        </w:rPr>
        <w:tab/>
        <w:t>INNE WARUNKI I WYMAGANIA DOTYCZĄCE DOPUSZCZENIA DO OBROTU</w:t>
      </w:r>
    </w:p>
    <w:p w14:paraId="0BE010D7" w14:textId="77777777" w:rsidR="00016987" w:rsidRPr="00440C66" w:rsidRDefault="00016987" w:rsidP="004C760F">
      <w:pPr>
        <w:widowControl w:val="0"/>
        <w:ind w:left="0" w:right="1416" w:firstLine="0"/>
        <w:rPr>
          <w:noProof/>
        </w:rPr>
      </w:pPr>
    </w:p>
    <w:p w14:paraId="2DF2AE65" w14:textId="77777777" w:rsidR="00016987" w:rsidRPr="00440C66" w:rsidRDefault="00016987" w:rsidP="004C760F">
      <w:pPr>
        <w:widowControl w:val="0"/>
        <w:ind w:left="1701" w:right="1416"/>
        <w:rPr>
          <w:b/>
          <w:noProof/>
        </w:rPr>
      </w:pPr>
      <w:r w:rsidRPr="00440C66">
        <w:rPr>
          <w:b/>
          <w:noProof/>
        </w:rPr>
        <w:t>D.</w:t>
      </w:r>
      <w:r w:rsidRPr="00440C66">
        <w:rPr>
          <w:b/>
          <w:noProof/>
        </w:rPr>
        <w:tab/>
        <w:t xml:space="preserve">WARUNKI </w:t>
      </w:r>
      <w:r w:rsidR="006E697E">
        <w:rPr>
          <w:b/>
          <w:noProof/>
        </w:rPr>
        <w:t>LUB</w:t>
      </w:r>
      <w:r w:rsidRPr="00440C66">
        <w:rPr>
          <w:b/>
          <w:noProof/>
        </w:rPr>
        <w:t xml:space="preserve"> OGRANICZENIADOTYCZĄCE BEZPIECZNEGO I SKUTECZNEGO STOSOWANIA PRODUKTU LECZNICZEGO</w:t>
      </w:r>
    </w:p>
    <w:p w14:paraId="52192B90" w14:textId="77777777" w:rsidR="00C6294E" w:rsidRPr="00440C66" w:rsidRDefault="00C6294E" w:rsidP="004C760F">
      <w:pPr>
        <w:widowControl w:val="0"/>
        <w:ind w:left="0" w:firstLine="0"/>
        <w:rPr>
          <w:noProof/>
        </w:rPr>
      </w:pPr>
    </w:p>
    <w:p w14:paraId="2AA9091B" w14:textId="2C90EB72" w:rsidR="00C6294E" w:rsidRPr="00440C66" w:rsidRDefault="00C6294E" w:rsidP="00837913">
      <w:pPr>
        <w:widowControl w:val="0"/>
        <w:rPr>
          <w:noProof/>
        </w:rPr>
      </w:pPr>
      <w:r w:rsidRPr="00440C66">
        <w:rPr>
          <w:noProof/>
        </w:rPr>
        <w:br w:type="page"/>
      </w:r>
      <w:r w:rsidRPr="00440C66">
        <w:rPr>
          <w:b/>
          <w:noProof/>
        </w:rPr>
        <w:lastRenderedPageBreak/>
        <w:t>A.</w:t>
      </w:r>
      <w:r w:rsidRPr="00440C66">
        <w:rPr>
          <w:b/>
          <w:noProof/>
        </w:rPr>
        <w:tab/>
      </w:r>
      <w:r w:rsidR="001D04CE" w:rsidRPr="00440C66">
        <w:rPr>
          <w:b/>
          <w:noProof/>
        </w:rPr>
        <w:t>WYTWÓRC</w:t>
      </w:r>
      <w:r w:rsidR="005B0695">
        <w:rPr>
          <w:b/>
          <w:noProof/>
        </w:rPr>
        <w:t>Y</w:t>
      </w:r>
      <w:r w:rsidR="001D04CE" w:rsidRPr="00440C66">
        <w:rPr>
          <w:b/>
          <w:noProof/>
        </w:rPr>
        <w:t xml:space="preserve"> ODPOWIEDZIALN</w:t>
      </w:r>
      <w:r w:rsidR="005B0695">
        <w:rPr>
          <w:b/>
          <w:noProof/>
        </w:rPr>
        <w:t>I</w:t>
      </w:r>
      <w:r w:rsidR="001D04CE" w:rsidRPr="00440C66">
        <w:rPr>
          <w:b/>
          <w:noProof/>
        </w:rPr>
        <w:t xml:space="preserve"> ZA ZWOLNIENIE SERII</w:t>
      </w:r>
    </w:p>
    <w:p w14:paraId="31CF29D3" w14:textId="77777777" w:rsidR="00C6294E" w:rsidRPr="00440C66" w:rsidRDefault="00C6294E" w:rsidP="00837913">
      <w:pPr>
        <w:widowControl w:val="0"/>
        <w:ind w:right="1416"/>
        <w:rPr>
          <w:noProof/>
        </w:rPr>
      </w:pPr>
    </w:p>
    <w:p w14:paraId="73845565" w14:textId="363C4AD9" w:rsidR="00C6294E" w:rsidRPr="00440C66" w:rsidRDefault="001D04CE" w:rsidP="00837913">
      <w:pPr>
        <w:widowControl w:val="0"/>
        <w:outlineLvl w:val="0"/>
        <w:rPr>
          <w:noProof/>
          <w:u w:val="single"/>
        </w:rPr>
      </w:pPr>
      <w:r w:rsidRPr="00440C66">
        <w:rPr>
          <w:noProof/>
          <w:u w:val="single"/>
        </w:rPr>
        <w:t>Nazwa i adres wytwórc</w:t>
      </w:r>
      <w:r w:rsidR="005B0695">
        <w:rPr>
          <w:noProof/>
          <w:u w:val="single"/>
        </w:rPr>
        <w:t>ów</w:t>
      </w:r>
      <w:r w:rsidRPr="00440C66">
        <w:rPr>
          <w:noProof/>
          <w:u w:val="single"/>
        </w:rPr>
        <w:t xml:space="preserve"> odpowiedzialn</w:t>
      </w:r>
      <w:r w:rsidR="005B0695">
        <w:rPr>
          <w:noProof/>
          <w:u w:val="single"/>
        </w:rPr>
        <w:t>ych</w:t>
      </w:r>
      <w:r w:rsidRPr="00440C66">
        <w:rPr>
          <w:noProof/>
          <w:u w:val="single"/>
        </w:rPr>
        <w:t xml:space="preserve"> za zwolnienie serii</w:t>
      </w:r>
    </w:p>
    <w:p w14:paraId="36CD0A6A" w14:textId="77777777" w:rsidR="00C6294E" w:rsidRPr="00440C66" w:rsidRDefault="00C6294E" w:rsidP="00837913">
      <w:pPr>
        <w:widowControl w:val="0"/>
        <w:rPr>
          <w:noProof/>
        </w:rPr>
      </w:pPr>
    </w:p>
    <w:p w14:paraId="5485E67A" w14:textId="77777777" w:rsidR="005B0695" w:rsidRPr="00FC35A4" w:rsidRDefault="005B0695" w:rsidP="005B0695">
      <w:pPr>
        <w:pStyle w:val="BodytextAgency"/>
        <w:spacing w:after="0" w:line="240" w:lineRule="auto"/>
        <w:rPr>
          <w:rFonts w:ascii="Times New Roman" w:hAnsi="Times New Roman" w:cs="Times New Roman"/>
          <w:noProof/>
          <w:sz w:val="22"/>
          <w:szCs w:val="22"/>
          <w:lang w:val="es-ES"/>
        </w:rPr>
      </w:pPr>
      <w:r w:rsidRPr="00FC35A4">
        <w:rPr>
          <w:rFonts w:ascii="Times New Roman" w:hAnsi="Times New Roman" w:cs="Times New Roman"/>
          <w:noProof/>
          <w:sz w:val="22"/>
          <w:szCs w:val="22"/>
          <w:lang w:val="es-ES"/>
        </w:rPr>
        <w:t>LABORATORI FUNDACIÓ DAU</w:t>
      </w:r>
    </w:p>
    <w:p w14:paraId="2FE7C13F" w14:textId="22E7A37F" w:rsidR="005B0695" w:rsidRPr="00FC35A4" w:rsidRDefault="005B0695" w:rsidP="005B0695">
      <w:pPr>
        <w:pStyle w:val="BodytextAgency"/>
        <w:spacing w:after="0" w:line="240" w:lineRule="auto"/>
        <w:rPr>
          <w:rFonts w:ascii="Times New Roman" w:hAnsi="Times New Roman" w:cs="Times New Roman"/>
          <w:noProof/>
          <w:sz w:val="22"/>
          <w:szCs w:val="22"/>
          <w:lang w:val="es-ES"/>
        </w:rPr>
      </w:pPr>
      <w:r w:rsidRPr="00FC35A4">
        <w:rPr>
          <w:rFonts w:ascii="Times New Roman" w:hAnsi="Times New Roman" w:cs="Times New Roman"/>
          <w:noProof/>
          <w:sz w:val="22"/>
          <w:szCs w:val="22"/>
          <w:lang w:val="es-ES"/>
        </w:rPr>
        <w:t>C/ C, 12-14 Pol. Ind. Zona Franca</w:t>
      </w:r>
    </w:p>
    <w:p w14:paraId="68ED4914" w14:textId="17C2378D" w:rsidR="005B0695" w:rsidRPr="00FC35A4" w:rsidRDefault="005B0695" w:rsidP="005B0695">
      <w:pPr>
        <w:pStyle w:val="BodytextAgency"/>
        <w:spacing w:after="0" w:line="240" w:lineRule="auto"/>
        <w:rPr>
          <w:rFonts w:ascii="Times New Roman" w:hAnsi="Times New Roman" w:cs="Times New Roman"/>
          <w:noProof/>
          <w:sz w:val="22"/>
          <w:szCs w:val="22"/>
          <w:lang w:val="es-ES"/>
        </w:rPr>
      </w:pPr>
      <w:r w:rsidRPr="00FC35A4">
        <w:rPr>
          <w:rFonts w:ascii="Times New Roman" w:hAnsi="Times New Roman" w:cs="Times New Roman"/>
          <w:noProof/>
          <w:sz w:val="22"/>
          <w:szCs w:val="22"/>
          <w:lang w:val="es-ES"/>
        </w:rPr>
        <w:t xml:space="preserve">Barcelona, 08040, </w:t>
      </w:r>
      <w:r>
        <w:rPr>
          <w:rFonts w:ascii="Times New Roman" w:hAnsi="Times New Roman" w:cs="Times New Roman"/>
          <w:noProof/>
          <w:sz w:val="22"/>
          <w:szCs w:val="22"/>
          <w:lang w:val="es-ES"/>
        </w:rPr>
        <w:t>Hiszpania</w:t>
      </w:r>
    </w:p>
    <w:p w14:paraId="72197122" w14:textId="77777777" w:rsidR="005B0695" w:rsidRPr="00FC35A4" w:rsidRDefault="005B0695" w:rsidP="005B0695">
      <w:pPr>
        <w:pStyle w:val="BodytextAgency"/>
        <w:spacing w:after="0" w:line="240" w:lineRule="auto"/>
        <w:rPr>
          <w:rFonts w:ascii="Times New Roman" w:hAnsi="Times New Roman" w:cs="Times New Roman"/>
          <w:noProof/>
          <w:sz w:val="22"/>
          <w:szCs w:val="22"/>
          <w:lang w:val="es-ES"/>
        </w:rPr>
      </w:pPr>
    </w:p>
    <w:p w14:paraId="551622A1" w14:textId="77777777" w:rsidR="005B0695" w:rsidRPr="00FC35A4" w:rsidRDefault="005B0695" w:rsidP="005B0695">
      <w:pPr>
        <w:pStyle w:val="BodytextAgency"/>
        <w:spacing w:after="0" w:line="240" w:lineRule="auto"/>
        <w:rPr>
          <w:rFonts w:ascii="Times New Roman" w:hAnsi="Times New Roman" w:cs="Times New Roman"/>
          <w:noProof/>
          <w:sz w:val="22"/>
          <w:szCs w:val="22"/>
          <w:lang w:val="es-ES"/>
        </w:rPr>
      </w:pPr>
      <w:r w:rsidRPr="00FC35A4">
        <w:rPr>
          <w:rFonts w:ascii="Times New Roman" w:hAnsi="Times New Roman" w:cs="Times New Roman"/>
          <w:noProof/>
          <w:sz w:val="22"/>
          <w:szCs w:val="22"/>
          <w:lang w:val="es-ES"/>
        </w:rPr>
        <w:t>Pharmadox Healthcare Ltd.</w:t>
      </w:r>
    </w:p>
    <w:p w14:paraId="4D3B6F4D" w14:textId="77777777" w:rsidR="005B0695" w:rsidRPr="00FC35A4" w:rsidRDefault="005B0695" w:rsidP="005B0695">
      <w:pPr>
        <w:pStyle w:val="BodytextAgency"/>
        <w:spacing w:after="0" w:line="240" w:lineRule="auto"/>
        <w:rPr>
          <w:rFonts w:ascii="Times New Roman" w:hAnsi="Times New Roman" w:cs="Times New Roman"/>
          <w:noProof/>
          <w:sz w:val="22"/>
          <w:szCs w:val="22"/>
          <w:lang w:val="en-GB"/>
        </w:rPr>
      </w:pPr>
      <w:r w:rsidRPr="00FC35A4">
        <w:rPr>
          <w:rFonts w:ascii="Times New Roman" w:hAnsi="Times New Roman" w:cs="Times New Roman"/>
          <w:noProof/>
          <w:sz w:val="22"/>
          <w:szCs w:val="22"/>
          <w:lang w:val="en-GB"/>
        </w:rPr>
        <w:t>KW20A Kordin Industrial Park</w:t>
      </w:r>
    </w:p>
    <w:p w14:paraId="7C29BDA0" w14:textId="77777777" w:rsidR="005B0695" w:rsidRPr="00050A77" w:rsidRDefault="005B0695" w:rsidP="005B0695">
      <w:pPr>
        <w:pStyle w:val="BodytextAgency"/>
        <w:spacing w:after="0" w:line="240" w:lineRule="auto"/>
        <w:rPr>
          <w:rFonts w:ascii="Times New Roman" w:hAnsi="Times New Roman" w:cs="Times New Roman"/>
          <w:noProof/>
          <w:sz w:val="22"/>
          <w:szCs w:val="22"/>
        </w:rPr>
      </w:pPr>
      <w:r w:rsidRPr="00050A77">
        <w:rPr>
          <w:rFonts w:ascii="Times New Roman" w:hAnsi="Times New Roman" w:cs="Times New Roman"/>
          <w:noProof/>
          <w:sz w:val="22"/>
          <w:szCs w:val="22"/>
        </w:rPr>
        <w:t>Paola, PLA 3000</w:t>
      </w:r>
    </w:p>
    <w:p w14:paraId="685CAF77" w14:textId="77777777" w:rsidR="005B0695" w:rsidRPr="00050A77" w:rsidRDefault="005B0695" w:rsidP="005B0695">
      <w:pPr>
        <w:pStyle w:val="BodytextAgency"/>
        <w:spacing w:after="0" w:line="240" w:lineRule="auto"/>
        <w:rPr>
          <w:rFonts w:ascii="Times New Roman" w:hAnsi="Times New Roman" w:cs="Times New Roman"/>
          <w:noProof/>
          <w:sz w:val="22"/>
          <w:szCs w:val="22"/>
        </w:rPr>
      </w:pPr>
      <w:r w:rsidRPr="00050A77">
        <w:rPr>
          <w:rFonts w:ascii="Times New Roman" w:hAnsi="Times New Roman" w:cs="Times New Roman"/>
          <w:noProof/>
          <w:sz w:val="22"/>
          <w:szCs w:val="22"/>
        </w:rPr>
        <w:t>Malta</w:t>
      </w:r>
    </w:p>
    <w:p w14:paraId="46C44A50" w14:textId="77777777" w:rsidR="005B0695" w:rsidRPr="00050A77" w:rsidRDefault="005B0695" w:rsidP="005B0695">
      <w:pPr>
        <w:pStyle w:val="BodytextAgency"/>
        <w:spacing w:after="0" w:line="240" w:lineRule="auto"/>
        <w:rPr>
          <w:rFonts w:ascii="Times New Roman" w:hAnsi="Times New Roman" w:cs="Times New Roman"/>
          <w:noProof/>
          <w:sz w:val="22"/>
          <w:szCs w:val="22"/>
        </w:rPr>
      </w:pPr>
    </w:p>
    <w:p w14:paraId="7363AFFB" w14:textId="77777777" w:rsidR="005B0695" w:rsidRPr="00050A77" w:rsidRDefault="005B0695" w:rsidP="005B0695">
      <w:pPr>
        <w:contextualSpacing/>
        <w:rPr>
          <w:szCs w:val="22"/>
        </w:rPr>
      </w:pPr>
      <w:r w:rsidRPr="00050A77">
        <w:rPr>
          <w:szCs w:val="22"/>
        </w:rPr>
        <w:t>Accord Healthcare Polska Sp. z o.o.</w:t>
      </w:r>
    </w:p>
    <w:p w14:paraId="526336FB" w14:textId="088322B9" w:rsidR="005B0695" w:rsidRPr="009C173A" w:rsidRDefault="00822CCF" w:rsidP="005B0695">
      <w:pPr>
        <w:contextualSpacing/>
        <w:rPr>
          <w:szCs w:val="22"/>
        </w:rPr>
      </w:pPr>
      <w:r>
        <w:rPr>
          <w:szCs w:val="22"/>
        </w:rPr>
        <w:t>u</w:t>
      </w:r>
      <w:r w:rsidR="005B0695" w:rsidRPr="00A06862">
        <w:rPr>
          <w:szCs w:val="22"/>
        </w:rPr>
        <w:t xml:space="preserve">l. </w:t>
      </w:r>
      <w:r w:rsidR="005B0695" w:rsidRPr="009C173A">
        <w:rPr>
          <w:szCs w:val="22"/>
        </w:rPr>
        <w:t>Lutomierska 50</w:t>
      </w:r>
    </w:p>
    <w:p w14:paraId="43410C55" w14:textId="6A2DE4C6" w:rsidR="005B0695" w:rsidRPr="00050A77" w:rsidRDefault="005B0695" w:rsidP="005B0695">
      <w:pPr>
        <w:contextualSpacing/>
        <w:rPr>
          <w:szCs w:val="22"/>
          <w:lang w:val="en-US"/>
        </w:rPr>
      </w:pPr>
      <w:r w:rsidRPr="00050A77">
        <w:rPr>
          <w:szCs w:val="22"/>
          <w:lang w:val="en-US"/>
        </w:rPr>
        <w:t xml:space="preserve">95-200 </w:t>
      </w:r>
      <w:proofErr w:type="spellStart"/>
      <w:r w:rsidRPr="00050A77">
        <w:rPr>
          <w:szCs w:val="22"/>
          <w:lang w:val="en-US"/>
        </w:rPr>
        <w:t>Pabianice</w:t>
      </w:r>
      <w:proofErr w:type="spellEnd"/>
      <w:r w:rsidRPr="00050A77">
        <w:rPr>
          <w:szCs w:val="22"/>
          <w:lang w:val="en-US"/>
        </w:rPr>
        <w:t>, Po</w:t>
      </w:r>
      <w:r w:rsidR="00822CCF" w:rsidRPr="00050A77">
        <w:rPr>
          <w:szCs w:val="22"/>
          <w:lang w:val="en-US"/>
        </w:rPr>
        <w:t>lska</w:t>
      </w:r>
    </w:p>
    <w:p w14:paraId="3D81C4A9" w14:textId="77777777" w:rsidR="00822CCF" w:rsidRDefault="00822CCF" w:rsidP="00837913">
      <w:pPr>
        <w:widowControl w:val="0"/>
        <w:tabs>
          <w:tab w:val="left" w:pos="7513"/>
        </w:tabs>
        <w:rPr>
          <w:szCs w:val="22"/>
          <w:lang w:val="fr-CH"/>
        </w:rPr>
      </w:pPr>
    </w:p>
    <w:p w14:paraId="28236574" w14:textId="77777777" w:rsidR="00822CCF" w:rsidRPr="00050A77" w:rsidRDefault="00822CCF" w:rsidP="00822CCF">
      <w:pPr>
        <w:pStyle w:val="BodytextAgency"/>
        <w:spacing w:after="0" w:line="240" w:lineRule="auto"/>
        <w:rPr>
          <w:rFonts w:ascii="Times New Roman" w:hAnsi="Times New Roman" w:cs="Times New Roman"/>
          <w:noProof/>
          <w:sz w:val="22"/>
          <w:szCs w:val="22"/>
          <w:lang w:val="en-US"/>
        </w:rPr>
      </w:pPr>
      <w:r w:rsidRPr="00050A77">
        <w:rPr>
          <w:rFonts w:ascii="Times New Roman" w:hAnsi="Times New Roman" w:cs="Times New Roman"/>
          <w:noProof/>
          <w:sz w:val="22"/>
          <w:szCs w:val="22"/>
          <w:lang w:val="en-US"/>
        </w:rPr>
        <w:t>Accord Healthcare B.V.</w:t>
      </w:r>
    </w:p>
    <w:p w14:paraId="70F7CDA8" w14:textId="74C53B9C" w:rsidR="00822CCF" w:rsidRPr="0058200C" w:rsidRDefault="00822CCF" w:rsidP="00822CCF">
      <w:pPr>
        <w:pStyle w:val="BodytextAgency"/>
        <w:spacing w:after="0" w:line="240" w:lineRule="auto"/>
        <w:rPr>
          <w:rFonts w:ascii="Times New Roman" w:hAnsi="Times New Roman" w:cs="Times New Roman"/>
          <w:noProof/>
          <w:sz w:val="22"/>
          <w:szCs w:val="22"/>
        </w:rPr>
      </w:pPr>
      <w:r w:rsidRPr="0058200C">
        <w:rPr>
          <w:rFonts w:ascii="Times New Roman" w:hAnsi="Times New Roman" w:cs="Times New Roman"/>
          <w:noProof/>
          <w:sz w:val="22"/>
          <w:szCs w:val="22"/>
        </w:rPr>
        <w:t>Winthontlaan 200,Utrecht,3526 KV</w:t>
      </w:r>
    </w:p>
    <w:p w14:paraId="6D99A0E9" w14:textId="2F126F61" w:rsidR="00822CCF" w:rsidRDefault="00822CCF" w:rsidP="00822CCF">
      <w:pPr>
        <w:pStyle w:val="BodytextAgency"/>
        <w:spacing w:after="0" w:line="240" w:lineRule="auto"/>
        <w:rPr>
          <w:ins w:id="3" w:author="ABB" w:date="2025-07-10T14:29:00Z"/>
          <w:rFonts w:ascii="Times New Roman" w:hAnsi="Times New Roman" w:cs="Times New Roman"/>
          <w:noProof/>
          <w:sz w:val="22"/>
          <w:szCs w:val="22"/>
        </w:rPr>
      </w:pPr>
      <w:r>
        <w:rPr>
          <w:rFonts w:ascii="Times New Roman" w:hAnsi="Times New Roman" w:cs="Times New Roman"/>
          <w:noProof/>
          <w:sz w:val="22"/>
          <w:szCs w:val="22"/>
        </w:rPr>
        <w:t>Holandia</w:t>
      </w:r>
    </w:p>
    <w:p w14:paraId="4BC2FAF1" w14:textId="77777777" w:rsidR="009833F3" w:rsidRDefault="009833F3" w:rsidP="00822CCF">
      <w:pPr>
        <w:pStyle w:val="BodytextAgency"/>
        <w:spacing w:after="0" w:line="240" w:lineRule="auto"/>
        <w:rPr>
          <w:ins w:id="4" w:author="ABB" w:date="2025-07-10T14:29:00Z"/>
          <w:rFonts w:ascii="Times New Roman" w:hAnsi="Times New Roman" w:cs="Times New Roman"/>
          <w:noProof/>
          <w:sz w:val="22"/>
          <w:szCs w:val="22"/>
        </w:rPr>
      </w:pPr>
    </w:p>
    <w:p w14:paraId="5055D303" w14:textId="77777777" w:rsidR="009833F3" w:rsidRPr="005769C5" w:rsidRDefault="009833F3" w:rsidP="009833F3">
      <w:pPr>
        <w:pStyle w:val="Default"/>
        <w:rPr>
          <w:ins w:id="5" w:author="ABB" w:date="2025-07-10T14:29:00Z"/>
          <w:sz w:val="22"/>
          <w:szCs w:val="22"/>
        </w:rPr>
      </w:pPr>
      <w:ins w:id="6" w:author="ABB" w:date="2025-07-10T14:29:00Z">
        <w:r w:rsidRPr="005769C5">
          <w:rPr>
            <w:sz w:val="22"/>
            <w:szCs w:val="22"/>
          </w:rPr>
          <w:t xml:space="preserve">Accord Healthcare single member S.A. </w:t>
        </w:r>
      </w:ins>
    </w:p>
    <w:p w14:paraId="078D01B8" w14:textId="77777777" w:rsidR="009833F3" w:rsidRDefault="009833F3" w:rsidP="009833F3">
      <w:pPr>
        <w:pStyle w:val="Default"/>
        <w:rPr>
          <w:ins w:id="7" w:author="ABB" w:date="2025-07-10T14:29:00Z"/>
          <w:sz w:val="22"/>
          <w:szCs w:val="22"/>
        </w:rPr>
      </w:pPr>
      <w:ins w:id="8" w:author="ABB" w:date="2025-07-10T14:29:00Z">
        <w:r w:rsidRPr="005769C5">
          <w:rPr>
            <w:sz w:val="22"/>
            <w:szCs w:val="22"/>
          </w:rPr>
          <w:t>64th Km National Road Athens</w:t>
        </w:r>
        <w:r>
          <w:rPr>
            <w:sz w:val="22"/>
            <w:szCs w:val="22"/>
          </w:rPr>
          <w:t>,</w:t>
        </w:r>
      </w:ins>
    </w:p>
    <w:p w14:paraId="4787B6CD" w14:textId="77777777" w:rsidR="009833F3" w:rsidRPr="005769C5" w:rsidRDefault="009833F3" w:rsidP="009833F3">
      <w:pPr>
        <w:pStyle w:val="Default"/>
        <w:rPr>
          <w:ins w:id="9" w:author="ABB" w:date="2025-07-10T14:29:00Z"/>
          <w:sz w:val="22"/>
          <w:szCs w:val="22"/>
        </w:rPr>
      </w:pPr>
      <w:ins w:id="10" w:author="ABB" w:date="2025-07-10T14:29:00Z">
        <w:r w:rsidRPr="005769C5">
          <w:rPr>
            <w:sz w:val="22"/>
            <w:szCs w:val="22"/>
          </w:rPr>
          <w:t>Lamia,</w:t>
        </w:r>
        <w:r>
          <w:rPr>
            <w:sz w:val="22"/>
            <w:szCs w:val="22"/>
          </w:rPr>
          <w:t xml:space="preserve"> </w:t>
        </w:r>
        <w:proofErr w:type="spellStart"/>
        <w:r w:rsidRPr="005769C5">
          <w:rPr>
            <w:sz w:val="22"/>
            <w:szCs w:val="22"/>
          </w:rPr>
          <w:t>Schimatari</w:t>
        </w:r>
        <w:proofErr w:type="spellEnd"/>
        <w:r w:rsidRPr="005769C5">
          <w:rPr>
            <w:sz w:val="22"/>
            <w:szCs w:val="22"/>
          </w:rPr>
          <w:t xml:space="preserve">, 32009, </w:t>
        </w:r>
      </w:ins>
    </w:p>
    <w:p w14:paraId="3C7CB0D6" w14:textId="77777777" w:rsidR="009833F3" w:rsidRPr="00F0339C" w:rsidRDefault="009833F3" w:rsidP="009833F3">
      <w:pPr>
        <w:pStyle w:val="Default"/>
        <w:rPr>
          <w:ins w:id="11" w:author="ABB" w:date="2025-07-10T14:29:00Z"/>
          <w:sz w:val="22"/>
          <w:szCs w:val="22"/>
        </w:rPr>
      </w:pPr>
      <w:proofErr w:type="spellStart"/>
      <w:ins w:id="12" w:author="ABB" w:date="2025-07-10T14:29:00Z">
        <w:r w:rsidRPr="005769C5">
          <w:rPr>
            <w:sz w:val="22"/>
            <w:szCs w:val="22"/>
          </w:rPr>
          <w:t>Grecja</w:t>
        </w:r>
        <w:proofErr w:type="spellEnd"/>
      </w:ins>
    </w:p>
    <w:p w14:paraId="5FC5C056" w14:textId="77777777" w:rsidR="00C67E57" w:rsidRPr="00636CB1" w:rsidRDefault="00C67E57" w:rsidP="00837913">
      <w:pPr>
        <w:widowControl w:val="0"/>
        <w:ind w:left="0" w:firstLine="0"/>
        <w:rPr>
          <w:szCs w:val="22"/>
        </w:rPr>
      </w:pPr>
    </w:p>
    <w:p w14:paraId="40707C7B" w14:textId="77777777" w:rsidR="00C67E57" w:rsidRPr="00636CB1" w:rsidRDefault="00C67E57" w:rsidP="00837913">
      <w:pPr>
        <w:widowControl w:val="0"/>
        <w:ind w:left="0" w:firstLine="0"/>
        <w:rPr>
          <w:szCs w:val="22"/>
        </w:rPr>
      </w:pPr>
      <w:r w:rsidRPr="00636CB1">
        <w:t>Wydrukowana ulotka dla pacjenta musi zawierać nazwę i adres wytwórcy odpowiedzialnego za zwolnienie danej serii produktu leczniczego.</w:t>
      </w:r>
    </w:p>
    <w:p w14:paraId="36646156" w14:textId="77777777" w:rsidR="00C6294E" w:rsidRPr="00440C66" w:rsidRDefault="00C6294E" w:rsidP="00837913">
      <w:pPr>
        <w:widowControl w:val="0"/>
        <w:rPr>
          <w:noProof/>
        </w:rPr>
      </w:pPr>
    </w:p>
    <w:p w14:paraId="43F6F43D" w14:textId="77777777" w:rsidR="00C6294E" w:rsidRPr="00440C66" w:rsidRDefault="00C6294E" w:rsidP="00837913">
      <w:pPr>
        <w:widowControl w:val="0"/>
        <w:rPr>
          <w:noProof/>
        </w:rPr>
      </w:pPr>
    </w:p>
    <w:p w14:paraId="74049363" w14:textId="77777777" w:rsidR="00C6294E" w:rsidRPr="00440C66" w:rsidRDefault="00C6294E" w:rsidP="00837913">
      <w:pPr>
        <w:widowControl w:val="0"/>
        <w:rPr>
          <w:b/>
          <w:noProof/>
        </w:rPr>
      </w:pPr>
      <w:r w:rsidRPr="00440C66">
        <w:rPr>
          <w:b/>
          <w:noProof/>
        </w:rPr>
        <w:t>B.</w:t>
      </w:r>
      <w:r w:rsidRPr="00440C66">
        <w:rPr>
          <w:b/>
          <w:noProof/>
        </w:rPr>
        <w:tab/>
      </w:r>
      <w:r w:rsidR="001D04CE" w:rsidRPr="00440C66">
        <w:rPr>
          <w:b/>
          <w:noProof/>
        </w:rPr>
        <w:t xml:space="preserve">WARUNKI </w:t>
      </w:r>
      <w:r w:rsidR="00192F97" w:rsidRPr="00440C66">
        <w:rPr>
          <w:b/>
          <w:noProof/>
        </w:rPr>
        <w:t>LUB OGRANICZENIA DOTYCZĄCE ZAOPATRZENIA I STOSOWANIA</w:t>
      </w:r>
    </w:p>
    <w:p w14:paraId="6E9724E3" w14:textId="77777777" w:rsidR="00C6294E" w:rsidRPr="00440C66" w:rsidRDefault="00C6294E" w:rsidP="00837913">
      <w:pPr>
        <w:widowControl w:val="0"/>
        <w:rPr>
          <w:noProof/>
        </w:rPr>
      </w:pPr>
    </w:p>
    <w:p w14:paraId="376F1645" w14:textId="77777777" w:rsidR="00C6294E" w:rsidRPr="00440C66" w:rsidRDefault="006106CD" w:rsidP="00837913">
      <w:pPr>
        <w:widowControl w:val="0"/>
        <w:numPr>
          <w:ilvl w:val="12"/>
          <w:numId w:val="0"/>
        </w:numPr>
      </w:pPr>
      <w:r w:rsidRPr="00440C66">
        <w:rPr>
          <w:noProof/>
        </w:rPr>
        <w:t xml:space="preserve">Produkt leczniczy wydawany </w:t>
      </w:r>
      <w:r w:rsidR="00016987" w:rsidRPr="00440C66">
        <w:rPr>
          <w:noProof/>
        </w:rPr>
        <w:t>na receptę</w:t>
      </w:r>
      <w:r w:rsidRPr="00440C66">
        <w:t>.</w:t>
      </w:r>
    </w:p>
    <w:p w14:paraId="3BB62E02" w14:textId="77777777" w:rsidR="00721B85" w:rsidRPr="00440C66" w:rsidRDefault="00721B85" w:rsidP="00837913">
      <w:pPr>
        <w:widowControl w:val="0"/>
        <w:numPr>
          <w:ilvl w:val="12"/>
          <w:numId w:val="0"/>
        </w:numPr>
        <w:rPr>
          <w:noProof/>
        </w:rPr>
      </w:pPr>
    </w:p>
    <w:p w14:paraId="570FCD81" w14:textId="77777777" w:rsidR="00C6294E" w:rsidRPr="00440C66" w:rsidRDefault="00C6294E" w:rsidP="00837913">
      <w:pPr>
        <w:widowControl w:val="0"/>
        <w:numPr>
          <w:ilvl w:val="12"/>
          <w:numId w:val="0"/>
        </w:numPr>
        <w:rPr>
          <w:noProof/>
        </w:rPr>
      </w:pPr>
    </w:p>
    <w:p w14:paraId="144BB258" w14:textId="77777777" w:rsidR="007C3838" w:rsidRPr="006106CD" w:rsidRDefault="007C3838" w:rsidP="00837913">
      <w:pPr>
        <w:keepNext/>
        <w:widowControl w:val="0"/>
        <w:ind w:right="567"/>
        <w:rPr>
          <w:noProof/>
        </w:rPr>
      </w:pPr>
      <w:r>
        <w:rPr>
          <w:b/>
          <w:noProof/>
        </w:rPr>
        <w:t>C.</w:t>
      </w:r>
      <w:r>
        <w:rPr>
          <w:b/>
          <w:noProof/>
        </w:rPr>
        <w:tab/>
        <w:t>INNE</w:t>
      </w:r>
      <w:r w:rsidRPr="006113E6">
        <w:rPr>
          <w:b/>
          <w:noProof/>
        </w:rPr>
        <w:t xml:space="preserve"> </w:t>
      </w:r>
      <w:r>
        <w:rPr>
          <w:b/>
          <w:noProof/>
        </w:rPr>
        <w:t>WARUNKI I WYMAGANIA DOTYCZĄCE DOPUSZCZENIA DO OBROTU</w:t>
      </w:r>
    </w:p>
    <w:p w14:paraId="3705A3B3" w14:textId="77777777" w:rsidR="00C6294E" w:rsidRPr="00440C66" w:rsidRDefault="00C6294E" w:rsidP="00837913">
      <w:pPr>
        <w:keepNext/>
        <w:widowControl w:val="0"/>
        <w:ind w:right="567"/>
        <w:rPr>
          <w:noProof/>
        </w:rPr>
      </w:pPr>
    </w:p>
    <w:p w14:paraId="6E65D9AC" w14:textId="31976D1E" w:rsidR="00090296" w:rsidRPr="00FC35A4" w:rsidRDefault="00016987" w:rsidP="00774EBD">
      <w:pPr>
        <w:keepNext/>
        <w:widowControl w:val="0"/>
        <w:numPr>
          <w:ilvl w:val="0"/>
          <w:numId w:val="9"/>
        </w:numPr>
        <w:tabs>
          <w:tab w:val="clear" w:pos="720"/>
          <w:tab w:val="left" w:pos="567"/>
        </w:tabs>
        <w:ind w:left="567" w:right="-1" w:hanging="567"/>
        <w:rPr>
          <w:b/>
          <w:szCs w:val="22"/>
          <w:lang w:val="en-GB"/>
        </w:rPr>
      </w:pPr>
      <w:r w:rsidRPr="00440C66">
        <w:rPr>
          <w:b/>
          <w:szCs w:val="22"/>
        </w:rPr>
        <w:t>Okresow</w:t>
      </w:r>
      <w:r w:rsidR="000B1E11">
        <w:rPr>
          <w:b/>
          <w:szCs w:val="22"/>
        </w:rPr>
        <w:t>e</w:t>
      </w:r>
      <w:r w:rsidRPr="00440C66">
        <w:rPr>
          <w:b/>
          <w:szCs w:val="22"/>
        </w:rPr>
        <w:t xml:space="preserve"> raport</w:t>
      </w:r>
      <w:r w:rsidR="000B1E11">
        <w:rPr>
          <w:b/>
          <w:szCs w:val="22"/>
        </w:rPr>
        <w:t>y</w:t>
      </w:r>
      <w:r w:rsidRPr="00440C66">
        <w:rPr>
          <w:b/>
          <w:szCs w:val="22"/>
        </w:rPr>
        <w:t xml:space="preserve"> o </w:t>
      </w:r>
      <w:r w:rsidRPr="00440C66">
        <w:rPr>
          <w:b/>
        </w:rPr>
        <w:t>bezpieczeństwie stosowania</w:t>
      </w:r>
      <w:r w:rsidR="000B1E11">
        <w:rPr>
          <w:b/>
        </w:rPr>
        <w:t xml:space="preserve"> (ang. </w:t>
      </w:r>
      <w:r w:rsidR="000B1E11" w:rsidRPr="00FC35A4">
        <w:rPr>
          <w:b/>
          <w:lang w:val="en-GB"/>
        </w:rPr>
        <w:t>Periodic safety update reports, PSURs)</w:t>
      </w:r>
    </w:p>
    <w:p w14:paraId="545C9EE8" w14:textId="77777777" w:rsidR="006E697E" w:rsidRPr="00FC35A4" w:rsidRDefault="006E697E" w:rsidP="00837913">
      <w:pPr>
        <w:keepNext/>
        <w:widowControl w:val="0"/>
        <w:tabs>
          <w:tab w:val="left" w:pos="567"/>
        </w:tabs>
        <w:ind w:left="0" w:right="-1" w:firstLine="0"/>
        <w:rPr>
          <w:szCs w:val="22"/>
          <w:lang w:val="en-GB"/>
        </w:rPr>
      </w:pPr>
    </w:p>
    <w:p w14:paraId="00491B34" w14:textId="1941F0C4" w:rsidR="008C5989" w:rsidRDefault="00225AA3" w:rsidP="00837913">
      <w:pPr>
        <w:widowControl w:val="0"/>
        <w:ind w:left="0" w:firstLine="0"/>
      </w:pPr>
      <w:r>
        <w:t xml:space="preserve">Wymagania do przedłożenia okresowych raportów o bezpieczeństwie stosowania tego produktu </w:t>
      </w:r>
      <w:r w:rsidR="000B1E11">
        <w:t xml:space="preserve">leczniczego </w:t>
      </w:r>
      <w:r>
        <w:t>są określone w wykazie unijnych dat referencyjnych (wykaz EURD), o którym mowa w</w:t>
      </w:r>
      <w:r w:rsidR="00A21B39">
        <w:t> </w:t>
      </w:r>
      <w:r>
        <w:t>art. 107c ust. 7 dyrektywy 2001/83/WE i jego kolejnych aktualizacjach ogłaszanych na europejskiej stronie internetowej dotyczącej leków.</w:t>
      </w:r>
    </w:p>
    <w:p w14:paraId="0FA5431B" w14:textId="77777777" w:rsidR="00016987" w:rsidRPr="00837913" w:rsidRDefault="00016987" w:rsidP="00837913">
      <w:pPr>
        <w:widowControl w:val="0"/>
        <w:ind w:left="0" w:firstLine="0"/>
      </w:pPr>
    </w:p>
    <w:p w14:paraId="520C128A" w14:textId="77777777" w:rsidR="00016987" w:rsidRPr="00440C66" w:rsidRDefault="00016987" w:rsidP="00837913">
      <w:pPr>
        <w:widowControl w:val="0"/>
        <w:ind w:left="0" w:firstLine="0"/>
      </w:pPr>
    </w:p>
    <w:p w14:paraId="34301507" w14:textId="11BE5304" w:rsidR="00016987" w:rsidRPr="00440C66" w:rsidRDefault="00016987" w:rsidP="00837913">
      <w:pPr>
        <w:keepNext/>
        <w:widowControl w:val="0"/>
        <w:rPr>
          <w:b/>
          <w:szCs w:val="22"/>
        </w:rPr>
      </w:pPr>
      <w:r w:rsidRPr="00440C66">
        <w:rPr>
          <w:b/>
          <w:noProof/>
          <w:szCs w:val="22"/>
        </w:rPr>
        <w:t>D.</w:t>
      </w:r>
      <w:r w:rsidRPr="00440C66">
        <w:rPr>
          <w:b/>
          <w:szCs w:val="22"/>
        </w:rPr>
        <w:tab/>
      </w:r>
      <w:r w:rsidRPr="00440C66">
        <w:rPr>
          <w:b/>
          <w:noProof/>
          <w:szCs w:val="22"/>
        </w:rPr>
        <w:t xml:space="preserve">WARUNKI </w:t>
      </w:r>
      <w:r w:rsidR="000B1E11">
        <w:rPr>
          <w:b/>
          <w:noProof/>
          <w:szCs w:val="22"/>
        </w:rPr>
        <w:t>LUB</w:t>
      </w:r>
      <w:r w:rsidRPr="00440C66">
        <w:rPr>
          <w:b/>
          <w:noProof/>
          <w:szCs w:val="22"/>
        </w:rPr>
        <w:t xml:space="preserve"> OGRANICZENIA DOTYCZĄCE BEZPIECZNEGO I SKUTECZNEGO STOSOWANIA PRODUKTU</w:t>
      </w:r>
      <w:r w:rsidRPr="00440C66">
        <w:rPr>
          <w:b/>
          <w:szCs w:val="22"/>
        </w:rPr>
        <w:t xml:space="preserve"> LECZNICZEGO</w:t>
      </w:r>
    </w:p>
    <w:p w14:paraId="33A371E1" w14:textId="77777777" w:rsidR="00016987" w:rsidRPr="00440C66" w:rsidRDefault="00016987" w:rsidP="00837913">
      <w:pPr>
        <w:keepNext/>
        <w:widowControl w:val="0"/>
        <w:ind w:right="-1"/>
        <w:rPr>
          <w:noProof/>
          <w:szCs w:val="22"/>
        </w:rPr>
      </w:pPr>
    </w:p>
    <w:p w14:paraId="20549164" w14:textId="77777777" w:rsidR="00090296" w:rsidRDefault="00016987" w:rsidP="00774EBD">
      <w:pPr>
        <w:keepNext/>
        <w:widowControl w:val="0"/>
        <w:numPr>
          <w:ilvl w:val="0"/>
          <w:numId w:val="10"/>
        </w:numPr>
        <w:tabs>
          <w:tab w:val="clear" w:pos="720"/>
          <w:tab w:val="num" w:pos="540"/>
          <w:tab w:val="left" w:pos="567"/>
        </w:tabs>
        <w:ind w:left="540" w:right="-1" w:hanging="540"/>
        <w:rPr>
          <w:noProof/>
          <w:szCs w:val="22"/>
        </w:rPr>
      </w:pPr>
      <w:r w:rsidRPr="00440C66">
        <w:rPr>
          <w:b/>
          <w:noProof/>
          <w:szCs w:val="22"/>
        </w:rPr>
        <w:t xml:space="preserve">Plan zarządzania ryzykiem (ang. </w:t>
      </w:r>
      <w:r w:rsidRPr="001C2341">
        <w:rPr>
          <w:b/>
          <w:szCs w:val="22"/>
        </w:rPr>
        <w:t>Risk Management Plan</w:t>
      </w:r>
      <w:r w:rsidRPr="001C2341">
        <w:rPr>
          <w:b/>
          <w:noProof/>
          <w:szCs w:val="22"/>
        </w:rPr>
        <w:t>,</w:t>
      </w:r>
      <w:r w:rsidRPr="00440C66">
        <w:rPr>
          <w:b/>
          <w:noProof/>
          <w:szCs w:val="22"/>
        </w:rPr>
        <w:t xml:space="preserve"> RMP)</w:t>
      </w:r>
    </w:p>
    <w:p w14:paraId="675A7C32" w14:textId="77777777" w:rsidR="00225AA3" w:rsidRPr="00440C66" w:rsidRDefault="00225AA3" w:rsidP="00837913">
      <w:pPr>
        <w:keepNext/>
        <w:widowControl w:val="0"/>
        <w:tabs>
          <w:tab w:val="left" w:pos="567"/>
        </w:tabs>
        <w:ind w:left="0" w:right="-1" w:firstLine="0"/>
        <w:rPr>
          <w:noProof/>
          <w:szCs w:val="22"/>
        </w:rPr>
      </w:pPr>
    </w:p>
    <w:p w14:paraId="155B8653" w14:textId="77777777" w:rsidR="00016987" w:rsidRPr="00440C66" w:rsidRDefault="00016987" w:rsidP="00837913">
      <w:pPr>
        <w:widowControl w:val="0"/>
        <w:ind w:left="0" w:right="-142" w:firstLine="0"/>
        <w:rPr>
          <w:szCs w:val="22"/>
        </w:rPr>
      </w:pPr>
      <w:r w:rsidRPr="00440C66">
        <w:rPr>
          <w:noProof/>
          <w:szCs w:val="22"/>
        </w:rPr>
        <w:t xml:space="preserve">Podmiot odpowiedzialny podejmie wymagane działania i interwencje </w:t>
      </w:r>
      <w:r w:rsidRPr="00440C66">
        <w:rPr>
          <w:szCs w:val="22"/>
        </w:rPr>
        <w:t xml:space="preserve">z zakresu nadzoru nad bezpieczeństwem farmakoterapii </w:t>
      </w:r>
      <w:r w:rsidRPr="00440C66">
        <w:rPr>
          <w:noProof/>
          <w:szCs w:val="22"/>
        </w:rPr>
        <w:t>wyszczególnione w RMP, przedstawionym w module 1.8.2 dokumentacji do pozwolenia na dopuszczenie do obrotu, i wszelkich jego kolejnych aktualizacjach.</w:t>
      </w:r>
    </w:p>
    <w:p w14:paraId="733CD0CD" w14:textId="77777777" w:rsidR="00016987" w:rsidRPr="00440C66" w:rsidRDefault="00016987" w:rsidP="00837913">
      <w:pPr>
        <w:widowControl w:val="0"/>
        <w:ind w:right="-1"/>
        <w:rPr>
          <w:szCs w:val="22"/>
        </w:rPr>
      </w:pPr>
    </w:p>
    <w:p w14:paraId="7F234094" w14:textId="77777777" w:rsidR="00016987" w:rsidRPr="00440C66" w:rsidRDefault="00016987" w:rsidP="00837913">
      <w:pPr>
        <w:widowControl w:val="0"/>
        <w:ind w:right="-1"/>
      </w:pPr>
      <w:r w:rsidRPr="00440C66">
        <w:t>Uaktualniony RMP należy przedstawiać:</w:t>
      </w:r>
    </w:p>
    <w:p w14:paraId="06717491" w14:textId="77777777" w:rsidR="00016987" w:rsidRPr="00440C66" w:rsidRDefault="00016987" w:rsidP="00837913">
      <w:pPr>
        <w:widowControl w:val="0"/>
        <w:numPr>
          <w:ilvl w:val="0"/>
          <w:numId w:val="10"/>
        </w:numPr>
        <w:tabs>
          <w:tab w:val="num" w:pos="540"/>
          <w:tab w:val="left" w:pos="567"/>
        </w:tabs>
        <w:ind w:left="567" w:hanging="567"/>
        <w:rPr>
          <w:noProof/>
          <w:szCs w:val="22"/>
        </w:rPr>
      </w:pPr>
      <w:r w:rsidRPr="00440C66">
        <w:rPr>
          <w:noProof/>
          <w:szCs w:val="22"/>
        </w:rPr>
        <w:lastRenderedPageBreak/>
        <w:t>na żądanie Europejskiej Agencji Leków;</w:t>
      </w:r>
    </w:p>
    <w:p w14:paraId="4BC436EA" w14:textId="0CD6066D" w:rsidR="008910B7" w:rsidRPr="00440C66" w:rsidRDefault="00016987" w:rsidP="00FC35A4">
      <w:pPr>
        <w:widowControl w:val="0"/>
        <w:numPr>
          <w:ilvl w:val="0"/>
          <w:numId w:val="10"/>
        </w:numPr>
        <w:tabs>
          <w:tab w:val="num" w:pos="540"/>
          <w:tab w:val="left" w:pos="567"/>
        </w:tabs>
        <w:ind w:left="567" w:hanging="567"/>
      </w:pPr>
      <w:r w:rsidRPr="00440C66">
        <w:rPr>
          <w:noProof/>
          <w:szCs w:val="22"/>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C6294E" w:rsidRPr="00440C66">
        <w:br w:type="page"/>
      </w:r>
    </w:p>
    <w:p w14:paraId="417B9A9B" w14:textId="77777777" w:rsidR="008910B7" w:rsidRPr="00440C66" w:rsidRDefault="008910B7" w:rsidP="004C760F">
      <w:pPr>
        <w:widowControl w:val="0"/>
      </w:pPr>
    </w:p>
    <w:p w14:paraId="3DE6FFDB" w14:textId="77777777" w:rsidR="008910B7" w:rsidRPr="00440C66" w:rsidRDefault="008910B7" w:rsidP="004C760F">
      <w:pPr>
        <w:widowControl w:val="0"/>
      </w:pPr>
    </w:p>
    <w:p w14:paraId="61F23C57" w14:textId="77777777" w:rsidR="008910B7" w:rsidRPr="00440C66" w:rsidRDefault="008910B7" w:rsidP="004C760F">
      <w:pPr>
        <w:widowControl w:val="0"/>
      </w:pPr>
    </w:p>
    <w:p w14:paraId="2501AFE5" w14:textId="77777777" w:rsidR="008910B7" w:rsidRPr="00440C66" w:rsidRDefault="008910B7" w:rsidP="004C760F">
      <w:pPr>
        <w:widowControl w:val="0"/>
      </w:pPr>
    </w:p>
    <w:p w14:paraId="4CC5B94F" w14:textId="77777777" w:rsidR="008910B7" w:rsidRPr="00440C66" w:rsidRDefault="008910B7" w:rsidP="004C760F">
      <w:pPr>
        <w:widowControl w:val="0"/>
      </w:pPr>
    </w:p>
    <w:p w14:paraId="5862F2B9" w14:textId="77777777" w:rsidR="008910B7" w:rsidRPr="00440C66" w:rsidRDefault="008910B7" w:rsidP="004C760F">
      <w:pPr>
        <w:widowControl w:val="0"/>
      </w:pPr>
    </w:p>
    <w:p w14:paraId="67069A0B" w14:textId="77777777" w:rsidR="008910B7" w:rsidRPr="00440C66" w:rsidRDefault="008910B7" w:rsidP="004C760F">
      <w:pPr>
        <w:widowControl w:val="0"/>
      </w:pPr>
    </w:p>
    <w:p w14:paraId="035074FC" w14:textId="77777777" w:rsidR="008910B7" w:rsidRPr="00440C66" w:rsidRDefault="008910B7" w:rsidP="004C760F">
      <w:pPr>
        <w:widowControl w:val="0"/>
      </w:pPr>
    </w:p>
    <w:p w14:paraId="40A4AAFC" w14:textId="77777777" w:rsidR="008910B7" w:rsidRPr="00440C66" w:rsidRDefault="008910B7" w:rsidP="004C760F">
      <w:pPr>
        <w:widowControl w:val="0"/>
      </w:pPr>
    </w:p>
    <w:p w14:paraId="08404B50" w14:textId="77777777" w:rsidR="008910B7" w:rsidRPr="00440C66" w:rsidRDefault="008910B7" w:rsidP="004C760F">
      <w:pPr>
        <w:widowControl w:val="0"/>
      </w:pPr>
    </w:p>
    <w:p w14:paraId="2595E44D" w14:textId="77777777" w:rsidR="008910B7" w:rsidRPr="00440C66" w:rsidRDefault="008910B7" w:rsidP="004C760F">
      <w:pPr>
        <w:widowControl w:val="0"/>
      </w:pPr>
    </w:p>
    <w:p w14:paraId="02642635" w14:textId="77777777" w:rsidR="008910B7" w:rsidRPr="00440C66" w:rsidRDefault="008910B7" w:rsidP="004C760F">
      <w:pPr>
        <w:widowControl w:val="0"/>
      </w:pPr>
    </w:p>
    <w:p w14:paraId="571A76A0" w14:textId="77777777" w:rsidR="008910B7" w:rsidRPr="00440C66" w:rsidRDefault="008910B7" w:rsidP="004C760F">
      <w:pPr>
        <w:widowControl w:val="0"/>
      </w:pPr>
    </w:p>
    <w:p w14:paraId="2D45BAE2" w14:textId="77777777" w:rsidR="008910B7" w:rsidRPr="00440C66" w:rsidRDefault="008910B7" w:rsidP="004C760F">
      <w:pPr>
        <w:widowControl w:val="0"/>
      </w:pPr>
    </w:p>
    <w:p w14:paraId="671F4A03" w14:textId="77777777" w:rsidR="008910B7" w:rsidRPr="00440C66" w:rsidRDefault="008910B7" w:rsidP="004C760F">
      <w:pPr>
        <w:widowControl w:val="0"/>
      </w:pPr>
    </w:p>
    <w:p w14:paraId="36675418" w14:textId="77777777" w:rsidR="008910B7" w:rsidRPr="00440C66" w:rsidRDefault="008910B7" w:rsidP="004C760F">
      <w:pPr>
        <w:widowControl w:val="0"/>
      </w:pPr>
    </w:p>
    <w:p w14:paraId="3511F1FD" w14:textId="77777777" w:rsidR="008910B7" w:rsidRDefault="008910B7" w:rsidP="004C760F">
      <w:pPr>
        <w:widowControl w:val="0"/>
      </w:pPr>
    </w:p>
    <w:p w14:paraId="0C7D4583" w14:textId="77777777" w:rsidR="00837913" w:rsidRPr="00440C66" w:rsidRDefault="00837913" w:rsidP="004C760F">
      <w:pPr>
        <w:widowControl w:val="0"/>
      </w:pPr>
    </w:p>
    <w:p w14:paraId="3CE07AD2" w14:textId="77777777" w:rsidR="008910B7" w:rsidRPr="00440C66" w:rsidRDefault="008910B7" w:rsidP="004C760F">
      <w:pPr>
        <w:widowControl w:val="0"/>
      </w:pPr>
    </w:p>
    <w:p w14:paraId="0AD4A807" w14:textId="77777777" w:rsidR="008910B7" w:rsidRPr="00440C66" w:rsidRDefault="008910B7" w:rsidP="004C760F">
      <w:pPr>
        <w:widowControl w:val="0"/>
      </w:pPr>
    </w:p>
    <w:p w14:paraId="1B3ED0F0" w14:textId="77777777" w:rsidR="008910B7" w:rsidRPr="00440C66" w:rsidRDefault="008910B7" w:rsidP="004C760F">
      <w:pPr>
        <w:widowControl w:val="0"/>
      </w:pPr>
    </w:p>
    <w:p w14:paraId="53E24A19" w14:textId="77777777" w:rsidR="008910B7" w:rsidRPr="00440C66" w:rsidRDefault="008910B7" w:rsidP="004C760F">
      <w:pPr>
        <w:widowControl w:val="0"/>
      </w:pPr>
    </w:p>
    <w:p w14:paraId="2B4182CA" w14:textId="77777777" w:rsidR="008910B7" w:rsidRPr="00440C66" w:rsidRDefault="008910B7" w:rsidP="004C760F">
      <w:pPr>
        <w:widowControl w:val="0"/>
      </w:pPr>
    </w:p>
    <w:p w14:paraId="0B4353D5" w14:textId="77777777" w:rsidR="008910B7" w:rsidRPr="00440C66" w:rsidRDefault="008910B7" w:rsidP="004C760F">
      <w:pPr>
        <w:widowControl w:val="0"/>
        <w:jc w:val="center"/>
        <w:outlineLvl w:val="0"/>
        <w:rPr>
          <w:b/>
        </w:rPr>
      </w:pPr>
      <w:r w:rsidRPr="00440C66">
        <w:rPr>
          <w:b/>
        </w:rPr>
        <w:t>ANEKS III</w:t>
      </w:r>
    </w:p>
    <w:p w14:paraId="30F3BAB1" w14:textId="77777777" w:rsidR="008910B7" w:rsidRPr="00440C66" w:rsidRDefault="008910B7" w:rsidP="004C760F">
      <w:pPr>
        <w:widowControl w:val="0"/>
        <w:jc w:val="center"/>
      </w:pPr>
    </w:p>
    <w:p w14:paraId="114DE781" w14:textId="77777777" w:rsidR="008910B7" w:rsidRPr="00440C66" w:rsidRDefault="008910B7" w:rsidP="004C760F">
      <w:pPr>
        <w:widowControl w:val="0"/>
        <w:jc w:val="center"/>
        <w:outlineLvl w:val="0"/>
        <w:rPr>
          <w:b/>
        </w:rPr>
      </w:pPr>
      <w:r w:rsidRPr="00440C66">
        <w:rPr>
          <w:b/>
        </w:rPr>
        <w:t>OZNAKOWANIE OPAKOWAŃ I ULOTKA DLA PACJENTA</w:t>
      </w:r>
    </w:p>
    <w:p w14:paraId="74B6F31D" w14:textId="77777777" w:rsidR="008910B7" w:rsidRPr="00440C66" w:rsidRDefault="008910B7" w:rsidP="004C760F">
      <w:pPr>
        <w:widowControl w:val="0"/>
      </w:pPr>
      <w:r w:rsidRPr="00440C66">
        <w:br w:type="page"/>
      </w:r>
    </w:p>
    <w:p w14:paraId="299982AB" w14:textId="77777777" w:rsidR="008910B7" w:rsidRPr="00440C66" w:rsidRDefault="008910B7" w:rsidP="004C760F">
      <w:pPr>
        <w:widowControl w:val="0"/>
      </w:pPr>
    </w:p>
    <w:p w14:paraId="01369997" w14:textId="77777777" w:rsidR="008910B7" w:rsidRPr="00440C66" w:rsidRDefault="008910B7" w:rsidP="004C760F">
      <w:pPr>
        <w:widowControl w:val="0"/>
      </w:pPr>
    </w:p>
    <w:p w14:paraId="26AEE390" w14:textId="77777777" w:rsidR="008910B7" w:rsidRPr="00440C66" w:rsidRDefault="008910B7" w:rsidP="004C760F">
      <w:pPr>
        <w:widowControl w:val="0"/>
      </w:pPr>
    </w:p>
    <w:p w14:paraId="1E5CDD83" w14:textId="77777777" w:rsidR="008910B7" w:rsidRPr="00440C66" w:rsidRDefault="008910B7" w:rsidP="004C760F">
      <w:pPr>
        <w:widowControl w:val="0"/>
      </w:pPr>
    </w:p>
    <w:p w14:paraId="6BAAB388" w14:textId="77777777" w:rsidR="008910B7" w:rsidRPr="00440C66" w:rsidRDefault="008910B7" w:rsidP="004C760F">
      <w:pPr>
        <w:widowControl w:val="0"/>
      </w:pPr>
    </w:p>
    <w:p w14:paraId="0EB64ECD" w14:textId="77777777" w:rsidR="008910B7" w:rsidRPr="00440C66" w:rsidRDefault="008910B7" w:rsidP="004C760F">
      <w:pPr>
        <w:widowControl w:val="0"/>
      </w:pPr>
    </w:p>
    <w:p w14:paraId="02F9B703" w14:textId="77777777" w:rsidR="008910B7" w:rsidRPr="00440C66" w:rsidRDefault="008910B7" w:rsidP="004C760F">
      <w:pPr>
        <w:widowControl w:val="0"/>
      </w:pPr>
    </w:p>
    <w:p w14:paraId="40EEABD5" w14:textId="77777777" w:rsidR="008910B7" w:rsidRPr="00440C66" w:rsidRDefault="008910B7" w:rsidP="004C760F">
      <w:pPr>
        <w:widowControl w:val="0"/>
      </w:pPr>
    </w:p>
    <w:p w14:paraId="1F42D7A2" w14:textId="77777777" w:rsidR="008910B7" w:rsidRDefault="008910B7" w:rsidP="004C760F">
      <w:pPr>
        <w:widowControl w:val="0"/>
      </w:pPr>
    </w:p>
    <w:p w14:paraId="625736BE" w14:textId="77777777" w:rsidR="00837913" w:rsidRPr="00440C66" w:rsidRDefault="00837913" w:rsidP="004C760F">
      <w:pPr>
        <w:widowControl w:val="0"/>
      </w:pPr>
    </w:p>
    <w:p w14:paraId="46DC0F82" w14:textId="77777777" w:rsidR="008910B7" w:rsidRPr="00440C66" w:rsidRDefault="008910B7" w:rsidP="004C760F">
      <w:pPr>
        <w:widowControl w:val="0"/>
      </w:pPr>
    </w:p>
    <w:p w14:paraId="034BCB11" w14:textId="77777777" w:rsidR="008910B7" w:rsidRPr="00440C66" w:rsidRDefault="008910B7" w:rsidP="004C760F">
      <w:pPr>
        <w:widowControl w:val="0"/>
      </w:pPr>
    </w:p>
    <w:p w14:paraId="0DBA00AE" w14:textId="77777777" w:rsidR="008910B7" w:rsidRPr="00440C66" w:rsidRDefault="008910B7" w:rsidP="004C760F">
      <w:pPr>
        <w:widowControl w:val="0"/>
      </w:pPr>
    </w:p>
    <w:p w14:paraId="33B8BADA" w14:textId="77777777" w:rsidR="008910B7" w:rsidRPr="00440C66" w:rsidRDefault="008910B7" w:rsidP="004C760F">
      <w:pPr>
        <w:widowControl w:val="0"/>
      </w:pPr>
    </w:p>
    <w:p w14:paraId="50E50B0C" w14:textId="77777777" w:rsidR="008910B7" w:rsidRPr="00440C66" w:rsidRDefault="008910B7" w:rsidP="004C760F">
      <w:pPr>
        <w:widowControl w:val="0"/>
      </w:pPr>
    </w:p>
    <w:p w14:paraId="7DE59AA1" w14:textId="77777777" w:rsidR="008910B7" w:rsidRPr="00440C66" w:rsidRDefault="008910B7" w:rsidP="004C760F">
      <w:pPr>
        <w:widowControl w:val="0"/>
      </w:pPr>
    </w:p>
    <w:p w14:paraId="6C6A196F" w14:textId="77777777" w:rsidR="008910B7" w:rsidRPr="00440C66" w:rsidRDefault="008910B7" w:rsidP="004C760F">
      <w:pPr>
        <w:widowControl w:val="0"/>
      </w:pPr>
    </w:p>
    <w:p w14:paraId="3D5E9669" w14:textId="77777777" w:rsidR="008910B7" w:rsidRPr="00440C66" w:rsidRDefault="008910B7" w:rsidP="004C760F">
      <w:pPr>
        <w:widowControl w:val="0"/>
      </w:pPr>
    </w:p>
    <w:p w14:paraId="70BD00F3" w14:textId="77777777" w:rsidR="008910B7" w:rsidRPr="00440C66" w:rsidRDefault="008910B7" w:rsidP="004C760F">
      <w:pPr>
        <w:widowControl w:val="0"/>
      </w:pPr>
    </w:p>
    <w:p w14:paraId="1DDA5D12" w14:textId="77777777" w:rsidR="008910B7" w:rsidRPr="00440C66" w:rsidRDefault="008910B7" w:rsidP="004C760F">
      <w:pPr>
        <w:widowControl w:val="0"/>
      </w:pPr>
    </w:p>
    <w:p w14:paraId="5D313981" w14:textId="77777777" w:rsidR="008910B7" w:rsidRPr="00440C66" w:rsidRDefault="008910B7" w:rsidP="004C760F">
      <w:pPr>
        <w:widowControl w:val="0"/>
      </w:pPr>
    </w:p>
    <w:p w14:paraId="4477EC05" w14:textId="77777777" w:rsidR="008910B7" w:rsidRPr="00440C66" w:rsidRDefault="008910B7" w:rsidP="004C760F">
      <w:pPr>
        <w:widowControl w:val="0"/>
      </w:pPr>
    </w:p>
    <w:p w14:paraId="47A653B5" w14:textId="77777777" w:rsidR="008910B7" w:rsidRPr="00440C66" w:rsidRDefault="008910B7" w:rsidP="004C760F">
      <w:pPr>
        <w:widowControl w:val="0"/>
      </w:pPr>
    </w:p>
    <w:p w14:paraId="52E62311" w14:textId="77777777" w:rsidR="008910B7" w:rsidRPr="00440C66" w:rsidRDefault="008910B7" w:rsidP="004C760F">
      <w:pPr>
        <w:widowControl w:val="0"/>
        <w:jc w:val="center"/>
        <w:outlineLvl w:val="0"/>
      </w:pPr>
      <w:r w:rsidRPr="00440C66">
        <w:rPr>
          <w:b/>
        </w:rPr>
        <w:t>A. OZNAKOWANIE OPAKOWAŃ</w:t>
      </w:r>
    </w:p>
    <w:p w14:paraId="61DC149F" w14:textId="77777777" w:rsidR="008910B7" w:rsidRDefault="008910B7" w:rsidP="004C760F">
      <w:pPr>
        <w:widowControl w:val="0"/>
        <w:shd w:val="clear" w:color="auto" w:fill="FFFFFF"/>
      </w:pPr>
      <w:r w:rsidRPr="00440C66">
        <w:br w:type="page"/>
      </w:r>
    </w:p>
    <w:p w14:paraId="2840F543"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rPr>
          <w:b/>
        </w:rPr>
      </w:pPr>
      <w:r w:rsidRPr="00440C66">
        <w:rPr>
          <w:b/>
        </w:rPr>
        <w:lastRenderedPageBreak/>
        <w:t>INFORMACJE ZAMIESZCZANE NA OPAKOWANIACH ZEWNĘTRZNYCH</w:t>
      </w:r>
    </w:p>
    <w:p w14:paraId="5F0DD5F8"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rPr>
          <w:bCs/>
        </w:rPr>
      </w:pPr>
    </w:p>
    <w:p w14:paraId="30D661A3" w14:textId="09C137D4" w:rsidR="008910B7" w:rsidRPr="00440C66" w:rsidRDefault="00120D57" w:rsidP="004C760F">
      <w:pPr>
        <w:widowControl w:val="0"/>
        <w:pBdr>
          <w:top w:val="single" w:sz="4" w:space="1" w:color="auto"/>
          <w:left w:val="single" w:sz="4" w:space="4" w:color="auto"/>
          <w:bottom w:val="single" w:sz="4" w:space="1" w:color="auto"/>
          <w:right w:val="single" w:sz="4" w:space="4" w:color="auto"/>
        </w:pBdr>
        <w:rPr>
          <w:b/>
          <w:bCs/>
        </w:rPr>
      </w:pPr>
      <w:r>
        <w:rPr>
          <w:b/>
          <w:bCs/>
        </w:rPr>
        <w:t xml:space="preserve">TEKTUROWE </w:t>
      </w:r>
      <w:r w:rsidR="008910B7" w:rsidRPr="00440C66">
        <w:rPr>
          <w:b/>
          <w:bCs/>
        </w:rPr>
        <w:t xml:space="preserve">PUDEŁKO </w:t>
      </w:r>
      <w:r>
        <w:rPr>
          <w:b/>
          <w:bCs/>
        </w:rPr>
        <w:t>ZEWNĘTRZNE</w:t>
      </w:r>
    </w:p>
    <w:p w14:paraId="2B6C7C30" w14:textId="77777777" w:rsidR="008910B7" w:rsidRPr="00440C66" w:rsidRDefault="008910B7" w:rsidP="004C760F">
      <w:pPr>
        <w:widowControl w:val="0"/>
      </w:pPr>
    </w:p>
    <w:p w14:paraId="7BE50C55" w14:textId="77777777" w:rsidR="008910B7" w:rsidRPr="00440C66" w:rsidRDefault="008910B7" w:rsidP="004C760F">
      <w:pPr>
        <w:widowControl w:val="0"/>
      </w:pPr>
    </w:p>
    <w:p w14:paraId="1D172359"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1.</w:t>
      </w:r>
      <w:r w:rsidRPr="00440C66">
        <w:rPr>
          <w:b/>
        </w:rPr>
        <w:tab/>
      </w:r>
      <w:r w:rsidRPr="00440C66">
        <w:rPr>
          <w:b/>
          <w:lang w:eastAsia="en-US"/>
        </w:rPr>
        <w:t>NAZWA PRODUKTU LECZNICZEGO</w:t>
      </w:r>
    </w:p>
    <w:p w14:paraId="1BB3DA96" w14:textId="77777777" w:rsidR="008910B7" w:rsidRPr="00440C66" w:rsidRDefault="008910B7" w:rsidP="004C760F">
      <w:pPr>
        <w:widowControl w:val="0"/>
      </w:pPr>
    </w:p>
    <w:p w14:paraId="5DD56A62" w14:textId="54876448" w:rsidR="008910B7" w:rsidRPr="00FC35A4" w:rsidRDefault="003C72B4" w:rsidP="004C760F">
      <w:pPr>
        <w:widowControl w:val="0"/>
        <w:rPr>
          <w:lang w:val="en-GB"/>
        </w:rPr>
      </w:pPr>
      <w:r>
        <w:rPr>
          <w:lang w:val="en-GB"/>
        </w:rPr>
        <w:t>Vildagliptin/Metformin hydrochloride Accord</w:t>
      </w:r>
      <w:r w:rsidR="008910B7" w:rsidRPr="00FC35A4">
        <w:rPr>
          <w:lang w:val="en-GB"/>
        </w:rPr>
        <w:t xml:space="preserve"> 50 mg/850 mg </w:t>
      </w:r>
      <w:proofErr w:type="spellStart"/>
      <w:r w:rsidR="008910B7" w:rsidRPr="00FC35A4">
        <w:rPr>
          <w:lang w:val="en-GB"/>
        </w:rPr>
        <w:t>tabletki</w:t>
      </w:r>
      <w:proofErr w:type="spellEnd"/>
      <w:r w:rsidR="008910B7" w:rsidRPr="00FC35A4">
        <w:rPr>
          <w:lang w:val="en-GB"/>
        </w:rPr>
        <w:t xml:space="preserve"> </w:t>
      </w:r>
      <w:proofErr w:type="spellStart"/>
      <w:r w:rsidR="008910B7" w:rsidRPr="00FC35A4">
        <w:rPr>
          <w:lang w:val="en-GB"/>
        </w:rPr>
        <w:t>powlekane</w:t>
      </w:r>
      <w:proofErr w:type="spellEnd"/>
    </w:p>
    <w:p w14:paraId="5F5F0CCA" w14:textId="77777777" w:rsidR="008910B7" w:rsidRPr="00440C66" w:rsidRDefault="008910B7" w:rsidP="004C760F">
      <w:pPr>
        <w:widowControl w:val="0"/>
      </w:pPr>
      <w:r w:rsidRPr="00440C66">
        <w:t>wildagliptyna/metformin</w:t>
      </w:r>
      <w:r w:rsidR="001644B0" w:rsidRPr="00440C66">
        <w:t>y</w:t>
      </w:r>
      <w:r w:rsidR="009C62D7" w:rsidRPr="00440C66">
        <w:t xml:space="preserve"> chlorowodorek</w:t>
      </w:r>
    </w:p>
    <w:p w14:paraId="5C7A7D65" w14:textId="77777777" w:rsidR="008910B7" w:rsidRPr="00440C66" w:rsidRDefault="008910B7" w:rsidP="004C760F">
      <w:pPr>
        <w:widowControl w:val="0"/>
      </w:pPr>
    </w:p>
    <w:p w14:paraId="622967A0" w14:textId="77777777" w:rsidR="008910B7" w:rsidRPr="00440C66" w:rsidRDefault="008910B7" w:rsidP="004C760F">
      <w:pPr>
        <w:widowControl w:val="0"/>
      </w:pPr>
    </w:p>
    <w:p w14:paraId="69796074"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2.</w:t>
      </w:r>
      <w:r w:rsidRPr="00440C66">
        <w:rPr>
          <w:b/>
        </w:rPr>
        <w:tab/>
      </w:r>
      <w:r w:rsidRPr="00440C66">
        <w:rPr>
          <w:b/>
          <w:lang w:eastAsia="en-US"/>
        </w:rPr>
        <w:t>ZAWARTOŚĆ SUBSTANCJI CZYNNYCH</w:t>
      </w:r>
    </w:p>
    <w:p w14:paraId="70764197" w14:textId="77777777" w:rsidR="008910B7" w:rsidRPr="00440C66" w:rsidRDefault="008910B7" w:rsidP="004C760F">
      <w:pPr>
        <w:widowControl w:val="0"/>
      </w:pPr>
    </w:p>
    <w:p w14:paraId="03BF3CF0" w14:textId="77777777" w:rsidR="008910B7" w:rsidRPr="00440C66" w:rsidRDefault="008910B7" w:rsidP="004C760F">
      <w:pPr>
        <w:widowControl w:val="0"/>
        <w:ind w:left="0" w:firstLine="0"/>
      </w:pPr>
      <w:r w:rsidRPr="00440C66">
        <w:t>Każda tabletka zawiera 50 mg wildagliptyny i 850 mg metforminy</w:t>
      </w:r>
      <w:r w:rsidR="00BF1C35" w:rsidRPr="00440C66">
        <w:t xml:space="preserve"> chlorowodorku</w:t>
      </w:r>
      <w:r w:rsidR="001644B0" w:rsidRPr="00440C66">
        <w:t xml:space="preserve"> (co odpowiada 660 mg metforminy)</w:t>
      </w:r>
      <w:r w:rsidRPr="00440C66">
        <w:t>.</w:t>
      </w:r>
    </w:p>
    <w:p w14:paraId="5A91790F" w14:textId="77777777" w:rsidR="008910B7" w:rsidRPr="00440C66" w:rsidRDefault="008910B7" w:rsidP="004C760F">
      <w:pPr>
        <w:widowControl w:val="0"/>
      </w:pPr>
    </w:p>
    <w:p w14:paraId="19DE254B" w14:textId="77777777" w:rsidR="008910B7" w:rsidRPr="00440C66" w:rsidRDefault="008910B7" w:rsidP="004C760F">
      <w:pPr>
        <w:widowControl w:val="0"/>
      </w:pPr>
    </w:p>
    <w:p w14:paraId="7A4976D9"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3.</w:t>
      </w:r>
      <w:r w:rsidRPr="00440C66">
        <w:rPr>
          <w:b/>
        </w:rPr>
        <w:tab/>
      </w:r>
      <w:r w:rsidR="00092D2D" w:rsidRPr="00440C66">
        <w:rPr>
          <w:b/>
          <w:lang w:eastAsia="en-US"/>
        </w:rPr>
        <w:t>WYKAZ SUBSTANCJI POMOCNICZYCH</w:t>
      </w:r>
    </w:p>
    <w:p w14:paraId="0289599F" w14:textId="77777777" w:rsidR="00B504FB" w:rsidRPr="00440C66" w:rsidRDefault="00B504FB" w:rsidP="00FC35A4">
      <w:pPr>
        <w:widowControl w:val="0"/>
        <w:ind w:left="0" w:firstLine="0"/>
      </w:pPr>
    </w:p>
    <w:p w14:paraId="062F814C" w14:textId="77777777" w:rsidR="008910B7" w:rsidRPr="00440C66" w:rsidRDefault="008910B7" w:rsidP="004C760F">
      <w:pPr>
        <w:widowControl w:val="0"/>
      </w:pPr>
    </w:p>
    <w:p w14:paraId="67800577"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4.</w:t>
      </w:r>
      <w:r w:rsidRPr="00440C66">
        <w:rPr>
          <w:b/>
        </w:rPr>
        <w:tab/>
      </w:r>
      <w:r w:rsidR="00092D2D" w:rsidRPr="00440C66">
        <w:rPr>
          <w:b/>
          <w:lang w:eastAsia="en-US"/>
        </w:rPr>
        <w:t>POSTAĆ FARMACEUTYCZNA I ZAWARTOŚĆ OPAKOWANIA</w:t>
      </w:r>
    </w:p>
    <w:p w14:paraId="355EA3A9" w14:textId="77777777" w:rsidR="008910B7" w:rsidRDefault="008910B7" w:rsidP="004C760F">
      <w:pPr>
        <w:widowControl w:val="0"/>
      </w:pPr>
    </w:p>
    <w:p w14:paraId="122A6A56" w14:textId="77777777" w:rsidR="00822CCF" w:rsidRPr="008C5989" w:rsidRDefault="00822CCF" w:rsidP="00822CCF">
      <w:pPr>
        <w:widowControl w:val="0"/>
        <w:rPr>
          <w:shd w:val="pct15" w:color="auto" w:fill="auto"/>
        </w:rPr>
      </w:pPr>
      <w:r w:rsidRPr="008C5989">
        <w:rPr>
          <w:shd w:val="pct15" w:color="auto" w:fill="auto"/>
        </w:rPr>
        <w:t>Tabletka powlekana</w:t>
      </w:r>
    </w:p>
    <w:p w14:paraId="003E0D42" w14:textId="77777777" w:rsidR="00822CCF" w:rsidRPr="00440C66" w:rsidRDefault="00822CCF" w:rsidP="00822CCF">
      <w:pPr>
        <w:widowControl w:val="0"/>
      </w:pPr>
    </w:p>
    <w:p w14:paraId="678F504D" w14:textId="73C0D63B" w:rsidR="00822CCF" w:rsidRPr="00440C66" w:rsidRDefault="00822CCF" w:rsidP="00822CCF">
      <w:pPr>
        <w:widowControl w:val="0"/>
      </w:pPr>
      <w:r>
        <w:t>3</w:t>
      </w:r>
      <w:r w:rsidRPr="00440C66">
        <w:t>0 tabletek powlekanych</w:t>
      </w:r>
    </w:p>
    <w:p w14:paraId="61BF968E" w14:textId="3B834CC7" w:rsidR="00822CCF" w:rsidRDefault="00822CCF" w:rsidP="00822CCF">
      <w:pPr>
        <w:widowControl w:val="0"/>
        <w:rPr>
          <w:shd w:val="clear" w:color="auto" w:fill="D9D9D9"/>
        </w:rPr>
      </w:pPr>
      <w:r w:rsidRPr="00440C66">
        <w:rPr>
          <w:shd w:val="clear" w:color="auto" w:fill="D9D9D9"/>
        </w:rPr>
        <w:t>60 tabletek powlekanych</w:t>
      </w:r>
    </w:p>
    <w:p w14:paraId="37254DD4" w14:textId="7A525683" w:rsidR="005F4D8E" w:rsidRPr="00440C66" w:rsidRDefault="005F4D8E" w:rsidP="00822CCF">
      <w:pPr>
        <w:widowControl w:val="0"/>
      </w:pPr>
      <w:r w:rsidRPr="005F4D8E">
        <w:rPr>
          <w:highlight w:val="lightGray"/>
          <w:shd w:val="clear" w:color="auto" w:fill="D9D9D9"/>
        </w:rPr>
        <w:t>180 tabletek powlekanych</w:t>
      </w:r>
    </w:p>
    <w:p w14:paraId="726AD327" w14:textId="77777777" w:rsidR="008910B7" w:rsidRPr="00440C66" w:rsidRDefault="008910B7" w:rsidP="004C760F">
      <w:pPr>
        <w:widowControl w:val="0"/>
      </w:pPr>
    </w:p>
    <w:p w14:paraId="07337808" w14:textId="77777777" w:rsidR="008910B7" w:rsidRPr="00440C66" w:rsidRDefault="008910B7" w:rsidP="004C760F">
      <w:pPr>
        <w:widowControl w:val="0"/>
      </w:pPr>
    </w:p>
    <w:p w14:paraId="5C907DEE"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5.</w:t>
      </w:r>
      <w:r w:rsidRPr="00440C66">
        <w:rPr>
          <w:b/>
        </w:rPr>
        <w:tab/>
      </w:r>
      <w:r w:rsidR="00092D2D" w:rsidRPr="00440C66">
        <w:rPr>
          <w:b/>
          <w:lang w:eastAsia="en-US"/>
        </w:rPr>
        <w:t>SPOSÓB I DROGA PODANIA</w:t>
      </w:r>
    </w:p>
    <w:p w14:paraId="2E3C080D" w14:textId="77777777" w:rsidR="008910B7" w:rsidRPr="00440C66" w:rsidRDefault="008910B7" w:rsidP="004C760F">
      <w:pPr>
        <w:widowControl w:val="0"/>
        <w:rPr>
          <w:i/>
        </w:rPr>
      </w:pPr>
    </w:p>
    <w:p w14:paraId="1D298E83" w14:textId="77777777" w:rsidR="00822CCF" w:rsidRPr="00440C66" w:rsidRDefault="00822CCF" w:rsidP="00822CCF">
      <w:pPr>
        <w:widowControl w:val="0"/>
      </w:pPr>
      <w:r w:rsidRPr="00440C66">
        <w:t>Podanie doustne</w:t>
      </w:r>
    </w:p>
    <w:p w14:paraId="500DA679" w14:textId="77777777" w:rsidR="008910B7" w:rsidRPr="00440C66" w:rsidRDefault="00092D2D" w:rsidP="004C760F">
      <w:pPr>
        <w:widowControl w:val="0"/>
      </w:pPr>
      <w:r w:rsidRPr="00440C66">
        <w:t>Należy zapoznać się z treścią ulotki przed zastosowaniem leku</w:t>
      </w:r>
      <w:r w:rsidR="008910B7" w:rsidRPr="00440C66">
        <w:t>.</w:t>
      </w:r>
    </w:p>
    <w:p w14:paraId="5A9FDE7E" w14:textId="77777777" w:rsidR="008910B7" w:rsidRPr="00440C66" w:rsidRDefault="008910B7" w:rsidP="004C760F">
      <w:pPr>
        <w:widowControl w:val="0"/>
      </w:pPr>
    </w:p>
    <w:p w14:paraId="42275C4B" w14:textId="77777777" w:rsidR="008910B7" w:rsidRPr="00440C66" w:rsidRDefault="008910B7" w:rsidP="004C760F">
      <w:pPr>
        <w:widowControl w:val="0"/>
      </w:pPr>
    </w:p>
    <w:p w14:paraId="7B0C7EE3"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6.</w:t>
      </w:r>
      <w:r w:rsidRPr="00440C66">
        <w:rPr>
          <w:b/>
        </w:rPr>
        <w:tab/>
      </w:r>
      <w:r w:rsidR="00092D2D" w:rsidRPr="00440C66">
        <w:rPr>
          <w:b/>
          <w:lang w:eastAsia="en-US"/>
        </w:rPr>
        <w:t xml:space="preserve">OSTRZEŻENIE DOTYCZĄCE PRZECHOWYWANIA PRODUKTU LECZNICZEGO W MIEJSCU </w:t>
      </w:r>
      <w:r w:rsidR="00324E50" w:rsidRPr="00440C66">
        <w:rPr>
          <w:b/>
          <w:lang w:eastAsia="en-US"/>
        </w:rPr>
        <w:t xml:space="preserve">NIEWIDOCZNYM I </w:t>
      </w:r>
      <w:r w:rsidR="00092D2D" w:rsidRPr="00440C66">
        <w:rPr>
          <w:b/>
          <w:lang w:eastAsia="en-US"/>
        </w:rPr>
        <w:t>NIEDOSTĘPNYM</w:t>
      </w:r>
      <w:r w:rsidR="00092D2D" w:rsidRPr="00440C66">
        <w:rPr>
          <w:b/>
        </w:rPr>
        <w:t xml:space="preserve"> DLA DZIECI</w:t>
      </w:r>
    </w:p>
    <w:p w14:paraId="296CBBE8" w14:textId="77777777" w:rsidR="008910B7" w:rsidRPr="00440C66" w:rsidRDefault="008910B7" w:rsidP="004C760F">
      <w:pPr>
        <w:widowControl w:val="0"/>
      </w:pPr>
    </w:p>
    <w:p w14:paraId="4B718D6B" w14:textId="77777777" w:rsidR="008910B7" w:rsidRPr="00440C66" w:rsidRDefault="00092D2D" w:rsidP="004C760F">
      <w:pPr>
        <w:widowControl w:val="0"/>
        <w:outlineLvl w:val="0"/>
      </w:pPr>
      <w:r w:rsidRPr="00440C66">
        <w:t xml:space="preserve">Lek przechowywać w miejscu </w:t>
      </w:r>
      <w:r w:rsidR="00324E50" w:rsidRPr="00440C66">
        <w:t xml:space="preserve">niewidocznym i </w:t>
      </w:r>
      <w:r w:rsidRPr="00440C66">
        <w:t>niedostępnym dla dzieci</w:t>
      </w:r>
      <w:r w:rsidR="008910B7" w:rsidRPr="00440C66">
        <w:t>.</w:t>
      </w:r>
    </w:p>
    <w:p w14:paraId="5E4B2F6A" w14:textId="77777777" w:rsidR="008910B7" w:rsidRPr="00440C66" w:rsidRDefault="008910B7" w:rsidP="004C760F">
      <w:pPr>
        <w:widowControl w:val="0"/>
      </w:pPr>
    </w:p>
    <w:p w14:paraId="0566E4C8" w14:textId="77777777" w:rsidR="008910B7" w:rsidRPr="00440C66" w:rsidRDefault="008910B7" w:rsidP="004C760F">
      <w:pPr>
        <w:widowControl w:val="0"/>
      </w:pPr>
    </w:p>
    <w:p w14:paraId="57637604"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7.</w:t>
      </w:r>
      <w:r w:rsidRPr="00440C66">
        <w:rPr>
          <w:b/>
        </w:rPr>
        <w:tab/>
      </w:r>
      <w:r w:rsidR="00092D2D" w:rsidRPr="00440C66">
        <w:rPr>
          <w:b/>
        </w:rPr>
        <w:t>INNE OSTRZEŻENIA SPECJALNE, JEŚLI KONIECZNE</w:t>
      </w:r>
    </w:p>
    <w:p w14:paraId="326C7B5A" w14:textId="77777777" w:rsidR="00B504FB" w:rsidRPr="00440C66" w:rsidRDefault="00B504FB" w:rsidP="000D06B9">
      <w:pPr>
        <w:widowControl w:val="0"/>
        <w:ind w:left="0" w:firstLine="0"/>
      </w:pPr>
    </w:p>
    <w:p w14:paraId="04C96A55" w14:textId="77777777" w:rsidR="008910B7" w:rsidRPr="00440C66" w:rsidRDefault="008910B7" w:rsidP="004C760F">
      <w:pPr>
        <w:widowControl w:val="0"/>
      </w:pPr>
    </w:p>
    <w:p w14:paraId="3E0100E4"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8.</w:t>
      </w:r>
      <w:r w:rsidRPr="00440C66">
        <w:rPr>
          <w:b/>
        </w:rPr>
        <w:tab/>
      </w:r>
      <w:r w:rsidR="00092D2D" w:rsidRPr="00440C66">
        <w:rPr>
          <w:b/>
        </w:rPr>
        <w:t>TERMIN WAŻNOŚCI</w:t>
      </w:r>
    </w:p>
    <w:p w14:paraId="478C05A4" w14:textId="77777777" w:rsidR="008910B7" w:rsidRPr="00440C66" w:rsidRDefault="008910B7" w:rsidP="004C760F">
      <w:pPr>
        <w:widowControl w:val="0"/>
      </w:pPr>
    </w:p>
    <w:p w14:paraId="61C1441C" w14:textId="77777777" w:rsidR="008910B7" w:rsidRPr="00440C66" w:rsidRDefault="00092D2D" w:rsidP="004C760F">
      <w:pPr>
        <w:widowControl w:val="0"/>
      </w:pPr>
      <w:r w:rsidRPr="00440C66">
        <w:t>Termin ważności (EXP)</w:t>
      </w:r>
    </w:p>
    <w:p w14:paraId="4E5ED6B7" w14:textId="77777777" w:rsidR="00092D2D" w:rsidRPr="00440C66" w:rsidRDefault="00092D2D" w:rsidP="004C760F">
      <w:pPr>
        <w:widowControl w:val="0"/>
      </w:pPr>
    </w:p>
    <w:p w14:paraId="275FFD94" w14:textId="77777777" w:rsidR="008910B7" w:rsidRPr="00440C66" w:rsidRDefault="008910B7" w:rsidP="004C760F">
      <w:pPr>
        <w:widowControl w:val="0"/>
      </w:pPr>
    </w:p>
    <w:p w14:paraId="288FDB1A" w14:textId="77777777" w:rsidR="008910B7" w:rsidRPr="00440C66" w:rsidRDefault="008910B7" w:rsidP="004C760F">
      <w:pPr>
        <w:keepNext/>
        <w:keepLines/>
        <w:widowControl w:val="0"/>
        <w:pBdr>
          <w:top w:val="single" w:sz="4" w:space="1" w:color="auto"/>
          <w:left w:val="single" w:sz="4" w:space="4" w:color="auto"/>
          <w:bottom w:val="single" w:sz="4" w:space="1" w:color="auto"/>
          <w:right w:val="single" w:sz="4" w:space="4" w:color="auto"/>
        </w:pBdr>
        <w:outlineLvl w:val="0"/>
      </w:pPr>
      <w:r w:rsidRPr="00440C66">
        <w:rPr>
          <w:b/>
        </w:rPr>
        <w:t>9.</w:t>
      </w:r>
      <w:r w:rsidRPr="00440C66">
        <w:rPr>
          <w:b/>
        </w:rPr>
        <w:tab/>
      </w:r>
      <w:r w:rsidR="00092D2D" w:rsidRPr="00440C66">
        <w:rPr>
          <w:b/>
        </w:rPr>
        <w:t>WARUNKI PRZECHOWYWANIA</w:t>
      </w:r>
    </w:p>
    <w:p w14:paraId="44E8BB51" w14:textId="77777777" w:rsidR="000C6167" w:rsidRDefault="000C6167" w:rsidP="00FC35A4">
      <w:pPr>
        <w:widowControl w:val="0"/>
        <w:ind w:left="0" w:firstLine="0"/>
        <w:rPr>
          <w:iCs/>
        </w:rPr>
      </w:pPr>
    </w:p>
    <w:p w14:paraId="5904865A" w14:textId="77777777" w:rsidR="008910B7" w:rsidRPr="00440C66" w:rsidRDefault="008910B7" w:rsidP="00FC35A4">
      <w:pPr>
        <w:widowControl w:val="0"/>
        <w:ind w:left="0" w:firstLine="0"/>
      </w:pPr>
    </w:p>
    <w:p w14:paraId="1DA30B0E"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10.</w:t>
      </w:r>
      <w:r w:rsidRPr="00440C66">
        <w:rPr>
          <w:b/>
        </w:rPr>
        <w:tab/>
      </w:r>
      <w:r w:rsidR="0052540F" w:rsidRPr="00440C66">
        <w:rPr>
          <w:b/>
          <w:lang w:eastAsia="en-US"/>
        </w:rPr>
        <w:t xml:space="preserve">SPECJALNE ŚRODKI OSTROŻNOŚCI DOTYCZĄCE USUWANIA NIEZUŻYTEGO PRODUKTU LECZNICZEGO LUB POCHODZĄCYCH Z NIEGO ODPADÓW, JEŚLI </w:t>
      </w:r>
      <w:r w:rsidR="0052540F" w:rsidRPr="00440C66">
        <w:rPr>
          <w:b/>
          <w:lang w:eastAsia="en-US"/>
        </w:rPr>
        <w:lastRenderedPageBreak/>
        <w:t>WŁAŚCIWE</w:t>
      </w:r>
    </w:p>
    <w:p w14:paraId="7E513DED" w14:textId="77777777" w:rsidR="008910B7" w:rsidRPr="00440C66" w:rsidRDefault="008910B7" w:rsidP="00FC35A4">
      <w:pPr>
        <w:widowControl w:val="0"/>
        <w:ind w:left="0" w:firstLine="0"/>
      </w:pPr>
    </w:p>
    <w:p w14:paraId="0DC19BEC"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11.</w:t>
      </w:r>
      <w:r w:rsidRPr="00440C66">
        <w:rPr>
          <w:b/>
        </w:rPr>
        <w:tab/>
      </w:r>
      <w:r w:rsidR="0052540F" w:rsidRPr="00440C66">
        <w:rPr>
          <w:b/>
          <w:lang w:eastAsia="en-US"/>
        </w:rPr>
        <w:t>NAZWA</w:t>
      </w:r>
      <w:r w:rsidR="0052540F" w:rsidRPr="00440C66">
        <w:rPr>
          <w:b/>
        </w:rPr>
        <w:t xml:space="preserve"> I ADRES PODMIOTU ODPOWIEDZIALNEGO</w:t>
      </w:r>
    </w:p>
    <w:p w14:paraId="578752B9" w14:textId="77777777" w:rsidR="008910B7" w:rsidRPr="00440C66" w:rsidRDefault="008910B7" w:rsidP="004C760F">
      <w:pPr>
        <w:widowControl w:val="0"/>
      </w:pPr>
    </w:p>
    <w:p w14:paraId="17A04E03" w14:textId="77777777" w:rsidR="00822CCF" w:rsidRPr="0058200C" w:rsidRDefault="00822CCF" w:rsidP="00822CCF">
      <w:pPr>
        <w:rPr>
          <w:noProof/>
          <w:szCs w:val="22"/>
        </w:rPr>
      </w:pPr>
      <w:r w:rsidRPr="0058200C">
        <w:rPr>
          <w:noProof/>
          <w:szCs w:val="22"/>
        </w:rPr>
        <w:t>Accord Healthcare S.L.U</w:t>
      </w:r>
    </w:p>
    <w:p w14:paraId="7BDD9870" w14:textId="5FC8C48F" w:rsidR="00822CCF" w:rsidRPr="00FC35A4" w:rsidRDefault="00822CCF" w:rsidP="00822CCF">
      <w:pPr>
        <w:rPr>
          <w:noProof/>
          <w:szCs w:val="22"/>
          <w:lang w:val="es-ES"/>
        </w:rPr>
      </w:pPr>
      <w:r w:rsidRPr="00FC35A4">
        <w:rPr>
          <w:noProof/>
          <w:szCs w:val="22"/>
          <w:lang w:val="es-ES"/>
        </w:rPr>
        <w:t>World Trade Center, Moll de Barcelona s/n</w:t>
      </w:r>
    </w:p>
    <w:p w14:paraId="7F2DE83C" w14:textId="4DC7BDA2" w:rsidR="00822CCF" w:rsidRPr="00FC35A4" w:rsidRDefault="00822CCF" w:rsidP="00822CCF">
      <w:pPr>
        <w:rPr>
          <w:noProof/>
          <w:szCs w:val="22"/>
          <w:lang w:val="es-ES"/>
        </w:rPr>
      </w:pPr>
      <w:r w:rsidRPr="00FC35A4">
        <w:rPr>
          <w:noProof/>
          <w:szCs w:val="22"/>
          <w:lang w:val="es-ES"/>
        </w:rPr>
        <w:t>Edifici Est, 6</w:t>
      </w:r>
      <w:r w:rsidRPr="00FC35A4">
        <w:rPr>
          <w:noProof/>
          <w:szCs w:val="22"/>
          <w:vertAlign w:val="superscript"/>
          <w:lang w:val="es-ES"/>
        </w:rPr>
        <w:t>a</w:t>
      </w:r>
      <w:r w:rsidRPr="00FC35A4">
        <w:rPr>
          <w:noProof/>
          <w:szCs w:val="22"/>
          <w:lang w:val="es-ES"/>
        </w:rPr>
        <w:t xml:space="preserve"> planta,</w:t>
      </w:r>
    </w:p>
    <w:p w14:paraId="1F334733" w14:textId="00984BC8" w:rsidR="00822CCF" w:rsidRDefault="00822CCF" w:rsidP="00822CCF">
      <w:pPr>
        <w:rPr>
          <w:noProof/>
          <w:szCs w:val="22"/>
        </w:rPr>
      </w:pPr>
      <w:r w:rsidRPr="007C7995">
        <w:rPr>
          <w:noProof/>
          <w:szCs w:val="22"/>
        </w:rPr>
        <w:t>08039 Barcelona</w:t>
      </w:r>
    </w:p>
    <w:p w14:paraId="0D3F3DAE" w14:textId="25389C78" w:rsidR="00822CCF" w:rsidRPr="007C7995" w:rsidRDefault="00822CCF" w:rsidP="00822CCF">
      <w:pPr>
        <w:rPr>
          <w:noProof/>
          <w:szCs w:val="22"/>
        </w:rPr>
      </w:pPr>
      <w:r>
        <w:rPr>
          <w:noProof/>
          <w:szCs w:val="22"/>
        </w:rPr>
        <w:t>Hiszpania</w:t>
      </w:r>
    </w:p>
    <w:p w14:paraId="32FA81EC" w14:textId="77777777" w:rsidR="008910B7" w:rsidRPr="00440C66" w:rsidRDefault="008910B7" w:rsidP="004C760F">
      <w:pPr>
        <w:widowControl w:val="0"/>
      </w:pPr>
    </w:p>
    <w:p w14:paraId="4F56FD32" w14:textId="77777777" w:rsidR="008910B7" w:rsidRPr="00440C66" w:rsidRDefault="008910B7" w:rsidP="004C760F">
      <w:pPr>
        <w:widowControl w:val="0"/>
      </w:pPr>
    </w:p>
    <w:p w14:paraId="573C456C"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12.</w:t>
      </w:r>
      <w:r w:rsidRPr="00440C66">
        <w:rPr>
          <w:b/>
        </w:rPr>
        <w:tab/>
      </w:r>
      <w:r w:rsidR="0052540F" w:rsidRPr="00440C66">
        <w:rPr>
          <w:b/>
        </w:rPr>
        <w:t>NUMERY POZWOLEŃ NA DOPUSZCZENIE DO OBROTU</w:t>
      </w:r>
    </w:p>
    <w:p w14:paraId="3E402D68" w14:textId="77777777" w:rsidR="008910B7" w:rsidRPr="00440C66" w:rsidRDefault="008910B7" w:rsidP="004C760F">
      <w:pPr>
        <w:widowControl w:val="0"/>
      </w:pPr>
    </w:p>
    <w:p w14:paraId="232E613C" w14:textId="7D4E10B1" w:rsidR="00EB6767" w:rsidRDefault="00822CCF" w:rsidP="00822CCF">
      <w:pPr>
        <w:rPr>
          <w:color w:val="000000"/>
          <w:lang w:val="es-ES"/>
        </w:rPr>
      </w:pPr>
      <w:r w:rsidRPr="00FC35A4">
        <w:rPr>
          <w:rFonts w:cs="Verdana"/>
          <w:color w:val="000000"/>
          <w:lang w:val="es-ES"/>
        </w:rPr>
        <w:t>EU/1/21/1611/001</w:t>
      </w:r>
    </w:p>
    <w:p w14:paraId="4D998BB9" w14:textId="77777777" w:rsidR="00EB6767" w:rsidRPr="000A48AE" w:rsidRDefault="00EB6767" w:rsidP="00822CCF">
      <w:r w:rsidRPr="000A48AE">
        <w:t>EU/1/21/1611/002</w:t>
      </w:r>
    </w:p>
    <w:p w14:paraId="253C1AE3" w14:textId="07BE18D8" w:rsidR="00822CCF" w:rsidRPr="00FC35A4" w:rsidRDefault="00EB6767" w:rsidP="00822CCF">
      <w:pPr>
        <w:rPr>
          <w:noProof/>
          <w:szCs w:val="22"/>
          <w:lang w:val="es-ES"/>
        </w:rPr>
      </w:pPr>
      <w:r w:rsidRPr="000A48AE">
        <w:t>EU/1/21/1611/005</w:t>
      </w:r>
      <w:r w:rsidR="00822CCF" w:rsidRPr="00FC35A4">
        <w:rPr>
          <w:noProof/>
          <w:szCs w:val="22"/>
          <w:lang w:val="es-ES"/>
        </w:rPr>
        <w:t xml:space="preserve"> </w:t>
      </w:r>
    </w:p>
    <w:p w14:paraId="1D3065C8" w14:textId="77777777" w:rsidR="008910B7" w:rsidRPr="00FC35A4" w:rsidRDefault="008910B7" w:rsidP="004C760F">
      <w:pPr>
        <w:widowControl w:val="0"/>
        <w:rPr>
          <w:shd w:val="clear" w:color="auto" w:fill="D9D9D9"/>
          <w:lang w:val="es-ES"/>
        </w:rPr>
      </w:pPr>
    </w:p>
    <w:p w14:paraId="64BD776E" w14:textId="77777777" w:rsidR="008910B7" w:rsidRPr="00FC35A4" w:rsidRDefault="008910B7" w:rsidP="004C760F">
      <w:pPr>
        <w:widowControl w:val="0"/>
        <w:outlineLvl w:val="0"/>
        <w:rPr>
          <w:lang w:val="es-ES"/>
        </w:rPr>
      </w:pPr>
    </w:p>
    <w:p w14:paraId="539BA5A1"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rPr>
          <w:lang w:val="nb-NO"/>
        </w:rPr>
      </w:pPr>
      <w:r w:rsidRPr="00440C66">
        <w:rPr>
          <w:b/>
          <w:lang w:val="nb-NO"/>
        </w:rPr>
        <w:t>13.</w:t>
      </w:r>
      <w:r w:rsidRPr="00440C66">
        <w:rPr>
          <w:b/>
          <w:lang w:val="nb-NO"/>
        </w:rPr>
        <w:tab/>
      </w:r>
      <w:r w:rsidR="0052540F" w:rsidRPr="00440C66">
        <w:rPr>
          <w:b/>
          <w:lang w:val="nb-NO"/>
        </w:rPr>
        <w:t>NUMER SERII</w:t>
      </w:r>
    </w:p>
    <w:p w14:paraId="152DF632" w14:textId="77777777" w:rsidR="008910B7" w:rsidRPr="00440C66" w:rsidRDefault="008910B7" w:rsidP="004C760F">
      <w:pPr>
        <w:widowControl w:val="0"/>
        <w:rPr>
          <w:i/>
          <w:lang w:val="nb-NO"/>
        </w:rPr>
      </w:pPr>
    </w:p>
    <w:p w14:paraId="1F4A9470" w14:textId="77777777" w:rsidR="008910B7" w:rsidRPr="00440C66" w:rsidRDefault="0052540F" w:rsidP="004C760F">
      <w:pPr>
        <w:widowControl w:val="0"/>
        <w:rPr>
          <w:lang w:val="nb-NO"/>
        </w:rPr>
      </w:pPr>
      <w:r w:rsidRPr="00440C66">
        <w:rPr>
          <w:lang w:val="nb-NO"/>
        </w:rPr>
        <w:t>Nr serii (Lot)</w:t>
      </w:r>
    </w:p>
    <w:p w14:paraId="0B2D4FFA" w14:textId="77777777" w:rsidR="0052540F" w:rsidRPr="00440C66" w:rsidRDefault="0052540F" w:rsidP="004C760F">
      <w:pPr>
        <w:widowControl w:val="0"/>
        <w:rPr>
          <w:lang w:val="nb-NO"/>
        </w:rPr>
      </w:pPr>
    </w:p>
    <w:p w14:paraId="6461E1A4" w14:textId="77777777" w:rsidR="008910B7" w:rsidRPr="00440C66" w:rsidRDefault="008910B7" w:rsidP="004C760F">
      <w:pPr>
        <w:widowControl w:val="0"/>
        <w:rPr>
          <w:lang w:val="nb-NO"/>
        </w:rPr>
      </w:pPr>
    </w:p>
    <w:p w14:paraId="1A1A36C8"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14.</w:t>
      </w:r>
      <w:r w:rsidRPr="00440C66">
        <w:rPr>
          <w:b/>
        </w:rPr>
        <w:tab/>
      </w:r>
      <w:r w:rsidR="00CD7B26" w:rsidRPr="00440C66">
        <w:rPr>
          <w:b/>
        </w:rPr>
        <w:t xml:space="preserve">OGÓLNA </w:t>
      </w:r>
      <w:r w:rsidR="0052540F" w:rsidRPr="00440C66">
        <w:rPr>
          <w:b/>
        </w:rPr>
        <w:t>KATEGORIA DOSTĘPNOŚCI</w:t>
      </w:r>
    </w:p>
    <w:p w14:paraId="7AB46733" w14:textId="77777777" w:rsidR="008910B7" w:rsidRPr="00440C66" w:rsidRDefault="008910B7" w:rsidP="004C760F">
      <w:pPr>
        <w:widowControl w:val="0"/>
      </w:pPr>
    </w:p>
    <w:p w14:paraId="75E819D8" w14:textId="77777777" w:rsidR="008910B7" w:rsidRPr="00440C66" w:rsidRDefault="008910B7" w:rsidP="004C760F">
      <w:pPr>
        <w:widowControl w:val="0"/>
      </w:pPr>
    </w:p>
    <w:p w14:paraId="6434594B"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15.</w:t>
      </w:r>
      <w:r w:rsidRPr="00440C66">
        <w:rPr>
          <w:b/>
        </w:rPr>
        <w:tab/>
      </w:r>
      <w:r w:rsidR="0052540F" w:rsidRPr="00440C66">
        <w:rPr>
          <w:b/>
        </w:rPr>
        <w:t>INSTRUKCJA UŻYCIA</w:t>
      </w:r>
    </w:p>
    <w:p w14:paraId="47528CC1" w14:textId="77777777" w:rsidR="008910B7" w:rsidRPr="00440C66" w:rsidRDefault="008910B7" w:rsidP="004C760F">
      <w:pPr>
        <w:widowControl w:val="0"/>
      </w:pPr>
    </w:p>
    <w:p w14:paraId="44EEA147" w14:textId="77777777" w:rsidR="008910B7" w:rsidRPr="00440C66" w:rsidRDefault="008910B7" w:rsidP="004C760F">
      <w:pPr>
        <w:widowControl w:val="0"/>
      </w:pPr>
    </w:p>
    <w:p w14:paraId="11AE007B" w14:textId="77777777" w:rsidR="008910B7" w:rsidRPr="00440C66" w:rsidRDefault="008910B7" w:rsidP="004C760F">
      <w:pPr>
        <w:widowControl w:val="0"/>
        <w:pBdr>
          <w:top w:val="single" w:sz="4" w:space="1" w:color="auto"/>
          <w:left w:val="single" w:sz="4" w:space="4" w:color="auto"/>
          <w:bottom w:val="single" w:sz="4" w:space="1" w:color="auto"/>
          <w:right w:val="single" w:sz="4" w:space="4" w:color="auto"/>
        </w:pBdr>
        <w:outlineLvl w:val="0"/>
      </w:pPr>
      <w:r w:rsidRPr="00440C66">
        <w:rPr>
          <w:b/>
        </w:rPr>
        <w:t>16.</w:t>
      </w:r>
      <w:r w:rsidRPr="00440C66">
        <w:rPr>
          <w:b/>
        </w:rPr>
        <w:tab/>
      </w:r>
      <w:r w:rsidR="0052540F" w:rsidRPr="00440C66">
        <w:rPr>
          <w:b/>
        </w:rPr>
        <w:t xml:space="preserve">INFORMACJA PODANA </w:t>
      </w:r>
      <w:r w:rsidR="00CD7B26" w:rsidRPr="00440C66">
        <w:rPr>
          <w:b/>
        </w:rPr>
        <w:t xml:space="preserve">SYSTEMEM </w:t>
      </w:r>
      <w:r w:rsidR="0052540F" w:rsidRPr="00440C66">
        <w:rPr>
          <w:b/>
        </w:rPr>
        <w:t>BRA</w:t>
      </w:r>
      <w:r w:rsidR="00CD7B26" w:rsidRPr="00440C66">
        <w:rPr>
          <w:b/>
        </w:rPr>
        <w:t>IL</w:t>
      </w:r>
      <w:r w:rsidR="0052540F" w:rsidRPr="00440C66">
        <w:rPr>
          <w:b/>
        </w:rPr>
        <w:t>LE</w:t>
      </w:r>
      <w:r w:rsidR="00CD7B26" w:rsidRPr="00440C66">
        <w:rPr>
          <w:b/>
        </w:rPr>
        <w:t>’A</w:t>
      </w:r>
    </w:p>
    <w:p w14:paraId="5B55206F" w14:textId="77777777" w:rsidR="008910B7" w:rsidRPr="00440C66" w:rsidRDefault="008910B7" w:rsidP="004C760F">
      <w:pPr>
        <w:widowControl w:val="0"/>
      </w:pPr>
    </w:p>
    <w:p w14:paraId="6BCA338A" w14:textId="66CA7461" w:rsidR="008910B7" w:rsidRPr="00FC35A4" w:rsidRDefault="003C72B4" w:rsidP="004C760F">
      <w:pPr>
        <w:widowControl w:val="0"/>
        <w:rPr>
          <w:lang w:val="en-GB"/>
        </w:rPr>
      </w:pPr>
      <w:r>
        <w:rPr>
          <w:lang w:val="en-GB"/>
        </w:rPr>
        <w:t>Vildagliptin/Metformin hydrochloride Accord</w:t>
      </w:r>
      <w:r w:rsidR="008910B7" w:rsidRPr="00FC35A4">
        <w:rPr>
          <w:lang w:val="en-GB"/>
        </w:rPr>
        <w:t xml:space="preserve"> 50 mg/850 mg</w:t>
      </w:r>
    </w:p>
    <w:p w14:paraId="47282094" w14:textId="77777777" w:rsidR="00703113" w:rsidRPr="00FC35A4" w:rsidRDefault="00703113" w:rsidP="004C760F">
      <w:pPr>
        <w:widowControl w:val="0"/>
        <w:rPr>
          <w:lang w:val="en-GB"/>
        </w:rPr>
      </w:pPr>
      <w:bookmarkStart w:id="13" w:name="_Hlk110425942"/>
    </w:p>
    <w:p w14:paraId="6976B9E3" w14:textId="77777777" w:rsidR="00703113" w:rsidRPr="00FC35A4" w:rsidRDefault="00703113" w:rsidP="00703113">
      <w:pPr>
        <w:rPr>
          <w:noProof/>
          <w:szCs w:val="22"/>
          <w:shd w:val="clear" w:color="auto" w:fill="CCCCCC"/>
          <w:lang w:val="en-GB"/>
        </w:rPr>
      </w:pPr>
      <w:bookmarkStart w:id="14" w:name="_Hlk110425963"/>
    </w:p>
    <w:p w14:paraId="0AC6176E" w14:textId="77777777" w:rsidR="00703113" w:rsidRPr="00C937E7" w:rsidRDefault="00703113" w:rsidP="001C2341">
      <w:pPr>
        <w:keepNext/>
        <w:numPr>
          <w:ilvl w:val="1"/>
          <w:numId w:val="11"/>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rPr>
      </w:pPr>
      <w:r w:rsidRPr="00FC35A4">
        <w:rPr>
          <w:b/>
          <w:lang w:val="en-GB"/>
        </w:rPr>
        <w:tab/>
      </w:r>
      <w:r>
        <w:rPr>
          <w:b/>
          <w:noProof/>
        </w:rPr>
        <w:t>NIEPOWTARZALNY IDENTYFIKATOR – KOD 2D</w:t>
      </w:r>
    </w:p>
    <w:bookmarkEnd w:id="14"/>
    <w:p w14:paraId="6C7D81E4" w14:textId="77777777" w:rsidR="00703113" w:rsidRPr="00C937E7" w:rsidRDefault="00703113" w:rsidP="00703113">
      <w:pPr>
        <w:ind w:left="0" w:firstLine="0"/>
        <w:rPr>
          <w:noProof/>
        </w:rPr>
      </w:pPr>
    </w:p>
    <w:p w14:paraId="25ED0B1B" w14:textId="77777777" w:rsidR="00703113" w:rsidRPr="00703113" w:rsidRDefault="00703113" w:rsidP="00703113">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11CFC747" w14:textId="77777777" w:rsidR="00703113" w:rsidRPr="00C937E7" w:rsidRDefault="00703113" w:rsidP="00703113">
      <w:pPr>
        <w:rPr>
          <w:noProof/>
          <w:szCs w:val="22"/>
          <w:shd w:val="clear" w:color="auto" w:fill="CCCCCC"/>
        </w:rPr>
      </w:pPr>
    </w:p>
    <w:p w14:paraId="6B1CB8AC" w14:textId="77777777" w:rsidR="00703113" w:rsidRPr="00774EBD" w:rsidRDefault="00703113" w:rsidP="00703113">
      <w:pPr>
        <w:rPr>
          <w:noProof/>
          <w:szCs w:val="22"/>
        </w:rPr>
      </w:pPr>
    </w:p>
    <w:p w14:paraId="47E57C12" w14:textId="77777777" w:rsidR="00703113" w:rsidRPr="00C937E7" w:rsidRDefault="008C5989" w:rsidP="008C5989">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r>
      <w:r w:rsidR="00703113">
        <w:rPr>
          <w:b/>
          <w:noProof/>
        </w:rPr>
        <w:t>NIEPOWTARZALNY IDENTYFIKATOR – DANE CZYTELNE DLA CZŁOWIEKA</w:t>
      </w:r>
    </w:p>
    <w:p w14:paraId="49D5936F" w14:textId="77777777" w:rsidR="00703113" w:rsidRPr="00C937E7" w:rsidRDefault="00703113" w:rsidP="00703113">
      <w:pPr>
        <w:rPr>
          <w:noProof/>
        </w:rPr>
      </w:pPr>
    </w:p>
    <w:p w14:paraId="2185DB73" w14:textId="4D8382B0" w:rsidR="00703113" w:rsidRDefault="00703113" w:rsidP="00703113">
      <w:r>
        <w:t>PC</w:t>
      </w:r>
    </w:p>
    <w:p w14:paraId="27408141" w14:textId="493989A8" w:rsidR="00703113" w:rsidRPr="00C937E7" w:rsidRDefault="00703113" w:rsidP="00703113">
      <w:pPr>
        <w:rPr>
          <w:szCs w:val="22"/>
        </w:rPr>
      </w:pPr>
      <w:r>
        <w:t>SN</w:t>
      </w:r>
    </w:p>
    <w:p w14:paraId="70AB501C" w14:textId="3F62C534" w:rsidR="00703113" w:rsidRPr="00C937E7" w:rsidRDefault="00703113" w:rsidP="00703113">
      <w:pPr>
        <w:rPr>
          <w:szCs w:val="22"/>
        </w:rPr>
      </w:pPr>
      <w:r>
        <w:t>NN</w:t>
      </w:r>
    </w:p>
    <w:bookmarkEnd w:id="13"/>
    <w:p w14:paraId="772D3688" w14:textId="77777777" w:rsidR="00703113" w:rsidRPr="00440C66" w:rsidRDefault="00703113" w:rsidP="004C760F">
      <w:pPr>
        <w:widowControl w:val="0"/>
      </w:pPr>
    </w:p>
    <w:p w14:paraId="1EA008E2" w14:textId="77777777" w:rsidR="005F4D8E" w:rsidRDefault="005F4D8E" w:rsidP="004C760F">
      <w:pPr>
        <w:widowControl w:val="0"/>
        <w:rPr>
          <w:b/>
        </w:rPr>
      </w:pPr>
    </w:p>
    <w:p w14:paraId="12B99F8C" w14:textId="77777777" w:rsidR="005F4D8E" w:rsidRDefault="005F4D8E">
      <w:pPr>
        <w:ind w:left="0" w:firstLine="0"/>
        <w:rPr>
          <w:b/>
        </w:rPr>
      </w:pPr>
      <w:r>
        <w:rPr>
          <w:b/>
        </w:rPr>
        <w:br w:type="page"/>
      </w:r>
    </w:p>
    <w:p w14:paraId="1F42ACB6"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rPr>
          <w:b/>
        </w:rPr>
      </w:pPr>
      <w:bookmarkStart w:id="15" w:name="_Hlk110426188"/>
      <w:r w:rsidRPr="00440C66">
        <w:rPr>
          <w:b/>
        </w:rPr>
        <w:lastRenderedPageBreak/>
        <w:t>INFORMACJE ZAMIESZCZANE NA OPAKOWANIACH ZEWNĘTRZNYCH</w:t>
      </w:r>
    </w:p>
    <w:p w14:paraId="5BE8731E"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rPr>
          <w:bCs/>
        </w:rPr>
      </w:pPr>
    </w:p>
    <w:p w14:paraId="42B8EAAA" w14:textId="77777777" w:rsidR="001020BC" w:rsidRDefault="005F4D8E" w:rsidP="005F4D8E">
      <w:pPr>
        <w:widowControl w:val="0"/>
        <w:pBdr>
          <w:top w:val="single" w:sz="4" w:space="1" w:color="auto"/>
          <w:left w:val="single" w:sz="4" w:space="4" w:color="auto"/>
          <w:bottom w:val="single" w:sz="4" w:space="1" w:color="auto"/>
          <w:right w:val="single" w:sz="4" w:space="4" w:color="auto"/>
        </w:pBdr>
        <w:rPr>
          <w:b/>
          <w:bCs/>
        </w:rPr>
      </w:pPr>
      <w:r>
        <w:rPr>
          <w:b/>
          <w:bCs/>
        </w:rPr>
        <w:t xml:space="preserve">TEKTUROWE </w:t>
      </w:r>
      <w:r w:rsidRPr="00440C66">
        <w:rPr>
          <w:b/>
          <w:bCs/>
        </w:rPr>
        <w:t xml:space="preserve">PUDEŁKO </w:t>
      </w:r>
      <w:r>
        <w:rPr>
          <w:b/>
          <w:bCs/>
        </w:rPr>
        <w:t>WEWNĘTRZNE (</w:t>
      </w:r>
      <w:r w:rsidRPr="005F4D8E">
        <w:rPr>
          <w:b/>
          <w:bCs/>
        </w:rPr>
        <w:t>Trzy takie wewnętrzne kartony zostaną</w:t>
      </w:r>
    </w:p>
    <w:p w14:paraId="7F953E28" w14:textId="4B0F62B5" w:rsidR="005F4D8E" w:rsidRPr="00440C66" w:rsidRDefault="005F4D8E" w:rsidP="005F4D8E">
      <w:pPr>
        <w:widowControl w:val="0"/>
        <w:pBdr>
          <w:top w:val="single" w:sz="4" w:space="1" w:color="auto"/>
          <w:left w:val="single" w:sz="4" w:space="4" w:color="auto"/>
          <w:bottom w:val="single" w:sz="4" w:space="1" w:color="auto"/>
          <w:right w:val="single" w:sz="4" w:space="4" w:color="auto"/>
        </w:pBdr>
        <w:rPr>
          <w:b/>
          <w:bCs/>
        </w:rPr>
      </w:pPr>
      <w:r w:rsidRPr="005F4D8E">
        <w:rPr>
          <w:b/>
          <w:bCs/>
        </w:rPr>
        <w:t>zapakowane w jeden zewnętrzny karton zawierający 180 tabletek</w:t>
      </w:r>
      <w:r>
        <w:rPr>
          <w:b/>
          <w:bCs/>
        </w:rPr>
        <w:t>)</w:t>
      </w:r>
    </w:p>
    <w:p w14:paraId="1B7E72D4" w14:textId="77777777" w:rsidR="005F4D8E" w:rsidRPr="00440C66" w:rsidRDefault="005F4D8E" w:rsidP="005F4D8E">
      <w:pPr>
        <w:widowControl w:val="0"/>
      </w:pPr>
    </w:p>
    <w:p w14:paraId="5D07F0E0" w14:textId="77777777" w:rsidR="005F4D8E" w:rsidRPr="00440C66" w:rsidRDefault="005F4D8E" w:rsidP="005F4D8E">
      <w:pPr>
        <w:widowControl w:val="0"/>
      </w:pPr>
    </w:p>
    <w:p w14:paraId="14B0B49E"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1.</w:t>
      </w:r>
      <w:r w:rsidRPr="00440C66">
        <w:rPr>
          <w:b/>
        </w:rPr>
        <w:tab/>
      </w:r>
      <w:r w:rsidRPr="00440C66">
        <w:rPr>
          <w:b/>
          <w:lang w:eastAsia="en-US"/>
        </w:rPr>
        <w:t>NAZWA PRODUKTU LECZNICZEGO</w:t>
      </w:r>
    </w:p>
    <w:p w14:paraId="5A0DD2CF" w14:textId="77777777" w:rsidR="005F4D8E" w:rsidRPr="00440C66" w:rsidRDefault="005F4D8E" w:rsidP="005F4D8E">
      <w:pPr>
        <w:widowControl w:val="0"/>
      </w:pPr>
    </w:p>
    <w:p w14:paraId="5F5D3EFE" w14:textId="77777777" w:rsidR="005F4D8E" w:rsidRPr="00050A77" w:rsidRDefault="005F4D8E" w:rsidP="005F4D8E">
      <w:pPr>
        <w:widowControl w:val="0"/>
      </w:pPr>
      <w:r w:rsidRPr="00050A77">
        <w:t>Vildagliptin/Metformin hydrochloride Accord 50 mg/850 mg tabletki powlekane</w:t>
      </w:r>
    </w:p>
    <w:p w14:paraId="1746706A" w14:textId="77777777" w:rsidR="005F4D8E" w:rsidRPr="00440C66" w:rsidRDefault="005F4D8E" w:rsidP="005F4D8E">
      <w:pPr>
        <w:widowControl w:val="0"/>
      </w:pPr>
      <w:r w:rsidRPr="005F4D8E">
        <w:rPr>
          <w:highlight w:val="lightGray"/>
        </w:rPr>
        <w:t>wildagliptyna/metforminy chlorowodorek</w:t>
      </w:r>
    </w:p>
    <w:p w14:paraId="045359B2" w14:textId="77777777" w:rsidR="005F4D8E" w:rsidRPr="00440C66" w:rsidRDefault="005F4D8E" w:rsidP="005F4D8E">
      <w:pPr>
        <w:widowControl w:val="0"/>
      </w:pPr>
    </w:p>
    <w:p w14:paraId="0CA4A436" w14:textId="77777777" w:rsidR="005F4D8E" w:rsidRPr="00440C66" w:rsidRDefault="005F4D8E" w:rsidP="005F4D8E">
      <w:pPr>
        <w:widowControl w:val="0"/>
      </w:pPr>
    </w:p>
    <w:p w14:paraId="233C54FB"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rPr>
          <w:b/>
        </w:rPr>
      </w:pPr>
      <w:r w:rsidRPr="00440C66">
        <w:rPr>
          <w:b/>
        </w:rPr>
        <w:t>2.</w:t>
      </w:r>
      <w:r w:rsidRPr="00440C66">
        <w:rPr>
          <w:b/>
        </w:rPr>
        <w:tab/>
      </w:r>
      <w:r w:rsidRPr="00440C66">
        <w:rPr>
          <w:b/>
          <w:lang w:eastAsia="en-US"/>
        </w:rPr>
        <w:t>ZAWARTOŚĆ SUBSTANCJI CZYNNYCH</w:t>
      </w:r>
    </w:p>
    <w:p w14:paraId="5C94DED9" w14:textId="77777777" w:rsidR="005F4D8E" w:rsidRPr="00440C66" w:rsidRDefault="005F4D8E" w:rsidP="005F4D8E">
      <w:pPr>
        <w:widowControl w:val="0"/>
      </w:pPr>
    </w:p>
    <w:p w14:paraId="5636177A" w14:textId="77777777" w:rsidR="005F4D8E" w:rsidRPr="00440C66" w:rsidRDefault="005F4D8E" w:rsidP="005F4D8E">
      <w:pPr>
        <w:widowControl w:val="0"/>
        <w:ind w:left="0" w:firstLine="0"/>
      </w:pPr>
      <w:r w:rsidRPr="00440C66">
        <w:t>Każda tabletka zawiera 50 mg wildagliptyny i 850 mg metforminy chlorowodorku (co odpowiada 660 mg metforminy).</w:t>
      </w:r>
    </w:p>
    <w:p w14:paraId="742F8BB1" w14:textId="77777777" w:rsidR="005F4D8E" w:rsidRPr="00440C66" w:rsidRDefault="005F4D8E" w:rsidP="005F4D8E">
      <w:pPr>
        <w:widowControl w:val="0"/>
      </w:pPr>
    </w:p>
    <w:p w14:paraId="5F0F067A" w14:textId="77777777" w:rsidR="005F4D8E" w:rsidRPr="00440C66" w:rsidRDefault="005F4D8E" w:rsidP="005F4D8E">
      <w:pPr>
        <w:widowControl w:val="0"/>
      </w:pPr>
    </w:p>
    <w:p w14:paraId="5E7855DA"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3.</w:t>
      </w:r>
      <w:r w:rsidRPr="00440C66">
        <w:rPr>
          <w:b/>
        </w:rPr>
        <w:tab/>
      </w:r>
      <w:r w:rsidRPr="00440C66">
        <w:rPr>
          <w:b/>
          <w:lang w:eastAsia="en-US"/>
        </w:rPr>
        <w:t>WYKAZ SUBSTANCJI POMOCNICZYCH</w:t>
      </w:r>
    </w:p>
    <w:p w14:paraId="49827CBD" w14:textId="77777777" w:rsidR="005F4D8E" w:rsidRPr="00440C66" w:rsidRDefault="005F4D8E" w:rsidP="005F4D8E">
      <w:pPr>
        <w:widowControl w:val="0"/>
        <w:ind w:left="0" w:firstLine="0"/>
      </w:pPr>
    </w:p>
    <w:p w14:paraId="2DF831C2" w14:textId="77777777" w:rsidR="005F4D8E" w:rsidRPr="00440C66" w:rsidRDefault="005F4D8E" w:rsidP="005F4D8E">
      <w:pPr>
        <w:widowControl w:val="0"/>
      </w:pPr>
    </w:p>
    <w:p w14:paraId="2599A3D0"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4.</w:t>
      </w:r>
      <w:r w:rsidRPr="00440C66">
        <w:rPr>
          <w:b/>
        </w:rPr>
        <w:tab/>
      </w:r>
      <w:r w:rsidRPr="00440C66">
        <w:rPr>
          <w:b/>
          <w:lang w:eastAsia="en-US"/>
        </w:rPr>
        <w:t>POSTAĆ FARMACEUTYCZNA I ZAWARTOŚĆ OPAKOWANIA</w:t>
      </w:r>
    </w:p>
    <w:p w14:paraId="122E2F38" w14:textId="77777777" w:rsidR="005F4D8E" w:rsidRDefault="005F4D8E" w:rsidP="005F4D8E">
      <w:pPr>
        <w:widowControl w:val="0"/>
      </w:pPr>
    </w:p>
    <w:p w14:paraId="10D623DB" w14:textId="39D62458" w:rsidR="005F4D8E" w:rsidRDefault="005F4D8E" w:rsidP="005F4D8E">
      <w:pPr>
        <w:widowControl w:val="0"/>
        <w:rPr>
          <w:shd w:val="pct15" w:color="auto" w:fill="auto"/>
        </w:rPr>
      </w:pPr>
      <w:r w:rsidRPr="008C5989">
        <w:rPr>
          <w:shd w:val="pct15" w:color="auto" w:fill="auto"/>
        </w:rPr>
        <w:t>Tabletka powlekana</w:t>
      </w:r>
      <w:r w:rsidR="001020BC">
        <w:rPr>
          <w:shd w:val="pct15" w:color="auto" w:fill="auto"/>
        </w:rPr>
        <w:t xml:space="preserve"> </w:t>
      </w:r>
    </w:p>
    <w:p w14:paraId="5E1BFB7D" w14:textId="77777777" w:rsidR="005F4D8E" w:rsidRPr="00440C66" w:rsidRDefault="005F4D8E" w:rsidP="001020BC">
      <w:pPr>
        <w:widowControl w:val="0"/>
        <w:ind w:left="0" w:firstLine="0"/>
      </w:pPr>
    </w:p>
    <w:p w14:paraId="728BE4B1" w14:textId="673D2479" w:rsidR="005F4D8E" w:rsidRDefault="001020BC" w:rsidP="005F4D8E">
      <w:pPr>
        <w:widowControl w:val="0"/>
      </w:pPr>
      <w:r>
        <w:t>60 tabletek powlekanych</w:t>
      </w:r>
    </w:p>
    <w:p w14:paraId="2FAD345D" w14:textId="77777777" w:rsidR="001020BC" w:rsidRPr="00440C66" w:rsidRDefault="001020BC" w:rsidP="005F4D8E">
      <w:pPr>
        <w:widowControl w:val="0"/>
      </w:pPr>
    </w:p>
    <w:p w14:paraId="7BD144EC"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5.</w:t>
      </w:r>
      <w:r w:rsidRPr="00440C66">
        <w:rPr>
          <w:b/>
        </w:rPr>
        <w:tab/>
      </w:r>
      <w:r w:rsidRPr="00440C66">
        <w:rPr>
          <w:b/>
          <w:lang w:eastAsia="en-US"/>
        </w:rPr>
        <w:t>SPOSÓB I DROGA PODANIA</w:t>
      </w:r>
    </w:p>
    <w:p w14:paraId="264DFDDC" w14:textId="77777777" w:rsidR="005F4D8E" w:rsidRPr="00440C66" w:rsidRDefault="005F4D8E" w:rsidP="005F4D8E">
      <w:pPr>
        <w:widowControl w:val="0"/>
        <w:rPr>
          <w:i/>
        </w:rPr>
      </w:pPr>
    </w:p>
    <w:p w14:paraId="19109899" w14:textId="77777777" w:rsidR="005F4D8E" w:rsidRPr="00440C66" w:rsidRDefault="005F4D8E" w:rsidP="005F4D8E">
      <w:pPr>
        <w:widowControl w:val="0"/>
      </w:pPr>
      <w:r w:rsidRPr="00440C66">
        <w:t>Podanie doustne</w:t>
      </w:r>
    </w:p>
    <w:p w14:paraId="2CBAD77C" w14:textId="77777777" w:rsidR="005F4D8E" w:rsidRPr="00440C66" w:rsidRDefault="005F4D8E" w:rsidP="005F4D8E">
      <w:pPr>
        <w:widowControl w:val="0"/>
      </w:pPr>
      <w:r w:rsidRPr="00440C66">
        <w:t>Należy zapoznać się z treścią ulotki przed zastosowaniem leku.</w:t>
      </w:r>
    </w:p>
    <w:p w14:paraId="16E988D7" w14:textId="77777777" w:rsidR="005F4D8E" w:rsidRPr="00440C66" w:rsidRDefault="005F4D8E" w:rsidP="005F4D8E">
      <w:pPr>
        <w:widowControl w:val="0"/>
      </w:pPr>
    </w:p>
    <w:p w14:paraId="18335CF3" w14:textId="77777777" w:rsidR="005F4D8E" w:rsidRPr="00440C66" w:rsidRDefault="005F4D8E" w:rsidP="005F4D8E">
      <w:pPr>
        <w:widowControl w:val="0"/>
      </w:pPr>
    </w:p>
    <w:p w14:paraId="05819CA4"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6.</w:t>
      </w:r>
      <w:r w:rsidRPr="00440C66">
        <w:rPr>
          <w:b/>
        </w:rPr>
        <w:tab/>
      </w:r>
      <w:r w:rsidRPr="00440C66">
        <w:rPr>
          <w:b/>
          <w:lang w:eastAsia="en-US"/>
        </w:rPr>
        <w:t>OSTRZEŻENIE DOTYCZĄCE PRZECHOWYWANIA PRODUKTU LECZNICZEGO W MIEJSCU NIEWIDOCZNYM I NIEDOSTĘPNYM</w:t>
      </w:r>
      <w:r w:rsidRPr="00440C66">
        <w:rPr>
          <w:b/>
        </w:rPr>
        <w:t xml:space="preserve"> DLA DZIECI</w:t>
      </w:r>
    </w:p>
    <w:p w14:paraId="5862E232" w14:textId="77777777" w:rsidR="005F4D8E" w:rsidRPr="00440C66" w:rsidRDefault="005F4D8E" w:rsidP="005F4D8E">
      <w:pPr>
        <w:widowControl w:val="0"/>
      </w:pPr>
    </w:p>
    <w:p w14:paraId="648C6EDB" w14:textId="77777777" w:rsidR="005F4D8E" w:rsidRPr="00440C66" w:rsidRDefault="005F4D8E" w:rsidP="005F4D8E">
      <w:pPr>
        <w:widowControl w:val="0"/>
        <w:outlineLvl w:val="0"/>
      </w:pPr>
      <w:r w:rsidRPr="00440C66">
        <w:t>Lek przechowywać w miejscu niewidocznym i niedostępnym dla dzieci.</w:t>
      </w:r>
    </w:p>
    <w:p w14:paraId="7A85A777" w14:textId="77777777" w:rsidR="005F4D8E" w:rsidRPr="00440C66" w:rsidRDefault="005F4D8E" w:rsidP="005F4D8E">
      <w:pPr>
        <w:widowControl w:val="0"/>
      </w:pPr>
    </w:p>
    <w:p w14:paraId="74766D40" w14:textId="77777777" w:rsidR="005F4D8E" w:rsidRPr="00440C66" w:rsidRDefault="005F4D8E" w:rsidP="005F4D8E">
      <w:pPr>
        <w:widowControl w:val="0"/>
      </w:pPr>
    </w:p>
    <w:p w14:paraId="7E4A152D"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7.</w:t>
      </w:r>
      <w:r w:rsidRPr="00440C66">
        <w:rPr>
          <w:b/>
        </w:rPr>
        <w:tab/>
        <w:t>INNE OSTRZEŻENIA SPECJALNE, JEŚLI KONIECZNE</w:t>
      </w:r>
    </w:p>
    <w:p w14:paraId="7B1B52F5" w14:textId="1381946F" w:rsidR="005F4D8E" w:rsidRDefault="005F4D8E" w:rsidP="005F4D8E">
      <w:pPr>
        <w:widowControl w:val="0"/>
        <w:ind w:left="0" w:firstLine="0"/>
      </w:pPr>
    </w:p>
    <w:p w14:paraId="6D282064" w14:textId="4E414975" w:rsidR="00A5032D" w:rsidRPr="00440C66" w:rsidRDefault="00A5032D" w:rsidP="005F4D8E">
      <w:pPr>
        <w:widowControl w:val="0"/>
        <w:ind w:left="0" w:firstLine="0"/>
      </w:pPr>
      <w:r w:rsidRPr="00A5032D">
        <w:t>Element opakowania zbiorczego. Pojedyncze opakowanie nie może być sprzedawane osobno</w:t>
      </w:r>
      <w:r>
        <w:t>.</w:t>
      </w:r>
    </w:p>
    <w:p w14:paraId="624A8BB2" w14:textId="77777777" w:rsidR="005F4D8E" w:rsidRPr="00440C66" w:rsidRDefault="005F4D8E" w:rsidP="005F4D8E">
      <w:pPr>
        <w:widowControl w:val="0"/>
      </w:pPr>
    </w:p>
    <w:p w14:paraId="60DE0DE5"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8.</w:t>
      </w:r>
      <w:r w:rsidRPr="00440C66">
        <w:rPr>
          <w:b/>
        </w:rPr>
        <w:tab/>
        <w:t>TERMIN WAŻNOŚCI</w:t>
      </w:r>
    </w:p>
    <w:p w14:paraId="41C7E90D" w14:textId="77777777" w:rsidR="005F4D8E" w:rsidRPr="00440C66" w:rsidRDefault="005F4D8E" w:rsidP="005F4D8E">
      <w:pPr>
        <w:widowControl w:val="0"/>
      </w:pPr>
    </w:p>
    <w:p w14:paraId="2D446FEA" w14:textId="77777777" w:rsidR="005F4D8E" w:rsidRPr="00440C66" w:rsidRDefault="005F4D8E" w:rsidP="005F4D8E">
      <w:pPr>
        <w:widowControl w:val="0"/>
      </w:pPr>
      <w:r w:rsidRPr="00440C66">
        <w:t>Termin ważności (EXP)</w:t>
      </w:r>
    </w:p>
    <w:p w14:paraId="358635D5" w14:textId="77777777" w:rsidR="005F4D8E" w:rsidRPr="00440C66" w:rsidRDefault="005F4D8E" w:rsidP="005F4D8E">
      <w:pPr>
        <w:widowControl w:val="0"/>
      </w:pPr>
    </w:p>
    <w:p w14:paraId="78CBED57" w14:textId="77777777" w:rsidR="005F4D8E" w:rsidRPr="00440C66" w:rsidRDefault="005F4D8E" w:rsidP="005F4D8E">
      <w:pPr>
        <w:widowControl w:val="0"/>
      </w:pPr>
    </w:p>
    <w:p w14:paraId="425D0EF4" w14:textId="77777777" w:rsidR="005F4D8E" w:rsidRPr="00440C66" w:rsidRDefault="005F4D8E" w:rsidP="005F4D8E">
      <w:pPr>
        <w:keepNext/>
        <w:keepLines/>
        <w:widowControl w:val="0"/>
        <w:pBdr>
          <w:top w:val="single" w:sz="4" w:space="1" w:color="auto"/>
          <w:left w:val="single" w:sz="4" w:space="4" w:color="auto"/>
          <w:bottom w:val="single" w:sz="4" w:space="1" w:color="auto"/>
          <w:right w:val="single" w:sz="4" w:space="4" w:color="auto"/>
        </w:pBdr>
        <w:outlineLvl w:val="0"/>
      </w:pPr>
      <w:r w:rsidRPr="00440C66">
        <w:rPr>
          <w:b/>
        </w:rPr>
        <w:t>9.</w:t>
      </w:r>
      <w:r w:rsidRPr="00440C66">
        <w:rPr>
          <w:b/>
        </w:rPr>
        <w:tab/>
        <w:t>WARUNKI PRZECHOWYWANIA</w:t>
      </w:r>
    </w:p>
    <w:p w14:paraId="0713734C" w14:textId="77777777" w:rsidR="005F4D8E" w:rsidRDefault="005F4D8E" w:rsidP="005F4D8E">
      <w:pPr>
        <w:widowControl w:val="0"/>
        <w:ind w:left="0" w:firstLine="0"/>
        <w:rPr>
          <w:iCs/>
        </w:rPr>
      </w:pPr>
    </w:p>
    <w:p w14:paraId="103AD71F" w14:textId="77777777" w:rsidR="005F4D8E" w:rsidRPr="00440C66" w:rsidRDefault="005F4D8E" w:rsidP="005F4D8E">
      <w:pPr>
        <w:widowControl w:val="0"/>
        <w:ind w:left="0" w:firstLine="0"/>
      </w:pPr>
    </w:p>
    <w:p w14:paraId="3C5B6FB1"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1AD8B251" w14:textId="77777777" w:rsidR="005F4D8E" w:rsidRPr="00440C66" w:rsidRDefault="005F4D8E" w:rsidP="005F4D8E">
      <w:pPr>
        <w:widowControl w:val="0"/>
        <w:ind w:left="0" w:firstLine="0"/>
      </w:pPr>
    </w:p>
    <w:p w14:paraId="063D9F2D"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rPr>
          <w:b/>
        </w:rPr>
      </w:pPr>
      <w:r w:rsidRPr="00440C66">
        <w:rPr>
          <w:b/>
        </w:rPr>
        <w:t>11.</w:t>
      </w:r>
      <w:r w:rsidRPr="00440C66">
        <w:rPr>
          <w:b/>
        </w:rPr>
        <w:tab/>
      </w:r>
      <w:r w:rsidRPr="00440C66">
        <w:rPr>
          <w:b/>
          <w:lang w:eastAsia="en-US"/>
        </w:rPr>
        <w:t>NAZWA</w:t>
      </w:r>
      <w:r w:rsidRPr="00440C66">
        <w:rPr>
          <w:b/>
        </w:rPr>
        <w:t xml:space="preserve"> I ADRES PODMIOTU ODPOWIEDZIALNEGO</w:t>
      </w:r>
    </w:p>
    <w:p w14:paraId="05103B59" w14:textId="77777777" w:rsidR="005F4D8E" w:rsidRPr="00440C66" w:rsidRDefault="005F4D8E" w:rsidP="005F4D8E">
      <w:pPr>
        <w:widowControl w:val="0"/>
      </w:pPr>
    </w:p>
    <w:p w14:paraId="5AC16912" w14:textId="77777777" w:rsidR="005F4D8E" w:rsidRPr="0058200C" w:rsidRDefault="005F4D8E" w:rsidP="005F4D8E">
      <w:pPr>
        <w:rPr>
          <w:noProof/>
          <w:szCs w:val="22"/>
        </w:rPr>
      </w:pPr>
      <w:r w:rsidRPr="0058200C">
        <w:rPr>
          <w:noProof/>
          <w:szCs w:val="22"/>
        </w:rPr>
        <w:t>Accord Healthcare S.L.U</w:t>
      </w:r>
    </w:p>
    <w:p w14:paraId="48E8CA07" w14:textId="77777777" w:rsidR="005F4D8E" w:rsidRPr="00FC35A4" w:rsidRDefault="005F4D8E" w:rsidP="005F4D8E">
      <w:pPr>
        <w:rPr>
          <w:noProof/>
          <w:szCs w:val="22"/>
          <w:lang w:val="es-ES"/>
        </w:rPr>
      </w:pPr>
      <w:r w:rsidRPr="00FC35A4">
        <w:rPr>
          <w:noProof/>
          <w:szCs w:val="22"/>
          <w:lang w:val="es-ES"/>
        </w:rPr>
        <w:t>World Trade Center, Moll de Barcelona s/n</w:t>
      </w:r>
    </w:p>
    <w:p w14:paraId="259B5D5D" w14:textId="77777777" w:rsidR="005F4D8E" w:rsidRPr="00FC35A4" w:rsidRDefault="005F4D8E" w:rsidP="005F4D8E">
      <w:pPr>
        <w:rPr>
          <w:noProof/>
          <w:szCs w:val="22"/>
          <w:lang w:val="es-ES"/>
        </w:rPr>
      </w:pPr>
      <w:r w:rsidRPr="00FC35A4">
        <w:rPr>
          <w:noProof/>
          <w:szCs w:val="22"/>
          <w:lang w:val="es-ES"/>
        </w:rPr>
        <w:t>Edifici Est, 6</w:t>
      </w:r>
      <w:r w:rsidRPr="00FC35A4">
        <w:rPr>
          <w:noProof/>
          <w:szCs w:val="22"/>
          <w:vertAlign w:val="superscript"/>
          <w:lang w:val="es-ES"/>
        </w:rPr>
        <w:t>a</w:t>
      </w:r>
      <w:r w:rsidRPr="00FC35A4">
        <w:rPr>
          <w:noProof/>
          <w:szCs w:val="22"/>
          <w:lang w:val="es-ES"/>
        </w:rPr>
        <w:t xml:space="preserve"> planta,</w:t>
      </w:r>
    </w:p>
    <w:p w14:paraId="54598510" w14:textId="77777777" w:rsidR="005F4D8E" w:rsidRDefault="005F4D8E" w:rsidP="005F4D8E">
      <w:pPr>
        <w:rPr>
          <w:noProof/>
          <w:szCs w:val="22"/>
        </w:rPr>
      </w:pPr>
      <w:r w:rsidRPr="007C7995">
        <w:rPr>
          <w:noProof/>
          <w:szCs w:val="22"/>
        </w:rPr>
        <w:t>08039 Barcelona</w:t>
      </w:r>
    </w:p>
    <w:p w14:paraId="09528D35" w14:textId="77777777" w:rsidR="005F4D8E" w:rsidRPr="007C7995" w:rsidRDefault="005F4D8E" w:rsidP="005F4D8E">
      <w:pPr>
        <w:rPr>
          <w:noProof/>
          <w:szCs w:val="22"/>
        </w:rPr>
      </w:pPr>
      <w:r>
        <w:rPr>
          <w:noProof/>
          <w:szCs w:val="22"/>
        </w:rPr>
        <w:t>Hiszpania</w:t>
      </w:r>
    </w:p>
    <w:p w14:paraId="3EFFEE4A" w14:textId="77777777" w:rsidR="005F4D8E" w:rsidRPr="00440C66" w:rsidRDefault="005F4D8E" w:rsidP="005F4D8E">
      <w:pPr>
        <w:widowControl w:val="0"/>
      </w:pPr>
    </w:p>
    <w:p w14:paraId="7B656405" w14:textId="77777777" w:rsidR="005F4D8E" w:rsidRPr="00440C66" w:rsidRDefault="005F4D8E" w:rsidP="005F4D8E">
      <w:pPr>
        <w:widowControl w:val="0"/>
      </w:pPr>
    </w:p>
    <w:p w14:paraId="7BBB1D88"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rPr>
          <w:b/>
        </w:rPr>
      </w:pPr>
      <w:r w:rsidRPr="00440C66">
        <w:rPr>
          <w:b/>
        </w:rPr>
        <w:t>12.</w:t>
      </w:r>
      <w:r w:rsidRPr="00440C66">
        <w:rPr>
          <w:b/>
        </w:rPr>
        <w:tab/>
        <w:t>NUMERY POZWOLEŃ NA DOPUSZCZENIE DO OBROTU</w:t>
      </w:r>
    </w:p>
    <w:p w14:paraId="5468E536" w14:textId="77777777" w:rsidR="005F4D8E" w:rsidRPr="00440C66" w:rsidRDefault="005F4D8E" w:rsidP="005F4D8E">
      <w:pPr>
        <w:widowControl w:val="0"/>
      </w:pPr>
    </w:p>
    <w:p w14:paraId="2403051A" w14:textId="77777777" w:rsidR="005F4D8E" w:rsidRPr="00FC35A4" w:rsidRDefault="005F4D8E" w:rsidP="005F4D8E">
      <w:pPr>
        <w:widowControl w:val="0"/>
        <w:rPr>
          <w:shd w:val="clear" w:color="auto" w:fill="D9D9D9"/>
          <w:lang w:val="es-ES"/>
        </w:rPr>
      </w:pPr>
    </w:p>
    <w:p w14:paraId="22E78BF1" w14:textId="77777777" w:rsidR="005F4D8E" w:rsidRPr="00FC35A4" w:rsidRDefault="005F4D8E" w:rsidP="005F4D8E">
      <w:pPr>
        <w:widowControl w:val="0"/>
        <w:outlineLvl w:val="0"/>
        <w:rPr>
          <w:lang w:val="es-ES"/>
        </w:rPr>
      </w:pPr>
    </w:p>
    <w:p w14:paraId="27F059B2"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rPr>
          <w:lang w:val="nb-NO"/>
        </w:rPr>
      </w:pPr>
      <w:r w:rsidRPr="00440C66">
        <w:rPr>
          <w:b/>
          <w:lang w:val="nb-NO"/>
        </w:rPr>
        <w:t>13.</w:t>
      </w:r>
      <w:r w:rsidRPr="00440C66">
        <w:rPr>
          <w:b/>
          <w:lang w:val="nb-NO"/>
        </w:rPr>
        <w:tab/>
        <w:t>NUMER SERII</w:t>
      </w:r>
    </w:p>
    <w:p w14:paraId="4AADBD88" w14:textId="77777777" w:rsidR="005F4D8E" w:rsidRPr="00440C66" w:rsidRDefault="005F4D8E" w:rsidP="005F4D8E">
      <w:pPr>
        <w:widowControl w:val="0"/>
        <w:rPr>
          <w:i/>
          <w:lang w:val="nb-NO"/>
        </w:rPr>
      </w:pPr>
    </w:p>
    <w:p w14:paraId="064CE945" w14:textId="77777777" w:rsidR="005F4D8E" w:rsidRPr="00440C66" w:rsidRDefault="005F4D8E" w:rsidP="005F4D8E">
      <w:pPr>
        <w:widowControl w:val="0"/>
        <w:rPr>
          <w:lang w:val="nb-NO"/>
        </w:rPr>
      </w:pPr>
      <w:r w:rsidRPr="00440C66">
        <w:rPr>
          <w:lang w:val="nb-NO"/>
        </w:rPr>
        <w:t>Nr serii (Lot)</w:t>
      </w:r>
    </w:p>
    <w:p w14:paraId="4F9DADE5" w14:textId="77777777" w:rsidR="005F4D8E" w:rsidRPr="00440C66" w:rsidRDefault="005F4D8E" w:rsidP="005F4D8E">
      <w:pPr>
        <w:widowControl w:val="0"/>
        <w:rPr>
          <w:lang w:val="nb-NO"/>
        </w:rPr>
      </w:pPr>
    </w:p>
    <w:p w14:paraId="6F24FC03" w14:textId="77777777" w:rsidR="005F4D8E" w:rsidRPr="00440C66" w:rsidRDefault="005F4D8E" w:rsidP="005F4D8E">
      <w:pPr>
        <w:widowControl w:val="0"/>
        <w:rPr>
          <w:lang w:val="nb-NO"/>
        </w:rPr>
      </w:pPr>
    </w:p>
    <w:p w14:paraId="78E4E66A"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14.</w:t>
      </w:r>
      <w:r w:rsidRPr="00440C66">
        <w:rPr>
          <w:b/>
        </w:rPr>
        <w:tab/>
        <w:t>OGÓLNA KATEGORIA DOSTĘPNOŚCI</w:t>
      </w:r>
    </w:p>
    <w:p w14:paraId="00685CEF" w14:textId="77777777" w:rsidR="005F4D8E" w:rsidRPr="00440C66" w:rsidRDefault="005F4D8E" w:rsidP="005F4D8E">
      <w:pPr>
        <w:widowControl w:val="0"/>
      </w:pPr>
    </w:p>
    <w:p w14:paraId="3EC1EA02" w14:textId="77777777" w:rsidR="005F4D8E" w:rsidRPr="00440C66" w:rsidRDefault="005F4D8E" w:rsidP="005F4D8E">
      <w:pPr>
        <w:widowControl w:val="0"/>
      </w:pPr>
    </w:p>
    <w:p w14:paraId="303B1683"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r w:rsidRPr="00440C66">
        <w:rPr>
          <w:b/>
        </w:rPr>
        <w:t>15.</w:t>
      </w:r>
      <w:r w:rsidRPr="00440C66">
        <w:rPr>
          <w:b/>
        </w:rPr>
        <w:tab/>
        <w:t>INSTRUKCJA UŻYCIA</w:t>
      </w:r>
    </w:p>
    <w:p w14:paraId="65DB61E6" w14:textId="77777777" w:rsidR="005F4D8E" w:rsidRPr="00440C66" w:rsidRDefault="005F4D8E" w:rsidP="005F4D8E">
      <w:pPr>
        <w:widowControl w:val="0"/>
      </w:pPr>
    </w:p>
    <w:p w14:paraId="2C47AB3E" w14:textId="77777777" w:rsidR="005F4D8E" w:rsidRPr="00440C66" w:rsidRDefault="005F4D8E" w:rsidP="005F4D8E">
      <w:pPr>
        <w:widowControl w:val="0"/>
      </w:pPr>
    </w:p>
    <w:p w14:paraId="54813892" w14:textId="77777777" w:rsidR="005F4D8E" w:rsidRPr="00440C66" w:rsidRDefault="005F4D8E" w:rsidP="005F4D8E">
      <w:pPr>
        <w:widowControl w:val="0"/>
        <w:pBdr>
          <w:top w:val="single" w:sz="4" w:space="1" w:color="auto"/>
          <w:left w:val="single" w:sz="4" w:space="4" w:color="auto"/>
          <w:bottom w:val="single" w:sz="4" w:space="1" w:color="auto"/>
          <w:right w:val="single" w:sz="4" w:space="4" w:color="auto"/>
        </w:pBdr>
        <w:outlineLvl w:val="0"/>
      </w:pPr>
      <w:bookmarkStart w:id="16" w:name="_Hlk110425975"/>
      <w:r w:rsidRPr="00440C66">
        <w:rPr>
          <w:b/>
        </w:rPr>
        <w:t>16.</w:t>
      </w:r>
      <w:r w:rsidRPr="00440C66">
        <w:rPr>
          <w:b/>
        </w:rPr>
        <w:tab/>
        <w:t>INFORMACJA PODANA SYSTEMEM BRAILLE’A</w:t>
      </w:r>
    </w:p>
    <w:p w14:paraId="7C642B14" w14:textId="2C37145F" w:rsidR="005F4D8E" w:rsidRDefault="005F4D8E" w:rsidP="005F4D8E">
      <w:pPr>
        <w:widowControl w:val="0"/>
      </w:pPr>
    </w:p>
    <w:p w14:paraId="58155A33" w14:textId="77777777" w:rsidR="001020BC" w:rsidRPr="00440C66" w:rsidRDefault="001020BC" w:rsidP="005F4D8E">
      <w:pPr>
        <w:widowControl w:val="0"/>
      </w:pPr>
    </w:p>
    <w:p w14:paraId="13D3F172" w14:textId="68003A7A"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bookmarkStart w:id="17" w:name="_Hlk110426127"/>
      <w:bookmarkEnd w:id="16"/>
      <w:r w:rsidRPr="00440C66">
        <w:rPr>
          <w:b/>
        </w:rPr>
        <w:t>1</w:t>
      </w:r>
      <w:r>
        <w:rPr>
          <w:b/>
        </w:rPr>
        <w:t>7</w:t>
      </w:r>
      <w:r w:rsidRPr="00440C66">
        <w:rPr>
          <w:b/>
        </w:rPr>
        <w:t>.</w:t>
      </w:r>
      <w:r w:rsidRPr="00440C66">
        <w:rPr>
          <w:b/>
        </w:rPr>
        <w:tab/>
      </w:r>
      <w:r>
        <w:rPr>
          <w:b/>
        </w:rPr>
        <w:t>NIEPOWTARZALNY IDENTYFIKATOR – KOD 2D</w:t>
      </w:r>
    </w:p>
    <w:p w14:paraId="44E24E3F" w14:textId="5FC36788" w:rsidR="001020BC" w:rsidRDefault="001020BC" w:rsidP="001020BC">
      <w:pPr>
        <w:widowControl w:val="0"/>
      </w:pPr>
    </w:p>
    <w:p w14:paraId="6667AEB6" w14:textId="77777777" w:rsidR="001020BC" w:rsidRPr="00440C66" w:rsidRDefault="001020BC" w:rsidP="001020BC">
      <w:pPr>
        <w:widowControl w:val="0"/>
      </w:pPr>
    </w:p>
    <w:bookmarkEnd w:id="17"/>
    <w:p w14:paraId="38C0512F" w14:textId="5D42E820"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w:t>
      </w:r>
      <w:r>
        <w:rPr>
          <w:b/>
        </w:rPr>
        <w:t>8</w:t>
      </w:r>
      <w:r w:rsidRPr="00440C66">
        <w:rPr>
          <w:b/>
        </w:rPr>
        <w:t>.</w:t>
      </w:r>
      <w:r w:rsidRPr="00440C66">
        <w:rPr>
          <w:b/>
        </w:rPr>
        <w:tab/>
      </w:r>
      <w:r>
        <w:rPr>
          <w:b/>
        </w:rPr>
        <w:t>NIEPOWTARZALNY IDENTYFIKATOR – DANE CZYTELNE DLA CZŁOWIEKA</w:t>
      </w:r>
    </w:p>
    <w:p w14:paraId="44F756A2" w14:textId="77777777" w:rsidR="001020BC" w:rsidRPr="00440C66" w:rsidRDefault="001020BC" w:rsidP="001020BC">
      <w:pPr>
        <w:widowControl w:val="0"/>
      </w:pPr>
    </w:p>
    <w:p w14:paraId="11E67908" w14:textId="77777777" w:rsidR="001020BC" w:rsidRPr="00050A77" w:rsidRDefault="001020BC" w:rsidP="001020BC">
      <w:pPr>
        <w:widowControl w:val="0"/>
      </w:pPr>
    </w:p>
    <w:p w14:paraId="000E174C" w14:textId="4A36565D" w:rsidR="005F4D8E" w:rsidRPr="00050A77" w:rsidRDefault="005F4D8E" w:rsidP="001020BC">
      <w:pPr>
        <w:widowControl w:val="0"/>
      </w:pPr>
    </w:p>
    <w:p w14:paraId="730C5FDF" w14:textId="77777777" w:rsidR="005F4D8E" w:rsidRPr="00C937E7" w:rsidRDefault="005F4D8E" w:rsidP="005F4D8E">
      <w:pPr>
        <w:rPr>
          <w:noProof/>
        </w:rPr>
      </w:pPr>
    </w:p>
    <w:bookmarkEnd w:id="15"/>
    <w:p w14:paraId="07D46B3C" w14:textId="77777777" w:rsidR="005F4D8E" w:rsidRPr="00440C66" w:rsidRDefault="005F4D8E" w:rsidP="005F4D8E">
      <w:pPr>
        <w:widowControl w:val="0"/>
      </w:pPr>
    </w:p>
    <w:p w14:paraId="7849ECDD"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pPr>
    </w:p>
    <w:p w14:paraId="20EF3303" w14:textId="77777777" w:rsidR="001020BC" w:rsidRDefault="001020BC" w:rsidP="004C760F">
      <w:pPr>
        <w:widowControl w:val="0"/>
        <w:pBdr>
          <w:top w:val="single" w:sz="4" w:space="1" w:color="auto"/>
          <w:left w:val="single" w:sz="4" w:space="4" w:color="auto"/>
          <w:bottom w:val="single" w:sz="4" w:space="1" w:color="auto"/>
          <w:right w:val="single" w:sz="4" w:space="4" w:color="auto"/>
        </w:pBdr>
        <w:rPr>
          <w:b/>
        </w:rPr>
      </w:pPr>
      <w:r w:rsidRPr="001020BC">
        <w:rPr>
          <w:b/>
        </w:rPr>
        <w:t>MINIMUM INFORMACJI ZAMIESZCZANYCH NA BLISTRACH LUB OPAKOWANIAC</w:t>
      </w:r>
      <w:r>
        <w:rPr>
          <w:b/>
        </w:rPr>
        <w:t>H</w:t>
      </w:r>
    </w:p>
    <w:p w14:paraId="6AE7E827" w14:textId="118470FC" w:rsidR="001020BC" w:rsidRDefault="001020BC" w:rsidP="004C760F">
      <w:pPr>
        <w:widowControl w:val="0"/>
        <w:pBdr>
          <w:top w:val="single" w:sz="4" w:space="1" w:color="auto"/>
          <w:left w:val="single" w:sz="4" w:space="4" w:color="auto"/>
          <w:bottom w:val="single" w:sz="4" w:space="1" w:color="auto"/>
          <w:right w:val="single" w:sz="4" w:space="4" w:color="auto"/>
        </w:pBdr>
        <w:rPr>
          <w:b/>
        </w:rPr>
      </w:pPr>
      <w:r>
        <w:rPr>
          <w:b/>
        </w:rPr>
        <w:t xml:space="preserve"> </w:t>
      </w:r>
      <w:r w:rsidRPr="001020BC">
        <w:rPr>
          <w:b/>
        </w:rPr>
        <w:t>FOLIOWYCH</w:t>
      </w:r>
    </w:p>
    <w:p w14:paraId="763389F3" w14:textId="77777777" w:rsidR="001020BC" w:rsidRDefault="001020BC" w:rsidP="004C760F">
      <w:pPr>
        <w:widowControl w:val="0"/>
        <w:pBdr>
          <w:top w:val="single" w:sz="4" w:space="1" w:color="auto"/>
          <w:left w:val="single" w:sz="4" w:space="4" w:color="auto"/>
          <w:bottom w:val="single" w:sz="4" w:space="1" w:color="auto"/>
          <w:right w:val="single" w:sz="4" w:space="4" w:color="auto"/>
        </w:pBdr>
        <w:rPr>
          <w:b/>
        </w:rPr>
      </w:pPr>
    </w:p>
    <w:p w14:paraId="4710C43C" w14:textId="5DC1FDD4" w:rsidR="001819A6" w:rsidRPr="00440C66" w:rsidRDefault="001819A6" w:rsidP="004C760F">
      <w:pPr>
        <w:widowControl w:val="0"/>
        <w:pBdr>
          <w:top w:val="single" w:sz="4" w:space="1" w:color="auto"/>
          <w:left w:val="single" w:sz="4" w:space="4" w:color="auto"/>
          <w:bottom w:val="single" w:sz="4" w:space="1" w:color="auto"/>
          <w:right w:val="single" w:sz="4" w:space="4" w:color="auto"/>
        </w:pBdr>
        <w:rPr>
          <w:b/>
        </w:rPr>
      </w:pPr>
      <w:r w:rsidRPr="00440C66">
        <w:rPr>
          <w:b/>
        </w:rPr>
        <w:t>BLIST</w:t>
      </w:r>
      <w:r w:rsidR="00822CCF">
        <w:rPr>
          <w:b/>
        </w:rPr>
        <w:t>E</w:t>
      </w:r>
      <w:r w:rsidRPr="00440C66">
        <w:rPr>
          <w:b/>
        </w:rPr>
        <w:t>R</w:t>
      </w:r>
    </w:p>
    <w:p w14:paraId="694505A4" w14:textId="77777777" w:rsidR="008910B7" w:rsidRPr="00440C66" w:rsidRDefault="008910B7" w:rsidP="004C760F">
      <w:pPr>
        <w:widowControl w:val="0"/>
      </w:pPr>
    </w:p>
    <w:p w14:paraId="17F6483C" w14:textId="77777777" w:rsidR="008910B7" w:rsidRPr="00440C66" w:rsidRDefault="008910B7" w:rsidP="004C760F">
      <w:pPr>
        <w:widowControl w:val="0"/>
      </w:pPr>
    </w:p>
    <w:p w14:paraId="5E3DEF9A"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1.</w:t>
      </w:r>
      <w:r w:rsidRPr="00440C66">
        <w:rPr>
          <w:b/>
        </w:rPr>
        <w:tab/>
        <w:t>NAZWA PRODUKTU LECZNICZEGO</w:t>
      </w:r>
    </w:p>
    <w:p w14:paraId="091DBD91" w14:textId="77777777" w:rsidR="008910B7" w:rsidRPr="00440C66" w:rsidRDefault="008910B7" w:rsidP="004C760F">
      <w:pPr>
        <w:widowControl w:val="0"/>
      </w:pPr>
    </w:p>
    <w:p w14:paraId="54FE1640" w14:textId="25353A5F" w:rsidR="008910B7" w:rsidRPr="003C72B4" w:rsidRDefault="003C72B4" w:rsidP="004C760F">
      <w:pPr>
        <w:widowControl w:val="0"/>
      </w:pPr>
      <w:r w:rsidRPr="00FC35A4">
        <w:t>Vildagliptin/Metformin hydrochloride Accord</w:t>
      </w:r>
      <w:r w:rsidR="00CE0D76" w:rsidRPr="003C72B4">
        <w:t xml:space="preserve"> </w:t>
      </w:r>
      <w:r w:rsidR="008910B7" w:rsidRPr="003C72B4">
        <w:t xml:space="preserve">50 mg/850 mg </w:t>
      </w:r>
      <w:r w:rsidR="00CE0D76" w:rsidRPr="003C72B4">
        <w:t xml:space="preserve">tabletki </w:t>
      </w:r>
    </w:p>
    <w:p w14:paraId="32A88665" w14:textId="77777777" w:rsidR="008910B7" w:rsidRPr="00440C66" w:rsidRDefault="00CE0D76" w:rsidP="004C760F">
      <w:pPr>
        <w:widowControl w:val="0"/>
      </w:pPr>
      <w:r w:rsidRPr="00440C66">
        <w:t>wildagliptyna</w:t>
      </w:r>
      <w:r w:rsidR="008910B7" w:rsidRPr="00440C66">
        <w:t>/metformin</w:t>
      </w:r>
      <w:r w:rsidR="00154E9D" w:rsidRPr="00440C66">
        <w:t>y</w:t>
      </w:r>
      <w:r w:rsidR="00BF1C35" w:rsidRPr="00440C66">
        <w:t xml:space="preserve"> chlorowodorek</w:t>
      </w:r>
    </w:p>
    <w:p w14:paraId="06388ED0" w14:textId="77777777" w:rsidR="008910B7" w:rsidRPr="00440C66" w:rsidRDefault="008910B7" w:rsidP="004C760F">
      <w:pPr>
        <w:widowControl w:val="0"/>
      </w:pPr>
    </w:p>
    <w:p w14:paraId="42CB64EE" w14:textId="77777777" w:rsidR="008910B7" w:rsidRPr="00440C66" w:rsidRDefault="008910B7" w:rsidP="004C760F">
      <w:pPr>
        <w:widowControl w:val="0"/>
      </w:pPr>
    </w:p>
    <w:p w14:paraId="0FEBCE1D"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2.</w:t>
      </w:r>
      <w:r w:rsidRPr="00440C66">
        <w:rPr>
          <w:b/>
        </w:rPr>
        <w:tab/>
        <w:t>NAZWA PODMIOTU ODPOWIEDZIALNEGO</w:t>
      </w:r>
    </w:p>
    <w:p w14:paraId="644EE53B" w14:textId="77777777" w:rsidR="008910B7" w:rsidRPr="00440C66" w:rsidRDefault="008910B7" w:rsidP="004C760F">
      <w:pPr>
        <w:widowControl w:val="0"/>
      </w:pPr>
    </w:p>
    <w:p w14:paraId="09B10188" w14:textId="40D201E1" w:rsidR="008910B7" w:rsidRPr="00871713" w:rsidRDefault="00822CCF" w:rsidP="004C760F">
      <w:pPr>
        <w:widowControl w:val="0"/>
        <w:rPr>
          <w:lang w:val="en-US"/>
        </w:rPr>
      </w:pPr>
      <w:r>
        <w:rPr>
          <w:lang w:val="en-US"/>
        </w:rPr>
        <w:t>Accord</w:t>
      </w:r>
    </w:p>
    <w:p w14:paraId="66947660" w14:textId="77777777" w:rsidR="008910B7" w:rsidRPr="00871713" w:rsidRDefault="008910B7" w:rsidP="004C760F">
      <w:pPr>
        <w:widowControl w:val="0"/>
        <w:rPr>
          <w:lang w:val="en-US"/>
        </w:rPr>
      </w:pPr>
    </w:p>
    <w:p w14:paraId="688E3503" w14:textId="77777777" w:rsidR="001819A6" w:rsidRPr="00871713"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lang w:val="en-US"/>
        </w:rPr>
      </w:pPr>
      <w:r w:rsidRPr="00871713">
        <w:rPr>
          <w:b/>
          <w:lang w:val="en-US"/>
        </w:rPr>
        <w:lastRenderedPageBreak/>
        <w:t>3.</w:t>
      </w:r>
      <w:r w:rsidRPr="00871713">
        <w:rPr>
          <w:b/>
          <w:lang w:val="en-US"/>
        </w:rPr>
        <w:tab/>
        <w:t>TERMIN WAŻNOŚCI</w:t>
      </w:r>
    </w:p>
    <w:p w14:paraId="3294A2C3" w14:textId="77777777" w:rsidR="008910B7" w:rsidRPr="00871713" w:rsidRDefault="008910B7" w:rsidP="004C760F">
      <w:pPr>
        <w:widowControl w:val="0"/>
        <w:rPr>
          <w:lang w:val="en-US"/>
        </w:rPr>
      </w:pPr>
    </w:p>
    <w:p w14:paraId="0B34D12F" w14:textId="77777777" w:rsidR="008910B7" w:rsidRPr="00871713" w:rsidRDefault="008910B7" w:rsidP="004C760F">
      <w:pPr>
        <w:widowControl w:val="0"/>
        <w:rPr>
          <w:lang w:val="en-US"/>
        </w:rPr>
      </w:pPr>
      <w:r w:rsidRPr="00871713">
        <w:rPr>
          <w:lang w:val="en-US"/>
        </w:rPr>
        <w:t>EXP</w:t>
      </w:r>
    </w:p>
    <w:p w14:paraId="0449B059" w14:textId="77777777" w:rsidR="008910B7" w:rsidRPr="00871713" w:rsidRDefault="008910B7" w:rsidP="004C760F">
      <w:pPr>
        <w:widowControl w:val="0"/>
        <w:rPr>
          <w:lang w:val="en-US"/>
        </w:rPr>
      </w:pPr>
    </w:p>
    <w:p w14:paraId="19FF099F" w14:textId="77777777" w:rsidR="008910B7" w:rsidRPr="00871713" w:rsidRDefault="008910B7" w:rsidP="004C760F">
      <w:pPr>
        <w:widowControl w:val="0"/>
        <w:rPr>
          <w:lang w:val="en-US"/>
        </w:rPr>
      </w:pPr>
    </w:p>
    <w:p w14:paraId="6820D095" w14:textId="77777777" w:rsidR="001819A6" w:rsidRPr="00FC35A4"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lang w:val="en-GB"/>
        </w:rPr>
      </w:pPr>
      <w:r w:rsidRPr="00FC35A4">
        <w:rPr>
          <w:b/>
          <w:lang w:val="en-GB"/>
        </w:rPr>
        <w:t>4.</w:t>
      </w:r>
      <w:r w:rsidRPr="00FC35A4">
        <w:rPr>
          <w:b/>
          <w:lang w:val="en-GB"/>
        </w:rPr>
        <w:tab/>
        <w:t>NUMER SERII</w:t>
      </w:r>
    </w:p>
    <w:p w14:paraId="4DEECA55" w14:textId="77777777" w:rsidR="008910B7" w:rsidRPr="00FC35A4" w:rsidRDefault="008910B7" w:rsidP="004C760F">
      <w:pPr>
        <w:widowControl w:val="0"/>
        <w:ind w:right="113"/>
        <w:rPr>
          <w:lang w:val="en-GB"/>
        </w:rPr>
      </w:pPr>
    </w:p>
    <w:p w14:paraId="5CD4EF6D" w14:textId="77777777" w:rsidR="008910B7" w:rsidRPr="00440C66" w:rsidRDefault="008910B7" w:rsidP="004C760F">
      <w:pPr>
        <w:widowControl w:val="0"/>
        <w:ind w:right="113"/>
      </w:pPr>
      <w:r w:rsidRPr="00440C66">
        <w:t>Lot</w:t>
      </w:r>
    </w:p>
    <w:p w14:paraId="6FF20C8D" w14:textId="77777777" w:rsidR="008910B7" w:rsidRPr="00440C66" w:rsidRDefault="008910B7" w:rsidP="004C760F">
      <w:pPr>
        <w:widowControl w:val="0"/>
        <w:ind w:right="113"/>
      </w:pPr>
    </w:p>
    <w:p w14:paraId="33D862E7" w14:textId="77777777" w:rsidR="008910B7" w:rsidRPr="00440C66" w:rsidRDefault="008910B7" w:rsidP="004C760F">
      <w:pPr>
        <w:widowControl w:val="0"/>
        <w:ind w:right="113"/>
      </w:pPr>
    </w:p>
    <w:p w14:paraId="0F56FE21"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5.</w:t>
      </w:r>
      <w:r w:rsidRPr="00440C66">
        <w:rPr>
          <w:b/>
        </w:rPr>
        <w:tab/>
        <w:t>INNE</w:t>
      </w:r>
    </w:p>
    <w:p w14:paraId="175FF309" w14:textId="77777777" w:rsidR="008A2514" w:rsidRPr="00440C66" w:rsidRDefault="008A2514" w:rsidP="004C760F">
      <w:pPr>
        <w:widowControl w:val="0"/>
      </w:pPr>
    </w:p>
    <w:p w14:paraId="56FB58D7" w14:textId="77777777" w:rsidR="00FC217B" w:rsidRDefault="00CE0D76" w:rsidP="004C760F">
      <w:pPr>
        <w:widowControl w:val="0"/>
      </w:pPr>
      <w:r w:rsidRPr="00440C66">
        <w:br w:type="page"/>
      </w:r>
    </w:p>
    <w:p w14:paraId="35C00989"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rPr>
          <w:b/>
        </w:rPr>
      </w:pPr>
      <w:r w:rsidRPr="00440C66">
        <w:rPr>
          <w:b/>
        </w:rPr>
        <w:lastRenderedPageBreak/>
        <w:t>INFORMACJE ZAMIESZCZANE NA OPAKOWANIACH ZEWNĘTRZNYCH</w:t>
      </w:r>
    </w:p>
    <w:p w14:paraId="233A8AF6"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rPr>
          <w:bCs/>
        </w:rPr>
      </w:pPr>
    </w:p>
    <w:p w14:paraId="17F1D011" w14:textId="14939826" w:rsidR="003C0F9F" w:rsidRPr="00440C66" w:rsidRDefault="00543AEB" w:rsidP="004C760F">
      <w:pPr>
        <w:widowControl w:val="0"/>
        <w:pBdr>
          <w:top w:val="single" w:sz="4" w:space="1" w:color="auto"/>
          <w:left w:val="single" w:sz="4" w:space="4" w:color="auto"/>
          <w:bottom w:val="single" w:sz="4" w:space="1" w:color="auto"/>
          <w:right w:val="single" w:sz="4" w:space="4" w:color="auto"/>
        </w:pBdr>
        <w:rPr>
          <w:b/>
          <w:bCs/>
        </w:rPr>
      </w:pPr>
      <w:r>
        <w:rPr>
          <w:b/>
          <w:bCs/>
        </w:rPr>
        <w:t xml:space="preserve">TEKTUROWE </w:t>
      </w:r>
      <w:r w:rsidR="003C0F9F" w:rsidRPr="00440C66">
        <w:rPr>
          <w:b/>
          <w:bCs/>
        </w:rPr>
        <w:t xml:space="preserve">PUDEŁKO </w:t>
      </w:r>
      <w:r>
        <w:rPr>
          <w:b/>
          <w:bCs/>
        </w:rPr>
        <w:t>ZEWNĘTRZNE</w:t>
      </w:r>
    </w:p>
    <w:p w14:paraId="32C7E7B4" w14:textId="77777777" w:rsidR="003C0F9F" w:rsidRPr="00440C66" w:rsidRDefault="003C0F9F" w:rsidP="004C760F">
      <w:pPr>
        <w:widowControl w:val="0"/>
      </w:pPr>
    </w:p>
    <w:p w14:paraId="3A10C1D4" w14:textId="77777777" w:rsidR="003C0F9F" w:rsidRPr="00440C66" w:rsidRDefault="003C0F9F" w:rsidP="004C760F">
      <w:pPr>
        <w:widowControl w:val="0"/>
      </w:pPr>
    </w:p>
    <w:p w14:paraId="2FE8A8E6"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1.</w:t>
      </w:r>
      <w:r w:rsidRPr="00440C66">
        <w:rPr>
          <w:b/>
        </w:rPr>
        <w:tab/>
      </w:r>
      <w:r w:rsidRPr="00440C66">
        <w:rPr>
          <w:b/>
          <w:lang w:eastAsia="en-US"/>
        </w:rPr>
        <w:t>NAZWA PRODUKTU LECZNICZEGO</w:t>
      </w:r>
    </w:p>
    <w:p w14:paraId="0BA452F4" w14:textId="77777777" w:rsidR="003C0F9F" w:rsidRPr="00440C66" w:rsidRDefault="003C0F9F" w:rsidP="004C760F">
      <w:pPr>
        <w:widowControl w:val="0"/>
      </w:pPr>
    </w:p>
    <w:p w14:paraId="3A0F147C" w14:textId="7D409D94" w:rsidR="003C0F9F" w:rsidRPr="00FC35A4" w:rsidRDefault="003C72B4" w:rsidP="004C760F">
      <w:pPr>
        <w:widowControl w:val="0"/>
        <w:rPr>
          <w:lang w:val="en-GB"/>
        </w:rPr>
      </w:pPr>
      <w:r>
        <w:rPr>
          <w:lang w:val="en-GB"/>
        </w:rPr>
        <w:t>Vildagliptin/Metformin hydrochloride Accord</w:t>
      </w:r>
      <w:r w:rsidR="003C0F9F" w:rsidRPr="00FC35A4">
        <w:rPr>
          <w:lang w:val="en-GB"/>
        </w:rPr>
        <w:t xml:space="preserve"> 50 mg/1000 mg </w:t>
      </w:r>
      <w:proofErr w:type="spellStart"/>
      <w:r w:rsidR="003C0F9F" w:rsidRPr="00FC35A4">
        <w:rPr>
          <w:lang w:val="en-GB"/>
        </w:rPr>
        <w:t>tabletki</w:t>
      </w:r>
      <w:proofErr w:type="spellEnd"/>
      <w:r w:rsidR="003C0F9F" w:rsidRPr="00FC35A4">
        <w:rPr>
          <w:lang w:val="en-GB"/>
        </w:rPr>
        <w:t xml:space="preserve"> </w:t>
      </w:r>
      <w:proofErr w:type="spellStart"/>
      <w:r w:rsidR="003C0F9F" w:rsidRPr="00FC35A4">
        <w:rPr>
          <w:lang w:val="en-GB"/>
        </w:rPr>
        <w:t>powlekane</w:t>
      </w:r>
      <w:proofErr w:type="spellEnd"/>
    </w:p>
    <w:p w14:paraId="6F91BB93" w14:textId="77777777" w:rsidR="003C0F9F" w:rsidRPr="00440C66" w:rsidRDefault="003C0F9F" w:rsidP="004C760F">
      <w:pPr>
        <w:widowControl w:val="0"/>
      </w:pPr>
      <w:r w:rsidRPr="00440C66">
        <w:t>wildagliptyna/metforminy chlorowodorek</w:t>
      </w:r>
    </w:p>
    <w:p w14:paraId="44D5F123" w14:textId="77777777" w:rsidR="003C0F9F" w:rsidRPr="00440C66" w:rsidRDefault="003C0F9F" w:rsidP="004C760F">
      <w:pPr>
        <w:widowControl w:val="0"/>
      </w:pPr>
    </w:p>
    <w:p w14:paraId="5E909392" w14:textId="77777777" w:rsidR="003C0F9F" w:rsidRPr="00440C66" w:rsidRDefault="003C0F9F" w:rsidP="004C760F">
      <w:pPr>
        <w:widowControl w:val="0"/>
      </w:pPr>
    </w:p>
    <w:p w14:paraId="6B7A294B"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2.</w:t>
      </w:r>
      <w:r w:rsidRPr="00440C66">
        <w:rPr>
          <w:b/>
        </w:rPr>
        <w:tab/>
      </w:r>
      <w:r w:rsidRPr="00440C66">
        <w:rPr>
          <w:b/>
          <w:lang w:eastAsia="en-US"/>
        </w:rPr>
        <w:t>ZAWARTOŚĆ SUBSTANCJI CZYNNYCH</w:t>
      </w:r>
    </w:p>
    <w:p w14:paraId="488F199B" w14:textId="77777777" w:rsidR="003C0F9F" w:rsidRPr="00440C66" w:rsidRDefault="003C0F9F" w:rsidP="004C760F">
      <w:pPr>
        <w:widowControl w:val="0"/>
      </w:pPr>
    </w:p>
    <w:p w14:paraId="34D636C9" w14:textId="77777777" w:rsidR="003C0F9F" w:rsidRPr="00440C66" w:rsidRDefault="003C0F9F" w:rsidP="004C760F">
      <w:pPr>
        <w:widowControl w:val="0"/>
        <w:ind w:left="0" w:firstLine="0"/>
      </w:pPr>
      <w:r w:rsidRPr="00440C66">
        <w:t>Każda tabletka zawiera 50 mg wildagliptyny i 1000 mg metforminy chlorowodorku (co odpowiada 780 mg metforminy).</w:t>
      </w:r>
    </w:p>
    <w:p w14:paraId="190090F1" w14:textId="77777777" w:rsidR="003C0F9F" w:rsidRPr="00440C66" w:rsidRDefault="003C0F9F" w:rsidP="004C760F">
      <w:pPr>
        <w:widowControl w:val="0"/>
      </w:pPr>
    </w:p>
    <w:p w14:paraId="45C531CF" w14:textId="77777777" w:rsidR="003C0F9F" w:rsidRPr="00440C66" w:rsidRDefault="003C0F9F" w:rsidP="004C760F">
      <w:pPr>
        <w:widowControl w:val="0"/>
      </w:pPr>
    </w:p>
    <w:p w14:paraId="3914BE3F"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3.</w:t>
      </w:r>
      <w:r w:rsidRPr="00440C66">
        <w:rPr>
          <w:b/>
        </w:rPr>
        <w:tab/>
      </w:r>
      <w:r w:rsidRPr="00440C66">
        <w:rPr>
          <w:b/>
          <w:lang w:eastAsia="en-US"/>
        </w:rPr>
        <w:t>WYKAZ SUBSTANCJI POMOCNICZYCH</w:t>
      </w:r>
    </w:p>
    <w:p w14:paraId="6BD34DE0" w14:textId="77777777" w:rsidR="003C0F9F" w:rsidRPr="00440C66" w:rsidRDefault="003C0F9F" w:rsidP="004C760F">
      <w:pPr>
        <w:widowControl w:val="0"/>
      </w:pPr>
    </w:p>
    <w:p w14:paraId="245F8629" w14:textId="77777777" w:rsidR="003C0F9F" w:rsidRPr="00440C66" w:rsidRDefault="003C0F9F" w:rsidP="004C760F">
      <w:pPr>
        <w:widowControl w:val="0"/>
      </w:pPr>
    </w:p>
    <w:p w14:paraId="7FAA8910"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4.</w:t>
      </w:r>
      <w:r w:rsidRPr="00440C66">
        <w:rPr>
          <w:b/>
        </w:rPr>
        <w:tab/>
      </w:r>
      <w:r w:rsidRPr="00440C66">
        <w:rPr>
          <w:b/>
          <w:lang w:eastAsia="en-US"/>
        </w:rPr>
        <w:t>POSTAĆ FARMACEUTYCZNA I ZAWARTOŚĆ OPAKOWANIA</w:t>
      </w:r>
    </w:p>
    <w:p w14:paraId="4C593787" w14:textId="77777777" w:rsidR="003C0F9F" w:rsidRDefault="003C0F9F" w:rsidP="004C760F">
      <w:pPr>
        <w:widowControl w:val="0"/>
      </w:pPr>
    </w:p>
    <w:p w14:paraId="2AD3D939" w14:textId="77777777" w:rsidR="00543AEB" w:rsidRDefault="00543AEB" w:rsidP="00543AEB">
      <w:pPr>
        <w:widowControl w:val="0"/>
      </w:pPr>
      <w:r w:rsidRPr="008C5989">
        <w:rPr>
          <w:shd w:val="pct15" w:color="auto" w:fill="auto"/>
        </w:rPr>
        <w:t>Tabletka powlekana</w:t>
      </w:r>
    </w:p>
    <w:p w14:paraId="1C4116B5" w14:textId="77777777" w:rsidR="00543AEB" w:rsidRPr="00440C66" w:rsidRDefault="00543AEB" w:rsidP="00543AEB">
      <w:pPr>
        <w:widowControl w:val="0"/>
      </w:pPr>
    </w:p>
    <w:p w14:paraId="0810DDAC" w14:textId="6A5CE7B2" w:rsidR="00543AEB" w:rsidRPr="00440C66" w:rsidRDefault="00543AEB" w:rsidP="00543AEB">
      <w:pPr>
        <w:widowControl w:val="0"/>
      </w:pPr>
      <w:r>
        <w:t>3</w:t>
      </w:r>
      <w:r w:rsidRPr="00440C66">
        <w:t>0 tabletek powlekanych</w:t>
      </w:r>
    </w:p>
    <w:p w14:paraId="0A14C0A4" w14:textId="5579B42D" w:rsidR="00543AEB" w:rsidRDefault="00543AEB" w:rsidP="00543AEB">
      <w:pPr>
        <w:widowControl w:val="0"/>
        <w:rPr>
          <w:shd w:val="clear" w:color="auto" w:fill="D9D9D9"/>
        </w:rPr>
      </w:pPr>
      <w:r>
        <w:rPr>
          <w:shd w:val="clear" w:color="auto" w:fill="D9D9D9"/>
        </w:rPr>
        <w:t>6</w:t>
      </w:r>
      <w:r w:rsidRPr="00440C66">
        <w:rPr>
          <w:shd w:val="clear" w:color="auto" w:fill="D9D9D9"/>
        </w:rPr>
        <w:t>0 tabletek powlekanych</w:t>
      </w:r>
    </w:p>
    <w:p w14:paraId="39021178" w14:textId="4F64571F" w:rsidR="005F4D8E" w:rsidRPr="00440C66" w:rsidRDefault="005F4D8E" w:rsidP="00543AEB">
      <w:pPr>
        <w:widowControl w:val="0"/>
      </w:pPr>
      <w:r w:rsidRPr="005F4D8E">
        <w:rPr>
          <w:highlight w:val="lightGray"/>
          <w:shd w:val="clear" w:color="auto" w:fill="D9D9D9"/>
        </w:rPr>
        <w:t>180 tabletek powlekanych</w:t>
      </w:r>
    </w:p>
    <w:p w14:paraId="7FCCF48F" w14:textId="77777777" w:rsidR="003C0F9F" w:rsidRPr="00440C66" w:rsidRDefault="003C0F9F" w:rsidP="004C760F">
      <w:pPr>
        <w:widowControl w:val="0"/>
      </w:pPr>
    </w:p>
    <w:p w14:paraId="74CF0F9A" w14:textId="77777777" w:rsidR="003C0F9F" w:rsidRPr="00440C66" w:rsidRDefault="003C0F9F" w:rsidP="004C760F">
      <w:pPr>
        <w:widowControl w:val="0"/>
      </w:pPr>
    </w:p>
    <w:p w14:paraId="46967850"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5.</w:t>
      </w:r>
      <w:r w:rsidRPr="00440C66">
        <w:rPr>
          <w:b/>
        </w:rPr>
        <w:tab/>
      </w:r>
      <w:r w:rsidRPr="00440C66">
        <w:rPr>
          <w:b/>
          <w:lang w:eastAsia="en-US"/>
        </w:rPr>
        <w:t>SPOSÓB I DROGA PODANIA</w:t>
      </w:r>
    </w:p>
    <w:p w14:paraId="15926829" w14:textId="77777777" w:rsidR="003C0F9F" w:rsidRPr="00440C66" w:rsidRDefault="003C0F9F" w:rsidP="004C760F">
      <w:pPr>
        <w:widowControl w:val="0"/>
        <w:rPr>
          <w:i/>
        </w:rPr>
      </w:pPr>
    </w:p>
    <w:p w14:paraId="38BFF470" w14:textId="77777777" w:rsidR="00543AEB" w:rsidRPr="00440C66" w:rsidRDefault="00543AEB" w:rsidP="00543AEB">
      <w:pPr>
        <w:widowControl w:val="0"/>
        <w:rPr>
          <w:szCs w:val="22"/>
        </w:rPr>
      </w:pPr>
      <w:r w:rsidRPr="00440C66">
        <w:t>Podanie doustne</w:t>
      </w:r>
    </w:p>
    <w:p w14:paraId="2CB2B13B" w14:textId="77777777" w:rsidR="003C0F9F" w:rsidRPr="00440C66" w:rsidRDefault="003C0F9F" w:rsidP="004C760F">
      <w:pPr>
        <w:widowControl w:val="0"/>
      </w:pPr>
      <w:r w:rsidRPr="00440C66">
        <w:t>Należy zapoznać się z treścią ulotki przed zastosowaniem leku.</w:t>
      </w:r>
    </w:p>
    <w:p w14:paraId="3C3EABDD" w14:textId="77777777" w:rsidR="00DC5E70" w:rsidRPr="00440C66" w:rsidRDefault="00DC5E70" w:rsidP="004C760F">
      <w:pPr>
        <w:widowControl w:val="0"/>
      </w:pPr>
    </w:p>
    <w:p w14:paraId="4B541314" w14:textId="77777777" w:rsidR="003C0F9F" w:rsidRPr="00440C66" w:rsidRDefault="003C0F9F" w:rsidP="004C760F">
      <w:pPr>
        <w:widowControl w:val="0"/>
      </w:pPr>
    </w:p>
    <w:p w14:paraId="736CBF47"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6.</w:t>
      </w:r>
      <w:r w:rsidRPr="00440C66">
        <w:rPr>
          <w:b/>
        </w:rPr>
        <w:tab/>
      </w:r>
      <w:r w:rsidRPr="00440C66">
        <w:rPr>
          <w:b/>
          <w:lang w:eastAsia="en-US"/>
        </w:rPr>
        <w:t xml:space="preserve">OSTRZEŻENIE DOTYCZĄCE PRZECHOWYWANIA PRODUKTU LECZNICZEGO W MIEJSCU </w:t>
      </w:r>
      <w:r w:rsidR="00DC5E70" w:rsidRPr="00440C66">
        <w:rPr>
          <w:b/>
          <w:lang w:eastAsia="en-US"/>
        </w:rPr>
        <w:t xml:space="preserve">NIEWIDOCZNYM I </w:t>
      </w:r>
      <w:r w:rsidRPr="00440C66">
        <w:rPr>
          <w:b/>
          <w:lang w:eastAsia="en-US"/>
        </w:rPr>
        <w:t>NIEDOSTĘPNYM</w:t>
      </w:r>
      <w:r w:rsidRPr="00440C66">
        <w:rPr>
          <w:b/>
        </w:rPr>
        <w:t xml:space="preserve"> DLA DZIECI</w:t>
      </w:r>
    </w:p>
    <w:p w14:paraId="2DF2FEE8" w14:textId="77777777" w:rsidR="003C0F9F" w:rsidRPr="00440C66" w:rsidRDefault="003C0F9F" w:rsidP="004C760F">
      <w:pPr>
        <w:widowControl w:val="0"/>
      </w:pPr>
    </w:p>
    <w:p w14:paraId="5E29C459" w14:textId="77777777" w:rsidR="003C0F9F" w:rsidRPr="00440C66" w:rsidRDefault="003C0F9F" w:rsidP="004C760F">
      <w:pPr>
        <w:widowControl w:val="0"/>
        <w:outlineLvl w:val="0"/>
      </w:pPr>
      <w:r w:rsidRPr="00440C66">
        <w:t xml:space="preserve">Lek przechowywać w miejscu </w:t>
      </w:r>
      <w:r w:rsidR="00DC5E70" w:rsidRPr="00440C66">
        <w:t xml:space="preserve">niewidocznym i </w:t>
      </w:r>
      <w:r w:rsidRPr="00440C66">
        <w:t>niedostępnym dla dzieci.</w:t>
      </w:r>
    </w:p>
    <w:p w14:paraId="035E81C6" w14:textId="77777777" w:rsidR="003C0F9F" w:rsidRPr="00440C66" w:rsidRDefault="003C0F9F" w:rsidP="004C760F">
      <w:pPr>
        <w:widowControl w:val="0"/>
      </w:pPr>
    </w:p>
    <w:p w14:paraId="5BA52A92" w14:textId="77777777" w:rsidR="003C0F9F" w:rsidRPr="00440C66" w:rsidRDefault="003C0F9F" w:rsidP="004C760F">
      <w:pPr>
        <w:widowControl w:val="0"/>
      </w:pPr>
    </w:p>
    <w:p w14:paraId="6A5F123B"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7.</w:t>
      </w:r>
      <w:r w:rsidRPr="00440C66">
        <w:rPr>
          <w:b/>
        </w:rPr>
        <w:tab/>
        <w:t>INNE OSTRZEŻENIA SPECJALNE, JEŚLI KONIECZNE</w:t>
      </w:r>
    </w:p>
    <w:p w14:paraId="5C4B508D" w14:textId="575D1787" w:rsidR="003C0F9F" w:rsidRDefault="003C0F9F" w:rsidP="004C760F">
      <w:pPr>
        <w:widowControl w:val="0"/>
      </w:pPr>
    </w:p>
    <w:p w14:paraId="505E195F" w14:textId="77777777" w:rsidR="003C0F9F" w:rsidRPr="00440C66" w:rsidRDefault="003C0F9F" w:rsidP="000D06B9">
      <w:pPr>
        <w:widowControl w:val="0"/>
        <w:ind w:left="0" w:firstLine="0"/>
      </w:pPr>
    </w:p>
    <w:p w14:paraId="45003DC8"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8.</w:t>
      </w:r>
      <w:r w:rsidRPr="00440C66">
        <w:rPr>
          <w:b/>
        </w:rPr>
        <w:tab/>
        <w:t>TERMIN WAŻNOŚCI</w:t>
      </w:r>
    </w:p>
    <w:p w14:paraId="354F0D8E" w14:textId="77777777" w:rsidR="003C0F9F" w:rsidRPr="00440C66" w:rsidRDefault="003C0F9F" w:rsidP="004C760F">
      <w:pPr>
        <w:widowControl w:val="0"/>
      </w:pPr>
    </w:p>
    <w:p w14:paraId="34C7C9A4" w14:textId="77777777" w:rsidR="003C0F9F" w:rsidRPr="00440C66" w:rsidRDefault="003C0F9F" w:rsidP="004C760F">
      <w:pPr>
        <w:widowControl w:val="0"/>
      </w:pPr>
      <w:r w:rsidRPr="00440C66">
        <w:t>Termin ważności (EXP)</w:t>
      </w:r>
    </w:p>
    <w:p w14:paraId="6F8F763C" w14:textId="77777777" w:rsidR="003C0F9F" w:rsidRPr="00440C66" w:rsidRDefault="003C0F9F" w:rsidP="004C760F">
      <w:pPr>
        <w:widowControl w:val="0"/>
      </w:pPr>
    </w:p>
    <w:p w14:paraId="6DB7DDF2" w14:textId="77777777" w:rsidR="003C0F9F" w:rsidRPr="00440C66" w:rsidRDefault="003C0F9F" w:rsidP="004C760F">
      <w:pPr>
        <w:widowControl w:val="0"/>
      </w:pPr>
    </w:p>
    <w:p w14:paraId="41CA7A62" w14:textId="77777777" w:rsidR="003C0F9F" w:rsidRPr="00440C66" w:rsidRDefault="003C0F9F" w:rsidP="004C760F">
      <w:pPr>
        <w:keepNext/>
        <w:keepLines/>
        <w:widowControl w:val="0"/>
        <w:pBdr>
          <w:top w:val="single" w:sz="4" w:space="1" w:color="auto"/>
          <w:left w:val="single" w:sz="4" w:space="4" w:color="auto"/>
          <w:bottom w:val="single" w:sz="4" w:space="1" w:color="auto"/>
          <w:right w:val="single" w:sz="4" w:space="4" w:color="auto"/>
        </w:pBdr>
        <w:outlineLvl w:val="0"/>
      </w:pPr>
      <w:r w:rsidRPr="00440C66">
        <w:rPr>
          <w:b/>
        </w:rPr>
        <w:t>9.</w:t>
      </w:r>
      <w:r w:rsidRPr="00440C66">
        <w:rPr>
          <w:b/>
        </w:rPr>
        <w:tab/>
        <w:t>WARUNKI PRZECHOWYWANIA</w:t>
      </w:r>
    </w:p>
    <w:p w14:paraId="62729424" w14:textId="77777777" w:rsidR="003C0F9F" w:rsidRPr="00440C66" w:rsidRDefault="003C0F9F" w:rsidP="000D06B9">
      <w:pPr>
        <w:keepNext/>
        <w:keepLines/>
        <w:widowControl w:val="0"/>
        <w:ind w:left="0" w:firstLine="0"/>
      </w:pPr>
    </w:p>
    <w:p w14:paraId="60AA2289" w14:textId="77777777" w:rsidR="003C0F9F" w:rsidRPr="00440C66" w:rsidRDefault="003C0F9F" w:rsidP="004C760F">
      <w:pPr>
        <w:widowControl w:val="0"/>
      </w:pPr>
    </w:p>
    <w:p w14:paraId="4BDFE43F" w14:textId="02C2D4DC" w:rsidR="003C0F9F" w:rsidRPr="00440C66" w:rsidRDefault="003C0F9F" w:rsidP="000D06B9">
      <w:pPr>
        <w:widowControl w:val="0"/>
        <w:pBdr>
          <w:top w:val="single" w:sz="4" w:space="1" w:color="auto"/>
          <w:left w:val="single" w:sz="4" w:space="4" w:color="auto"/>
          <w:bottom w:val="single" w:sz="4" w:space="1" w:color="auto"/>
          <w:right w:val="single" w:sz="4" w:space="4" w:color="auto"/>
        </w:pBdr>
        <w:outlineLvl w:val="0"/>
      </w:pPr>
      <w:r w:rsidRPr="00440C66">
        <w:rPr>
          <w:b/>
        </w:rPr>
        <w:t>10.</w:t>
      </w:r>
      <w:r w:rsidRPr="00440C66">
        <w:rPr>
          <w:b/>
        </w:rPr>
        <w:tab/>
      </w:r>
      <w:r w:rsidRPr="00440C66">
        <w:rPr>
          <w:b/>
          <w:lang w:eastAsia="en-US"/>
        </w:rPr>
        <w:t xml:space="preserve">SPECJALNE ŚRODKI OSTROŻNOŚCI DOTYCZĄCE USUWANIA NIEZUŻYTEGO PRODUKTU LECZNICZEGO LUB POCHODZĄCYCH Z NIEGO ODPADÓW, JEŚLI </w:t>
      </w:r>
      <w:r w:rsidRPr="00440C66">
        <w:rPr>
          <w:b/>
          <w:lang w:eastAsia="en-US"/>
        </w:rPr>
        <w:lastRenderedPageBreak/>
        <w:t>WŁAŚCIWE</w:t>
      </w:r>
    </w:p>
    <w:p w14:paraId="674417D5" w14:textId="77777777" w:rsidR="003C0F9F" w:rsidRPr="00440C66" w:rsidRDefault="003C0F9F" w:rsidP="004C760F">
      <w:pPr>
        <w:widowControl w:val="0"/>
      </w:pPr>
    </w:p>
    <w:p w14:paraId="3A532324"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11.</w:t>
      </w:r>
      <w:r w:rsidRPr="00440C66">
        <w:rPr>
          <w:b/>
        </w:rPr>
        <w:tab/>
      </w:r>
      <w:r w:rsidRPr="00440C66">
        <w:rPr>
          <w:b/>
          <w:lang w:eastAsia="en-US"/>
        </w:rPr>
        <w:t>NAZWA</w:t>
      </w:r>
      <w:r w:rsidRPr="00440C66">
        <w:rPr>
          <w:b/>
        </w:rPr>
        <w:t xml:space="preserve"> I ADRES PODMIOTU ODPOWIEDZIALNEGO</w:t>
      </w:r>
    </w:p>
    <w:p w14:paraId="2277F0F9" w14:textId="77777777" w:rsidR="003C0F9F" w:rsidRPr="00440C66" w:rsidRDefault="003C0F9F" w:rsidP="004C760F">
      <w:pPr>
        <w:widowControl w:val="0"/>
      </w:pPr>
    </w:p>
    <w:p w14:paraId="275EED41" w14:textId="77777777" w:rsidR="00543AEB" w:rsidRPr="0058200C" w:rsidRDefault="00543AEB" w:rsidP="00543AEB">
      <w:pPr>
        <w:widowControl w:val="0"/>
      </w:pPr>
      <w:r w:rsidRPr="0058200C">
        <w:t>Accord Healthcare S.L.U</w:t>
      </w:r>
    </w:p>
    <w:p w14:paraId="7FC09613" w14:textId="14033CAE" w:rsidR="00543AEB" w:rsidRPr="00FC35A4" w:rsidRDefault="00543AEB" w:rsidP="00543AEB">
      <w:pPr>
        <w:widowControl w:val="0"/>
        <w:rPr>
          <w:lang w:val="es-ES"/>
        </w:rPr>
      </w:pPr>
      <w:r w:rsidRPr="00FC35A4">
        <w:rPr>
          <w:lang w:val="es-ES"/>
        </w:rPr>
        <w:t>World Trade Center, Moll de Barcelona s/n</w:t>
      </w:r>
    </w:p>
    <w:p w14:paraId="1A4A5156" w14:textId="076CA9B5" w:rsidR="00543AEB" w:rsidRPr="00FC35A4" w:rsidRDefault="00543AEB" w:rsidP="00543AEB">
      <w:pPr>
        <w:widowControl w:val="0"/>
        <w:rPr>
          <w:lang w:val="es-ES"/>
        </w:rPr>
      </w:pPr>
      <w:r w:rsidRPr="00FC35A4">
        <w:rPr>
          <w:lang w:val="es-ES"/>
        </w:rPr>
        <w:t>Edifici Est, 6a planta,</w:t>
      </w:r>
    </w:p>
    <w:p w14:paraId="301F2297" w14:textId="30994F61" w:rsidR="00543AEB" w:rsidRDefault="00543AEB" w:rsidP="00543AEB">
      <w:pPr>
        <w:widowControl w:val="0"/>
      </w:pPr>
      <w:r>
        <w:t>08039 Barcelona</w:t>
      </w:r>
    </w:p>
    <w:p w14:paraId="73A65DA0" w14:textId="7B1782A7" w:rsidR="003C0F9F" w:rsidRPr="00440C66" w:rsidRDefault="00543AEB" w:rsidP="00FC35A4">
      <w:pPr>
        <w:widowControl w:val="0"/>
        <w:ind w:left="0" w:firstLine="0"/>
      </w:pPr>
      <w:r>
        <w:t>Hiszpania</w:t>
      </w:r>
    </w:p>
    <w:p w14:paraId="5062C234" w14:textId="77777777" w:rsidR="003C0F9F" w:rsidRPr="00440C66" w:rsidRDefault="003C0F9F" w:rsidP="004C760F">
      <w:pPr>
        <w:widowControl w:val="0"/>
      </w:pPr>
    </w:p>
    <w:p w14:paraId="77C12120" w14:textId="77777777" w:rsidR="003C0F9F" w:rsidRPr="00440C66" w:rsidRDefault="003C0F9F" w:rsidP="004C760F">
      <w:pPr>
        <w:widowControl w:val="0"/>
      </w:pPr>
    </w:p>
    <w:p w14:paraId="4720B978"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rPr>
          <w:b/>
        </w:rPr>
      </w:pPr>
      <w:r w:rsidRPr="00440C66">
        <w:rPr>
          <w:b/>
        </w:rPr>
        <w:t>12.</w:t>
      </w:r>
      <w:r w:rsidRPr="00440C66">
        <w:rPr>
          <w:b/>
        </w:rPr>
        <w:tab/>
        <w:t>NUMERY POZWOLEŃ NA DOPUSZCZENIE DO OBROTU</w:t>
      </w:r>
    </w:p>
    <w:p w14:paraId="4D77F959" w14:textId="77777777" w:rsidR="003C0F9F" w:rsidRPr="00440C66" w:rsidRDefault="003C0F9F" w:rsidP="004C760F">
      <w:pPr>
        <w:widowControl w:val="0"/>
      </w:pPr>
    </w:p>
    <w:p w14:paraId="3C1EFA30" w14:textId="0B681544" w:rsidR="00EB6767" w:rsidRDefault="00543AEB" w:rsidP="00543AEB">
      <w:pPr>
        <w:rPr>
          <w:color w:val="000000"/>
          <w:lang w:val="es-ES"/>
        </w:rPr>
      </w:pPr>
      <w:r w:rsidRPr="00FC35A4">
        <w:rPr>
          <w:rFonts w:cs="Verdana"/>
          <w:color w:val="000000"/>
          <w:lang w:val="es-ES"/>
        </w:rPr>
        <w:t>EU/1/21/1611/003</w:t>
      </w:r>
    </w:p>
    <w:p w14:paraId="2305C19D" w14:textId="77777777" w:rsidR="00EB6767" w:rsidRPr="000A48AE" w:rsidRDefault="00EB6767" w:rsidP="00543AEB">
      <w:r w:rsidRPr="000A48AE">
        <w:t>EU/1/21/1611/004</w:t>
      </w:r>
    </w:p>
    <w:p w14:paraId="20B69365" w14:textId="0E9EF8F6" w:rsidR="00543AEB" w:rsidRPr="00FC35A4" w:rsidRDefault="00EB6767" w:rsidP="00543AEB">
      <w:pPr>
        <w:rPr>
          <w:noProof/>
          <w:szCs w:val="22"/>
          <w:lang w:val="es-ES"/>
        </w:rPr>
      </w:pPr>
      <w:r w:rsidRPr="000A48AE">
        <w:t>EU/1/21/1611/006</w:t>
      </w:r>
      <w:r w:rsidR="00543AEB" w:rsidRPr="00FC35A4">
        <w:rPr>
          <w:noProof/>
          <w:szCs w:val="22"/>
          <w:lang w:val="es-ES"/>
        </w:rPr>
        <w:t xml:space="preserve"> </w:t>
      </w:r>
    </w:p>
    <w:p w14:paraId="0BB450A6" w14:textId="77777777" w:rsidR="003C0F9F" w:rsidRPr="00FC35A4" w:rsidRDefault="003C0F9F" w:rsidP="004C760F">
      <w:pPr>
        <w:widowControl w:val="0"/>
        <w:rPr>
          <w:shd w:val="clear" w:color="auto" w:fill="D9D9D9"/>
          <w:lang w:val="es-ES"/>
        </w:rPr>
      </w:pPr>
    </w:p>
    <w:p w14:paraId="1F86A3EF" w14:textId="77777777" w:rsidR="003C0F9F" w:rsidRPr="00FC35A4" w:rsidRDefault="003C0F9F" w:rsidP="004C760F">
      <w:pPr>
        <w:widowControl w:val="0"/>
        <w:outlineLvl w:val="0"/>
        <w:rPr>
          <w:lang w:val="es-ES"/>
        </w:rPr>
      </w:pPr>
    </w:p>
    <w:p w14:paraId="0B4BC113"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rPr>
          <w:lang w:val="nb-NO"/>
        </w:rPr>
      </w:pPr>
      <w:r w:rsidRPr="00440C66">
        <w:rPr>
          <w:b/>
          <w:lang w:val="nb-NO"/>
        </w:rPr>
        <w:t>13.</w:t>
      </w:r>
      <w:r w:rsidRPr="00440C66">
        <w:rPr>
          <w:b/>
          <w:lang w:val="nb-NO"/>
        </w:rPr>
        <w:tab/>
        <w:t>NUMER SERII</w:t>
      </w:r>
    </w:p>
    <w:p w14:paraId="743AA0AF" w14:textId="77777777" w:rsidR="003C0F9F" w:rsidRPr="00440C66" w:rsidRDefault="003C0F9F" w:rsidP="004C760F">
      <w:pPr>
        <w:widowControl w:val="0"/>
        <w:rPr>
          <w:i/>
          <w:lang w:val="nb-NO"/>
        </w:rPr>
      </w:pPr>
    </w:p>
    <w:p w14:paraId="08334EEA" w14:textId="77777777" w:rsidR="003C0F9F" w:rsidRPr="00440C66" w:rsidRDefault="003C0F9F" w:rsidP="004C760F">
      <w:pPr>
        <w:widowControl w:val="0"/>
        <w:rPr>
          <w:lang w:val="nb-NO"/>
        </w:rPr>
      </w:pPr>
      <w:r w:rsidRPr="00440C66">
        <w:rPr>
          <w:lang w:val="nb-NO"/>
        </w:rPr>
        <w:t>Nr serii (Lot)</w:t>
      </w:r>
    </w:p>
    <w:p w14:paraId="33672BDE" w14:textId="77777777" w:rsidR="003C0F9F" w:rsidRPr="00440C66" w:rsidRDefault="003C0F9F" w:rsidP="004C760F">
      <w:pPr>
        <w:widowControl w:val="0"/>
        <w:rPr>
          <w:lang w:val="nb-NO"/>
        </w:rPr>
      </w:pPr>
    </w:p>
    <w:p w14:paraId="180ABAB8" w14:textId="77777777" w:rsidR="003C0F9F" w:rsidRPr="00440C66" w:rsidRDefault="003C0F9F" w:rsidP="004C760F">
      <w:pPr>
        <w:widowControl w:val="0"/>
        <w:rPr>
          <w:lang w:val="nb-NO"/>
        </w:rPr>
      </w:pPr>
    </w:p>
    <w:p w14:paraId="6EA9DADD"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14.</w:t>
      </w:r>
      <w:r w:rsidRPr="00440C66">
        <w:rPr>
          <w:b/>
        </w:rPr>
        <w:tab/>
      </w:r>
      <w:r w:rsidR="00CA6E65" w:rsidRPr="00440C66">
        <w:rPr>
          <w:b/>
        </w:rPr>
        <w:t xml:space="preserve">OGÓLNA </w:t>
      </w:r>
      <w:r w:rsidRPr="00440C66">
        <w:rPr>
          <w:b/>
        </w:rPr>
        <w:t>KATEGORIA DOSTĘPNOŚCI</w:t>
      </w:r>
    </w:p>
    <w:p w14:paraId="053E4F11" w14:textId="77777777" w:rsidR="003C0F9F" w:rsidRPr="00440C66" w:rsidRDefault="003C0F9F" w:rsidP="004C760F">
      <w:pPr>
        <w:widowControl w:val="0"/>
      </w:pPr>
    </w:p>
    <w:p w14:paraId="426BFF8A" w14:textId="77777777" w:rsidR="003C0F9F" w:rsidRPr="00440C66" w:rsidRDefault="003C0F9F" w:rsidP="004C760F">
      <w:pPr>
        <w:widowControl w:val="0"/>
      </w:pPr>
    </w:p>
    <w:p w14:paraId="44372C19"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15.</w:t>
      </w:r>
      <w:r w:rsidRPr="00440C66">
        <w:rPr>
          <w:b/>
        </w:rPr>
        <w:tab/>
        <w:t>INSTRUKCJA UŻYCIA</w:t>
      </w:r>
    </w:p>
    <w:p w14:paraId="13A38231" w14:textId="77777777" w:rsidR="003C0F9F" w:rsidRPr="00440C66" w:rsidRDefault="003C0F9F" w:rsidP="004C760F">
      <w:pPr>
        <w:widowControl w:val="0"/>
      </w:pPr>
    </w:p>
    <w:p w14:paraId="02C653BE" w14:textId="77777777" w:rsidR="003C0F9F" w:rsidRPr="00440C66" w:rsidRDefault="003C0F9F" w:rsidP="004C760F">
      <w:pPr>
        <w:widowControl w:val="0"/>
      </w:pPr>
    </w:p>
    <w:p w14:paraId="0D874D82" w14:textId="77777777" w:rsidR="003C0F9F" w:rsidRPr="00440C66" w:rsidRDefault="003C0F9F" w:rsidP="004C760F">
      <w:pPr>
        <w:widowControl w:val="0"/>
        <w:pBdr>
          <w:top w:val="single" w:sz="4" w:space="1" w:color="auto"/>
          <w:left w:val="single" w:sz="4" w:space="4" w:color="auto"/>
          <w:bottom w:val="single" w:sz="4" w:space="1" w:color="auto"/>
          <w:right w:val="single" w:sz="4" w:space="4" w:color="auto"/>
        </w:pBdr>
        <w:outlineLvl w:val="0"/>
      </w:pPr>
      <w:r w:rsidRPr="00440C66">
        <w:rPr>
          <w:b/>
        </w:rPr>
        <w:t>16.</w:t>
      </w:r>
      <w:r w:rsidRPr="00440C66">
        <w:rPr>
          <w:b/>
        </w:rPr>
        <w:tab/>
        <w:t>INFORMACJA PODANA</w:t>
      </w:r>
      <w:r w:rsidR="00CA6E65" w:rsidRPr="00440C66">
        <w:rPr>
          <w:b/>
        </w:rPr>
        <w:t xml:space="preserve"> SYSTEMEM</w:t>
      </w:r>
      <w:r w:rsidRPr="00440C66">
        <w:rPr>
          <w:b/>
        </w:rPr>
        <w:t xml:space="preserve"> BRA</w:t>
      </w:r>
      <w:r w:rsidR="00CA6E65" w:rsidRPr="00440C66">
        <w:rPr>
          <w:b/>
        </w:rPr>
        <w:t>IL</w:t>
      </w:r>
      <w:r w:rsidRPr="00440C66">
        <w:rPr>
          <w:b/>
        </w:rPr>
        <w:t>L</w:t>
      </w:r>
      <w:r w:rsidR="009B15FA" w:rsidRPr="00440C66">
        <w:rPr>
          <w:b/>
        </w:rPr>
        <w:t>E</w:t>
      </w:r>
      <w:r w:rsidR="00CA6E65" w:rsidRPr="00440C66">
        <w:rPr>
          <w:b/>
        </w:rPr>
        <w:t>’A</w:t>
      </w:r>
    </w:p>
    <w:p w14:paraId="1AB53186" w14:textId="77777777" w:rsidR="003C0F9F" w:rsidRPr="00440C66" w:rsidRDefault="003C0F9F" w:rsidP="004C760F">
      <w:pPr>
        <w:widowControl w:val="0"/>
      </w:pPr>
    </w:p>
    <w:p w14:paraId="34399C20" w14:textId="0078C9F9" w:rsidR="003C0F9F" w:rsidRPr="00FC35A4" w:rsidRDefault="003C72B4" w:rsidP="004C760F">
      <w:pPr>
        <w:widowControl w:val="0"/>
        <w:rPr>
          <w:lang w:val="en-GB"/>
        </w:rPr>
      </w:pPr>
      <w:r>
        <w:rPr>
          <w:lang w:val="en-GB"/>
        </w:rPr>
        <w:t>Vildagliptin/Metformin hydrochloride Accord</w:t>
      </w:r>
      <w:r w:rsidR="003C0F9F" w:rsidRPr="00FC35A4">
        <w:rPr>
          <w:lang w:val="en-GB"/>
        </w:rPr>
        <w:t xml:space="preserve"> 50 mg/1000 mg</w:t>
      </w:r>
    </w:p>
    <w:p w14:paraId="2127452E" w14:textId="77777777" w:rsidR="000D0F89" w:rsidRPr="00FC35A4" w:rsidRDefault="000D0F89" w:rsidP="004C760F">
      <w:pPr>
        <w:widowControl w:val="0"/>
        <w:rPr>
          <w:lang w:val="en-GB"/>
        </w:rPr>
      </w:pPr>
    </w:p>
    <w:p w14:paraId="7A95A91C" w14:textId="77777777" w:rsidR="000D0F89" w:rsidRPr="00FC35A4" w:rsidRDefault="000D0F89" w:rsidP="000D0F89">
      <w:pPr>
        <w:rPr>
          <w:noProof/>
          <w:szCs w:val="22"/>
          <w:shd w:val="clear" w:color="auto" w:fill="CCCCCC"/>
          <w:lang w:val="en-GB"/>
        </w:rPr>
      </w:pPr>
    </w:p>
    <w:p w14:paraId="5A85883D" w14:textId="77777777" w:rsidR="000D0F89" w:rsidRPr="00C937E7" w:rsidRDefault="000D0F89" w:rsidP="001C2341">
      <w:pPr>
        <w:keepNext/>
        <w:numPr>
          <w:ilvl w:val="0"/>
          <w:numId w:val="13"/>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rPr>
      </w:pPr>
      <w:r w:rsidRPr="00FC35A4">
        <w:rPr>
          <w:b/>
          <w:lang w:val="en-GB"/>
        </w:rPr>
        <w:tab/>
      </w:r>
      <w:r>
        <w:rPr>
          <w:b/>
          <w:noProof/>
        </w:rPr>
        <w:t>NIEPOWTARZALNY IDENTYFIKATOR – KOD 2D</w:t>
      </w:r>
    </w:p>
    <w:p w14:paraId="4FC869BF" w14:textId="77777777" w:rsidR="000D0F89" w:rsidRPr="00C937E7" w:rsidRDefault="000D0F89" w:rsidP="000D0F89">
      <w:pPr>
        <w:ind w:left="0" w:firstLine="0"/>
        <w:rPr>
          <w:noProof/>
        </w:rPr>
      </w:pPr>
    </w:p>
    <w:p w14:paraId="568D9934" w14:textId="77777777" w:rsidR="000D0F89" w:rsidRPr="00703113" w:rsidRDefault="000D0F89" w:rsidP="000D0F89">
      <w:pPr>
        <w:tabs>
          <w:tab w:val="left" w:pos="0"/>
        </w:tabs>
        <w:ind w:left="0" w:firstLine="0"/>
        <w:rPr>
          <w:noProof/>
          <w:szCs w:val="22"/>
          <w:shd w:val="pct15" w:color="auto" w:fill="auto"/>
        </w:rPr>
      </w:pPr>
      <w:r w:rsidRPr="00703113">
        <w:rPr>
          <w:noProof/>
          <w:shd w:val="pct15" w:color="auto" w:fill="auto"/>
        </w:rPr>
        <w:t>Obejmuje kod 2D będący nośnikiem niepowtarzalnego identyfikatora.</w:t>
      </w:r>
    </w:p>
    <w:p w14:paraId="113B5169" w14:textId="77777777" w:rsidR="000D0F89" w:rsidRPr="00C937E7" w:rsidRDefault="000D0F89" w:rsidP="000D0F89">
      <w:pPr>
        <w:rPr>
          <w:noProof/>
          <w:szCs w:val="22"/>
          <w:shd w:val="clear" w:color="auto" w:fill="CCCCCC"/>
        </w:rPr>
      </w:pPr>
    </w:p>
    <w:p w14:paraId="2BAEE3BD" w14:textId="77777777" w:rsidR="000D0F89" w:rsidRPr="00774EBD" w:rsidRDefault="000D0F89" w:rsidP="000D0F89">
      <w:pPr>
        <w:rPr>
          <w:noProof/>
          <w:szCs w:val="22"/>
        </w:rPr>
      </w:pPr>
    </w:p>
    <w:p w14:paraId="6F63A525" w14:textId="77777777" w:rsidR="000D0F89" w:rsidRPr="00C937E7" w:rsidRDefault="008C5989" w:rsidP="008C5989">
      <w:pPr>
        <w:keepNext/>
        <w:pBdr>
          <w:top w:val="single" w:sz="4" w:space="1" w:color="auto"/>
          <w:left w:val="single" w:sz="4" w:space="4" w:color="auto"/>
          <w:bottom w:val="single" w:sz="4" w:space="1" w:color="auto"/>
          <w:right w:val="single" w:sz="4" w:space="4" w:color="auto"/>
        </w:pBdr>
        <w:tabs>
          <w:tab w:val="left" w:pos="567"/>
        </w:tabs>
        <w:outlineLvl w:val="0"/>
        <w:rPr>
          <w:i/>
          <w:noProof/>
        </w:rPr>
      </w:pPr>
      <w:r>
        <w:rPr>
          <w:b/>
          <w:noProof/>
        </w:rPr>
        <w:t>18.</w:t>
      </w:r>
      <w:r>
        <w:rPr>
          <w:b/>
          <w:noProof/>
        </w:rPr>
        <w:tab/>
      </w:r>
      <w:r w:rsidR="000D0F89">
        <w:rPr>
          <w:b/>
          <w:noProof/>
        </w:rPr>
        <w:t>NIEPOWTARZALNY IDENTYFIKATOR – DANE CZYTELNE DLA CZŁOWIEKA</w:t>
      </w:r>
    </w:p>
    <w:p w14:paraId="5CC37453" w14:textId="77777777" w:rsidR="000D0F89" w:rsidRPr="00C937E7" w:rsidRDefault="000D0F89" w:rsidP="000D0F89">
      <w:pPr>
        <w:rPr>
          <w:noProof/>
        </w:rPr>
      </w:pPr>
    </w:p>
    <w:p w14:paraId="515285F8" w14:textId="76C25346" w:rsidR="000D0F89" w:rsidRDefault="000D0F89" w:rsidP="000D0F89">
      <w:r>
        <w:t>PC</w:t>
      </w:r>
    </w:p>
    <w:p w14:paraId="65EA518F" w14:textId="1801998C" w:rsidR="000D0F89" w:rsidRPr="00C937E7" w:rsidRDefault="000D0F89" w:rsidP="000D0F89">
      <w:pPr>
        <w:rPr>
          <w:szCs w:val="22"/>
        </w:rPr>
      </w:pPr>
      <w:r>
        <w:t>SN</w:t>
      </w:r>
    </w:p>
    <w:p w14:paraId="6947CC50" w14:textId="106C3FBE" w:rsidR="000D0F89" w:rsidRPr="00C937E7" w:rsidRDefault="000D0F89" w:rsidP="000D0F89">
      <w:pPr>
        <w:rPr>
          <w:szCs w:val="22"/>
        </w:rPr>
      </w:pPr>
      <w:r>
        <w:t>NN</w:t>
      </w:r>
    </w:p>
    <w:p w14:paraId="02761273" w14:textId="77777777" w:rsidR="000D0F89" w:rsidRPr="00440C66" w:rsidRDefault="000D0F89" w:rsidP="004C760F">
      <w:pPr>
        <w:widowControl w:val="0"/>
      </w:pPr>
    </w:p>
    <w:p w14:paraId="46A4B697" w14:textId="77777777" w:rsidR="001020BC" w:rsidRDefault="001020BC" w:rsidP="004C760F">
      <w:pPr>
        <w:widowControl w:val="0"/>
        <w:rPr>
          <w:b/>
        </w:rPr>
      </w:pPr>
    </w:p>
    <w:p w14:paraId="18532545" w14:textId="77777777" w:rsidR="001020BC" w:rsidRDefault="001020BC">
      <w:pPr>
        <w:ind w:left="0" w:firstLine="0"/>
        <w:rPr>
          <w:b/>
        </w:rPr>
      </w:pPr>
      <w:r>
        <w:rPr>
          <w:b/>
        </w:rPr>
        <w:br w:type="page"/>
      </w:r>
    </w:p>
    <w:p w14:paraId="6F1C77B9"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rPr>
          <w:b/>
        </w:rPr>
      </w:pPr>
      <w:r w:rsidRPr="00440C66">
        <w:rPr>
          <w:b/>
        </w:rPr>
        <w:lastRenderedPageBreak/>
        <w:t>INFORMACJE ZAMIESZCZANE NA OPAKOWANIACH ZEWNĘTRZNYCH</w:t>
      </w:r>
    </w:p>
    <w:p w14:paraId="3229E7D3"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rPr>
          <w:bCs/>
        </w:rPr>
      </w:pPr>
    </w:p>
    <w:p w14:paraId="0CAF479F" w14:textId="77777777" w:rsidR="001020BC" w:rsidRDefault="001020BC" w:rsidP="001020BC">
      <w:pPr>
        <w:widowControl w:val="0"/>
        <w:pBdr>
          <w:top w:val="single" w:sz="4" w:space="1" w:color="auto"/>
          <w:left w:val="single" w:sz="4" w:space="4" w:color="auto"/>
          <w:bottom w:val="single" w:sz="4" w:space="1" w:color="auto"/>
          <w:right w:val="single" w:sz="4" w:space="4" w:color="auto"/>
        </w:pBdr>
        <w:rPr>
          <w:b/>
          <w:bCs/>
        </w:rPr>
      </w:pPr>
      <w:r>
        <w:rPr>
          <w:b/>
          <w:bCs/>
        </w:rPr>
        <w:t xml:space="preserve">TEKTUROWE </w:t>
      </w:r>
      <w:r w:rsidRPr="00440C66">
        <w:rPr>
          <w:b/>
          <w:bCs/>
        </w:rPr>
        <w:t xml:space="preserve">PUDEŁKO </w:t>
      </w:r>
      <w:r>
        <w:rPr>
          <w:b/>
          <w:bCs/>
        </w:rPr>
        <w:t>WEWNĘTRZNE (</w:t>
      </w:r>
      <w:r w:rsidRPr="005F4D8E">
        <w:rPr>
          <w:b/>
          <w:bCs/>
        </w:rPr>
        <w:t>Trzy takie wewnętrzne kartony zostaną</w:t>
      </w:r>
    </w:p>
    <w:p w14:paraId="3B5B5A8E"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rPr>
          <w:b/>
          <w:bCs/>
        </w:rPr>
      </w:pPr>
      <w:r w:rsidRPr="005F4D8E">
        <w:rPr>
          <w:b/>
          <w:bCs/>
        </w:rPr>
        <w:t>zapakowane w jeden zewnętrzny karton zawierający 180 tabletek</w:t>
      </w:r>
      <w:r>
        <w:rPr>
          <w:b/>
          <w:bCs/>
        </w:rPr>
        <w:t>)</w:t>
      </w:r>
    </w:p>
    <w:p w14:paraId="3AADD17A" w14:textId="77777777" w:rsidR="001020BC" w:rsidRPr="00440C66" w:rsidRDefault="001020BC" w:rsidP="001020BC">
      <w:pPr>
        <w:widowControl w:val="0"/>
      </w:pPr>
    </w:p>
    <w:p w14:paraId="394A11A2" w14:textId="77777777" w:rsidR="001020BC" w:rsidRPr="00440C66" w:rsidRDefault="001020BC" w:rsidP="001020BC">
      <w:pPr>
        <w:widowControl w:val="0"/>
      </w:pPr>
    </w:p>
    <w:p w14:paraId="6993454C"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w:t>
      </w:r>
      <w:r w:rsidRPr="00440C66">
        <w:rPr>
          <w:b/>
        </w:rPr>
        <w:tab/>
      </w:r>
      <w:r w:rsidRPr="00440C66">
        <w:rPr>
          <w:b/>
          <w:lang w:eastAsia="en-US"/>
        </w:rPr>
        <w:t>NAZWA PRODUKTU LECZNICZEGO</w:t>
      </w:r>
    </w:p>
    <w:p w14:paraId="51D65F75" w14:textId="77777777" w:rsidR="001020BC" w:rsidRPr="00440C66" w:rsidRDefault="001020BC" w:rsidP="001020BC">
      <w:pPr>
        <w:widowControl w:val="0"/>
      </w:pPr>
    </w:p>
    <w:p w14:paraId="2818E618" w14:textId="633FE362" w:rsidR="001020BC" w:rsidRPr="00050A77" w:rsidRDefault="001020BC" w:rsidP="001020BC">
      <w:pPr>
        <w:widowControl w:val="0"/>
      </w:pPr>
      <w:r w:rsidRPr="00050A77">
        <w:t>Vildagliptin/Metformin hydrochloride Accord 50 mg/1000 mg tabletki powlekane</w:t>
      </w:r>
    </w:p>
    <w:p w14:paraId="5E3FF159" w14:textId="77777777" w:rsidR="001020BC" w:rsidRPr="00440C66" w:rsidRDefault="001020BC" w:rsidP="001020BC">
      <w:pPr>
        <w:widowControl w:val="0"/>
      </w:pPr>
      <w:r w:rsidRPr="005F4D8E">
        <w:rPr>
          <w:highlight w:val="lightGray"/>
        </w:rPr>
        <w:t>wildagliptyna/metforminy chlorowodorek</w:t>
      </w:r>
    </w:p>
    <w:p w14:paraId="561AB9E0" w14:textId="77777777" w:rsidR="001020BC" w:rsidRPr="00440C66" w:rsidRDefault="001020BC" w:rsidP="001020BC">
      <w:pPr>
        <w:widowControl w:val="0"/>
      </w:pPr>
    </w:p>
    <w:p w14:paraId="5A599858" w14:textId="77777777" w:rsidR="001020BC" w:rsidRPr="00440C66" w:rsidRDefault="001020BC" w:rsidP="001020BC">
      <w:pPr>
        <w:widowControl w:val="0"/>
      </w:pPr>
    </w:p>
    <w:p w14:paraId="3A365D3B"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rPr>
          <w:b/>
        </w:rPr>
      </w:pPr>
      <w:r w:rsidRPr="00440C66">
        <w:rPr>
          <w:b/>
        </w:rPr>
        <w:t>2.</w:t>
      </w:r>
      <w:r w:rsidRPr="00440C66">
        <w:rPr>
          <w:b/>
        </w:rPr>
        <w:tab/>
      </w:r>
      <w:r w:rsidRPr="00440C66">
        <w:rPr>
          <w:b/>
          <w:lang w:eastAsia="en-US"/>
        </w:rPr>
        <w:t>ZAWARTOŚĆ SUBSTANCJI CZYNNYCH</w:t>
      </w:r>
    </w:p>
    <w:p w14:paraId="52A38489" w14:textId="77777777" w:rsidR="001020BC" w:rsidRPr="00440C66" w:rsidRDefault="001020BC" w:rsidP="001020BC">
      <w:pPr>
        <w:widowControl w:val="0"/>
      </w:pPr>
    </w:p>
    <w:p w14:paraId="66206F62" w14:textId="35923D67" w:rsidR="001020BC" w:rsidRPr="00440C66" w:rsidRDefault="001020BC" w:rsidP="001020BC">
      <w:pPr>
        <w:widowControl w:val="0"/>
        <w:ind w:left="0" w:firstLine="0"/>
      </w:pPr>
      <w:r w:rsidRPr="00440C66">
        <w:t xml:space="preserve">Każda tabletka zawiera 50 mg wildagliptyny i </w:t>
      </w:r>
      <w:r>
        <w:t>1000</w:t>
      </w:r>
      <w:r w:rsidRPr="00440C66">
        <w:t xml:space="preserve"> mg metforminy chlorowodorku (co odpowiada </w:t>
      </w:r>
      <w:r w:rsidR="00347617">
        <w:t>780</w:t>
      </w:r>
      <w:r w:rsidRPr="00440C66">
        <w:t> mg metforminy).</w:t>
      </w:r>
    </w:p>
    <w:p w14:paraId="055DE6DC" w14:textId="77777777" w:rsidR="001020BC" w:rsidRPr="00440C66" w:rsidRDefault="001020BC" w:rsidP="001020BC">
      <w:pPr>
        <w:widowControl w:val="0"/>
      </w:pPr>
    </w:p>
    <w:p w14:paraId="7E6E3ABE" w14:textId="77777777" w:rsidR="001020BC" w:rsidRPr="00440C66" w:rsidRDefault="001020BC" w:rsidP="001020BC">
      <w:pPr>
        <w:widowControl w:val="0"/>
      </w:pPr>
    </w:p>
    <w:p w14:paraId="65D08D66"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3.</w:t>
      </w:r>
      <w:r w:rsidRPr="00440C66">
        <w:rPr>
          <w:b/>
        </w:rPr>
        <w:tab/>
      </w:r>
      <w:r w:rsidRPr="00440C66">
        <w:rPr>
          <w:b/>
          <w:lang w:eastAsia="en-US"/>
        </w:rPr>
        <w:t>WYKAZ SUBSTANCJI POMOCNICZYCH</w:t>
      </w:r>
    </w:p>
    <w:p w14:paraId="0CCD5DFF" w14:textId="77777777" w:rsidR="001020BC" w:rsidRPr="00440C66" w:rsidRDefault="001020BC" w:rsidP="001020BC">
      <w:pPr>
        <w:widowControl w:val="0"/>
        <w:ind w:left="0" w:firstLine="0"/>
      </w:pPr>
    </w:p>
    <w:p w14:paraId="3D9BAE3E" w14:textId="77777777" w:rsidR="001020BC" w:rsidRPr="00440C66" w:rsidRDefault="001020BC" w:rsidP="001020BC">
      <w:pPr>
        <w:widowControl w:val="0"/>
      </w:pPr>
    </w:p>
    <w:p w14:paraId="1878599E"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4.</w:t>
      </w:r>
      <w:r w:rsidRPr="00440C66">
        <w:rPr>
          <w:b/>
        </w:rPr>
        <w:tab/>
      </w:r>
      <w:r w:rsidRPr="00440C66">
        <w:rPr>
          <w:b/>
          <w:lang w:eastAsia="en-US"/>
        </w:rPr>
        <w:t>POSTAĆ FARMACEUTYCZNA I ZAWARTOŚĆ OPAKOWANIA</w:t>
      </w:r>
    </w:p>
    <w:p w14:paraId="5C12B4C0" w14:textId="77777777" w:rsidR="001020BC" w:rsidRDefault="001020BC" w:rsidP="001020BC">
      <w:pPr>
        <w:widowControl w:val="0"/>
      </w:pPr>
    </w:p>
    <w:p w14:paraId="54AD05FC" w14:textId="77777777" w:rsidR="001020BC" w:rsidRDefault="001020BC" w:rsidP="001020BC">
      <w:pPr>
        <w:widowControl w:val="0"/>
        <w:rPr>
          <w:shd w:val="pct15" w:color="auto" w:fill="auto"/>
        </w:rPr>
      </w:pPr>
      <w:r w:rsidRPr="008C5989">
        <w:rPr>
          <w:shd w:val="pct15" w:color="auto" w:fill="auto"/>
        </w:rPr>
        <w:t>Tabletka powlekana</w:t>
      </w:r>
      <w:r>
        <w:rPr>
          <w:shd w:val="pct15" w:color="auto" w:fill="auto"/>
        </w:rPr>
        <w:t xml:space="preserve"> </w:t>
      </w:r>
    </w:p>
    <w:p w14:paraId="0CCB8564" w14:textId="77777777" w:rsidR="001020BC" w:rsidRPr="00440C66" w:rsidRDefault="001020BC" w:rsidP="001020BC">
      <w:pPr>
        <w:widowControl w:val="0"/>
        <w:ind w:left="0" w:firstLine="0"/>
      </w:pPr>
    </w:p>
    <w:p w14:paraId="76C915EE" w14:textId="77777777" w:rsidR="001020BC" w:rsidRDefault="001020BC" w:rsidP="001020BC">
      <w:pPr>
        <w:widowControl w:val="0"/>
      </w:pPr>
      <w:r>
        <w:t>60 tabletek powlekanych</w:t>
      </w:r>
    </w:p>
    <w:p w14:paraId="1B5B4C0A" w14:textId="77777777" w:rsidR="001020BC" w:rsidRPr="00440C66" w:rsidRDefault="001020BC" w:rsidP="001020BC">
      <w:pPr>
        <w:widowControl w:val="0"/>
      </w:pPr>
    </w:p>
    <w:p w14:paraId="1880E9C9"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5.</w:t>
      </w:r>
      <w:r w:rsidRPr="00440C66">
        <w:rPr>
          <w:b/>
        </w:rPr>
        <w:tab/>
      </w:r>
      <w:r w:rsidRPr="00440C66">
        <w:rPr>
          <w:b/>
          <w:lang w:eastAsia="en-US"/>
        </w:rPr>
        <w:t>SPOSÓB I DROGA PODANIA</w:t>
      </w:r>
    </w:p>
    <w:p w14:paraId="249588CE" w14:textId="77777777" w:rsidR="001020BC" w:rsidRPr="00440C66" w:rsidRDefault="001020BC" w:rsidP="001020BC">
      <w:pPr>
        <w:widowControl w:val="0"/>
        <w:rPr>
          <w:i/>
        </w:rPr>
      </w:pPr>
    </w:p>
    <w:p w14:paraId="17AE16F0" w14:textId="77777777" w:rsidR="001020BC" w:rsidRPr="00440C66" w:rsidRDefault="001020BC" w:rsidP="001020BC">
      <w:pPr>
        <w:widowControl w:val="0"/>
      </w:pPr>
      <w:r w:rsidRPr="00440C66">
        <w:t>Podanie doustne</w:t>
      </w:r>
    </w:p>
    <w:p w14:paraId="0CB2AF56" w14:textId="77777777" w:rsidR="001020BC" w:rsidRPr="00440C66" w:rsidRDefault="001020BC" w:rsidP="001020BC">
      <w:pPr>
        <w:widowControl w:val="0"/>
      </w:pPr>
      <w:r w:rsidRPr="00440C66">
        <w:t>Należy zapoznać się z treścią ulotki przed zastosowaniem leku.</w:t>
      </w:r>
    </w:p>
    <w:p w14:paraId="3DFD27EC" w14:textId="77777777" w:rsidR="001020BC" w:rsidRPr="00440C66" w:rsidRDefault="001020BC" w:rsidP="001020BC">
      <w:pPr>
        <w:widowControl w:val="0"/>
      </w:pPr>
    </w:p>
    <w:p w14:paraId="33F14C9F" w14:textId="77777777" w:rsidR="001020BC" w:rsidRPr="00440C66" w:rsidRDefault="001020BC" w:rsidP="001020BC">
      <w:pPr>
        <w:widowControl w:val="0"/>
      </w:pPr>
    </w:p>
    <w:p w14:paraId="4B1538F7"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6.</w:t>
      </w:r>
      <w:r w:rsidRPr="00440C66">
        <w:rPr>
          <w:b/>
        </w:rPr>
        <w:tab/>
      </w:r>
      <w:r w:rsidRPr="00440C66">
        <w:rPr>
          <w:b/>
          <w:lang w:eastAsia="en-US"/>
        </w:rPr>
        <w:t>OSTRZEŻENIE DOTYCZĄCE PRZECHOWYWANIA PRODUKTU LECZNICZEGO W MIEJSCU NIEWIDOCZNYM I NIEDOSTĘPNYM</w:t>
      </w:r>
      <w:r w:rsidRPr="00440C66">
        <w:rPr>
          <w:b/>
        </w:rPr>
        <w:t xml:space="preserve"> DLA DZIECI</w:t>
      </w:r>
    </w:p>
    <w:p w14:paraId="08374755" w14:textId="77777777" w:rsidR="001020BC" w:rsidRPr="00440C66" w:rsidRDefault="001020BC" w:rsidP="001020BC">
      <w:pPr>
        <w:widowControl w:val="0"/>
      </w:pPr>
    </w:p>
    <w:p w14:paraId="4BB8350F" w14:textId="77777777" w:rsidR="001020BC" w:rsidRPr="00440C66" w:rsidRDefault="001020BC" w:rsidP="001020BC">
      <w:pPr>
        <w:widowControl w:val="0"/>
        <w:outlineLvl w:val="0"/>
      </w:pPr>
      <w:r w:rsidRPr="00440C66">
        <w:t>Lek przechowywać w miejscu niewidocznym i niedostępnym dla dzieci.</w:t>
      </w:r>
    </w:p>
    <w:p w14:paraId="74D86E97" w14:textId="77777777" w:rsidR="001020BC" w:rsidRPr="00440C66" w:rsidRDefault="001020BC" w:rsidP="001020BC">
      <w:pPr>
        <w:widowControl w:val="0"/>
      </w:pPr>
    </w:p>
    <w:p w14:paraId="2E179782" w14:textId="77777777" w:rsidR="001020BC" w:rsidRPr="00440C66" w:rsidRDefault="001020BC" w:rsidP="001020BC">
      <w:pPr>
        <w:widowControl w:val="0"/>
      </w:pPr>
    </w:p>
    <w:p w14:paraId="5A1C2B6B"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7.</w:t>
      </w:r>
      <w:r w:rsidRPr="00440C66">
        <w:rPr>
          <w:b/>
        </w:rPr>
        <w:tab/>
        <w:t>INNE OSTRZEŻENIA SPECJALNE, JEŚLI KONIECZNE</w:t>
      </w:r>
    </w:p>
    <w:p w14:paraId="05BA95DF" w14:textId="39ABDB0E" w:rsidR="001020BC" w:rsidRDefault="001020BC" w:rsidP="001020BC">
      <w:pPr>
        <w:widowControl w:val="0"/>
        <w:ind w:left="0" w:firstLine="0"/>
      </w:pPr>
    </w:p>
    <w:p w14:paraId="10FF81DA" w14:textId="03AC9EFC" w:rsidR="00A5032D" w:rsidRPr="00440C66" w:rsidRDefault="00A5032D" w:rsidP="001020BC">
      <w:pPr>
        <w:widowControl w:val="0"/>
        <w:ind w:left="0" w:firstLine="0"/>
      </w:pPr>
      <w:r w:rsidRPr="00A5032D">
        <w:t>Element opakowania zbiorczego. Pojedyncze opakowanie nie może być sprzedawane osobno</w:t>
      </w:r>
      <w:r>
        <w:t>.</w:t>
      </w:r>
    </w:p>
    <w:p w14:paraId="62143200" w14:textId="77777777" w:rsidR="001020BC" w:rsidRPr="00440C66" w:rsidRDefault="001020BC" w:rsidP="001020BC">
      <w:pPr>
        <w:widowControl w:val="0"/>
      </w:pPr>
    </w:p>
    <w:p w14:paraId="3BCF075C"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8.</w:t>
      </w:r>
      <w:r w:rsidRPr="00440C66">
        <w:rPr>
          <w:b/>
        </w:rPr>
        <w:tab/>
        <w:t>TERMIN WAŻNOŚCI</w:t>
      </w:r>
    </w:p>
    <w:p w14:paraId="105A3AB4" w14:textId="77777777" w:rsidR="001020BC" w:rsidRPr="00440C66" w:rsidRDefault="001020BC" w:rsidP="001020BC">
      <w:pPr>
        <w:widowControl w:val="0"/>
      </w:pPr>
    </w:p>
    <w:p w14:paraId="708ABC8A" w14:textId="77777777" w:rsidR="001020BC" w:rsidRPr="00440C66" w:rsidRDefault="001020BC" w:rsidP="001020BC">
      <w:pPr>
        <w:widowControl w:val="0"/>
      </w:pPr>
      <w:r w:rsidRPr="00440C66">
        <w:t>Termin ważności (EXP)</w:t>
      </w:r>
    </w:p>
    <w:p w14:paraId="15700055" w14:textId="77777777" w:rsidR="001020BC" w:rsidRPr="00440C66" w:rsidRDefault="001020BC" w:rsidP="001020BC">
      <w:pPr>
        <w:widowControl w:val="0"/>
      </w:pPr>
    </w:p>
    <w:p w14:paraId="04C97CA6" w14:textId="77777777" w:rsidR="001020BC" w:rsidRPr="00440C66" w:rsidRDefault="001020BC" w:rsidP="001020BC">
      <w:pPr>
        <w:widowControl w:val="0"/>
      </w:pPr>
    </w:p>
    <w:p w14:paraId="40BF8F85" w14:textId="77777777" w:rsidR="001020BC" w:rsidRPr="00440C66" w:rsidRDefault="001020BC" w:rsidP="001020BC">
      <w:pPr>
        <w:keepNext/>
        <w:keepLines/>
        <w:widowControl w:val="0"/>
        <w:pBdr>
          <w:top w:val="single" w:sz="4" w:space="1" w:color="auto"/>
          <w:left w:val="single" w:sz="4" w:space="4" w:color="auto"/>
          <w:bottom w:val="single" w:sz="4" w:space="1" w:color="auto"/>
          <w:right w:val="single" w:sz="4" w:space="4" w:color="auto"/>
        </w:pBdr>
        <w:outlineLvl w:val="0"/>
      </w:pPr>
      <w:r w:rsidRPr="00440C66">
        <w:rPr>
          <w:b/>
        </w:rPr>
        <w:t>9.</w:t>
      </w:r>
      <w:r w:rsidRPr="00440C66">
        <w:rPr>
          <w:b/>
        </w:rPr>
        <w:tab/>
        <w:t>WARUNKI PRZECHOWYWANIA</w:t>
      </w:r>
    </w:p>
    <w:p w14:paraId="0FF1C965" w14:textId="77777777" w:rsidR="001020BC" w:rsidRDefault="001020BC" w:rsidP="001020BC">
      <w:pPr>
        <w:widowControl w:val="0"/>
        <w:ind w:left="0" w:firstLine="0"/>
        <w:rPr>
          <w:iCs/>
        </w:rPr>
      </w:pPr>
    </w:p>
    <w:p w14:paraId="49C7E6A2" w14:textId="77777777" w:rsidR="001020BC" w:rsidRPr="00440C66" w:rsidRDefault="001020BC" w:rsidP="001020BC">
      <w:pPr>
        <w:widowControl w:val="0"/>
        <w:ind w:left="0" w:firstLine="0"/>
      </w:pPr>
    </w:p>
    <w:p w14:paraId="14E79E82"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rPr>
          <w:b/>
        </w:rPr>
      </w:pPr>
      <w:r w:rsidRPr="00440C66">
        <w:rPr>
          <w:b/>
        </w:rPr>
        <w:t>10.</w:t>
      </w:r>
      <w:r w:rsidRPr="00440C66">
        <w:rPr>
          <w:b/>
        </w:rPr>
        <w:tab/>
      </w:r>
      <w:r w:rsidRPr="00440C66">
        <w:rPr>
          <w:b/>
          <w:lang w:eastAsia="en-US"/>
        </w:rPr>
        <w:t>SPECJALNE ŚRODKI OSTROŻNOŚCI DOTYCZĄCE USUWANIA NIEZUŻYTEGO PRODUKTU LECZNICZEGO LUB POCHODZĄCYCH Z NIEGO ODPADÓW, JEŚLI WŁAŚCIWE</w:t>
      </w:r>
    </w:p>
    <w:p w14:paraId="14B8A9E9" w14:textId="77777777" w:rsidR="001020BC" w:rsidRPr="00440C66" w:rsidRDefault="001020BC" w:rsidP="001020BC">
      <w:pPr>
        <w:widowControl w:val="0"/>
        <w:ind w:left="0" w:firstLine="0"/>
      </w:pPr>
    </w:p>
    <w:p w14:paraId="0B5B0A77"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rPr>
          <w:b/>
        </w:rPr>
      </w:pPr>
      <w:r w:rsidRPr="00440C66">
        <w:rPr>
          <w:b/>
        </w:rPr>
        <w:t>11.</w:t>
      </w:r>
      <w:r w:rsidRPr="00440C66">
        <w:rPr>
          <w:b/>
        </w:rPr>
        <w:tab/>
      </w:r>
      <w:r w:rsidRPr="00440C66">
        <w:rPr>
          <w:b/>
          <w:lang w:eastAsia="en-US"/>
        </w:rPr>
        <w:t>NAZWA</w:t>
      </w:r>
      <w:r w:rsidRPr="00440C66">
        <w:rPr>
          <w:b/>
        </w:rPr>
        <w:t xml:space="preserve"> I ADRES PODMIOTU ODPOWIEDZIALNEGO</w:t>
      </w:r>
    </w:p>
    <w:p w14:paraId="3EAD4143" w14:textId="77777777" w:rsidR="001020BC" w:rsidRPr="00440C66" w:rsidRDefault="001020BC" w:rsidP="001020BC">
      <w:pPr>
        <w:widowControl w:val="0"/>
      </w:pPr>
    </w:p>
    <w:p w14:paraId="17AD6C80" w14:textId="77777777" w:rsidR="001020BC" w:rsidRPr="0058200C" w:rsidRDefault="001020BC" w:rsidP="001020BC">
      <w:pPr>
        <w:rPr>
          <w:noProof/>
          <w:szCs w:val="22"/>
        </w:rPr>
      </w:pPr>
      <w:r w:rsidRPr="0058200C">
        <w:rPr>
          <w:noProof/>
          <w:szCs w:val="22"/>
        </w:rPr>
        <w:t>Accord Healthcare S.L.U</w:t>
      </w:r>
    </w:p>
    <w:p w14:paraId="73283713" w14:textId="77777777" w:rsidR="001020BC" w:rsidRPr="00FC35A4" w:rsidRDefault="001020BC" w:rsidP="001020BC">
      <w:pPr>
        <w:rPr>
          <w:noProof/>
          <w:szCs w:val="22"/>
          <w:lang w:val="es-ES"/>
        </w:rPr>
      </w:pPr>
      <w:r w:rsidRPr="00FC35A4">
        <w:rPr>
          <w:noProof/>
          <w:szCs w:val="22"/>
          <w:lang w:val="es-ES"/>
        </w:rPr>
        <w:t>World Trade Center, Moll de Barcelona s/n</w:t>
      </w:r>
    </w:p>
    <w:p w14:paraId="68D5C62A" w14:textId="77777777" w:rsidR="001020BC" w:rsidRPr="00FC35A4" w:rsidRDefault="001020BC" w:rsidP="001020BC">
      <w:pPr>
        <w:rPr>
          <w:noProof/>
          <w:szCs w:val="22"/>
          <w:lang w:val="es-ES"/>
        </w:rPr>
      </w:pPr>
      <w:r w:rsidRPr="00FC35A4">
        <w:rPr>
          <w:noProof/>
          <w:szCs w:val="22"/>
          <w:lang w:val="es-ES"/>
        </w:rPr>
        <w:t>Edifici Est, 6</w:t>
      </w:r>
      <w:r w:rsidRPr="00FC35A4">
        <w:rPr>
          <w:noProof/>
          <w:szCs w:val="22"/>
          <w:vertAlign w:val="superscript"/>
          <w:lang w:val="es-ES"/>
        </w:rPr>
        <w:t>a</w:t>
      </w:r>
      <w:r w:rsidRPr="00FC35A4">
        <w:rPr>
          <w:noProof/>
          <w:szCs w:val="22"/>
          <w:lang w:val="es-ES"/>
        </w:rPr>
        <w:t xml:space="preserve"> planta,</w:t>
      </w:r>
    </w:p>
    <w:p w14:paraId="6C20399C" w14:textId="77777777" w:rsidR="001020BC" w:rsidRDefault="001020BC" w:rsidP="001020BC">
      <w:pPr>
        <w:rPr>
          <w:noProof/>
          <w:szCs w:val="22"/>
        </w:rPr>
      </w:pPr>
      <w:r w:rsidRPr="007C7995">
        <w:rPr>
          <w:noProof/>
          <w:szCs w:val="22"/>
        </w:rPr>
        <w:t>08039 Barcelona</w:t>
      </w:r>
    </w:p>
    <w:p w14:paraId="2B4EF548" w14:textId="77777777" w:rsidR="001020BC" w:rsidRPr="007C7995" w:rsidRDefault="001020BC" w:rsidP="001020BC">
      <w:pPr>
        <w:rPr>
          <w:noProof/>
          <w:szCs w:val="22"/>
        </w:rPr>
      </w:pPr>
      <w:r>
        <w:rPr>
          <w:noProof/>
          <w:szCs w:val="22"/>
        </w:rPr>
        <w:t>Hiszpania</w:t>
      </w:r>
    </w:p>
    <w:p w14:paraId="0F249C4F" w14:textId="77777777" w:rsidR="001020BC" w:rsidRPr="00440C66" w:rsidRDefault="001020BC" w:rsidP="001020BC">
      <w:pPr>
        <w:widowControl w:val="0"/>
      </w:pPr>
    </w:p>
    <w:p w14:paraId="0A8D2B50" w14:textId="77777777" w:rsidR="001020BC" w:rsidRPr="00440C66" w:rsidRDefault="001020BC" w:rsidP="001020BC">
      <w:pPr>
        <w:widowControl w:val="0"/>
      </w:pPr>
    </w:p>
    <w:p w14:paraId="64C360C5"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rPr>
          <w:b/>
        </w:rPr>
      </w:pPr>
      <w:r w:rsidRPr="00440C66">
        <w:rPr>
          <w:b/>
        </w:rPr>
        <w:t>12.</w:t>
      </w:r>
      <w:r w:rsidRPr="00440C66">
        <w:rPr>
          <w:b/>
        </w:rPr>
        <w:tab/>
        <w:t>NUMERY POZWOLEŃ NA DOPUSZCZENIE DO OBROTU</w:t>
      </w:r>
    </w:p>
    <w:p w14:paraId="36645510" w14:textId="77777777" w:rsidR="001020BC" w:rsidRPr="00440C66" w:rsidRDefault="001020BC" w:rsidP="001020BC">
      <w:pPr>
        <w:widowControl w:val="0"/>
      </w:pPr>
    </w:p>
    <w:p w14:paraId="42200514" w14:textId="77777777" w:rsidR="001020BC" w:rsidRPr="00FC35A4" w:rsidRDefault="001020BC" w:rsidP="001020BC">
      <w:pPr>
        <w:widowControl w:val="0"/>
        <w:rPr>
          <w:shd w:val="clear" w:color="auto" w:fill="D9D9D9"/>
          <w:lang w:val="es-ES"/>
        </w:rPr>
      </w:pPr>
    </w:p>
    <w:p w14:paraId="616FA7EE" w14:textId="77777777" w:rsidR="001020BC" w:rsidRPr="00FC35A4" w:rsidRDefault="001020BC" w:rsidP="001020BC">
      <w:pPr>
        <w:widowControl w:val="0"/>
        <w:outlineLvl w:val="0"/>
        <w:rPr>
          <w:lang w:val="es-ES"/>
        </w:rPr>
      </w:pPr>
    </w:p>
    <w:p w14:paraId="138A433C"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rPr>
          <w:lang w:val="nb-NO"/>
        </w:rPr>
      </w:pPr>
      <w:r w:rsidRPr="00440C66">
        <w:rPr>
          <w:b/>
          <w:lang w:val="nb-NO"/>
        </w:rPr>
        <w:t>13.</w:t>
      </w:r>
      <w:r w:rsidRPr="00440C66">
        <w:rPr>
          <w:b/>
          <w:lang w:val="nb-NO"/>
        </w:rPr>
        <w:tab/>
        <w:t>NUMER SERII</w:t>
      </w:r>
    </w:p>
    <w:p w14:paraId="3A420C3F" w14:textId="77777777" w:rsidR="001020BC" w:rsidRPr="00440C66" w:rsidRDefault="001020BC" w:rsidP="001020BC">
      <w:pPr>
        <w:widowControl w:val="0"/>
        <w:rPr>
          <w:i/>
          <w:lang w:val="nb-NO"/>
        </w:rPr>
      </w:pPr>
    </w:p>
    <w:p w14:paraId="12DC9040" w14:textId="77777777" w:rsidR="001020BC" w:rsidRPr="00440C66" w:rsidRDefault="001020BC" w:rsidP="001020BC">
      <w:pPr>
        <w:widowControl w:val="0"/>
        <w:rPr>
          <w:lang w:val="nb-NO"/>
        </w:rPr>
      </w:pPr>
      <w:r w:rsidRPr="00440C66">
        <w:rPr>
          <w:lang w:val="nb-NO"/>
        </w:rPr>
        <w:t>Nr serii (Lot)</w:t>
      </w:r>
    </w:p>
    <w:p w14:paraId="3296A60B" w14:textId="77777777" w:rsidR="001020BC" w:rsidRPr="00440C66" w:rsidRDefault="001020BC" w:rsidP="001020BC">
      <w:pPr>
        <w:widowControl w:val="0"/>
        <w:rPr>
          <w:lang w:val="nb-NO"/>
        </w:rPr>
      </w:pPr>
    </w:p>
    <w:p w14:paraId="586CAFB6" w14:textId="77777777" w:rsidR="001020BC" w:rsidRPr="00440C66" w:rsidRDefault="001020BC" w:rsidP="001020BC">
      <w:pPr>
        <w:widowControl w:val="0"/>
        <w:rPr>
          <w:lang w:val="nb-NO"/>
        </w:rPr>
      </w:pPr>
    </w:p>
    <w:p w14:paraId="5C9DD067"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14.</w:t>
      </w:r>
      <w:r w:rsidRPr="00440C66">
        <w:rPr>
          <w:b/>
        </w:rPr>
        <w:tab/>
        <w:t>OGÓLNA KATEGORIA DOSTĘPNOŚCI</w:t>
      </w:r>
    </w:p>
    <w:p w14:paraId="2D50DFDA" w14:textId="77777777" w:rsidR="001020BC" w:rsidRPr="00440C66" w:rsidRDefault="001020BC" w:rsidP="001020BC">
      <w:pPr>
        <w:widowControl w:val="0"/>
      </w:pPr>
    </w:p>
    <w:p w14:paraId="12A87F45" w14:textId="77777777" w:rsidR="001020BC" w:rsidRPr="00440C66" w:rsidRDefault="001020BC" w:rsidP="001020BC">
      <w:pPr>
        <w:widowControl w:val="0"/>
      </w:pPr>
    </w:p>
    <w:p w14:paraId="65274212"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15.</w:t>
      </w:r>
      <w:r w:rsidRPr="00440C66">
        <w:rPr>
          <w:b/>
        </w:rPr>
        <w:tab/>
        <w:t>INSTRUKCJA UŻYCIA</w:t>
      </w:r>
    </w:p>
    <w:p w14:paraId="2E1E9BBC" w14:textId="77777777" w:rsidR="001020BC" w:rsidRPr="00440C66" w:rsidRDefault="001020BC" w:rsidP="001020BC">
      <w:pPr>
        <w:widowControl w:val="0"/>
      </w:pPr>
    </w:p>
    <w:p w14:paraId="6749440D" w14:textId="77777777" w:rsidR="001020BC" w:rsidRPr="00440C66" w:rsidRDefault="001020BC" w:rsidP="001020BC">
      <w:pPr>
        <w:widowControl w:val="0"/>
      </w:pPr>
    </w:p>
    <w:p w14:paraId="00C48EE1"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16.</w:t>
      </w:r>
      <w:r w:rsidRPr="00440C66">
        <w:rPr>
          <w:b/>
        </w:rPr>
        <w:tab/>
        <w:t>INFORMACJA PODANA SYSTEMEM BRAILLE’A</w:t>
      </w:r>
    </w:p>
    <w:p w14:paraId="0FA9ED49" w14:textId="77777777" w:rsidR="001020BC" w:rsidRDefault="001020BC" w:rsidP="001020BC">
      <w:pPr>
        <w:widowControl w:val="0"/>
      </w:pPr>
    </w:p>
    <w:p w14:paraId="0500CF0F" w14:textId="77777777" w:rsidR="001020BC" w:rsidRPr="00440C66" w:rsidRDefault="001020BC" w:rsidP="001020BC">
      <w:pPr>
        <w:widowControl w:val="0"/>
      </w:pPr>
    </w:p>
    <w:p w14:paraId="0B1420A5"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w:t>
      </w:r>
      <w:r>
        <w:rPr>
          <w:b/>
        </w:rPr>
        <w:t>7</w:t>
      </w:r>
      <w:r w:rsidRPr="00440C66">
        <w:rPr>
          <w:b/>
        </w:rPr>
        <w:t>.</w:t>
      </w:r>
      <w:r w:rsidRPr="00440C66">
        <w:rPr>
          <w:b/>
        </w:rPr>
        <w:tab/>
      </w:r>
      <w:r>
        <w:rPr>
          <w:b/>
        </w:rPr>
        <w:t>NIEPOWTARZALNY IDENTYFIKATOR – KOD 2D</w:t>
      </w:r>
    </w:p>
    <w:p w14:paraId="1E351FE4" w14:textId="77777777" w:rsidR="001020BC" w:rsidRDefault="001020BC" w:rsidP="001020BC">
      <w:pPr>
        <w:widowControl w:val="0"/>
      </w:pPr>
    </w:p>
    <w:p w14:paraId="771523A9" w14:textId="77777777" w:rsidR="001020BC" w:rsidRPr="00440C66" w:rsidRDefault="001020BC" w:rsidP="001020BC">
      <w:pPr>
        <w:widowControl w:val="0"/>
      </w:pPr>
    </w:p>
    <w:p w14:paraId="01060AF0" w14:textId="77777777" w:rsidR="001020BC" w:rsidRPr="00440C66" w:rsidRDefault="001020BC" w:rsidP="001020BC">
      <w:pPr>
        <w:widowControl w:val="0"/>
        <w:pBdr>
          <w:top w:val="single" w:sz="4" w:space="1" w:color="auto"/>
          <w:left w:val="single" w:sz="4" w:space="4" w:color="auto"/>
          <w:bottom w:val="single" w:sz="4" w:space="1" w:color="auto"/>
          <w:right w:val="single" w:sz="4" w:space="4" w:color="auto"/>
        </w:pBdr>
        <w:outlineLvl w:val="0"/>
      </w:pPr>
      <w:r w:rsidRPr="00440C66">
        <w:rPr>
          <w:b/>
        </w:rPr>
        <w:t>1</w:t>
      </w:r>
      <w:r>
        <w:rPr>
          <w:b/>
        </w:rPr>
        <w:t>8</w:t>
      </w:r>
      <w:r w:rsidRPr="00440C66">
        <w:rPr>
          <w:b/>
        </w:rPr>
        <w:t>.</w:t>
      </w:r>
      <w:r w:rsidRPr="00440C66">
        <w:rPr>
          <w:b/>
        </w:rPr>
        <w:tab/>
      </w:r>
      <w:r>
        <w:rPr>
          <w:b/>
        </w:rPr>
        <w:t>NIEPOWTARZALNY IDENTYFIKATOR – DANE CZYTELNE DLA CZŁOWIEKA</w:t>
      </w:r>
    </w:p>
    <w:p w14:paraId="5FDE50B5" w14:textId="77777777" w:rsidR="001020BC" w:rsidRPr="00440C66" w:rsidRDefault="001020BC" w:rsidP="001020BC">
      <w:pPr>
        <w:widowControl w:val="0"/>
      </w:pPr>
    </w:p>
    <w:p w14:paraId="6ECB2072" w14:textId="77777777" w:rsidR="001020BC" w:rsidRPr="00050A77" w:rsidRDefault="001020BC" w:rsidP="001020BC">
      <w:pPr>
        <w:widowControl w:val="0"/>
      </w:pPr>
    </w:p>
    <w:p w14:paraId="01A8A1EA" w14:textId="77777777" w:rsidR="001020BC" w:rsidRPr="00050A77" w:rsidRDefault="001020BC" w:rsidP="001020BC">
      <w:pPr>
        <w:widowControl w:val="0"/>
      </w:pPr>
    </w:p>
    <w:p w14:paraId="3D584215" w14:textId="77777777" w:rsidR="001020BC" w:rsidRPr="00C937E7" w:rsidRDefault="001020BC" w:rsidP="001020BC">
      <w:pPr>
        <w:rPr>
          <w:noProof/>
        </w:rPr>
      </w:pPr>
    </w:p>
    <w:p w14:paraId="06AE8326" w14:textId="37FDA296" w:rsidR="003C0F9F" w:rsidRDefault="003C0F9F" w:rsidP="004C760F">
      <w:pPr>
        <w:widowControl w:val="0"/>
        <w:rPr>
          <w:b/>
        </w:rPr>
      </w:pPr>
      <w:r w:rsidRPr="00440C66">
        <w:rPr>
          <w:b/>
        </w:rPr>
        <w:br w:type="page"/>
      </w:r>
    </w:p>
    <w:p w14:paraId="7D246E77"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ind w:left="0" w:firstLine="0"/>
        <w:rPr>
          <w:b/>
        </w:rPr>
      </w:pPr>
      <w:r w:rsidRPr="00440C66">
        <w:rPr>
          <w:b/>
        </w:rPr>
        <w:lastRenderedPageBreak/>
        <w:t>MINIMUM INFORMACJI ZAMIESZCZANYCH NA BLISTRACH LUB OPAKOWANIACH FOLIOWYCH</w:t>
      </w:r>
    </w:p>
    <w:p w14:paraId="79AED911"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pPr>
    </w:p>
    <w:p w14:paraId="43CA5B89" w14:textId="34E909D5" w:rsidR="001819A6" w:rsidRPr="00440C66" w:rsidRDefault="001819A6" w:rsidP="004C760F">
      <w:pPr>
        <w:widowControl w:val="0"/>
        <w:pBdr>
          <w:top w:val="single" w:sz="4" w:space="1" w:color="auto"/>
          <w:left w:val="single" w:sz="4" w:space="4" w:color="auto"/>
          <w:bottom w:val="single" w:sz="4" w:space="1" w:color="auto"/>
          <w:right w:val="single" w:sz="4" w:space="4" w:color="auto"/>
        </w:pBdr>
        <w:rPr>
          <w:b/>
        </w:rPr>
      </w:pPr>
      <w:r w:rsidRPr="00440C66">
        <w:rPr>
          <w:b/>
        </w:rPr>
        <w:t>BLIST</w:t>
      </w:r>
      <w:r w:rsidR="00543AEB">
        <w:rPr>
          <w:b/>
        </w:rPr>
        <w:t>E</w:t>
      </w:r>
      <w:r w:rsidRPr="00440C66">
        <w:rPr>
          <w:b/>
        </w:rPr>
        <w:t>R</w:t>
      </w:r>
    </w:p>
    <w:p w14:paraId="45266213" w14:textId="77777777" w:rsidR="003C0F9F" w:rsidRPr="00440C66" w:rsidRDefault="003C0F9F" w:rsidP="004C760F">
      <w:pPr>
        <w:widowControl w:val="0"/>
      </w:pPr>
    </w:p>
    <w:p w14:paraId="6C8D3B6E" w14:textId="77777777" w:rsidR="003C0F9F" w:rsidRPr="00440C66" w:rsidRDefault="003C0F9F" w:rsidP="004C760F">
      <w:pPr>
        <w:widowControl w:val="0"/>
      </w:pPr>
    </w:p>
    <w:p w14:paraId="012DE493"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1.</w:t>
      </w:r>
      <w:r w:rsidRPr="00440C66">
        <w:rPr>
          <w:b/>
        </w:rPr>
        <w:tab/>
        <w:t>NAZWA PRODUKTU LECZNICZEGO</w:t>
      </w:r>
    </w:p>
    <w:p w14:paraId="58A68762" w14:textId="77777777" w:rsidR="003C0F9F" w:rsidRPr="00440C66" w:rsidRDefault="003C0F9F" w:rsidP="004C760F">
      <w:pPr>
        <w:widowControl w:val="0"/>
      </w:pPr>
    </w:p>
    <w:p w14:paraId="07A4AC59" w14:textId="6D0305B7" w:rsidR="003C0F9F" w:rsidRPr="003C72B4" w:rsidRDefault="003C72B4" w:rsidP="004C760F">
      <w:pPr>
        <w:widowControl w:val="0"/>
      </w:pPr>
      <w:r w:rsidRPr="00FC35A4">
        <w:t>Vildagliptin/Metformin hydrochloride Accord</w:t>
      </w:r>
      <w:r w:rsidR="003C0F9F" w:rsidRPr="003C72B4">
        <w:t xml:space="preserve"> 50 mg/1000 mg tabletki </w:t>
      </w:r>
    </w:p>
    <w:p w14:paraId="537486EE" w14:textId="77777777" w:rsidR="003C0F9F" w:rsidRPr="00440C66" w:rsidRDefault="003C0F9F" w:rsidP="004C760F">
      <w:pPr>
        <w:widowControl w:val="0"/>
      </w:pPr>
      <w:r w:rsidRPr="00440C66">
        <w:t>wildagliptyna/metforminy chlorowodorek</w:t>
      </w:r>
    </w:p>
    <w:p w14:paraId="386945EF" w14:textId="77777777" w:rsidR="003C0F9F" w:rsidRPr="00440C66" w:rsidRDefault="003C0F9F" w:rsidP="004C760F">
      <w:pPr>
        <w:widowControl w:val="0"/>
      </w:pPr>
    </w:p>
    <w:p w14:paraId="39ACA3C3" w14:textId="77777777" w:rsidR="003C0F9F" w:rsidRPr="00440C66" w:rsidRDefault="003C0F9F" w:rsidP="004C760F">
      <w:pPr>
        <w:widowControl w:val="0"/>
      </w:pPr>
    </w:p>
    <w:p w14:paraId="2F1343B0"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2.</w:t>
      </w:r>
      <w:r w:rsidRPr="00440C66">
        <w:rPr>
          <w:b/>
        </w:rPr>
        <w:tab/>
        <w:t>NAZWA PODMIOTU ODPOWIEDZIALNEGO</w:t>
      </w:r>
    </w:p>
    <w:p w14:paraId="1118743B" w14:textId="77777777" w:rsidR="003C0F9F" w:rsidRPr="00440C66" w:rsidRDefault="003C0F9F" w:rsidP="004C760F">
      <w:pPr>
        <w:widowControl w:val="0"/>
      </w:pPr>
    </w:p>
    <w:p w14:paraId="2DAE8BC7" w14:textId="0153A959" w:rsidR="003C0F9F" w:rsidRPr="00871713" w:rsidRDefault="00543AEB" w:rsidP="004C760F">
      <w:pPr>
        <w:widowControl w:val="0"/>
        <w:rPr>
          <w:lang w:val="en-US"/>
        </w:rPr>
      </w:pPr>
      <w:r>
        <w:rPr>
          <w:lang w:val="en-US"/>
        </w:rPr>
        <w:t>Accord</w:t>
      </w:r>
    </w:p>
    <w:p w14:paraId="1C352A3C" w14:textId="77777777" w:rsidR="003C0F9F" w:rsidRPr="00871713" w:rsidRDefault="003C0F9F" w:rsidP="004C760F">
      <w:pPr>
        <w:widowControl w:val="0"/>
        <w:rPr>
          <w:lang w:val="en-US"/>
        </w:rPr>
      </w:pPr>
    </w:p>
    <w:p w14:paraId="3EA20A93" w14:textId="77777777" w:rsidR="001819A6" w:rsidRPr="00871713"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lang w:val="en-US"/>
        </w:rPr>
      </w:pPr>
      <w:r w:rsidRPr="00871713">
        <w:rPr>
          <w:b/>
          <w:lang w:val="en-US"/>
        </w:rPr>
        <w:t>3.</w:t>
      </w:r>
      <w:r w:rsidRPr="00871713">
        <w:rPr>
          <w:b/>
          <w:lang w:val="en-US"/>
        </w:rPr>
        <w:tab/>
        <w:t>TERMIN WAŻNOŚCI</w:t>
      </w:r>
    </w:p>
    <w:p w14:paraId="697C8DE1" w14:textId="77777777" w:rsidR="003C0F9F" w:rsidRPr="00871713" w:rsidRDefault="003C0F9F" w:rsidP="004C760F">
      <w:pPr>
        <w:widowControl w:val="0"/>
        <w:rPr>
          <w:lang w:val="en-US"/>
        </w:rPr>
      </w:pPr>
    </w:p>
    <w:p w14:paraId="6A5BE0D4" w14:textId="77777777" w:rsidR="003C0F9F" w:rsidRPr="00871713" w:rsidRDefault="003C0F9F" w:rsidP="004C760F">
      <w:pPr>
        <w:widowControl w:val="0"/>
        <w:rPr>
          <w:lang w:val="en-US"/>
        </w:rPr>
      </w:pPr>
      <w:r w:rsidRPr="00871713">
        <w:rPr>
          <w:lang w:val="en-US"/>
        </w:rPr>
        <w:t>EXP</w:t>
      </w:r>
    </w:p>
    <w:p w14:paraId="61CD1B07" w14:textId="77777777" w:rsidR="003C0F9F" w:rsidRPr="00871713" w:rsidRDefault="003C0F9F" w:rsidP="004C760F">
      <w:pPr>
        <w:widowControl w:val="0"/>
        <w:rPr>
          <w:lang w:val="en-US"/>
        </w:rPr>
      </w:pPr>
    </w:p>
    <w:p w14:paraId="1492B89B" w14:textId="77777777" w:rsidR="003C0F9F" w:rsidRPr="00871713" w:rsidRDefault="003C0F9F" w:rsidP="004C760F">
      <w:pPr>
        <w:widowControl w:val="0"/>
        <w:rPr>
          <w:lang w:val="en-US"/>
        </w:rPr>
      </w:pPr>
    </w:p>
    <w:p w14:paraId="5BC0DCB6" w14:textId="77777777" w:rsidR="001819A6" w:rsidRPr="00FC35A4"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lang w:val="en-GB"/>
        </w:rPr>
      </w:pPr>
      <w:r w:rsidRPr="00FC35A4">
        <w:rPr>
          <w:b/>
          <w:lang w:val="en-GB"/>
        </w:rPr>
        <w:t>4.</w:t>
      </w:r>
      <w:r w:rsidRPr="00FC35A4">
        <w:rPr>
          <w:b/>
          <w:lang w:val="en-GB"/>
        </w:rPr>
        <w:tab/>
        <w:t>NUMER SERII</w:t>
      </w:r>
    </w:p>
    <w:p w14:paraId="10E01A1F" w14:textId="77777777" w:rsidR="003C0F9F" w:rsidRPr="00FC35A4" w:rsidRDefault="003C0F9F" w:rsidP="004C760F">
      <w:pPr>
        <w:widowControl w:val="0"/>
        <w:ind w:right="113"/>
        <w:rPr>
          <w:lang w:val="en-GB"/>
        </w:rPr>
      </w:pPr>
    </w:p>
    <w:p w14:paraId="0056CF3D" w14:textId="77777777" w:rsidR="003C0F9F" w:rsidRPr="00440C66" w:rsidRDefault="003C0F9F" w:rsidP="004C760F">
      <w:pPr>
        <w:widowControl w:val="0"/>
        <w:ind w:right="113"/>
      </w:pPr>
      <w:r w:rsidRPr="00440C66">
        <w:t>Lot</w:t>
      </w:r>
    </w:p>
    <w:p w14:paraId="1D58FE93" w14:textId="77777777" w:rsidR="003C0F9F" w:rsidRPr="00440C66" w:rsidRDefault="003C0F9F" w:rsidP="004C760F">
      <w:pPr>
        <w:widowControl w:val="0"/>
        <w:ind w:right="113"/>
      </w:pPr>
    </w:p>
    <w:p w14:paraId="7A2B15B5" w14:textId="77777777" w:rsidR="003C0F9F" w:rsidRPr="00440C66" w:rsidRDefault="003C0F9F" w:rsidP="004C760F">
      <w:pPr>
        <w:widowControl w:val="0"/>
        <w:ind w:right="113"/>
      </w:pPr>
    </w:p>
    <w:p w14:paraId="61ECB3D8" w14:textId="77777777" w:rsidR="001819A6" w:rsidRPr="00440C66" w:rsidRDefault="001819A6" w:rsidP="004C760F">
      <w:pPr>
        <w:widowControl w:val="0"/>
        <w:pBdr>
          <w:top w:val="single" w:sz="4" w:space="1" w:color="auto"/>
          <w:left w:val="single" w:sz="4" w:space="4" w:color="auto"/>
          <w:bottom w:val="single" w:sz="4" w:space="1" w:color="auto"/>
          <w:right w:val="single" w:sz="4" w:space="4" w:color="auto"/>
        </w:pBdr>
        <w:tabs>
          <w:tab w:val="left" w:pos="142"/>
        </w:tabs>
        <w:rPr>
          <w:b/>
        </w:rPr>
      </w:pPr>
      <w:r w:rsidRPr="00440C66">
        <w:rPr>
          <w:b/>
        </w:rPr>
        <w:t>5.</w:t>
      </w:r>
      <w:r w:rsidRPr="00440C66">
        <w:rPr>
          <w:b/>
        </w:rPr>
        <w:tab/>
        <w:t>INNE</w:t>
      </w:r>
    </w:p>
    <w:p w14:paraId="50BC3F4F" w14:textId="77777777" w:rsidR="003C0F9F" w:rsidRPr="00440C66" w:rsidRDefault="003C0F9F" w:rsidP="004C760F">
      <w:pPr>
        <w:widowControl w:val="0"/>
      </w:pPr>
    </w:p>
    <w:p w14:paraId="60D58B5F" w14:textId="77777777" w:rsidR="00FC217B" w:rsidRDefault="003C0F9F" w:rsidP="004C760F">
      <w:pPr>
        <w:widowControl w:val="0"/>
      </w:pPr>
      <w:r w:rsidRPr="00440C66">
        <w:br w:type="page"/>
      </w:r>
    </w:p>
    <w:p w14:paraId="752B9D7C" w14:textId="77777777" w:rsidR="00837913" w:rsidRPr="00440C66" w:rsidRDefault="00837913" w:rsidP="0026073A">
      <w:pPr>
        <w:widowControl w:val="0"/>
        <w:ind w:left="0" w:firstLine="0"/>
        <w:rPr>
          <w:noProof/>
        </w:rPr>
      </w:pPr>
    </w:p>
    <w:p w14:paraId="25458AFF" w14:textId="77777777" w:rsidR="00CE0D76" w:rsidRPr="00440C66" w:rsidRDefault="00CE0D76" w:rsidP="004C760F">
      <w:pPr>
        <w:widowControl w:val="0"/>
        <w:rPr>
          <w:noProof/>
        </w:rPr>
      </w:pPr>
    </w:p>
    <w:p w14:paraId="77F2104E" w14:textId="77777777" w:rsidR="00CE0D76" w:rsidRPr="00440C66" w:rsidRDefault="00CE0D76" w:rsidP="004C760F">
      <w:pPr>
        <w:widowControl w:val="0"/>
        <w:rPr>
          <w:noProof/>
        </w:rPr>
      </w:pPr>
    </w:p>
    <w:p w14:paraId="1C687EF8" w14:textId="77777777" w:rsidR="00CE0D76" w:rsidRPr="00440C66" w:rsidRDefault="00CE0D76" w:rsidP="004C760F">
      <w:pPr>
        <w:widowControl w:val="0"/>
        <w:rPr>
          <w:noProof/>
        </w:rPr>
      </w:pPr>
    </w:p>
    <w:p w14:paraId="6FDBA2AB" w14:textId="77777777" w:rsidR="00CE0D76" w:rsidRPr="00440C66" w:rsidRDefault="00CE0D76" w:rsidP="004C760F">
      <w:pPr>
        <w:widowControl w:val="0"/>
        <w:rPr>
          <w:noProof/>
        </w:rPr>
      </w:pPr>
    </w:p>
    <w:p w14:paraId="57FC6B43" w14:textId="77777777" w:rsidR="00CE0D76" w:rsidRPr="00440C66" w:rsidRDefault="00CE0D76" w:rsidP="004C760F">
      <w:pPr>
        <w:widowControl w:val="0"/>
        <w:rPr>
          <w:noProof/>
        </w:rPr>
      </w:pPr>
    </w:p>
    <w:p w14:paraId="09ABCDF9" w14:textId="77777777" w:rsidR="00CE0D76" w:rsidRPr="00440C66" w:rsidRDefault="00CE0D76" w:rsidP="004C760F">
      <w:pPr>
        <w:widowControl w:val="0"/>
        <w:rPr>
          <w:noProof/>
        </w:rPr>
      </w:pPr>
    </w:p>
    <w:p w14:paraId="1F097AC3" w14:textId="77777777" w:rsidR="00CE0D76" w:rsidRPr="00440C66" w:rsidRDefault="00CE0D76" w:rsidP="004C760F">
      <w:pPr>
        <w:widowControl w:val="0"/>
        <w:rPr>
          <w:noProof/>
        </w:rPr>
      </w:pPr>
    </w:p>
    <w:p w14:paraId="49B7523F" w14:textId="77777777" w:rsidR="00CE0D76" w:rsidRPr="00440C66" w:rsidRDefault="00CE0D76" w:rsidP="004C760F">
      <w:pPr>
        <w:widowControl w:val="0"/>
        <w:rPr>
          <w:noProof/>
        </w:rPr>
      </w:pPr>
    </w:p>
    <w:p w14:paraId="18DB18B3" w14:textId="77777777" w:rsidR="00CE0D76" w:rsidRPr="00440C66" w:rsidRDefault="00CE0D76" w:rsidP="004C760F">
      <w:pPr>
        <w:widowControl w:val="0"/>
        <w:rPr>
          <w:noProof/>
        </w:rPr>
      </w:pPr>
    </w:p>
    <w:p w14:paraId="284F4E64" w14:textId="77777777" w:rsidR="00CE0D76" w:rsidRPr="00440C66" w:rsidRDefault="00CE0D76" w:rsidP="004C760F">
      <w:pPr>
        <w:widowControl w:val="0"/>
        <w:rPr>
          <w:noProof/>
        </w:rPr>
      </w:pPr>
    </w:p>
    <w:p w14:paraId="057F111F" w14:textId="77777777" w:rsidR="00CE0D76" w:rsidRPr="00440C66" w:rsidRDefault="00CE0D76" w:rsidP="004C760F">
      <w:pPr>
        <w:widowControl w:val="0"/>
        <w:rPr>
          <w:noProof/>
        </w:rPr>
      </w:pPr>
    </w:p>
    <w:p w14:paraId="76C08DFA" w14:textId="77777777" w:rsidR="00CE0D76" w:rsidRPr="00440C66" w:rsidRDefault="00CE0D76" w:rsidP="004C760F">
      <w:pPr>
        <w:widowControl w:val="0"/>
        <w:rPr>
          <w:noProof/>
        </w:rPr>
      </w:pPr>
    </w:p>
    <w:p w14:paraId="5413A71B" w14:textId="77777777" w:rsidR="00CE0D76" w:rsidRPr="00440C66" w:rsidRDefault="00CE0D76" w:rsidP="004C760F">
      <w:pPr>
        <w:widowControl w:val="0"/>
        <w:rPr>
          <w:noProof/>
        </w:rPr>
      </w:pPr>
    </w:p>
    <w:p w14:paraId="10FE973F" w14:textId="77777777" w:rsidR="00CE0D76" w:rsidRPr="00440C66" w:rsidRDefault="00CE0D76" w:rsidP="004C760F">
      <w:pPr>
        <w:widowControl w:val="0"/>
        <w:rPr>
          <w:noProof/>
        </w:rPr>
      </w:pPr>
    </w:p>
    <w:p w14:paraId="11FCF699" w14:textId="77777777" w:rsidR="00CE0D76" w:rsidRPr="00440C66" w:rsidRDefault="00CE0D76" w:rsidP="004C760F">
      <w:pPr>
        <w:widowControl w:val="0"/>
        <w:rPr>
          <w:noProof/>
        </w:rPr>
      </w:pPr>
    </w:p>
    <w:p w14:paraId="308D1397" w14:textId="77777777" w:rsidR="00CE0D76" w:rsidRPr="00440C66" w:rsidRDefault="00CE0D76" w:rsidP="004C760F">
      <w:pPr>
        <w:widowControl w:val="0"/>
        <w:rPr>
          <w:noProof/>
        </w:rPr>
      </w:pPr>
    </w:p>
    <w:p w14:paraId="2F3550B0" w14:textId="77777777" w:rsidR="00CE0D76" w:rsidRPr="00440C66" w:rsidRDefault="00CE0D76" w:rsidP="004C760F">
      <w:pPr>
        <w:widowControl w:val="0"/>
        <w:rPr>
          <w:noProof/>
        </w:rPr>
      </w:pPr>
    </w:p>
    <w:p w14:paraId="2B6538B2" w14:textId="77777777" w:rsidR="00CE0D76" w:rsidRPr="00440C66" w:rsidRDefault="00CE0D76" w:rsidP="004C760F">
      <w:pPr>
        <w:widowControl w:val="0"/>
        <w:rPr>
          <w:noProof/>
        </w:rPr>
      </w:pPr>
    </w:p>
    <w:p w14:paraId="653CC673" w14:textId="77777777" w:rsidR="00CE0D76" w:rsidRPr="00440C66" w:rsidRDefault="00CE0D76" w:rsidP="004C760F">
      <w:pPr>
        <w:widowControl w:val="0"/>
        <w:rPr>
          <w:noProof/>
        </w:rPr>
      </w:pPr>
    </w:p>
    <w:p w14:paraId="6796160C" w14:textId="77777777" w:rsidR="00CE0D76" w:rsidRPr="00440C66" w:rsidRDefault="00CE0D76" w:rsidP="004C760F">
      <w:pPr>
        <w:widowControl w:val="0"/>
        <w:rPr>
          <w:noProof/>
        </w:rPr>
      </w:pPr>
    </w:p>
    <w:p w14:paraId="03D8B643" w14:textId="77777777" w:rsidR="00732C83" w:rsidRPr="00440C66" w:rsidRDefault="00732C83" w:rsidP="004C760F">
      <w:pPr>
        <w:widowControl w:val="0"/>
        <w:rPr>
          <w:noProof/>
        </w:rPr>
      </w:pPr>
    </w:p>
    <w:p w14:paraId="2BD4CB09" w14:textId="77777777" w:rsidR="00732C83" w:rsidRPr="00440C66" w:rsidRDefault="00732C83" w:rsidP="004C760F">
      <w:pPr>
        <w:widowControl w:val="0"/>
        <w:rPr>
          <w:noProof/>
        </w:rPr>
      </w:pPr>
    </w:p>
    <w:p w14:paraId="1D7DCF92" w14:textId="77777777" w:rsidR="008A2514" w:rsidRPr="00440C66" w:rsidRDefault="008A2514" w:rsidP="004C760F">
      <w:pPr>
        <w:widowControl w:val="0"/>
        <w:jc w:val="center"/>
        <w:rPr>
          <w:b/>
        </w:rPr>
      </w:pPr>
      <w:r w:rsidRPr="00440C66">
        <w:rPr>
          <w:b/>
        </w:rPr>
        <w:t>B. ULOTKA DLA PACJENTA</w:t>
      </w:r>
    </w:p>
    <w:p w14:paraId="7E90C976" w14:textId="77777777" w:rsidR="008A2514" w:rsidRPr="00440C66" w:rsidRDefault="008A2514" w:rsidP="004C760F">
      <w:pPr>
        <w:widowControl w:val="0"/>
      </w:pPr>
    </w:p>
    <w:p w14:paraId="138DA144" w14:textId="77777777" w:rsidR="008A2514" w:rsidRPr="00440C66" w:rsidRDefault="008A2514" w:rsidP="004C760F">
      <w:pPr>
        <w:widowControl w:val="0"/>
        <w:jc w:val="center"/>
        <w:rPr>
          <w:b/>
        </w:rPr>
      </w:pPr>
      <w:r w:rsidRPr="00440C66">
        <w:rPr>
          <w:b/>
        </w:rPr>
        <w:br w:type="page"/>
      </w:r>
      <w:r w:rsidR="00A93ED1" w:rsidRPr="00440C66">
        <w:rPr>
          <w:b/>
        </w:rPr>
        <w:lastRenderedPageBreak/>
        <w:t>Ulotka doł</w:t>
      </w:r>
      <w:r w:rsidR="00721B85" w:rsidRPr="00440C66">
        <w:rPr>
          <w:b/>
        </w:rPr>
        <w:t>ączona do opakowania: informacja</w:t>
      </w:r>
      <w:r w:rsidR="00A93ED1" w:rsidRPr="00440C66">
        <w:rPr>
          <w:b/>
        </w:rPr>
        <w:t xml:space="preserve"> dla użytkownika</w:t>
      </w:r>
    </w:p>
    <w:p w14:paraId="3B7068AC" w14:textId="77777777" w:rsidR="00CE0D76" w:rsidRPr="00440C66" w:rsidRDefault="00CE0D76" w:rsidP="004C760F">
      <w:pPr>
        <w:widowControl w:val="0"/>
        <w:jc w:val="center"/>
      </w:pPr>
    </w:p>
    <w:p w14:paraId="626C6673" w14:textId="06353A14" w:rsidR="008A2514" w:rsidRPr="00FC35A4" w:rsidRDefault="003C72B4" w:rsidP="004C760F">
      <w:pPr>
        <w:widowControl w:val="0"/>
        <w:jc w:val="center"/>
        <w:rPr>
          <w:b/>
          <w:lang w:val="en-GB"/>
        </w:rPr>
      </w:pPr>
      <w:r>
        <w:rPr>
          <w:b/>
          <w:lang w:val="en-GB"/>
        </w:rPr>
        <w:t>Vildagliptin/Metformin hydrochloride Accord</w:t>
      </w:r>
      <w:r w:rsidR="00CE0D76" w:rsidRPr="00FC35A4">
        <w:rPr>
          <w:b/>
          <w:lang w:val="en-GB"/>
        </w:rPr>
        <w:t xml:space="preserve"> 50 </w:t>
      </w:r>
      <w:r w:rsidR="008A2514" w:rsidRPr="00FC35A4">
        <w:rPr>
          <w:b/>
          <w:lang w:val="en-GB"/>
        </w:rPr>
        <w:t>mg</w:t>
      </w:r>
      <w:r w:rsidR="00CE0D76" w:rsidRPr="00FC35A4">
        <w:rPr>
          <w:b/>
          <w:lang w:val="en-GB"/>
        </w:rPr>
        <w:t>/850 </w:t>
      </w:r>
      <w:r w:rsidR="00733E84" w:rsidRPr="00FC35A4">
        <w:rPr>
          <w:b/>
          <w:lang w:val="en-GB"/>
        </w:rPr>
        <w:t>mg</w:t>
      </w:r>
      <w:r w:rsidR="008A2514" w:rsidRPr="00FC35A4">
        <w:rPr>
          <w:b/>
          <w:lang w:val="en-GB"/>
        </w:rPr>
        <w:t xml:space="preserve"> </w:t>
      </w:r>
      <w:proofErr w:type="spellStart"/>
      <w:r w:rsidR="008A2514" w:rsidRPr="00FC35A4">
        <w:rPr>
          <w:b/>
          <w:lang w:val="en-GB"/>
        </w:rPr>
        <w:t>tabletki</w:t>
      </w:r>
      <w:proofErr w:type="spellEnd"/>
      <w:r w:rsidR="00733E84" w:rsidRPr="00FC35A4">
        <w:rPr>
          <w:b/>
          <w:lang w:val="en-GB"/>
        </w:rPr>
        <w:t xml:space="preserve"> </w:t>
      </w:r>
      <w:proofErr w:type="spellStart"/>
      <w:r w:rsidR="00733E84" w:rsidRPr="00FC35A4">
        <w:rPr>
          <w:b/>
          <w:lang w:val="en-GB"/>
        </w:rPr>
        <w:t>powlekane</w:t>
      </w:r>
      <w:proofErr w:type="spellEnd"/>
    </w:p>
    <w:p w14:paraId="73A32D0E" w14:textId="4301BDEC" w:rsidR="008A2514" w:rsidRPr="00FC35A4" w:rsidRDefault="003C72B4" w:rsidP="004C760F">
      <w:pPr>
        <w:widowControl w:val="0"/>
        <w:numPr>
          <w:ilvl w:val="12"/>
          <w:numId w:val="0"/>
        </w:numPr>
        <w:jc w:val="center"/>
        <w:rPr>
          <w:b/>
          <w:bCs/>
          <w:lang w:val="en-GB"/>
        </w:rPr>
      </w:pPr>
      <w:r>
        <w:rPr>
          <w:b/>
          <w:bCs/>
          <w:lang w:val="en-GB"/>
        </w:rPr>
        <w:t>Vildagliptin/Metformin hydrochloride Accord</w:t>
      </w:r>
      <w:r w:rsidR="00CE0D76" w:rsidRPr="00FC35A4">
        <w:rPr>
          <w:b/>
          <w:bCs/>
          <w:lang w:val="en-GB"/>
        </w:rPr>
        <w:t xml:space="preserve"> 50 </w:t>
      </w:r>
      <w:r w:rsidR="00733E84" w:rsidRPr="00FC35A4">
        <w:rPr>
          <w:b/>
          <w:bCs/>
          <w:lang w:val="en-GB"/>
        </w:rPr>
        <w:t>mg/</w:t>
      </w:r>
      <w:r w:rsidR="008A2514" w:rsidRPr="00FC35A4">
        <w:rPr>
          <w:b/>
          <w:bCs/>
          <w:lang w:val="en-GB"/>
        </w:rPr>
        <w:t>100</w:t>
      </w:r>
      <w:r w:rsidR="00733E84" w:rsidRPr="00FC35A4">
        <w:rPr>
          <w:b/>
          <w:bCs/>
          <w:lang w:val="en-GB"/>
        </w:rPr>
        <w:t>0</w:t>
      </w:r>
      <w:r w:rsidR="008A2514" w:rsidRPr="00FC35A4">
        <w:rPr>
          <w:b/>
          <w:bCs/>
          <w:lang w:val="en-GB"/>
        </w:rPr>
        <w:t xml:space="preserve"> mg </w:t>
      </w:r>
      <w:proofErr w:type="spellStart"/>
      <w:r w:rsidR="008A2514" w:rsidRPr="00FC35A4">
        <w:rPr>
          <w:b/>
          <w:bCs/>
          <w:lang w:val="en-GB"/>
        </w:rPr>
        <w:t>tabletki</w:t>
      </w:r>
      <w:proofErr w:type="spellEnd"/>
      <w:r w:rsidR="00733E84" w:rsidRPr="00FC35A4">
        <w:rPr>
          <w:b/>
          <w:bCs/>
          <w:lang w:val="en-GB"/>
        </w:rPr>
        <w:t xml:space="preserve"> </w:t>
      </w:r>
      <w:proofErr w:type="spellStart"/>
      <w:r w:rsidR="00733E84" w:rsidRPr="00FC35A4">
        <w:rPr>
          <w:b/>
          <w:bCs/>
          <w:lang w:val="en-GB"/>
        </w:rPr>
        <w:t>powlekane</w:t>
      </w:r>
      <w:proofErr w:type="spellEnd"/>
    </w:p>
    <w:p w14:paraId="560465C6" w14:textId="6B6400DB" w:rsidR="008A2514" w:rsidRPr="00440C66" w:rsidRDefault="00543AEB" w:rsidP="004C760F">
      <w:pPr>
        <w:widowControl w:val="0"/>
        <w:ind w:left="0" w:firstLine="0"/>
        <w:jc w:val="center"/>
      </w:pPr>
      <w:r>
        <w:t>w</w:t>
      </w:r>
      <w:r w:rsidR="008A2514" w:rsidRPr="00440C66">
        <w:t>ildagliptyna</w:t>
      </w:r>
      <w:r>
        <w:t xml:space="preserve"> +</w:t>
      </w:r>
      <w:r w:rsidRPr="00543AEB">
        <w:t xml:space="preserve"> </w:t>
      </w:r>
      <w:r w:rsidRPr="00440C66">
        <w:t xml:space="preserve">chlorowodorek </w:t>
      </w:r>
      <w:r w:rsidR="00733E84" w:rsidRPr="00440C66">
        <w:t>metformin</w:t>
      </w:r>
      <w:r w:rsidR="00435F03" w:rsidRPr="00440C66">
        <w:t>y</w:t>
      </w:r>
      <w:r w:rsidR="00BF1C35" w:rsidRPr="00440C66">
        <w:t xml:space="preserve"> </w:t>
      </w:r>
    </w:p>
    <w:p w14:paraId="01C14828" w14:textId="77777777" w:rsidR="008A2514" w:rsidRPr="00440C66" w:rsidRDefault="008A2514" w:rsidP="004C760F">
      <w:pPr>
        <w:widowControl w:val="0"/>
        <w:rPr>
          <w:u w:val="single"/>
        </w:rPr>
      </w:pPr>
    </w:p>
    <w:p w14:paraId="6EF9D73B" w14:textId="77777777" w:rsidR="008A2514" w:rsidRPr="00440C66" w:rsidRDefault="008A2514" w:rsidP="004C760F">
      <w:pPr>
        <w:widowControl w:val="0"/>
        <w:ind w:left="0" w:firstLine="0"/>
        <w:rPr>
          <w:b/>
        </w:rPr>
      </w:pPr>
      <w:r w:rsidRPr="00440C66">
        <w:rPr>
          <w:b/>
        </w:rPr>
        <w:t xml:space="preserve">Należy </w:t>
      </w:r>
      <w:r w:rsidR="00A93ED1" w:rsidRPr="00440C66">
        <w:rPr>
          <w:b/>
        </w:rPr>
        <w:t xml:space="preserve">uważnie </w:t>
      </w:r>
      <w:r w:rsidRPr="00440C66">
        <w:rPr>
          <w:b/>
        </w:rPr>
        <w:t>zapoznać się z treścią ulotki przed zastosowaniem leku</w:t>
      </w:r>
      <w:r w:rsidR="00A93ED1" w:rsidRPr="00440C66">
        <w:rPr>
          <w:b/>
        </w:rPr>
        <w:t>, ponieważ zawiera ona informacje ważne dla pacjenta</w:t>
      </w:r>
      <w:r w:rsidRPr="00440C66">
        <w:rPr>
          <w:b/>
        </w:rPr>
        <w:t>.</w:t>
      </w:r>
    </w:p>
    <w:p w14:paraId="01C2F531" w14:textId="77777777" w:rsidR="008A2514" w:rsidRPr="00440C66" w:rsidRDefault="008A2514" w:rsidP="004C760F">
      <w:pPr>
        <w:widowControl w:val="0"/>
        <w:numPr>
          <w:ilvl w:val="0"/>
          <w:numId w:val="1"/>
        </w:numPr>
        <w:tabs>
          <w:tab w:val="left" w:pos="540"/>
        </w:tabs>
        <w:ind w:left="540" w:hanging="540"/>
      </w:pPr>
      <w:r w:rsidRPr="00440C66">
        <w:t>Należy zachować tę ulotkę, aby w razie potrzeby móc ją ponownie przeczytać.</w:t>
      </w:r>
    </w:p>
    <w:p w14:paraId="2F44FB7E" w14:textId="77777777" w:rsidR="008A2514" w:rsidRPr="00440C66" w:rsidRDefault="00AF6FA0" w:rsidP="004C760F">
      <w:pPr>
        <w:widowControl w:val="0"/>
        <w:numPr>
          <w:ilvl w:val="0"/>
          <w:numId w:val="1"/>
        </w:numPr>
        <w:tabs>
          <w:tab w:val="left" w:pos="540"/>
        </w:tabs>
        <w:ind w:left="540" w:hanging="540"/>
      </w:pPr>
      <w:r w:rsidRPr="00440C66">
        <w:t>W razie jakichkolwiek wątpliwości n</w:t>
      </w:r>
      <w:r w:rsidR="008A2514" w:rsidRPr="00440C66">
        <w:t>ależy zwrócić się do lekarza</w:t>
      </w:r>
      <w:r w:rsidR="00484EF1" w:rsidRPr="00440C66">
        <w:t>,</w:t>
      </w:r>
      <w:r w:rsidR="008A2514" w:rsidRPr="00440C66">
        <w:t xml:space="preserve"> farmaceuty</w:t>
      </w:r>
      <w:r w:rsidR="00BC2EE4" w:rsidRPr="00440C66">
        <w:t xml:space="preserve"> </w:t>
      </w:r>
      <w:r w:rsidR="00A93ED1" w:rsidRPr="00440C66">
        <w:t>lub pielęgniarki</w:t>
      </w:r>
      <w:r w:rsidR="00BC2EE4" w:rsidRPr="00440C66">
        <w:t>.</w:t>
      </w:r>
    </w:p>
    <w:p w14:paraId="0470EE71" w14:textId="77777777" w:rsidR="008A2514" w:rsidRPr="00440C66" w:rsidRDefault="008A2514" w:rsidP="004C760F">
      <w:pPr>
        <w:widowControl w:val="0"/>
        <w:numPr>
          <w:ilvl w:val="0"/>
          <w:numId w:val="1"/>
        </w:numPr>
        <w:tabs>
          <w:tab w:val="left" w:pos="540"/>
        </w:tabs>
        <w:ind w:left="540" w:hanging="540"/>
      </w:pPr>
      <w:r w:rsidRPr="00440C66">
        <w:t>Lek ten przepisan</w:t>
      </w:r>
      <w:r w:rsidR="00BC2EE4" w:rsidRPr="00440C66">
        <w:t>o</w:t>
      </w:r>
      <w:r w:rsidRPr="00440C66">
        <w:t xml:space="preserve"> ściśle określonej osobie</w:t>
      </w:r>
      <w:r w:rsidR="00BC2EE4" w:rsidRPr="00440C66">
        <w:t>.</w:t>
      </w:r>
      <w:r w:rsidRPr="00440C66">
        <w:t xml:space="preserve"> </w:t>
      </w:r>
      <w:r w:rsidR="00BC2EE4" w:rsidRPr="00440C66">
        <w:t>N</w:t>
      </w:r>
      <w:r w:rsidRPr="00440C66">
        <w:t>ie należy</w:t>
      </w:r>
      <w:r w:rsidR="00234ADA" w:rsidRPr="00440C66">
        <w:t xml:space="preserve"> go</w:t>
      </w:r>
      <w:r w:rsidRPr="00440C66">
        <w:t xml:space="preserve"> przekazywać innym</w:t>
      </w:r>
      <w:r w:rsidR="00BC2EE4" w:rsidRPr="00440C66">
        <w:t>.</w:t>
      </w:r>
      <w:r w:rsidR="00A777BB" w:rsidRPr="00440C66">
        <w:t xml:space="preserve"> </w:t>
      </w:r>
      <w:r w:rsidR="00BC2EE4" w:rsidRPr="00440C66">
        <w:t xml:space="preserve">Lek </w:t>
      </w:r>
      <w:r w:rsidRPr="00440C66">
        <w:t>może</w:t>
      </w:r>
      <w:r w:rsidR="00BC2EE4" w:rsidRPr="00440C66">
        <w:t xml:space="preserve"> </w:t>
      </w:r>
      <w:r w:rsidRPr="00440C66">
        <w:t>zaszkodzić</w:t>
      </w:r>
      <w:r w:rsidR="00BC2EE4" w:rsidRPr="00440C66">
        <w:t xml:space="preserve"> innej osobie</w:t>
      </w:r>
      <w:r w:rsidRPr="00440C66">
        <w:t xml:space="preserve">, nawet jeśli objawy </w:t>
      </w:r>
      <w:r w:rsidR="00BC2EE4" w:rsidRPr="00440C66">
        <w:t>jej</w:t>
      </w:r>
      <w:r w:rsidRPr="00440C66">
        <w:t xml:space="preserve"> choroby są takie same.</w:t>
      </w:r>
    </w:p>
    <w:p w14:paraId="7B780B1C" w14:textId="6D44D86A" w:rsidR="008A2514" w:rsidRPr="00440C66" w:rsidRDefault="008A2514" w:rsidP="004C760F">
      <w:pPr>
        <w:widowControl w:val="0"/>
        <w:numPr>
          <w:ilvl w:val="0"/>
          <w:numId w:val="1"/>
        </w:numPr>
        <w:tabs>
          <w:tab w:val="left" w:pos="540"/>
          <w:tab w:val="left" w:pos="720"/>
        </w:tabs>
        <w:ind w:left="540" w:hanging="540"/>
      </w:pPr>
      <w:r w:rsidRPr="00440C66">
        <w:t xml:space="preserve">Jeśli </w:t>
      </w:r>
      <w:r w:rsidR="00AF6FA0" w:rsidRPr="00440C66">
        <w:t xml:space="preserve">u pacjenta </w:t>
      </w:r>
      <w:r w:rsidRPr="00440C66">
        <w:t xml:space="preserve">wystąpią </w:t>
      </w:r>
      <w:r w:rsidR="00CE0D76" w:rsidRPr="00440C66">
        <w:t>jakiekolwiek objawy</w:t>
      </w:r>
      <w:r w:rsidRPr="00440C66">
        <w:t xml:space="preserve"> niepożądane</w:t>
      </w:r>
      <w:r w:rsidR="00484EF1" w:rsidRPr="00440C66">
        <w:t>, w tym wszelkie objawy niepożądane</w:t>
      </w:r>
      <w:r w:rsidRPr="00440C66">
        <w:t xml:space="preserve"> niewymienione w</w:t>
      </w:r>
      <w:r w:rsidR="00AF6FA0" w:rsidRPr="00440C66">
        <w:t xml:space="preserve"> tej</w:t>
      </w:r>
      <w:r w:rsidRPr="00440C66">
        <w:t xml:space="preserve"> ulotce, należy </w:t>
      </w:r>
      <w:r w:rsidR="003D63F8" w:rsidRPr="00440C66">
        <w:t>powi</w:t>
      </w:r>
      <w:r w:rsidR="00BC2EE4" w:rsidRPr="00440C66">
        <w:t xml:space="preserve">edzieć o tym </w:t>
      </w:r>
      <w:r w:rsidRPr="00440C66">
        <w:t>lekarz</w:t>
      </w:r>
      <w:r w:rsidR="00BC2EE4" w:rsidRPr="00440C66">
        <w:t>owi</w:t>
      </w:r>
      <w:r w:rsidR="003D63F8" w:rsidRPr="00440C66">
        <w:t xml:space="preserve"> </w:t>
      </w:r>
      <w:r w:rsidR="00543AEB">
        <w:t xml:space="preserve">lub </w:t>
      </w:r>
      <w:r w:rsidR="003D63F8" w:rsidRPr="00440C66">
        <w:t>farmaceu</w:t>
      </w:r>
      <w:r w:rsidR="00BC2EE4" w:rsidRPr="00440C66">
        <w:t>cie</w:t>
      </w:r>
      <w:r w:rsidRPr="00440C66">
        <w:t>.</w:t>
      </w:r>
      <w:r w:rsidR="00AF6FA0" w:rsidRPr="00440C66">
        <w:t xml:space="preserve"> Patrz punkt</w:t>
      </w:r>
      <w:r w:rsidR="00713BBF">
        <w:t> </w:t>
      </w:r>
      <w:r w:rsidR="00AF6FA0" w:rsidRPr="00440C66">
        <w:t>4.</w:t>
      </w:r>
    </w:p>
    <w:p w14:paraId="474F3BDD" w14:textId="77777777" w:rsidR="008A2514" w:rsidRPr="00440C66" w:rsidRDefault="008A2514" w:rsidP="004C760F">
      <w:pPr>
        <w:widowControl w:val="0"/>
        <w:rPr>
          <w:u w:val="single"/>
        </w:rPr>
      </w:pPr>
    </w:p>
    <w:p w14:paraId="45B86F84" w14:textId="77777777" w:rsidR="008A2514" w:rsidRDefault="008A2514" w:rsidP="001C2341">
      <w:pPr>
        <w:keepNext/>
        <w:widowControl w:val="0"/>
        <w:rPr>
          <w:b/>
        </w:rPr>
      </w:pPr>
      <w:r w:rsidRPr="00440C66">
        <w:rPr>
          <w:b/>
        </w:rPr>
        <w:t>Spis treści ulotki</w:t>
      </w:r>
    </w:p>
    <w:p w14:paraId="4F9AF9D0" w14:textId="77777777" w:rsidR="00713BBF" w:rsidRPr="001C2341" w:rsidRDefault="00713BBF" w:rsidP="001C2341">
      <w:pPr>
        <w:keepNext/>
        <w:widowControl w:val="0"/>
      </w:pPr>
    </w:p>
    <w:p w14:paraId="076E78C2" w14:textId="052F50D3" w:rsidR="008A2514" w:rsidRPr="00440C66" w:rsidRDefault="00733E84" w:rsidP="004C760F">
      <w:pPr>
        <w:widowControl w:val="0"/>
      </w:pPr>
      <w:r w:rsidRPr="00440C66">
        <w:t>1.</w:t>
      </w:r>
      <w:r w:rsidRPr="00440C66">
        <w:tab/>
        <w:t xml:space="preserve">Co to jest </w:t>
      </w:r>
      <w:r w:rsidR="003D63F8" w:rsidRPr="00440C66">
        <w:t xml:space="preserve">lek </w:t>
      </w:r>
      <w:r w:rsidR="003C72B4">
        <w:t>Vildagliptin/Metformin hydrochloride Accord</w:t>
      </w:r>
      <w:r w:rsidR="008A2514" w:rsidRPr="00440C66">
        <w:t xml:space="preserve"> i w jakim celu się go stosuje</w:t>
      </w:r>
    </w:p>
    <w:p w14:paraId="341B55F0" w14:textId="033C5AF0" w:rsidR="008A2514" w:rsidRPr="00440C66" w:rsidRDefault="00733E84" w:rsidP="004C760F">
      <w:pPr>
        <w:widowControl w:val="0"/>
      </w:pPr>
      <w:r w:rsidRPr="00440C66">
        <w:t>2.</w:t>
      </w:r>
      <w:r w:rsidRPr="00440C66">
        <w:tab/>
      </w:r>
      <w:r w:rsidR="003D63F8" w:rsidRPr="00440C66">
        <w:t xml:space="preserve">Informacje ważne przed zastosowaniem leku </w:t>
      </w:r>
      <w:r w:rsidR="003C72B4">
        <w:t>Vildagliptin/Metformin hydrochloride Accord</w:t>
      </w:r>
    </w:p>
    <w:p w14:paraId="17BC9927" w14:textId="3D796A13" w:rsidR="008A2514" w:rsidRPr="003C72B4" w:rsidRDefault="00733E84" w:rsidP="004C760F">
      <w:pPr>
        <w:widowControl w:val="0"/>
      </w:pPr>
      <w:r w:rsidRPr="003C72B4">
        <w:t>3.</w:t>
      </w:r>
      <w:r w:rsidRPr="003C72B4">
        <w:tab/>
        <w:t xml:space="preserve">Jak stosować </w:t>
      </w:r>
      <w:r w:rsidR="003D63F8" w:rsidRPr="003C72B4">
        <w:t xml:space="preserve">lek </w:t>
      </w:r>
      <w:r w:rsidR="003C72B4" w:rsidRPr="00FC35A4">
        <w:t>Vildagliptin/Metformin hydrochloride Accord</w:t>
      </w:r>
    </w:p>
    <w:p w14:paraId="394C3327" w14:textId="77777777" w:rsidR="008A2514" w:rsidRPr="00440C66" w:rsidRDefault="008A2514" w:rsidP="004C760F">
      <w:pPr>
        <w:widowControl w:val="0"/>
      </w:pPr>
      <w:r w:rsidRPr="00440C66">
        <w:t>4.</w:t>
      </w:r>
      <w:r w:rsidRPr="00440C66">
        <w:tab/>
        <w:t>Możliwe działania niepożądane</w:t>
      </w:r>
    </w:p>
    <w:p w14:paraId="3B532BAC" w14:textId="4399F1C8" w:rsidR="008A2514" w:rsidRPr="00440C66" w:rsidRDefault="00733E84" w:rsidP="004C760F">
      <w:pPr>
        <w:widowControl w:val="0"/>
      </w:pPr>
      <w:r w:rsidRPr="00440C66">
        <w:t>5.</w:t>
      </w:r>
      <w:r w:rsidRPr="00440C66">
        <w:tab/>
      </w:r>
      <w:r w:rsidR="003D63F8" w:rsidRPr="00440C66">
        <w:t>Jak przechowywać lek</w:t>
      </w:r>
      <w:r w:rsidRPr="00440C66">
        <w:t xml:space="preserve"> </w:t>
      </w:r>
      <w:r w:rsidR="003C72B4">
        <w:t>Vildagliptin/Metformin hydrochloride Accord</w:t>
      </w:r>
    </w:p>
    <w:p w14:paraId="00BF2A6C" w14:textId="77777777" w:rsidR="008A2514" w:rsidRPr="00440C66" w:rsidRDefault="008A2514" w:rsidP="004C760F">
      <w:pPr>
        <w:widowControl w:val="0"/>
      </w:pPr>
      <w:r w:rsidRPr="00440C66">
        <w:t>6.</w:t>
      </w:r>
      <w:r w:rsidRPr="00440C66">
        <w:tab/>
      </w:r>
      <w:r w:rsidR="00AB3F5B" w:rsidRPr="00440C66">
        <w:t>Zawartość opakowania i i</w:t>
      </w:r>
      <w:r w:rsidRPr="00440C66">
        <w:t>nne informacje</w:t>
      </w:r>
    </w:p>
    <w:p w14:paraId="40CB28E8" w14:textId="77777777" w:rsidR="008A2514" w:rsidRPr="00440C66" w:rsidRDefault="008A2514" w:rsidP="004C760F">
      <w:pPr>
        <w:widowControl w:val="0"/>
      </w:pPr>
    </w:p>
    <w:p w14:paraId="4CED248C" w14:textId="77777777" w:rsidR="008A2514" w:rsidRPr="00440C66" w:rsidRDefault="008A2514" w:rsidP="004C760F">
      <w:pPr>
        <w:widowControl w:val="0"/>
      </w:pPr>
    </w:p>
    <w:p w14:paraId="409FF31D" w14:textId="03DD6797" w:rsidR="008A2514" w:rsidRPr="00440C66" w:rsidRDefault="00733E84" w:rsidP="004C760F">
      <w:pPr>
        <w:keepNext/>
        <w:widowControl w:val="0"/>
        <w:rPr>
          <w:b/>
        </w:rPr>
      </w:pPr>
      <w:r w:rsidRPr="00440C66">
        <w:rPr>
          <w:b/>
        </w:rPr>
        <w:t>1.</w:t>
      </w:r>
      <w:r w:rsidRPr="00440C66">
        <w:rPr>
          <w:b/>
        </w:rPr>
        <w:tab/>
      </w:r>
      <w:r w:rsidR="00AB3F5B" w:rsidRPr="00440C66">
        <w:rPr>
          <w:b/>
        </w:rPr>
        <w:t>Co to jest lek</w:t>
      </w:r>
      <w:r w:rsidR="003D63F8" w:rsidRPr="00440C66">
        <w:rPr>
          <w:b/>
        </w:rPr>
        <w:t xml:space="preserve"> </w:t>
      </w:r>
      <w:r w:rsidR="003C72B4">
        <w:rPr>
          <w:b/>
        </w:rPr>
        <w:t>Vildagliptin/Metformin hydrochloride Accord</w:t>
      </w:r>
      <w:r w:rsidR="00D65887" w:rsidRPr="00440C66">
        <w:rPr>
          <w:b/>
        </w:rPr>
        <w:t xml:space="preserve"> </w:t>
      </w:r>
      <w:r w:rsidR="00AB3F5B" w:rsidRPr="00440C66">
        <w:rPr>
          <w:b/>
        </w:rPr>
        <w:t>i w jakim celu się go stosuje</w:t>
      </w:r>
    </w:p>
    <w:p w14:paraId="533E7AB9" w14:textId="77777777" w:rsidR="008A2514" w:rsidRPr="00440C66" w:rsidRDefault="008A2514" w:rsidP="004C760F">
      <w:pPr>
        <w:keepNext/>
        <w:widowControl w:val="0"/>
      </w:pPr>
    </w:p>
    <w:p w14:paraId="1EF6E739" w14:textId="0E9AF6C9" w:rsidR="00733E84" w:rsidRPr="00440C66" w:rsidRDefault="00733E84" w:rsidP="004C760F">
      <w:pPr>
        <w:widowControl w:val="0"/>
        <w:ind w:left="0" w:firstLine="0"/>
      </w:pPr>
      <w:r w:rsidRPr="00440C66">
        <w:t>Substancj</w:t>
      </w:r>
      <w:r w:rsidR="00CB6B96" w:rsidRPr="00440C66">
        <w:t>ami</w:t>
      </w:r>
      <w:r w:rsidRPr="00440C66">
        <w:t xml:space="preserve"> czynn</w:t>
      </w:r>
      <w:r w:rsidR="00CB6B96" w:rsidRPr="00440C66">
        <w:t>ymi</w:t>
      </w:r>
      <w:r w:rsidRPr="00440C66">
        <w:t xml:space="preserve"> leku </w:t>
      </w:r>
      <w:r w:rsidR="003C72B4">
        <w:t>Vildagliptin/Metformin hydrochloride Accord</w:t>
      </w:r>
      <w:r w:rsidR="00CB6B96" w:rsidRPr="00440C66">
        <w:t xml:space="preserve"> są</w:t>
      </w:r>
      <w:r w:rsidRPr="00440C66">
        <w:t xml:space="preserve"> </w:t>
      </w:r>
      <w:r w:rsidR="00AB3F5B" w:rsidRPr="00440C66">
        <w:t xml:space="preserve">wildagliptyna i </w:t>
      </w:r>
      <w:r w:rsidR="0081042A" w:rsidRPr="0081042A">
        <w:t xml:space="preserve">chlorowodorek </w:t>
      </w:r>
      <w:r w:rsidR="00AB3F5B" w:rsidRPr="00440C66">
        <w:t>metformin</w:t>
      </w:r>
      <w:r w:rsidR="0081042A">
        <w:t>y</w:t>
      </w:r>
      <w:r w:rsidR="00AB3F5B" w:rsidRPr="00440C66">
        <w:t>,</w:t>
      </w:r>
      <w:r w:rsidR="00CB6B96" w:rsidRPr="00440C66">
        <w:t xml:space="preserve"> które</w:t>
      </w:r>
      <w:r w:rsidR="00AB3F5B" w:rsidRPr="00440C66">
        <w:t xml:space="preserve"> </w:t>
      </w:r>
      <w:r w:rsidRPr="00440C66">
        <w:t xml:space="preserve">należą do </w:t>
      </w:r>
      <w:r w:rsidR="006009E1" w:rsidRPr="00440C66">
        <w:t xml:space="preserve">leków z </w:t>
      </w:r>
      <w:r w:rsidRPr="00440C66">
        <w:t>grupy doustny</w:t>
      </w:r>
      <w:r w:rsidR="006009E1" w:rsidRPr="00440C66">
        <w:t>ch</w:t>
      </w:r>
      <w:r w:rsidRPr="00440C66">
        <w:t xml:space="preserve"> </w:t>
      </w:r>
      <w:r w:rsidR="006009E1" w:rsidRPr="00440C66">
        <w:t xml:space="preserve">leków </w:t>
      </w:r>
      <w:r w:rsidRPr="00440C66">
        <w:t>przeciwcukrzycowy</w:t>
      </w:r>
      <w:r w:rsidR="006009E1" w:rsidRPr="00440C66">
        <w:t>ch</w:t>
      </w:r>
      <w:r w:rsidRPr="00440C66">
        <w:t>.</w:t>
      </w:r>
    </w:p>
    <w:p w14:paraId="01112B49" w14:textId="77777777" w:rsidR="00733E84" w:rsidRPr="00440C66" w:rsidRDefault="00733E84" w:rsidP="004C760F">
      <w:pPr>
        <w:widowControl w:val="0"/>
        <w:ind w:left="0" w:firstLine="0"/>
      </w:pPr>
    </w:p>
    <w:p w14:paraId="0AB63E21" w14:textId="27C49C55" w:rsidR="00733E84" w:rsidRPr="00440C66" w:rsidRDefault="00733E84" w:rsidP="004C760F">
      <w:pPr>
        <w:widowControl w:val="0"/>
        <w:ind w:left="0" w:firstLine="0"/>
      </w:pPr>
      <w:r w:rsidRPr="00440C66">
        <w:t xml:space="preserve">Lek </w:t>
      </w:r>
      <w:r w:rsidR="003C72B4">
        <w:t>Vildagliptin/Metformin hydrochloride Accord</w:t>
      </w:r>
      <w:r w:rsidRPr="00440C66">
        <w:t xml:space="preserve"> jest stosowany w leczeniu</w:t>
      </w:r>
      <w:r w:rsidR="00AB3F5B" w:rsidRPr="00440C66">
        <w:t xml:space="preserve"> dorosłych</w:t>
      </w:r>
      <w:r w:rsidRPr="00440C66">
        <w:t xml:space="preserve"> pacjentów z c</w:t>
      </w:r>
      <w:r w:rsidR="003D63F8" w:rsidRPr="00440C66">
        <w:t>ukrzycą typu</w:t>
      </w:r>
      <w:r w:rsidR="00713BBF">
        <w:t> </w:t>
      </w:r>
      <w:r w:rsidR="003D63F8" w:rsidRPr="00440C66">
        <w:t>2</w:t>
      </w:r>
      <w:r w:rsidRPr="00440C66">
        <w:t xml:space="preserve">. </w:t>
      </w:r>
      <w:r w:rsidR="006927FD" w:rsidRPr="00440C66">
        <w:t xml:space="preserve">Ten rodzaj cukrzycy jest również zwany cukrzycą </w:t>
      </w:r>
      <w:r w:rsidR="006927FD" w:rsidRPr="008B20C2">
        <w:t>insulino</w:t>
      </w:r>
      <w:r w:rsidR="007B581B" w:rsidRPr="008B20C2">
        <w:t>nie</w:t>
      </w:r>
      <w:r w:rsidR="006927FD" w:rsidRPr="008B20C2">
        <w:t>zależną.</w:t>
      </w:r>
      <w:r w:rsidR="001F391F" w:rsidRPr="008B20C2">
        <w:t xml:space="preserve"> </w:t>
      </w:r>
      <w:r w:rsidR="003C72B4">
        <w:t>Vildagliptin/Metformin hydrochloride Accord</w:t>
      </w:r>
      <w:r w:rsidR="001F391F" w:rsidRPr="008B20C2">
        <w:t xml:space="preserve"> jest stosowany, gdy </w:t>
      </w:r>
      <w:r w:rsidR="00D44CC1" w:rsidRPr="008B20C2">
        <w:t xml:space="preserve">do opanowania </w:t>
      </w:r>
      <w:r w:rsidR="001F391F" w:rsidRPr="008B20C2">
        <w:t>cukrzyc</w:t>
      </w:r>
      <w:r w:rsidR="00D44CC1" w:rsidRPr="008B20C2">
        <w:t>y</w:t>
      </w:r>
      <w:r w:rsidR="001F391F" w:rsidRPr="008B20C2">
        <w:t xml:space="preserve"> nie </w:t>
      </w:r>
      <w:r w:rsidR="00D44CC1" w:rsidRPr="008B20C2">
        <w:t>wystarcza,</w:t>
      </w:r>
      <w:r w:rsidR="001F391F" w:rsidRPr="008B20C2">
        <w:t xml:space="preserve"> diet</w:t>
      </w:r>
      <w:r w:rsidR="0078720F" w:rsidRPr="008B20C2">
        <w:t>a</w:t>
      </w:r>
      <w:r w:rsidR="001F391F" w:rsidRPr="008B20C2">
        <w:t xml:space="preserve"> i ćwicze</w:t>
      </w:r>
      <w:r w:rsidR="0078720F" w:rsidRPr="008B20C2">
        <w:t>nia</w:t>
      </w:r>
      <w:r w:rsidR="001F391F" w:rsidRPr="008B20C2">
        <w:t xml:space="preserve"> fizyczn</w:t>
      </w:r>
      <w:r w:rsidR="0078720F" w:rsidRPr="008B20C2">
        <w:t>e</w:t>
      </w:r>
      <w:r w:rsidR="001F391F" w:rsidRPr="008B20C2">
        <w:t xml:space="preserve"> i (lub) jest podawany z innymi lekami stosowanymi w leczeni cukrzycy (insuliną lub sulfonylomocznikami).</w:t>
      </w:r>
    </w:p>
    <w:p w14:paraId="0C7A2AB8" w14:textId="77777777" w:rsidR="008A2514" w:rsidRPr="00440C66" w:rsidRDefault="008A2514" w:rsidP="004C760F">
      <w:pPr>
        <w:widowControl w:val="0"/>
      </w:pPr>
    </w:p>
    <w:p w14:paraId="45C592B2" w14:textId="77777777" w:rsidR="00F33CC1" w:rsidRPr="00440C66" w:rsidRDefault="003D63F8" w:rsidP="004C760F">
      <w:pPr>
        <w:widowControl w:val="0"/>
        <w:ind w:left="0" w:firstLine="0"/>
      </w:pPr>
      <w:r w:rsidRPr="00440C66">
        <w:t>Cukrzyca typu</w:t>
      </w:r>
      <w:r w:rsidR="00644311" w:rsidRPr="00440C66">
        <w:t> </w:t>
      </w:r>
      <w:r w:rsidRPr="00440C66">
        <w:t>2</w:t>
      </w:r>
      <w:r w:rsidR="008A2514" w:rsidRPr="00440C66">
        <w:t xml:space="preserve"> jest chorobą, w której organizm nie </w:t>
      </w:r>
      <w:r w:rsidRPr="00440C66">
        <w:t>wytwarza</w:t>
      </w:r>
      <w:r w:rsidR="008A2514" w:rsidRPr="00440C66">
        <w:t xml:space="preserve"> wystarczającej ilości insuliny, bądź insulina wytwarzana przez organizm nie </w:t>
      </w:r>
      <w:r w:rsidRPr="00440C66">
        <w:t>działa</w:t>
      </w:r>
      <w:r w:rsidR="008A2514" w:rsidRPr="00440C66">
        <w:t xml:space="preserve"> tak jak powinna</w:t>
      </w:r>
      <w:r w:rsidR="00733E84" w:rsidRPr="00440C66">
        <w:t>. Cu</w:t>
      </w:r>
      <w:r w:rsidRPr="00440C66">
        <w:t>krzyca typu</w:t>
      </w:r>
      <w:r w:rsidR="00644311" w:rsidRPr="00440C66">
        <w:t> </w:t>
      </w:r>
      <w:r w:rsidRPr="00440C66">
        <w:t>2</w:t>
      </w:r>
      <w:r w:rsidR="00733E84" w:rsidRPr="00440C66">
        <w:t xml:space="preserve"> może również występować, gdy</w:t>
      </w:r>
      <w:r w:rsidR="008A2514" w:rsidRPr="00440C66">
        <w:t xml:space="preserve"> organizm </w:t>
      </w:r>
      <w:r w:rsidRPr="00440C66">
        <w:t>wytwarza</w:t>
      </w:r>
      <w:r w:rsidR="008A2514" w:rsidRPr="00440C66">
        <w:t xml:space="preserve"> zbyt dużą ilość glukagonu.</w:t>
      </w:r>
    </w:p>
    <w:p w14:paraId="4799A18D" w14:textId="77777777" w:rsidR="00DF74D5" w:rsidRPr="00440C66" w:rsidRDefault="00DF74D5" w:rsidP="004C760F">
      <w:pPr>
        <w:widowControl w:val="0"/>
        <w:ind w:left="0" w:firstLine="0"/>
      </w:pPr>
    </w:p>
    <w:p w14:paraId="6BD76926" w14:textId="7B41A4CC" w:rsidR="00F33CC1" w:rsidRPr="00440C66" w:rsidRDefault="00DF74D5" w:rsidP="004C760F">
      <w:pPr>
        <w:widowControl w:val="0"/>
        <w:ind w:left="0" w:firstLine="0"/>
      </w:pPr>
      <w:r w:rsidRPr="00440C66">
        <w:t xml:space="preserve">Zarówno insulina, jak i glukagon są wytwarzane w trzustce. </w:t>
      </w:r>
      <w:r w:rsidR="008A2514" w:rsidRPr="00440C66">
        <w:t xml:space="preserve">Insulina pomaga zmniejszać stężenie cukru we krwi, </w:t>
      </w:r>
      <w:r w:rsidR="006571EC" w:rsidRPr="00440C66">
        <w:t xml:space="preserve">szczególnie </w:t>
      </w:r>
      <w:r w:rsidR="008A2514" w:rsidRPr="00440C66">
        <w:t>po posiłku. Glukagon jest substancją pobudzającą wytwarzanie cukru w</w:t>
      </w:r>
      <w:r w:rsidR="00A21B39">
        <w:t> </w:t>
      </w:r>
      <w:r w:rsidR="008A2514" w:rsidRPr="00440C66">
        <w:t xml:space="preserve">wątrobie i powoduje </w:t>
      </w:r>
      <w:r w:rsidR="003D63F8" w:rsidRPr="00440C66">
        <w:t>zwiększenie</w:t>
      </w:r>
      <w:r w:rsidR="008A2514" w:rsidRPr="00440C66">
        <w:t xml:space="preserve"> stężenia cukru we krwi.</w:t>
      </w:r>
    </w:p>
    <w:p w14:paraId="41E9C938" w14:textId="77777777" w:rsidR="0087054C" w:rsidRPr="00440C66" w:rsidRDefault="0087054C" w:rsidP="004C760F">
      <w:pPr>
        <w:widowControl w:val="0"/>
        <w:ind w:left="0" w:firstLine="0"/>
      </w:pPr>
    </w:p>
    <w:p w14:paraId="40D95145" w14:textId="3CAE2785" w:rsidR="001071C3" w:rsidRPr="00440C66" w:rsidRDefault="001071C3" w:rsidP="004C760F">
      <w:pPr>
        <w:keepNext/>
        <w:widowControl w:val="0"/>
        <w:ind w:left="0" w:firstLine="0"/>
      </w:pPr>
      <w:r w:rsidRPr="00440C66">
        <w:rPr>
          <w:b/>
        </w:rPr>
        <w:t xml:space="preserve">W jaki sposób działa lek </w:t>
      </w:r>
      <w:r w:rsidR="003C72B4">
        <w:rPr>
          <w:b/>
        </w:rPr>
        <w:t>Vildagliptin/Metformin hydrochloride Accord</w:t>
      </w:r>
    </w:p>
    <w:p w14:paraId="6C0F9B6E" w14:textId="205C2DE2" w:rsidR="008A2514" w:rsidRPr="00440C66" w:rsidRDefault="00435F03" w:rsidP="004C760F">
      <w:pPr>
        <w:widowControl w:val="0"/>
        <w:ind w:left="0" w:firstLine="0"/>
      </w:pPr>
      <w:r w:rsidRPr="00440C66">
        <w:t xml:space="preserve">Obie </w:t>
      </w:r>
      <w:r w:rsidR="001071C3" w:rsidRPr="00440C66">
        <w:t xml:space="preserve">substancje czynne, wildagliptyna i metformina, </w:t>
      </w:r>
      <w:r w:rsidR="0087054C" w:rsidRPr="00440C66">
        <w:t>pomaga</w:t>
      </w:r>
      <w:r w:rsidRPr="00440C66">
        <w:t>ją</w:t>
      </w:r>
      <w:r w:rsidR="0087054C" w:rsidRPr="00440C66">
        <w:t xml:space="preserve"> kontrolować stężenie cukru we krwi. Działanie wildagliptyny </w:t>
      </w:r>
      <w:r w:rsidR="008A2514" w:rsidRPr="00440C66">
        <w:t xml:space="preserve">polega na pobudzaniu trzustki do </w:t>
      </w:r>
      <w:r w:rsidR="00367C94" w:rsidRPr="00440C66">
        <w:t>wytwarzania insuliny i zmniejszenia</w:t>
      </w:r>
      <w:r w:rsidR="008A2514" w:rsidRPr="00440C66">
        <w:t xml:space="preserve"> </w:t>
      </w:r>
      <w:r w:rsidR="003D63F8" w:rsidRPr="00440C66">
        <w:t xml:space="preserve">wytwarzania </w:t>
      </w:r>
      <w:r w:rsidR="008A2514" w:rsidRPr="00440C66">
        <w:t xml:space="preserve">glukagonu. </w:t>
      </w:r>
      <w:r w:rsidR="00851312" w:rsidRPr="00440C66">
        <w:t>Metformina natomiast, pomaga organizmowi lepiej wykorzystać insulinę.</w:t>
      </w:r>
      <w:r w:rsidR="001071C3" w:rsidRPr="00440C66">
        <w:t xml:space="preserve"> Wykazano, że lek zmniejsza stężenie cukru we krwi, co może pomóc w zapobieganiu powikłaniom w</w:t>
      </w:r>
      <w:r w:rsidR="00A21B39">
        <w:t> </w:t>
      </w:r>
      <w:r w:rsidR="001071C3" w:rsidRPr="00440C66">
        <w:t>przebiegu cukrzycy.</w:t>
      </w:r>
    </w:p>
    <w:p w14:paraId="2DCAC339" w14:textId="77777777" w:rsidR="00412C5E" w:rsidRPr="00440C66" w:rsidRDefault="00412C5E" w:rsidP="004C760F">
      <w:pPr>
        <w:widowControl w:val="0"/>
        <w:ind w:left="0" w:firstLine="0"/>
      </w:pPr>
    </w:p>
    <w:p w14:paraId="56B029B6" w14:textId="77777777" w:rsidR="008A2514" w:rsidRPr="00440C66" w:rsidRDefault="008A2514" w:rsidP="004C760F">
      <w:pPr>
        <w:widowControl w:val="0"/>
      </w:pPr>
    </w:p>
    <w:p w14:paraId="3F3D1A50" w14:textId="002EED77" w:rsidR="008A2514" w:rsidRPr="00440C66" w:rsidRDefault="008A2514" w:rsidP="00FC35A4">
      <w:pPr>
        <w:keepNext/>
        <w:keepLines/>
        <w:widowControl w:val="0"/>
        <w:rPr>
          <w:rFonts w:ascii="Times New Roman Bold" w:hAnsi="Times New Roman Bold"/>
          <w:b/>
          <w:caps/>
          <w:szCs w:val="22"/>
        </w:rPr>
      </w:pPr>
      <w:r w:rsidRPr="00440C66">
        <w:rPr>
          <w:b/>
          <w:caps/>
        </w:rPr>
        <w:lastRenderedPageBreak/>
        <w:t>2.</w:t>
      </w:r>
      <w:r w:rsidRPr="00440C66">
        <w:rPr>
          <w:b/>
          <w:caps/>
        </w:rPr>
        <w:tab/>
      </w:r>
      <w:r w:rsidR="00D65887" w:rsidRPr="00440C66">
        <w:rPr>
          <w:b/>
        </w:rPr>
        <w:t xml:space="preserve">Informacje ważne przed zastosowaniem leku </w:t>
      </w:r>
      <w:r w:rsidR="003C72B4">
        <w:rPr>
          <w:b/>
        </w:rPr>
        <w:t>Vildagliptin/Metformin hydrochloride Accord</w:t>
      </w:r>
    </w:p>
    <w:p w14:paraId="262737D2" w14:textId="77777777" w:rsidR="008A2514" w:rsidRPr="00440C66" w:rsidRDefault="008A2514" w:rsidP="004C760F">
      <w:pPr>
        <w:keepNext/>
        <w:widowControl w:val="0"/>
        <w:ind w:left="0" w:firstLine="0"/>
      </w:pPr>
    </w:p>
    <w:p w14:paraId="49953513" w14:textId="2358A109" w:rsidR="008A2514" w:rsidRPr="00440C66" w:rsidRDefault="00B65E1A" w:rsidP="004C760F">
      <w:pPr>
        <w:keepNext/>
        <w:widowControl w:val="0"/>
        <w:rPr>
          <w:b/>
        </w:rPr>
      </w:pPr>
      <w:r w:rsidRPr="00440C66">
        <w:rPr>
          <w:b/>
        </w:rPr>
        <w:t>Kiedy n</w:t>
      </w:r>
      <w:r w:rsidR="008A2514" w:rsidRPr="00440C66">
        <w:rPr>
          <w:b/>
        </w:rPr>
        <w:t xml:space="preserve">ie stosować leku </w:t>
      </w:r>
      <w:r w:rsidR="003C72B4">
        <w:rPr>
          <w:b/>
        </w:rPr>
        <w:t>Vildagliptin/Metformin hydrochloride Accord</w:t>
      </w:r>
    </w:p>
    <w:p w14:paraId="7C22062C" w14:textId="1A268F98" w:rsidR="008A2514" w:rsidRPr="00440C66" w:rsidRDefault="005C0181" w:rsidP="004C760F">
      <w:pPr>
        <w:widowControl w:val="0"/>
        <w:numPr>
          <w:ilvl w:val="0"/>
          <w:numId w:val="1"/>
        </w:numPr>
        <w:tabs>
          <w:tab w:val="clear" w:pos="786"/>
          <w:tab w:val="num" w:pos="567"/>
        </w:tabs>
        <w:ind w:left="567" w:hanging="567"/>
      </w:pPr>
      <w:r>
        <w:t>J</w:t>
      </w:r>
      <w:r w:rsidR="008A2514" w:rsidRPr="00440C66">
        <w:t xml:space="preserve">eśli pacjent </w:t>
      </w:r>
      <w:r w:rsidR="00BC2EE4" w:rsidRPr="00440C66">
        <w:t xml:space="preserve">ma </w:t>
      </w:r>
      <w:r w:rsidR="008A2514" w:rsidRPr="00440C66">
        <w:t>uczulenie na wildagliptynę</w:t>
      </w:r>
      <w:r w:rsidR="0047327F" w:rsidRPr="00440C66">
        <w:t>, metforminę</w:t>
      </w:r>
      <w:r w:rsidR="008A2514" w:rsidRPr="00440C66">
        <w:t xml:space="preserve"> lub którykolwiek z pozostały</w:t>
      </w:r>
      <w:r w:rsidR="0047327F" w:rsidRPr="00440C66">
        <w:t xml:space="preserve">ch składników </w:t>
      </w:r>
      <w:r w:rsidR="00D65887" w:rsidRPr="00440C66">
        <w:t xml:space="preserve">tego </w:t>
      </w:r>
      <w:r w:rsidR="0047327F" w:rsidRPr="00440C66">
        <w:t xml:space="preserve">leku </w:t>
      </w:r>
      <w:r w:rsidR="00367C94" w:rsidRPr="00440C66">
        <w:t>(</w:t>
      </w:r>
      <w:r w:rsidR="00D65887" w:rsidRPr="00440C66">
        <w:t>wymienion</w:t>
      </w:r>
      <w:r w:rsidR="004138DF" w:rsidRPr="00440C66">
        <w:t>ych</w:t>
      </w:r>
      <w:r w:rsidR="00D65887" w:rsidRPr="00440C66">
        <w:t xml:space="preserve"> </w:t>
      </w:r>
      <w:r w:rsidR="00367C94" w:rsidRPr="00440C66">
        <w:t>w punkcie</w:t>
      </w:r>
      <w:r w:rsidR="00713BBF">
        <w:t> </w:t>
      </w:r>
      <w:r w:rsidR="00367C94" w:rsidRPr="00440C66">
        <w:t>6)</w:t>
      </w:r>
      <w:r w:rsidR="008A2514" w:rsidRPr="00440C66">
        <w:t>. Jeśli pacjent uważa, że może być uczulony</w:t>
      </w:r>
      <w:r w:rsidR="00B65E1A" w:rsidRPr="00440C66">
        <w:t xml:space="preserve"> na którykolwiek z tych składników</w:t>
      </w:r>
      <w:r w:rsidR="008A2514" w:rsidRPr="00440C66">
        <w:t xml:space="preserve">, powinien </w:t>
      </w:r>
      <w:r w:rsidR="006571EC" w:rsidRPr="00440C66">
        <w:t xml:space="preserve">powiedzieć o tym lekarzowi </w:t>
      </w:r>
      <w:r w:rsidR="008A2514" w:rsidRPr="00440C66">
        <w:t xml:space="preserve">przed </w:t>
      </w:r>
      <w:r w:rsidR="00B65E1A" w:rsidRPr="00440C66">
        <w:t>zastosowaniem leku</w:t>
      </w:r>
      <w:r w:rsidR="008A2514" w:rsidRPr="00440C66">
        <w:t xml:space="preserve"> </w:t>
      </w:r>
      <w:r w:rsidR="003C72B4">
        <w:t>Vildagliptin/Metformin hydrochloride Accord</w:t>
      </w:r>
      <w:r w:rsidR="008A2514" w:rsidRPr="00440C66">
        <w:t>.</w:t>
      </w:r>
    </w:p>
    <w:p w14:paraId="4053B1E2" w14:textId="77777777" w:rsidR="0047327F" w:rsidRPr="00440C66" w:rsidRDefault="00A759BD" w:rsidP="004C760F">
      <w:pPr>
        <w:widowControl w:val="0"/>
        <w:numPr>
          <w:ilvl w:val="0"/>
          <w:numId w:val="1"/>
        </w:numPr>
        <w:tabs>
          <w:tab w:val="clear" w:pos="786"/>
          <w:tab w:val="num" w:pos="567"/>
        </w:tabs>
        <w:ind w:left="567" w:hanging="567"/>
      </w:pPr>
      <w:r w:rsidRPr="00A759BD">
        <w:t>Jeśli u pacjenta występuje niewyrównana cukrzyca, na przykład ciężka hiperglikemia (duże stężenie glukozy we krwi), nudności, wymioty, biegunka, nagłe zmniejszenie masy ciała, kwasica mleczanowa (patrz „Ryzyko kwasicy mleczanowej” poniżej) lub kwasica ketonowa. Kwasica ketonowa to choroba w przypadku</w:t>
      </w:r>
      <w:r w:rsidR="00AC6206">
        <w:t>,</w:t>
      </w:r>
      <w:r w:rsidRPr="00A759BD">
        <w:t xml:space="preserve"> której substancje nazywane ciałami ketonowymi kumulują się we krwi i która może doprowadzić do cukrzycowego stanu przedśpiączkowego. Do objawów należą: ból brzucha, szybki i głęboki oddech, senność lub nietypowy owocowy zapach z ust.</w:t>
      </w:r>
    </w:p>
    <w:p w14:paraId="65DBF428"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 xml:space="preserve">eśli pacjent w ostatnim czasie </w:t>
      </w:r>
      <w:r w:rsidR="00C93583" w:rsidRPr="00440C66">
        <w:t xml:space="preserve">miał </w:t>
      </w:r>
      <w:r w:rsidR="003229E4" w:rsidRPr="00440C66">
        <w:t>zawał serca lub jeśli u pacjenta występuje niewydolność serca bądź ciężkie zaburzenia krążenia krwi lub problemy z oddychaniem</w:t>
      </w:r>
      <w:r w:rsidR="00316622" w:rsidRPr="00440C66">
        <w:t>, które mogą być objawem niewydolności serca</w:t>
      </w:r>
      <w:r w:rsidR="003229E4" w:rsidRPr="00440C66">
        <w:t>.</w:t>
      </w:r>
    </w:p>
    <w:p w14:paraId="42328031"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 xml:space="preserve">eśli pacjent </w:t>
      </w:r>
      <w:r w:rsidR="00A759BD">
        <w:t>ma znacznie zmniejszoną czynność nerek</w:t>
      </w:r>
      <w:r w:rsidR="003229E4" w:rsidRPr="00440C66">
        <w:t>.</w:t>
      </w:r>
    </w:p>
    <w:p w14:paraId="266CB397"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 xml:space="preserve">eśli u pacjenta występuje ciężkie zakażenie lub </w:t>
      </w:r>
      <w:r w:rsidR="00B65E1A" w:rsidRPr="00440C66">
        <w:t xml:space="preserve">pacjent jest </w:t>
      </w:r>
      <w:r w:rsidR="003229E4" w:rsidRPr="00440C66">
        <w:t>siln</w:t>
      </w:r>
      <w:r w:rsidR="00B65E1A" w:rsidRPr="00440C66">
        <w:t>ie odwodniony</w:t>
      </w:r>
      <w:r w:rsidR="003229E4" w:rsidRPr="00440C66">
        <w:t xml:space="preserve"> (</w:t>
      </w:r>
      <w:r w:rsidR="00B65E1A" w:rsidRPr="00440C66">
        <w:t>utracił dużo</w:t>
      </w:r>
      <w:r w:rsidR="003229E4" w:rsidRPr="00440C66">
        <w:t xml:space="preserve"> wody z organizmu).</w:t>
      </w:r>
    </w:p>
    <w:p w14:paraId="33326EE3"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eśli pacjent ma być poddany kontrastowemu badaniu r</w:t>
      </w:r>
      <w:r w:rsidR="00DE4CA9" w:rsidRPr="00440C66">
        <w:t>adiologicznemu</w:t>
      </w:r>
      <w:r w:rsidR="003229E4" w:rsidRPr="00440C66">
        <w:t xml:space="preserve"> (szczególnemu rodzajowi badania wymagającego</w:t>
      </w:r>
      <w:r w:rsidR="00DE4CA9" w:rsidRPr="00440C66">
        <w:t xml:space="preserve"> wstrzyknięcia</w:t>
      </w:r>
      <w:r w:rsidR="003229E4" w:rsidRPr="00440C66">
        <w:t xml:space="preserve"> środka kontrastowego).</w:t>
      </w:r>
      <w:r w:rsidR="00316622" w:rsidRPr="00440C66">
        <w:t xml:space="preserve"> </w:t>
      </w:r>
      <w:r w:rsidR="004F0A79" w:rsidRPr="00440C66">
        <w:t>Odnośnie informacji na ten temat, p</w:t>
      </w:r>
      <w:r w:rsidR="00316622" w:rsidRPr="00440C66">
        <w:t xml:space="preserve">atrz też </w:t>
      </w:r>
      <w:r w:rsidR="00ED313D" w:rsidRPr="00440C66">
        <w:t xml:space="preserve">punkt </w:t>
      </w:r>
      <w:r w:rsidR="004F0A79" w:rsidRPr="00440C66">
        <w:t>„</w:t>
      </w:r>
      <w:r w:rsidR="00D65887" w:rsidRPr="00440C66">
        <w:t>Ostrzeżenia i środki ostrożności</w:t>
      </w:r>
      <w:r w:rsidR="004F0A79" w:rsidRPr="00440C66">
        <w:t>”.</w:t>
      </w:r>
    </w:p>
    <w:p w14:paraId="30D4DBCC"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eśli u pacjenta występują choroby wątroby.</w:t>
      </w:r>
    </w:p>
    <w:p w14:paraId="7100F913"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 xml:space="preserve">eśli pacjent </w:t>
      </w:r>
      <w:r w:rsidR="00367C94" w:rsidRPr="00440C66">
        <w:t>spożywa</w:t>
      </w:r>
      <w:r w:rsidR="003229E4" w:rsidRPr="00440C66">
        <w:t xml:space="preserve"> nadmierne ilości alkoholu (zarówno codziennie jak i od czasu do czasu).</w:t>
      </w:r>
    </w:p>
    <w:p w14:paraId="4D60312F" w14:textId="77777777" w:rsidR="003229E4" w:rsidRPr="00440C66" w:rsidRDefault="005C0181" w:rsidP="004C760F">
      <w:pPr>
        <w:widowControl w:val="0"/>
        <w:numPr>
          <w:ilvl w:val="0"/>
          <w:numId w:val="1"/>
        </w:numPr>
        <w:tabs>
          <w:tab w:val="clear" w:pos="786"/>
          <w:tab w:val="num" w:pos="567"/>
        </w:tabs>
        <w:ind w:left="567" w:hanging="567"/>
      </w:pPr>
      <w:r>
        <w:t>J</w:t>
      </w:r>
      <w:r w:rsidR="003229E4" w:rsidRPr="00440C66">
        <w:t>eśli pacjentka karmi piersią (patrz także punkt „Ciąża i karmienie piersią”).</w:t>
      </w:r>
    </w:p>
    <w:p w14:paraId="7E4BA579" w14:textId="77777777" w:rsidR="008A2514" w:rsidRPr="00440C66" w:rsidRDefault="008A2514" w:rsidP="004C760F">
      <w:pPr>
        <w:widowControl w:val="0"/>
        <w:ind w:left="0" w:firstLine="0"/>
      </w:pPr>
    </w:p>
    <w:p w14:paraId="37180526" w14:textId="77777777" w:rsidR="008A2514" w:rsidRDefault="00D65887" w:rsidP="004C760F">
      <w:pPr>
        <w:keepNext/>
        <w:widowControl w:val="0"/>
        <w:ind w:left="0" w:firstLine="0"/>
        <w:rPr>
          <w:b/>
        </w:rPr>
      </w:pPr>
      <w:r w:rsidRPr="00440C66">
        <w:rPr>
          <w:b/>
        </w:rPr>
        <w:t>Ostrzeżenia i środki ostrożności</w:t>
      </w:r>
    </w:p>
    <w:p w14:paraId="2F8A55C0" w14:textId="77777777" w:rsidR="006B1393" w:rsidRPr="00774EBD" w:rsidRDefault="006B1393" w:rsidP="004C760F">
      <w:pPr>
        <w:keepNext/>
        <w:widowControl w:val="0"/>
        <w:ind w:left="0" w:firstLine="0"/>
        <w:rPr>
          <w:bCs/>
        </w:rPr>
      </w:pPr>
    </w:p>
    <w:p w14:paraId="69088382" w14:textId="0B58EFAD" w:rsidR="00A73F89" w:rsidRPr="00954256" w:rsidRDefault="00A73F89" w:rsidP="004C760F">
      <w:pPr>
        <w:keepNext/>
        <w:widowControl w:val="0"/>
        <w:ind w:left="0" w:firstLine="0"/>
        <w:rPr>
          <w:b/>
          <w:u w:val="single"/>
        </w:rPr>
      </w:pPr>
      <w:r w:rsidRPr="00954256">
        <w:rPr>
          <w:b/>
          <w:u w:val="single"/>
        </w:rPr>
        <w:t>Ryzyko kwasicy mleczanowej</w:t>
      </w:r>
    </w:p>
    <w:p w14:paraId="06AA0D7D" w14:textId="545F7A5B" w:rsidR="00090296" w:rsidRDefault="00A73F89" w:rsidP="00774EBD">
      <w:pPr>
        <w:widowControl w:val="0"/>
        <w:ind w:left="0" w:firstLine="0"/>
      </w:pPr>
      <w:r w:rsidRPr="00954256">
        <w:t xml:space="preserve">Lek </w:t>
      </w:r>
      <w:r w:rsidR="003C72B4">
        <w:t>Vildagliptin/Metformin hydrochloride Accord</w:t>
      </w:r>
      <w:r w:rsidRPr="00954256">
        <w:t xml:space="preserve"> może wywołać bardzo rzadkie, ale bardzo ciężkie działanie niepożądane nazywane kwasicą mleczanową, zwłaszcza</w:t>
      </w:r>
      <w:r w:rsidR="00AC6206">
        <w:t>,</w:t>
      </w:r>
      <w:r w:rsidRPr="00954256">
        <w:t xml:space="preserve"> jeśli pacjent ma zaburzenia czynności nerek. Ryzyko kwasicy mleczanowej zwiększa się także w przypadku niewyrównanej cukrzycy, ciężkiego zakażenia, długotrwałego głodzenia lub spożywania alkoholu, odwodnienia (patrz dokładniejsze informacje poniżej), zaburzeń czynności wątroby oraz wszelkich stanów chorobowych, w których jakaś część ciała jest niewystarczająco zaopatrywana w tlen (np. ostre ciężkie choroby serca).</w:t>
      </w:r>
    </w:p>
    <w:p w14:paraId="44D4202B" w14:textId="6DEF78A4" w:rsidR="00A73F89" w:rsidRDefault="00A73F89" w:rsidP="004C760F">
      <w:pPr>
        <w:widowControl w:val="0"/>
        <w:ind w:left="0" w:firstLine="0"/>
        <w:rPr>
          <w:color w:val="333333"/>
        </w:rPr>
      </w:pPr>
      <w:r w:rsidRPr="00954256">
        <w:t>Jeśli którakolwiek z powyższych okoliczności odnosi się do pacjenta, należy zwrócić się do lekarza o</w:t>
      </w:r>
      <w:r w:rsidR="00A21B39">
        <w:t> </w:t>
      </w:r>
      <w:r w:rsidRPr="00954256">
        <w:t>dokładniejsze instrukcje.</w:t>
      </w:r>
    </w:p>
    <w:p w14:paraId="18E2EE76" w14:textId="77777777" w:rsidR="00E067CC" w:rsidRDefault="00E067CC" w:rsidP="004C760F">
      <w:pPr>
        <w:widowControl w:val="0"/>
        <w:ind w:left="0" w:firstLine="0"/>
        <w:rPr>
          <w:color w:val="333333"/>
        </w:rPr>
      </w:pPr>
    </w:p>
    <w:p w14:paraId="54E2DA5D" w14:textId="6DE5E17A" w:rsidR="00A73F89" w:rsidRDefault="00A73F89" w:rsidP="004C760F">
      <w:pPr>
        <w:widowControl w:val="0"/>
        <w:ind w:left="0" w:firstLine="0"/>
      </w:pPr>
      <w:r w:rsidRPr="00954256">
        <w:rPr>
          <w:b/>
        </w:rPr>
        <w:t xml:space="preserve">Należy zaprzestać czasowo </w:t>
      </w:r>
      <w:r w:rsidRPr="00E067CC">
        <w:rPr>
          <w:b/>
        </w:rPr>
        <w:t xml:space="preserve">stosowania leku </w:t>
      </w:r>
      <w:r w:rsidR="003C72B4">
        <w:rPr>
          <w:b/>
        </w:rPr>
        <w:t>Vildagliptin/Metformin hydrochloride Accord</w:t>
      </w:r>
      <w:r w:rsidRPr="00954256">
        <w:rPr>
          <w:b/>
        </w:rPr>
        <w:t>, jeśli u pacjenta występuje stan chorobowy, który może wiązać się z odwodnieniem</w:t>
      </w:r>
      <w:r w:rsidRPr="00A73F89">
        <w:t xml:space="preserve"> (znaczną utratą wody z organizmu), taki jak ciężkie wymioty, biegunka, gorączka, narażenie na wysoką temperaturę lub jeśli pacjent pije mniej płynów niż zwykle. Należy zwrócić się do lekarza o dokładniejsze instrukcje.</w:t>
      </w:r>
    </w:p>
    <w:p w14:paraId="1DE01627" w14:textId="77777777" w:rsidR="00A73F89" w:rsidRDefault="00A73F89" w:rsidP="004C760F">
      <w:pPr>
        <w:widowControl w:val="0"/>
        <w:ind w:left="0" w:firstLine="0"/>
      </w:pPr>
    </w:p>
    <w:p w14:paraId="38BE8D04" w14:textId="2707FF28" w:rsidR="00A73F89" w:rsidRPr="00440C66" w:rsidRDefault="00A73F89" w:rsidP="004C760F">
      <w:pPr>
        <w:widowControl w:val="0"/>
        <w:ind w:left="0" w:firstLine="0"/>
      </w:pPr>
      <w:r w:rsidRPr="00954256">
        <w:rPr>
          <w:b/>
        </w:rPr>
        <w:t xml:space="preserve">Należy zaprzestać stosowania leku </w:t>
      </w:r>
      <w:r w:rsidR="003C72B4">
        <w:rPr>
          <w:b/>
        </w:rPr>
        <w:t>Vildagliptin/Metformin hydrochloride Accord</w:t>
      </w:r>
      <w:r w:rsidRPr="00954256">
        <w:rPr>
          <w:b/>
        </w:rPr>
        <w:t xml:space="preserve"> i natychmiast skontaktować się z lekarzem lub najbliższym szpitalem, jeżeli u pacjenta wystąpi którykolwiek z objawów kwasicy mleczanowej</w:t>
      </w:r>
      <w:r w:rsidRPr="00A73F89">
        <w:t>, bowiem stan ten może doprowadzić do śpiączki.</w:t>
      </w:r>
    </w:p>
    <w:p w14:paraId="0134AACC" w14:textId="77777777" w:rsidR="009312B7" w:rsidRDefault="009312B7" w:rsidP="004C760F">
      <w:pPr>
        <w:widowControl w:val="0"/>
        <w:ind w:left="0" w:firstLine="0"/>
      </w:pPr>
    </w:p>
    <w:p w14:paraId="5C890D81" w14:textId="77777777" w:rsidR="00A73F89" w:rsidRDefault="00A73F89" w:rsidP="004C760F">
      <w:pPr>
        <w:widowControl w:val="0"/>
        <w:ind w:left="0" w:firstLine="0"/>
      </w:pPr>
      <w:r>
        <w:t>Objawy kwasicy mleczanowej obejmują:</w:t>
      </w:r>
    </w:p>
    <w:p w14:paraId="10D7ECF4" w14:textId="77777777" w:rsidR="00A73F89" w:rsidRDefault="00A73F89" w:rsidP="004C760F">
      <w:pPr>
        <w:widowControl w:val="0"/>
      </w:pPr>
      <w:r>
        <w:t>-</w:t>
      </w:r>
      <w:r>
        <w:tab/>
        <w:t>wymioty,</w:t>
      </w:r>
    </w:p>
    <w:p w14:paraId="46A9F879" w14:textId="77777777" w:rsidR="00A73F89" w:rsidRDefault="00A73F89" w:rsidP="00954256">
      <w:pPr>
        <w:widowControl w:val="0"/>
      </w:pPr>
      <w:r>
        <w:t>-</w:t>
      </w:r>
      <w:r>
        <w:tab/>
        <w:t>ból brzucha,</w:t>
      </w:r>
    </w:p>
    <w:p w14:paraId="01AE1DC4" w14:textId="77777777" w:rsidR="00A73F89" w:rsidRDefault="00A73F89" w:rsidP="00954256">
      <w:pPr>
        <w:widowControl w:val="0"/>
      </w:pPr>
      <w:r>
        <w:t>-</w:t>
      </w:r>
      <w:r>
        <w:tab/>
        <w:t>skurcze mięśni,</w:t>
      </w:r>
    </w:p>
    <w:p w14:paraId="0FB89996" w14:textId="77777777" w:rsidR="00A73F89" w:rsidRDefault="00A73F89" w:rsidP="00954256">
      <w:pPr>
        <w:widowControl w:val="0"/>
      </w:pPr>
      <w:r>
        <w:t>-</w:t>
      </w:r>
      <w:r>
        <w:tab/>
        <w:t>ogólnie złe samopoczucie w połączeniu z silnym zmęczeniem,</w:t>
      </w:r>
    </w:p>
    <w:p w14:paraId="37E8B782" w14:textId="77777777" w:rsidR="00A73F89" w:rsidRDefault="00A73F89" w:rsidP="00954256">
      <w:pPr>
        <w:widowControl w:val="0"/>
      </w:pPr>
      <w:r>
        <w:t>-</w:t>
      </w:r>
      <w:r>
        <w:tab/>
        <w:t>trudności z oddychaniem,</w:t>
      </w:r>
    </w:p>
    <w:p w14:paraId="75D4C08D" w14:textId="77777777" w:rsidR="00A73F89" w:rsidRDefault="00A73F89" w:rsidP="00954256">
      <w:pPr>
        <w:widowControl w:val="0"/>
      </w:pPr>
      <w:r>
        <w:lastRenderedPageBreak/>
        <w:t>-</w:t>
      </w:r>
      <w:r>
        <w:tab/>
        <w:t>zmniejszenie temperatury ciała i spowolnienie akcji serca.</w:t>
      </w:r>
    </w:p>
    <w:p w14:paraId="7DEBE89D" w14:textId="77777777" w:rsidR="00A73F89" w:rsidRDefault="00A73F89" w:rsidP="004C760F">
      <w:pPr>
        <w:widowControl w:val="0"/>
        <w:ind w:left="0" w:firstLine="0"/>
      </w:pPr>
    </w:p>
    <w:p w14:paraId="5E47D7ED" w14:textId="77777777" w:rsidR="00E067CC" w:rsidRDefault="00E067CC" w:rsidP="004C760F">
      <w:pPr>
        <w:widowControl w:val="0"/>
        <w:ind w:left="0" w:firstLine="0"/>
      </w:pPr>
      <w:r w:rsidRPr="00E067CC">
        <w:t>Kwasica mleczanowa jest nagłym stanem zagrażającym życiu, w którym jest konieczne natychmiastowe leczenie w szpitalu.</w:t>
      </w:r>
    </w:p>
    <w:p w14:paraId="4AB21E7E" w14:textId="77777777" w:rsidR="00212188" w:rsidRDefault="00212188" w:rsidP="004C760F">
      <w:pPr>
        <w:widowControl w:val="0"/>
        <w:ind w:left="0" w:firstLine="0"/>
      </w:pPr>
    </w:p>
    <w:p w14:paraId="05DBDC1D" w14:textId="77777777" w:rsidR="00212188" w:rsidRDefault="00212188" w:rsidP="00212188">
      <w:pPr>
        <w:widowControl w:val="0"/>
        <w:ind w:left="0" w:firstLine="0"/>
      </w:pPr>
      <w:r>
        <w:t>Należy niezwłocznie skontaktować się z lekarzem w celu uzyskania dalszych instrukcji, jeśli:</w:t>
      </w:r>
    </w:p>
    <w:p w14:paraId="5E980532" w14:textId="0B2FFC16" w:rsidR="00212188" w:rsidRDefault="00212188" w:rsidP="00212188">
      <w:pPr>
        <w:widowControl w:val="0"/>
        <w:ind w:left="0" w:firstLine="0"/>
      </w:pPr>
      <w:r>
        <w:t xml:space="preserve">• </w:t>
      </w:r>
      <w:r>
        <w:tab/>
      </w:r>
      <w:r>
        <w:tab/>
      </w:r>
      <w:r>
        <w:tab/>
      </w:r>
      <w:r>
        <w:tab/>
        <w:t xml:space="preserve">u pacjenta występuje genetycznie odziedziczona choroba wpływająca na mitochondria </w:t>
      </w:r>
    </w:p>
    <w:p w14:paraId="090C4601" w14:textId="77777777" w:rsidR="00212188" w:rsidRDefault="00212188" w:rsidP="00212188">
      <w:pPr>
        <w:widowControl w:val="0"/>
        <w:ind w:left="0" w:firstLine="0"/>
      </w:pPr>
      <w:r>
        <w:t xml:space="preserve">(wytwarzające energię struktury w komórkach), taka jak zespół MELAS (encefalopatia </w:t>
      </w:r>
    </w:p>
    <w:p w14:paraId="36E64AFD" w14:textId="77777777" w:rsidR="00212188" w:rsidRDefault="00212188" w:rsidP="00212188">
      <w:pPr>
        <w:widowControl w:val="0"/>
        <w:ind w:left="0" w:firstLine="0"/>
      </w:pPr>
      <w:r>
        <w:t xml:space="preserve">mitochondrialna, miopatia, kwasica mleczanowa i incydenty podobne do udarów, </w:t>
      </w:r>
    </w:p>
    <w:p w14:paraId="3BD78F59" w14:textId="77777777" w:rsidR="00212188" w:rsidRPr="00212188" w:rsidRDefault="00212188" w:rsidP="00212188">
      <w:pPr>
        <w:widowControl w:val="0"/>
        <w:ind w:left="0" w:firstLine="0"/>
        <w:rPr>
          <w:lang w:val="en-US"/>
        </w:rPr>
      </w:pPr>
      <w:r w:rsidRPr="00212188">
        <w:rPr>
          <w:lang w:val="en-US"/>
        </w:rPr>
        <w:t xml:space="preserve">ang. mitochondrial encephalopathy, myopathy, lactic acidosis and stroke-like episodes) </w:t>
      </w:r>
    </w:p>
    <w:p w14:paraId="57A30F17" w14:textId="77777777" w:rsidR="00212188" w:rsidRDefault="00212188" w:rsidP="00212188">
      <w:pPr>
        <w:widowControl w:val="0"/>
        <w:ind w:left="0" w:firstLine="0"/>
      </w:pPr>
      <w:r>
        <w:t xml:space="preserve">lub odziedziczona po matce cukrzyca i głuchota (MIDD, ang. maternal inherited diabetes </w:t>
      </w:r>
    </w:p>
    <w:p w14:paraId="2586C351" w14:textId="77777777" w:rsidR="00212188" w:rsidRDefault="00212188" w:rsidP="00212188">
      <w:pPr>
        <w:widowControl w:val="0"/>
        <w:ind w:left="0" w:firstLine="0"/>
      </w:pPr>
      <w:r>
        <w:t>and deafness).</w:t>
      </w:r>
    </w:p>
    <w:p w14:paraId="3DFFCBB9" w14:textId="77777777" w:rsidR="00212188" w:rsidRDefault="00212188" w:rsidP="00212188">
      <w:pPr>
        <w:widowControl w:val="0"/>
        <w:ind w:left="0" w:firstLine="0"/>
      </w:pPr>
      <w:r>
        <w:t xml:space="preserve">• u pacjenta po rozpoczęciu stosowania metforminy wystąpił którykolwiek z poniższych </w:t>
      </w:r>
    </w:p>
    <w:p w14:paraId="1937551F" w14:textId="77777777" w:rsidR="00212188" w:rsidRDefault="00212188" w:rsidP="00212188">
      <w:pPr>
        <w:widowControl w:val="0"/>
        <w:ind w:left="0" w:firstLine="0"/>
      </w:pPr>
      <w:r>
        <w:t xml:space="preserve">objawów: drgawki, pogorszenie zdolności poznawczych, trudności w poruszaniu ciała, </w:t>
      </w:r>
    </w:p>
    <w:p w14:paraId="7CE71EE0" w14:textId="7AC942BA" w:rsidR="00212188" w:rsidRDefault="00212188" w:rsidP="00212188">
      <w:pPr>
        <w:widowControl w:val="0"/>
        <w:ind w:left="0" w:firstLine="0"/>
      </w:pPr>
      <w:r>
        <w:t>objawy wskazujące na uszkodzenie nerwów (np. ból lub drętwienie), migrena i głuchota</w:t>
      </w:r>
    </w:p>
    <w:p w14:paraId="053399E9" w14:textId="77777777" w:rsidR="00E067CC" w:rsidRPr="00440C66" w:rsidRDefault="00E067CC" w:rsidP="004C760F">
      <w:pPr>
        <w:widowControl w:val="0"/>
        <w:ind w:left="0" w:firstLine="0"/>
      </w:pPr>
    </w:p>
    <w:p w14:paraId="27A427F5" w14:textId="06D36820" w:rsidR="00E067CC" w:rsidRDefault="003C72B4" w:rsidP="004C760F">
      <w:pPr>
        <w:widowControl w:val="0"/>
        <w:ind w:left="0" w:firstLine="0"/>
        <w:rPr>
          <w:color w:val="333333"/>
        </w:rPr>
      </w:pPr>
      <w:r w:rsidRPr="00FC35A4">
        <w:rPr>
          <w:rStyle w:val="hps"/>
          <w:color w:val="333333"/>
        </w:rPr>
        <w:t>Vildagliptin/Metformin hydrochloride Accord</w:t>
      </w:r>
      <w:r w:rsidR="00E067CC" w:rsidRPr="003C72B4">
        <w:rPr>
          <w:color w:val="333333"/>
        </w:rPr>
        <w:t xml:space="preserve"> </w:t>
      </w:r>
      <w:r w:rsidR="00E067CC" w:rsidRPr="003C72B4">
        <w:rPr>
          <w:rStyle w:val="hps"/>
          <w:color w:val="333333"/>
        </w:rPr>
        <w:t>nie zastępuje</w:t>
      </w:r>
      <w:r w:rsidR="00E067CC" w:rsidRPr="003C72B4">
        <w:rPr>
          <w:color w:val="333333"/>
        </w:rPr>
        <w:t xml:space="preserve"> </w:t>
      </w:r>
      <w:r w:rsidR="00E067CC" w:rsidRPr="003C72B4">
        <w:rPr>
          <w:rStyle w:val="hps"/>
          <w:color w:val="333333"/>
        </w:rPr>
        <w:t>insuliny</w:t>
      </w:r>
      <w:r w:rsidR="00E067CC" w:rsidRPr="003C72B4">
        <w:rPr>
          <w:color w:val="333333"/>
        </w:rPr>
        <w:t xml:space="preserve">. </w:t>
      </w:r>
      <w:r w:rsidR="00E067CC" w:rsidRPr="00440C66">
        <w:rPr>
          <w:rStyle w:val="hps"/>
          <w:color w:val="333333"/>
        </w:rPr>
        <w:t>Dlatego</w:t>
      </w:r>
      <w:r w:rsidR="00E067CC" w:rsidRPr="00440C66">
        <w:rPr>
          <w:color w:val="333333"/>
        </w:rPr>
        <w:t xml:space="preserve"> </w:t>
      </w:r>
      <w:r w:rsidR="00E067CC" w:rsidRPr="00440C66">
        <w:rPr>
          <w:rStyle w:val="hps"/>
          <w:color w:val="333333"/>
        </w:rPr>
        <w:t>nie należy</w:t>
      </w:r>
      <w:r w:rsidR="00E067CC" w:rsidRPr="00440C66">
        <w:rPr>
          <w:color w:val="333333"/>
        </w:rPr>
        <w:t xml:space="preserve"> </w:t>
      </w:r>
      <w:r w:rsidR="00E067CC" w:rsidRPr="00440C66">
        <w:rPr>
          <w:rStyle w:val="hps"/>
          <w:color w:val="333333"/>
        </w:rPr>
        <w:t>stosować leku</w:t>
      </w:r>
      <w:r w:rsidR="00E067CC" w:rsidRPr="00440C66">
        <w:rPr>
          <w:color w:val="333333"/>
        </w:rPr>
        <w:t xml:space="preserve"> </w:t>
      </w:r>
      <w:r>
        <w:rPr>
          <w:rStyle w:val="hps"/>
          <w:color w:val="333333"/>
        </w:rPr>
        <w:t>Vildagliptin/Metformin hydrochloride Accord</w:t>
      </w:r>
      <w:r w:rsidR="00E067CC" w:rsidRPr="00440C66">
        <w:rPr>
          <w:color w:val="333333"/>
        </w:rPr>
        <w:t xml:space="preserve"> </w:t>
      </w:r>
      <w:r w:rsidR="00E067CC" w:rsidRPr="00440C66">
        <w:rPr>
          <w:rStyle w:val="hps"/>
          <w:color w:val="333333"/>
        </w:rPr>
        <w:t>w leczeniu</w:t>
      </w:r>
      <w:r w:rsidR="00E067CC" w:rsidRPr="00440C66">
        <w:rPr>
          <w:color w:val="333333"/>
        </w:rPr>
        <w:t xml:space="preserve"> </w:t>
      </w:r>
      <w:r w:rsidR="00E067CC" w:rsidRPr="00440C66">
        <w:rPr>
          <w:rStyle w:val="hps"/>
          <w:color w:val="333333"/>
        </w:rPr>
        <w:t>cukrzycy typu</w:t>
      </w:r>
      <w:r w:rsidR="00A243D2">
        <w:rPr>
          <w:rStyle w:val="hps"/>
          <w:color w:val="333333"/>
        </w:rPr>
        <w:t> </w:t>
      </w:r>
      <w:r w:rsidR="00E067CC" w:rsidRPr="00440C66">
        <w:rPr>
          <w:rStyle w:val="hps"/>
          <w:color w:val="333333"/>
        </w:rPr>
        <w:t>1</w:t>
      </w:r>
      <w:r w:rsidR="00E067CC" w:rsidRPr="00440C66">
        <w:rPr>
          <w:color w:val="333333"/>
        </w:rPr>
        <w:t>.</w:t>
      </w:r>
    </w:p>
    <w:p w14:paraId="5F9DB134" w14:textId="77777777" w:rsidR="00E067CC" w:rsidRDefault="00E067CC" w:rsidP="004C760F">
      <w:pPr>
        <w:widowControl w:val="0"/>
        <w:ind w:left="0" w:firstLine="0"/>
        <w:rPr>
          <w:rStyle w:val="hps"/>
          <w:color w:val="333333"/>
        </w:rPr>
      </w:pPr>
    </w:p>
    <w:p w14:paraId="3FA3F181" w14:textId="774E39E9" w:rsidR="00A560CF" w:rsidRPr="00440C66" w:rsidRDefault="00A0007A" w:rsidP="004C760F">
      <w:pPr>
        <w:widowControl w:val="0"/>
        <w:ind w:left="0" w:firstLine="0"/>
        <w:rPr>
          <w:rStyle w:val="hps"/>
          <w:color w:val="333333"/>
        </w:rPr>
      </w:pPr>
      <w:r w:rsidRPr="00440C66">
        <w:rPr>
          <w:rStyle w:val="hps"/>
          <w:color w:val="333333"/>
        </w:rPr>
        <w:t>P</w:t>
      </w:r>
      <w:r w:rsidR="00A560CF" w:rsidRPr="00440C66">
        <w:rPr>
          <w:rStyle w:val="hps"/>
          <w:color w:val="333333"/>
        </w:rPr>
        <w:t xml:space="preserve">rzed rozpoczęciem stosowania leku </w:t>
      </w:r>
      <w:r w:rsidR="003C72B4">
        <w:rPr>
          <w:rStyle w:val="hps"/>
          <w:color w:val="333333"/>
        </w:rPr>
        <w:t>Vildagliptin/Metformin hydrochloride Accord</w:t>
      </w:r>
      <w:r w:rsidR="00A560CF" w:rsidRPr="00440C66">
        <w:rPr>
          <w:rStyle w:val="hps"/>
          <w:color w:val="333333"/>
        </w:rPr>
        <w:t xml:space="preserve"> należy </w:t>
      </w:r>
      <w:r w:rsidR="008C4184" w:rsidRPr="00440C66">
        <w:rPr>
          <w:rStyle w:val="hps"/>
          <w:color w:val="333333"/>
        </w:rPr>
        <w:t>omówić to z</w:t>
      </w:r>
      <w:r w:rsidR="00A560CF" w:rsidRPr="00440C66">
        <w:rPr>
          <w:rStyle w:val="hps"/>
          <w:color w:val="333333"/>
        </w:rPr>
        <w:t xml:space="preserve"> lekarz</w:t>
      </w:r>
      <w:r w:rsidR="008C4184" w:rsidRPr="00440C66">
        <w:rPr>
          <w:rStyle w:val="hps"/>
          <w:color w:val="333333"/>
        </w:rPr>
        <w:t>em</w:t>
      </w:r>
      <w:r w:rsidR="00A560CF" w:rsidRPr="00440C66">
        <w:rPr>
          <w:rStyle w:val="hps"/>
          <w:color w:val="333333"/>
        </w:rPr>
        <w:t>, farmaceut</w:t>
      </w:r>
      <w:r w:rsidR="008C4184" w:rsidRPr="00440C66">
        <w:rPr>
          <w:rStyle w:val="hps"/>
          <w:color w:val="333333"/>
        </w:rPr>
        <w:t>ą</w:t>
      </w:r>
      <w:r w:rsidR="00A560CF" w:rsidRPr="00440C66">
        <w:rPr>
          <w:rStyle w:val="hps"/>
          <w:color w:val="333333"/>
        </w:rPr>
        <w:t xml:space="preserve"> lub pielęgniar</w:t>
      </w:r>
      <w:r w:rsidR="008C4184" w:rsidRPr="00440C66">
        <w:rPr>
          <w:rStyle w:val="hps"/>
          <w:color w:val="333333"/>
        </w:rPr>
        <w:t>ką</w:t>
      </w:r>
      <w:r w:rsidRPr="00440C66">
        <w:rPr>
          <w:rStyle w:val="hps"/>
          <w:color w:val="333333"/>
        </w:rPr>
        <w:t>, jeśli u pacjenta występują lub występowały choroby trzustki</w:t>
      </w:r>
      <w:r w:rsidR="008C4184" w:rsidRPr="00440C66">
        <w:rPr>
          <w:rStyle w:val="hps"/>
          <w:color w:val="333333"/>
        </w:rPr>
        <w:t>.</w:t>
      </w:r>
    </w:p>
    <w:p w14:paraId="0F74C4FF" w14:textId="77777777" w:rsidR="00A560CF" w:rsidRPr="00440C66" w:rsidRDefault="00A560CF" w:rsidP="004C760F">
      <w:pPr>
        <w:widowControl w:val="0"/>
        <w:ind w:left="0" w:firstLine="0"/>
      </w:pPr>
    </w:p>
    <w:p w14:paraId="0DB62A08" w14:textId="0AC5C5AF" w:rsidR="0039451D" w:rsidRPr="00440C66" w:rsidRDefault="0039451D" w:rsidP="004C760F">
      <w:pPr>
        <w:widowControl w:val="0"/>
        <w:ind w:left="0" w:firstLine="0"/>
      </w:pPr>
      <w:r w:rsidRPr="00440C66">
        <w:t xml:space="preserve">Przed rozpoczęciem stosowania leku </w:t>
      </w:r>
      <w:r w:rsidR="003C72B4">
        <w:t>Vildagliptin/Metformin hydrochloride Accord</w:t>
      </w:r>
      <w:r w:rsidRPr="00440C66">
        <w:t xml:space="preserve"> </w:t>
      </w:r>
      <w:r w:rsidR="00343C40" w:rsidRPr="00440C66">
        <w:t xml:space="preserve">pacjent powinien </w:t>
      </w:r>
      <w:r w:rsidRPr="00440C66">
        <w:t>zwrócić się do lekarza, farmaceuty lub pielęgniarki, jeżeli przyjmuje</w:t>
      </w:r>
      <w:r w:rsidR="00486A9C" w:rsidRPr="00440C66">
        <w:t xml:space="preserve"> lek przeciwcukrzycowy </w:t>
      </w:r>
      <w:r w:rsidR="00B82ABF" w:rsidRPr="00440C66">
        <w:t xml:space="preserve">zwany </w:t>
      </w:r>
      <w:r w:rsidR="00486A9C" w:rsidRPr="00440C66">
        <w:t>sulfonylomocznik</w:t>
      </w:r>
      <w:r w:rsidR="00B82ABF" w:rsidRPr="00440C66">
        <w:t>iem</w:t>
      </w:r>
      <w:r w:rsidR="00486A9C" w:rsidRPr="00440C66">
        <w:t xml:space="preserve">. Lekarz może </w:t>
      </w:r>
      <w:r w:rsidR="00773B4A" w:rsidRPr="00440C66">
        <w:t>chcieć</w:t>
      </w:r>
      <w:r w:rsidR="00D16B6C" w:rsidRPr="00440C66">
        <w:t xml:space="preserve"> </w:t>
      </w:r>
      <w:r w:rsidR="00486A9C" w:rsidRPr="00440C66">
        <w:t xml:space="preserve">zmniejszyć dawkę sulfonylomocznika stosowanego razem z lekiem </w:t>
      </w:r>
      <w:r w:rsidR="003C72B4">
        <w:t>Vildagliptin/Metformin hydrochloride Accord</w:t>
      </w:r>
      <w:r w:rsidR="0012295C" w:rsidRPr="00440C66">
        <w:t>, aby uniknąć małego</w:t>
      </w:r>
      <w:r w:rsidR="00486A9C" w:rsidRPr="00440C66">
        <w:t xml:space="preserve"> stężenia glukozy we krwi</w:t>
      </w:r>
      <w:r w:rsidR="009312B7" w:rsidRPr="00440C66">
        <w:t xml:space="preserve"> (hipoglikemia)</w:t>
      </w:r>
      <w:r w:rsidR="00486A9C" w:rsidRPr="00440C66">
        <w:t>.</w:t>
      </w:r>
    </w:p>
    <w:p w14:paraId="20771BA5" w14:textId="77777777" w:rsidR="0039451D" w:rsidRPr="00440C66" w:rsidRDefault="0039451D" w:rsidP="004C760F">
      <w:pPr>
        <w:widowControl w:val="0"/>
        <w:ind w:left="0" w:firstLine="0"/>
      </w:pPr>
    </w:p>
    <w:p w14:paraId="146C5F43" w14:textId="77777777" w:rsidR="00B8575C" w:rsidRPr="00440C66" w:rsidRDefault="00B8575C" w:rsidP="004C760F">
      <w:pPr>
        <w:widowControl w:val="0"/>
        <w:ind w:left="0" w:firstLine="0"/>
      </w:pPr>
      <w:r w:rsidRPr="00440C66">
        <w:t xml:space="preserve">Jeśli pacjent stosował wcześniej wildagliptynę, ale z powodu choroby wątroby musiał przestać </w:t>
      </w:r>
      <w:r w:rsidR="00A22AD2" w:rsidRPr="00440C66">
        <w:t xml:space="preserve">ją </w:t>
      </w:r>
      <w:r w:rsidRPr="00440C66">
        <w:t xml:space="preserve">przyjmować, nie powinien stosować </w:t>
      </w:r>
      <w:r w:rsidR="00A22AD2" w:rsidRPr="00440C66">
        <w:t>tego leku</w:t>
      </w:r>
      <w:r w:rsidRPr="00440C66">
        <w:t>.</w:t>
      </w:r>
    </w:p>
    <w:p w14:paraId="1C8F4A69" w14:textId="77777777" w:rsidR="00B8575C" w:rsidRPr="00440C66" w:rsidRDefault="00B8575C" w:rsidP="004C760F">
      <w:pPr>
        <w:widowControl w:val="0"/>
        <w:ind w:left="0" w:firstLine="0"/>
      </w:pPr>
    </w:p>
    <w:p w14:paraId="4026530B" w14:textId="603D8B29" w:rsidR="003229E4" w:rsidRPr="00440C66" w:rsidRDefault="004F0A79" w:rsidP="004C760F">
      <w:pPr>
        <w:widowControl w:val="0"/>
        <w:ind w:left="0" w:firstLine="0"/>
      </w:pPr>
      <w:r w:rsidRPr="00440C66">
        <w:t xml:space="preserve">Cukrzycowe zmiany skórne są </w:t>
      </w:r>
      <w:r w:rsidR="00DE4CA9" w:rsidRPr="00440C66">
        <w:t>częstym powikłaniem cukrzycy</w:t>
      </w:r>
      <w:r w:rsidRPr="00440C66">
        <w:t>.</w:t>
      </w:r>
      <w:r w:rsidR="00DE4CA9" w:rsidRPr="00440C66">
        <w:t xml:space="preserve"> </w:t>
      </w:r>
      <w:r w:rsidR="00CF2C99" w:rsidRPr="00440C66">
        <w:t>N</w:t>
      </w:r>
      <w:r w:rsidR="00DE4CA9" w:rsidRPr="00440C66">
        <w:t>ależy stosować się do zaleceń lekarza lub pielęgniarki dotyczących pielęgnacji skóry i stóp.</w:t>
      </w:r>
      <w:r w:rsidR="00CF2C99" w:rsidRPr="00440C66">
        <w:t xml:space="preserve"> Zaleca się również</w:t>
      </w:r>
      <w:r w:rsidR="00AC6206">
        <w:t>,</w:t>
      </w:r>
      <w:r w:rsidR="00CF2C99" w:rsidRPr="00440C66">
        <w:t xml:space="preserve"> aby pacjent zwracał szczególną uwagę na występowanie nowych pęcherzy lub owrzodzeń w czasie przyjmowania leku </w:t>
      </w:r>
      <w:r w:rsidR="003C72B4">
        <w:t>Vildagliptin/Metformin hydrochloride Accord</w:t>
      </w:r>
      <w:r w:rsidR="00CF2C99" w:rsidRPr="00440C66">
        <w:t xml:space="preserve">. W przypadku ich wystąpienia, </w:t>
      </w:r>
      <w:r w:rsidR="00FB4437" w:rsidRPr="00440C66">
        <w:t xml:space="preserve">pacjent </w:t>
      </w:r>
      <w:r w:rsidR="00081D10" w:rsidRPr="00440C66">
        <w:t>powinien szybko</w:t>
      </w:r>
      <w:r w:rsidR="00CF2C99" w:rsidRPr="00440C66">
        <w:t xml:space="preserve"> porozmawiać</w:t>
      </w:r>
      <w:r w:rsidR="00F2719F" w:rsidRPr="00440C66">
        <w:t xml:space="preserve"> o tym</w:t>
      </w:r>
      <w:r w:rsidR="00CF2C99" w:rsidRPr="00440C66">
        <w:t xml:space="preserve"> z lekarzem prowadzącym.</w:t>
      </w:r>
    </w:p>
    <w:p w14:paraId="194CAFFB" w14:textId="77777777" w:rsidR="000F2C1E" w:rsidRPr="00440C66" w:rsidRDefault="000F2C1E" w:rsidP="004C760F">
      <w:pPr>
        <w:widowControl w:val="0"/>
        <w:ind w:left="0" w:firstLine="0"/>
      </w:pPr>
    </w:p>
    <w:p w14:paraId="2E07E1A3" w14:textId="7B0180F2" w:rsidR="00E067CC" w:rsidRDefault="00E067CC" w:rsidP="004C760F">
      <w:pPr>
        <w:widowControl w:val="0"/>
        <w:ind w:left="0" w:firstLine="0"/>
      </w:pPr>
      <w:r w:rsidRPr="00E067CC">
        <w:t xml:space="preserve">Jeśli pacjent ma mieć duży zabieg chirurgiczny, nie może stosować leku </w:t>
      </w:r>
      <w:r w:rsidR="003C72B4">
        <w:t>Vildagliptin/Metformin hydrochloride Accord</w:t>
      </w:r>
      <w:r w:rsidRPr="00E067CC">
        <w:t xml:space="preserve"> podczas zabiegu i</w:t>
      </w:r>
      <w:r w:rsidR="00A21B39">
        <w:t> </w:t>
      </w:r>
      <w:r w:rsidRPr="00E067CC">
        <w:t xml:space="preserve">przez pewien czas po nim. Lekarz zdecyduje, kiedy pacjent musi przerwać i wznowić leczenie lekiem </w:t>
      </w:r>
      <w:r w:rsidR="003C72B4">
        <w:t>Vildagliptin/Metformin hydrochloride Accord</w:t>
      </w:r>
      <w:r w:rsidRPr="00E067CC">
        <w:t>.</w:t>
      </w:r>
    </w:p>
    <w:p w14:paraId="7F67FF8E" w14:textId="77777777" w:rsidR="00E067CC" w:rsidRDefault="00E067CC" w:rsidP="004C760F">
      <w:pPr>
        <w:widowControl w:val="0"/>
        <w:ind w:left="0" w:firstLine="0"/>
      </w:pPr>
    </w:p>
    <w:p w14:paraId="53C3E684" w14:textId="7852ABF5" w:rsidR="00925948" w:rsidRPr="00440C66" w:rsidRDefault="00925948" w:rsidP="004C760F">
      <w:pPr>
        <w:widowControl w:val="0"/>
        <w:ind w:left="0" w:firstLine="0"/>
      </w:pPr>
      <w:r w:rsidRPr="00440C66">
        <w:t xml:space="preserve">Przed rozpoczęciem leczenia </w:t>
      </w:r>
      <w:r w:rsidR="007F54AC" w:rsidRPr="00440C66">
        <w:t>produkt</w:t>
      </w:r>
      <w:r w:rsidRPr="00440C66">
        <w:t xml:space="preserve">em </w:t>
      </w:r>
      <w:r w:rsidR="003C72B4">
        <w:t>Vildagliptin/Metformin hydrochloride Accord</w:t>
      </w:r>
      <w:r w:rsidR="0038428B" w:rsidRPr="00440C66">
        <w:t xml:space="preserve"> oraz </w:t>
      </w:r>
      <w:r w:rsidR="00B8575C" w:rsidRPr="00440C66">
        <w:t xml:space="preserve">w odstępach trzymiesięcznych w czasie pierwszego roku </w:t>
      </w:r>
      <w:r w:rsidR="0038428B" w:rsidRPr="00440C66">
        <w:t>leczenia, a nast</w:t>
      </w:r>
      <w:r w:rsidR="0080024E" w:rsidRPr="00440C66">
        <w:t>ę</w:t>
      </w:r>
      <w:r w:rsidR="0038428B" w:rsidRPr="00440C66">
        <w:t xml:space="preserve">pnie </w:t>
      </w:r>
      <w:r w:rsidR="00B8575C" w:rsidRPr="00440C66">
        <w:t>okresowo</w:t>
      </w:r>
      <w:r w:rsidR="0038428B" w:rsidRPr="00440C66">
        <w:t>,</w:t>
      </w:r>
      <w:r w:rsidR="000E5F1C" w:rsidRPr="00440C66">
        <w:t xml:space="preserve"> </w:t>
      </w:r>
      <w:r w:rsidR="00002FAA" w:rsidRPr="00440C66">
        <w:t xml:space="preserve">należy </w:t>
      </w:r>
      <w:r w:rsidRPr="00440C66">
        <w:t>wykona</w:t>
      </w:r>
      <w:r w:rsidR="00002FAA" w:rsidRPr="00440C66">
        <w:t>ć</w:t>
      </w:r>
      <w:r w:rsidRPr="00440C66">
        <w:t xml:space="preserve"> badania określające czynność wątroby. Dzięki temu objawy </w:t>
      </w:r>
      <w:r w:rsidR="00244CE2" w:rsidRPr="00440C66">
        <w:t xml:space="preserve">zwiększenia aktywności enzymów wątrobowych mogą </w:t>
      </w:r>
      <w:r w:rsidR="009D0DDD" w:rsidRPr="00440C66">
        <w:t xml:space="preserve">być </w:t>
      </w:r>
      <w:r w:rsidR="00244CE2" w:rsidRPr="00440C66">
        <w:t>wykryte tak szybko, jak tylko jest to możliwe.</w:t>
      </w:r>
    </w:p>
    <w:p w14:paraId="1D6F4094" w14:textId="77777777" w:rsidR="00D65887" w:rsidRPr="00440C66" w:rsidRDefault="00D65887" w:rsidP="004C760F">
      <w:pPr>
        <w:widowControl w:val="0"/>
        <w:ind w:left="0" w:firstLine="0"/>
      </w:pPr>
    </w:p>
    <w:p w14:paraId="500D3373" w14:textId="169BCF8A" w:rsidR="00E067CC" w:rsidRDefault="00E067CC" w:rsidP="004C760F">
      <w:pPr>
        <w:widowControl w:val="0"/>
        <w:ind w:left="0" w:firstLine="0"/>
      </w:pPr>
      <w:r w:rsidRPr="008438A1">
        <w:t xml:space="preserve">Podczas leczenia lekiem </w:t>
      </w:r>
      <w:r w:rsidR="003C72B4">
        <w:t>Vildagliptin/Metformin hydrochloride Accord</w:t>
      </w:r>
      <w:r w:rsidRPr="008438A1">
        <w:t xml:space="preserve"> lekarz będzie kontrolować czynność nerek pacjenta przynajmniej raz na rok lub częściej, jeśli pacjent jest w podeszłym wieku i</w:t>
      </w:r>
      <w:r>
        <w:t xml:space="preserve"> (</w:t>
      </w:r>
      <w:r w:rsidRPr="008438A1">
        <w:t>lub</w:t>
      </w:r>
      <w:r>
        <w:t>)</w:t>
      </w:r>
      <w:r w:rsidRPr="008438A1">
        <w:t xml:space="preserve"> ma pogarszającą się czynność nerek. </w:t>
      </w:r>
    </w:p>
    <w:p w14:paraId="257B99C5" w14:textId="77777777" w:rsidR="00E067CC" w:rsidRDefault="00E067CC" w:rsidP="004C760F">
      <w:pPr>
        <w:widowControl w:val="0"/>
        <w:ind w:left="0" w:firstLine="0"/>
      </w:pPr>
    </w:p>
    <w:p w14:paraId="11C6EFFD" w14:textId="77777777" w:rsidR="00D65887" w:rsidRDefault="00D65887" w:rsidP="004C760F">
      <w:pPr>
        <w:widowControl w:val="0"/>
        <w:ind w:left="0" w:firstLine="0"/>
      </w:pPr>
      <w:r w:rsidRPr="00440C66">
        <w:t>Lekarz będzie regularnie oceniał stężenie cukru we krwi i w moczu.</w:t>
      </w:r>
    </w:p>
    <w:p w14:paraId="19D05379" w14:textId="77777777" w:rsidR="00387086" w:rsidRDefault="00387086" w:rsidP="004C760F">
      <w:pPr>
        <w:widowControl w:val="0"/>
        <w:ind w:left="0" w:firstLine="0"/>
      </w:pPr>
    </w:p>
    <w:p w14:paraId="17F17316" w14:textId="77777777" w:rsidR="002B19D7" w:rsidRPr="00440C66" w:rsidRDefault="002B19D7" w:rsidP="004C760F">
      <w:pPr>
        <w:widowControl w:val="0"/>
        <w:ind w:left="0" w:firstLine="0"/>
      </w:pPr>
    </w:p>
    <w:p w14:paraId="24D8D2FC" w14:textId="77777777" w:rsidR="00D65887" w:rsidRPr="00440C66" w:rsidRDefault="00D65887" w:rsidP="004C760F">
      <w:pPr>
        <w:keepNext/>
        <w:widowControl w:val="0"/>
        <w:ind w:left="0" w:firstLine="0"/>
        <w:rPr>
          <w:b/>
        </w:rPr>
      </w:pPr>
      <w:r w:rsidRPr="00440C66">
        <w:rPr>
          <w:b/>
        </w:rPr>
        <w:t>Dzieci i młodzież</w:t>
      </w:r>
    </w:p>
    <w:p w14:paraId="2D22C5AB" w14:textId="7275AC95" w:rsidR="00D65887" w:rsidRPr="00440C66" w:rsidRDefault="005544F1" w:rsidP="004C760F">
      <w:pPr>
        <w:widowControl w:val="0"/>
        <w:ind w:left="0" w:firstLine="0"/>
      </w:pPr>
      <w:r w:rsidRPr="00440C66">
        <w:t xml:space="preserve">Nie zaleca się stosowania leku </w:t>
      </w:r>
      <w:r w:rsidR="003C72B4">
        <w:t>Vildagliptin/Metformin hydrochloride Accord</w:t>
      </w:r>
      <w:r w:rsidRPr="00440C66">
        <w:t xml:space="preserve"> u dzieci i młodzieży w wieku do 18 lat.</w:t>
      </w:r>
    </w:p>
    <w:p w14:paraId="2A060CD6" w14:textId="77777777" w:rsidR="005544F1" w:rsidRPr="00440C66" w:rsidRDefault="005544F1" w:rsidP="004C760F">
      <w:pPr>
        <w:widowControl w:val="0"/>
        <w:ind w:left="0" w:firstLine="0"/>
      </w:pPr>
    </w:p>
    <w:p w14:paraId="45272DCE" w14:textId="276ACCF6" w:rsidR="008A2514" w:rsidRPr="000A48AE" w:rsidRDefault="004138DF" w:rsidP="004C760F">
      <w:pPr>
        <w:keepNext/>
        <w:widowControl w:val="0"/>
        <w:rPr>
          <w:b/>
        </w:rPr>
      </w:pPr>
      <w:r w:rsidRPr="000A48AE">
        <w:rPr>
          <w:b/>
        </w:rPr>
        <w:lastRenderedPageBreak/>
        <w:t>L</w:t>
      </w:r>
      <w:r w:rsidR="006C16B1" w:rsidRPr="000A48AE">
        <w:rPr>
          <w:b/>
        </w:rPr>
        <w:t>ek</w:t>
      </w:r>
      <w:r w:rsidR="005D6A4D" w:rsidRPr="000A48AE">
        <w:rPr>
          <w:b/>
        </w:rPr>
        <w:t xml:space="preserve"> </w:t>
      </w:r>
      <w:r w:rsidR="003C72B4" w:rsidRPr="000A48AE">
        <w:rPr>
          <w:b/>
        </w:rPr>
        <w:t>Vildagliptin/Metformin hydrochloride Accord</w:t>
      </w:r>
      <w:r w:rsidRPr="000A48AE">
        <w:rPr>
          <w:b/>
        </w:rPr>
        <w:t xml:space="preserve"> a inne leki</w:t>
      </w:r>
    </w:p>
    <w:p w14:paraId="0B151D4B" w14:textId="5A910346" w:rsidR="00E067CC" w:rsidRDefault="00E067CC" w:rsidP="004C760F">
      <w:pPr>
        <w:keepNext/>
        <w:widowControl w:val="0"/>
        <w:ind w:left="0" w:firstLine="0"/>
        <w:rPr>
          <w:rFonts w:eastAsia="MS Mincho"/>
          <w:noProof/>
        </w:rPr>
      </w:pPr>
      <w:r w:rsidRPr="008438A1">
        <w:rPr>
          <w:rFonts w:eastAsia="MS Mincho"/>
        </w:rPr>
        <w:t xml:space="preserve">Jeśli pacjent </w:t>
      </w:r>
      <w:r>
        <w:rPr>
          <w:rFonts w:eastAsia="MS Mincho"/>
        </w:rPr>
        <w:t xml:space="preserve">będzie miał </w:t>
      </w:r>
      <w:r w:rsidRPr="008438A1">
        <w:rPr>
          <w:rFonts w:eastAsia="MS Mincho"/>
        </w:rPr>
        <w:t>wstrzyk</w:t>
      </w:r>
      <w:r>
        <w:rPr>
          <w:rFonts w:eastAsia="MS Mincho"/>
        </w:rPr>
        <w:t>nięty</w:t>
      </w:r>
      <w:r w:rsidRPr="008438A1">
        <w:rPr>
          <w:rFonts w:eastAsia="MS Mincho"/>
        </w:rPr>
        <w:t xml:space="preserve"> do </w:t>
      </w:r>
      <w:r>
        <w:rPr>
          <w:rFonts w:eastAsia="MS Mincho"/>
        </w:rPr>
        <w:t xml:space="preserve">krwiobiegu </w:t>
      </w:r>
      <w:r w:rsidRPr="008438A1">
        <w:rPr>
          <w:rFonts w:eastAsia="MS Mincho"/>
        </w:rPr>
        <w:t>środ</w:t>
      </w:r>
      <w:r>
        <w:rPr>
          <w:rFonts w:eastAsia="MS Mincho"/>
        </w:rPr>
        <w:t>e</w:t>
      </w:r>
      <w:r w:rsidRPr="008438A1">
        <w:rPr>
          <w:rFonts w:eastAsia="MS Mincho"/>
        </w:rPr>
        <w:t>k kontrastow</w:t>
      </w:r>
      <w:r>
        <w:rPr>
          <w:rFonts w:eastAsia="MS Mincho"/>
        </w:rPr>
        <w:t>y</w:t>
      </w:r>
      <w:r w:rsidRPr="008438A1">
        <w:rPr>
          <w:rFonts w:eastAsia="MS Mincho"/>
        </w:rPr>
        <w:t xml:space="preserve"> zawierając</w:t>
      </w:r>
      <w:r>
        <w:rPr>
          <w:rFonts w:eastAsia="MS Mincho"/>
        </w:rPr>
        <w:t>y</w:t>
      </w:r>
      <w:r w:rsidRPr="008438A1">
        <w:rPr>
          <w:rFonts w:eastAsia="MS Mincho"/>
        </w:rPr>
        <w:t xml:space="preserve"> jod, na przykład w celu badania </w:t>
      </w:r>
      <w:r>
        <w:rPr>
          <w:rFonts w:eastAsia="MS Mincho"/>
        </w:rPr>
        <w:t xml:space="preserve">rentgenowskiego </w:t>
      </w:r>
      <w:r w:rsidRPr="008438A1">
        <w:rPr>
          <w:rFonts w:eastAsia="MS Mincho"/>
        </w:rPr>
        <w:t xml:space="preserve">lub tomografii komputerowej, musi przerwać przyjmowanie leku </w:t>
      </w:r>
      <w:r w:rsidR="003C72B4">
        <w:rPr>
          <w:rFonts w:eastAsia="MS Mincho"/>
        </w:rPr>
        <w:t>Vildagliptin/Metformin hydrochloride Accord</w:t>
      </w:r>
      <w:r w:rsidRPr="008438A1">
        <w:rPr>
          <w:rFonts w:eastAsia="MS Mincho"/>
        </w:rPr>
        <w:t xml:space="preserve"> przed lub najpóźniej w momencie takiego wstrzyknięcia. </w:t>
      </w:r>
      <w:r w:rsidRPr="008438A1">
        <w:rPr>
          <w:rFonts w:eastAsia="MS Mincho"/>
          <w:noProof/>
        </w:rPr>
        <w:t xml:space="preserve">Lekarz zdecyduje, kiedy </w:t>
      </w:r>
      <w:r>
        <w:t>pacjent musi</w:t>
      </w:r>
      <w:r w:rsidRPr="008438A1">
        <w:rPr>
          <w:rFonts w:eastAsia="MS Mincho"/>
          <w:noProof/>
        </w:rPr>
        <w:t xml:space="preserve"> przerwać i wznowić </w:t>
      </w:r>
      <w:r>
        <w:rPr>
          <w:rFonts w:eastAsia="MS Mincho"/>
          <w:noProof/>
        </w:rPr>
        <w:t xml:space="preserve">leczenie lekiem </w:t>
      </w:r>
      <w:r w:rsidR="003C72B4">
        <w:rPr>
          <w:rFonts w:eastAsia="MS Mincho"/>
          <w:noProof/>
        </w:rPr>
        <w:t>Vildagliptin/Metformin hydrochloride Accord</w:t>
      </w:r>
      <w:r w:rsidRPr="008438A1">
        <w:rPr>
          <w:rFonts w:eastAsia="MS Mincho"/>
          <w:noProof/>
        </w:rPr>
        <w:t>.</w:t>
      </w:r>
    </w:p>
    <w:p w14:paraId="44117779" w14:textId="77777777" w:rsidR="00E067CC" w:rsidRDefault="00E067CC" w:rsidP="004C760F">
      <w:pPr>
        <w:keepNext/>
        <w:widowControl w:val="0"/>
        <w:ind w:left="0" w:firstLine="0"/>
        <w:rPr>
          <w:rFonts w:eastAsia="MS Mincho"/>
          <w:noProof/>
        </w:rPr>
      </w:pPr>
    </w:p>
    <w:p w14:paraId="6D2143C2" w14:textId="08376FEC" w:rsidR="008A2514" w:rsidRPr="00440C66" w:rsidRDefault="008A2514" w:rsidP="004C760F">
      <w:pPr>
        <w:keepNext/>
        <w:widowControl w:val="0"/>
        <w:ind w:left="0" w:firstLine="0"/>
      </w:pPr>
      <w:r w:rsidRPr="00440C66">
        <w:t xml:space="preserve">Należy </w:t>
      </w:r>
      <w:r w:rsidR="006C16B1" w:rsidRPr="00440C66">
        <w:t>powiedzieć</w:t>
      </w:r>
      <w:r w:rsidRPr="00440C66">
        <w:t xml:space="preserve"> </w:t>
      </w:r>
      <w:r w:rsidR="006C16B1" w:rsidRPr="00440C66">
        <w:t>lekarzowi</w:t>
      </w:r>
      <w:r w:rsidRPr="00440C66">
        <w:t xml:space="preserve"> o wszystkich</w:t>
      </w:r>
      <w:r w:rsidR="005544F1" w:rsidRPr="00440C66">
        <w:t xml:space="preserve"> lekach</w:t>
      </w:r>
      <w:r w:rsidRPr="00440C66">
        <w:t xml:space="preserve"> przyjmowanych </w:t>
      </w:r>
      <w:r w:rsidR="004138DF" w:rsidRPr="00440C66">
        <w:t xml:space="preserve">przez pacjenta </w:t>
      </w:r>
      <w:r w:rsidR="005544F1" w:rsidRPr="00440C66">
        <w:t>obecnie</w:t>
      </w:r>
      <w:r w:rsidR="001059D3" w:rsidRPr="00440C66">
        <w:t xml:space="preserve"> lub </w:t>
      </w:r>
      <w:r w:rsidRPr="00440C66">
        <w:t>ostatnio</w:t>
      </w:r>
      <w:r w:rsidR="004138DF" w:rsidRPr="00440C66">
        <w:t>,</w:t>
      </w:r>
      <w:r w:rsidR="005544F1" w:rsidRPr="00440C66">
        <w:t xml:space="preserve"> a także o</w:t>
      </w:r>
      <w:r w:rsidRPr="00440C66">
        <w:t xml:space="preserve"> lekach, </w:t>
      </w:r>
      <w:r w:rsidR="005544F1" w:rsidRPr="00440C66">
        <w:t xml:space="preserve">które pacjent planuje </w:t>
      </w:r>
      <w:r w:rsidR="00F3741E">
        <w:t>przyjmować</w:t>
      </w:r>
      <w:r w:rsidRPr="00440C66">
        <w:t>.</w:t>
      </w:r>
      <w:r w:rsidR="00F3741E">
        <w:t xml:space="preserve"> </w:t>
      </w:r>
      <w:r w:rsidR="00F3741E" w:rsidRPr="00F3741E">
        <w:t>Pacjent może wymagać częstszych kontroli stężenia glukozy we krwi i ocen czynności nerek lub też modyfik</w:t>
      </w:r>
      <w:r w:rsidR="00F3741E">
        <w:t xml:space="preserve">acji dawki leku </w:t>
      </w:r>
      <w:r w:rsidR="003C72B4">
        <w:t>Vildagliptin/Metformin hydrochloride Accord</w:t>
      </w:r>
      <w:r w:rsidR="00F3741E" w:rsidRPr="00F3741E">
        <w:t xml:space="preserve"> przez lekarza. Szczególnie ważne jest poinformowanie o następujących lekach:</w:t>
      </w:r>
      <w:r w:rsidR="001B310A" w:rsidRPr="00440C66">
        <w:t xml:space="preserve"> </w:t>
      </w:r>
    </w:p>
    <w:p w14:paraId="30314B69" w14:textId="77777777" w:rsidR="001B310A" w:rsidRPr="00440C66" w:rsidRDefault="001B310A" w:rsidP="004C760F">
      <w:pPr>
        <w:widowControl w:val="0"/>
        <w:numPr>
          <w:ilvl w:val="0"/>
          <w:numId w:val="2"/>
        </w:numPr>
      </w:pPr>
      <w:r w:rsidRPr="00440C66">
        <w:t xml:space="preserve">glikokortykosteroidy stosowane </w:t>
      </w:r>
      <w:r w:rsidR="006C16B1" w:rsidRPr="00440C66">
        <w:t>zazwyczaj</w:t>
      </w:r>
      <w:r w:rsidRPr="00440C66">
        <w:t xml:space="preserve"> w leczeniu stanów zapalnych</w:t>
      </w:r>
    </w:p>
    <w:p w14:paraId="6E26BE34" w14:textId="77777777" w:rsidR="001B310A" w:rsidRPr="00440C66" w:rsidRDefault="00AC6026" w:rsidP="004C760F">
      <w:pPr>
        <w:widowControl w:val="0"/>
        <w:numPr>
          <w:ilvl w:val="0"/>
          <w:numId w:val="2"/>
        </w:numPr>
      </w:pPr>
      <w:r w:rsidRPr="00440C66">
        <w:t xml:space="preserve">leki z grupy </w:t>
      </w:r>
      <w:r w:rsidR="001B310A" w:rsidRPr="00440C66">
        <w:t>agonistów</w:t>
      </w:r>
      <w:r w:rsidRPr="00440C66">
        <w:t xml:space="preserve"> receptorów beta-2-adrenergicznych,</w:t>
      </w:r>
      <w:r w:rsidR="001B310A" w:rsidRPr="00440C66">
        <w:t xml:space="preserve"> stosowan</w:t>
      </w:r>
      <w:r w:rsidRPr="00440C66">
        <w:t>e</w:t>
      </w:r>
      <w:r w:rsidR="001B310A" w:rsidRPr="00440C66">
        <w:t xml:space="preserve"> </w:t>
      </w:r>
      <w:r w:rsidR="006C16B1" w:rsidRPr="00440C66">
        <w:t>zazwyczaj</w:t>
      </w:r>
      <w:r w:rsidR="001B310A" w:rsidRPr="00440C66">
        <w:t xml:space="preserve"> w leczeniu zaburzeń oddychania</w:t>
      </w:r>
    </w:p>
    <w:p w14:paraId="5F5BC088" w14:textId="77777777" w:rsidR="001D006A" w:rsidRPr="00440C66" w:rsidRDefault="001D006A" w:rsidP="004C760F">
      <w:pPr>
        <w:widowControl w:val="0"/>
        <w:numPr>
          <w:ilvl w:val="0"/>
          <w:numId w:val="2"/>
        </w:numPr>
      </w:pPr>
      <w:r w:rsidRPr="00440C66">
        <w:t>inne leki stosowane w leczeniu cukrzycy</w:t>
      </w:r>
    </w:p>
    <w:p w14:paraId="5DF6141F" w14:textId="77777777" w:rsidR="00616DAA" w:rsidRDefault="001B310A" w:rsidP="004C760F">
      <w:pPr>
        <w:widowControl w:val="0"/>
        <w:numPr>
          <w:ilvl w:val="0"/>
          <w:numId w:val="2"/>
        </w:numPr>
      </w:pPr>
      <w:r w:rsidRPr="00440C66">
        <w:t>leki</w:t>
      </w:r>
      <w:r w:rsidR="00F3741E">
        <w:t xml:space="preserve"> zwiększające wytwarzanie moczu</w:t>
      </w:r>
      <w:r w:rsidRPr="00440C66">
        <w:t xml:space="preserve"> </w:t>
      </w:r>
      <w:r w:rsidR="00F3741E">
        <w:t>(</w:t>
      </w:r>
      <w:r w:rsidRPr="00440C66">
        <w:t>moczopędne</w:t>
      </w:r>
      <w:r w:rsidR="00F3741E">
        <w:t>)</w:t>
      </w:r>
    </w:p>
    <w:p w14:paraId="446EC69F" w14:textId="77777777" w:rsidR="00F3741E" w:rsidRPr="00440C66" w:rsidRDefault="00F3741E" w:rsidP="004C760F">
      <w:pPr>
        <w:widowControl w:val="0"/>
        <w:numPr>
          <w:ilvl w:val="0"/>
          <w:numId w:val="2"/>
        </w:numPr>
      </w:pPr>
      <w:r w:rsidRPr="008438A1">
        <w:rPr>
          <w:rFonts w:cs="Helvetica"/>
        </w:rPr>
        <w:t>leki stosowane w leczeniu bólu i stanu zapalnego (NLPZ i inhibitory COX-2, takie jak ibuprofen i celekoksyb)</w:t>
      </w:r>
    </w:p>
    <w:p w14:paraId="68C6A809" w14:textId="77777777" w:rsidR="001D006A" w:rsidRPr="00440C66" w:rsidRDefault="00F3741E" w:rsidP="004C760F">
      <w:pPr>
        <w:widowControl w:val="0"/>
        <w:numPr>
          <w:ilvl w:val="0"/>
          <w:numId w:val="2"/>
        </w:numPr>
      </w:pPr>
      <w:r w:rsidRPr="008438A1">
        <w:rPr>
          <w:rFonts w:cs="Helvetica"/>
        </w:rPr>
        <w:t>pewne leki stosowane w leczeniu wysokiego ciśnienia krwi (inhibitory ACE i antagoniści receptora angiotensyny II)</w:t>
      </w:r>
    </w:p>
    <w:p w14:paraId="28295F27" w14:textId="2E6EBE5B" w:rsidR="001D006A" w:rsidRPr="00440C66" w:rsidRDefault="00D176E0" w:rsidP="004C760F">
      <w:pPr>
        <w:widowControl w:val="0"/>
        <w:numPr>
          <w:ilvl w:val="0"/>
          <w:numId w:val="2"/>
        </w:numPr>
      </w:pPr>
      <w:r w:rsidRPr="00440C66">
        <w:t xml:space="preserve">pewne </w:t>
      </w:r>
      <w:r w:rsidR="001D006A" w:rsidRPr="00440C66">
        <w:t>leki wpływające na tarczycę</w:t>
      </w:r>
    </w:p>
    <w:p w14:paraId="563414A3" w14:textId="6989727C" w:rsidR="00F33CC1" w:rsidRPr="008B20C2" w:rsidRDefault="00D176E0" w:rsidP="004C760F">
      <w:pPr>
        <w:widowControl w:val="0"/>
        <w:numPr>
          <w:ilvl w:val="0"/>
          <w:numId w:val="2"/>
        </w:numPr>
      </w:pPr>
      <w:r w:rsidRPr="00440C66">
        <w:t xml:space="preserve">pewne </w:t>
      </w:r>
      <w:r w:rsidR="001D006A" w:rsidRPr="00440C66">
        <w:t xml:space="preserve">leki </w:t>
      </w:r>
      <w:r w:rsidR="001D006A" w:rsidRPr="008B20C2">
        <w:t>wpływające na układ nerwowy</w:t>
      </w:r>
    </w:p>
    <w:p w14:paraId="27089745" w14:textId="09CD8B68" w:rsidR="002B19D7" w:rsidRPr="008B20C2" w:rsidRDefault="002B19D7" w:rsidP="004C760F">
      <w:pPr>
        <w:widowControl w:val="0"/>
        <w:numPr>
          <w:ilvl w:val="0"/>
          <w:numId w:val="2"/>
        </w:numPr>
      </w:pPr>
      <w:r w:rsidRPr="008B20C2">
        <w:t>pewne leki stosowane w leczeniu dusznicy</w:t>
      </w:r>
      <w:r w:rsidR="009456E8" w:rsidRPr="008B20C2">
        <w:t>,</w:t>
      </w:r>
      <w:r w:rsidRPr="008B20C2">
        <w:t xml:space="preserve"> np. ranolazyna</w:t>
      </w:r>
    </w:p>
    <w:p w14:paraId="0F9FF4AE" w14:textId="516A78A9" w:rsidR="002B19D7" w:rsidRPr="008B20C2" w:rsidRDefault="002B19D7" w:rsidP="004C760F">
      <w:pPr>
        <w:widowControl w:val="0"/>
        <w:numPr>
          <w:ilvl w:val="0"/>
          <w:numId w:val="2"/>
        </w:numPr>
      </w:pPr>
      <w:r w:rsidRPr="008B20C2">
        <w:t>pewne leki stosowane w leczeniu zakażenia HIV</w:t>
      </w:r>
      <w:r w:rsidR="009456E8" w:rsidRPr="008B20C2">
        <w:t>,</w:t>
      </w:r>
      <w:r w:rsidRPr="008B20C2">
        <w:t xml:space="preserve"> np. dolutegrawir</w:t>
      </w:r>
    </w:p>
    <w:p w14:paraId="067A7D0C" w14:textId="33594EE2" w:rsidR="001F391F" w:rsidRPr="008B20C2" w:rsidRDefault="002B19D7" w:rsidP="004C760F">
      <w:pPr>
        <w:widowControl w:val="0"/>
        <w:numPr>
          <w:ilvl w:val="0"/>
          <w:numId w:val="2"/>
        </w:numPr>
      </w:pPr>
      <w:r w:rsidRPr="008B20C2">
        <w:t>pewne leki stosowane w leczeniu specyficznego rodzaju raka tarczycy (raka rdzeniastego tarczycy)</w:t>
      </w:r>
      <w:r w:rsidR="009456E8" w:rsidRPr="008B20C2">
        <w:t>,</w:t>
      </w:r>
      <w:r w:rsidRPr="008B20C2">
        <w:t xml:space="preserve"> np. wandetanib</w:t>
      </w:r>
    </w:p>
    <w:p w14:paraId="241BF3ED" w14:textId="587B5117" w:rsidR="002B19D7" w:rsidRPr="008B20C2" w:rsidRDefault="001F391F" w:rsidP="004C760F">
      <w:pPr>
        <w:widowControl w:val="0"/>
        <w:numPr>
          <w:ilvl w:val="0"/>
          <w:numId w:val="2"/>
        </w:numPr>
      </w:pPr>
      <w:r w:rsidRPr="008B20C2">
        <w:t>pewne leki stosowane w leczeniu zgagi i wrzodów trawiennych</w:t>
      </w:r>
      <w:r w:rsidR="009456E8" w:rsidRPr="008B20C2">
        <w:t>,</w:t>
      </w:r>
      <w:r w:rsidRPr="008B20C2">
        <w:t xml:space="preserve"> np. cymetydyna</w:t>
      </w:r>
      <w:r w:rsidR="002B19D7" w:rsidRPr="008B20C2">
        <w:t>.</w:t>
      </w:r>
    </w:p>
    <w:p w14:paraId="5F699846" w14:textId="77777777" w:rsidR="008A2514" w:rsidRPr="008B20C2" w:rsidRDefault="008A2514" w:rsidP="004C760F">
      <w:pPr>
        <w:widowControl w:val="0"/>
        <w:ind w:left="0" w:firstLine="0"/>
      </w:pPr>
    </w:p>
    <w:p w14:paraId="710392B6" w14:textId="51CD5BE4" w:rsidR="008A2514" w:rsidRPr="00440C66" w:rsidRDefault="004138DF" w:rsidP="004C760F">
      <w:pPr>
        <w:keepNext/>
        <w:widowControl w:val="0"/>
        <w:rPr>
          <w:b/>
        </w:rPr>
      </w:pPr>
      <w:r w:rsidRPr="008B20C2">
        <w:rPr>
          <w:b/>
        </w:rPr>
        <w:t>Stosowanie l</w:t>
      </w:r>
      <w:r w:rsidR="005D6A4D" w:rsidRPr="008B20C2">
        <w:rPr>
          <w:b/>
        </w:rPr>
        <w:t>ek</w:t>
      </w:r>
      <w:r w:rsidRPr="008B20C2">
        <w:rPr>
          <w:b/>
        </w:rPr>
        <w:t>u</w:t>
      </w:r>
      <w:r w:rsidR="005D6A4D" w:rsidRPr="008B20C2">
        <w:rPr>
          <w:b/>
        </w:rPr>
        <w:t xml:space="preserve"> </w:t>
      </w:r>
      <w:r w:rsidR="003C72B4">
        <w:rPr>
          <w:b/>
        </w:rPr>
        <w:t>Vildagliptin/Metformin hydrochloride Accord</w:t>
      </w:r>
      <w:r w:rsidR="008A2514" w:rsidRPr="008B20C2">
        <w:rPr>
          <w:b/>
        </w:rPr>
        <w:t xml:space="preserve"> z </w:t>
      </w:r>
      <w:r w:rsidR="005544F1" w:rsidRPr="008B20C2">
        <w:rPr>
          <w:b/>
        </w:rPr>
        <w:t>alkoholem</w:t>
      </w:r>
    </w:p>
    <w:p w14:paraId="312055CA" w14:textId="4E4B2BA5" w:rsidR="00BE0398" w:rsidRPr="00440C66" w:rsidRDefault="00F3741E" w:rsidP="004C760F">
      <w:pPr>
        <w:widowControl w:val="0"/>
        <w:ind w:left="0" w:firstLine="0"/>
      </w:pPr>
      <w:r w:rsidRPr="00F3741E">
        <w:t>Należy unikać spożywania nadmiernych ilości alkoholu p</w:t>
      </w:r>
      <w:r>
        <w:t xml:space="preserve">odczas przyjmowania leku </w:t>
      </w:r>
      <w:r w:rsidR="003C72B4">
        <w:t>Vildagliptin/Metformin hydrochloride Accord</w:t>
      </w:r>
      <w:r w:rsidRPr="00F3741E">
        <w:t>, bowiem może to zwiększyć ryzyko kwasicy mleczanowej (patrz punkt „Ostrzeżenia i środki ostrożności”).</w:t>
      </w:r>
    </w:p>
    <w:p w14:paraId="40880205" w14:textId="77777777" w:rsidR="008A2514" w:rsidRPr="00440C66" w:rsidRDefault="008A2514" w:rsidP="004C760F">
      <w:pPr>
        <w:widowControl w:val="0"/>
      </w:pPr>
    </w:p>
    <w:p w14:paraId="3CC25947" w14:textId="77777777" w:rsidR="008A2514" w:rsidRPr="00440C66" w:rsidRDefault="008A2514" w:rsidP="004C760F">
      <w:pPr>
        <w:keepNext/>
        <w:widowControl w:val="0"/>
        <w:rPr>
          <w:b/>
        </w:rPr>
      </w:pPr>
      <w:r w:rsidRPr="00440C66">
        <w:rPr>
          <w:b/>
        </w:rPr>
        <w:t>Ciąża i karmienie piersią</w:t>
      </w:r>
    </w:p>
    <w:p w14:paraId="06E7BC02" w14:textId="34D62F69" w:rsidR="008A2514" w:rsidRPr="00440C66" w:rsidRDefault="009E728E" w:rsidP="004C760F">
      <w:pPr>
        <w:widowControl w:val="0"/>
        <w:numPr>
          <w:ilvl w:val="0"/>
          <w:numId w:val="2"/>
        </w:numPr>
      </w:pPr>
      <w:r>
        <w:t>J</w:t>
      </w:r>
      <w:r w:rsidR="008A2514" w:rsidRPr="00440C66">
        <w:t xml:space="preserve">eśli pacjentka jest w ciąży, </w:t>
      </w:r>
      <w:r w:rsidR="00713BBF" w:rsidRPr="00440C66">
        <w:t>p</w:t>
      </w:r>
      <w:r w:rsidR="00713BBF">
        <w:t>rzypuszcza</w:t>
      </w:r>
      <w:r w:rsidR="008A2514" w:rsidRPr="00440C66">
        <w:t xml:space="preserve"> że może być w ciąży lub </w:t>
      </w:r>
      <w:r w:rsidR="00713BBF">
        <w:t xml:space="preserve">gdy </w:t>
      </w:r>
      <w:r w:rsidR="008A2514" w:rsidRPr="00440C66">
        <w:t xml:space="preserve">planuje </w:t>
      </w:r>
      <w:r w:rsidR="00713BBF">
        <w:t>mieć dziecko</w:t>
      </w:r>
      <w:r>
        <w:t xml:space="preserve">, powinna poradzić się lekarza przed zastosowaniem tego leku. </w:t>
      </w:r>
      <w:r w:rsidR="008A2514" w:rsidRPr="00440C66">
        <w:t xml:space="preserve">Lekarz omówi z pacjentką możliwe ryzyko związane z przyjmowaniem leku </w:t>
      </w:r>
      <w:r w:rsidR="003C72B4">
        <w:t>Vildagliptin/Metformin hydrochloride Accord</w:t>
      </w:r>
      <w:r w:rsidR="00BE0398" w:rsidRPr="00440C66">
        <w:t xml:space="preserve"> </w:t>
      </w:r>
      <w:r w:rsidR="00B25277" w:rsidRPr="00440C66">
        <w:t>w czasie</w:t>
      </w:r>
      <w:r w:rsidR="008A2514" w:rsidRPr="00440C66">
        <w:t xml:space="preserve"> ciąży.</w:t>
      </w:r>
    </w:p>
    <w:p w14:paraId="03244995" w14:textId="5E5776D3" w:rsidR="008A2514" w:rsidRPr="00440C66" w:rsidRDefault="00B25277" w:rsidP="004C760F">
      <w:pPr>
        <w:widowControl w:val="0"/>
        <w:numPr>
          <w:ilvl w:val="0"/>
          <w:numId w:val="2"/>
        </w:numPr>
      </w:pPr>
      <w:r w:rsidRPr="00440C66">
        <w:t>Nie należy</w:t>
      </w:r>
      <w:r w:rsidR="00BE0398" w:rsidRPr="00440C66">
        <w:t xml:space="preserve"> stosować leku </w:t>
      </w:r>
      <w:r w:rsidR="003C72B4">
        <w:t>Vildagliptin/Metformin hydrochloride Accord</w:t>
      </w:r>
      <w:r w:rsidRPr="00440C66">
        <w:t xml:space="preserve"> w czasie </w:t>
      </w:r>
      <w:r w:rsidR="006B11B5" w:rsidRPr="00440C66">
        <w:t xml:space="preserve">ciąży lub </w:t>
      </w:r>
      <w:r w:rsidRPr="00440C66">
        <w:t>karmienia piersią</w:t>
      </w:r>
      <w:r w:rsidR="004138DF" w:rsidRPr="00440C66">
        <w:t xml:space="preserve"> (patrz również „Kiedy nie stosować leku </w:t>
      </w:r>
      <w:r w:rsidR="003C72B4">
        <w:t>Vildagliptin/Metformin hydrochloride Accord</w:t>
      </w:r>
      <w:r w:rsidR="004138DF" w:rsidRPr="00440C66">
        <w:t>”)</w:t>
      </w:r>
      <w:r w:rsidR="008A2514" w:rsidRPr="00440C66">
        <w:t>.</w:t>
      </w:r>
    </w:p>
    <w:p w14:paraId="22279D17" w14:textId="77777777" w:rsidR="008A2514" w:rsidRPr="00440C66" w:rsidRDefault="008A2514" w:rsidP="004C760F">
      <w:pPr>
        <w:widowControl w:val="0"/>
      </w:pPr>
    </w:p>
    <w:p w14:paraId="64C24B87" w14:textId="77777777" w:rsidR="008A2514" w:rsidRPr="00440C66" w:rsidRDefault="00B25277" w:rsidP="004C760F">
      <w:pPr>
        <w:widowControl w:val="0"/>
        <w:ind w:left="0" w:firstLine="0"/>
        <w:rPr>
          <w:szCs w:val="22"/>
        </w:rPr>
      </w:pPr>
      <w:r w:rsidRPr="00440C66">
        <w:t xml:space="preserve">Przed zastosowaniem </w:t>
      </w:r>
      <w:r w:rsidR="001059D3" w:rsidRPr="00440C66">
        <w:t>jakiegokolwiek</w:t>
      </w:r>
      <w:r w:rsidRPr="00440C66">
        <w:t xml:space="preserve"> leku należy poradzić się lekarza lub farmaceuty</w:t>
      </w:r>
      <w:r w:rsidR="008A2514" w:rsidRPr="00440C66">
        <w:t>.</w:t>
      </w:r>
    </w:p>
    <w:p w14:paraId="0CD87886" w14:textId="77777777" w:rsidR="008A2514" w:rsidRPr="00440C66" w:rsidRDefault="008A2514" w:rsidP="004C760F">
      <w:pPr>
        <w:widowControl w:val="0"/>
      </w:pPr>
    </w:p>
    <w:p w14:paraId="67947788" w14:textId="77777777" w:rsidR="008A2514" w:rsidRPr="00440C66" w:rsidRDefault="008A2514" w:rsidP="004C760F">
      <w:pPr>
        <w:keepNext/>
        <w:widowControl w:val="0"/>
        <w:ind w:left="0" w:firstLine="0"/>
        <w:rPr>
          <w:b/>
        </w:rPr>
      </w:pPr>
      <w:r w:rsidRPr="00440C66">
        <w:rPr>
          <w:b/>
        </w:rPr>
        <w:t>Prowadzenie pojazdów i obsług</w:t>
      </w:r>
      <w:r w:rsidR="001059D3" w:rsidRPr="00440C66">
        <w:rPr>
          <w:b/>
        </w:rPr>
        <w:t>iwanie</w:t>
      </w:r>
      <w:r w:rsidRPr="00440C66">
        <w:rPr>
          <w:b/>
        </w:rPr>
        <w:t xml:space="preserve"> maszyn</w:t>
      </w:r>
    </w:p>
    <w:p w14:paraId="45BA87DA" w14:textId="5C766061" w:rsidR="008A2514" w:rsidRPr="00440C66" w:rsidRDefault="008A2514" w:rsidP="004C760F">
      <w:pPr>
        <w:widowControl w:val="0"/>
        <w:ind w:left="0" w:firstLine="0"/>
      </w:pPr>
      <w:r w:rsidRPr="00440C66">
        <w:t>Jeśli u pacjenta wystąpią zawroty głowy</w:t>
      </w:r>
      <w:r w:rsidR="00635412" w:rsidRPr="00440C66">
        <w:t xml:space="preserve"> podczas przyjmowania leku </w:t>
      </w:r>
      <w:r w:rsidR="003C72B4">
        <w:t>Vildagliptin/Metformin hydrochloride Accord</w:t>
      </w:r>
      <w:r w:rsidRPr="00440C66">
        <w:t>,</w:t>
      </w:r>
      <w:r w:rsidR="00635412" w:rsidRPr="00440C66">
        <w:t xml:space="preserve"> nie należy prowadzić pojazdów</w:t>
      </w:r>
      <w:r w:rsidR="00B25277" w:rsidRPr="00440C66">
        <w:t xml:space="preserve"> an</w:t>
      </w:r>
      <w:r w:rsidR="00635412" w:rsidRPr="00440C66">
        <w:t>i</w:t>
      </w:r>
      <w:r w:rsidRPr="00440C66">
        <w:t xml:space="preserve"> obsługiwać </w:t>
      </w:r>
      <w:r w:rsidR="009F1757" w:rsidRPr="00440C66">
        <w:t>maszyn</w:t>
      </w:r>
      <w:r w:rsidRPr="00440C66">
        <w:t>.</w:t>
      </w:r>
    </w:p>
    <w:p w14:paraId="1FFAA22B" w14:textId="77777777" w:rsidR="008A2514" w:rsidRPr="00440C66" w:rsidRDefault="008A2514" w:rsidP="004C760F">
      <w:pPr>
        <w:widowControl w:val="0"/>
      </w:pPr>
    </w:p>
    <w:p w14:paraId="6D2C1BA4" w14:textId="77777777" w:rsidR="008A2514" w:rsidRPr="00440C66" w:rsidRDefault="008A2514" w:rsidP="004C760F">
      <w:pPr>
        <w:widowControl w:val="0"/>
        <w:ind w:left="0" w:firstLine="0"/>
      </w:pPr>
    </w:p>
    <w:p w14:paraId="502D627B" w14:textId="445C6060" w:rsidR="008A2514" w:rsidRPr="003C72B4" w:rsidRDefault="008A2514" w:rsidP="004C760F">
      <w:pPr>
        <w:keepNext/>
        <w:widowControl w:val="0"/>
        <w:rPr>
          <w:b/>
        </w:rPr>
      </w:pPr>
      <w:r w:rsidRPr="003C72B4">
        <w:rPr>
          <w:b/>
        </w:rPr>
        <w:t>3.</w:t>
      </w:r>
      <w:r w:rsidRPr="003C72B4">
        <w:rPr>
          <w:b/>
        </w:rPr>
        <w:tab/>
      </w:r>
      <w:r w:rsidR="006B11B5" w:rsidRPr="003C72B4">
        <w:rPr>
          <w:b/>
        </w:rPr>
        <w:t xml:space="preserve">Jak stosować lek </w:t>
      </w:r>
      <w:r w:rsidR="003C72B4" w:rsidRPr="00FC35A4">
        <w:rPr>
          <w:b/>
        </w:rPr>
        <w:t>Vildagliptin/Metformin hydrochloride Accord</w:t>
      </w:r>
    </w:p>
    <w:p w14:paraId="7827E4EB" w14:textId="77777777" w:rsidR="008A2514" w:rsidRPr="003C72B4" w:rsidRDefault="008A2514" w:rsidP="004C760F">
      <w:pPr>
        <w:keepNext/>
        <w:widowControl w:val="0"/>
      </w:pPr>
    </w:p>
    <w:p w14:paraId="2D85FC37" w14:textId="7D42B6D3" w:rsidR="009312B7" w:rsidRPr="00440C66" w:rsidRDefault="009312B7" w:rsidP="004C760F">
      <w:pPr>
        <w:widowControl w:val="0"/>
        <w:ind w:left="0" w:firstLine="0"/>
      </w:pPr>
      <w:r w:rsidRPr="00440C66">
        <w:t xml:space="preserve">Dawka leku </w:t>
      </w:r>
      <w:r w:rsidR="003C72B4">
        <w:t>Vildagliptin/Metformin hydrochloride Accord</w:t>
      </w:r>
      <w:r w:rsidRPr="00440C66">
        <w:t xml:space="preserve"> różni się w zależności od stanu pacjenta. Lekarz ustali, jaką dawkę leku </w:t>
      </w:r>
      <w:r w:rsidR="003C72B4">
        <w:t>Vildagliptin/Metformin hydrochloride Accord</w:t>
      </w:r>
      <w:r w:rsidRPr="00440C66">
        <w:t xml:space="preserve"> należy przyjąć.</w:t>
      </w:r>
    </w:p>
    <w:p w14:paraId="082992BD" w14:textId="77777777" w:rsidR="009312B7" w:rsidRPr="00440C66" w:rsidRDefault="009312B7" w:rsidP="004C760F">
      <w:pPr>
        <w:widowControl w:val="0"/>
        <w:ind w:left="0" w:firstLine="0"/>
      </w:pPr>
    </w:p>
    <w:p w14:paraId="3DEF1E73" w14:textId="77777777" w:rsidR="008A2514" w:rsidRPr="00440C66" w:rsidRDefault="006B11B5" w:rsidP="004C760F">
      <w:pPr>
        <w:widowControl w:val="0"/>
        <w:ind w:left="0" w:firstLine="0"/>
      </w:pPr>
      <w:r w:rsidRPr="00440C66">
        <w:t>Ten lek</w:t>
      </w:r>
      <w:r w:rsidR="001059D3" w:rsidRPr="00440C66">
        <w:t xml:space="preserve"> n</w:t>
      </w:r>
      <w:r w:rsidR="008A2514" w:rsidRPr="00440C66">
        <w:t xml:space="preserve">ależy zawsze </w:t>
      </w:r>
      <w:r w:rsidR="00074A3B" w:rsidRPr="00440C66">
        <w:t>stosować</w:t>
      </w:r>
      <w:r w:rsidR="008A2514" w:rsidRPr="00440C66">
        <w:t xml:space="preserve"> </w:t>
      </w:r>
      <w:r w:rsidR="00B25277" w:rsidRPr="00440C66">
        <w:t>zgodnie z zaleceniami</w:t>
      </w:r>
      <w:r w:rsidR="008A2514" w:rsidRPr="00440C66">
        <w:t xml:space="preserve"> lekarza. W </w:t>
      </w:r>
      <w:r w:rsidR="001059D3" w:rsidRPr="00440C66">
        <w:t>razie</w:t>
      </w:r>
      <w:r w:rsidR="008A2514" w:rsidRPr="00440C66">
        <w:t xml:space="preserve"> wątpliwości należ</w:t>
      </w:r>
      <w:r w:rsidR="001059D3" w:rsidRPr="00440C66">
        <w:t>y</w:t>
      </w:r>
      <w:r w:rsidR="00B25277" w:rsidRPr="00440C66">
        <w:t xml:space="preserve"> </w:t>
      </w:r>
      <w:r w:rsidRPr="00440C66">
        <w:t>zwrócić się</w:t>
      </w:r>
      <w:r w:rsidR="008A2514" w:rsidRPr="00440C66">
        <w:t xml:space="preserve"> </w:t>
      </w:r>
      <w:r w:rsidRPr="00440C66">
        <w:t>do</w:t>
      </w:r>
      <w:r w:rsidR="008A2514" w:rsidRPr="00440C66">
        <w:t xml:space="preserve"> lekarz</w:t>
      </w:r>
      <w:r w:rsidRPr="00440C66">
        <w:t>a</w:t>
      </w:r>
      <w:r w:rsidR="008A2514" w:rsidRPr="00440C66">
        <w:t xml:space="preserve"> lub farmaceut</w:t>
      </w:r>
      <w:r w:rsidRPr="00440C66">
        <w:t>y</w:t>
      </w:r>
      <w:r w:rsidR="008A2514" w:rsidRPr="00440C66">
        <w:t>.</w:t>
      </w:r>
    </w:p>
    <w:p w14:paraId="196FE7B0" w14:textId="77777777" w:rsidR="008A2514" w:rsidRPr="00440C66" w:rsidRDefault="008A2514" w:rsidP="004C760F">
      <w:pPr>
        <w:widowControl w:val="0"/>
        <w:ind w:left="0" w:firstLine="0"/>
      </w:pPr>
    </w:p>
    <w:p w14:paraId="75181078" w14:textId="77777777" w:rsidR="009312B7" w:rsidRPr="00440C66" w:rsidRDefault="009312B7" w:rsidP="004C760F">
      <w:pPr>
        <w:pStyle w:val="Text"/>
        <w:spacing w:before="0"/>
        <w:jc w:val="left"/>
        <w:rPr>
          <w:sz w:val="22"/>
          <w:szCs w:val="22"/>
          <w:lang w:val="pl-PL"/>
        </w:rPr>
      </w:pPr>
      <w:r w:rsidRPr="00440C66">
        <w:rPr>
          <w:sz w:val="22"/>
          <w:szCs w:val="22"/>
          <w:lang w:val="pl-PL"/>
        </w:rPr>
        <w:t>Zalecana dawka to jedna tabletka powlekana 50 mg/850 mg lub 50 mg/1000 mg stosowana dwa razy na dobę.</w:t>
      </w:r>
    </w:p>
    <w:p w14:paraId="373CBB03" w14:textId="77777777" w:rsidR="009312B7" w:rsidRPr="00440C66" w:rsidRDefault="009312B7" w:rsidP="004C760F">
      <w:pPr>
        <w:pStyle w:val="Text"/>
        <w:spacing w:before="0"/>
        <w:jc w:val="left"/>
        <w:rPr>
          <w:sz w:val="22"/>
          <w:szCs w:val="22"/>
          <w:lang w:val="pl-PL"/>
        </w:rPr>
      </w:pPr>
    </w:p>
    <w:p w14:paraId="2FDF3FD4" w14:textId="77777777" w:rsidR="009312B7" w:rsidRPr="00440C66" w:rsidRDefault="009312B7" w:rsidP="004C760F">
      <w:pPr>
        <w:pStyle w:val="Text"/>
        <w:spacing w:before="0"/>
        <w:jc w:val="left"/>
        <w:rPr>
          <w:sz w:val="22"/>
          <w:szCs w:val="22"/>
          <w:lang w:val="pl-PL"/>
        </w:rPr>
      </w:pPr>
      <w:r w:rsidRPr="00440C66">
        <w:rPr>
          <w:sz w:val="22"/>
          <w:szCs w:val="22"/>
          <w:lang w:val="pl-PL"/>
        </w:rPr>
        <w:t>Jeśli pacjent</w:t>
      </w:r>
      <w:r w:rsidR="00EF1537">
        <w:rPr>
          <w:sz w:val="22"/>
          <w:szCs w:val="22"/>
          <w:lang w:val="pl-PL"/>
        </w:rPr>
        <w:t xml:space="preserve"> ma zaburzoną</w:t>
      </w:r>
      <w:r w:rsidRPr="00440C66">
        <w:rPr>
          <w:sz w:val="22"/>
          <w:szCs w:val="22"/>
          <w:lang w:val="pl-PL"/>
        </w:rPr>
        <w:t xml:space="preserve"> </w:t>
      </w:r>
      <w:r w:rsidR="00595FCC" w:rsidRPr="00595FCC">
        <w:rPr>
          <w:sz w:val="22"/>
          <w:szCs w:val="22"/>
          <w:lang w:val="pl-PL"/>
        </w:rPr>
        <w:t>czynność nerek</w:t>
      </w:r>
      <w:r w:rsidRPr="00440C66">
        <w:rPr>
          <w:sz w:val="22"/>
          <w:szCs w:val="22"/>
          <w:lang w:val="pl-PL"/>
        </w:rPr>
        <w:t>, lekarz może przepisać mniejszą dawkę. Jeśli pacjent przyjmuje lek przeciwcukrzycowy zwany sulfonylomocznikiem, lekarz może również przepisać mniejszą dawkę.</w:t>
      </w:r>
    </w:p>
    <w:p w14:paraId="22A06469" w14:textId="77777777" w:rsidR="009312B7" w:rsidRPr="00440C66" w:rsidRDefault="009312B7" w:rsidP="004C760F">
      <w:pPr>
        <w:pStyle w:val="Text"/>
        <w:spacing w:before="0"/>
        <w:jc w:val="left"/>
        <w:rPr>
          <w:sz w:val="22"/>
          <w:szCs w:val="22"/>
          <w:lang w:val="pl-PL"/>
        </w:rPr>
      </w:pPr>
    </w:p>
    <w:p w14:paraId="7E38D30D" w14:textId="77777777" w:rsidR="009312B7" w:rsidRPr="00440C66" w:rsidRDefault="009312B7" w:rsidP="004C760F">
      <w:pPr>
        <w:widowControl w:val="0"/>
        <w:ind w:left="0" w:firstLine="0"/>
        <w:rPr>
          <w:szCs w:val="22"/>
        </w:rPr>
      </w:pPr>
      <w:r w:rsidRPr="00440C66">
        <w:rPr>
          <w:szCs w:val="22"/>
        </w:rPr>
        <w:t>Lekarz może przepisać ten lek do stosowania pojedynczo (w monoterapii) lub z niektórymi innymi lekami, które zmniejszają stężenie cukru we krwi.</w:t>
      </w:r>
    </w:p>
    <w:p w14:paraId="6505A1CA" w14:textId="77777777" w:rsidR="009312B7" w:rsidRPr="00440C66" w:rsidRDefault="009312B7" w:rsidP="004C760F">
      <w:pPr>
        <w:widowControl w:val="0"/>
        <w:ind w:left="0" w:firstLine="0"/>
      </w:pPr>
    </w:p>
    <w:p w14:paraId="241CBD31" w14:textId="036CAA47" w:rsidR="00EE3E3C" w:rsidRPr="00440C66" w:rsidRDefault="00EE3E3C" w:rsidP="004C760F">
      <w:pPr>
        <w:keepNext/>
        <w:widowControl w:val="0"/>
        <w:ind w:left="0" w:firstLine="0"/>
        <w:rPr>
          <w:b/>
        </w:rPr>
      </w:pPr>
      <w:r w:rsidRPr="00440C66">
        <w:rPr>
          <w:b/>
        </w:rPr>
        <w:t xml:space="preserve">Kiedy i jak przyjmować lek </w:t>
      </w:r>
      <w:r w:rsidR="003C72B4">
        <w:rPr>
          <w:b/>
        </w:rPr>
        <w:t>Vildagliptin/Metformin hydrochloride Accord</w:t>
      </w:r>
    </w:p>
    <w:p w14:paraId="7D92CF79" w14:textId="77777777" w:rsidR="00EE3E3C" w:rsidRPr="00440C66" w:rsidRDefault="00EE3E3C" w:rsidP="004C760F">
      <w:pPr>
        <w:widowControl w:val="0"/>
        <w:ind w:left="540" w:hanging="540"/>
      </w:pPr>
      <w:r w:rsidRPr="00440C66">
        <w:t>-</w:t>
      </w:r>
      <w:r w:rsidRPr="00440C66">
        <w:tab/>
        <w:t>Tabletki należy połykać w całości popijając szklanką</w:t>
      </w:r>
      <w:r w:rsidR="00B25277" w:rsidRPr="00440C66">
        <w:t xml:space="preserve"> wody</w:t>
      </w:r>
      <w:r w:rsidR="007D7309" w:rsidRPr="00440C66">
        <w:t>.</w:t>
      </w:r>
    </w:p>
    <w:p w14:paraId="042E4A86" w14:textId="77777777" w:rsidR="00EE3E3C" w:rsidRPr="00440C66" w:rsidRDefault="00EE3E3C" w:rsidP="004C760F">
      <w:pPr>
        <w:widowControl w:val="0"/>
        <w:ind w:left="540" w:hanging="540"/>
      </w:pPr>
      <w:r w:rsidRPr="00440C66">
        <w:t>-</w:t>
      </w:r>
      <w:r w:rsidRPr="00440C66">
        <w:tab/>
        <w:t>Należy przyjmować jedną tabletkę rano i jedn</w:t>
      </w:r>
      <w:r w:rsidR="00636BBA" w:rsidRPr="00440C66">
        <w:t>ą</w:t>
      </w:r>
      <w:r w:rsidRPr="00440C66">
        <w:t xml:space="preserve"> wieczorem z posiłkiem lub tuż po posiłku. </w:t>
      </w:r>
      <w:r w:rsidR="006931FA" w:rsidRPr="00440C66">
        <w:t xml:space="preserve">Przyjmowanie tabletki zaraz po posiłku </w:t>
      </w:r>
      <w:r w:rsidRPr="00440C66">
        <w:t>pozwoli zmniejs</w:t>
      </w:r>
      <w:r w:rsidR="00E84B78" w:rsidRPr="00440C66">
        <w:t xml:space="preserve">zyć ryzyko zaburzeń </w:t>
      </w:r>
      <w:r w:rsidR="006931FA" w:rsidRPr="00440C66">
        <w:t>żołądkowych.</w:t>
      </w:r>
    </w:p>
    <w:p w14:paraId="7EEDAA01" w14:textId="77777777" w:rsidR="00EE3E3C" w:rsidRPr="00440C66" w:rsidRDefault="00EE3E3C" w:rsidP="004C760F">
      <w:pPr>
        <w:widowControl w:val="0"/>
        <w:ind w:left="0" w:firstLine="0"/>
      </w:pPr>
    </w:p>
    <w:p w14:paraId="7E9FD275" w14:textId="7ACD0F60" w:rsidR="00B00D14" w:rsidRPr="00440C66" w:rsidRDefault="007449D4" w:rsidP="004C760F">
      <w:pPr>
        <w:widowControl w:val="0"/>
        <w:ind w:left="0" w:firstLine="0"/>
      </w:pPr>
      <w:r w:rsidRPr="00440C66">
        <w:t>Należy nadal stosować się do wszelkich zaleceń lekarza dotyczących diety</w:t>
      </w:r>
      <w:r w:rsidR="00EC06F6" w:rsidRPr="00440C66">
        <w:t>.</w:t>
      </w:r>
      <w:r w:rsidRPr="00440C66">
        <w:t xml:space="preserve"> </w:t>
      </w:r>
      <w:r w:rsidR="00F87AED" w:rsidRPr="00440C66">
        <w:t xml:space="preserve">Stosowanie diety podczas przyjmowania leku </w:t>
      </w:r>
      <w:r w:rsidR="003C72B4">
        <w:t>Vildagliptin/Metformin hydrochloride Accord</w:t>
      </w:r>
      <w:r w:rsidR="00F87AED" w:rsidRPr="00440C66">
        <w:t xml:space="preserve"> jest szczególnie ważne</w:t>
      </w:r>
      <w:r w:rsidR="00D24E3E" w:rsidRPr="00440C66">
        <w:t>,</w:t>
      </w:r>
      <w:r w:rsidR="00F87AED" w:rsidRPr="00440C66">
        <w:t xml:space="preserve"> </w:t>
      </w:r>
      <w:r w:rsidR="00D24E3E" w:rsidRPr="00440C66">
        <w:t xml:space="preserve">gdy </w:t>
      </w:r>
      <w:r w:rsidR="00636BBA" w:rsidRPr="00440C66">
        <w:t xml:space="preserve">pacjent stosuje dietę </w:t>
      </w:r>
      <w:r w:rsidRPr="00440C66">
        <w:t>kontrol</w:t>
      </w:r>
      <w:r w:rsidR="00636BBA" w:rsidRPr="00440C66">
        <w:t>ującą</w:t>
      </w:r>
      <w:r w:rsidRPr="00440C66">
        <w:t xml:space="preserve"> masę ciała</w:t>
      </w:r>
      <w:r w:rsidR="00F87AED" w:rsidRPr="00440C66">
        <w:t>.</w:t>
      </w:r>
    </w:p>
    <w:p w14:paraId="5459DA7F" w14:textId="77777777" w:rsidR="00B00D14" w:rsidRPr="00440C66" w:rsidRDefault="00B00D14" w:rsidP="004C760F">
      <w:pPr>
        <w:widowControl w:val="0"/>
        <w:ind w:left="0" w:firstLine="0"/>
      </w:pPr>
    </w:p>
    <w:p w14:paraId="16202E0E" w14:textId="27D3CED0" w:rsidR="008A2514" w:rsidRPr="00440C66" w:rsidRDefault="00E84B78" w:rsidP="004C760F">
      <w:pPr>
        <w:keepNext/>
        <w:widowControl w:val="0"/>
        <w:ind w:left="0" w:firstLine="0"/>
        <w:rPr>
          <w:b/>
        </w:rPr>
      </w:pPr>
      <w:r w:rsidRPr="00440C66">
        <w:rPr>
          <w:b/>
        </w:rPr>
        <w:t>Za</w:t>
      </w:r>
      <w:r w:rsidR="001059D3" w:rsidRPr="00440C66">
        <w:rPr>
          <w:b/>
        </w:rPr>
        <w:t>stosowanie</w:t>
      </w:r>
      <w:r w:rsidR="008A2514" w:rsidRPr="00440C66">
        <w:rPr>
          <w:b/>
        </w:rPr>
        <w:t xml:space="preserve"> większej niż zalecana dawki leku </w:t>
      </w:r>
      <w:r w:rsidR="003C72B4">
        <w:rPr>
          <w:b/>
        </w:rPr>
        <w:t>Vildagliptin/Metformin hydrochloride Accord</w:t>
      </w:r>
    </w:p>
    <w:p w14:paraId="6B93827C" w14:textId="03B1BBA3" w:rsidR="008A2514" w:rsidRPr="00440C66" w:rsidRDefault="008A2514" w:rsidP="004C760F">
      <w:pPr>
        <w:widowControl w:val="0"/>
        <w:ind w:left="0" w:firstLine="0"/>
      </w:pPr>
      <w:r w:rsidRPr="00440C66">
        <w:t>W razie przypadkowego zażycia zbyt wielu tabletek</w:t>
      </w:r>
      <w:r w:rsidR="007F116C" w:rsidRPr="00440C66">
        <w:t xml:space="preserve"> leku </w:t>
      </w:r>
      <w:r w:rsidR="003C72B4">
        <w:t>Vildagliptin/Metformin hydrochloride Accord</w:t>
      </w:r>
      <w:r w:rsidR="00E84B78" w:rsidRPr="00440C66">
        <w:t xml:space="preserve"> lub jeśli ktoś inny zażył </w:t>
      </w:r>
      <w:r w:rsidR="00C40A79" w:rsidRPr="00440C66">
        <w:t xml:space="preserve">te </w:t>
      </w:r>
      <w:r w:rsidR="00E84B78" w:rsidRPr="00440C66">
        <w:t>tabletki</w:t>
      </w:r>
      <w:r w:rsidRPr="00440C66">
        <w:t xml:space="preserve">, </w:t>
      </w:r>
      <w:r w:rsidRPr="001C2341">
        <w:rPr>
          <w:b/>
        </w:rPr>
        <w:t xml:space="preserve">należy natychmiast </w:t>
      </w:r>
      <w:r w:rsidR="00636BBA" w:rsidRPr="001C2341">
        <w:rPr>
          <w:b/>
        </w:rPr>
        <w:t>poinformować</w:t>
      </w:r>
      <w:r w:rsidR="007F116C" w:rsidRPr="001C2341">
        <w:rPr>
          <w:b/>
        </w:rPr>
        <w:t xml:space="preserve"> o tym lekarza lub farmaceutę</w:t>
      </w:r>
      <w:r w:rsidR="007F116C" w:rsidRPr="00440C66">
        <w:t>.</w:t>
      </w:r>
      <w:r w:rsidRPr="00440C66">
        <w:rPr>
          <w:b/>
        </w:rPr>
        <w:t xml:space="preserve"> </w:t>
      </w:r>
      <w:r w:rsidRPr="00440C66">
        <w:t xml:space="preserve">Pacjent może wymagać opieki medycznej. </w:t>
      </w:r>
      <w:r w:rsidR="00E84B78" w:rsidRPr="00440C66">
        <w:t>Jeśli konieczne jest zgłoszenie się do lekarza lub szpitala, należy zabrać ze sobą opakowanie leku i ulotkę</w:t>
      </w:r>
      <w:r w:rsidRPr="00440C66">
        <w:t>.</w:t>
      </w:r>
    </w:p>
    <w:p w14:paraId="1501C01E" w14:textId="77777777" w:rsidR="008A2514" w:rsidRPr="00440C66" w:rsidRDefault="008A2514" w:rsidP="004C760F">
      <w:pPr>
        <w:widowControl w:val="0"/>
        <w:ind w:left="0" w:firstLine="0"/>
      </w:pPr>
    </w:p>
    <w:p w14:paraId="7F33F61E" w14:textId="547806EC" w:rsidR="008A2514" w:rsidRPr="00440C66" w:rsidRDefault="00E84B78" w:rsidP="004C760F">
      <w:pPr>
        <w:keepNext/>
        <w:widowControl w:val="0"/>
        <w:ind w:left="0" w:firstLine="0"/>
        <w:rPr>
          <w:b/>
        </w:rPr>
      </w:pPr>
      <w:r w:rsidRPr="00440C66">
        <w:rPr>
          <w:b/>
        </w:rPr>
        <w:t>Pominięcie za</w:t>
      </w:r>
      <w:r w:rsidR="001059D3" w:rsidRPr="00440C66">
        <w:rPr>
          <w:b/>
        </w:rPr>
        <w:t>stosowania</w:t>
      </w:r>
      <w:r w:rsidR="00EC03B3" w:rsidRPr="00440C66">
        <w:rPr>
          <w:b/>
        </w:rPr>
        <w:t xml:space="preserve"> leku </w:t>
      </w:r>
      <w:r w:rsidR="003C72B4">
        <w:rPr>
          <w:b/>
        </w:rPr>
        <w:t>Vildagliptin/Metformin hydrochloride Accord</w:t>
      </w:r>
    </w:p>
    <w:p w14:paraId="0775D816" w14:textId="0DE2B6A6" w:rsidR="008A2514" w:rsidRPr="00440C66" w:rsidRDefault="008A2514" w:rsidP="004C760F">
      <w:pPr>
        <w:widowControl w:val="0"/>
        <w:ind w:left="0" w:firstLine="0"/>
      </w:pPr>
      <w:r w:rsidRPr="00440C66">
        <w:t xml:space="preserve">Jeśli pacjent zapomni przyjąć </w:t>
      </w:r>
      <w:r w:rsidR="00EC03B3" w:rsidRPr="00440C66">
        <w:t>tabletkę, n</w:t>
      </w:r>
      <w:r w:rsidRPr="00440C66">
        <w:t xml:space="preserve">ależy </w:t>
      </w:r>
      <w:r w:rsidR="00EC03B3" w:rsidRPr="00440C66">
        <w:t>przyjąć ją podczas następnego posiłku, chyba, że</w:t>
      </w:r>
      <w:r w:rsidR="00844168" w:rsidRPr="00440C66">
        <w:t xml:space="preserve"> jest już </w:t>
      </w:r>
      <w:r w:rsidRPr="00440C66">
        <w:t xml:space="preserve">pora zażycia kolejnej </w:t>
      </w:r>
      <w:r w:rsidR="00EE32D4" w:rsidRPr="00440C66">
        <w:t>tabletki.</w:t>
      </w:r>
      <w:r w:rsidR="00A93DAD" w:rsidRPr="00440C66">
        <w:t xml:space="preserve"> </w:t>
      </w:r>
      <w:r w:rsidRPr="00440C66">
        <w:t xml:space="preserve">Nie należy stosować dawki podwójnej </w:t>
      </w:r>
      <w:r w:rsidR="00A93DAD" w:rsidRPr="00440C66">
        <w:t xml:space="preserve">(dwóch tabletek na raz) </w:t>
      </w:r>
      <w:r w:rsidR="00D9618C" w:rsidRPr="00440C66">
        <w:t>w</w:t>
      </w:r>
      <w:r w:rsidR="00D9618C">
        <w:t xml:space="preserve"> </w:t>
      </w:r>
      <w:r w:rsidR="00D9618C" w:rsidRPr="00440C66">
        <w:t>celu</w:t>
      </w:r>
      <w:r w:rsidRPr="00440C66">
        <w:t xml:space="preserve"> uzupełnienia pominiętej </w:t>
      </w:r>
      <w:r w:rsidR="00E84B78" w:rsidRPr="00440C66">
        <w:t>tabletki</w:t>
      </w:r>
      <w:r w:rsidRPr="00440C66">
        <w:t>.</w:t>
      </w:r>
    </w:p>
    <w:p w14:paraId="4EEF68C8" w14:textId="77777777" w:rsidR="008A2514" w:rsidRPr="00440C66" w:rsidRDefault="008A2514" w:rsidP="004C760F">
      <w:pPr>
        <w:widowControl w:val="0"/>
        <w:ind w:left="0" w:firstLine="0"/>
      </w:pPr>
    </w:p>
    <w:p w14:paraId="5193A19D" w14:textId="1BAE7A1B" w:rsidR="00F87AED" w:rsidRPr="00440C66" w:rsidRDefault="00F87AED" w:rsidP="004C760F">
      <w:pPr>
        <w:keepNext/>
        <w:widowControl w:val="0"/>
        <w:ind w:left="0" w:firstLine="0"/>
        <w:rPr>
          <w:b/>
        </w:rPr>
      </w:pPr>
      <w:r w:rsidRPr="00440C66">
        <w:rPr>
          <w:b/>
        </w:rPr>
        <w:t xml:space="preserve">Przerwanie stosowania leku </w:t>
      </w:r>
      <w:r w:rsidR="003C72B4">
        <w:rPr>
          <w:b/>
        </w:rPr>
        <w:t>Vildagliptin/Metformin hydrochloride Accord</w:t>
      </w:r>
    </w:p>
    <w:p w14:paraId="27ABDF86" w14:textId="01CA2A56" w:rsidR="00F87AED" w:rsidRPr="00440C66" w:rsidRDefault="00B349F4" w:rsidP="004C760F">
      <w:pPr>
        <w:widowControl w:val="0"/>
        <w:ind w:left="0" w:firstLine="0"/>
      </w:pPr>
      <w:r w:rsidRPr="00440C66">
        <w:t xml:space="preserve">W celu utrzymania kontroli stężenia cukru we krwi, lek należy przyjmować tak długo jak to zalecił lekarz. </w:t>
      </w:r>
      <w:r w:rsidR="00F87AED" w:rsidRPr="00440C66">
        <w:t xml:space="preserve">Nie należy przerywać stosowania leku </w:t>
      </w:r>
      <w:r w:rsidR="003C72B4">
        <w:t>Vildagliptin/Metformin hydrochloride Accord</w:t>
      </w:r>
      <w:r w:rsidR="00F87AED" w:rsidRPr="00440C66">
        <w:t xml:space="preserve"> bez </w:t>
      </w:r>
      <w:r w:rsidR="00F862FB" w:rsidRPr="00440C66">
        <w:t xml:space="preserve">zalecenia </w:t>
      </w:r>
      <w:r w:rsidR="00F87AED" w:rsidRPr="00440C66">
        <w:t>lekarza.</w:t>
      </w:r>
      <w:r w:rsidR="002E6CFA" w:rsidRPr="00440C66">
        <w:t xml:space="preserve"> </w:t>
      </w:r>
      <w:r w:rsidR="00F87AED" w:rsidRPr="00440C66">
        <w:t xml:space="preserve">W przypadku pytań, jak długo przyjmować lek </w:t>
      </w:r>
      <w:r w:rsidR="003C72B4">
        <w:t>Vildagliptin/Metformin hydrochloride Accord</w:t>
      </w:r>
      <w:r w:rsidR="00F87AED" w:rsidRPr="00440C66">
        <w:t>, należy zwrócić się do lekarza.</w:t>
      </w:r>
    </w:p>
    <w:p w14:paraId="07AAE935" w14:textId="77777777" w:rsidR="00F87AED" w:rsidRPr="00440C66" w:rsidRDefault="00F87AED" w:rsidP="004C760F">
      <w:pPr>
        <w:widowControl w:val="0"/>
        <w:ind w:left="0" w:firstLine="0"/>
      </w:pPr>
    </w:p>
    <w:p w14:paraId="42C13B58" w14:textId="77777777" w:rsidR="00A93DAD" w:rsidRPr="00440C66" w:rsidRDefault="00E84B78" w:rsidP="004C760F">
      <w:pPr>
        <w:widowControl w:val="0"/>
        <w:ind w:left="0" w:firstLine="0"/>
      </w:pPr>
      <w:r w:rsidRPr="00440C66">
        <w:t xml:space="preserve">W razie </w:t>
      </w:r>
      <w:r w:rsidR="001059D3" w:rsidRPr="00440C66">
        <w:t xml:space="preserve">jakichkolwiek dalszych </w:t>
      </w:r>
      <w:r w:rsidRPr="00440C66">
        <w:t xml:space="preserve">wątpliwości związanych ze stosowaniem </w:t>
      </w:r>
      <w:r w:rsidR="00517576" w:rsidRPr="00440C66">
        <w:t xml:space="preserve">tego </w:t>
      </w:r>
      <w:r w:rsidRPr="00440C66">
        <w:t>leku</w:t>
      </w:r>
      <w:r w:rsidR="004138DF" w:rsidRPr="00440C66">
        <w:t>,</w:t>
      </w:r>
      <w:r w:rsidR="00A93DAD" w:rsidRPr="00440C66">
        <w:t xml:space="preserve"> należy </w:t>
      </w:r>
      <w:r w:rsidR="00844168" w:rsidRPr="00440C66">
        <w:t>zwrócić</w:t>
      </w:r>
      <w:r w:rsidR="00A93DAD" w:rsidRPr="00440C66">
        <w:t xml:space="preserve"> się do lekarza</w:t>
      </w:r>
      <w:r w:rsidR="00517576" w:rsidRPr="00440C66">
        <w:t>,</w:t>
      </w:r>
      <w:r w:rsidR="00A93DAD" w:rsidRPr="00440C66">
        <w:t xml:space="preserve"> farmaceuty</w:t>
      </w:r>
      <w:r w:rsidR="00517576" w:rsidRPr="00440C66">
        <w:t xml:space="preserve"> lub pielęgniarki</w:t>
      </w:r>
      <w:r w:rsidR="00A93DAD" w:rsidRPr="00440C66">
        <w:t>.</w:t>
      </w:r>
    </w:p>
    <w:p w14:paraId="0A0E7571" w14:textId="77777777" w:rsidR="008A2514" w:rsidRPr="00440C66" w:rsidRDefault="008A2514" w:rsidP="004C760F">
      <w:pPr>
        <w:widowControl w:val="0"/>
      </w:pPr>
    </w:p>
    <w:p w14:paraId="67BC14B0" w14:textId="77777777" w:rsidR="00E84B78" w:rsidRPr="00440C66" w:rsidRDefault="00E84B78" w:rsidP="004C760F">
      <w:pPr>
        <w:widowControl w:val="0"/>
      </w:pPr>
    </w:p>
    <w:p w14:paraId="35729D53" w14:textId="77777777" w:rsidR="008A2514" w:rsidRPr="00440C66" w:rsidRDefault="008A2514" w:rsidP="004C760F">
      <w:pPr>
        <w:keepNext/>
        <w:widowControl w:val="0"/>
        <w:rPr>
          <w:b/>
        </w:rPr>
      </w:pPr>
      <w:r w:rsidRPr="00440C66">
        <w:rPr>
          <w:b/>
        </w:rPr>
        <w:t>4.</w:t>
      </w:r>
      <w:r w:rsidRPr="00440C66">
        <w:rPr>
          <w:b/>
        </w:rPr>
        <w:tab/>
      </w:r>
      <w:r w:rsidR="00517576" w:rsidRPr="00440C66">
        <w:rPr>
          <w:b/>
        </w:rPr>
        <w:t>Możliwe działania niepożądane</w:t>
      </w:r>
    </w:p>
    <w:p w14:paraId="090A3686" w14:textId="77777777" w:rsidR="008A2514" w:rsidRPr="00440C66" w:rsidRDefault="008A2514" w:rsidP="004C760F">
      <w:pPr>
        <w:keepNext/>
        <w:widowControl w:val="0"/>
        <w:rPr>
          <w:i/>
        </w:rPr>
      </w:pPr>
    </w:p>
    <w:p w14:paraId="67DA5D16" w14:textId="77777777" w:rsidR="008A2514" w:rsidRPr="00440C66" w:rsidRDefault="00A93DAD" w:rsidP="004C760F">
      <w:pPr>
        <w:widowControl w:val="0"/>
        <w:ind w:left="0" w:firstLine="0"/>
      </w:pPr>
      <w:r w:rsidRPr="00440C66">
        <w:t xml:space="preserve">Jak każdy lek, </w:t>
      </w:r>
      <w:r w:rsidR="009B1B44" w:rsidRPr="00440C66">
        <w:t xml:space="preserve">lek </w:t>
      </w:r>
      <w:r w:rsidR="00517576" w:rsidRPr="00440C66">
        <w:t>ten</w:t>
      </w:r>
      <w:r w:rsidRPr="00440C66">
        <w:t xml:space="preserve"> </w:t>
      </w:r>
      <w:r w:rsidR="008A2514" w:rsidRPr="00440C66">
        <w:t xml:space="preserve">może powodować działania niepożądane, </w:t>
      </w:r>
      <w:r w:rsidR="009B1B44" w:rsidRPr="00440C66">
        <w:t>chociaż</w:t>
      </w:r>
      <w:r w:rsidR="008A2514" w:rsidRPr="00440C66">
        <w:t xml:space="preserve"> nie </w:t>
      </w:r>
      <w:r w:rsidR="009B1B44" w:rsidRPr="00440C66">
        <w:t>u każdego one wystąpią</w:t>
      </w:r>
      <w:r w:rsidR="008A2514" w:rsidRPr="00440C66">
        <w:t>.</w:t>
      </w:r>
    </w:p>
    <w:p w14:paraId="3F320DDA" w14:textId="77777777" w:rsidR="00A93DAD" w:rsidRPr="00774EBD" w:rsidRDefault="00A93DAD" w:rsidP="004C760F">
      <w:pPr>
        <w:keepNext/>
        <w:widowControl w:val="0"/>
        <w:ind w:left="0" w:firstLine="0"/>
        <w:rPr>
          <w:bCs/>
        </w:rPr>
      </w:pPr>
    </w:p>
    <w:p w14:paraId="7E4A3D82" w14:textId="43C6E708" w:rsidR="00A93DAD" w:rsidRDefault="00A93DAD" w:rsidP="004C760F">
      <w:pPr>
        <w:keepNext/>
        <w:widowControl w:val="0"/>
        <w:ind w:left="0" w:firstLine="0"/>
      </w:pPr>
      <w:r w:rsidRPr="00440C66">
        <w:t xml:space="preserve">Należy </w:t>
      </w:r>
      <w:r w:rsidR="00B31508" w:rsidRPr="00440C66">
        <w:rPr>
          <w:b/>
          <w:bCs/>
        </w:rPr>
        <w:t xml:space="preserve">przerwać stosowanie leku </w:t>
      </w:r>
      <w:r w:rsidR="003C72B4">
        <w:rPr>
          <w:b/>
          <w:bCs/>
        </w:rPr>
        <w:t>Vildagliptin/Metformin hydrochloride Accord</w:t>
      </w:r>
      <w:r w:rsidR="00B31508" w:rsidRPr="00440C66">
        <w:rPr>
          <w:b/>
          <w:bCs/>
        </w:rPr>
        <w:t xml:space="preserve"> i </w:t>
      </w:r>
      <w:r w:rsidRPr="00440C66">
        <w:rPr>
          <w:b/>
          <w:bCs/>
        </w:rPr>
        <w:t>natychmiast zgłosić się do lekarza</w:t>
      </w:r>
      <w:r w:rsidRPr="00440C66">
        <w:t xml:space="preserve">, w razie </w:t>
      </w:r>
      <w:r w:rsidR="00F87AED" w:rsidRPr="00440C66">
        <w:t xml:space="preserve">wystąpienia </w:t>
      </w:r>
      <w:r w:rsidRPr="00440C66">
        <w:t xml:space="preserve">któregokolwiek z wymienionych niżej </w:t>
      </w:r>
      <w:r w:rsidR="00886574" w:rsidRPr="00440C66">
        <w:t>działań niepożądanych</w:t>
      </w:r>
      <w:r w:rsidR="00B31508" w:rsidRPr="00440C66">
        <w:t>:</w:t>
      </w:r>
    </w:p>
    <w:p w14:paraId="012691DA" w14:textId="3F590D42" w:rsidR="00C242D1" w:rsidRPr="00774EBD" w:rsidRDefault="00C242D1" w:rsidP="001C2341">
      <w:pPr>
        <w:widowControl w:val="0"/>
        <w:numPr>
          <w:ilvl w:val="0"/>
          <w:numId w:val="9"/>
        </w:numPr>
        <w:tabs>
          <w:tab w:val="clear" w:pos="720"/>
          <w:tab w:val="num" w:pos="567"/>
        </w:tabs>
        <w:ind w:left="567" w:hanging="567"/>
        <w:rPr>
          <w:bCs/>
        </w:rPr>
      </w:pPr>
      <w:r w:rsidRPr="00954256">
        <w:rPr>
          <w:b/>
        </w:rPr>
        <w:t>Kwasica mleczanowa</w:t>
      </w:r>
      <w:r>
        <w:rPr>
          <w:b/>
        </w:rPr>
        <w:t xml:space="preserve"> </w:t>
      </w:r>
      <w:r>
        <w:t xml:space="preserve">(bardzo rzadko: </w:t>
      </w:r>
      <w:r w:rsidRPr="008438A1">
        <w:t>może wystąpić u maksymalnie 1 na 10</w:t>
      </w:r>
      <w:r w:rsidR="00C8631C">
        <w:t> </w:t>
      </w:r>
      <w:r w:rsidRPr="008438A1">
        <w:t>000</w:t>
      </w:r>
      <w:r w:rsidR="00C8631C" w:rsidRPr="00C8631C">
        <w:t xml:space="preserve"> </w:t>
      </w:r>
      <w:r w:rsidR="00C8631C" w:rsidRPr="008438A1">
        <w:t>pacjent</w:t>
      </w:r>
      <w:r w:rsidR="00C8631C">
        <w:t>ów</w:t>
      </w:r>
      <w:r>
        <w:t>):</w:t>
      </w:r>
    </w:p>
    <w:p w14:paraId="3FB601C8" w14:textId="3B698638" w:rsidR="00C242D1" w:rsidRPr="00954256" w:rsidRDefault="00C27376" w:rsidP="00954256">
      <w:pPr>
        <w:widowControl w:val="0"/>
        <w:ind w:firstLine="0"/>
        <w:rPr>
          <w:b/>
        </w:rPr>
      </w:pPr>
      <w:r w:rsidRPr="00954256">
        <w:t xml:space="preserve">Lek </w:t>
      </w:r>
      <w:r w:rsidR="003C72B4">
        <w:t>Vildagliptin/Metformin hydrochloride Accord</w:t>
      </w:r>
      <w:r>
        <w:rPr>
          <w:b/>
        </w:rPr>
        <w:t xml:space="preserve"> </w:t>
      </w:r>
      <w:r>
        <w:t>może bardzo rzadk</w:t>
      </w:r>
      <w:r w:rsidR="00EF1537">
        <w:t xml:space="preserve">o powodować wystąpienie </w:t>
      </w:r>
      <w:r w:rsidRPr="008438A1">
        <w:t xml:space="preserve">bardzo </w:t>
      </w:r>
      <w:r>
        <w:t xml:space="preserve">ciężkiego działania niepożądanego, </w:t>
      </w:r>
      <w:r w:rsidRPr="008438A1">
        <w:t>określan</w:t>
      </w:r>
      <w:r>
        <w:t>ego</w:t>
      </w:r>
      <w:r w:rsidRPr="008438A1">
        <w:t xml:space="preserve"> jako kwasica mleczanowa (patrz punkt „Ostrzeżenia i środki ostrożności”). Jeżeli wystąpi </w:t>
      </w:r>
      <w:r>
        <w:t xml:space="preserve">ona </w:t>
      </w:r>
      <w:r w:rsidRPr="008438A1">
        <w:t>u pacjenta, należy</w:t>
      </w:r>
      <w:r w:rsidRPr="008438A1">
        <w:rPr>
          <w:b/>
          <w:bCs/>
        </w:rPr>
        <w:t xml:space="preserve"> przerwać pr</w:t>
      </w:r>
      <w:r>
        <w:rPr>
          <w:b/>
          <w:bCs/>
        </w:rPr>
        <w:t xml:space="preserve">zyjmowanie leku </w:t>
      </w:r>
      <w:r w:rsidR="003C72B4">
        <w:rPr>
          <w:b/>
          <w:bCs/>
        </w:rPr>
        <w:t>Vildagliptin/Metformin hydrochloride Accord</w:t>
      </w:r>
      <w:r w:rsidRPr="008438A1">
        <w:rPr>
          <w:b/>
          <w:bCs/>
        </w:rPr>
        <w:t xml:space="preserve"> i</w:t>
      </w:r>
      <w:r w:rsidR="00A21B39">
        <w:rPr>
          <w:b/>
          <w:bCs/>
        </w:rPr>
        <w:t> </w:t>
      </w:r>
      <w:r w:rsidRPr="008438A1">
        <w:rPr>
          <w:b/>
          <w:bCs/>
        </w:rPr>
        <w:t xml:space="preserve">natychmiast </w:t>
      </w:r>
      <w:r>
        <w:rPr>
          <w:b/>
          <w:bCs/>
        </w:rPr>
        <w:t xml:space="preserve">skontaktować </w:t>
      </w:r>
      <w:r w:rsidRPr="008438A1">
        <w:rPr>
          <w:b/>
          <w:bCs/>
        </w:rPr>
        <w:t>się z lekarzem lub najbliższym szpitalem</w:t>
      </w:r>
      <w:r w:rsidRPr="008438A1">
        <w:t xml:space="preserve">, </w:t>
      </w:r>
      <w:r>
        <w:t xml:space="preserve">gdyż </w:t>
      </w:r>
      <w:r w:rsidRPr="008438A1">
        <w:t>kwasica mleczanowa może doprowadzić do śpiączki.</w:t>
      </w:r>
    </w:p>
    <w:p w14:paraId="446F283A" w14:textId="77777777" w:rsidR="00324F20" w:rsidRPr="00440C66" w:rsidRDefault="00F01CA6" w:rsidP="001C2341">
      <w:pPr>
        <w:widowControl w:val="0"/>
        <w:numPr>
          <w:ilvl w:val="0"/>
          <w:numId w:val="9"/>
        </w:numPr>
        <w:tabs>
          <w:tab w:val="clear" w:pos="720"/>
          <w:tab w:val="num" w:pos="567"/>
        </w:tabs>
        <w:ind w:left="567" w:hanging="567"/>
      </w:pPr>
      <w:r w:rsidRPr="00440C66">
        <w:t>Obrzęk naczynioruchowy (rzadko</w:t>
      </w:r>
      <w:r w:rsidR="00F518DF" w:rsidRPr="00440C66">
        <w:t xml:space="preserve">: </w:t>
      </w:r>
      <w:r w:rsidR="00F518DF" w:rsidRPr="00440C66">
        <w:rPr>
          <w:rFonts w:eastAsia="SimSun"/>
          <w:color w:val="000000"/>
          <w:szCs w:val="22"/>
          <w:lang w:eastAsia="zh-CN"/>
        </w:rPr>
        <w:t>może wystąpić maksymalnie u 1 na 1 000 pacjentów</w:t>
      </w:r>
      <w:r w:rsidRPr="00440C66">
        <w:t xml:space="preserve">): Do objawów należą </w:t>
      </w:r>
      <w:r w:rsidR="00A93DAD" w:rsidRPr="00440C66">
        <w:t>obrzęk twarzy, języka lub gardła</w:t>
      </w:r>
      <w:r w:rsidR="00324F20" w:rsidRPr="00440C66">
        <w:t xml:space="preserve">, </w:t>
      </w:r>
      <w:r w:rsidR="00A93DAD" w:rsidRPr="00440C66">
        <w:t>trudności w przełykaniu</w:t>
      </w:r>
      <w:r w:rsidR="00324F20" w:rsidRPr="00440C66">
        <w:t xml:space="preserve">, </w:t>
      </w:r>
      <w:r w:rsidR="001908EE" w:rsidRPr="00440C66">
        <w:t>trudności w</w:t>
      </w:r>
      <w:r w:rsidR="00A93DAD" w:rsidRPr="00440C66">
        <w:t xml:space="preserve"> </w:t>
      </w:r>
      <w:r w:rsidR="00A93DAD" w:rsidRPr="00440C66">
        <w:lastRenderedPageBreak/>
        <w:t>oddychaniu</w:t>
      </w:r>
      <w:r w:rsidR="00324F20" w:rsidRPr="00440C66">
        <w:t xml:space="preserve">, </w:t>
      </w:r>
      <w:r w:rsidR="00A93DAD" w:rsidRPr="00440C66">
        <w:t>nagłe pojawienie się wysypki lub pokrzywki.</w:t>
      </w:r>
      <w:r w:rsidR="00324F20" w:rsidRPr="00440C66">
        <w:t xml:space="preserve"> Mogą one wskazywać na reakcję zwaną „obrzękiem naczynioruchowym”.</w:t>
      </w:r>
    </w:p>
    <w:p w14:paraId="776724D0" w14:textId="022BF427" w:rsidR="00324F20" w:rsidRPr="00440C66" w:rsidRDefault="00F01CA6" w:rsidP="001C2341">
      <w:pPr>
        <w:widowControl w:val="0"/>
        <w:numPr>
          <w:ilvl w:val="0"/>
          <w:numId w:val="9"/>
        </w:numPr>
        <w:tabs>
          <w:tab w:val="clear" w:pos="720"/>
          <w:tab w:val="num" w:pos="567"/>
        </w:tabs>
        <w:ind w:left="567" w:hanging="567"/>
      </w:pPr>
      <w:r w:rsidRPr="00440C66">
        <w:t>Choroba wątroby (zapalenie wątroby) (</w:t>
      </w:r>
      <w:r w:rsidR="00C8631C">
        <w:t xml:space="preserve">niezbyt często: </w:t>
      </w:r>
      <w:r w:rsidR="00C8631C" w:rsidRPr="00440C66">
        <w:rPr>
          <w:rFonts w:eastAsia="SimSun"/>
          <w:color w:val="000000"/>
          <w:szCs w:val="22"/>
          <w:lang w:eastAsia="zh-CN"/>
        </w:rPr>
        <w:t>może wystąpić maksymalnie u</w:t>
      </w:r>
      <w:r w:rsidR="00C8631C">
        <w:rPr>
          <w:rFonts w:eastAsia="SimSun"/>
          <w:color w:val="000000"/>
          <w:szCs w:val="22"/>
          <w:lang w:eastAsia="zh-CN"/>
        </w:rPr>
        <w:t xml:space="preserve"> </w:t>
      </w:r>
      <w:r w:rsidR="00C8631C" w:rsidRPr="00440C66">
        <w:rPr>
          <w:rFonts w:eastAsia="SimSun"/>
          <w:color w:val="000000"/>
          <w:szCs w:val="22"/>
          <w:lang w:eastAsia="zh-CN"/>
        </w:rPr>
        <w:t>1 na 10</w:t>
      </w:r>
      <w:r w:rsidR="00C8631C">
        <w:rPr>
          <w:rFonts w:eastAsia="SimSun"/>
          <w:color w:val="000000"/>
          <w:szCs w:val="22"/>
          <w:lang w:eastAsia="zh-CN"/>
        </w:rPr>
        <w:t xml:space="preserve">0 </w:t>
      </w:r>
      <w:r w:rsidR="00C8631C" w:rsidRPr="00440C66">
        <w:rPr>
          <w:rFonts w:eastAsia="SimSun"/>
          <w:color w:val="000000"/>
          <w:szCs w:val="22"/>
          <w:lang w:eastAsia="zh-CN"/>
        </w:rPr>
        <w:t>pacjentów</w:t>
      </w:r>
      <w:r w:rsidR="00197917" w:rsidRPr="00C8631C">
        <w:t>): Do objawów należą</w:t>
      </w:r>
      <w:r w:rsidRPr="00C8631C">
        <w:t xml:space="preserve"> </w:t>
      </w:r>
      <w:r w:rsidR="00324F20" w:rsidRPr="00C8631C">
        <w:t>zażółcenie skóry i</w:t>
      </w:r>
      <w:r w:rsidR="00A21B39" w:rsidRPr="00C8631C">
        <w:t> </w:t>
      </w:r>
      <w:r w:rsidR="00324F20" w:rsidRPr="00C8631C">
        <w:t xml:space="preserve">białkówek oczu, nudności, utrata apetytu lub ciemno zabarwiony mocz. </w:t>
      </w:r>
      <w:r w:rsidR="00324F20" w:rsidRPr="00440C66">
        <w:t>Mogą one wskazywać na chorobę wątroby (zapalenie wątroby).</w:t>
      </w:r>
    </w:p>
    <w:p w14:paraId="4AFC4768" w14:textId="6B422899" w:rsidR="00A93FFC" w:rsidRPr="00440C66" w:rsidRDefault="00A93FFC" w:rsidP="001C2341">
      <w:pPr>
        <w:widowControl w:val="0"/>
        <w:numPr>
          <w:ilvl w:val="0"/>
          <w:numId w:val="9"/>
        </w:numPr>
        <w:tabs>
          <w:tab w:val="clear" w:pos="720"/>
          <w:tab w:val="num" w:pos="567"/>
        </w:tabs>
        <w:ind w:left="567" w:hanging="567"/>
      </w:pPr>
      <w:r w:rsidRPr="00440C66">
        <w:t>Zapalenie trzustki (</w:t>
      </w:r>
      <w:r w:rsidR="00C8631C">
        <w:t xml:space="preserve">niezbyt często: </w:t>
      </w:r>
      <w:r w:rsidR="00C8631C" w:rsidRPr="00440C66">
        <w:rPr>
          <w:rFonts w:eastAsia="SimSun"/>
          <w:color w:val="000000"/>
          <w:szCs w:val="22"/>
          <w:lang w:eastAsia="zh-CN"/>
        </w:rPr>
        <w:t>może wystąpić maksymalnie u</w:t>
      </w:r>
      <w:r w:rsidR="00C8631C">
        <w:rPr>
          <w:rFonts w:eastAsia="SimSun"/>
          <w:color w:val="000000"/>
          <w:szCs w:val="22"/>
          <w:lang w:eastAsia="zh-CN"/>
        </w:rPr>
        <w:t xml:space="preserve"> </w:t>
      </w:r>
      <w:r w:rsidR="00C8631C" w:rsidRPr="00440C66">
        <w:rPr>
          <w:rFonts w:eastAsia="SimSun"/>
          <w:color w:val="000000"/>
          <w:szCs w:val="22"/>
          <w:lang w:eastAsia="zh-CN"/>
        </w:rPr>
        <w:t>1 na 10</w:t>
      </w:r>
      <w:r w:rsidR="00C8631C">
        <w:rPr>
          <w:rFonts w:eastAsia="SimSun"/>
          <w:color w:val="000000"/>
          <w:szCs w:val="22"/>
          <w:lang w:eastAsia="zh-CN"/>
        </w:rPr>
        <w:t xml:space="preserve">0 </w:t>
      </w:r>
      <w:r w:rsidR="00C8631C" w:rsidRPr="00440C66">
        <w:rPr>
          <w:rFonts w:eastAsia="SimSun"/>
          <w:color w:val="000000"/>
          <w:szCs w:val="22"/>
          <w:lang w:eastAsia="zh-CN"/>
        </w:rPr>
        <w:t>pacjentów</w:t>
      </w:r>
      <w:r w:rsidRPr="00440C66">
        <w:t>): Objawy obejmują silny i uporczywy</w:t>
      </w:r>
      <w:r w:rsidR="003768DF" w:rsidRPr="00440C66">
        <w:t xml:space="preserve"> ból</w:t>
      </w:r>
      <w:r w:rsidRPr="00440C66">
        <w:t xml:space="preserve"> brzucha (okolice żołądka), który może </w:t>
      </w:r>
      <w:r w:rsidR="003768DF" w:rsidRPr="00440C66">
        <w:t>promieniować do</w:t>
      </w:r>
      <w:r w:rsidRPr="00440C66">
        <w:t xml:space="preserve"> pleców, a także nudności i wymioty.</w:t>
      </w:r>
    </w:p>
    <w:p w14:paraId="4B4C46C2" w14:textId="77777777" w:rsidR="00A93DAD" w:rsidRPr="00440C66" w:rsidRDefault="00A93DAD" w:rsidP="004C760F">
      <w:pPr>
        <w:widowControl w:val="0"/>
        <w:ind w:left="0" w:firstLine="0"/>
      </w:pPr>
    </w:p>
    <w:p w14:paraId="4843627C" w14:textId="77777777" w:rsidR="002A1D77" w:rsidRPr="00440C66" w:rsidRDefault="002A1D77" w:rsidP="004C760F">
      <w:pPr>
        <w:keepNext/>
        <w:widowControl w:val="0"/>
        <w:ind w:left="0" w:firstLine="0"/>
        <w:rPr>
          <w:b/>
        </w:rPr>
      </w:pPr>
      <w:r w:rsidRPr="00440C66">
        <w:rPr>
          <w:b/>
        </w:rPr>
        <w:t>Inne działania niepożądane</w:t>
      </w:r>
    </w:p>
    <w:p w14:paraId="5C25F900" w14:textId="5A4EF0FA" w:rsidR="002A1D77" w:rsidRPr="00440C66" w:rsidRDefault="002A1D77" w:rsidP="004C760F">
      <w:pPr>
        <w:keepNext/>
        <w:widowControl w:val="0"/>
        <w:ind w:left="0" w:firstLine="0"/>
      </w:pPr>
      <w:r w:rsidRPr="00440C66">
        <w:t xml:space="preserve">U niektórych pacjentów podczas przyjmowania leku </w:t>
      </w:r>
      <w:r w:rsidR="003C72B4">
        <w:t>Vildagliptin/Metformin hydrochloride Accord</w:t>
      </w:r>
      <w:r w:rsidRPr="00440C66">
        <w:t xml:space="preserve"> wystąpiły wymienione niżej działania niepożądane:</w:t>
      </w:r>
    </w:p>
    <w:p w14:paraId="024E6D4A" w14:textId="6C62120C" w:rsidR="002A1D77" w:rsidRPr="00440C66" w:rsidRDefault="002A1D77" w:rsidP="001C2341">
      <w:pPr>
        <w:widowControl w:val="0"/>
        <w:numPr>
          <w:ilvl w:val="0"/>
          <w:numId w:val="9"/>
        </w:numPr>
        <w:tabs>
          <w:tab w:val="clear" w:pos="720"/>
          <w:tab w:val="num" w:pos="567"/>
        </w:tabs>
        <w:ind w:left="567" w:hanging="567"/>
      </w:pPr>
      <w:r w:rsidRPr="00440C66">
        <w:t>Często (</w:t>
      </w:r>
      <w:r w:rsidR="00CB6B96" w:rsidRPr="00440C66">
        <w:rPr>
          <w:rFonts w:eastAsia="SimSun"/>
          <w:color w:val="000000"/>
          <w:szCs w:val="22"/>
          <w:lang w:eastAsia="zh-CN"/>
        </w:rPr>
        <w:t>mogą wystąpić</w:t>
      </w:r>
      <w:r w:rsidRPr="00440C66">
        <w:rPr>
          <w:rFonts w:eastAsia="SimSun"/>
          <w:color w:val="000000"/>
          <w:szCs w:val="22"/>
          <w:lang w:eastAsia="zh-CN"/>
        </w:rPr>
        <w:t xml:space="preserve"> maksymalnie</w:t>
      </w:r>
      <w:r w:rsidR="00CB6B96" w:rsidRPr="00440C66">
        <w:rPr>
          <w:rFonts w:eastAsia="SimSun"/>
          <w:color w:val="000000"/>
          <w:szCs w:val="22"/>
          <w:lang w:eastAsia="zh-CN"/>
        </w:rPr>
        <w:t xml:space="preserve"> u</w:t>
      </w:r>
      <w:r w:rsidRPr="00440C66">
        <w:rPr>
          <w:rFonts w:eastAsia="SimSun"/>
          <w:color w:val="000000"/>
          <w:szCs w:val="22"/>
          <w:lang w:eastAsia="zh-CN"/>
        </w:rPr>
        <w:t xml:space="preserve"> 1 na 10 pacjentów)</w:t>
      </w:r>
      <w:r w:rsidRPr="00440C66">
        <w:t xml:space="preserve">: </w:t>
      </w:r>
      <w:r w:rsidR="00B82C01">
        <w:t xml:space="preserve">ból gardła, katar, gorączka, swędząca wysypka, nadmierne pocenie się, ból stawów, </w:t>
      </w:r>
      <w:r w:rsidRPr="00440C66">
        <w:t>zawroty głowy, ból głowy, niekontrolowane drżenie,</w:t>
      </w:r>
      <w:r w:rsidR="00B82C01">
        <w:t xml:space="preserve"> zaparcie, </w:t>
      </w:r>
      <w:r w:rsidR="00C8631C" w:rsidRPr="00440C66">
        <w:t xml:space="preserve">nudności, wymioty, biegunka, </w:t>
      </w:r>
      <w:r w:rsidR="00B82C01">
        <w:t xml:space="preserve">wzdęcia, zgaga, </w:t>
      </w:r>
      <w:r w:rsidR="00C8631C" w:rsidRPr="00440C66">
        <w:t>ból żołądka lub w okolicy żołądka (ból</w:t>
      </w:r>
      <w:r w:rsidR="00C8631C" w:rsidRPr="00440C66">
        <w:rPr>
          <w:b/>
        </w:rPr>
        <w:t xml:space="preserve"> </w:t>
      </w:r>
      <w:r w:rsidR="00C8631C" w:rsidRPr="00440C66">
        <w:t>brzucha).</w:t>
      </w:r>
    </w:p>
    <w:p w14:paraId="4D9E31A8" w14:textId="2ED21BE7" w:rsidR="00A81D18" w:rsidRPr="00440C66" w:rsidRDefault="002A1D77" w:rsidP="00D85A87">
      <w:pPr>
        <w:widowControl w:val="0"/>
        <w:numPr>
          <w:ilvl w:val="0"/>
          <w:numId w:val="9"/>
        </w:numPr>
        <w:tabs>
          <w:tab w:val="clear" w:pos="720"/>
          <w:tab w:val="num" w:pos="567"/>
        </w:tabs>
        <w:ind w:left="567" w:hanging="567"/>
      </w:pPr>
      <w:r w:rsidRPr="00440C66">
        <w:t>Niezbyt często (</w:t>
      </w:r>
      <w:r w:rsidR="00CB6B96" w:rsidRPr="0019683F">
        <w:t xml:space="preserve">mogą wystąpić </w:t>
      </w:r>
      <w:r w:rsidRPr="0019683F">
        <w:t xml:space="preserve">maksymalnie </w:t>
      </w:r>
      <w:r w:rsidR="00CB6B96" w:rsidRPr="0019683F">
        <w:t xml:space="preserve">u </w:t>
      </w:r>
      <w:r w:rsidRPr="0019683F">
        <w:t>1 na 100 pacjentów)</w:t>
      </w:r>
      <w:r w:rsidRPr="00440C66">
        <w:t xml:space="preserve">: zmęczenie, </w:t>
      </w:r>
      <w:r w:rsidR="00A81D18" w:rsidRPr="00A81D18">
        <w:t>osłabienie, metaliczny posmak w ustach, małe stężenie glukozy we krwi, utrata apetytu, o</w:t>
      </w:r>
      <w:r w:rsidR="00A81D18">
        <w:t>puchnięcie</w:t>
      </w:r>
      <w:r w:rsidR="00A81D18" w:rsidRPr="00A81D18">
        <w:t xml:space="preserve"> dłoni, kostek lub stóp (obrzęk), dreszcze, zapalenie trzustki, ból mięś</w:t>
      </w:r>
      <w:r w:rsidR="00A81D18">
        <w:t>ni.</w:t>
      </w:r>
    </w:p>
    <w:p w14:paraId="01A28ACD" w14:textId="4D8530BA" w:rsidR="002A1D77" w:rsidRPr="00440C66" w:rsidRDefault="002A1D77" w:rsidP="00D85A87">
      <w:pPr>
        <w:widowControl w:val="0"/>
        <w:numPr>
          <w:ilvl w:val="0"/>
          <w:numId w:val="9"/>
        </w:numPr>
        <w:tabs>
          <w:tab w:val="clear" w:pos="720"/>
          <w:tab w:val="num" w:pos="567"/>
        </w:tabs>
        <w:ind w:left="567" w:hanging="567"/>
      </w:pPr>
      <w:r w:rsidRPr="00440C66">
        <w:t>Bardzo rzadko (</w:t>
      </w:r>
      <w:r w:rsidR="00CB6B96" w:rsidRPr="0019683F">
        <w:t>mogą wystąpić</w:t>
      </w:r>
      <w:r w:rsidRPr="0019683F">
        <w:t xml:space="preserve"> maksymalnie</w:t>
      </w:r>
      <w:r w:rsidR="00CB6B96" w:rsidRPr="0019683F">
        <w:t xml:space="preserve"> u</w:t>
      </w:r>
      <w:r w:rsidRPr="0019683F">
        <w:t xml:space="preserve"> 1 na 10 000 pacjentów)</w:t>
      </w:r>
      <w:r w:rsidRPr="00440C66">
        <w:t>: objawy dużego stężenia kwasu mlekowego we krwi (zwane kwasicą mleczanową) takie jak senność lub zawroty głowy, ciężkie nudności lub wymioty, ból brzucha, nieregularne bicie serca lub pogłębiony, przyspieszony oddech; zaczerwienienie skóry, swędzenie; zmniejszone stężenie witaminy B12 (bladość, zmęczenie, objawy psychiczne, takie jak stany splątania lub zaburzenia pamięci).</w:t>
      </w:r>
    </w:p>
    <w:p w14:paraId="1F655CE1" w14:textId="77777777" w:rsidR="00486A9C" w:rsidRPr="00440C66" w:rsidRDefault="00486A9C" w:rsidP="004C760F">
      <w:pPr>
        <w:widowControl w:val="0"/>
      </w:pPr>
    </w:p>
    <w:p w14:paraId="0EA8DB43" w14:textId="77777777" w:rsidR="00EC21B4" w:rsidRPr="00440C66" w:rsidRDefault="00EC21B4" w:rsidP="004C760F">
      <w:pPr>
        <w:keepNext/>
        <w:widowControl w:val="0"/>
        <w:ind w:left="0" w:firstLine="0"/>
      </w:pPr>
      <w:r w:rsidRPr="00440C66">
        <w:t>Po wprowadzeniu tego leku do obrotu, zgłaszano również występowanie następujących działań niepożądanych:</w:t>
      </w:r>
    </w:p>
    <w:p w14:paraId="29C5E3AC" w14:textId="7FA15FC7" w:rsidR="00157FB1" w:rsidRDefault="00157FB1" w:rsidP="00B45953">
      <w:pPr>
        <w:widowControl w:val="0"/>
        <w:numPr>
          <w:ilvl w:val="0"/>
          <w:numId w:val="9"/>
        </w:numPr>
        <w:tabs>
          <w:tab w:val="clear" w:pos="720"/>
          <w:tab w:val="num" w:pos="567"/>
        </w:tabs>
        <w:ind w:left="567" w:hanging="567"/>
      </w:pPr>
      <w:r w:rsidRPr="00440C66">
        <w:t>Częstość występowania nieznana (częstość nie może być określona na podstawie dostępnych danych): miejscowe łuszczenie skóry lub powstawanie pęcherzy</w:t>
      </w:r>
      <w:r>
        <w:t>,</w:t>
      </w:r>
      <w:r w:rsidRPr="00C4375C">
        <w:t xml:space="preserve"> </w:t>
      </w:r>
      <w:r w:rsidRPr="00A81D18">
        <w:t>zapalenie naczyń krwionośnych (vasculitis), które może powodować wysypkę skórną lub spiczaste, płaskie, czerwone, okrągłe plamy pod powierzchnią skóry lub siniaki</w:t>
      </w:r>
      <w:r>
        <w:t>.</w:t>
      </w:r>
    </w:p>
    <w:p w14:paraId="17137166" w14:textId="77777777" w:rsidR="008A2514" w:rsidRPr="00440C66" w:rsidRDefault="008A2514" w:rsidP="004C760F">
      <w:pPr>
        <w:widowControl w:val="0"/>
      </w:pPr>
    </w:p>
    <w:p w14:paraId="5FF21DC2" w14:textId="77777777" w:rsidR="00F518DF" w:rsidRPr="00440C66" w:rsidRDefault="00F518DF" w:rsidP="004C760F">
      <w:pPr>
        <w:keepNext/>
        <w:widowControl w:val="0"/>
        <w:rPr>
          <w:b/>
          <w:noProof/>
          <w:szCs w:val="22"/>
        </w:rPr>
      </w:pPr>
      <w:r w:rsidRPr="00440C66">
        <w:rPr>
          <w:b/>
          <w:noProof/>
          <w:szCs w:val="22"/>
        </w:rPr>
        <w:t>Zgłaszanie działań niepożądanych</w:t>
      </w:r>
    </w:p>
    <w:p w14:paraId="666C9528" w14:textId="77777777" w:rsidR="008A2514" w:rsidRPr="00440C66" w:rsidRDefault="00F518DF" w:rsidP="004C760F">
      <w:pPr>
        <w:widowControl w:val="0"/>
        <w:ind w:left="0" w:firstLine="0"/>
        <w:rPr>
          <w:noProof/>
          <w:szCs w:val="22"/>
        </w:rPr>
      </w:pPr>
      <w:r w:rsidRPr="00440C66">
        <w:rPr>
          <w:noProof/>
          <w:szCs w:val="22"/>
        </w:rPr>
        <w:t xml:space="preserve">Jeśli wystąpią jakiekolwiek objawy niepożądane, w tym wszelkie objawy niepożądane niewymienione w </w:t>
      </w:r>
      <w:r w:rsidR="00177A97">
        <w:rPr>
          <w:noProof/>
          <w:szCs w:val="22"/>
        </w:rPr>
        <w:t xml:space="preserve">tej </w:t>
      </w:r>
      <w:r w:rsidRPr="00440C66">
        <w:rPr>
          <w:noProof/>
          <w:szCs w:val="22"/>
        </w:rPr>
        <w:t>ulotce, należy powiedzieć o tym lekarzowi, farmaceucie lub pielęgniarce. Działania niepożądane można zgłaszać bezpośrednio</w:t>
      </w:r>
      <w:r w:rsidRPr="00440C66">
        <w:rPr>
          <w:szCs w:val="22"/>
        </w:rPr>
        <w:t xml:space="preserve"> </w:t>
      </w:r>
      <w:r w:rsidRPr="001C2341">
        <w:rPr>
          <w:szCs w:val="22"/>
        </w:rPr>
        <w:t xml:space="preserve">do </w:t>
      </w:r>
      <w:r w:rsidRPr="00440C66">
        <w:rPr>
          <w:szCs w:val="22"/>
          <w:shd w:val="pct15" w:color="auto" w:fill="auto"/>
        </w:rPr>
        <w:t xml:space="preserve">„krajowego systemu zgłaszania” wymienionego w </w:t>
      </w:r>
      <w:hyperlink r:id="rId13" w:history="1">
        <w:r w:rsidRPr="00440C66">
          <w:rPr>
            <w:rStyle w:val="Hyperlink"/>
            <w:shd w:val="pct15" w:color="auto" w:fill="auto"/>
          </w:rPr>
          <w:t>załączniku V</w:t>
        </w:r>
      </w:hyperlink>
      <w:r w:rsidRPr="00440C66">
        <w:rPr>
          <w:noProof/>
          <w:szCs w:val="22"/>
        </w:rPr>
        <w:t>. Dzięki zgłaszaniu działań niepożądanych można będzie zgromadzić więcej informacji na temat bezpieczeństwa stosowania leku.</w:t>
      </w:r>
    </w:p>
    <w:p w14:paraId="6EA31F22" w14:textId="77777777" w:rsidR="00F518DF" w:rsidRPr="00440C66" w:rsidRDefault="00F518DF" w:rsidP="004C760F">
      <w:pPr>
        <w:widowControl w:val="0"/>
        <w:rPr>
          <w:noProof/>
          <w:szCs w:val="22"/>
        </w:rPr>
      </w:pPr>
    </w:p>
    <w:p w14:paraId="02EE4202" w14:textId="77777777" w:rsidR="00F518DF" w:rsidRPr="00440C66" w:rsidRDefault="00F518DF" w:rsidP="004C760F">
      <w:pPr>
        <w:widowControl w:val="0"/>
      </w:pPr>
    </w:p>
    <w:p w14:paraId="0966F483" w14:textId="740D9D7E" w:rsidR="008A2514" w:rsidRPr="00440C66" w:rsidRDefault="00844168" w:rsidP="004C760F">
      <w:pPr>
        <w:keepNext/>
        <w:widowControl w:val="0"/>
        <w:rPr>
          <w:b/>
          <w:caps/>
        </w:rPr>
      </w:pPr>
      <w:r w:rsidRPr="00440C66">
        <w:rPr>
          <w:b/>
          <w:caps/>
        </w:rPr>
        <w:t>5.</w:t>
      </w:r>
      <w:r w:rsidRPr="00440C66">
        <w:rPr>
          <w:b/>
          <w:caps/>
        </w:rPr>
        <w:tab/>
      </w:r>
      <w:r w:rsidR="001A63C4" w:rsidRPr="00440C66">
        <w:rPr>
          <w:b/>
        </w:rPr>
        <w:t xml:space="preserve">Jak przechowywać lek </w:t>
      </w:r>
      <w:r w:rsidR="003C72B4">
        <w:rPr>
          <w:b/>
        </w:rPr>
        <w:t>Vildagliptin/Metformin hydrochloride Accord</w:t>
      </w:r>
    </w:p>
    <w:p w14:paraId="4DBEF865" w14:textId="77777777" w:rsidR="008A2514" w:rsidRPr="00440C66" w:rsidRDefault="008A2514" w:rsidP="004C760F">
      <w:pPr>
        <w:keepNext/>
        <w:widowControl w:val="0"/>
      </w:pPr>
    </w:p>
    <w:p w14:paraId="324C0B02" w14:textId="77777777" w:rsidR="00D75F39" w:rsidRPr="00440C66" w:rsidRDefault="009B1B44" w:rsidP="004C760F">
      <w:pPr>
        <w:widowControl w:val="0"/>
        <w:ind w:left="540" w:hanging="540"/>
      </w:pPr>
      <w:r w:rsidRPr="00440C66">
        <w:t>-</w:t>
      </w:r>
      <w:r w:rsidRPr="00440C66">
        <w:tab/>
      </w:r>
      <w:r w:rsidR="001A63C4" w:rsidRPr="00440C66">
        <w:t>Lek należy p</w:t>
      </w:r>
      <w:r w:rsidR="00D75F39" w:rsidRPr="00440C66">
        <w:t>rzechowywać w miejscu</w:t>
      </w:r>
      <w:r w:rsidR="001A63C4" w:rsidRPr="00440C66">
        <w:t xml:space="preserve"> niewidocznym i</w:t>
      </w:r>
      <w:r w:rsidR="00D75F39" w:rsidRPr="00440C66">
        <w:t xml:space="preserve"> niedostępnym dla dzieci.</w:t>
      </w:r>
    </w:p>
    <w:p w14:paraId="2A4F0B7E" w14:textId="77777777" w:rsidR="008A2514" w:rsidRPr="00440C66" w:rsidRDefault="00D75F39" w:rsidP="004C760F">
      <w:pPr>
        <w:widowControl w:val="0"/>
        <w:ind w:left="540" w:hanging="540"/>
      </w:pPr>
      <w:r w:rsidRPr="00440C66">
        <w:t>-</w:t>
      </w:r>
      <w:r w:rsidRPr="00440C66">
        <w:tab/>
      </w:r>
      <w:r w:rsidR="008A2514" w:rsidRPr="00440C66">
        <w:t>Nie stosować</w:t>
      </w:r>
      <w:r w:rsidR="001A63C4" w:rsidRPr="00440C66">
        <w:t xml:space="preserve"> tego</w:t>
      </w:r>
      <w:r w:rsidR="008A2514" w:rsidRPr="00440C66">
        <w:t xml:space="preserve"> </w:t>
      </w:r>
      <w:r w:rsidRPr="00440C66">
        <w:t xml:space="preserve">leku </w:t>
      </w:r>
      <w:r w:rsidR="008A2514" w:rsidRPr="00440C66">
        <w:t xml:space="preserve">po upływie </w:t>
      </w:r>
      <w:r w:rsidR="007C7C48" w:rsidRPr="00440C66">
        <w:t>terminu</w:t>
      </w:r>
      <w:r w:rsidR="008A2514" w:rsidRPr="00440C66">
        <w:t xml:space="preserve"> ważności </w:t>
      </w:r>
      <w:r w:rsidR="007C7C48" w:rsidRPr="00440C66">
        <w:t>zamieszc</w:t>
      </w:r>
      <w:r w:rsidR="0005451E" w:rsidRPr="00440C66">
        <w:t>z</w:t>
      </w:r>
      <w:r w:rsidR="007C7C48" w:rsidRPr="00440C66">
        <w:t>onego</w:t>
      </w:r>
      <w:r w:rsidR="008A2514" w:rsidRPr="00440C66">
        <w:t xml:space="preserve"> na </w:t>
      </w:r>
      <w:r w:rsidRPr="00440C66">
        <w:t>b</w:t>
      </w:r>
      <w:r w:rsidR="007C7C48" w:rsidRPr="00440C66">
        <w:t>l</w:t>
      </w:r>
      <w:r w:rsidRPr="00440C66">
        <w:t xml:space="preserve">istrze lub </w:t>
      </w:r>
      <w:r w:rsidR="008A2514" w:rsidRPr="00440C66">
        <w:t>pudełku</w:t>
      </w:r>
      <w:r w:rsidR="00F518DF" w:rsidRPr="00440C66">
        <w:t xml:space="preserve"> po „EXP”/„Termin ważności (EXP)”</w:t>
      </w:r>
      <w:r w:rsidR="008A2514" w:rsidRPr="00440C66">
        <w:t>.</w:t>
      </w:r>
      <w:r w:rsidRPr="00440C66">
        <w:t xml:space="preserve"> </w:t>
      </w:r>
      <w:r w:rsidR="007C7C48" w:rsidRPr="00440C66">
        <w:t>Termin</w:t>
      </w:r>
      <w:r w:rsidRPr="00440C66">
        <w:t xml:space="preserve"> ważności oznacza ostatni dzień </w:t>
      </w:r>
      <w:r w:rsidR="001A63C4" w:rsidRPr="00440C66">
        <w:t>po</w:t>
      </w:r>
      <w:r w:rsidRPr="00440C66">
        <w:t>danego miesiąca.</w:t>
      </w:r>
    </w:p>
    <w:p w14:paraId="6978816B" w14:textId="6DFDB361" w:rsidR="007A32DF" w:rsidRPr="00440C66" w:rsidRDefault="003675F6" w:rsidP="004C760F">
      <w:pPr>
        <w:widowControl w:val="0"/>
        <w:rPr>
          <w:noProof/>
          <w:szCs w:val="22"/>
        </w:rPr>
      </w:pPr>
      <w:r w:rsidRPr="00440C66">
        <w:t>-</w:t>
      </w:r>
      <w:r w:rsidRPr="00440C66">
        <w:tab/>
      </w:r>
      <w:r w:rsidR="000207A3" w:rsidRPr="000207A3">
        <w:rPr>
          <w:noProof/>
          <w:szCs w:val="22"/>
        </w:rPr>
        <w:t>Brak specjalnych zaleceń dotyczących przechowywania produktu leczniczego</w:t>
      </w:r>
      <w:r w:rsidR="000207A3">
        <w:rPr>
          <w:noProof/>
          <w:szCs w:val="22"/>
        </w:rPr>
        <w:t>.</w:t>
      </w:r>
    </w:p>
    <w:p w14:paraId="45D838DF" w14:textId="485D42AF" w:rsidR="000D6A50" w:rsidRDefault="000D6A50" w:rsidP="000D6A50">
      <w:pPr>
        <w:widowControl w:val="0"/>
      </w:pPr>
      <w:r>
        <w:t>-</w:t>
      </w:r>
      <w:r>
        <w:tab/>
        <w:t>Leków nie należy wyrzucać do kanalizacji ani domowych pojemników na odpadki. Należy zapytać farmaceutę, jak usunąć leki, których się już nie używa. Takie postępowanie pomoże chronić środowisko.</w:t>
      </w:r>
    </w:p>
    <w:p w14:paraId="16C344CE" w14:textId="77777777" w:rsidR="008A2514" w:rsidRPr="00440C66" w:rsidRDefault="008A2514" w:rsidP="004C760F">
      <w:pPr>
        <w:widowControl w:val="0"/>
      </w:pPr>
    </w:p>
    <w:p w14:paraId="5C334DA7" w14:textId="77777777" w:rsidR="008A2514" w:rsidRPr="00440C66" w:rsidRDefault="008A2514" w:rsidP="004C760F">
      <w:pPr>
        <w:widowControl w:val="0"/>
        <w:ind w:left="0" w:firstLine="0"/>
      </w:pPr>
    </w:p>
    <w:p w14:paraId="3736F010" w14:textId="77777777" w:rsidR="008A2514" w:rsidRPr="00440C66" w:rsidRDefault="008A2514" w:rsidP="004C760F">
      <w:pPr>
        <w:keepNext/>
        <w:widowControl w:val="0"/>
        <w:ind w:left="540" w:hanging="540"/>
        <w:rPr>
          <w:b/>
          <w:caps/>
        </w:rPr>
      </w:pPr>
      <w:r w:rsidRPr="00440C66">
        <w:rPr>
          <w:b/>
          <w:caps/>
        </w:rPr>
        <w:t>6.</w:t>
      </w:r>
      <w:r w:rsidRPr="00440C66">
        <w:rPr>
          <w:b/>
          <w:caps/>
        </w:rPr>
        <w:tab/>
      </w:r>
      <w:r w:rsidR="001A63C4" w:rsidRPr="00440C66">
        <w:rPr>
          <w:b/>
        </w:rPr>
        <w:t xml:space="preserve">Zawartość opakowania i inne informacje </w:t>
      </w:r>
    </w:p>
    <w:p w14:paraId="51A45AF8" w14:textId="77777777" w:rsidR="008A2514" w:rsidRPr="00440C66" w:rsidRDefault="008A2514" w:rsidP="004C760F">
      <w:pPr>
        <w:keepNext/>
        <w:widowControl w:val="0"/>
        <w:rPr>
          <w:i/>
        </w:rPr>
      </w:pPr>
    </w:p>
    <w:p w14:paraId="029EEB54" w14:textId="77777777" w:rsidR="000207A3" w:rsidRPr="003C72B4" w:rsidRDefault="000207A3" w:rsidP="000207A3">
      <w:pPr>
        <w:keepNext/>
        <w:widowControl w:val="0"/>
        <w:ind w:left="0" w:firstLine="0"/>
        <w:rPr>
          <w:b/>
        </w:rPr>
      </w:pPr>
      <w:r w:rsidRPr="003C72B4">
        <w:rPr>
          <w:b/>
        </w:rPr>
        <w:t xml:space="preserve">Co zawiera lek </w:t>
      </w:r>
      <w:r w:rsidRPr="008D1F90">
        <w:rPr>
          <w:b/>
        </w:rPr>
        <w:t>Vildagliptin/Metformin hydrochloride Accord</w:t>
      </w:r>
    </w:p>
    <w:p w14:paraId="25B6A8B2" w14:textId="253AA388" w:rsidR="000207A3" w:rsidRPr="00440C66" w:rsidRDefault="000207A3" w:rsidP="00FC35A4">
      <w:pPr>
        <w:pStyle w:val="ListParagraph"/>
        <w:widowControl w:val="0"/>
        <w:numPr>
          <w:ilvl w:val="0"/>
          <w:numId w:val="18"/>
        </w:numPr>
        <w:ind w:left="567"/>
      </w:pPr>
      <w:r w:rsidRPr="00440C66">
        <w:tab/>
        <w:t>Substancjami czynnymi leku są wildagliptyna i chlorowodorek metforminy.</w:t>
      </w:r>
    </w:p>
    <w:p w14:paraId="6B726A76" w14:textId="7FFC80A6" w:rsidR="000207A3" w:rsidRPr="00440C66" w:rsidRDefault="000207A3" w:rsidP="00FC35A4">
      <w:pPr>
        <w:pStyle w:val="ListParagraph"/>
        <w:widowControl w:val="0"/>
        <w:numPr>
          <w:ilvl w:val="0"/>
          <w:numId w:val="19"/>
        </w:numPr>
        <w:ind w:left="993" w:hanging="426"/>
      </w:pPr>
      <w:r w:rsidRPr="00440C66">
        <w:t xml:space="preserve">Każda tabletka powlekana leku </w:t>
      </w:r>
      <w:r>
        <w:t>Vildagliptin/Metformin hydrochloride Accord</w:t>
      </w:r>
      <w:r w:rsidRPr="00440C66">
        <w:t xml:space="preserve"> </w:t>
      </w:r>
      <w:r w:rsidRPr="00440C66">
        <w:lastRenderedPageBreak/>
        <w:t>50 mg/850 mg zawiera 50 mg wildagliptyny i 850 mg chlorowodorku metforminy (co odpowiada 660 mg metforminy).</w:t>
      </w:r>
    </w:p>
    <w:p w14:paraId="1F6B31BF" w14:textId="224004A5" w:rsidR="000207A3" w:rsidRDefault="000207A3" w:rsidP="00FC35A4">
      <w:pPr>
        <w:pStyle w:val="ListParagraph"/>
        <w:widowControl w:val="0"/>
        <w:numPr>
          <w:ilvl w:val="0"/>
          <w:numId w:val="19"/>
        </w:numPr>
        <w:ind w:left="993" w:hanging="426"/>
        <w:rPr>
          <w:bCs/>
        </w:rPr>
      </w:pPr>
      <w:r w:rsidRPr="000207A3">
        <w:rPr>
          <w:bCs/>
        </w:rPr>
        <w:t xml:space="preserve">Każda tabletka </w:t>
      </w:r>
      <w:r w:rsidRPr="00440C66">
        <w:t>powlekana</w:t>
      </w:r>
      <w:r w:rsidRPr="000207A3">
        <w:rPr>
          <w:bCs/>
        </w:rPr>
        <w:t xml:space="preserve"> leku Vildagliptin/Metformin hydrochloride Accord</w:t>
      </w:r>
      <w:r w:rsidRPr="00440C66">
        <w:t xml:space="preserve"> 50 mg/1000 mg zawiera 50 mg wildagliptyny i 1000 mg chlorowodorku metforminy (co odpowiada 780 mg metforminy)</w:t>
      </w:r>
      <w:r w:rsidRPr="000207A3">
        <w:rPr>
          <w:bCs/>
        </w:rPr>
        <w:t>.</w:t>
      </w:r>
    </w:p>
    <w:p w14:paraId="0CFEEBC3" w14:textId="77777777" w:rsidR="000207A3" w:rsidRPr="000207A3" w:rsidRDefault="000207A3" w:rsidP="00FC35A4">
      <w:pPr>
        <w:pStyle w:val="ListParagraph"/>
        <w:widowControl w:val="0"/>
        <w:ind w:left="540" w:firstLine="0"/>
        <w:rPr>
          <w:bCs/>
        </w:rPr>
      </w:pPr>
    </w:p>
    <w:p w14:paraId="328EF042" w14:textId="77777777" w:rsidR="007E325C" w:rsidRDefault="000207A3" w:rsidP="007E325C">
      <w:pPr>
        <w:widowControl w:val="0"/>
        <w:ind w:left="540" w:hanging="540"/>
      </w:pPr>
      <w:r w:rsidRPr="00440C66">
        <w:t>-</w:t>
      </w:r>
      <w:r w:rsidRPr="00440C66">
        <w:tab/>
        <w:t xml:space="preserve">Pozostałe składniki to: </w:t>
      </w:r>
    </w:p>
    <w:p w14:paraId="51C3E7AA" w14:textId="77777777" w:rsidR="007E325C" w:rsidRDefault="007E325C" w:rsidP="007E325C">
      <w:pPr>
        <w:pStyle w:val="ListParagraph"/>
        <w:widowControl w:val="0"/>
        <w:numPr>
          <w:ilvl w:val="0"/>
          <w:numId w:val="18"/>
        </w:numPr>
        <w:ind w:left="540" w:hanging="540"/>
      </w:pPr>
      <w:r>
        <w:t xml:space="preserve">Rdzeń tabletki: </w:t>
      </w:r>
      <w:r w:rsidR="0020096B">
        <w:t>hydroksypropyloceluloza, hydroksypropyloceluloza o niskim stopniu podstawienia, celuloza mikrokrystaliczna</w:t>
      </w:r>
      <w:r>
        <w:t>, s</w:t>
      </w:r>
      <w:r w:rsidR="0020096B">
        <w:t xml:space="preserve">tearynian magnezu </w:t>
      </w:r>
    </w:p>
    <w:p w14:paraId="6E60300B" w14:textId="5AD99BF4" w:rsidR="000207A3" w:rsidRDefault="0020096B" w:rsidP="007E325C">
      <w:pPr>
        <w:pStyle w:val="ListParagraph"/>
        <w:widowControl w:val="0"/>
        <w:numPr>
          <w:ilvl w:val="0"/>
          <w:numId w:val="18"/>
        </w:numPr>
        <w:ind w:left="540" w:hanging="540"/>
      </w:pPr>
      <w:r>
        <w:t>Otoczka</w:t>
      </w:r>
      <w:r w:rsidR="007E325C">
        <w:t>: h</w:t>
      </w:r>
      <w:r>
        <w:t>ypromeloza</w:t>
      </w:r>
      <w:r w:rsidR="007E325C">
        <w:t>, d</w:t>
      </w:r>
      <w:r>
        <w:t>wutlenek tytanu (E 171)</w:t>
      </w:r>
      <w:r w:rsidR="007E325C">
        <w:t>, ż</w:t>
      </w:r>
      <w:r>
        <w:t>ółty tlenek żelaza (E 172)</w:t>
      </w:r>
      <w:r w:rsidR="007E325C">
        <w:t>, m</w:t>
      </w:r>
      <w:r>
        <w:t>akrogol</w:t>
      </w:r>
      <w:r w:rsidR="007E325C">
        <w:t>, t</w:t>
      </w:r>
      <w:r w:rsidRPr="007E325C">
        <w:t>alk</w:t>
      </w:r>
    </w:p>
    <w:p w14:paraId="2F520E44" w14:textId="77777777" w:rsidR="007E325C" w:rsidRPr="00FC35A4" w:rsidRDefault="007E325C" w:rsidP="004C760F">
      <w:pPr>
        <w:keepNext/>
        <w:widowControl w:val="0"/>
        <w:ind w:left="0" w:firstLine="0"/>
        <w:rPr>
          <w:b/>
        </w:rPr>
      </w:pPr>
    </w:p>
    <w:p w14:paraId="26089D9B" w14:textId="77777777" w:rsidR="007E325C" w:rsidRPr="00440C66" w:rsidRDefault="007E325C" w:rsidP="007E325C">
      <w:pPr>
        <w:keepNext/>
        <w:widowControl w:val="0"/>
        <w:ind w:left="0" w:firstLine="0"/>
        <w:rPr>
          <w:b/>
        </w:rPr>
      </w:pPr>
      <w:r w:rsidRPr="00440C66">
        <w:rPr>
          <w:b/>
        </w:rPr>
        <w:t xml:space="preserve">Jak wygląda lek </w:t>
      </w:r>
      <w:r>
        <w:rPr>
          <w:b/>
        </w:rPr>
        <w:t>Vildagliptin/Metformin hydrochloride Accord</w:t>
      </w:r>
      <w:r w:rsidRPr="00440C66">
        <w:rPr>
          <w:b/>
        </w:rPr>
        <w:t xml:space="preserve"> i co zawiera opakowanie</w:t>
      </w:r>
    </w:p>
    <w:p w14:paraId="34C1545D" w14:textId="77777777" w:rsidR="007E325C" w:rsidRPr="00FC35A4" w:rsidRDefault="007E325C" w:rsidP="004C760F">
      <w:pPr>
        <w:keepNext/>
        <w:widowControl w:val="0"/>
        <w:ind w:left="0" w:firstLine="0"/>
        <w:rPr>
          <w:b/>
        </w:rPr>
      </w:pPr>
    </w:p>
    <w:p w14:paraId="7C76547F" w14:textId="77777777" w:rsidR="007E325C" w:rsidRPr="00FC35A4" w:rsidRDefault="007E325C" w:rsidP="007E325C">
      <w:pPr>
        <w:keepNext/>
        <w:widowControl w:val="0"/>
        <w:rPr>
          <w:u w:val="single"/>
          <w:lang w:val="en-GB"/>
        </w:rPr>
      </w:pPr>
      <w:r w:rsidRPr="00FC35A4">
        <w:rPr>
          <w:u w:val="single"/>
          <w:lang w:val="en-GB"/>
        </w:rPr>
        <w:t xml:space="preserve">Vildagliptin/Metformin hydrochloride Accord 50 mg/850 mg </w:t>
      </w:r>
      <w:proofErr w:type="spellStart"/>
      <w:r w:rsidRPr="00FC35A4">
        <w:rPr>
          <w:u w:val="single"/>
          <w:lang w:val="en-GB"/>
        </w:rPr>
        <w:t>tabletki</w:t>
      </w:r>
      <w:proofErr w:type="spellEnd"/>
      <w:r w:rsidRPr="00FC35A4">
        <w:rPr>
          <w:u w:val="single"/>
          <w:lang w:val="en-GB"/>
        </w:rPr>
        <w:t xml:space="preserve"> </w:t>
      </w:r>
      <w:proofErr w:type="spellStart"/>
      <w:r w:rsidRPr="00FC35A4">
        <w:rPr>
          <w:u w:val="single"/>
          <w:lang w:val="en-GB"/>
        </w:rPr>
        <w:t>powlekane</w:t>
      </w:r>
      <w:proofErr w:type="spellEnd"/>
    </w:p>
    <w:p w14:paraId="629498ED" w14:textId="77777777" w:rsidR="007E325C" w:rsidRPr="00FC35A4" w:rsidRDefault="007E325C" w:rsidP="007E325C">
      <w:pPr>
        <w:widowControl w:val="0"/>
        <w:ind w:left="0" w:firstLine="0"/>
        <w:rPr>
          <w:lang w:val="en-GB"/>
        </w:rPr>
      </w:pPr>
    </w:p>
    <w:p w14:paraId="79BBA19F" w14:textId="77777777" w:rsidR="007E325C" w:rsidRDefault="007E325C" w:rsidP="007E325C">
      <w:pPr>
        <w:widowControl w:val="0"/>
        <w:ind w:left="0" w:firstLine="0"/>
      </w:pPr>
      <w:r>
        <w:t>Ż</w:t>
      </w:r>
      <w:r w:rsidRPr="008D1F90">
        <w:t xml:space="preserve">ółta, owalna, dwuwypukła tabletka powlekana z </w:t>
      </w:r>
      <w:r>
        <w:t>wytłoczonym napisem „GG2” na jednej stronie</w:t>
      </w:r>
      <w:r w:rsidRPr="008D1F90">
        <w:t xml:space="preserve"> </w:t>
      </w:r>
      <w:r>
        <w:t xml:space="preserve">i bez napisu na odwrotnej stronie. Wymiary tabletki wynoszą w przybliżeniu 20,15 </w:t>
      </w:r>
      <w:r w:rsidRPr="00D21B4A">
        <w:t>×</w:t>
      </w:r>
      <w:r>
        <w:t xml:space="preserve"> 8,00 mm.</w:t>
      </w:r>
    </w:p>
    <w:p w14:paraId="2E3455B0" w14:textId="77777777" w:rsidR="007E325C" w:rsidRDefault="007E325C" w:rsidP="007E325C">
      <w:pPr>
        <w:widowControl w:val="0"/>
        <w:ind w:left="0" w:firstLine="0"/>
      </w:pPr>
    </w:p>
    <w:p w14:paraId="28C7FD68" w14:textId="77777777" w:rsidR="007E325C" w:rsidRPr="008D1F90" w:rsidRDefault="007E325C" w:rsidP="007E325C">
      <w:pPr>
        <w:keepNext/>
        <w:widowControl w:val="0"/>
        <w:rPr>
          <w:u w:val="single"/>
        </w:rPr>
      </w:pPr>
      <w:r w:rsidRPr="008D1F90">
        <w:rPr>
          <w:u w:val="single"/>
        </w:rPr>
        <w:t>Vildagliptin/Metformin hydrochloride Accord 50 mg/1000 mg tabletki powlekane</w:t>
      </w:r>
    </w:p>
    <w:p w14:paraId="1B5148AA" w14:textId="77777777" w:rsidR="007E325C" w:rsidRPr="008D1F90" w:rsidRDefault="007E325C" w:rsidP="007E325C">
      <w:pPr>
        <w:widowControl w:val="0"/>
        <w:ind w:left="0" w:firstLine="0"/>
      </w:pPr>
    </w:p>
    <w:p w14:paraId="185D58FC" w14:textId="77777777" w:rsidR="007E325C" w:rsidRDefault="007E325C" w:rsidP="007E325C">
      <w:pPr>
        <w:widowControl w:val="0"/>
        <w:ind w:left="0" w:firstLine="0"/>
      </w:pPr>
      <w:r w:rsidRPr="008D1F90">
        <w:t xml:space="preserve">Ciemnożółta, owalna, dwuwypukła tabletka powlekana z wytłoczonym </w:t>
      </w:r>
      <w:r>
        <w:t>napisem</w:t>
      </w:r>
      <w:r w:rsidRPr="008D1F90">
        <w:t xml:space="preserve"> „GG</w:t>
      </w:r>
      <w:r>
        <w:t>3</w:t>
      </w:r>
      <w:r w:rsidRPr="008D1F90">
        <w:t xml:space="preserve">” </w:t>
      </w:r>
      <w:r>
        <w:t>na</w:t>
      </w:r>
      <w:r w:rsidRPr="008D1F90">
        <w:t xml:space="preserve"> jednej stronie i bez </w:t>
      </w:r>
      <w:r>
        <w:t>napisu</w:t>
      </w:r>
      <w:r w:rsidRPr="008D1F90">
        <w:t xml:space="preserve"> </w:t>
      </w:r>
      <w:r>
        <w:t>na odwrotnej</w:t>
      </w:r>
      <w:r w:rsidRPr="008D1F90">
        <w:t xml:space="preserve"> stronie. Wymiary tabletki wynoszą </w:t>
      </w:r>
      <w:r w:rsidRPr="00F0164A">
        <w:t>w przybliżeniu</w:t>
      </w:r>
      <w:r w:rsidRPr="004147BA">
        <w:t xml:space="preserve"> </w:t>
      </w:r>
      <w:r w:rsidRPr="008D1F90">
        <w:t>2</w:t>
      </w:r>
      <w:r>
        <w:t>1</w:t>
      </w:r>
      <w:r w:rsidRPr="008D1F90">
        <w:t>,1</w:t>
      </w:r>
      <w:r>
        <w:t>1 </w:t>
      </w:r>
      <w:r w:rsidRPr="008D1F90">
        <w:t>×</w:t>
      </w:r>
      <w:r>
        <w:t> </w:t>
      </w:r>
      <w:r w:rsidRPr="008D1F90">
        <w:t>8,</w:t>
      </w:r>
      <w:r>
        <w:t>38 </w:t>
      </w:r>
      <w:r w:rsidRPr="008D1F90">
        <w:t>mm.</w:t>
      </w:r>
    </w:p>
    <w:p w14:paraId="4BA9B347" w14:textId="77777777" w:rsidR="00147C60" w:rsidRDefault="00147C60" w:rsidP="00147C60">
      <w:pPr>
        <w:keepNext/>
        <w:widowControl w:val="0"/>
        <w:ind w:left="0" w:firstLine="0"/>
        <w:rPr>
          <w:bCs/>
        </w:rPr>
      </w:pPr>
    </w:p>
    <w:p w14:paraId="2BC07B1D" w14:textId="33047AB1" w:rsidR="00147C60" w:rsidRDefault="00147C60" w:rsidP="00147C60">
      <w:pPr>
        <w:keepNext/>
        <w:widowControl w:val="0"/>
        <w:ind w:left="0" w:firstLine="0"/>
        <w:rPr>
          <w:bCs/>
        </w:rPr>
      </w:pPr>
      <w:r w:rsidRPr="00F97C81">
        <w:rPr>
          <w:bCs/>
        </w:rPr>
        <w:t xml:space="preserve">Lek </w:t>
      </w:r>
      <w:r w:rsidRPr="007E325C">
        <w:rPr>
          <w:bCs/>
        </w:rPr>
        <w:t>Vildagliptin/Metformin hydrochloride Accord je</w:t>
      </w:r>
      <w:r w:rsidRPr="00F97C81">
        <w:rPr>
          <w:bCs/>
        </w:rPr>
        <w:t>st dostępny w</w:t>
      </w:r>
      <w:r>
        <w:rPr>
          <w:bCs/>
        </w:rPr>
        <w:t xml:space="preserve"> blistrach z podwójneh folii aluminiowej po 30</w:t>
      </w:r>
      <w:r w:rsidR="005F4D8E">
        <w:rPr>
          <w:bCs/>
        </w:rPr>
        <w:t xml:space="preserve">, </w:t>
      </w:r>
      <w:r>
        <w:rPr>
          <w:bCs/>
        </w:rPr>
        <w:t xml:space="preserve"> 60 </w:t>
      </w:r>
      <w:r w:rsidR="005F4D8E">
        <w:rPr>
          <w:bCs/>
        </w:rPr>
        <w:t xml:space="preserve">lub 180 </w:t>
      </w:r>
      <w:r>
        <w:rPr>
          <w:bCs/>
        </w:rPr>
        <w:t>tabletek powlekanych.</w:t>
      </w:r>
    </w:p>
    <w:p w14:paraId="123FE02E" w14:textId="77777777" w:rsidR="00147C60" w:rsidRDefault="00147C60" w:rsidP="00147C60">
      <w:pPr>
        <w:keepNext/>
        <w:widowControl w:val="0"/>
        <w:ind w:left="0" w:firstLine="0"/>
        <w:rPr>
          <w:bCs/>
        </w:rPr>
      </w:pPr>
    </w:p>
    <w:p w14:paraId="3787F39E" w14:textId="77777777" w:rsidR="00147C60" w:rsidRPr="00F97C81" w:rsidRDefault="00147C60" w:rsidP="00147C60">
      <w:pPr>
        <w:keepNext/>
        <w:widowControl w:val="0"/>
        <w:ind w:left="0" w:firstLine="0"/>
        <w:rPr>
          <w:bCs/>
        </w:rPr>
      </w:pPr>
      <w:r w:rsidRPr="00147C60">
        <w:rPr>
          <w:bCs/>
        </w:rPr>
        <w:t>Nie wszystkie wielkości opakowań muszą znajdować się w obrocie.</w:t>
      </w:r>
    </w:p>
    <w:p w14:paraId="2B653418" w14:textId="77777777" w:rsidR="007E325C" w:rsidRPr="007E325C" w:rsidRDefault="007E325C" w:rsidP="004C760F">
      <w:pPr>
        <w:keepNext/>
        <w:widowControl w:val="0"/>
        <w:ind w:left="0" w:firstLine="0"/>
        <w:rPr>
          <w:b/>
        </w:rPr>
      </w:pPr>
    </w:p>
    <w:p w14:paraId="022C7493" w14:textId="77777777" w:rsidR="008A2514" w:rsidRPr="00440C66" w:rsidRDefault="008A2514" w:rsidP="004C760F">
      <w:pPr>
        <w:widowControl w:val="0"/>
        <w:ind w:left="0" w:firstLine="0"/>
      </w:pPr>
    </w:p>
    <w:p w14:paraId="7E80E851" w14:textId="77777777" w:rsidR="008A2514" w:rsidRPr="00FC35A4" w:rsidRDefault="008A2514" w:rsidP="004C760F">
      <w:pPr>
        <w:keepNext/>
        <w:widowControl w:val="0"/>
        <w:ind w:left="0" w:firstLine="0"/>
        <w:rPr>
          <w:b/>
        </w:rPr>
      </w:pPr>
      <w:r w:rsidRPr="00FC35A4">
        <w:rPr>
          <w:b/>
        </w:rPr>
        <w:t>Podmiot odpowiedzialny</w:t>
      </w:r>
    </w:p>
    <w:p w14:paraId="5E7CC442" w14:textId="77777777" w:rsidR="00147C60" w:rsidRPr="00050A77" w:rsidRDefault="00147C60" w:rsidP="00147C60">
      <w:pPr>
        <w:widowControl w:val="0"/>
        <w:ind w:left="0" w:firstLine="0"/>
      </w:pPr>
      <w:r w:rsidRPr="00050A77">
        <w:t>Accord Healthcare S.L.U</w:t>
      </w:r>
    </w:p>
    <w:p w14:paraId="7381FFE6" w14:textId="0BDE46F1" w:rsidR="00147C60" w:rsidRPr="00147C60" w:rsidRDefault="00147C60" w:rsidP="00147C60">
      <w:pPr>
        <w:widowControl w:val="0"/>
        <w:ind w:left="0" w:firstLine="0"/>
        <w:rPr>
          <w:lang w:val="en-US"/>
        </w:rPr>
      </w:pPr>
      <w:r w:rsidRPr="00147C60">
        <w:rPr>
          <w:lang w:val="en-US"/>
        </w:rPr>
        <w:t>World Trade Center, Moll de Barcelona s/n</w:t>
      </w:r>
    </w:p>
    <w:p w14:paraId="5D431848" w14:textId="71D844C4" w:rsidR="00147C60" w:rsidRPr="00FC35A4" w:rsidRDefault="00147C60" w:rsidP="00147C60">
      <w:pPr>
        <w:widowControl w:val="0"/>
        <w:ind w:left="0" w:firstLine="0"/>
        <w:rPr>
          <w:lang w:val="es-ES"/>
        </w:rPr>
      </w:pPr>
      <w:r w:rsidRPr="00FC35A4">
        <w:rPr>
          <w:lang w:val="es-ES"/>
        </w:rPr>
        <w:t>Edifici Est, 6a planta, Barcelona</w:t>
      </w:r>
    </w:p>
    <w:p w14:paraId="601E4D54" w14:textId="507576F2" w:rsidR="008A2514" w:rsidRPr="00FC35A4" w:rsidRDefault="00147C60" w:rsidP="00147C60">
      <w:pPr>
        <w:widowControl w:val="0"/>
        <w:ind w:left="0" w:firstLine="0"/>
        <w:rPr>
          <w:lang w:val="es-ES"/>
        </w:rPr>
      </w:pPr>
      <w:r w:rsidRPr="00FC35A4">
        <w:rPr>
          <w:lang w:val="es-ES"/>
        </w:rPr>
        <w:t>08039 Barcelona, Hiszpania</w:t>
      </w:r>
    </w:p>
    <w:p w14:paraId="456100A0" w14:textId="77777777" w:rsidR="00147C60" w:rsidRPr="00FC35A4" w:rsidRDefault="00147C60" w:rsidP="00147C60">
      <w:pPr>
        <w:widowControl w:val="0"/>
        <w:ind w:left="0" w:firstLine="0"/>
        <w:rPr>
          <w:lang w:val="es-ES"/>
        </w:rPr>
      </w:pPr>
    </w:p>
    <w:p w14:paraId="0589805D" w14:textId="77777777" w:rsidR="008A2514" w:rsidRPr="00440C66" w:rsidRDefault="008A2514" w:rsidP="00837913">
      <w:pPr>
        <w:keepNext/>
        <w:widowControl w:val="0"/>
        <w:ind w:left="0" w:firstLine="0"/>
        <w:rPr>
          <w:b/>
          <w:lang w:val="pt-PT"/>
        </w:rPr>
      </w:pPr>
      <w:r w:rsidRPr="00440C66">
        <w:rPr>
          <w:b/>
          <w:lang w:val="pt-PT"/>
        </w:rPr>
        <w:t>Wytwórca</w:t>
      </w:r>
    </w:p>
    <w:p w14:paraId="45C0F7B9" w14:textId="77777777" w:rsidR="00147C60" w:rsidRPr="00FC35A4" w:rsidRDefault="00147C60" w:rsidP="00147C60">
      <w:pPr>
        <w:widowControl w:val="0"/>
        <w:ind w:left="0" w:firstLine="0"/>
        <w:rPr>
          <w:lang w:val="es-ES"/>
        </w:rPr>
      </w:pPr>
      <w:r w:rsidRPr="00FC35A4">
        <w:rPr>
          <w:lang w:val="es-ES"/>
        </w:rPr>
        <w:t>LABORATORI FUNDACIÓ DAU</w:t>
      </w:r>
    </w:p>
    <w:p w14:paraId="16EC5E29" w14:textId="1C57EEF5" w:rsidR="00147C60" w:rsidRPr="00FC35A4" w:rsidRDefault="00147C60" w:rsidP="00147C60">
      <w:pPr>
        <w:widowControl w:val="0"/>
        <w:ind w:left="0" w:firstLine="0"/>
        <w:rPr>
          <w:lang w:val="es-ES"/>
        </w:rPr>
      </w:pPr>
      <w:r w:rsidRPr="00FC35A4">
        <w:rPr>
          <w:lang w:val="es-ES"/>
        </w:rPr>
        <w:t>C/ C, 12-14 Pol. Ind. Zona Franca</w:t>
      </w:r>
    </w:p>
    <w:p w14:paraId="04E4F83B" w14:textId="3DB8D02E" w:rsidR="00147C60" w:rsidRPr="00FC35A4" w:rsidRDefault="00147C60" w:rsidP="00147C60">
      <w:pPr>
        <w:widowControl w:val="0"/>
        <w:ind w:left="0" w:firstLine="0"/>
        <w:rPr>
          <w:lang w:val="es-ES"/>
        </w:rPr>
      </w:pPr>
      <w:r w:rsidRPr="00FC35A4">
        <w:rPr>
          <w:lang w:val="es-ES"/>
        </w:rPr>
        <w:t xml:space="preserve">Barcelona, 08040, </w:t>
      </w:r>
      <w:r>
        <w:rPr>
          <w:lang w:val="es-ES"/>
        </w:rPr>
        <w:t>Hiszpania</w:t>
      </w:r>
    </w:p>
    <w:p w14:paraId="5F139EC9" w14:textId="77777777" w:rsidR="00147C60" w:rsidRPr="00FC35A4" w:rsidRDefault="00147C60" w:rsidP="00147C60">
      <w:pPr>
        <w:widowControl w:val="0"/>
        <w:ind w:left="0" w:firstLine="0"/>
        <w:rPr>
          <w:lang w:val="es-ES"/>
        </w:rPr>
      </w:pPr>
    </w:p>
    <w:p w14:paraId="0EBF7D6F" w14:textId="77777777" w:rsidR="00147C60" w:rsidRPr="00FC35A4" w:rsidRDefault="00147C60" w:rsidP="00147C60">
      <w:pPr>
        <w:widowControl w:val="0"/>
        <w:ind w:left="0" w:firstLine="0"/>
        <w:rPr>
          <w:highlight w:val="lightGray"/>
          <w:lang w:val="es-ES"/>
        </w:rPr>
      </w:pPr>
      <w:r w:rsidRPr="00FC35A4">
        <w:rPr>
          <w:highlight w:val="lightGray"/>
          <w:lang w:val="es-ES"/>
        </w:rPr>
        <w:t>Pharmadox Healthcare Ltd.</w:t>
      </w:r>
    </w:p>
    <w:p w14:paraId="633BBAD4" w14:textId="77777777" w:rsidR="00147C60" w:rsidRPr="00FC35A4" w:rsidRDefault="00147C60" w:rsidP="00147C60">
      <w:pPr>
        <w:widowControl w:val="0"/>
        <w:ind w:left="0" w:firstLine="0"/>
        <w:rPr>
          <w:highlight w:val="lightGray"/>
          <w:lang w:val="en-GB"/>
        </w:rPr>
      </w:pPr>
      <w:r w:rsidRPr="00FC35A4">
        <w:rPr>
          <w:highlight w:val="lightGray"/>
          <w:lang w:val="en-GB"/>
        </w:rPr>
        <w:t>KW20A Kordin Industrial Park</w:t>
      </w:r>
    </w:p>
    <w:p w14:paraId="057B3701" w14:textId="77777777" w:rsidR="00147C60" w:rsidRPr="00FC35A4" w:rsidRDefault="00147C60" w:rsidP="00147C60">
      <w:pPr>
        <w:widowControl w:val="0"/>
        <w:ind w:left="0" w:firstLine="0"/>
        <w:rPr>
          <w:highlight w:val="lightGray"/>
          <w:lang w:val="en-GB"/>
        </w:rPr>
      </w:pPr>
      <w:r w:rsidRPr="00FC35A4">
        <w:rPr>
          <w:highlight w:val="lightGray"/>
          <w:lang w:val="en-GB"/>
        </w:rPr>
        <w:t>Paola, PLA 3000</w:t>
      </w:r>
    </w:p>
    <w:p w14:paraId="62F9C8A0" w14:textId="77777777" w:rsidR="00147C60" w:rsidRPr="00FC35A4" w:rsidRDefault="00147C60" w:rsidP="00147C60">
      <w:pPr>
        <w:widowControl w:val="0"/>
        <w:ind w:left="0" w:firstLine="0"/>
        <w:rPr>
          <w:highlight w:val="lightGray"/>
          <w:lang w:val="en-GB"/>
        </w:rPr>
      </w:pPr>
      <w:r w:rsidRPr="00FC35A4">
        <w:rPr>
          <w:highlight w:val="lightGray"/>
          <w:lang w:val="en-GB"/>
        </w:rPr>
        <w:t>Malta</w:t>
      </w:r>
    </w:p>
    <w:p w14:paraId="239282DC" w14:textId="77777777" w:rsidR="00147C60" w:rsidRPr="00FC35A4" w:rsidRDefault="00147C60" w:rsidP="00147C60">
      <w:pPr>
        <w:widowControl w:val="0"/>
        <w:ind w:left="0" w:firstLine="0"/>
        <w:rPr>
          <w:highlight w:val="lightGray"/>
          <w:lang w:val="en-GB"/>
        </w:rPr>
      </w:pPr>
    </w:p>
    <w:p w14:paraId="46B2F881" w14:textId="77777777" w:rsidR="00147C60" w:rsidRPr="00FC35A4" w:rsidRDefault="00147C60" w:rsidP="00147C60">
      <w:pPr>
        <w:widowControl w:val="0"/>
        <w:ind w:left="0" w:firstLine="0"/>
        <w:rPr>
          <w:highlight w:val="lightGray"/>
          <w:lang w:val="en-GB"/>
        </w:rPr>
      </w:pPr>
      <w:r w:rsidRPr="00FC35A4">
        <w:rPr>
          <w:highlight w:val="lightGray"/>
          <w:lang w:val="en-GB"/>
        </w:rPr>
        <w:t xml:space="preserve">Accord Healthcare Polska Sp. z </w:t>
      </w:r>
      <w:proofErr w:type="spellStart"/>
      <w:r w:rsidRPr="00FC35A4">
        <w:rPr>
          <w:highlight w:val="lightGray"/>
          <w:lang w:val="en-GB"/>
        </w:rPr>
        <w:t>o.o.</w:t>
      </w:r>
      <w:proofErr w:type="spellEnd"/>
    </w:p>
    <w:p w14:paraId="5AF44ABF" w14:textId="55AA934A" w:rsidR="00147C60" w:rsidRPr="00FC35A4" w:rsidRDefault="00147C60" w:rsidP="00147C60">
      <w:pPr>
        <w:widowControl w:val="0"/>
        <w:ind w:left="0" w:firstLine="0"/>
        <w:rPr>
          <w:highlight w:val="lightGray"/>
        </w:rPr>
      </w:pPr>
      <w:r w:rsidRPr="00FC35A4">
        <w:rPr>
          <w:highlight w:val="lightGray"/>
        </w:rPr>
        <w:t>ul. Lutomierska 50</w:t>
      </w:r>
    </w:p>
    <w:p w14:paraId="2EA25ECA" w14:textId="5C11E141" w:rsidR="008A2514" w:rsidRPr="00FC35A4" w:rsidRDefault="00147C60" w:rsidP="00147C60">
      <w:pPr>
        <w:widowControl w:val="0"/>
        <w:ind w:left="0" w:firstLine="0"/>
        <w:rPr>
          <w:highlight w:val="lightGray"/>
        </w:rPr>
      </w:pPr>
      <w:r w:rsidRPr="00FC35A4">
        <w:rPr>
          <w:highlight w:val="lightGray"/>
        </w:rPr>
        <w:t>95-200 Pabianice, Polska</w:t>
      </w:r>
    </w:p>
    <w:p w14:paraId="34FB6C95" w14:textId="0DB290FE" w:rsidR="00147C60" w:rsidRPr="00FC35A4" w:rsidRDefault="00147C60" w:rsidP="00147C60">
      <w:pPr>
        <w:widowControl w:val="0"/>
        <w:ind w:left="0" w:firstLine="0"/>
        <w:rPr>
          <w:highlight w:val="lightGray"/>
        </w:rPr>
      </w:pPr>
    </w:p>
    <w:p w14:paraId="6F758CA3" w14:textId="77777777" w:rsidR="00147C60" w:rsidRPr="00FC35A4" w:rsidRDefault="00147C60" w:rsidP="00147C60">
      <w:pPr>
        <w:widowControl w:val="0"/>
        <w:ind w:left="0" w:firstLine="0"/>
        <w:rPr>
          <w:highlight w:val="lightGray"/>
        </w:rPr>
      </w:pPr>
      <w:r w:rsidRPr="00FC35A4">
        <w:rPr>
          <w:highlight w:val="lightGray"/>
        </w:rPr>
        <w:t>Accord Healthcare B.V.</w:t>
      </w:r>
    </w:p>
    <w:p w14:paraId="0BA13B42" w14:textId="03CE5464" w:rsidR="00147C60" w:rsidRPr="00FC35A4" w:rsidRDefault="00147C60" w:rsidP="00147C60">
      <w:pPr>
        <w:widowControl w:val="0"/>
        <w:ind w:left="0" w:firstLine="0"/>
        <w:rPr>
          <w:highlight w:val="lightGray"/>
        </w:rPr>
      </w:pPr>
      <w:r w:rsidRPr="00FC35A4">
        <w:rPr>
          <w:highlight w:val="lightGray"/>
        </w:rPr>
        <w:t>Winthontlaan 200,Utrecht,3526 KV</w:t>
      </w:r>
    </w:p>
    <w:p w14:paraId="167109B6" w14:textId="05913C55" w:rsidR="00147C60" w:rsidRDefault="00147C60" w:rsidP="00147C60">
      <w:pPr>
        <w:widowControl w:val="0"/>
        <w:ind w:left="0" w:firstLine="0"/>
        <w:rPr>
          <w:ins w:id="18" w:author="ABB" w:date="2025-07-10T14:30:00Z"/>
        </w:rPr>
      </w:pPr>
      <w:r w:rsidRPr="00FC35A4">
        <w:rPr>
          <w:highlight w:val="lightGray"/>
        </w:rPr>
        <w:t>Holandia</w:t>
      </w:r>
    </w:p>
    <w:p w14:paraId="471D9B18" w14:textId="77777777" w:rsidR="009833F3" w:rsidRDefault="009833F3" w:rsidP="00147C60">
      <w:pPr>
        <w:widowControl w:val="0"/>
        <w:ind w:left="0" w:firstLine="0"/>
        <w:rPr>
          <w:ins w:id="19" w:author="ABB" w:date="2025-07-10T14:30:00Z"/>
        </w:rPr>
      </w:pPr>
    </w:p>
    <w:p w14:paraId="11741FF2" w14:textId="77777777" w:rsidR="009833F3" w:rsidRPr="009833F3" w:rsidRDefault="009833F3" w:rsidP="009833F3">
      <w:pPr>
        <w:pStyle w:val="Default"/>
        <w:rPr>
          <w:ins w:id="20" w:author="ABB" w:date="2025-07-10T14:30:00Z"/>
          <w:sz w:val="22"/>
          <w:szCs w:val="22"/>
          <w:highlight w:val="lightGray"/>
          <w:rPrChange w:id="21" w:author="ABB" w:date="2025-07-10T14:30:00Z">
            <w:rPr>
              <w:ins w:id="22" w:author="ABB" w:date="2025-07-10T14:30:00Z"/>
              <w:sz w:val="22"/>
              <w:szCs w:val="22"/>
            </w:rPr>
          </w:rPrChange>
        </w:rPr>
      </w:pPr>
      <w:ins w:id="23" w:author="ABB" w:date="2025-07-10T14:30:00Z">
        <w:r w:rsidRPr="009833F3">
          <w:rPr>
            <w:sz w:val="22"/>
            <w:szCs w:val="22"/>
            <w:highlight w:val="lightGray"/>
            <w:rPrChange w:id="24" w:author="ABB" w:date="2025-07-10T14:30:00Z">
              <w:rPr>
                <w:sz w:val="22"/>
                <w:szCs w:val="22"/>
              </w:rPr>
            </w:rPrChange>
          </w:rPr>
          <w:t xml:space="preserve">Accord Healthcare single member S.A. </w:t>
        </w:r>
      </w:ins>
    </w:p>
    <w:p w14:paraId="2EFA5212" w14:textId="77777777" w:rsidR="009833F3" w:rsidRPr="009833F3" w:rsidRDefault="009833F3" w:rsidP="009833F3">
      <w:pPr>
        <w:pStyle w:val="Default"/>
        <w:rPr>
          <w:ins w:id="25" w:author="ABB" w:date="2025-07-10T14:30:00Z"/>
          <w:sz w:val="22"/>
          <w:szCs w:val="22"/>
          <w:highlight w:val="lightGray"/>
          <w:rPrChange w:id="26" w:author="ABB" w:date="2025-07-10T14:30:00Z">
            <w:rPr>
              <w:ins w:id="27" w:author="ABB" w:date="2025-07-10T14:30:00Z"/>
              <w:sz w:val="22"/>
              <w:szCs w:val="22"/>
            </w:rPr>
          </w:rPrChange>
        </w:rPr>
      </w:pPr>
      <w:ins w:id="28" w:author="ABB" w:date="2025-07-10T14:30:00Z">
        <w:r w:rsidRPr="009833F3">
          <w:rPr>
            <w:sz w:val="22"/>
            <w:szCs w:val="22"/>
            <w:highlight w:val="lightGray"/>
            <w:rPrChange w:id="29" w:author="ABB" w:date="2025-07-10T14:30:00Z">
              <w:rPr>
                <w:sz w:val="22"/>
                <w:szCs w:val="22"/>
              </w:rPr>
            </w:rPrChange>
          </w:rPr>
          <w:t>64th Km National Road Athens,</w:t>
        </w:r>
      </w:ins>
    </w:p>
    <w:p w14:paraId="542B3722" w14:textId="77777777" w:rsidR="009833F3" w:rsidRPr="009833F3" w:rsidRDefault="009833F3" w:rsidP="009833F3">
      <w:pPr>
        <w:pStyle w:val="Default"/>
        <w:rPr>
          <w:ins w:id="30" w:author="ABB" w:date="2025-07-10T14:30:00Z"/>
          <w:sz w:val="22"/>
          <w:szCs w:val="22"/>
          <w:highlight w:val="lightGray"/>
          <w:rPrChange w:id="31" w:author="ABB" w:date="2025-07-10T14:30:00Z">
            <w:rPr>
              <w:ins w:id="32" w:author="ABB" w:date="2025-07-10T14:30:00Z"/>
              <w:sz w:val="22"/>
              <w:szCs w:val="22"/>
            </w:rPr>
          </w:rPrChange>
        </w:rPr>
      </w:pPr>
      <w:ins w:id="33" w:author="ABB" w:date="2025-07-10T14:30:00Z">
        <w:r w:rsidRPr="009833F3">
          <w:rPr>
            <w:sz w:val="22"/>
            <w:szCs w:val="22"/>
            <w:highlight w:val="lightGray"/>
            <w:rPrChange w:id="34" w:author="ABB" w:date="2025-07-10T14:30:00Z">
              <w:rPr>
                <w:sz w:val="22"/>
                <w:szCs w:val="22"/>
              </w:rPr>
            </w:rPrChange>
          </w:rPr>
          <w:t xml:space="preserve">Lamia, </w:t>
        </w:r>
        <w:proofErr w:type="spellStart"/>
        <w:r w:rsidRPr="009833F3">
          <w:rPr>
            <w:sz w:val="22"/>
            <w:szCs w:val="22"/>
            <w:highlight w:val="lightGray"/>
            <w:rPrChange w:id="35" w:author="ABB" w:date="2025-07-10T14:30:00Z">
              <w:rPr>
                <w:sz w:val="22"/>
                <w:szCs w:val="22"/>
              </w:rPr>
            </w:rPrChange>
          </w:rPr>
          <w:t>Schimatari</w:t>
        </w:r>
        <w:proofErr w:type="spellEnd"/>
        <w:r w:rsidRPr="009833F3">
          <w:rPr>
            <w:sz w:val="22"/>
            <w:szCs w:val="22"/>
            <w:highlight w:val="lightGray"/>
            <w:rPrChange w:id="36" w:author="ABB" w:date="2025-07-10T14:30:00Z">
              <w:rPr>
                <w:sz w:val="22"/>
                <w:szCs w:val="22"/>
              </w:rPr>
            </w:rPrChange>
          </w:rPr>
          <w:t xml:space="preserve">, 32009, </w:t>
        </w:r>
      </w:ins>
    </w:p>
    <w:p w14:paraId="18EEEED7" w14:textId="77777777" w:rsidR="009833F3" w:rsidRPr="00F0339C" w:rsidRDefault="009833F3" w:rsidP="009833F3">
      <w:pPr>
        <w:pStyle w:val="Default"/>
        <w:rPr>
          <w:ins w:id="37" w:author="ABB" w:date="2025-07-10T14:30:00Z"/>
          <w:sz w:val="22"/>
          <w:szCs w:val="22"/>
        </w:rPr>
      </w:pPr>
      <w:proofErr w:type="spellStart"/>
      <w:ins w:id="38" w:author="ABB" w:date="2025-07-10T14:30:00Z">
        <w:r w:rsidRPr="009833F3">
          <w:rPr>
            <w:sz w:val="22"/>
            <w:szCs w:val="22"/>
            <w:highlight w:val="lightGray"/>
            <w:rPrChange w:id="39" w:author="ABB" w:date="2025-07-10T14:30:00Z">
              <w:rPr>
                <w:sz w:val="22"/>
                <w:szCs w:val="22"/>
              </w:rPr>
            </w:rPrChange>
          </w:rPr>
          <w:t>Grecja</w:t>
        </w:r>
        <w:proofErr w:type="spellEnd"/>
      </w:ins>
    </w:p>
    <w:p w14:paraId="726FF8B1" w14:textId="77777777" w:rsidR="009833F3" w:rsidRDefault="009833F3" w:rsidP="00147C60">
      <w:pPr>
        <w:widowControl w:val="0"/>
        <w:ind w:left="0" w:firstLine="0"/>
      </w:pPr>
    </w:p>
    <w:p w14:paraId="2FC44905" w14:textId="74C0F19D" w:rsidR="006727E9" w:rsidRDefault="006727E9" w:rsidP="00147C60">
      <w:pPr>
        <w:widowControl w:val="0"/>
        <w:ind w:left="0" w:firstLine="0"/>
      </w:pPr>
    </w:p>
    <w:p w14:paraId="465FF1E2" w14:textId="77777777" w:rsidR="006727E9" w:rsidRPr="00440C66" w:rsidRDefault="006727E9" w:rsidP="006727E9">
      <w:pPr>
        <w:widowControl w:val="0"/>
        <w:rPr>
          <w:b/>
        </w:rPr>
      </w:pPr>
      <w:r w:rsidRPr="00440C66">
        <w:rPr>
          <w:b/>
        </w:rPr>
        <w:t>Data ostatniej aktualizacji ulotki:</w:t>
      </w:r>
    </w:p>
    <w:p w14:paraId="69CF531A" w14:textId="77777777" w:rsidR="006727E9" w:rsidRPr="00440C66" w:rsidRDefault="006727E9" w:rsidP="006727E9">
      <w:pPr>
        <w:widowControl w:val="0"/>
        <w:rPr>
          <w:lang w:val="cs-CZ"/>
        </w:rPr>
      </w:pPr>
    </w:p>
    <w:p w14:paraId="51B3EAC7" w14:textId="77777777" w:rsidR="006727E9" w:rsidRPr="00440C66" w:rsidRDefault="006727E9" w:rsidP="006727E9">
      <w:pPr>
        <w:keepNext/>
        <w:widowControl w:val="0"/>
        <w:ind w:left="0" w:firstLine="0"/>
        <w:rPr>
          <w:b/>
          <w:noProof/>
          <w:szCs w:val="22"/>
        </w:rPr>
      </w:pPr>
      <w:r w:rsidRPr="00440C66">
        <w:rPr>
          <w:b/>
          <w:noProof/>
          <w:szCs w:val="22"/>
        </w:rPr>
        <w:t>Inne źródła informacji</w:t>
      </w:r>
    </w:p>
    <w:p w14:paraId="7D0DC677" w14:textId="138E270D" w:rsidR="004A27E7" w:rsidRPr="00440C66" w:rsidRDefault="006727E9" w:rsidP="00FC35A4">
      <w:pPr>
        <w:keepNext/>
        <w:widowControl w:val="0"/>
        <w:ind w:left="0" w:firstLine="0"/>
        <w:rPr>
          <w:noProof/>
          <w:szCs w:val="22"/>
        </w:rPr>
      </w:pPr>
      <w:r w:rsidRPr="00440C66">
        <w:rPr>
          <w:noProof/>
          <w:szCs w:val="22"/>
        </w:rPr>
        <w:t xml:space="preserve">Szczegółowe informacje o tym leku znajdują się na stronie internetowej Europejskiej Agencji Leków </w:t>
      </w:r>
      <w:r w:rsidRPr="003C506F">
        <w:rPr>
          <w:noProof/>
          <w:color w:val="000000"/>
          <w:szCs w:val="22"/>
        </w:rPr>
        <w:t>http://www.ema.europa.eu</w:t>
      </w:r>
      <w:r>
        <w:rPr>
          <w:noProof/>
          <w:color w:val="000000"/>
          <w:szCs w:val="22"/>
        </w:rPr>
        <w:t>.</w:t>
      </w:r>
    </w:p>
    <w:p w14:paraId="22A393F9" w14:textId="77777777" w:rsidR="008B423C" w:rsidRPr="007D5C3C" w:rsidRDefault="008B423C" w:rsidP="004C760F">
      <w:pPr>
        <w:widowControl w:val="0"/>
        <w:ind w:left="0" w:firstLine="0"/>
        <w:rPr>
          <w:szCs w:val="22"/>
        </w:rPr>
      </w:pPr>
    </w:p>
    <w:sectPr w:rsidR="008B423C" w:rsidRPr="007D5C3C" w:rsidSect="00025CF1">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C8FD" w14:textId="77777777" w:rsidR="00232945" w:rsidRDefault="00232945">
      <w:r>
        <w:separator/>
      </w:r>
    </w:p>
  </w:endnote>
  <w:endnote w:type="continuationSeparator" w:id="0">
    <w:p w14:paraId="4A2EF2CD" w14:textId="77777777" w:rsidR="00232945" w:rsidRDefault="0023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2928" w14:textId="718EB68C" w:rsidR="00090296" w:rsidRPr="004A0917" w:rsidRDefault="00090296">
    <w:pPr>
      <w:pStyle w:val="Footer"/>
      <w:jc w:val="center"/>
      <w:rPr>
        <w:rFonts w:ascii="Arial" w:hAnsi="Arial" w:cs="Arial"/>
      </w:rPr>
    </w:pPr>
    <w:r w:rsidRPr="004A0917">
      <w:rPr>
        <w:rStyle w:val="PageNumber"/>
        <w:rFonts w:ascii="Arial" w:hAnsi="Arial" w:cs="Arial"/>
      </w:rPr>
      <w:fldChar w:fldCharType="begin"/>
    </w:r>
    <w:r w:rsidRPr="004A0917">
      <w:rPr>
        <w:rStyle w:val="PageNumber"/>
        <w:rFonts w:ascii="Arial" w:hAnsi="Arial" w:cs="Arial"/>
      </w:rPr>
      <w:instrText xml:space="preserve"> PAGE </w:instrText>
    </w:r>
    <w:r w:rsidRPr="004A0917">
      <w:rPr>
        <w:rStyle w:val="PageNumber"/>
        <w:rFonts w:ascii="Arial" w:hAnsi="Arial" w:cs="Arial"/>
      </w:rPr>
      <w:fldChar w:fldCharType="separate"/>
    </w:r>
    <w:r w:rsidR="00EF44D1">
      <w:rPr>
        <w:rStyle w:val="PageNumber"/>
        <w:rFonts w:ascii="Arial" w:hAnsi="Arial" w:cs="Arial"/>
        <w:noProof/>
      </w:rPr>
      <w:t>32</w:t>
    </w:r>
    <w:r w:rsidRPr="004A091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350B" w14:textId="77777777" w:rsidR="00232945" w:rsidRDefault="00232945">
      <w:r>
        <w:separator/>
      </w:r>
    </w:p>
  </w:footnote>
  <w:footnote w:type="continuationSeparator" w:id="0">
    <w:p w14:paraId="62EC453A" w14:textId="77777777" w:rsidR="00232945" w:rsidRDefault="00232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C0A1F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274369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EF6979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B43847"/>
    <w:multiLevelType w:val="hybridMultilevel"/>
    <w:tmpl w:val="2B00EE54"/>
    <w:lvl w:ilvl="0" w:tplc="0415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A281502"/>
    <w:multiLevelType w:val="hybridMultilevel"/>
    <w:tmpl w:val="1EAACEB8"/>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C0FD5"/>
    <w:multiLevelType w:val="hybridMultilevel"/>
    <w:tmpl w:val="475CF352"/>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E1D13"/>
    <w:multiLevelType w:val="hybridMultilevel"/>
    <w:tmpl w:val="227C591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06D16"/>
    <w:multiLevelType w:val="hybridMultilevel"/>
    <w:tmpl w:val="3EC6B98C"/>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0007D"/>
    <w:multiLevelType w:val="hybridMultilevel"/>
    <w:tmpl w:val="B20C2368"/>
    <w:lvl w:ilvl="0" w:tplc="3E36F360">
      <w:start w:val="1"/>
      <w:numFmt w:val="bullet"/>
      <w:lvlText w:val="-"/>
      <w:lvlJc w:val="left"/>
      <w:pPr>
        <w:ind w:left="774" w:hanging="360"/>
      </w:pPr>
      <w:rPr>
        <w:rFonts w:ascii="Times New Roman"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54AE4FED"/>
    <w:multiLevelType w:val="hybridMultilevel"/>
    <w:tmpl w:val="F4B42336"/>
    <w:lvl w:ilvl="0" w:tplc="EB78F216">
      <w:start w:val="1"/>
      <w:numFmt w:val="bullet"/>
      <w:lvlText w:val=""/>
      <w:lvlJc w:val="left"/>
      <w:pPr>
        <w:tabs>
          <w:tab w:val="num" w:pos="1134"/>
        </w:tabs>
        <w:ind w:left="1134" w:hanging="567"/>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9240DED"/>
    <w:multiLevelType w:val="hybridMultilevel"/>
    <w:tmpl w:val="2458B908"/>
    <w:lvl w:ilvl="0" w:tplc="821E2C84">
      <w:start w:val="1"/>
      <w:numFmt w:val="bullet"/>
      <w:lvlText w:val="-"/>
      <w:lvlJc w:val="left"/>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35A3E"/>
    <w:multiLevelType w:val="hybridMultilevel"/>
    <w:tmpl w:val="D02E0FE6"/>
    <w:lvl w:ilvl="0" w:tplc="29D06F64">
      <w:start w:val="17"/>
      <w:numFmt w:val="decimal"/>
      <w:lvlText w:val="%1."/>
      <w:lvlJc w:val="left"/>
      <w:pPr>
        <w:ind w:left="1440" w:hanging="360"/>
      </w:pPr>
      <w:rPr>
        <w:rFonts w:hint="default"/>
        <w:b/>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B38373B"/>
    <w:multiLevelType w:val="hybridMultilevel"/>
    <w:tmpl w:val="3EC6B98C"/>
    <w:lvl w:ilvl="0" w:tplc="00203664">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A769C"/>
    <w:multiLevelType w:val="hybridMultilevel"/>
    <w:tmpl w:val="B1F0B990"/>
    <w:lvl w:ilvl="0" w:tplc="FFFFFFFF">
      <w:start w:val="21"/>
      <w:numFmt w:val="bullet"/>
      <w:lvlText w:val="-"/>
      <w:lvlJc w:val="left"/>
      <w:pPr>
        <w:tabs>
          <w:tab w:val="num" w:pos="786"/>
        </w:tabs>
        <w:ind w:left="786" w:hanging="360"/>
      </w:pPr>
      <w:rPr>
        <w:rFonts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15" w15:restartNumberingAfterBreak="0">
    <w:nsid w:val="6F9337D0"/>
    <w:multiLevelType w:val="hybridMultilevel"/>
    <w:tmpl w:val="45704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175AF"/>
    <w:multiLevelType w:val="hybridMultilevel"/>
    <w:tmpl w:val="44248A38"/>
    <w:lvl w:ilvl="0" w:tplc="08090001">
      <w:start w:val="1"/>
      <w:numFmt w:val="bullet"/>
      <w:lvlText w:val=""/>
      <w:lvlJc w:val="left"/>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7" w15:restartNumberingAfterBreak="0">
    <w:nsid w:val="7A100D28"/>
    <w:multiLevelType w:val="hybridMultilevel"/>
    <w:tmpl w:val="EE885C8E"/>
    <w:lvl w:ilvl="0" w:tplc="FD788292">
      <w:start w:val="1"/>
      <w:numFmt w:val="upperLetter"/>
      <w:lvlText w:val="%1."/>
      <w:lvlJc w:val="left"/>
      <w:pPr>
        <w:ind w:left="5670" w:hanging="5670"/>
      </w:pPr>
      <w:rPr>
        <w:rFonts w:hint="default"/>
        <w:b/>
      </w:rPr>
    </w:lvl>
    <w:lvl w:ilvl="1" w:tplc="0020366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F280708"/>
    <w:multiLevelType w:val="hybridMultilevel"/>
    <w:tmpl w:val="26FE43B6"/>
    <w:lvl w:ilvl="0" w:tplc="EB78F216">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058106">
    <w:abstractNumId w:val="14"/>
  </w:num>
  <w:num w:numId="2" w16cid:durableId="24916423">
    <w:abstractNumId w:val="4"/>
  </w:num>
  <w:num w:numId="3" w16cid:durableId="1696074739">
    <w:abstractNumId w:val="18"/>
  </w:num>
  <w:num w:numId="4" w16cid:durableId="19019454">
    <w:abstractNumId w:val="10"/>
  </w:num>
  <w:num w:numId="5" w16cid:durableId="1976786809">
    <w:abstractNumId w:val="2"/>
  </w:num>
  <w:num w:numId="6" w16cid:durableId="1868450618">
    <w:abstractNumId w:val="1"/>
  </w:num>
  <w:num w:numId="7" w16cid:durableId="503403908">
    <w:abstractNumId w:val="0"/>
  </w:num>
  <w:num w:numId="8" w16cid:durableId="1042631143">
    <w:abstractNumId w:val="9"/>
  </w:num>
  <w:num w:numId="9" w16cid:durableId="1491796299">
    <w:abstractNumId w:val="15"/>
  </w:num>
  <w:num w:numId="10" w16cid:durableId="2888992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500779">
    <w:abstractNumId w:val="17"/>
  </w:num>
  <w:num w:numId="12" w16cid:durableId="1634677694">
    <w:abstractNumId w:val="5"/>
  </w:num>
  <w:num w:numId="13" w16cid:durableId="1635139108">
    <w:abstractNumId w:val="13"/>
  </w:num>
  <w:num w:numId="14" w16cid:durableId="115108105">
    <w:abstractNumId w:val="7"/>
  </w:num>
  <w:num w:numId="15" w16cid:durableId="397699">
    <w:abstractNumId w:val="8"/>
  </w:num>
  <w:num w:numId="16" w16cid:durableId="1847741248">
    <w:abstractNumId w:val="3"/>
  </w:num>
  <w:num w:numId="17" w16cid:durableId="2120097277">
    <w:abstractNumId w:val="6"/>
  </w:num>
  <w:num w:numId="18" w16cid:durableId="1550725024">
    <w:abstractNumId w:val="11"/>
  </w:num>
  <w:num w:numId="19" w16cid:durableId="1791893731">
    <w:abstractNumId w:val="16"/>
  </w:num>
  <w:num w:numId="20" w16cid:durableId="198280784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
    <w15:presenceInfo w15:providerId="None" w15:userId="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13"/>
    <w:rsid w:val="000004BF"/>
    <w:rsid w:val="0000226D"/>
    <w:rsid w:val="00002465"/>
    <w:rsid w:val="0000251F"/>
    <w:rsid w:val="00002FAA"/>
    <w:rsid w:val="00003AA3"/>
    <w:rsid w:val="00004148"/>
    <w:rsid w:val="00006DD2"/>
    <w:rsid w:val="00010B0D"/>
    <w:rsid w:val="000111D6"/>
    <w:rsid w:val="0001322A"/>
    <w:rsid w:val="00013F68"/>
    <w:rsid w:val="00014877"/>
    <w:rsid w:val="00015D03"/>
    <w:rsid w:val="00016987"/>
    <w:rsid w:val="000207A3"/>
    <w:rsid w:val="00022269"/>
    <w:rsid w:val="0002487A"/>
    <w:rsid w:val="00024B1A"/>
    <w:rsid w:val="00025CF1"/>
    <w:rsid w:val="00026091"/>
    <w:rsid w:val="00027729"/>
    <w:rsid w:val="00027F1B"/>
    <w:rsid w:val="000313F2"/>
    <w:rsid w:val="00032F55"/>
    <w:rsid w:val="00035C2E"/>
    <w:rsid w:val="0003640C"/>
    <w:rsid w:val="000372BF"/>
    <w:rsid w:val="00040168"/>
    <w:rsid w:val="000401C3"/>
    <w:rsid w:val="00040757"/>
    <w:rsid w:val="00041E79"/>
    <w:rsid w:val="0004662D"/>
    <w:rsid w:val="0005093D"/>
    <w:rsid w:val="00050A77"/>
    <w:rsid w:val="00050F8E"/>
    <w:rsid w:val="000520B6"/>
    <w:rsid w:val="00053FAA"/>
    <w:rsid w:val="00054268"/>
    <w:rsid w:val="0005451E"/>
    <w:rsid w:val="0005536F"/>
    <w:rsid w:val="000579E2"/>
    <w:rsid w:val="00063972"/>
    <w:rsid w:val="00063D39"/>
    <w:rsid w:val="00067588"/>
    <w:rsid w:val="00067973"/>
    <w:rsid w:val="00070C89"/>
    <w:rsid w:val="00070FD5"/>
    <w:rsid w:val="00074A3B"/>
    <w:rsid w:val="00074EA6"/>
    <w:rsid w:val="00077441"/>
    <w:rsid w:val="000807E7"/>
    <w:rsid w:val="00080C0B"/>
    <w:rsid w:val="00081D10"/>
    <w:rsid w:val="0008211E"/>
    <w:rsid w:val="00082C8F"/>
    <w:rsid w:val="000836BA"/>
    <w:rsid w:val="0008539D"/>
    <w:rsid w:val="000854CB"/>
    <w:rsid w:val="00087BD9"/>
    <w:rsid w:val="00090296"/>
    <w:rsid w:val="000913E5"/>
    <w:rsid w:val="00091A5F"/>
    <w:rsid w:val="00092D2D"/>
    <w:rsid w:val="00092DDC"/>
    <w:rsid w:val="000A05C4"/>
    <w:rsid w:val="000A09C4"/>
    <w:rsid w:val="000A10B7"/>
    <w:rsid w:val="000A3973"/>
    <w:rsid w:val="000A48AE"/>
    <w:rsid w:val="000A66EA"/>
    <w:rsid w:val="000A7B43"/>
    <w:rsid w:val="000B0C7C"/>
    <w:rsid w:val="000B1E11"/>
    <w:rsid w:val="000B440E"/>
    <w:rsid w:val="000B4960"/>
    <w:rsid w:val="000B4F3E"/>
    <w:rsid w:val="000B58AD"/>
    <w:rsid w:val="000B6593"/>
    <w:rsid w:val="000B7FB1"/>
    <w:rsid w:val="000C2E5E"/>
    <w:rsid w:val="000C2E88"/>
    <w:rsid w:val="000C5CE0"/>
    <w:rsid w:val="000C6167"/>
    <w:rsid w:val="000C6DC3"/>
    <w:rsid w:val="000D06B9"/>
    <w:rsid w:val="000D0F89"/>
    <w:rsid w:val="000D173F"/>
    <w:rsid w:val="000D1A97"/>
    <w:rsid w:val="000D24BA"/>
    <w:rsid w:val="000D48BE"/>
    <w:rsid w:val="000D6A50"/>
    <w:rsid w:val="000D700F"/>
    <w:rsid w:val="000E351C"/>
    <w:rsid w:val="000E381B"/>
    <w:rsid w:val="000E3931"/>
    <w:rsid w:val="000E5F1C"/>
    <w:rsid w:val="000E61A8"/>
    <w:rsid w:val="000F0BA8"/>
    <w:rsid w:val="000F2C1E"/>
    <w:rsid w:val="000F583C"/>
    <w:rsid w:val="000F7E21"/>
    <w:rsid w:val="001020BC"/>
    <w:rsid w:val="001026DD"/>
    <w:rsid w:val="00103176"/>
    <w:rsid w:val="0010469D"/>
    <w:rsid w:val="00104E2A"/>
    <w:rsid w:val="00105183"/>
    <w:rsid w:val="00105597"/>
    <w:rsid w:val="00105977"/>
    <w:rsid w:val="001059D3"/>
    <w:rsid w:val="00106DD3"/>
    <w:rsid w:val="001071C3"/>
    <w:rsid w:val="001100BF"/>
    <w:rsid w:val="00112295"/>
    <w:rsid w:val="001126EE"/>
    <w:rsid w:val="00115125"/>
    <w:rsid w:val="00115350"/>
    <w:rsid w:val="00116D39"/>
    <w:rsid w:val="00120D57"/>
    <w:rsid w:val="00121284"/>
    <w:rsid w:val="0012295C"/>
    <w:rsid w:val="00122BD7"/>
    <w:rsid w:val="00122DB1"/>
    <w:rsid w:val="0012501F"/>
    <w:rsid w:val="001253ED"/>
    <w:rsid w:val="00126166"/>
    <w:rsid w:val="00131E40"/>
    <w:rsid w:val="00131FE9"/>
    <w:rsid w:val="00133E79"/>
    <w:rsid w:val="0013482F"/>
    <w:rsid w:val="001401E3"/>
    <w:rsid w:val="00143164"/>
    <w:rsid w:val="001437B8"/>
    <w:rsid w:val="00144761"/>
    <w:rsid w:val="001451E2"/>
    <w:rsid w:val="00145A54"/>
    <w:rsid w:val="00145F6B"/>
    <w:rsid w:val="00145FF2"/>
    <w:rsid w:val="0014668E"/>
    <w:rsid w:val="00147C60"/>
    <w:rsid w:val="00147EE3"/>
    <w:rsid w:val="001513C6"/>
    <w:rsid w:val="0015494E"/>
    <w:rsid w:val="00154E9D"/>
    <w:rsid w:val="0015617D"/>
    <w:rsid w:val="00156CF9"/>
    <w:rsid w:val="00157FB1"/>
    <w:rsid w:val="00160BC5"/>
    <w:rsid w:val="00160F75"/>
    <w:rsid w:val="001644B0"/>
    <w:rsid w:val="00164FA5"/>
    <w:rsid w:val="00165AD9"/>
    <w:rsid w:val="00165C53"/>
    <w:rsid w:val="00166634"/>
    <w:rsid w:val="00166C14"/>
    <w:rsid w:val="001705E2"/>
    <w:rsid w:val="0017177D"/>
    <w:rsid w:val="00175720"/>
    <w:rsid w:val="00177509"/>
    <w:rsid w:val="00177A97"/>
    <w:rsid w:val="001807B9"/>
    <w:rsid w:val="00181210"/>
    <w:rsid w:val="001819A6"/>
    <w:rsid w:val="001841A7"/>
    <w:rsid w:val="0018441B"/>
    <w:rsid w:val="001844BD"/>
    <w:rsid w:val="00185547"/>
    <w:rsid w:val="001873C5"/>
    <w:rsid w:val="001908EE"/>
    <w:rsid w:val="00190CE6"/>
    <w:rsid w:val="00191CC5"/>
    <w:rsid w:val="00192F97"/>
    <w:rsid w:val="00193227"/>
    <w:rsid w:val="001933B8"/>
    <w:rsid w:val="001944CF"/>
    <w:rsid w:val="00195EFF"/>
    <w:rsid w:val="0019683F"/>
    <w:rsid w:val="0019747D"/>
    <w:rsid w:val="00197917"/>
    <w:rsid w:val="001A2169"/>
    <w:rsid w:val="001A2DE0"/>
    <w:rsid w:val="001A375A"/>
    <w:rsid w:val="001A546B"/>
    <w:rsid w:val="001A5496"/>
    <w:rsid w:val="001A5909"/>
    <w:rsid w:val="001A6287"/>
    <w:rsid w:val="001A63C4"/>
    <w:rsid w:val="001A68C1"/>
    <w:rsid w:val="001A7CFA"/>
    <w:rsid w:val="001B0072"/>
    <w:rsid w:val="001B043B"/>
    <w:rsid w:val="001B0C63"/>
    <w:rsid w:val="001B24D3"/>
    <w:rsid w:val="001B2CF3"/>
    <w:rsid w:val="001B310A"/>
    <w:rsid w:val="001B58F0"/>
    <w:rsid w:val="001B623C"/>
    <w:rsid w:val="001C1960"/>
    <w:rsid w:val="001C216C"/>
    <w:rsid w:val="001C2341"/>
    <w:rsid w:val="001C2862"/>
    <w:rsid w:val="001C3BE2"/>
    <w:rsid w:val="001C3F99"/>
    <w:rsid w:val="001C57DC"/>
    <w:rsid w:val="001C582A"/>
    <w:rsid w:val="001C5900"/>
    <w:rsid w:val="001C6542"/>
    <w:rsid w:val="001C7687"/>
    <w:rsid w:val="001D006A"/>
    <w:rsid w:val="001D0465"/>
    <w:rsid w:val="001D04CE"/>
    <w:rsid w:val="001D2DC0"/>
    <w:rsid w:val="001D4237"/>
    <w:rsid w:val="001D54F7"/>
    <w:rsid w:val="001D58F5"/>
    <w:rsid w:val="001D76AC"/>
    <w:rsid w:val="001D77FA"/>
    <w:rsid w:val="001E0C01"/>
    <w:rsid w:val="001E1411"/>
    <w:rsid w:val="001E1A88"/>
    <w:rsid w:val="001E51CA"/>
    <w:rsid w:val="001E56C8"/>
    <w:rsid w:val="001E5A12"/>
    <w:rsid w:val="001E73A5"/>
    <w:rsid w:val="001F0244"/>
    <w:rsid w:val="001F167B"/>
    <w:rsid w:val="001F391F"/>
    <w:rsid w:val="001F437E"/>
    <w:rsid w:val="001F44D1"/>
    <w:rsid w:val="001F4FA2"/>
    <w:rsid w:val="001F5F28"/>
    <w:rsid w:val="001F6FC8"/>
    <w:rsid w:val="001F70A6"/>
    <w:rsid w:val="0020096B"/>
    <w:rsid w:val="002031EC"/>
    <w:rsid w:val="00203D44"/>
    <w:rsid w:val="00204895"/>
    <w:rsid w:val="00212188"/>
    <w:rsid w:val="002144BD"/>
    <w:rsid w:val="00214F15"/>
    <w:rsid w:val="002204DB"/>
    <w:rsid w:val="00222BC5"/>
    <w:rsid w:val="00223FF3"/>
    <w:rsid w:val="0022450E"/>
    <w:rsid w:val="00224545"/>
    <w:rsid w:val="00224817"/>
    <w:rsid w:val="00224916"/>
    <w:rsid w:val="00225AA3"/>
    <w:rsid w:val="00225AEA"/>
    <w:rsid w:val="00225EC1"/>
    <w:rsid w:val="002305FD"/>
    <w:rsid w:val="00232945"/>
    <w:rsid w:val="00233232"/>
    <w:rsid w:val="00234ADA"/>
    <w:rsid w:val="00235878"/>
    <w:rsid w:val="00243267"/>
    <w:rsid w:val="002434F0"/>
    <w:rsid w:val="00243B80"/>
    <w:rsid w:val="00244B7E"/>
    <w:rsid w:val="00244CE2"/>
    <w:rsid w:val="00245B85"/>
    <w:rsid w:val="00247334"/>
    <w:rsid w:val="00247646"/>
    <w:rsid w:val="00247B4E"/>
    <w:rsid w:val="00250F79"/>
    <w:rsid w:val="002514AA"/>
    <w:rsid w:val="00256F99"/>
    <w:rsid w:val="002570AD"/>
    <w:rsid w:val="002572A2"/>
    <w:rsid w:val="0025752A"/>
    <w:rsid w:val="0026073A"/>
    <w:rsid w:val="00263F31"/>
    <w:rsid w:val="002654F3"/>
    <w:rsid w:val="002664ED"/>
    <w:rsid w:val="002667BC"/>
    <w:rsid w:val="002669DA"/>
    <w:rsid w:val="002705D7"/>
    <w:rsid w:val="00273376"/>
    <w:rsid w:val="00275295"/>
    <w:rsid w:val="002762F7"/>
    <w:rsid w:val="002766FD"/>
    <w:rsid w:val="002779BD"/>
    <w:rsid w:val="00282CAE"/>
    <w:rsid w:val="0028526A"/>
    <w:rsid w:val="00285D65"/>
    <w:rsid w:val="00285EDB"/>
    <w:rsid w:val="00286D10"/>
    <w:rsid w:val="002874B9"/>
    <w:rsid w:val="0029022E"/>
    <w:rsid w:val="002905DB"/>
    <w:rsid w:val="0029674F"/>
    <w:rsid w:val="00297626"/>
    <w:rsid w:val="00297EEB"/>
    <w:rsid w:val="002A011C"/>
    <w:rsid w:val="002A0868"/>
    <w:rsid w:val="002A0FE6"/>
    <w:rsid w:val="002A111C"/>
    <w:rsid w:val="002A1D77"/>
    <w:rsid w:val="002A33F2"/>
    <w:rsid w:val="002A4997"/>
    <w:rsid w:val="002A5F9C"/>
    <w:rsid w:val="002A6E94"/>
    <w:rsid w:val="002A783B"/>
    <w:rsid w:val="002B19D7"/>
    <w:rsid w:val="002B1CD3"/>
    <w:rsid w:val="002B2533"/>
    <w:rsid w:val="002B2901"/>
    <w:rsid w:val="002B5168"/>
    <w:rsid w:val="002B6CB5"/>
    <w:rsid w:val="002C332C"/>
    <w:rsid w:val="002D1455"/>
    <w:rsid w:val="002D1751"/>
    <w:rsid w:val="002D2CE0"/>
    <w:rsid w:val="002D3642"/>
    <w:rsid w:val="002D4785"/>
    <w:rsid w:val="002D56B7"/>
    <w:rsid w:val="002D5895"/>
    <w:rsid w:val="002D728A"/>
    <w:rsid w:val="002E0F75"/>
    <w:rsid w:val="002E11A8"/>
    <w:rsid w:val="002E22C5"/>
    <w:rsid w:val="002E25FB"/>
    <w:rsid w:val="002E3EDE"/>
    <w:rsid w:val="002E4112"/>
    <w:rsid w:val="002E506E"/>
    <w:rsid w:val="002E5C58"/>
    <w:rsid w:val="002E6221"/>
    <w:rsid w:val="002E6271"/>
    <w:rsid w:val="002E6CFA"/>
    <w:rsid w:val="002E6FB2"/>
    <w:rsid w:val="002F64C9"/>
    <w:rsid w:val="002F65C9"/>
    <w:rsid w:val="003001F6"/>
    <w:rsid w:val="00301BDC"/>
    <w:rsid w:val="00303F62"/>
    <w:rsid w:val="00306E15"/>
    <w:rsid w:val="00310646"/>
    <w:rsid w:val="003118AA"/>
    <w:rsid w:val="003119DE"/>
    <w:rsid w:val="003119FD"/>
    <w:rsid w:val="00311E85"/>
    <w:rsid w:val="00316622"/>
    <w:rsid w:val="003174B2"/>
    <w:rsid w:val="00320179"/>
    <w:rsid w:val="003214A3"/>
    <w:rsid w:val="003229E4"/>
    <w:rsid w:val="003232B4"/>
    <w:rsid w:val="00324E50"/>
    <w:rsid w:val="00324F20"/>
    <w:rsid w:val="003260DB"/>
    <w:rsid w:val="00326FE2"/>
    <w:rsid w:val="00332A7E"/>
    <w:rsid w:val="00333598"/>
    <w:rsid w:val="00333614"/>
    <w:rsid w:val="00333A00"/>
    <w:rsid w:val="00340F10"/>
    <w:rsid w:val="00341AB5"/>
    <w:rsid w:val="00341C78"/>
    <w:rsid w:val="00343324"/>
    <w:rsid w:val="00343C40"/>
    <w:rsid w:val="00344C50"/>
    <w:rsid w:val="003458CC"/>
    <w:rsid w:val="0034614C"/>
    <w:rsid w:val="00346503"/>
    <w:rsid w:val="00347617"/>
    <w:rsid w:val="0035108C"/>
    <w:rsid w:val="0035126A"/>
    <w:rsid w:val="003560DC"/>
    <w:rsid w:val="00356E35"/>
    <w:rsid w:val="003577A4"/>
    <w:rsid w:val="00357E71"/>
    <w:rsid w:val="00361683"/>
    <w:rsid w:val="00363923"/>
    <w:rsid w:val="00364656"/>
    <w:rsid w:val="0036590B"/>
    <w:rsid w:val="0036635F"/>
    <w:rsid w:val="00366790"/>
    <w:rsid w:val="0036756A"/>
    <w:rsid w:val="003675F6"/>
    <w:rsid w:val="00367C94"/>
    <w:rsid w:val="0037074E"/>
    <w:rsid w:val="00371E37"/>
    <w:rsid w:val="003768DF"/>
    <w:rsid w:val="0038031A"/>
    <w:rsid w:val="00381746"/>
    <w:rsid w:val="003819FD"/>
    <w:rsid w:val="0038222F"/>
    <w:rsid w:val="00382A05"/>
    <w:rsid w:val="00382F93"/>
    <w:rsid w:val="003830F6"/>
    <w:rsid w:val="0038428B"/>
    <w:rsid w:val="00384DD6"/>
    <w:rsid w:val="00387086"/>
    <w:rsid w:val="0039069D"/>
    <w:rsid w:val="00391DB1"/>
    <w:rsid w:val="0039292F"/>
    <w:rsid w:val="00392DB3"/>
    <w:rsid w:val="00393B7E"/>
    <w:rsid w:val="0039436F"/>
    <w:rsid w:val="00394483"/>
    <w:rsid w:val="0039451D"/>
    <w:rsid w:val="003958C1"/>
    <w:rsid w:val="003A2731"/>
    <w:rsid w:val="003A5FE7"/>
    <w:rsid w:val="003A62E4"/>
    <w:rsid w:val="003A6B17"/>
    <w:rsid w:val="003B5CBC"/>
    <w:rsid w:val="003C08E2"/>
    <w:rsid w:val="003C0F9F"/>
    <w:rsid w:val="003C1CC1"/>
    <w:rsid w:val="003C3079"/>
    <w:rsid w:val="003C4562"/>
    <w:rsid w:val="003C506F"/>
    <w:rsid w:val="003C61DD"/>
    <w:rsid w:val="003C65F6"/>
    <w:rsid w:val="003C72B4"/>
    <w:rsid w:val="003C7FFE"/>
    <w:rsid w:val="003D1123"/>
    <w:rsid w:val="003D12A6"/>
    <w:rsid w:val="003D2202"/>
    <w:rsid w:val="003D25D9"/>
    <w:rsid w:val="003D63F8"/>
    <w:rsid w:val="003D673D"/>
    <w:rsid w:val="003E2693"/>
    <w:rsid w:val="003E27C2"/>
    <w:rsid w:val="003E31EC"/>
    <w:rsid w:val="003E3E22"/>
    <w:rsid w:val="003E45B5"/>
    <w:rsid w:val="003F0248"/>
    <w:rsid w:val="003F1168"/>
    <w:rsid w:val="003F1714"/>
    <w:rsid w:val="003F17F4"/>
    <w:rsid w:val="003F1EC7"/>
    <w:rsid w:val="003F3C1F"/>
    <w:rsid w:val="003F4393"/>
    <w:rsid w:val="003F6D61"/>
    <w:rsid w:val="003F777F"/>
    <w:rsid w:val="004008FF"/>
    <w:rsid w:val="00401B98"/>
    <w:rsid w:val="004029EE"/>
    <w:rsid w:val="004039D1"/>
    <w:rsid w:val="0040464C"/>
    <w:rsid w:val="00406113"/>
    <w:rsid w:val="004118C1"/>
    <w:rsid w:val="00412C5E"/>
    <w:rsid w:val="004138DF"/>
    <w:rsid w:val="004147BA"/>
    <w:rsid w:val="0041511E"/>
    <w:rsid w:val="00415226"/>
    <w:rsid w:val="00415382"/>
    <w:rsid w:val="00416B3A"/>
    <w:rsid w:val="00416E3D"/>
    <w:rsid w:val="00421AC5"/>
    <w:rsid w:val="00421BAB"/>
    <w:rsid w:val="00421D2C"/>
    <w:rsid w:val="00422D5D"/>
    <w:rsid w:val="00423600"/>
    <w:rsid w:val="00424140"/>
    <w:rsid w:val="00426009"/>
    <w:rsid w:val="00426A90"/>
    <w:rsid w:val="00427C26"/>
    <w:rsid w:val="00430614"/>
    <w:rsid w:val="00430A21"/>
    <w:rsid w:val="004312B2"/>
    <w:rsid w:val="004319AD"/>
    <w:rsid w:val="00434C14"/>
    <w:rsid w:val="0043554C"/>
    <w:rsid w:val="004355E5"/>
    <w:rsid w:val="00435F03"/>
    <w:rsid w:val="00436E7E"/>
    <w:rsid w:val="00437C60"/>
    <w:rsid w:val="00440B25"/>
    <w:rsid w:val="00440C66"/>
    <w:rsid w:val="00441947"/>
    <w:rsid w:val="004422B8"/>
    <w:rsid w:val="00443E1F"/>
    <w:rsid w:val="0044437B"/>
    <w:rsid w:val="004449EA"/>
    <w:rsid w:val="0044697C"/>
    <w:rsid w:val="0044758B"/>
    <w:rsid w:val="00450C09"/>
    <w:rsid w:val="00450DAE"/>
    <w:rsid w:val="00451059"/>
    <w:rsid w:val="004524AE"/>
    <w:rsid w:val="004528DF"/>
    <w:rsid w:val="00454601"/>
    <w:rsid w:val="00454695"/>
    <w:rsid w:val="0045522C"/>
    <w:rsid w:val="00455995"/>
    <w:rsid w:val="00457B7B"/>
    <w:rsid w:val="00460595"/>
    <w:rsid w:val="004615C2"/>
    <w:rsid w:val="00465147"/>
    <w:rsid w:val="00467169"/>
    <w:rsid w:val="00470122"/>
    <w:rsid w:val="004704AB"/>
    <w:rsid w:val="00470567"/>
    <w:rsid w:val="00470B1E"/>
    <w:rsid w:val="00471894"/>
    <w:rsid w:val="00471F63"/>
    <w:rsid w:val="00472B74"/>
    <w:rsid w:val="0047327F"/>
    <w:rsid w:val="00474EBB"/>
    <w:rsid w:val="004763CB"/>
    <w:rsid w:val="004763D0"/>
    <w:rsid w:val="00480396"/>
    <w:rsid w:val="00480D95"/>
    <w:rsid w:val="00481DB3"/>
    <w:rsid w:val="00484EF1"/>
    <w:rsid w:val="00486A9C"/>
    <w:rsid w:val="00491EB2"/>
    <w:rsid w:val="004953BA"/>
    <w:rsid w:val="004977EF"/>
    <w:rsid w:val="004A0917"/>
    <w:rsid w:val="004A0A19"/>
    <w:rsid w:val="004A1FF9"/>
    <w:rsid w:val="004A2050"/>
    <w:rsid w:val="004A27E7"/>
    <w:rsid w:val="004A3143"/>
    <w:rsid w:val="004A4C34"/>
    <w:rsid w:val="004A67AB"/>
    <w:rsid w:val="004B1B4E"/>
    <w:rsid w:val="004B5A6D"/>
    <w:rsid w:val="004B5FA9"/>
    <w:rsid w:val="004B6B57"/>
    <w:rsid w:val="004B7C16"/>
    <w:rsid w:val="004C1A75"/>
    <w:rsid w:val="004C476D"/>
    <w:rsid w:val="004C647A"/>
    <w:rsid w:val="004C694C"/>
    <w:rsid w:val="004C69E6"/>
    <w:rsid w:val="004C760F"/>
    <w:rsid w:val="004D0194"/>
    <w:rsid w:val="004D1449"/>
    <w:rsid w:val="004D1CC9"/>
    <w:rsid w:val="004D47A2"/>
    <w:rsid w:val="004D5553"/>
    <w:rsid w:val="004D73DF"/>
    <w:rsid w:val="004D7963"/>
    <w:rsid w:val="004E033A"/>
    <w:rsid w:val="004E0881"/>
    <w:rsid w:val="004E24B9"/>
    <w:rsid w:val="004E3304"/>
    <w:rsid w:val="004E3871"/>
    <w:rsid w:val="004E3BE0"/>
    <w:rsid w:val="004E51CA"/>
    <w:rsid w:val="004E6906"/>
    <w:rsid w:val="004E6AE7"/>
    <w:rsid w:val="004F0346"/>
    <w:rsid w:val="004F0A79"/>
    <w:rsid w:val="004F4896"/>
    <w:rsid w:val="004F5613"/>
    <w:rsid w:val="004F5EEC"/>
    <w:rsid w:val="004F6344"/>
    <w:rsid w:val="004F6D2F"/>
    <w:rsid w:val="00500469"/>
    <w:rsid w:val="00500E8F"/>
    <w:rsid w:val="00501050"/>
    <w:rsid w:val="00502324"/>
    <w:rsid w:val="0050306A"/>
    <w:rsid w:val="005046C1"/>
    <w:rsid w:val="00506E42"/>
    <w:rsid w:val="005101B7"/>
    <w:rsid w:val="00510763"/>
    <w:rsid w:val="0051192E"/>
    <w:rsid w:val="00513BD5"/>
    <w:rsid w:val="00514ED3"/>
    <w:rsid w:val="0051546E"/>
    <w:rsid w:val="00517576"/>
    <w:rsid w:val="00517DC7"/>
    <w:rsid w:val="00521B6B"/>
    <w:rsid w:val="005220F0"/>
    <w:rsid w:val="00522308"/>
    <w:rsid w:val="00524A26"/>
    <w:rsid w:val="0052540F"/>
    <w:rsid w:val="00530C05"/>
    <w:rsid w:val="005318FB"/>
    <w:rsid w:val="00540220"/>
    <w:rsid w:val="00540350"/>
    <w:rsid w:val="00541F86"/>
    <w:rsid w:val="005427A5"/>
    <w:rsid w:val="005430B9"/>
    <w:rsid w:val="00543AEB"/>
    <w:rsid w:val="00544173"/>
    <w:rsid w:val="005442CE"/>
    <w:rsid w:val="005446BF"/>
    <w:rsid w:val="00544F75"/>
    <w:rsid w:val="00544F7C"/>
    <w:rsid w:val="00545545"/>
    <w:rsid w:val="00546072"/>
    <w:rsid w:val="0055007C"/>
    <w:rsid w:val="005507AC"/>
    <w:rsid w:val="00551779"/>
    <w:rsid w:val="00553B03"/>
    <w:rsid w:val="00553CFF"/>
    <w:rsid w:val="005544F1"/>
    <w:rsid w:val="00555599"/>
    <w:rsid w:val="0055576A"/>
    <w:rsid w:val="00561129"/>
    <w:rsid w:val="00561291"/>
    <w:rsid w:val="005612DD"/>
    <w:rsid w:val="0056134A"/>
    <w:rsid w:val="005624A3"/>
    <w:rsid w:val="00563FF7"/>
    <w:rsid w:val="00565BF1"/>
    <w:rsid w:val="00565F08"/>
    <w:rsid w:val="005666FB"/>
    <w:rsid w:val="00566EE0"/>
    <w:rsid w:val="005705C7"/>
    <w:rsid w:val="00572C06"/>
    <w:rsid w:val="005742E4"/>
    <w:rsid w:val="00575567"/>
    <w:rsid w:val="00577556"/>
    <w:rsid w:val="00577CFD"/>
    <w:rsid w:val="005811F9"/>
    <w:rsid w:val="005814F7"/>
    <w:rsid w:val="0058196B"/>
    <w:rsid w:val="0058200C"/>
    <w:rsid w:val="00584890"/>
    <w:rsid w:val="00586B36"/>
    <w:rsid w:val="00590D70"/>
    <w:rsid w:val="0059162F"/>
    <w:rsid w:val="00591941"/>
    <w:rsid w:val="00591A45"/>
    <w:rsid w:val="00592003"/>
    <w:rsid w:val="005929FD"/>
    <w:rsid w:val="00593379"/>
    <w:rsid w:val="00595FCC"/>
    <w:rsid w:val="00596D6D"/>
    <w:rsid w:val="00597F1D"/>
    <w:rsid w:val="005A0097"/>
    <w:rsid w:val="005A01C0"/>
    <w:rsid w:val="005A148A"/>
    <w:rsid w:val="005A1BC9"/>
    <w:rsid w:val="005A315B"/>
    <w:rsid w:val="005A35CA"/>
    <w:rsid w:val="005A5A30"/>
    <w:rsid w:val="005A77CA"/>
    <w:rsid w:val="005B0695"/>
    <w:rsid w:val="005B6492"/>
    <w:rsid w:val="005B6534"/>
    <w:rsid w:val="005C0181"/>
    <w:rsid w:val="005C02CD"/>
    <w:rsid w:val="005C1792"/>
    <w:rsid w:val="005C37EF"/>
    <w:rsid w:val="005C39F2"/>
    <w:rsid w:val="005C44A2"/>
    <w:rsid w:val="005C69F6"/>
    <w:rsid w:val="005D1E67"/>
    <w:rsid w:val="005D5BC7"/>
    <w:rsid w:val="005D6A4D"/>
    <w:rsid w:val="005D7603"/>
    <w:rsid w:val="005E0188"/>
    <w:rsid w:val="005E02D4"/>
    <w:rsid w:val="005E077F"/>
    <w:rsid w:val="005E07EF"/>
    <w:rsid w:val="005E1511"/>
    <w:rsid w:val="005E4DDD"/>
    <w:rsid w:val="005E5D10"/>
    <w:rsid w:val="005F0AA1"/>
    <w:rsid w:val="005F1563"/>
    <w:rsid w:val="005F4D8E"/>
    <w:rsid w:val="005F65BA"/>
    <w:rsid w:val="005F6F5E"/>
    <w:rsid w:val="006009E1"/>
    <w:rsid w:val="0060120F"/>
    <w:rsid w:val="00601E2A"/>
    <w:rsid w:val="00602E60"/>
    <w:rsid w:val="00603C49"/>
    <w:rsid w:val="0060497A"/>
    <w:rsid w:val="0060537B"/>
    <w:rsid w:val="006106CD"/>
    <w:rsid w:val="00610E59"/>
    <w:rsid w:val="006113E6"/>
    <w:rsid w:val="006122D4"/>
    <w:rsid w:val="00615957"/>
    <w:rsid w:val="00615C9A"/>
    <w:rsid w:val="00615DC0"/>
    <w:rsid w:val="00616DAA"/>
    <w:rsid w:val="00616F6A"/>
    <w:rsid w:val="00620BFB"/>
    <w:rsid w:val="00626A5C"/>
    <w:rsid w:val="00627A53"/>
    <w:rsid w:val="00630034"/>
    <w:rsid w:val="0063035C"/>
    <w:rsid w:val="0063220C"/>
    <w:rsid w:val="006329C2"/>
    <w:rsid w:val="0063301C"/>
    <w:rsid w:val="00633B89"/>
    <w:rsid w:val="00633CEA"/>
    <w:rsid w:val="006341C1"/>
    <w:rsid w:val="00634C1F"/>
    <w:rsid w:val="00635412"/>
    <w:rsid w:val="00635808"/>
    <w:rsid w:val="00636BBA"/>
    <w:rsid w:val="00636EE9"/>
    <w:rsid w:val="006374F9"/>
    <w:rsid w:val="00640205"/>
    <w:rsid w:val="00644311"/>
    <w:rsid w:val="006451DE"/>
    <w:rsid w:val="00645CA5"/>
    <w:rsid w:val="0064611E"/>
    <w:rsid w:val="00646BF0"/>
    <w:rsid w:val="00651EFF"/>
    <w:rsid w:val="00652AFB"/>
    <w:rsid w:val="00653600"/>
    <w:rsid w:val="0065468C"/>
    <w:rsid w:val="00654CC0"/>
    <w:rsid w:val="006550B3"/>
    <w:rsid w:val="006571EC"/>
    <w:rsid w:val="00657F12"/>
    <w:rsid w:val="00660388"/>
    <w:rsid w:val="00663448"/>
    <w:rsid w:val="00663CB9"/>
    <w:rsid w:val="006650E8"/>
    <w:rsid w:val="006655FA"/>
    <w:rsid w:val="00666748"/>
    <w:rsid w:val="00671287"/>
    <w:rsid w:val="006727E9"/>
    <w:rsid w:val="00675CE2"/>
    <w:rsid w:val="006769CB"/>
    <w:rsid w:val="00677A42"/>
    <w:rsid w:val="006802B1"/>
    <w:rsid w:val="00685738"/>
    <w:rsid w:val="00687356"/>
    <w:rsid w:val="0068762B"/>
    <w:rsid w:val="00687AE9"/>
    <w:rsid w:val="00687E4A"/>
    <w:rsid w:val="006900A8"/>
    <w:rsid w:val="006905AA"/>
    <w:rsid w:val="00691F84"/>
    <w:rsid w:val="0069222A"/>
    <w:rsid w:val="006927FD"/>
    <w:rsid w:val="006931FA"/>
    <w:rsid w:val="00693A6B"/>
    <w:rsid w:val="00693B9A"/>
    <w:rsid w:val="00695974"/>
    <w:rsid w:val="00695E0B"/>
    <w:rsid w:val="0069668C"/>
    <w:rsid w:val="00696A9D"/>
    <w:rsid w:val="0069783E"/>
    <w:rsid w:val="006A003C"/>
    <w:rsid w:val="006A02C8"/>
    <w:rsid w:val="006A0DE4"/>
    <w:rsid w:val="006A1544"/>
    <w:rsid w:val="006A2090"/>
    <w:rsid w:val="006A22E4"/>
    <w:rsid w:val="006A231F"/>
    <w:rsid w:val="006A380C"/>
    <w:rsid w:val="006A4646"/>
    <w:rsid w:val="006A705F"/>
    <w:rsid w:val="006A718C"/>
    <w:rsid w:val="006B0032"/>
    <w:rsid w:val="006B01D5"/>
    <w:rsid w:val="006B0D70"/>
    <w:rsid w:val="006B11B5"/>
    <w:rsid w:val="006B1393"/>
    <w:rsid w:val="006B17D9"/>
    <w:rsid w:val="006B25C0"/>
    <w:rsid w:val="006B3DED"/>
    <w:rsid w:val="006B4ED8"/>
    <w:rsid w:val="006B74F4"/>
    <w:rsid w:val="006C16B1"/>
    <w:rsid w:val="006C1C9F"/>
    <w:rsid w:val="006C42A5"/>
    <w:rsid w:val="006C5F4E"/>
    <w:rsid w:val="006C6C9F"/>
    <w:rsid w:val="006D0331"/>
    <w:rsid w:val="006D3759"/>
    <w:rsid w:val="006D4560"/>
    <w:rsid w:val="006D6846"/>
    <w:rsid w:val="006D7367"/>
    <w:rsid w:val="006E0438"/>
    <w:rsid w:val="006E1AB2"/>
    <w:rsid w:val="006E2AF6"/>
    <w:rsid w:val="006E361C"/>
    <w:rsid w:val="006E3818"/>
    <w:rsid w:val="006E3CB1"/>
    <w:rsid w:val="006E5F5E"/>
    <w:rsid w:val="006E5F66"/>
    <w:rsid w:val="006E6353"/>
    <w:rsid w:val="006E697E"/>
    <w:rsid w:val="006E7BAB"/>
    <w:rsid w:val="006F016E"/>
    <w:rsid w:val="006F2E2B"/>
    <w:rsid w:val="00701AAA"/>
    <w:rsid w:val="00703113"/>
    <w:rsid w:val="007046EF"/>
    <w:rsid w:val="0070687A"/>
    <w:rsid w:val="00707455"/>
    <w:rsid w:val="007074B9"/>
    <w:rsid w:val="00707D3C"/>
    <w:rsid w:val="007103E6"/>
    <w:rsid w:val="007108FE"/>
    <w:rsid w:val="007109A9"/>
    <w:rsid w:val="00713BBF"/>
    <w:rsid w:val="00714962"/>
    <w:rsid w:val="007165D7"/>
    <w:rsid w:val="00720041"/>
    <w:rsid w:val="007201E8"/>
    <w:rsid w:val="00720BBC"/>
    <w:rsid w:val="00721B85"/>
    <w:rsid w:val="007223CD"/>
    <w:rsid w:val="0072280F"/>
    <w:rsid w:val="00722B51"/>
    <w:rsid w:val="00724F6F"/>
    <w:rsid w:val="00726355"/>
    <w:rsid w:val="00727090"/>
    <w:rsid w:val="00730B26"/>
    <w:rsid w:val="007323C7"/>
    <w:rsid w:val="00732C83"/>
    <w:rsid w:val="00733E84"/>
    <w:rsid w:val="00734772"/>
    <w:rsid w:val="00735ADA"/>
    <w:rsid w:val="0073605C"/>
    <w:rsid w:val="00736123"/>
    <w:rsid w:val="007373B2"/>
    <w:rsid w:val="00737428"/>
    <w:rsid w:val="007449D4"/>
    <w:rsid w:val="007463E9"/>
    <w:rsid w:val="00747DCF"/>
    <w:rsid w:val="00747E73"/>
    <w:rsid w:val="007508DF"/>
    <w:rsid w:val="00750D06"/>
    <w:rsid w:val="00752DDF"/>
    <w:rsid w:val="00753203"/>
    <w:rsid w:val="00755EAA"/>
    <w:rsid w:val="0075712B"/>
    <w:rsid w:val="00761848"/>
    <w:rsid w:val="007640F7"/>
    <w:rsid w:val="0076575F"/>
    <w:rsid w:val="00765B58"/>
    <w:rsid w:val="00766229"/>
    <w:rsid w:val="00766D57"/>
    <w:rsid w:val="00767F22"/>
    <w:rsid w:val="00773B4A"/>
    <w:rsid w:val="00774EBD"/>
    <w:rsid w:val="00776343"/>
    <w:rsid w:val="00777F1C"/>
    <w:rsid w:val="007800F4"/>
    <w:rsid w:val="00784F72"/>
    <w:rsid w:val="00785BAB"/>
    <w:rsid w:val="0078720F"/>
    <w:rsid w:val="007872AC"/>
    <w:rsid w:val="00787CC5"/>
    <w:rsid w:val="00787E57"/>
    <w:rsid w:val="0079044E"/>
    <w:rsid w:val="007952A3"/>
    <w:rsid w:val="007A1C17"/>
    <w:rsid w:val="007A32DF"/>
    <w:rsid w:val="007A457D"/>
    <w:rsid w:val="007A5A62"/>
    <w:rsid w:val="007A5DFF"/>
    <w:rsid w:val="007A78C3"/>
    <w:rsid w:val="007B28A4"/>
    <w:rsid w:val="007B2AA9"/>
    <w:rsid w:val="007B2E52"/>
    <w:rsid w:val="007B3DE5"/>
    <w:rsid w:val="007B581B"/>
    <w:rsid w:val="007B6D87"/>
    <w:rsid w:val="007B7E82"/>
    <w:rsid w:val="007B7F0D"/>
    <w:rsid w:val="007C0564"/>
    <w:rsid w:val="007C2785"/>
    <w:rsid w:val="007C29F7"/>
    <w:rsid w:val="007C3838"/>
    <w:rsid w:val="007C6007"/>
    <w:rsid w:val="007C697C"/>
    <w:rsid w:val="007C7292"/>
    <w:rsid w:val="007C76FD"/>
    <w:rsid w:val="007C7B2C"/>
    <w:rsid w:val="007C7C48"/>
    <w:rsid w:val="007D037E"/>
    <w:rsid w:val="007D3AAE"/>
    <w:rsid w:val="007D4CEB"/>
    <w:rsid w:val="007D5C3C"/>
    <w:rsid w:val="007D677F"/>
    <w:rsid w:val="007D7309"/>
    <w:rsid w:val="007D746D"/>
    <w:rsid w:val="007D7D0E"/>
    <w:rsid w:val="007E082D"/>
    <w:rsid w:val="007E221B"/>
    <w:rsid w:val="007E3184"/>
    <w:rsid w:val="007E325C"/>
    <w:rsid w:val="007E6DBE"/>
    <w:rsid w:val="007E7229"/>
    <w:rsid w:val="007E74DF"/>
    <w:rsid w:val="007E78DE"/>
    <w:rsid w:val="007E79D2"/>
    <w:rsid w:val="007F0FE4"/>
    <w:rsid w:val="007F1053"/>
    <w:rsid w:val="007F116C"/>
    <w:rsid w:val="007F2955"/>
    <w:rsid w:val="007F38AE"/>
    <w:rsid w:val="007F54AC"/>
    <w:rsid w:val="007F723E"/>
    <w:rsid w:val="007F73DC"/>
    <w:rsid w:val="007F73F0"/>
    <w:rsid w:val="007F74DF"/>
    <w:rsid w:val="007F7B0B"/>
    <w:rsid w:val="0080024E"/>
    <w:rsid w:val="008007C5"/>
    <w:rsid w:val="00800A05"/>
    <w:rsid w:val="00801724"/>
    <w:rsid w:val="00802C49"/>
    <w:rsid w:val="00803665"/>
    <w:rsid w:val="00803FA3"/>
    <w:rsid w:val="008063E1"/>
    <w:rsid w:val="0081042A"/>
    <w:rsid w:val="0081082A"/>
    <w:rsid w:val="0081093F"/>
    <w:rsid w:val="00811521"/>
    <w:rsid w:val="00811768"/>
    <w:rsid w:val="00812F5C"/>
    <w:rsid w:val="0081459C"/>
    <w:rsid w:val="00820001"/>
    <w:rsid w:val="00820BF5"/>
    <w:rsid w:val="00821350"/>
    <w:rsid w:val="008227E2"/>
    <w:rsid w:val="00822CCF"/>
    <w:rsid w:val="008230B0"/>
    <w:rsid w:val="008250E5"/>
    <w:rsid w:val="008259AB"/>
    <w:rsid w:val="00825D30"/>
    <w:rsid w:val="00825EEE"/>
    <w:rsid w:val="00827E0C"/>
    <w:rsid w:val="008324ED"/>
    <w:rsid w:val="00832581"/>
    <w:rsid w:val="00834345"/>
    <w:rsid w:val="00835F13"/>
    <w:rsid w:val="00837913"/>
    <w:rsid w:val="00844168"/>
    <w:rsid w:val="00845A5F"/>
    <w:rsid w:val="00846F05"/>
    <w:rsid w:val="0085035F"/>
    <w:rsid w:val="00850A06"/>
    <w:rsid w:val="00851312"/>
    <w:rsid w:val="00852EC7"/>
    <w:rsid w:val="00853676"/>
    <w:rsid w:val="00854E09"/>
    <w:rsid w:val="0086120E"/>
    <w:rsid w:val="008616EC"/>
    <w:rsid w:val="00862C6C"/>
    <w:rsid w:val="00863706"/>
    <w:rsid w:val="00867F45"/>
    <w:rsid w:val="0087054C"/>
    <w:rsid w:val="00871080"/>
    <w:rsid w:val="00871713"/>
    <w:rsid w:val="0088263C"/>
    <w:rsid w:val="00883CDB"/>
    <w:rsid w:val="0088436D"/>
    <w:rsid w:val="00884EC6"/>
    <w:rsid w:val="00886574"/>
    <w:rsid w:val="00886AE7"/>
    <w:rsid w:val="00887276"/>
    <w:rsid w:val="008873E3"/>
    <w:rsid w:val="00887957"/>
    <w:rsid w:val="00890D09"/>
    <w:rsid w:val="008910B7"/>
    <w:rsid w:val="008912D7"/>
    <w:rsid w:val="008918C1"/>
    <w:rsid w:val="0089235A"/>
    <w:rsid w:val="00892CA8"/>
    <w:rsid w:val="0089470B"/>
    <w:rsid w:val="00894E74"/>
    <w:rsid w:val="00896D41"/>
    <w:rsid w:val="008A184D"/>
    <w:rsid w:val="008A2514"/>
    <w:rsid w:val="008A71F4"/>
    <w:rsid w:val="008B20C2"/>
    <w:rsid w:val="008B423C"/>
    <w:rsid w:val="008B5B9F"/>
    <w:rsid w:val="008B6013"/>
    <w:rsid w:val="008C0F16"/>
    <w:rsid w:val="008C2066"/>
    <w:rsid w:val="008C24FC"/>
    <w:rsid w:val="008C4184"/>
    <w:rsid w:val="008C50C3"/>
    <w:rsid w:val="008C55BB"/>
    <w:rsid w:val="008C5989"/>
    <w:rsid w:val="008C5F3C"/>
    <w:rsid w:val="008C6083"/>
    <w:rsid w:val="008C6DB6"/>
    <w:rsid w:val="008D41F6"/>
    <w:rsid w:val="008D4739"/>
    <w:rsid w:val="008D52E9"/>
    <w:rsid w:val="008D7155"/>
    <w:rsid w:val="008D71FA"/>
    <w:rsid w:val="008E26DC"/>
    <w:rsid w:val="008E38EE"/>
    <w:rsid w:val="008E3F90"/>
    <w:rsid w:val="008E48F3"/>
    <w:rsid w:val="008E54C6"/>
    <w:rsid w:val="008F0F51"/>
    <w:rsid w:val="008F4206"/>
    <w:rsid w:val="008F4B66"/>
    <w:rsid w:val="008F533A"/>
    <w:rsid w:val="008F75B5"/>
    <w:rsid w:val="008F761C"/>
    <w:rsid w:val="0090036E"/>
    <w:rsid w:val="00901340"/>
    <w:rsid w:val="00901A32"/>
    <w:rsid w:val="0090451B"/>
    <w:rsid w:val="00904642"/>
    <w:rsid w:val="00904A9B"/>
    <w:rsid w:val="00905196"/>
    <w:rsid w:val="009079E0"/>
    <w:rsid w:val="00907C7F"/>
    <w:rsid w:val="00911E26"/>
    <w:rsid w:val="00913E1F"/>
    <w:rsid w:val="00913E77"/>
    <w:rsid w:val="0091611A"/>
    <w:rsid w:val="009173CD"/>
    <w:rsid w:val="00917BBD"/>
    <w:rsid w:val="00920F2F"/>
    <w:rsid w:val="00922F36"/>
    <w:rsid w:val="009247D2"/>
    <w:rsid w:val="00925948"/>
    <w:rsid w:val="0092633E"/>
    <w:rsid w:val="009276E3"/>
    <w:rsid w:val="0093023C"/>
    <w:rsid w:val="009312B7"/>
    <w:rsid w:val="00932575"/>
    <w:rsid w:val="00935CFA"/>
    <w:rsid w:val="0093703F"/>
    <w:rsid w:val="009418E3"/>
    <w:rsid w:val="009418EA"/>
    <w:rsid w:val="00941BFA"/>
    <w:rsid w:val="00942FBF"/>
    <w:rsid w:val="00943802"/>
    <w:rsid w:val="009456E8"/>
    <w:rsid w:val="009501C0"/>
    <w:rsid w:val="009508D6"/>
    <w:rsid w:val="00950B40"/>
    <w:rsid w:val="00952AB9"/>
    <w:rsid w:val="00954256"/>
    <w:rsid w:val="0095459B"/>
    <w:rsid w:val="00954DC8"/>
    <w:rsid w:val="009578BF"/>
    <w:rsid w:val="009604C8"/>
    <w:rsid w:val="00961DED"/>
    <w:rsid w:val="0096496A"/>
    <w:rsid w:val="00964BE2"/>
    <w:rsid w:val="00966204"/>
    <w:rsid w:val="009662F7"/>
    <w:rsid w:val="00966A87"/>
    <w:rsid w:val="00966AF0"/>
    <w:rsid w:val="009704B6"/>
    <w:rsid w:val="00971520"/>
    <w:rsid w:val="0097273E"/>
    <w:rsid w:val="009729C7"/>
    <w:rsid w:val="00974240"/>
    <w:rsid w:val="00976B15"/>
    <w:rsid w:val="00976FE6"/>
    <w:rsid w:val="00977E77"/>
    <w:rsid w:val="009805A7"/>
    <w:rsid w:val="0098076D"/>
    <w:rsid w:val="00981FA2"/>
    <w:rsid w:val="009833F3"/>
    <w:rsid w:val="00983442"/>
    <w:rsid w:val="009840B9"/>
    <w:rsid w:val="00984BD8"/>
    <w:rsid w:val="00985F3B"/>
    <w:rsid w:val="00987FD8"/>
    <w:rsid w:val="00990371"/>
    <w:rsid w:val="00992EBD"/>
    <w:rsid w:val="009932BE"/>
    <w:rsid w:val="00994622"/>
    <w:rsid w:val="00995E0F"/>
    <w:rsid w:val="009A0CD4"/>
    <w:rsid w:val="009A4325"/>
    <w:rsid w:val="009B15FA"/>
    <w:rsid w:val="009B1B44"/>
    <w:rsid w:val="009B26A1"/>
    <w:rsid w:val="009B40C6"/>
    <w:rsid w:val="009B579C"/>
    <w:rsid w:val="009B6201"/>
    <w:rsid w:val="009B6AFB"/>
    <w:rsid w:val="009B7721"/>
    <w:rsid w:val="009C2009"/>
    <w:rsid w:val="009C4B77"/>
    <w:rsid w:val="009C569D"/>
    <w:rsid w:val="009C5C8F"/>
    <w:rsid w:val="009C5DED"/>
    <w:rsid w:val="009C5E69"/>
    <w:rsid w:val="009C62D7"/>
    <w:rsid w:val="009C661E"/>
    <w:rsid w:val="009D0DDD"/>
    <w:rsid w:val="009D29B2"/>
    <w:rsid w:val="009D4800"/>
    <w:rsid w:val="009E0262"/>
    <w:rsid w:val="009E22DF"/>
    <w:rsid w:val="009E297F"/>
    <w:rsid w:val="009E6A27"/>
    <w:rsid w:val="009E728E"/>
    <w:rsid w:val="009F1757"/>
    <w:rsid w:val="009F571E"/>
    <w:rsid w:val="00A0007A"/>
    <w:rsid w:val="00A01467"/>
    <w:rsid w:val="00A03EBE"/>
    <w:rsid w:val="00A05DF2"/>
    <w:rsid w:val="00A074C7"/>
    <w:rsid w:val="00A124DB"/>
    <w:rsid w:val="00A12642"/>
    <w:rsid w:val="00A1314A"/>
    <w:rsid w:val="00A21038"/>
    <w:rsid w:val="00A215E5"/>
    <w:rsid w:val="00A21B39"/>
    <w:rsid w:val="00A22AD2"/>
    <w:rsid w:val="00A22AFF"/>
    <w:rsid w:val="00A243D2"/>
    <w:rsid w:val="00A2519A"/>
    <w:rsid w:val="00A25E97"/>
    <w:rsid w:val="00A27B43"/>
    <w:rsid w:val="00A32177"/>
    <w:rsid w:val="00A33C8E"/>
    <w:rsid w:val="00A35A94"/>
    <w:rsid w:val="00A365E6"/>
    <w:rsid w:val="00A368A2"/>
    <w:rsid w:val="00A36F4F"/>
    <w:rsid w:val="00A4080A"/>
    <w:rsid w:val="00A408CF"/>
    <w:rsid w:val="00A40E9E"/>
    <w:rsid w:val="00A41551"/>
    <w:rsid w:val="00A4221E"/>
    <w:rsid w:val="00A42C2A"/>
    <w:rsid w:val="00A43689"/>
    <w:rsid w:val="00A445AA"/>
    <w:rsid w:val="00A44828"/>
    <w:rsid w:val="00A47C91"/>
    <w:rsid w:val="00A5032D"/>
    <w:rsid w:val="00A507A6"/>
    <w:rsid w:val="00A515B0"/>
    <w:rsid w:val="00A51D1A"/>
    <w:rsid w:val="00A51FB2"/>
    <w:rsid w:val="00A520CD"/>
    <w:rsid w:val="00A52908"/>
    <w:rsid w:val="00A559DD"/>
    <w:rsid w:val="00A560CF"/>
    <w:rsid w:val="00A64D86"/>
    <w:rsid w:val="00A65F26"/>
    <w:rsid w:val="00A6765E"/>
    <w:rsid w:val="00A705FE"/>
    <w:rsid w:val="00A70E11"/>
    <w:rsid w:val="00A71060"/>
    <w:rsid w:val="00A72D92"/>
    <w:rsid w:val="00A73A97"/>
    <w:rsid w:val="00A73F89"/>
    <w:rsid w:val="00A75257"/>
    <w:rsid w:val="00A759BD"/>
    <w:rsid w:val="00A76095"/>
    <w:rsid w:val="00A777BB"/>
    <w:rsid w:val="00A808F0"/>
    <w:rsid w:val="00A81D18"/>
    <w:rsid w:val="00A85738"/>
    <w:rsid w:val="00A86812"/>
    <w:rsid w:val="00A86F8E"/>
    <w:rsid w:val="00A87AEB"/>
    <w:rsid w:val="00A93550"/>
    <w:rsid w:val="00A93DAD"/>
    <w:rsid w:val="00A93ED1"/>
    <w:rsid w:val="00A93FFC"/>
    <w:rsid w:val="00A947BC"/>
    <w:rsid w:val="00A94979"/>
    <w:rsid w:val="00A94FE7"/>
    <w:rsid w:val="00A953E9"/>
    <w:rsid w:val="00A97C23"/>
    <w:rsid w:val="00A97DA5"/>
    <w:rsid w:val="00AA152E"/>
    <w:rsid w:val="00AA1C19"/>
    <w:rsid w:val="00AA3FD1"/>
    <w:rsid w:val="00AA574E"/>
    <w:rsid w:val="00AA7716"/>
    <w:rsid w:val="00AB2C0E"/>
    <w:rsid w:val="00AB3F5B"/>
    <w:rsid w:val="00AB7871"/>
    <w:rsid w:val="00AC0ED4"/>
    <w:rsid w:val="00AC11D5"/>
    <w:rsid w:val="00AC2230"/>
    <w:rsid w:val="00AC2270"/>
    <w:rsid w:val="00AC3CD9"/>
    <w:rsid w:val="00AC46CC"/>
    <w:rsid w:val="00AC4E82"/>
    <w:rsid w:val="00AC6026"/>
    <w:rsid w:val="00AC6206"/>
    <w:rsid w:val="00AC63BE"/>
    <w:rsid w:val="00AD05D4"/>
    <w:rsid w:val="00AD09AB"/>
    <w:rsid w:val="00AD0FCA"/>
    <w:rsid w:val="00AD13B9"/>
    <w:rsid w:val="00AD27CE"/>
    <w:rsid w:val="00AD3195"/>
    <w:rsid w:val="00AD41F4"/>
    <w:rsid w:val="00AD464C"/>
    <w:rsid w:val="00AD5E35"/>
    <w:rsid w:val="00AD7595"/>
    <w:rsid w:val="00AE2DD8"/>
    <w:rsid w:val="00AE51C4"/>
    <w:rsid w:val="00AE7878"/>
    <w:rsid w:val="00AF235C"/>
    <w:rsid w:val="00AF6165"/>
    <w:rsid w:val="00AF6D2D"/>
    <w:rsid w:val="00AF6FA0"/>
    <w:rsid w:val="00B00D14"/>
    <w:rsid w:val="00B01F1F"/>
    <w:rsid w:val="00B056EC"/>
    <w:rsid w:val="00B11775"/>
    <w:rsid w:val="00B13FC1"/>
    <w:rsid w:val="00B1497F"/>
    <w:rsid w:val="00B16E74"/>
    <w:rsid w:val="00B232B0"/>
    <w:rsid w:val="00B24DE0"/>
    <w:rsid w:val="00B25277"/>
    <w:rsid w:val="00B2614E"/>
    <w:rsid w:val="00B279B4"/>
    <w:rsid w:val="00B301A4"/>
    <w:rsid w:val="00B310D2"/>
    <w:rsid w:val="00B31508"/>
    <w:rsid w:val="00B320A8"/>
    <w:rsid w:val="00B3225E"/>
    <w:rsid w:val="00B341EB"/>
    <w:rsid w:val="00B343CD"/>
    <w:rsid w:val="00B349F4"/>
    <w:rsid w:val="00B3690A"/>
    <w:rsid w:val="00B43256"/>
    <w:rsid w:val="00B43298"/>
    <w:rsid w:val="00B45953"/>
    <w:rsid w:val="00B47E20"/>
    <w:rsid w:val="00B504FB"/>
    <w:rsid w:val="00B50A99"/>
    <w:rsid w:val="00B5178A"/>
    <w:rsid w:val="00B52421"/>
    <w:rsid w:val="00B52CC2"/>
    <w:rsid w:val="00B5499D"/>
    <w:rsid w:val="00B55540"/>
    <w:rsid w:val="00B56BBA"/>
    <w:rsid w:val="00B57641"/>
    <w:rsid w:val="00B579C0"/>
    <w:rsid w:val="00B6175D"/>
    <w:rsid w:val="00B64296"/>
    <w:rsid w:val="00B65E1A"/>
    <w:rsid w:val="00B65FA4"/>
    <w:rsid w:val="00B728D6"/>
    <w:rsid w:val="00B741C0"/>
    <w:rsid w:val="00B741DA"/>
    <w:rsid w:val="00B7464B"/>
    <w:rsid w:val="00B75C33"/>
    <w:rsid w:val="00B80556"/>
    <w:rsid w:val="00B81161"/>
    <w:rsid w:val="00B82ABF"/>
    <w:rsid w:val="00B82C01"/>
    <w:rsid w:val="00B82E86"/>
    <w:rsid w:val="00B84620"/>
    <w:rsid w:val="00B84638"/>
    <w:rsid w:val="00B85412"/>
    <w:rsid w:val="00B85670"/>
    <w:rsid w:val="00B8575C"/>
    <w:rsid w:val="00B8599D"/>
    <w:rsid w:val="00B87ACD"/>
    <w:rsid w:val="00B91E92"/>
    <w:rsid w:val="00B92376"/>
    <w:rsid w:val="00B946C5"/>
    <w:rsid w:val="00B948AE"/>
    <w:rsid w:val="00BA08A1"/>
    <w:rsid w:val="00BA0C1D"/>
    <w:rsid w:val="00BA1C2C"/>
    <w:rsid w:val="00BA4366"/>
    <w:rsid w:val="00BB0C83"/>
    <w:rsid w:val="00BB154F"/>
    <w:rsid w:val="00BB2300"/>
    <w:rsid w:val="00BB2C41"/>
    <w:rsid w:val="00BB4D8C"/>
    <w:rsid w:val="00BB5649"/>
    <w:rsid w:val="00BB67AD"/>
    <w:rsid w:val="00BC0497"/>
    <w:rsid w:val="00BC16D6"/>
    <w:rsid w:val="00BC2A56"/>
    <w:rsid w:val="00BC2EE4"/>
    <w:rsid w:val="00BC3EE8"/>
    <w:rsid w:val="00BC4A33"/>
    <w:rsid w:val="00BC658F"/>
    <w:rsid w:val="00BC666C"/>
    <w:rsid w:val="00BC78FB"/>
    <w:rsid w:val="00BD1F19"/>
    <w:rsid w:val="00BD25D6"/>
    <w:rsid w:val="00BD2DD6"/>
    <w:rsid w:val="00BD48F0"/>
    <w:rsid w:val="00BD4A59"/>
    <w:rsid w:val="00BE0398"/>
    <w:rsid w:val="00BE4219"/>
    <w:rsid w:val="00BE489B"/>
    <w:rsid w:val="00BE4CF5"/>
    <w:rsid w:val="00BE6E21"/>
    <w:rsid w:val="00BF019B"/>
    <w:rsid w:val="00BF1BE0"/>
    <w:rsid w:val="00BF1C35"/>
    <w:rsid w:val="00BF1F78"/>
    <w:rsid w:val="00BF33EF"/>
    <w:rsid w:val="00C01CFB"/>
    <w:rsid w:val="00C01E14"/>
    <w:rsid w:val="00C0340C"/>
    <w:rsid w:val="00C0528B"/>
    <w:rsid w:val="00C059AA"/>
    <w:rsid w:val="00C05DEE"/>
    <w:rsid w:val="00C06EFE"/>
    <w:rsid w:val="00C102F5"/>
    <w:rsid w:val="00C1302F"/>
    <w:rsid w:val="00C1318B"/>
    <w:rsid w:val="00C154AB"/>
    <w:rsid w:val="00C1654F"/>
    <w:rsid w:val="00C17921"/>
    <w:rsid w:val="00C2105C"/>
    <w:rsid w:val="00C2162C"/>
    <w:rsid w:val="00C21663"/>
    <w:rsid w:val="00C22053"/>
    <w:rsid w:val="00C23AC9"/>
    <w:rsid w:val="00C242D1"/>
    <w:rsid w:val="00C25D96"/>
    <w:rsid w:val="00C26D85"/>
    <w:rsid w:val="00C27376"/>
    <w:rsid w:val="00C31C5F"/>
    <w:rsid w:val="00C347C6"/>
    <w:rsid w:val="00C36105"/>
    <w:rsid w:val="00C36FBF"/>
    <w:rsid w:val="00C37763"/>
    <w:rsid w:val="00C40A79"/>
    <w:rsid w:val="00C41E95"/>
    <w:rsid w:val="00C4375C"/>
    <w:rsid w:val="00C43D5C"/>
    <w:rsid w:val="00C443C0"/>
    <w:rsid w:val="00C447A1"/>
    <w:rsid w:val="00C5015E"/>
    <w:rsid w:val="00C52C88"/>
    <w:rsid w:val="00C53CA2"/>
    <w:rsid w:val="00C54478"/>
    <w:rsid w:val="00C5529C"/>
    <w:rsid w:val="00C55D1F"/>
    <w:rsid w:val="00C57674"/>
    <w:rsid w:val="00C62562"/>
    <w:rsid w:val="00C6294E"/>
    <w:rsid w:val="00C62A1A"/>
    <w:rsid w:val="00C657DF"/>
    <w:rsid w:val="00C67BE9"/>
    <w:rsid w:val="00C67E57"/>
    <w:rsid w:val="00C67FE1"/>
    <w:rsid w:val="00C70CE3"/>
    <w:rsid w:val="00C7557A"/>
    <w:rsid w:val="00C75889"/>
    <w:rsid w:val="00C77088"/>
    <w:rsid w:val="00C80B3E"/>
    <w:rsid w:val="00C81724"/>
    <w:rsid w:val="00C8305C"/>
    <w:rsid w:val="00C8366F"/>
    <w:rsid w:val="00C86097"/>
    <w:rsid w:val="00C8631C"/>
    <w:rsid w:val="00C90311"/>
    <w:rsid w:val="00C9231A"/>
    <w:rsid w:val="00C9279E"/>
    <w:rsid w:val="00C93583"/>
    <w:rsid w:val="00C95A13"/>
    <w:rsid w:val="00CA0243"/>
    <w:rsid w:val="00CA2DEE"/>
    <w:rsid w:val="00CA3BC9"/>
    <w:rsid w:val="00CA3FEA"/>
    <w:rsid w:val="00CA6E65"/>
    <w:rsid w:val="00CB02FC"/>
    <w:rsid w:val="00CB16C4"/>
    <w:rsid w:val="00CB1E1F"/>
    <w:rsid w:val="00CB2DA9"/>
    <w:rsid w:val="00CB2EFD"/>
    <w:rsid w:val="00CB6B96"/>
    <w:rsid w:val="00CC140E"/>
    <w:rsid w:val="00CC68CD"/>
    <w:rsid w:val="00CD064A"/>
    <w:rsid w:val="00CD06DE"/>
    <w:rsid w:val="00CD160E"/>
    <w:rsid w:val="00CD1CB4"/>
    <w:rsid w:val="00CD1E06"/>
    <w:rsid w:val="00CD22AA"/>
    <w:rsid w:val="00CD4007"/>
    <w:rsid w:val="00CD7B26"/>
    <w:rsid w:val="00CE0D76"/>
    <w:rsid w:val="00CE4E41"/>
    <w:rsid w:val="00CE5241"/>
    <w:rsid w:val="00CE64B2"/>
    <w:rsid w:val="00CF1F2F"/>
    <w:rsid w:val="00CF2902"/>
    <w:rsid w:val="00CF2C99"/>
    <w:rsid w:val="00CF39C4"/>
    <w:rsid w:val="00CF4F45"/>
    <w:rsid w:val="00CF5EF8"/>
    <w:rsid w:val="00CF6302"/>
    <w:rsid w:val="00D02CA1"/>
    <w:rsid w:val="00D05833"/>
    <w:rsid w:val="00D070D5"/>
    <w:rsid w:val="00D123DB"/>
    <w:rsid w:val="00D13128"/>
    <w:rsid w:val="00D15194"/>
    <w:rsid w:val="00D1523A"/>
    <w:rsid w:val="00D16B6C"/>
    <w:rsid w:val="00D1732B"/>
    <w:rsid w:val="00D176E0"/>
    <w:rsid w:val="00D20070"/>
    <w:rsid w:val="00D20343"/>
    <w:rsid w:val="00D213BB"/>
    <w:rsid w:val="00D21B4A"/>
    <w:rsid w:val="00D22476"/>
    <w:rsid w:val="00D24E3E"/>
    <w:rsid w:val="00D250C9"/>
    <w:rsid w:val="00D26257"/>
    <w:rsid w:val="00D27758"/>
    <w:rsid w:val="00D27D48"/>
    <w:rsid w:val="00D27DBC"/>
    <w:rsid w:val="00D30B11"/>
    <w:rsid w:val="00D315BC"/>
    <w:rsid w:val="00D31777"/>
    <w:rsid w:val="00D32E4E"/>
    <w:rsid w:val="00D33904"/>
    <w:rsid w:val="00D371D4"/>
    <w:rsid w:val="00D4155A"/>
    <w:rsid w:val="00D41EE2"/>
    <w:rsid w:val="00D44CC1"/>
    <w:rsid w:val="00D458B7"/>
    <w:rsid w:val="00D45EF2"/>
    <w:rsid w:val="00D471B2"/>
    <w:rsid w:val="00D52655"/>
    <w:rsid w:val="00D5332F"/>
    <w:rsid w:val="00D53632"/>
    <w:rsid w:val="00D54F99"/>
    <w:rsid w:val="00D55151"/>
    <w:rsid w:val="00D60844"/>
    <w:rsid w:val="00D62DA3"/>
    <w:rsid w:val="00D634DE"/>
    <w:rsid w:val="00D643E0"/>
    <w:rsid w:val="00D65887"/>
    <w:rsid w:val="00D65BA4"/>
    <w:rsid w:val="00D66839"/>
    <w:rsid w:val="00D6766A"/>
    <w:rsid w:val="00D6784D"/>
    <w:rsid w:val="00D67DDB"/>
    <w:rsid w:val="00D70A3B"/>
    <w:rsid w:val="00D70BE3"/>
    <w:rsid w:val="00D70CD0"/>
    <w:rsid w:val="00D71731"/>
    <w:rsid w:val="00D71B6E"/>
    <w:rsid w:val="00D722DD"/>
    <w:rsid w:val="00D73131"/>
    <w:rsid w:val="00D757B6"/>
    <w:rsid w:val="00D75F39"/>
    <w:rsid w:val="00D774F6"/>
    <w:rsid w:val="00D83ADC"/>
    <w:rsid w:val="00D83E12"/>
    <w:rsid w:val="00D86125"/>
    <w:rsid w:val="00D87EFA"/>
    <w:rsid w:val="00D901DB"/>
    <w:rsid w:val="00D90B5F"/>
    <w:rsid w:val="00D90B68"/>
    <w:rsid w:val="00D912E5"/>
    <w:rsid w:val="00D91937"/>
    <w:rsid w:val="00D91BD5"/>
    <w:rsid w:val="00D927F1"/>
    <w:rsid w:val="00D94181"/>
    <w:rsid w:val="00D9501E"/>
    <w:rsid w:val="00D9618C"/>
    <w:rsid w:val="00DA069F"/>
    <w:rsid w:val="00DA419A"/>
    <w:rsid w:val="00DA62BA"/>
    <w:rsid w:val="00DA6B97"/>
    <w:rsid w:val="00DB1103"/>
    <w:rsid w:val="00DB25E0"/>
    <w:rsid w:val="00DB4E16"/>
    <w:rsid w:val="00DB5F1D"/>
    <w:rsid w:val="00DB752D"/>
    <w:rsid w:val="00DB7DBC"/>
    <w:rsid w:val="00DC18CD"/>
    <w:rsid w:val="00DC1F92"/>
    <w:rsid w:val="00DC24AE"/>
    <w:rsid w:val="00DC2684"/>
    <w:rsid w:val="00DC342A"/>
    <w:rsid w:val="00DC3743"/>
    <w:rsid w:val="00DC39D3"/>
    <w:rsid w:val="00DC3E5F"/>
    <w:rsid w:val="00DC4C2E"/>
    <w:rsid w:val="00DC5E70"/>
    <w:rsid w:val="00DC5F96"/>
    <w:rsid w:val="00DD10D6"/>
    <w:rsid w:val="00DD2AFA"/>
    <w:rsid w:val="00DD2B23"/>
    <w:rsid w:val="00DD3617"/>
    <w:rsid w:val="00DD3E5F"/>
    <w:rsid w:val="00DD4753"/>
    <w:rsid w:val="00DD5559"/>
    <w:rsid w:val="00DD7BC5"/>
    <w:rsid w:val="00DE03C4"/>
    <w:rsid w:val="00DE0A0E"/>
    <w:rsid w:val="00DE266A"/>
    <w:rsid w:val="00DE2903"/>
    <w:rsid w:val="00DE3D52"/>
    <w:rsid w:val="00DE4CA9"/>
    <w:rsid w:val="00DE5E80"/>
    <w:rsid w:val="00DE6358"/>
    <w:rsid w:val="00DE72F4"/>
    <w:rsid w:val="00DF200B"/>
    <w:rsid w:val="00DF4D55"/>
    <w:rsid w:val="00DF66A5"/>
    <w:rsid w:val="00DF74D5"/>
    <w:rsid w:val="00DF7A30"/>
    <w:rsid w:val="00DF7D1A"/>
    <w:rsid w:val="00E039C5"/>
    <w:rsid w:val="00E03FF7"/>
    <w:rsid w:val="00E057C9"/>
    <w:rsid w:val="00E0591E"/>
    <w:rsid w:val="00E067CC"/>
    <w:rsid w:val="00E0795C"/>
    <w:rsid w:val="00E1073F"/>
    <w:rsid w:val="00E10A20"/>
    <w:rsid w:val="00E10AB1"/>
    <w:rsid w:val="00E116EE"/>
    <w:rsid w:val="00E1367B"/>
    <w:rsid w:val="00E16BAC"/>
    <w:rsid w:val="00E16F06"/>
    <w:rsid w:val="00E17E6D"/>
    <w:rsid w:val="00E219AD"/>
    <w:rsid w:val="00E24C12"/>
    <w:rsid w:val="00E2516C"/>
    <w:rsid w:val="00E25743"/>
    <w:rsid w:val="00E257D6"/>
    <w:rsid w:val="00E357DD"/>
    <w:rsid w:val="00E3608A"/>
    <w:rsid w:val="00E36B14"/>
    <w:rsid w:val="00E377DB"/>
    <w:rsid w:val="00E37AF6"/>
    <w:rsid w:val="00E4028E"/>
    <w:rsid w:val="00E4101E"/>
    <w:rsid w:val="00E41980"/>
    <w:rsid w:val="00E41E0D"/>
    <w:rsid w:val="00E41EA9"/>
    <w:rsid w:val="00E4221B"/>
    <w:rsid w:val="00E42A0A"/>
    <w:rsid w:val="00E432E6"/>
    <w:rsid w:val="00E44A29"/>
    <w:rsid w:val="00E44C77"/>
    <w:rsid w:val="00E45A98"/>
    <w:rsid w:val="00E45BE7"/>
    <w:rsid w:val="00E45BED"/>
    <w:rsid w:val="00E460BD"/>
    <w:rsid w:val="00E501FE"/>
    <w:rsid w:val="00E5102E"/>
    <w:rsid w:val="00E5262C"/>
    <w:rsid w:val="00E53FBB"/>
    <w:rsid w:val="00E56601"/>
    <w:rsid w:val="00E6123A"/>
    <w:rsid w:val="00E61FA3"/>
    <w:rsid w:val="00E638F2"/>
    <w:rsid w:val="00E64001"/>
    <w:rsid w:val="00E64AA6"/>
    <w:rsid w:val="00E65051"/>
    <w:rsid w:val="00E66791"/>
    <w:rsid w:val="00E66D4F"/>
    <w:rsid w:val="00E711A7"/>
    <w:rsid w:val="00E718DE"/>
    <w:rsid w:val="00E71EB3"/>
    <w:rsid w:val="00E72452"/>
    <w:rsid w:val="00E72DAC"/>
    <w:rsid w:val="00E73914"/>
    <w:rsid w:val="00E7569A"/>
    <w:rsid w:val="00E75D76"/>
    <w:rsid w:val="00E8102E"/>
    <w:rsid w:val="00E817D2"/>
    <w:rsid w:val="00E83B4C"/>
    <w:rsid w:val="00E84B78"/>
    <w:rsid w:val="00E84D22"/>
    <w:rsid w:val="00E85597"/>
    <w:rsid w:val="00E867CD"/>
    <w:rsid w:val="00E95C30"/>
    <w:rsid w:val="00E97F82"/>
    <w:rsid w:val="00EA3A05"/>
    <w:rsid w:val="00EA3AF1"/>
    <w:rsid w:val="00EA518C"/>
    <w:rsid w:val="00EA68C0"/>
    <w:rsid w:val="00EA71B5"/>
    <w:rsid w:val="00EA7AEE"/>
    <w:rsid w:val="00EB1E7C"/>
    <w:rsid w:val="00EB2185"/>
    <w:rsid w:val="00EB3CA3"/>
    <w:rsid w:val="00EB4D17"/>
    <w:rsid w:val="00EB6767"/>
    <w:rsid w:val="00EB7D72"/>
    <w:rsid w:val="00EC02E2"/>
    <w:rsid w:val="00EC03B3"/>
    <w:rsid w:val="00EC06F6"/>
    <w:rsid w:val="00EC21B4"/>
    <w:rsid w:val="00EC38BE"/>
    <w:rsid w:val="00EC451F"/>
    <w:rsid w:val="00EC67DC"/>
    <w:rsid w:val="00ED0BA0"/>
    <w:rsid w:val="00ED2F4E"/>
    <w:rsid w:val="00ED313D"/>
    <w:rsid w:val="00ED419D"/>
    <w:rsid w:val="00ED7525"/>
    <w:rsid w:val="00EE11A6"/>
    <w:rsid w:val="00EE19B5"/>
    <w:rsid w:val="00EE32D4"/>
    <w:rsid w:val="00EE3E3C"/>
    <w:rsid w:val="00EE4BC7"/>
    <w:rsid w:val="00EE4CE6"/>
    <w:rsid w:val="00EE60F7"/>
    <w:rsid w:val="00EE6488"/>
    <w:rsid w:val="00EE6E75"/>
    <w:rsid w:val="00EE7DCE"/>
    <w:rsid w:val="00EF1537"/>
    <w:rsid w:val="00EF1709"/>
    <w:rsid w:val="00EF3DB2"/>
    <w:rsid w:val="00EF44D1"/>
    <w:rsid w:val="00EF7F37"/>
    <w:rsid w:val="00F0160D"/>
    <w:rsid w:val="00F01718"/>
    <w:rsid w:val="00F01CA6"/>
    <w:rsid w:val="00F02350"/>
    <w:rsid w:val="00F0343B"/>
    <w:rsid w:val="00F0660E"/>
    <w:rsid w:val="00F1340F"/>
    <w:rsid w:val="00F139D8"/>
    <w:rsid w:val="00F161EE"/>
    <w:rsid w:val="00F201D1"/>
    <w:rsid w:val="00F2434C"/>
    <w:rsid w:val="00F24490"/>
    <w:rsid w:val="00F25D17"/>
    <w:rsid w:val="00F25DC2"/>
    <w:rsid w:val="00F26958"/>
    <w:rsid w:val="00F2719F"/>
    <w:rsid w:val="00F27B9A"/>
    <w:rsid w:val="00F27C51"/>
    <w:rsid w:val="00F3057A"/>
    <w:rsid w:val="00F31D17"/>
    <w:rsid w:val="00F3212F"/>
    <w:rsid w:val="00F32464"/>
    <w:rsid w:val="00F33CC1"/>
    <w:rsid w:val="00F35AA2"/>
    <w:rsid w:val="00F35D35"/>
    <w:rsid w:val="00F36040"/>
    <w:rsid w:val="00F36713"/>
    <w:rsid w:val="00F36772"/>
    <w:rsid w:val="00F3741E"/>
    <w:rsid w:val="00F40AE3"/>
    <w:rsid w:val="00F4143E"/>
    <w:rsid w:val="00F43173"/>
    <w:rsid w:val="00F44C2D"/>
    <w:rsid w:val="00F44C95"/>
    <w:rsid w:val="00F4532C"/>
    <w:rsid w:val="00F455A9"/>
    <w:rsid w:val="00F456B9"/>
    <w:rsid w:val="00F46B92"/>
    <w:rsid w:val="00F476E5"/>
    <w:rsid w:val="00F51220"/>
    <w:rsid w:val="00F518DF"/>
    <w:rsid w:val="00F520B0"/>
    <w:rsid w:val="00F55C9F"/>
    <w:rsid w:val="00F56BFD"/>
    <w:rsid w:val="00F601EB"/>
    <w:rsid w:val="00F614BB"/>
    <w:rsid w:val="00F62627"/>
    <w:rsid w:val="00F65767"/>
    <w:rsid w:val="00F65E03"/>
    <w:rsid w:val="00F66881"/>
    <w:rsid w:val="00F668C1"/>
    <w:rsid w:val="00F66E5E"/>
    <w:rsid w:val="00F67575"/>
    <w:rsid w:val="00F70451"/>
    <w:rsid w:val="00F70D97"/>
    <w:rsid w:val="00F72335"/>
    <w:rsid w:val="00F72573"/>
    <w:rsid w:val="00F7424D"/>
    <w:rsid w:val="00F7465F"/>
    <w:rsid w:val="00F74FEE"/>
    <w:rsid w:val="00F775E1"/>
    <w:rsid w:val="00F817F5"/>
    <w:rsid w:val="00F84581"/>
    <w:rsid w:val="00F84A6F"/>
    <w:rsid w:val="00F862FB"/>
    <w:rsid w:val="00F8699F"/>
    <w:rsid w:val="00F86DE8"/>
    <w:rsid w:val="00F8712E"/>
    <w:rsid w:val="00F877BA"/>
    <w:rsid w:val="00F87AED"/>
    <w:rsid w:val="00F90FA3"/>
    <w:rsid w:val="00F91EA0"/>
    <w:rsid w:val="00F93439"/>
    <w:rsid w:val="00F93744"/>
    <w:rsid w:val="00F93E9D"/>
    <w:rsid w:val="00F93F19"/>
    <w:rsid w:val="00F95C93"/>
    <w:rsid w:val="00F97CF6"/>
    <w:rsid w:val="00FA0810"/>
    <w:rsid w:val="00FA09F4"/>
    <w:rsid w:val="00FA2BC1"/>
    <w:rsid w:val="00FA3E17"/>
    <w:rsid w:val="00FA4886"/>
    <w:rsid w:val="00FA6973"/>
    <w:rsid w:val="00FA7658"/>
    <w:rsid w:val="00FB3F25"/>
    <w:rsid w:val="00FB4437"/>
    <w:rsid w:val="00FB45C3"/>
    <w:rsid w:val="00FB4DCB"/>
    <w:rsid w:val="00FB6124"/>
    <w:rsid w:val="00FC14F4"/>
    <w:rsid w:val="00FC217B"/>
    <w:rsid w:val="00FC21B9"/>
    <w:rsid w:val="00FC35A4"/>
    <w:rsid w:val="00FC3B04"/>
    <w:rsid w:val="00FC61B7"/>
    <w:rsid w:val="00FD1778"/>
    <w:rsid w:val="00FD215F"/>
    <w:rsid w:val="00FD2CAD"/>
    <w:rsid w:val="00FD46A8"/>
    <w:rsid w:val="00FD4F7B"/>
    <w:rsid w:val="00FD5400"/>
    <w:rsid w:val="00FD5D0B"/>
    <w:rsid w:val="00FE00A7"/>
    <w:rsid w:val="00FE0437"/>
    <w:rsid w:val="00FE132F"/>
    <w:rsid w:val="00FE2955"/>
    <w:rsid w:val="00FE7D58"/>
    <w:rsid w:val="00FE7DD8"/>
    <w:rsid w:val="00FF08F9"/>
    <w:rsid w:val="00FF2F73"/>
    <w:rsid w:val="00FF2FBC"/>
    <w:rsid w:val="00FF45BE"/>
    <w:rsid w:val="00FF4C70"/>
    <w:rsid w:val="00FF6153"/>
    <w:rsid w:val="00FF63DF"/>
    <w:rsid w:val="00FF71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CB1E00F"/>
  <w15:chartTrackingRefBased/>
  <w15:docId w15:val="{75F40D57-7BD6-4F52-99D6-D2847F72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509"/>
    <w:pPr>
      <w:ind w:left="567" w:hanging="567"/>
    </w:pPr>
    <w:rPr>
      <w:sz w:val="22"/>
      <w:szCs w:val="28"/>
      <w:lang w:val="pl-PL" w:eastAsia="pl-PL"/>
    </w:rPr>
  </w:style>
  <w:style w:type="paragraph" w:styleId="Heading1">
    <w:name w:val="heading 1"/>
    <w:basedOn w:val="Normal"/>
    <w:next w:val="Normal"/>
    <w:qFormat/>
    <w:rsid w:val="00F01CA6"/>
    <w:pPr>
      <w:keepNext/>
      <w:spacing w:before="240" w:after="60"/>
      <w:outlineLvl w:val="0"/>
    </w:pPr>
    <w:rPr>
      <w:rFonts w:ascii="Arial" w:hAnsi="Arial"/>
      <w:b/>
      <w:bCs/>
      <w:kern w:val="32"/>
      <w:sz w:val="32"/>
      <w:szCs w:val="32"/>
    </w:rPr>
  </w:style>
  <w:style w:type="paragraph" w:styleId="Heading2">
    <w:name w:val="heading 2"/>
    <w:basedOn w:val="Normal"/>
    <w:next w:val="Normal"/>
    <w:qFormat/>
    <w:rsid w:val="00F01CA6"/>
    <w:pPr>
      <w:keepNext/>
      <w:spacing w:before="240" w:after="60"/>
      <w:outlineLvl w:val="1"/>
    </w:pPr>
    <w:rPr>
      <w:rFonts w:ascii="Arial" w:hAnsi="Arial"/>
      <w:b/>
      <w:bCs/>
      <w:i/>
      <w:iCs/>
      <w:sz w:val="28"/>
    </w:rPr>
  </w:style>
  <w:style w:type="paragraph" w:styleId="Heading3">
    <w:name w:val="heading 3"/>
    <w:basedOn w:val="Normal"/>
    <w:next w:val="Normal"/>
    <w:qFormat/>
    <w:rsid w:val="00F01CA6"/>
    <w:pPr>
      <w:keepNext/>
      <w:spacing w:before="240" w:after="60"/>
      <w:outlineLvl w:val="2"/>
    </w:pPr>
    <w:rPr>
      <w:rFonts w:ascii="Arial" w:hAnsi="Arial"/>
      <w:b/>
      <w:bCs/>
      <w:sz w:val="26"/>
      <w:szCs w:val="26"/>
    </w:rPr>
  </w:style>
  <w:style w:type="paragraph" w:styleId="Heading4">
    <w:name w:val="heading 4"/>
    <w:basedOn w:val="Normal"/>
    <w:next w:val="Normal"/>
    <w:qFormat/>
    <w:rsid w:val="00F01CA6"/>
    <w:pPr>
      <w:keepNext/>
      <w:spacing w:before="240" w:after="60"/>
      <w:outlineLvl w:val="3"/>
    </w:pPr>
    <w:rPr>
      <w:b/>
      <w:bCs/>
      <w:sz w:val="28"/>
    </w:rPr>
  </w:style>
  <w:style w:type="paragraph" w:styleId="Heading5">
    <w:name w:val="heading 5"/>
    <w:basedOn w:val="Normal"/>
    <w:next w:val="Normal"/>
    <w:qFormat/>
    <w:rsid w:val="00F01CA6"/>
    <w:pPr>
      <w:spacing w:before="240" w:after="60"/>
      <w:outlineLvl w:val="4"/>
    </w:pPr>
    <w:rPr>
      <w:b/>
      <w:bCs/>
      <w:i/>
      <w:iCs/>
      <w:sz w:val="26"/>
      <w:szCs w:val="26"/>
    </w:rPr>
  </w:style>
  <w:style w:type="paragraph" w:styleId="Heading6">
    <w:name w:val="heading 6"/>
    <w:basedOn w:val="Normal"/>
    <w:next w:val="Normal"/>
    <w:qFormat/>
    <w:rsid w:val="00835F13"/>
    <w:pPr>
      <w:spacing w:before="240" w:after="60"/>
      <w:outlineLvl w:val="5"/>
    </w:pPr>
    <w:rPr>
      <w:b/>
      <w:bCs/>
      <w:szCs w:val="22"/>
    </w:rPr>
  </w:style>
  <w:style w:type="paragraph" w:styleId="Heading7">
    <w:name w:val="heading 7"/>
    <w:basedOn w:val="Normal"/>
    <w:next w:val="Normal"/>
    <w:qFormat/>
    <w:rsid w:val="00835F13"/>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rsid w:val="00F01CA6"/>
    <w:pPr>
      <w:spacing w:before="240" w:after="60"/>
      <w:outlineLvl w:val="7"/>
    </w:pPr>
    <w:rPr>
      <w:i/>
      <w:iCs/>
      <w:sz w:val="24"/>
      <w:szCs w:val="24"/>
    </w:rPr>
  </w:style>
  <w:style w:type="paragraph" w:styleId="Heading9">
    <w:name w:val="heading 9"/>
    <w:basedOn w:val="Normal"/>
    <w:next w:val="Normal"/>
    <w:qFormat/>
    <w:rsid w:val="00F01CA6"/>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5F13"/>
    <w:pPr>
      <w:tabs>
        <w:tab w:val="left" w:pos="567"/>
        <w:tab w:val="center" w:pos="4536"/>
        <w:tab w:val="center" w:pos="8930"/>
      </w:tabs>
      <w:ind w:left="0" w:firstLine="0"/>
    </w:pPr>
    <w:rPr>
      <w:rFonts w:ascii="Helvetica" w:hAnsi="Helvetica"/>
      <w:sz w:val="16"/>
      <w:szCs w:val="20"/>
      <w:lang w:val="cs-CZ" w:eastAsia="en-US"/>
    </w:rPr>
  </w:style>
  <w:style w:type="character" w:styleId="PageNumber">
    <w:name w:val="page number"/>
    <w:basedOn w:val="DefaultParagraphFont"/>
    <w:rsid w:val="00835F13"/>
  </w:style>
  <w:style w:type="character" w:styleId="Hyperlink">
    <w:name w:val="Hyperlink"/>
    <w:rsid w:val="00835F13"/>
    <w:rPr>
      <w:color w:val="0000FF"/>
      <w:u w:val="single"/>
    </w:rPr>
  </w:style>
  <w:style w:type="paragraph" w:customStyle="1" w:styleId="Table">
    <w:name w:val="Table"/>
    <w:aliases w:val="9 pt"/>
    <w:basedOn w:val="Normal"/>
    <w:link w:val="TableZnak"/>
    <w:rsid w:val="00835F13"/>
    <w:pPr>
      <w:keepLines/>
      <w:widowControl w:val="0"/>
      <w:tabs>
        <w:tab w:val="left" w:pos="284"/>
      </w:tabs>
      <w:adjustRightInd w:val="0"/>
      <w:spacing w:before="40" w:after="20"/>
      <w:ind w:left="0" w:firstLine="0"/>
      <w:jc w:val="both"/>
      <w:textAlignment w:val="baseline"/>
    </w:pPr>
    <w:rPr>
      <w:rFonts w:ascii="Arial" w:hAnsi="Arial"/>
      <w:sz w:val="20"/>
      <w:szCs w:val="20"/>
      <w:lang w:val="en-US" w:eastAsia="en-US"/>
    </w:rPr>
  </w:style>
  <w:style w:type="paragraph" w:customStyle="1" w:styleId="Text">
    <w:name w:val="Text"/>
    <w:basedOn w:val="Normal"/>
    <w:link w:val="TextChar"/>
    <w:rsid w:val="00835F13"/>
    <w:pPr>
      <w:widowControl w:val="0"/>
      <w:adjustRightInd w:val="0"/>
      <w:spacing w:before="120"/>
      <w:ind w:left="0" w:firstLine="0"/>
      <w:jc w:val="both"/>
      <w:textAlignment w:val="baseline"/>
    </w:pPr>
    <w:rPr>
      <w:sz w:val="24"/>
      <w:lang w:val="en-US" w:eastAsia="en-US"/>
    </w:rPr>
  </w:style>
  <w:style w:type="character" w:customStyle="1" w:styleId="TextChar">
    <w:name w:val="Text Char"/>
    <w:link w:val="Text"/>
    <w:rsid w:val="00835F13"/>
    <w:rPr>
      <w:sz w:val="24"/>
      <w:szCs w:val="28"/>
      <w:lang w:val="en-US" w:eastAsia="en-US" w:bidi="ar-SA"/>
    </w:rPr>
  </w:style>
  <w:style w:type="paragraph" w:styleId="BodyText">
    <w:name w:val="Body Text"/>
    <w:basedOn w:val="Normal"/>
    <w:rsid w:val="008A2514"/>
    <w:pPr>
      <w:tabs>
        <w:tab w:val="left" w:pos="567"/>
      </w:tabs>
      <w:spacing w:line="260" w:lineRule="exact"/>
      <w:ind w:left="0" w:firstLine="0"/>
    </w:pPr>
    <w:rPr>
      <w:b/>
      <w:i/>
      <w:szCs w:val="20"/>
      <w:lang w:val="cs-CZ" w:eastAsia="en-US"/>
    </w:rPr>
  </w:style>
  <w:style w:type="table" w:styleId="TableGrid">
    <w:name w:val="Table Grid"/>
    <w:basedOn w:val="TableNormal"/>
    <w:rsid w:val="008A2514"/>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Znak">
    <w:name w:val="Table Znak"/>
    <w:aliases w:val="9 pt Znak"/>
    <w:link w:val="Table"/>
    <w:rsid w:val="008A2514"/>
    <w:rPr>
      <w:rFonts w:ascii="Arial" w:hAnsi="Arial"/>
      <w:lang w:val="en-US" w:eastAsia="en-US" w:bidi="ar-SA"/>
    </w:rPr>
  </w:style>
  <w:style w:type="character" w:customStyle="1" w:styleId="TableChar">
    <w:name w:val="Table Char"/>
    <w:aliases w:val="9 pt Char"/>
    <w:rsid w:val="008A2514"/>
    <w:rPr>
      <w:rFonts w:ascii="Arial" w:hAnsi="Arial"/>
      <w:lang w:val="en-US" w:eastAsia="en-US" w:bidi="ar-SA"/>
    </w:rPr>
  </w:style>
  <w:style w:type="paragraph" w:customStyle="1" w:styleId="Authors">
    <w:name w:val="Authors"/>
    <w:basedOn w:val="Normal"/>
    <w:rsid w:val="008A2514"/>
    <w:pPr>
      <w:keepNext/>
      <w:spacing w:before="240"/>
      <w:ind w:left="0" w:firstLine="0"/>
    </w:pPr>
    <w:rPr>
      <w:rFonts w:ascii="Arial" w:hAnsi="Arial"/>
      <w:szCs w:val="20"/>
      <w:lang w:val="en-GB" w:eastAsia="en-US"/>
    </w:rPr>
  </w:style>
  <w:style w:type="character" w:styleId="CommentReference">
    <w:name w:val="annotation reference"/>
    <w:semiHidden/>
    <w:rsid w:val="008910B7"/>
    <w:rPr>
      <w:sz w:val="16"/>
      <w:szCs w:val="16"/>
    </w:rPr>
  </w:style>
  <w:style w:type="paragraph" w:styleId="CommentText">
    <w:name w:val="annotation text"/>
    <w:aliases w:val="Comment Text Char1 Char,Comment Text Char Char Char,Comment Text Char1"/>
    <w:basedOn w:val="Normal"/>
    <w:link w:val="CommentTextChar"/>
    <w:uiPriority w:val="99"/>
    <w:rsid w:val="008910B7"/>
    <w:pPr>
      <w:tabs>
        <w:tab w:val="left" w:pos="567"/>
      </w:tabs>
      <w:spacing w:line="260" w:lineRule="exact"/>
      <w:ind w:left="0" w:firstLine="0"/>
    </w:pPr>
    <w:rPr>
      <w:sz w:val="20"/>
      <w:szCs w:val="20"/>
      <w:lang w:val="en-GB" w:eastAsia="en-US"/>
    </w:rPr>
  </w:style>
  <w:style w:type="paragraph" w:styleId="BalloonText">
    <w:name w:val="Balloon Text"/>
    <w:basedOn w:val="Normal"/>
    <w:semiHidden/>
    <w:rsid w:val="008910B7"/>
    <w:rPr>
      <w:rFonts w:ascii="Tahoma" w:hAnsi="Tahoma" w:cs="Tahoma"/>
      <w:sz w:val="16"/>
      <w:szCs w:val="16"/>
    </w:rPr>
  </w:style>
  <w:style w:type="paragraph" w:styleId="CommentSubject">
    <w:name w:val="annotation subject"/>
    <w:basedOn w:val="CommentText"/>
    <w:next w:val="CommentText"/>
    <w:semiHidden/>
    <w:rsid w:val="00D722DD"/>
    <w:pPr>
      <w:tabs>
        <w:tab w:val="clear" w:pos="567"/>
      </w:tabs>
      <w:spacing w:line="240" w:lineRule="auto"/>
      <w:ind w:left="567" w:hanging="567"/>
    </w:pPr>
    <w:rPr>
      <w:b/>
      <w:bCs/>
      <w:lang w:val="pl-PL" w:eastAsia="pl-PL"/>
    </w:rPr>
  </w:style>
  <w:style w:type="paragraph" w:styleId="Date">
    <w:name w:val="Date"/>
    <w:basedOn w:val="Normal"/>
    <w:next w:val="Normal"/>
    <w:rsid w:val="00C6294E"/>
    <w:pPr>
      <w:ind w:left="0" w:firstLine="0"/>
    </w:pPr>
    <w:rPr>
      <w:szCs w:val="20"/>
      <w:lang w:val="en-GB" w:eastAsia="en-US"/>
    </w:rPr>
  </w:style>
  <w:style w:type="paragraph" w:customStyle="1" w:styleId="Releasedate">
    <w:name w:val="Releasedate"/>
    <w:basedOn w:val="Normal"/>
    <w:rsid w:val="00C6294E"/>
    <w:pPr>
      <w:keepNext/>
      <w:spacing w:before="240"/>
      <w:ind w:left="0" w:firstLine="0"/>
    </w:pPr>
    <w:rPr>
      <w:rFonts w:ascii="Arial" w:hAnsi="Arial"/>
      <w:sz w:val="24"/>
      <w:szCs w:val="20"/>
      <w:lang w:val="en-US" w:eastAsia="en-US"/>
    </w:rPr>
  </w:style>
  <w:style w:type="paragraph" w:styleId="List">
    <w:name w:val="List"/>
    <w:basedOn w:val="Normal"/>
    <w:rsid w:val="00F01CA6"/>
    <w:pPr>
      <w:ind w:left="283" w:hanging="283"/>
    </w:pPr>
  </w:style>
  <w:style w:type="paragraph" w:styleId="List2">
    <w:name w:val="List 2"/>
    <w:basedOn w:val="Normal"/>
    <w:rsid w:val="00F01CA6"/>
    <w:pPr>
      <w:ind w:left="566" w:hanging="283"/>
    </w:pPr>
  </w:style>
  <w:style w:type="paragraph" w:styleId="ListBullet">
    <w:name w:val="List Bullet"/>
    <w:basedOn w:val="Normal"/>
    <w:autoRedefine/>
    <w:rsid w:val="00F01CA6"/>
    <w:pPr>
      <w:numPr>
        <w:numId w:val="5"/>
      </w:numPr>
    </w:pPr>
  </w:style>
  <w:style w:type="paragraph" w:styleId="ListBullet2">
    <w:name w:val="List Bullet 2"/>
    <w:basedOn w:val="Normal"/>
    <w:autoRedefine/>
    <w:rsid w:val="00F01CA6"/>
    <w:pPr>
      <w:numPr>
        <w:numId w:val="6"/>
      </w:numPr>
    </w:pPr>
  </w:style>
  <w:style w:type="paragraph" w:styleId="ListBullet3">
    <w:name w:val="List Bullet 3"/>
    <w:basedOn w:val="Normal"/>
    <w:autoRedefine/>
    <w:rsid w:val="00F01CA6"/>
    <w:pPr>
      <w:numPr>
        <w:numId w:val="7"/>
      </w:numPr>
    </w:pPr>
  </w:style>
  <w:style w:type="paragraph" w:styleId="Header">
    <w:name w:val="header"/>
    <w:basedOn w:val="Normal"/>
    <w:rsid w:val="004A0917"/>
    <w:pPr>
      <w:tabs>
        <w:tab w:val="center" w:pos="4536"/>
        <w:tab w:val="right" w:pos="9072"/>
      </w:tabs>
    </w:pPr>
  </w:style>
  <w:style w:type="paragraph" w:customStyle="1" w:styleId="ZnakZnak">
    <w:name w:val="Znak Znak"/>
    <w:basedOn w:val="Normal"/>
    <w:rsid w:val="00C01CFB"/>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paragraph" w:customStyle="1" w:styleId="CharChar1">
    <w:name w:val="Char Char1"/>
    <w:basedOn w:val="Normal"/>
    <w:rsid w:val="00131FE9"/>
    <w:pPr>
      <w:widowControl w:val="0"/>
      <w:adjustRightInd w:val="0"/>
      <w:spacing w:after="160" w:line="240" w:lineRule="exact"/>
      <w:ind w:left="0" w:firstLine="0"/>
      <w:jc w:val="both"/>
      <w:textAlignment w:val="baseline"/>
    </w:pPr>
    <w:rPr>
      <w:rFonts w:ascii="Verdana" w:hAnsi="Verdana" w:cs="Verdana"/>
      <w:sz w:val="20"/>
      <w:szCs w:val="20"/>
      <w:lang w:val="en-US" w:eastAsia="en-US"/>
    </w:rPr>
  </w:style>
  <w:style w:type="paragraph" w:customStyle="1" w:styleId="Style">
    <w:name w:val="Style"/>
    <w:basedOn w:val="Normal"/>
    <w:rsid w:val="00166C14"/>
    <w:pPr>
      <w:spacing w:after="160" w:line="240" w:lineRule="exact"/>
      <w:ind w:left="0" w:firstLine="0"/>
    </w:pPr>
    <w:rPr>
      <w:rFonts w:ascii="Verdana" w:hAnsi="Verdana" w:cs="Verdana"/>
      <w:sz w:val="20"/>
      <w:szCs w:val="20"/>
      <w:lang w:val="en-GB" w:eastAsia="en-US"/>
    </w:rPr>
  </w:style>
  <w:style w:type="character" w:customStyle="1" w:styleId="Char">
    <w:name w:val="Char"/>
    <w:rsid w:val="00F84581"/>
    <w:rPr>
      <w:rFonts w:ascii="Arial" w:hAnsi="Arial" w:cs="Verdana"/>
      <w:b/>
      <w:sz w:val="24"/>
      <w:lang w:val="en-US" w:eastAsia="en-US" w:bidi="ar-SA"/>
    </w:rPr>
  </w:style>
  <w:style w:type="character" w:customStyle="1" w:styleId="hps">
    <w:name w:val="hps"/>
    <w:basedOn w:val="DefaultParagraphFont"/>
    <w:rsid w:val="004C694C"/>
  </w:style>
  <w:style w:type="paragraph" w:styleId="Revision">
    <w:name w:val="Revision"/>
    <w:hidden/>
    <w:uiPriority w:val="99"/>
    <w:semiHidden/>
    <w:rsid w:val="000B4F3E"/>
    <w:rPr>
      <w:sz w:val="22"/>
      <w:szCs w:val="28"/>
      <w:lang w:val="pl-PL" w:eastAsia="pl-PL"/>
    </w:rPr>
  </w:style>
  <w:style w:type="paragraph" w:customStyle="1" w:styleId="Listlevel1">
    <w:name w:val="List level 1"/>
    <w:basedOn w:val="Normal"/>
    <w:rsid w:val="0091611A"/>
    <w:pPr>
      <w:spacing w:before="40" w:after="20"/>
      <w:ind w:left="425" w:hanging="425"/>
    </w:pPr>
    <w:rPr>
      <w:sz w:val="24"/>
      <w:szCs w:val="20"/>
      <w:lang w:val="en-US" w:eastAsia="en-US"/>
    </w:rPr>
  </w:style>
  <w:style w:type="character" w:customStyle="1" w:styleId="CommentTextChar">
    <w:name w:val="Comment Text Char"/>
    <w:aliases w:val="Comment Text Char1 Char Char,Comment Text Char Char Char Char,Comment Text Char1 Char1"/>
    <w:link w:val="CommentText"/>
    <w:uiPriority w:val="99"/>
    <w:rsid w:val="00D471B2"/>
    <w:rPr>
      <w:lang w:val="en-GB" w:eastAsia="en-US" w:bidi="ar-SA"/>
    </w:rPr>
  </w:style>
  <w:style w:type="paragraph" w:customStyle="1" w:styleId="No-numheading3Agency">
    <w:name w:val="No-num heading 3 (Agency)"/>
    <w:rsid w:val="008B423C"/>
    <w:pPr>
      <w:keepNext/>
      <w:spacing w:before="280" w:after="220"/>
      <w:outlineLvl w:val="2"/>
    </w:pPr>
    <w:rPr>
      <w:rFonts w:ascii="Verdana" w:hAnsi="Verdana"/>
      <w:b/>
      <w:snapToGrid w:val="0"/>
      <w:kern w:val="32"/>
      <w:sz w:val="22"/>
      <w:lang w:eastAsia="fr-LU"/>
    </w:rPr>
  </w:style>
  <w:style w:type="paragraph" w:customStyle="1" w:styleId="BodytextAgency">
    <w:name w:val="Body text (Agency)"/>
    <w:basedOn w:val="Normal"/>
    <w:link w:val="BodytextAgencyChar"/>
    <w:qFormat/>
    <w:rsid w:val="00FA4886"/>
    <w:pPr>
      <w:spacing w:after="140" w:line="280" w:lineRule="atLeast"/>
      <w:ind w:left="0" w:firstLine="0"/>
    </w:pPr>
    <w:rPr>
      <w:rFonts w:ascii="Verdana" w:eastAsia="Verdana" w:hAnsi="Verdana" w:cs="Verdana"/>
      <w:sz w:val="18"/>
      <w:szCs w:val="18"/>
      <w:lang w:bidi="pl-PL"/>
    </w:rPr>
  </w:style>
  <w:style w:type="character" w:customStyle="1" w:styleId="BodytextAgencyChar">
    <w:name w:val="Body text (Agency) Char"/>
    <w:link w:val="BodytextAgency"/>
    <w:rsid w:val="00FA4886"/>
    <w:rPr>
      <w:rFonts w:ascii="Verdana" w:eastAsia="Verdana" w:hAnsi="Verdana" w:cs="Verdana"/>
      <w:sz w:val="18"/>
      <w:szCs w:val="18"/>
      <w:lang w:val="pl-PL" w:eastAsia="pl-PL" w:bidi="pl-PL"/>
    </w:rPr>
  </w:style>
  <w:style w:type="paragraph" w:styleId="ListParagraph">
    <w:name w:val="List Paragraph"/>
    <w:basedOn w:val="Normal"/>
    <w:uiPriority w:val="34"/>
    <w:qFormat/>
    <w:rsid w:val="000207A3"/>
    <w:pPr>
      <w:ind w:left="720"/>
      <w:contextualSpacing/>
    </w:pPr>
  </w:style>
  <w:style w:type="paragraph" w:customStyle="1" w:styleId="Default">
    <w:name w:val="Default"/>
    <w:rsid w:val="006D6846"/>
    <w:pPr>
      <w:autoSpaceDE w:val="0"/>
      <w:autoSpaceDN w:val="0"/>
      <w:adjustRightInd w:val="0"/>
    </w:pPr>
    <w:rPr>
      <w:color w:val="000000"/>
      <w:sz w:val="24"/>
      <w:szCs w:val="24"/>
      <w:lang w:val="en-US"/>
    </w:rPr>
  </w:style>
  <w:style w:type="character" w:customStyle="1" w:styleId="normaltextrun">
    <w:name w:val="normaltextrun"/>
    <w:basedOn w:val="DefaultParagraphFont"/>
    <w:rsid w:val="0098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2560">
      <w:bodyDiv w:val="1"/>
      <w:marLeft w:val="0"/>
      <w:marRight w:val="0"/>
      <w:marTop w:val="0"/>
      <w:marBottom w:val="0"/>
      <w:divBdr>
        <w:top w:val="none" w:sz="0" w:space="0" w:color="auto"/>
        <w:left w:val="none" w:sz="0" w:space="0" w:color="auto"/>
        <w:bottom w:val="none" w:sz="0" w:space="0" w:color="auto"/>
        <w:right w:val="none" w:sz="0" w:space="0" w:color="auto"/>
      </w:divBdr>
    </w:div>
    <w:div w:id="335811152">
      <w:bodyDiv w:val="1"/>
      <w:marLeft w:val="0"/>
      <w:marRight w:val="0"/>
      <w:marTop w:val="0"/>
      <w:marBottom w:val="0"/>
      <w:divBdr>
        <w:top w:val="none" w:sz="0" w:space="0" w:color="auto"/>
        <w:left w:val="none" w:sz="0" w:space="0" w:color="auto"/>
        <w:bottom w:val="none" w:sz="0" w:space="0" w:color="auto"/>
        <w:right w:val="none" w:sz="0" w:space="0" w:color="auto"/>
      </w:divBdr>
    </w:div>
    <w:div w:id="437065198">
      <w:bodyDiv w:val="1"/>
      <w:marLeft w:val="0"/>
      <w:marRight w:val="0"/>
      <w:marTop w:val="0"/>
      <w:marBottom w:val="0"/>
      <w:divBdr>
        <w:top w:val="none" w:sz="0" w:space="0" w:color="auto"/>
        <w:left w:val="none" w:sz="0" w:space="0" w:color="auto"/>
        <w:bottom w:val="none" w:sz="0" w:space="0" w:color="auto"/>
        <w:right w:val="none" w:sz="0" w:space="0" w:color="auto"/>
      </w:divBdr>
    </w:div>
    <w:div w:id="519122701">
      <w:bodyDiv w:val="1"/>
      <w:marLeft w:val="0"/>
      <w:marRight w:val="0"/>
      <w:marTop w:val="0"/>
      <w:marBottom w:val="0"/>
      <w:divBdr>
        <w:top w:val="none" w:sz="0" w:space="0" w:color="auto"/>
        <w:left w:val="none" w:sz="0" w:space="0" w:color="auto"/>
        <w:bottom w:val="none" w:sz="0" w:space="0" w:color="auto"/>
        <w:right w:val="none" w:sz="0" w:space="0" w:color="auto"/>
      </w:divBdr>
    </w:div>
    <w:div w:id="791746813">
      <w:bodyDiv w:val="1"/>
      <w:marLeft w:val="0"/>
      <w:marRight w:val="0"/>
      <w:marTop w:val="0"/>
      <w:marBottom w:val="0"/>
      <w:divBdr>
        <w:top w:val="none" w:sz="0" w:space="0" w:color="auto"/>
        <w:left w:val="none" w:sz="0" w:space="0" w:color="auto"/>
        <w:bottom w:val="none" w:sz="0" w:space="0" w:color="auto"/>
        <w:right w:val="none" w:sz="0" w:space="0" w:color="auto"/>
      </w:divBdr>
      <w:divsChild>
        <w:div w:id="1388727212">
          <w:marLeft w:val="0"/>
          <w:marRight w:val="0"/>
          <w:marTop w:val="0"/>
          <w:marBottom w:val="0"/>
          <w:divBdr>
            <w:top w:val="none" w:sz="0" w:space="0" w:color="auto"/>
            <w:left w:val="none" w:sz="0" w:space="0" w:color="auto"/>
            <w:bottom w:val="none" w:sz="0" w:space="0" w:color="auto"/>
            <w:right w:val="none" w:sz="0" w:space="0" w:color="auto"/>
          </w:divBdr>
          <w:divsChild>
            <w:div w:id="1770851858">
              <w:marLeft w:val="0"/>
              <w:marRight w:val="0"/>
              <w:marTop w:val="0"/>
              <w:marBottom w:val="0"/>
              <w:divBdr>
                <w:top w:val="none" w:sz="0" w:space="0" w:color="auto"/>
                <w:left w:val="none" w:sz="0" w:space="0" w:color="auto"/>
                <w:bottom w:val="none" w:sz="0" w:space="0" w:color="auto"/>
                <w:right w:val="none" w:sz="0" w:space="0" w:color="auto"/>
              </w:divBdr>
              <w:divsChild>
                <w:div w:id="1634409403">
                  <w:marLeft w:val="0"/>
                  <w:marRight w:val="0"/>
                  <w:marTop w:val="0"/>
                  <w:marBottom w:val="0"/>
                  <w:divBdr>
                    <w:top w:val="none" w:sz="0" w:space="0" w:color="auto"/>
                    <w:left w:val="none" w:sz="0" w:space="0" w:color="auto"/>
                    <w:bottom w:val="none" w:sz="0" w:space="0" w:color="auto"/>
                    <w:right w:val="none" w:sz="0" w:space="0" w:color="auto"/>
                  </w:divBdr>
                  <w:divsChild>
                    <w:div w:id="1784613841">
                      <w:marLeft w:val="0"/>
                      <w:marRight w:val="0"/>
                      <w:marTop w:val="0"/>
                      <w:marBottom w:val="0"/>
                      <w:divBdr>
                        <w:top w:val="none" w:sz="0" w:space="0" w:color="auto"/>
                        <w:left w:val="none" w:sz="0" w:space="0" w:color="auto"/>
                        <w:bottom w:val="none" w:sz="0" w:space="0" w:color="auto"/>
                        <w:right w:val="none" w:sz="0" w:space="0" w:color="auto"/>
                      </w:divBdr>
                      <w:divsChild>
                        <w:div w:id="1091707265">
                          <w:marLeft w:val="0"/>
                          <w:marRight w:val="0"/>
                          <w:marTop w:val="0"/>
                          <w:marBottom w:val="0"/>
                          <w:divBdr>
                            <w:top w:val="none" w:sz="0" w:space="0" w:color="auto"/>
                            <w:left w:val="none" w:sz="0" w:space="0" w:color="auto"/>
                            <w:bottom w:val="none" w:sz="0" w:space="0" w:color="auto"/>
                            <w:right w:val="none" w:sz="0" w:space="0" w:color="auto"/>
                          </w:divBdr>
                          <w:divsChild>
                            <w:div w:id="1320576803">
                              <w:marLeft w:val="0"/>
                              <w:marRight w:val="0"/>
                              <w:marTop w:val="0"/>
                              <w:marBottom w:val="0"/>
                              <w:divBdr>
                                <w:top w:val="none" w:sz="0" w:space="0" w:color="auto"/>
                                <w:left w:val="none" w:sz="0" w:space="0" w:color="auto"/>
                                <w:bottom w:val="none" w:sz="0" w:space="0" w:color="auto"/>
                                <w:right w:val="none" w:sz="0" w:space="0" w:color="auto"/>
                              </w:divBdr>
                              <w:divsChild>
                                <w:div w:id="12496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09082">
      <w:bodyDiv w:val="1"/>
      <w:marLeft w:val="0"/>
      <w:marRight w:val="0"/>
      <w:marTop w:val="0"/>
      <w:marBottom w:val="0"/>
      <w:divBdr>
        <w:top w:val="none" w:sz="0" w:space="0" w:color="auto"/>
        <w:left w:val="none" w:sz="0" w:space="0" w:color="auto"/>
        <w:bottom w:val="none" w:sz="0" w:space="0" w:color="auto"/>
        <w:right w:val="none" w:sz="0" w:space="0" w:color="auto"/>
      </w:divBdr>
    </w:div>
    <w:div w:id="1076787417">
      <w:bodyDiv w:val="1"/>
      <w:marLeft w:val="0"/>
      <w:marRight w:val="0"/>
      <w:marTop w:val="0"/>
      <w:marBottom w:val="0"/>
      <w:divBdr>
        <w:top w:val="none" w:sz="0" w:space="0" w:color="auto"/>
        <w:left w:val="none" w:sz="0" w:space="0" w:color="auto"/>
        <w:bottom w:val="none" w:sz="0" w:space="0" w:color="auto"/>
        <w:right w:val="none" w:sz="0" w:space="0" w:color="auto"/>
      </w:divBdr>
    </w:div>
    <w:div w:id="1088501595">
      <w:bodyDiv w:val="1"/>
      <w:marLeft w:val="0"/>
      <w:marRight w:val="0"/>
      <w:marTop w:val="0"/>
      <w:marBottom w:val="0"/>
      <w:divBdr>
        <w:top w:val="none" w:sz="0" w:space="0" w:color="auto"/>
        <w:left w:val="none" w:sz="0" w:space="0" w:color="auto"/>
        <w:bottom w:val="none" w:sz="0" w:space="0" w:color="auto"/>
        <w:right w:val="none" w:sz="0" w:space="0" w:color="auto"/>
      </w:divBdr>
    </w:div>
    <w:div w:id="1144736523">
      <w:bodyDiv w:val="1"/>
      <w:marLeft w:val="0"/>
      <w:marRight w:val="0"/>
      <w:marTop w:val="0"/>
      <w:marBottom w:val="0"/>
      <w:divBdr>
        <w:top w:val="none" w:sz="0" w:space="0" w:color="auto"/>
        <w:left w:val="none" w:sz="0" w:space="0" w:color="auto"/>
        <w:bottom w:val="none" w:sz="0" w:space="0" w:color="auto"/>
        <w:right w:val="none" w:sz="0" w:space="0" w:color="auto"/>
      </w:divBdr>
    </w:div>
    <w:div w:id="1184587368">
      <w:bodyDiv w:val="1"/>
      <w:marLeft w:val="0"/>
      <w:marRight w:val="0"/>
      <w:marTop w:val="0"/>
      <w:marBottom w:val="0"/>
      <w:divBdr>
        <w:top w:val="none" w:sz="0" w:space="0" w:color="auto"/>
        <w:left w:val="none" w:sz="0" w:space="0" w:color="auto"/>
        <w:bottom w:val="none" w:sz="0" w:space="0" w:color="auto"/>
        <w:right w:val="none" w:sz="0" w:space="0" w:color="auto"/>
      </w:divBdr>
    </w:div>
    <w:div w:id="1200359712">
      <w:bodyDiv w:val="1"/>
      <w:marLeft w:val="0"/>
      <w:marRight w:val="0"/>
      <w:marTop w:val="0"/>
      <w:marBottom w:val="0"/>
      <w:divBdr>
        <w:top w:val="none" w:sz="0" w:space="0" w:color="auto"/>
        <w:left w:val="none" w:sz="0" w:space="0" w:color="auto"/>
        <w:bottom w:val="none" w:sz="0" w:space="0" w:color="auto"/>
        <w:right w:val="none" w:sz="0" w:space="0" w:color="auto"/>
      </w:divBdr>
    </w:div>
    <w:div w:id="1273435971">
      <w:bodyDiv w:val="1"/>
      <w:marLeft w:val="0"/>
      <w:marRight w:val="0"/>
      <w:marTop w:val="0"/>
      <w:marBottom w:val="0"/>
      <w:divBdr>
        <w:top w:val="none" w:sz="0" w:space="0" w:color="auto"/>
        <w:left w:val="none" w:sz="0" w:space="0" w:color="auto"/>
        <w:bottom w:val="none" w:sz="0" w:space="0" w:color="auto"/>
        <w:right w:val="none" w:sz="0" w:space="0" w:color="auto"/>
      </w:divBdr>
    </w:div>
    <w:div w:id="1292252246">
      <w:bodyDiv w:val="1"/>
      <w:marLeft w:val="0"/>
      <w:marRight w:val="0"/>
      <w:marTop w:val="0"/>
      <w:marBottom w:val="0"/>
      <w:divBdr>
        <w:top w:val="none" w:sz="0" w:space="0" w:color="auto"/>
        <w:left w:val="none" w:sz="0" w:space="0" w:color="auto"/>
        <w:bottom w:val="none" w:sz="0" w:space="0" w:color="auto"/>
        <w:right w:val="none" w:sz="0" w:space="0" w:color="auto"/>
      </w:divBdr>
    </w:div>
    <w:div w:id="1356924142">
      <w:bodyDiv w:val="1"/>
      <w:marLeft w:val="0"/>
      <w:marRight w:val="0"/>
      <w:marTop w:val="0"/>
      <w:marBottom w:val="0"/>
      <w:divBdr>
        <w:top w:val="none" w:sz="0" w:space="0" w:color="auto"/>
        <w:left w:val="none" w:sz="0" w:space="0" w:color="auto"/>
        <w:bottom w:val="none" w:sz="0" w:space="0" w:color="auto"/>
        <w:right w:val="none" w:sz="0" w:space="0" w:color="auto"/>
      </w:divBdr>
    </w:div>
    <w:div w:id="1759859637">
      <w:bodyDiv w:val="1"/>
      <w:marLeft w:val="0"/>
      <w:marRight w:val="0"/>
      <w:marTop w:val="0"/>
      <w:marBottom w:val="0"/>
      <w:divBdr>
        <w:top w:val="none" w:sz="0" w:space="0" w:color="auto"/>
        <w:left w:val="none" w:sz="0" w:space="0" w:color="auto"/>
        <w:bottom w:val="none" w:sz="0" w:space="0" w:color="auto"/>
        <w:right w:val="none" w:sz="0" w:space="0" w:color="auto"/>
      </w:divBdr>
    </w:div>
    <w:div w:id="1778212620">
      <w:bodyDiv w:val="1"/>
      <w:marLeft w:val="0"/>
      <w:marRight w:val="0"/>
      <w:marTop w:val="0"/>
      <w:marBottom w:val="0"/>
      <w:divBdr>
        <w:top w:val="none" w:sz="0" w:space="0" w:color="auto"/>
        <w:left w:val="none" w:sz="0" w:space="0" w:color="auto"/>
        <w:bottom w:val="none" w:sz="0" w:space="0" w:color="auto"/>
        <w:right w:val="none" w:sz="0" w:space="0" w:color="auto"/>
      </w:divBdr>
      <w:divsChild>
        <w:div w:id="133529181">
          <w:marLeft w:val="0"/>
          <w:marRight w:val="0"/>
          <w:marTop w:val="0"/>
          <w:marBottom w:val="0"/>
          <w:divBdr>
            <w:top w:val="none" w:sz="0" w:space="0" w:color="auto"/>
            <w:left w:val="none" w:sz="0" w:space="0" w:color="auto"/>
            <w:bottom w:val="none" w:sz="0" w:space="0" w:color="auto"/>
            <w:right w:val="none" w:sz="0" w:space="0" w:color="auto"/>
          </w:divBdr>
          <w:divsChild>
            <w:div w:id="686097228">
              <w:marLeft w:val="0"/>
              <w:marRight w:val="0"/>
              <w:marTop w:val="0"/>
              <w:marBottom w:val="0"/>
              <w:divBdr>
                <w:top w:val="none" w:sz="0" w:space="0" w:color="auto"/>
                <w:left w:val="none" w:sz="0" w:space="0" w:color="auto"/>
                <w:bottom w:val="none" w:sz="0" w:space="0" w:color="auto"/>
                <w:right w:val="none" w:sz="0" w:space="0" w:color="auto"/>
              </w:divBdr>
              <w:divsChild>
                <w:div w:id="1805461965">
                  <w:marLeft w:val="0"/>
                  <w:marRight w:val="0"/>
                  <w:marTop w:val="0"/>
                  <w:marBottom w:val="0"/>
                  <w:divBdr>
                    <w:top w:val="none" w:sz="0" w:space="0" w:color="auto"/>
                    <w:left w:val="none" w:sz="0" w:space="0" w:color="auto"/>
                    <w:bottom w:val="none" w:sz="0" w:space="0" w:color="auto"/>
                    <w:right w:val="none" w:sz="0" w:space="0" w:color="auto"/>
                  </w:divBdr>
                  <w:divsChild>
                    <w:div w:id="150340864">
                      <w:marLeft w:val="0"/>
                      <w:marRight w:val="0"/>
                      <w:marTop w:val="0"/>
                      <w:marBottom w:val="0"/>
                      <w:divBdr>
                        <w:top w:val="none" w:sz="0" w:space="0" w:color="auto"/>
                        <w:left w:val="none" w:sz="0" w:space="0" w:color="auto"/>
                        <w:bottom w:val="none" w:sz="0" w:space="0" w:color="auto"/>
                        <w:right w:val="none" w:sz="0" w:space="0" w:color="auto"/>
                      </w:divBdr>
                      <w:divsChild>
                        <w:div w:id="1327632335">
                          <w:marLeft w:val="0"/>
                          <w:marRight w:val="0"/>
                          <w:marTop w:val="0"/>
                          <w:marBottom w:val="0"/>
                          <w:divBdr>
                            <w:top w:val="none" w:sz="0" w:space="0" w:color="auto"/>
                            <w:left w:val="none" w:sz="0" w:space="0" w:color="auto"/>
                            <w:bottom w:val="none" w:sz="0" w:space="0" w:color="auto"/>
                            <w:right w:val="none" w:sz="0" w:space="0" w:color="auto"/>
                          </w:divBdr>
                          <w:divsChild>
                            <w:div w:id="1489829907">
                              <w:marLeft w:val="0"/>
                              <w:marRight w:val="0"/>
                              <w:marTop w:val="0"/>
                              <w:marBottom w:val="0"/>
                              <w:divBdr>
                                <w:top w:val="none" w:sz="0" w:space="0" w:color="auto"/>
                                <w:left w:val="none" w:sz="0" w:space="0" w:color="auto"/>
                                <w:bottom w:val="none" w:sz="0" w:space="0" w:color="auto"/>
                                <w:right w:val="none" w:sz="0" w:space="0" w:color="auto"/>
                              </w:divBdr>
                              <w:divsChild>
                                <w:div w:id="1422413538">
                                  <w:marLeft w:val="0"/>
                                  <w:marRight w:val="0"/>
                                  <w:marTop w:val="0"/>
                                  <w:marBottom w:val="0"/>
                                  <w:divBdr>
                                    <w:top w:val="none" w:sz="0" w:space="0" w:color="auto"/>
                                    <w:left w:val="none" w:sz="0" w:space="0" w:color="auto"/>
                                    <w:bottom w:val="none" w:sz="0" w:space="0" w:color="auto"/>
                                    <w:right w:val="none" w:sz="0" w:space="0" w:color="auto"/>
                                  </w:divBdr>
                                  <w:divsChild>
                                    <w:div w:id="414981501">
                                      <w:marLeft w:val="0"/>
                                      <w:marRight w:val="0"/>
                                      <w:marTop w:val="0"/>
                                      <w:marBottom w:val="0"/>
                                      <w:divBdr>
                                        <w:top w:val="single" w:sz="4" w:space="0" w:color="F5F5F5"/>
                                        <w:left w:val="single" w:sz="4" w:space="0" w:color="F5F5F5"/>
                                        <w:bottom w:val="single" w:sz="4" w:space="0" w:color="F5F5F5"/>
                                        <w:right w:val="single" w:sz="4" w:space="0" w:color="F5F5F5"/>
                                      </w:divBdr>
                                      <w:divsChild>
                                        <w:div w:id="207379009">
                                          <w:marLeft w:val="0"/>
                                          <w:marRight w:val="0"/>
                                          <w:marTop w:val="0"/>
                                          <w:marBottom w:val="0"/>
                                          <w:divBdr>
                                            <w:top w:val="none" w:sz="0" w:space="0" w:color="auto"/>
                                            <w:left w:val="none" w:sz="0" w:space="0" w:color="auto"/>
                                            <w:bottom w:val="none" w:sz="0" w:space="0" w:color="auto"/>
                                            <w:right w:val="none" w:sz="0" w:space="0" w:color="auto"/>
                                          </w:divBdr>
                                          <w:divsChild>
                                            <w:div w:id="14051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08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EMADOC-1700519818-2319789</_dlc_DocId>
    <_dlc_DocIdUrl xmlns="a034c160-bfb7-45f5-8632-2eb7e0508071">
      <Url>https://euema.sharepoint.com/sites/CRM/_layouts/15/DocIdRedir.aspx?ID=EMADOC-1700519818-2319789</Url>
      <Description>EMADOC-1700519818-2319789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923EAD-32C0-4883-BFA3-B4A3F08BA5DB}">
  <ds:schemaRefs>
    <ds:schemaRef ds:uri="http://schemas.openxmlformats.org/officeDocument/2006/bibliography"/>
  </ds:schemaRefs>
</ds:datastoreItem>
</file>

<file path=customXml/itemProps2.xml><?xml version="1.0" encoding="utf-8"?>
<ds:datastoreItem xmlns:ds="http://schemas.openxmlformats.org/officeDocument/2006/customXml" ds:itemID="{044198D4-149E-4742-9FED-830E6266F9CC}"/>
</file>

<file path=customXml/itemProps3.xml><?xml version="1.0" encoding="utf-8"?>
<ds:datastoreItem xmlns:ds="http://schemas.openxmlformats.org/officeDocument/2006/customXml" ds:itemID="{AEF2C11E-529C-4046-8191-32A711CAC505}">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4.xml><?xml version="1.0" encoding="utf-8"?>
<ds:datastoreItem xmlns:ds="http://schemas.openxmlformats.org/officeDocument/2006/customXml" ds:itemID="{500D6AC2-8916-4E25-8C2C-274C2D2EC944}">
  <ds:schemaRefs>
    <ds:schemaRef ds:uri="http://schemas.microsoft.com/sharepoint/v3/contenttype/forms"/>
  </ds:schemaRefs>
</ds:datastoreItem>
</file>

<file path=customXml/itemProps5.xml><?xml version="1.0" encoding="utf-8"?>
<ds:datastoreItem xmlns:ds="http://schemas.openxmlformats.org/officeDocument/2006/customXml" ds:itemID="{6B46C658-6C31-4D9C-90C1-620725694B6D}"/>
</file>

<file path=docProps/app.xml><?xml version="1.0" encoding="utf-8"?>
<Properties xmlns="http://schemas.openxmlformats.org/officeDocument/2006/extended-properties" xmlns:vt="http://schemas.openxmlformats.org/officeDocument/2006/docPropsVTypes">
  <Template>Normal</Template>
  <TotalTime>7</TotalTime>
  <Pages>44</Pages>
  <Words>13483</Words>
  <Characters>76858</Characters>
  <Application>Microsoft Office Word</Application>
  <DocSecurity>0</DocSecurity>
  <Lines>640</Lines>
  <Paragraphs>180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90161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6</cp:revision>
  <dcterms:created xsi:type="dcterms:W3CDTF">2025-03-17T04:28:00Z</dcterms:created>
  <dcterms:modified xsi:type="dcterms:W3CDTF">2025-07-22T12:23:00Z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2022-08-03T11:15:55Z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ed942d7d-46eb-40e9-8e0b-905f61feac7c</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75e4bc3b-3508-4a2c-a443-939936171d8c</vt:lpwstr>
  </property>
</Properties>
</file>