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6A40" w14:textId="77777777" w:rsidR="000961FC" w:rsidRPr="00FD4532" w:rsidRDefault="000961FC" w:rsidP="000961FC">
      <w:pPr>
        <w:rPr>
          <w:sz w:val="20"/>
          <w:szCs w:val="20"/>
        </w:rPr>
      </w:pPr>
    </w:p>
    <w:p w14:paraId="5272DDCF" w14:textId="77777777" w:rsidR="000961FC" w:rsidRPr="000961FC" w:rsidRDefault="000961FC" w:rsidP="000961FC">
      <w:pPr>
        <w:rPr>
          <w:sz w:val="22"/>
        </w:rPr>
      </w:pPr>
    </w:p>
    <w:p w14:paraId="07A1F978" w14:textId="71CB5E06" w:rsidR="000961FC" w:rsidRPr="000961FC" w:rsidRDefault="000961FC" w:rsidP="000961FC">
      <w:pPr>
        <w:pBdr>
          <w:top w:val="single" w:sz="4" w:space="1" w:color="auto"/>
          <w:left w:val="single" w:sz="4" w:space="4" w:color="auto"/>
          <w:bottom w:val="single" w:sz="4" w:space="1" w:color="auto"/>
          <w:right w:val="single" w:sz="4" w:space="4" w:color="auto"/>
        </w:pBdr>
        <w:rPr>
          <w:sz w:val="22"/>
        </w:rPr>
      </w:pPr>
      <w:r w:rsidRPr="000961FC">
        <w:rPr>
          <w:sz w:val="22"/>
        </w:rPr>
        <w:t xml:space="preserve">Niniejszy dokument to zatwierdzone druki informacyjne dla leku </w:t>
      </w:r>
      <w:proofErr w:type="spellStart"/>
      <w:r w:rsidRPr="000961FC">
        <w:rPr>
          <w:sz w:val="22"/>
        </w:rPr>
        <w:t>Voriconazole</w:t>
      </w:r>
      <w:proofErr w:type="spellEnd"/>
      <w:r w:rsidRPr="000961FC">
        <w:rPr>
          <w:sz w:val="22"/>
        </w:rPr>
        <w:t xml:space="preserve"> Accord</w:t>
      </w:r>
      <w:r w:rsidRPr="000961FC">
        <w:rPr>
          <w:sz w:val="22"/>
        </w:rPr>
        <w:t xml:space="preserve"> </w:t>
      </w:r>
      <w:r w:rsidRPr="000961FC">
        <w:rPr>
          <w:sz w:val="22"/>
        </w:rPr>
        <w:t>z</w:t>
      </w:r>
      <w:r>
        <w:rPr>
          <w:sz w:val="22"/>
        </w:rPr>
        <w:t> </w:t>
      </w:r>
      <w:r w:rsidRPr="000961FC">
        <w:rPr>
          <w:sz w:val="22"/>
        </w:rPr>
        <w:t>wyróżnionymi</w:t>
      </w:r>
      <w:r w:rsidRPr="000961FC">
        <w:rPr>
          <w:sz w:val="22"/>
        </w:rPr>
        <w:t xml:space="preserve"> </w:t>
      </w:r>
      <w:r w:rsidRPr="000961FC">
        <w:rPr>
          <w:sz w:val="22"/>
        </w:rPr>
        <w:t>zmianami wprowadzonymi od czasu poprzedniej procedury, mającymi wpływ na druki informacyjne</w:t>
      </w:r>
      <w:r w:rsidRPr="000961FC">
        <w:rPr>
          <w:sz w:val="22"/>
        </w:rPr>
        <w:t xml:space="preserve"> </w:t>
      </w:r>
      <w:r w:rsidRPr="000961FC">
        <w:rPr>
          <w:sz w:val="22"/>
        </w:rPr>
        <w:t>(</w:t>
      </w:r>
      <w:r w:rsidRPr="000961FC">
        <w:rPr>
          <w:bCs/>
          <w:sz w:val="22"/>
        </w:rPr>
        <w:t>EMA/N/0000269325</w:t>
      </w:r>
      <w:r w:rsidRPr="000961FC">
        <w:rPr>
          <w:sz w:val="22"/>
        </w:rPr>
        <w:t xml:space="preserve">) </w:t>
      </w:r>
      <w:proofErr w:type="spellStart"/>
      <w:r w:rsidRPr="000961FC">
        <w:rPr>
          <w:sz w:val="22"/>
        </w:rPr>
        <w:t>tracked</w:t>
      </w:r>
      <w:proofErr w:type="spellEnd"/>
      <w:r w:rsidRPr="000961FC">
        <w:rPr>
          <w:sz w:val="22"/>
        </w:rPr>
        <w:t>.</w:t>
      </w:r>
    </w:p>
    <w:p w14:paraId="6BEC18AE" w14:textId="77777777" w:rsidR="000961FC" w:rsidRPr="000961FC" w:rsidRDefault="000961FC" w:rsidP="000961FC">
      <w:pPr>
        <w:pBdr>
          <w:top w:val="single" w:sz="4" w:space="1" w:color="auto"/>
          <w:left w:val="single" w:sz="4" w:space="4" w:color="auto"/>
          <w:bottom w:val="single" w:sz="4" w:space="1" w:color="auto"/>
          <w:right w:val="single" w:sz="4" w:space="4" w:color="auto"/>
        </w:pBdr>
        <w:rPr>
          <w:sz w:val="22"/>
        </w:rPr>
      </w:pPr>
    </w:p>
    <w:p w14:paraId="5B7BABDE" w14:textId="77777777" w:rsidR="000961FC" w:rsidRPr="000961FC" w:rsidRDefault="000961FC" w:rsidP="000961FC">
      <w:pPr>
        <w:pBdr>
          <w:top w:val="single" w:sz="4" w:space="1" w:color="auto"/>
          <w:left w:val="single" w:sz="4" w:space="4" w:color="auto"/>
          <w:bottom w:val="single" w:sz="4" w:space="1" w:color="auto"/>
          <w:right w:val="single" w:sz="4" w:space="4" w:color="auto"/>
        </w:pBdr>
        <w:rPr>
          <w:sz w:val="22"/>
        </w:rPr>
      </w:pPr>
      <w:r w:rsidRPr="000961FC">
        <w:rPr>
          <w:sz w:val="22"/>
        </w:rPr>
        <w:t>Więcej informacji znajduje się na stronie internetowej Europejskiej Agencji Leków:</w:t>
      </w:r>
    </w:p>
    <w:p w14:paraId="0B8420E0" w14:textId="30FD0548" w:rsidR="000961FC" w:rsidRPr="000961FC" w:rsidRDefault="000961FC" w:rsidP="000961FC">
      <w:pPr>
        <w:pBdr>
          <w:top w:val="single" w:sz="4" w:space="1" w:color="auto"/>
          <w:left w:val="single" w:sz="4" w:space="4" w:color="auto"/>
          <w:bottom w:val="single" w:sz="4" w:space="1" w:color="auto"/>
          <w:right w:val="single" w:sz="4" w:space="4" w:color="auto"/>
        </w:pBdr>
        <w:rPr>
          <w:sz w:val="22"/>
        </w:rPr>
      </w:pPr>
      <w:hyperlink r:id="rId11" w:history="1">
        <w:r w:rsidRPr="000961FC">
          <w:rPr>
            <w:rStyle w:val="Hipercze"/>
            <w:sz w:val="22"/>
          </w:rPr>
          <w:t>https://www.ema.europa.eu/en/medicines/human/EPAR/voriconazole-accord</w:t>
        </w:r>
      </w:hyperlink>
    </w:p>
    <w:p w14:paraId="2CF465BF" w14:textId="77777777" w:rsidR="000961FC" w:rsidRPr="000961FC" w:rsidRDefault="000961FC" w:rsidP="000961FC">
      <w:pPr>
        <w:pBdr>
          <w:top w:val="single" w:sz="4" w:space="1" w:color="auto"/>
          <w:left w:val="single" w:sz="4" w:space="4" w:color="auto"/>
          <w:bottom w:val="single" w:sz="4" w:space="1" w:color="auto"/>
          <w:right w:val="single" w:sz="4" w:space="4" w:color="auto"/>
        </w:pBdr>
        <w:rPr>
          <w:sz w:val="22"/>
        </w:rPr>
      </w:pPr>
    </w:p>
    <w:p w14:paraId="5DF8BB0B" w14:textId="0E164002" w:rsidR="000961FC" w:rsidRPr="000961FC" w:rsidRDefault="000961FC" w:rsidP="00277FE6">
      <w:pPr>
        <w:jc w:val="center"/>
        <w:rPr>
          <w:sz w:val="22"/>
        </w:rPr>
      </w:pPr>
      <w:r w:rsidRPr="000961FC">
        <w:rPr>
          <w:sz w:val="22"/>
        </w:rPr>
        <w:br/>
      </w:r>
    </w:p>
    <w:p w14:paraId="24E2063E" w14:textId="77777777" w:rsidR="007373CF" w:rsidRDefault="000961FC" w:rsidP="00277FE6">
      <w:pPr>
        <w:jc w:val="center"/>
        <w:rPr>
          <w:sz w:val="22"/>
        </w:rPr>
      </w:pPr>
      <w:r>
        <w:rPr>
          <w:sz w:val="22"/>
        </w:rPr>
        <w:br w:type="column"/>
      </w:r>
    </w:p>
    <w:p w14:paraId="7BE13AA9" w14:textId="77777777" w:rsidR="007373CF" w:rsidRDefault="007373CF" w:rsidP="00277FE6">
      <w:pPr>
        <w:jc w:val="center"/>
        <w:rPr>
          <w:sz w:val="22"/>
        </w:rPr>
      </w:pPr>
    </w:p>
    <w:p w14:paraId="3A19EDFB" w14:textId="77777777" w:rsidR="007373CF" w:rsidRDefault="007373CF" w:rsidP="00277FE6">
      <w:pPr>
        <w:jc w:val="center"/>
        <w:rPr>
          <w:sz w:val="22"/>
        </w:rPr>
      </w:pPr>
    </w:p>
    <w:p w14:paraId="0D10E27F" w14:textId="77777777" w:rsidR="007373CF" w:rsidRDefault="007373CF" w:rsidP="00277FE6">
      <w:pPr>
        <w:jc w:val="center"/>
        <w:rPr>
          <w:sz w:val="22"/>
        </w:rPr>
      </w:pPr>
    </w:p>
    <w:p w14:paraId="033531F4" w14:textId="77777777" w:rsidR="007373CF" w:rsidRDefault="007373CF" w:rsidP="00277FE6">
      <w:pPr>
        <w:jc w:val="center"/>
        <w:rPr>
          <w:sz w:val="22"/>
        </w:rPr>
      </w:pPr>
    </w:p>
    <w:p w14:paraId="225EDBD6" w14:textId="77777777" w:rsidR="007373CF" w:rsidRDefault="007373CF" w:rsidP="00277FE6">
      <w:pPr>
        <w:jc w:val="center"/>
        <w:rPr>
          <w:sz w:val="22"/>
        </w:rPr>
      </w:pPr>
    </w:p>
    <w:p w14:paraId="0CEA2A0A" w14:textId="77777777" w:rsidR="007373CF" w:rsidRDefault="007373CF" w:rsidP="00277FE6">
      <w:pPr>
        <w:jc w:val="center"/>
        <w:rPr>
          <w:sz w:val="22"/>
        </w:rPr>
      </w:pPr>
    </w:p>
    <w:p w14:paraId="666EDBEB" w14:textId="77777777" w:rsidR="007373CF" w:rsidRDefault="007373CF" w:rsidP="00277FE6">
      <w:pPr>
        <w:jc w:val="center"/>
        <w:rPr>
          <w:sz w:val="22"/>
        </w:rPr>
      </w:pPr>
    </w:p>
    <w:p w14:paraId="4894E28B" w14:textId="77777777" w:rsidR="007373CF" w:rsidRDefault="007373CF" w:rsidP="00277FE6">
      <w:pPr>
        <w:jc w:val="center"/>
        <w:rPr>
          <w:sz w:val="22"/>
        </w:rPr>
      </w:pPr>
    </w:p>
    <w:p w14:paraId="7D8A2A29" w14:textId="77777777" w:rsidR="007373CF" w:rsidRDefault="007373CF" w:rsidP="00277FE6">
      <w:pPr>
        <w:jc w:val="center"/>
        <w:rPr>
          <w:sz w:val="22"/>
        </w:rPr>
      </w:pPr>
    </w:p>
    <w:p w14:paraId="62708AE9" w14:textId="77777777" w:rsidR="007373CF" w:rsidRDefault="007373CF" w:rsidP="00277FE6">
      <w:pPr>
        <w:jc w:val="center"/>
        <w:rPr>
          <w:sz w:val="22"/>
        </w:rPr>
      </w:pPr>
    </w:p>
    <w:p w14:paraId="3CD0313B" w14:textId="77777777" w:rsidR="007373CF" w:rsidRDefault="007373CF" w:rsidP="00277FE6">
      <w:pPr>
        <w:jc w:val="center"/>
        <w:rPr>
          <w:sz w:val="22"/>
        </w:rPr>
      </w:pPr>
    </w:p>
    <w:p w14:paraId="57632139" w14:textId="77777777" w:rsidR="007373CF" w:rsidRDefault="007373CF" w:rsidP="00277FE6">
      <w:pPr>
        <w:jc w:val="center"/>
        <w:rPr>
          <w:sz w:val="22"/>
        </w:rPr>
      </w:pPr>
    </w:p>
    <w:p w14:paraId="38DEB671" w14:textId="77777777" w:rsidR="007373CF" w:rsidRDefault="007373CF" w:rsidP="00277FE6">
      <w:pPr>
        <w:jc w:val="center"/>
        <w:rPr>
          <w:sz w:val="22"/>
        </w:rPr>
      </w:pPr>
    </w:p>
    <w:p w14:paraId="123F7FD8" w14:textId="77777777" w:rsidR="007373CF" w:rsidRDefault="007373CF" w:rsidP="00277FE6">
      <w:pPr>
        <w:jc w:val="center"/>
        <w:rPr>
          <w:sz w:val="22"/>
        </w:rPr>
      </w:pPr>
    </w:p>
    <w:p w14:paraId="06818139" w14:textId="77777777" w:rsidR="007373CF" w:rsidRPr="005138D5" w:rsidRDefault="007373CF" w:rsidP="00277FE6">
      <w:pPr>
        <w:jc w:val="center"/>
        <w:rPr>
          <w:sz w:val="22"/>
        </w:rPr>
      </w:pPr>
    </w:p>
    <w:p w14:paraId="250F51AD" w14:textId="77777777" w:rsidR="00575F5E" w:rsidRPr="005138D5" w:rsidRDefault="00575F5E" w:rsidP="00277FE6">
      <w:pPr>
        <w:jc w:val="center"/>
        <w:rPr>
          <w:sz w:val="22"/>
        </w:rPr>
      </w:pPr>
    </w:p>
    <w:p w14:paraId="57BD0D9F" w14:textId="77777777" w:rsidR="00575F5E" w:rsidRPr="005138D5" w:rsidRDefault="00575F5E" w:rsidP="00277FE6">
      <w:pPr>
        <w:jc w:val="center"/>
        <w:rPr>
          <w:sz w:val="22"/>
        </w:rPr>
      </w:pPr>
    </w:p>
    <w:p w14:paraId="0AC07A4F" w14:textId="77777777" w:rsidR="00575F5E" w:rsidRPr="005138D5" w:rsidRDefault="00575F5E" w:rsidP="00277FE6">
      <w:pPr>
        <w:jc w:val="center"/>
        <w:rPr>
          <w:sz w:val="22"/>
        </w:rPr>
      </w:pPr>
    </w:p>
    <w:p w14:paraId="1520F19B" w14:textId="77777777" w:rsidR="00575F5E" w:rsidRPr="005138D5" w:rsidRDefault="00575F5E" w:rsidP="00277FE6">
      <w:pPr>
        <w:jc w:val="center"/>
        <w:rPr>
          <w:sz w:val="22"/>
        </w:rPr>
      </w:pPr>
    </w:p>
    <w:p w14:paraId="2BE19709" w14:textId="77777777" w:rsidR="00575F5E" w:rsidRPr="005138D5" w:rsidRDefault="00575F5E" w:rsidP="00277FE6">
      <w:pPr>
        <w:jc w:val="center"/>
        <w:rPr>
          <w:sz w:val="22"/>
        </w:rPr>
      </w:pPr>
    </w:p>
    <w:p w14:paraId="086BF1F0" w14:textId="77777777" w:rsidR="00575F5E" w:rsidRPr="005138D5" w:rsidRDefault="00575F5E" w:rsidP="00277FE6">
      <w:pPr>
        <w:jc w:val="center"/>
        <w:rPr>
          <w:b/>
          <w:sz w:val="22"/>
        </w:rPr>
      </w:pPr>
      <w:r w:rsidRPr="005138D5">
        <w:rPr>
          <w:b/>
          <w:sz w:val="22"/>
        </w:rPr>
        <w:t>ANEKS I</w:t>
      </w:r>
    </w:p>
    <w:p w14:paraId="302D4A79" w14:textId="77777777" w:rsidR="00575F5E" w:rsidRPr="005138D5" w:rsidRDefault="00575F5E" w:rsidP="003405DD">
      <w:pPr>
        <w:jc w:val="center"/>
        <w:rPr>
          <w:b/>
          <w:sz w:val="22"/>
        </w:rPr>
      </w:pPr>
    </w:p>
    <w:p w14:paraId="548EC5F8" w14:textId="77777777" w:rsidR="00575F5E" w:rsidRPr="005138D5" w:rsidRDefault="00575F5E" w:rsidP="00454903">
      <w:pPr>
        <w:pStyle w:val="11"/>
      </w:pPr>
      <w:r w:rsidRPr="005138D5">
        <w:t>CHARAKTERYSTYKA PRODUKTU LECZNICZEGO</w:t>
      </w:r>
    </w:p>
    <w:p w14:paraId="044D95E9" w14:textId="77777777" w:rsidR="00575F5E" w:rsidRPr="005138D5" w:rsidRDefault="00575F5E" w:rsidP="00C46404">
      <w:pPr>
        <w:pStyle w:val="11"/>
        <w:jc w:val="left"/>
      </w:pPr>
      <w:r w:rsidRPr="005138D5">
        <w:br w:type="page"/>
      </w:r>
      <w:r w:rsidRPr="005138D5">
        <w:lastRenderedPageBreak/>
        <w:t>1.</w:t>
      </w:r>
      <w:r w:rsidRPr="005138D5">
        <w:tab/>
        <w:t>NAZWA PRODUKTU LECZNICZEGO</w:t>
      </w:r>
    </w:p>
    <w:p w14:paraId="2F7CC4D1" w14:textId="77777777" w:rsidR="00575F5E" w:rsidRPr="005138D5" w:rsidRDefault="00575F5E" w:rsidP="00A41668">
      <w:pPr>
        <w:widowControl/>
        <w:rPr>
          <w:bCs/>
          <w:sz w:val="22"/>
        </w:rPr>
      </w:pPr>
    </w:p>
    <w:p w14:paraId="6097501A" w14:textId="77777777" w:rsidR="00575F5E" w:rsidRPr="00C8744C" w:rsidRDefault="00E7454B" w:rsidP="00A41668">
      <w:pPr>
        <w:widowControl/>
        <w:rPr>
          <w:bCs/>
          <w:sz w:val="22"/>
          <w:lang w:val="en-US"/>
        </w:rPr>
      </w:pPr>
      <w:r w:rsidRPr="00C8744C">
        <w:rPr>
          <w:sz w:val="22"/>
          <w:lang w:val="en-US"/>
        </w:rPr>
        <w:t xml:space="preserve">Voriconazole Accord </w:t>
      </w:r>
      <w:r w:rsidR="00092D71" w:rsidRPr="00C8744C">
        <w:rPr>
          <w:bCs/>
          <w:sz w:val="22"/>
          <w:lang w:val="en-US"/>
        </w:rPr>
        <w:t>50</w:t>
      </w:r>
      <w:r w:rsidR="00086D10" w:rsidRPr="00C8744C">
        <w:rPr>
          <w:bCs/>
          <w:sz w:val="22"/>
          <w:lang w:val="en-US"/>
        </w:rPr>
        <w:t> mg</w:t>
      </w:r>
      <w:r w:rsidR="00277FE6" w:rsidRPr="00C8744C">
        <w:rPr>
          <w:bCs/>
          <w:sz w:val="22"/>
          <w:lang w:val="en-US"/>
        </w:rPr>
        <w:t xml:space="preserve"> </w:t>
      </w:r>
      <w:proofErr w:type="spellStart"/>
      <w:r w:rsidR="00092D71" w:rsidRPr="00C8744C">
        <w:rPr>
          <w:bCs/>
          <w:sz w:val="22"/>
          <w:lang w:val="en-US"/>
        </w:rPr>
        <w:t>tabletki</w:t>
      </w:r>
      <w:proofErr w:type="spellEnd"/>
      <w:r w:rsidR="00092D71" w:rsidRPr="00C8744C">
        <w:rPr>
          <w:bCs/>
          <w:sz w:val="22"/>
          <w:lang w:val="en-US"/>
        </w:rPr>
        <w:t xml:space="preserve"> </w:t>
      </w:r>
      <w:proofErr w:type="spellStart"/>
      <w:r w:rsidR="00092D71" w:rsidRPr="00C8744C">
        <w:rPr>
          <w:bCs/>
          <w:sz w:val="22"/>
          <w:lang w:val="en-US"/>
        </w:rPr>
        <w:t>powlekane</w:t>
      </w:r>
      <w:proofErr w:type="spellEnd"/>
    </w:p>
    <w:p w14:paraId="27E8EEE8" w14:textId="77777777" w:rsidR="00575F5E" w:rsidRPr="005138D5" w:rsidRDefault="00AE613A" w:rsidP="00A41668">
      <w:pPr>
        <w:widowControl/>
        <w:rPr>
          <w:sz w:val="22"/>
          <w:lang w:val="en-GB"/>
        </w:rPr>
      </w:pPr>
      <w:r w:rsidRPr="005138D5">
        <w:rPr>
          <w:sz w:val="22"/>
          <w:lang w:val="en-GB"/>
        </w:rPr>
        <w:t xml:space="preserve">Voriconazole Accord 200 mg </w:t>
      </w:r>
      <w:proofErr w:type="spellStart"/>
      <w:r w:rsidRPr="005138D5">
        <w:rPr>
          <w:sz w:val="22"/>
          <w:lang w:val="en-GB"/>
        </w:rPr>
        <w:t>tabletki</w:t>
      </w:r>
      <w:proofErr w:type="spellEnd"/>
      <w:r w:rsidRPr="005138D5">
        <w:rPr>
          <w:sz w:val="22"/>
          <w:lang w:val="en-GB"/>
        </w:rPr>
        <w:t xml:space="preserve"> </w:t>
      </w:r>
      <w:proofErr w:type="spellStart"/>
      <w:r w:rsidRPr="005138D5">
        <w:rPr>
          <w:sz w:val="22"/>
          <w:lang w:val="en-GB"/>
        </w:rPr>
        <w:t>powlekane</w:t>
      </w:r>
      <w:proofErr w:type="spellEnd"/>
    </w:p>
    <w:p w14:paraId="2E21FE9E" w14:textId="77777777" w:rsidR="00E7454B" w:rsidRDefault="00E7454B" w:rsidP="00A41668">
      <w:pPr>
        <w:widowControl/>
        <w:rPr>
          <w:b/>
          <w:sz w:val="22"/>
          <w:lang w:val="en-GB"/>
        </w:rPr>
      </w:pPr>
    </w:p>
    <w:p w14:paraId="6931C00C" w14:textId="77777777" w:rsidR="00EA33D1" w:rsidRPr="005138D5" w:rsidRDefault="00EA33D1" w:rsidP="00A41668">
      <w:pPr>
        <w:widowControl/>
        <w:rPr>
          <w:b/>
          <w:sz w:val="22"/>
          <w:lang w:val="en-GB"/>
        </w:rPr>
      </w:pPr>
    </w:p>
    <w:p w14:paraId="34A18598" w14:textId="77777777" w:rsidR="00575F5E" w:rsidRPr="005138D5" w:rsidRDefault="00575F5E" w:rsidP="00A41668">
      <w:pPr>
        <w:widowControl/>
        <w:rPr>
          <w:b/>
          <w:sz w:val="22"/>
        </w:rPr>
      </w:pPr>
      <w:r w:rsidRPr="00C8744C">
        <w:rPr>
          <w:b/>
          <w:sz w:val="22"/>
        </w:rPr>
        <w:t>2.</w:t>
      </w:r>
      <w:r w:rsidRPr="00C8744C">
        <w:rPr>
          <w:b/>
          <w:sz w:val="22"/>
        </w:rPr>
        <w:tab/>
      </w:r>
      <w:r w:rsidRPr="005138D5">
        <w:rPr>
          <w:b/>
          <w:sz w:val="22"/>
        </w:rPr>
        <w:t>SKŁAD JAKOŚCIOWY I ILOŚCIOWY</w:t>
      </w:r>
    </w:p>
    <w:p w14:paraId="338EEE03" w14:textId="77777777" w:rsidR="00575F5E" w:rsidRPr="005138D5" w:rsidRDefault="00575F5E" w:rsidP="00A41668">
      <w:pPr>
        <w:widowControl/>
        <w:rPr>
          <w:bCs/>
          <w:sz w:val="22"/>
        </w:rPr>
      </w:pPr>
    </w:p>
    <w:p w14:paraId="0D4DC21C" w14:textId="77777777" w:rsidR="00B66913" w:rsidRPr="00C32FD6" w:rsidRDefault="00B66913" w:rsidP="00A41668">
      <w:pPr>
        <w:widowControl/>
        <w:rPr>
          <w:bCs/>
          <w:sz w:val="22"/>
          <w:u w:val="single"/>
        </w:rPr>
      </w:pPr>
      <w:r w:rsidRPr="00C32FD6">
        <w:rPr>
          <w:sz w:val="22"/>
          <w:u w:val="single"/>
        </w:rPr>
        <w:t xml:space="preserve">Voriconazole Accord </w:t>
      </w:r>
      <w:r w:rsidRPr="00C32FD6">
        <w:rPr>
          <w:bCs/>
          <w:sz w:val="22"/>
          <w:u w:val="single"/>
        </w:rPr>
        <w:t>50 mg tabletki powlekane</w:t>
      </w:r>
    </w:p>
    <w:p w14:paraId="7B1C578D" w14:textId="77777777" w:rsidR="00575F5E" w:rsidRPr="005138D5" w:rsidRDefault="00575F5E" w:rsidP="00A41668">
      <w:pPr>
        <w:widowControl/>
        <w:rPr>
          <w:bCs/>
          <w:sz w:val="22"/>
        </w:rPr>
      </w:pPr>
      <w:r w:rsidRPr="005138D5">
        <w:rPr>
          <w:bCs/>
          <w:sz w:val="22"/>
        </w:rPr>
        <w:t>Każda tabletka zawiera 50</w:t>
      </w:r>
      <w:r w:rsidR="00086D10" w:rsidRPr="005138D5">
        <w:rPr>
          <w:bCs/>
          <w:sz w:val="22"/>
        </w:rPr>
        <w:t> mg</w:t>
      </w:r>
      <w:r w:rsidRPr="005138D5">
        <w:rPr>
          <w:bCs/>
          <w:sz w:val="22"/>
        </w:rPr>
        <w:t xml:space="preserve"> worykonazolu.</w:t>
      </w:r>
    </w:p>
    <w:p w14:paraId="0957C2F3" w14:textId="77777777" w:rsidR="00634280" w:rsidRPr="005138D5" w:rsidRDefault="00634280" w:rsidP="00A41668">
      <w:pPr>
        <w:widowControl/>
        <w:rPr>
          <w:bCs/>
          <w:sz w:val="22"/>
        </w:rPr>
      </w:pPr>
    </w:p>
    <w:p w14:paraId="06DE882C" w14:textId="77777777" w:rsidR="00AE613A" w:rsidRPr="005138D5" w:rsidRDefault="00575F5E" w:rsidP="00A41668">
      <w:pPr>
        <w:widowControl/>
        <w:rPr>
          <w:bCs/>
          <w:sz w:val="22"/>
        </w:rPr>
      </w:pPr>
      <w:r w:rsidRPr="005138D5">
        <w:rPr>
          <w:bCs/>
          <w:sz w:val="22"/>
          <w:u w:val="single"/>
        </w:rPr>
        <w:t>Substancja pomocnicza</w:t>
      </w:r>
      <w:r w:rsidR="00163094" w:rsidRPr="005138D5">
        <w:rPr>
          <w:bCs/>
          <w:sz w:val="22"/>
          <w:u w:val="single"/>
        </w:rPr>
        <w:t xml:space="preserve"> o znanym działaniu</w:t>
      </w:r>
      <w:r w:rsidR="00906CC4" w:rsidRPr="005138D5">
        <w:rPr>
          <w:bCs/>
          <w:sz w:val="22"/>
        </w:rPr>
        <w:t xml:space="preserve"> </w:t>
      </w:r>
    </w:p>
    <w:p w14:paraId="221AB3B0" w14:textId="77777777" w:rsidR="00634280" w:rsidRPr="005138D5" w:rsidRDefault="00AE613A" w:rsidP="00A41668">
      <w:pPr>
        <w:widowControl/>
        <w:rPr>
          <w:bCs/>
          <w:sz w:val="22"/>
        </w:rPr>
      </w:pPr>
      <w:r w:rsidRPr="005138D5">
        <w:rPr>
          <w:bCs/>
          <w:sz w:val="22"/>
        </w:rPr>
        <w:t>K</w:t>
      </w:r>
      <w:r w:rsidR="00906CC4" w:rsidRPr="005138D5">
        <w:rPr>
          <w:bCs/>
          <w:sz w:val="22"/>
        </w:rPr>
        <w:t>ażda tabletka zawiera</w:t>
      </w:r>
      <w:r w:rsidR="00575F5E" w:rsidRPr="005138D5">
        <w:rPr>
          <w:bCs/>
          <w:sz w:val="22"/>
        </w:rPr>
        <w:t xml:space="preserve"> </w:t>
      </w:r>
      <w:r w:rsidR="00906CC4" w:rsidRPr="005138D5">
        <w:rPr>
          <w:bCs/>
          <w:sz w:val="22"/>
        </w:rPr>
        <w:t>63</w:t>
      </w:r>
      <w:r w:rsidR="00086D10" w:rsidRPr="005138D5">
        <w:rPr>
          <w:bCs/>
          <w:sz w:val="22"/>
        </w:rPr>
        <w:t> mg</w:t>
      </w:r>
      <w:r w:rsidR="00906CC4" w:rsidRPr="005138D5">
        <w:rPr>
          <w:bCs/>
          <w:sz w:val="22"/>
        </w:rPr>
        <w:t xml:space="preserve"> laktozy </w:t>
      </w:r>
      <w:r w:rsidR="00B66913">
        <w:rPr>
          <w:bCs/>
          <w:sz w:val="22"/>
        </w:rPr>
        <w:t xml:space="preserve">(w postaci </w:t>
      </w:r>
      <w:r w:rsidR="00E835FC" w:rsidRPr="005138D5">
        <w:rPr>
          <w:bCs/>
          <w:sz w:val="22"/>
        </w:rPr>
        <w:t>jednowodnej</w:t>
      </w:r>
      <w:r w:rsidR="00B66913">
        <w:rPr>
          <w:bCs/>
          <w:sz w:val="22"/>
        </w:rPr>
        <w:t>)</w:t>
      </w:r>
      <w:r w:rsidR="00E835FC" w:rsidRPr="005138D5">
        <w:rPr>
          <w:bCs/>
          <w:sz w:val="22"/>
        </w:rPr>
        <w:t>.</w:t>
      </w:r>
    </w:p>
    <w:p w14:paraId="756C2726" w14:textId="77777777" w:rsidR="00AE613A" w:rsidRPr="005138D5" w:rsidRDefault="00AE613A" w:rsidP="00A41668">
      <w:pPr>
        <w:widowControl/>
        <w:rPr>
          <w:bCs/>
          <w:sz w:val="22"/>
        </w:rPr>
      </w:pPr>
    </w:p>
    <w:p w14:paraId="5126D032" w14:textId="77777777" w:rsidR="00AE613A" w:rsidRPr="00C32FD6" w:rsidRDefault="00AE613A" w:rsidP="00AE613A">
      <w:pPr>
        <w:widowControl/>
        <w:rPr>
          <w:bCs/>
          <w:sz w:val="22"/>
          <w:u w:val="single"/>
        </w:rPr>
      </w:pPr>
      <w:r w:rsidRPr="00C32FD6">
        <w:rPr>
          <w:sz w:val="22"/>
          <w:u w:val="single"/>
        </w:rPr>
        <w:t xml:space="preserve">Voriconazole </w:t>
      </w:r>
      <w:r w:rsidR="00AF6DE8" w:rsidRPr="00C32FD6">
        <w:rPr>
          <w:sz w:val="22"/>
          <w:u w:val="single"/>
        </w:rPr>
        <w:t xml:space="preserve">Accord </w:t>
      </w:r>
      <w:r w:rsidRPr="00C32FD6">
        <w:rPr>
          <w:bCs/>
          <w:sz w:val="22"/>
          <w:u w:val="single"/>
        </w:rPr>
        <w:t>200 mg tabletki powlekane</w:t>
      </w:r>
    </w:p>
    <w:p w14:paraId="590DDD83" w14:textId="77777777" w:rsidR="00B66913" w:rsidRDefault="00B66913" w:rsidP="00AE613A">
      <w:pPr>
        <w:widowControl/>
        <w:rPr>
          <w:bCs/>
          <w:sz w:val="22"/>
        </w:rPr>
      </w:pPr>
      <w:r w:rsidRPr="005138D5">
        <w:rPr>
          <w:bCs/>
          <w:sz w:val="22"/>
        </w:rPr>
        <w:t xml:space="preserve">Każda tabletka zawiera </w:t>
      </w:r>
      <w:r>
        <w:rPr>
          <w:bCs/>
          <w:sz w:val="22"/>
        </w:rPr>
        <w:t>200</w:t>
      </w:r>
      <w:r w:rsidRPr="005138D5">
        <w:rPr>
          <w:bCs/>
          <w:sz w:val="22"/>
        </w:rPr>
        <w:t> mg worykonazolu.</w:t>
      </w:r>
    </w:p>
    <w:p w14:paraId="03F7D225" w14:textId="77777777" w:rsidR="00B66913" w:rsidRDefault="00B66913" w:rsidP="00AE613A">
      <w:pPr>
        <w:widowControl/>
        <w:rPr>
          <w:bCs/>
          <w:sz w:val="22"/>
        </w:rPr>
      </w:pPr>
    </w:p>
    <w:p w14:paraId="554589F7" w14:textId="77777777" w:rsidR="00B66913" w:rsidRDefault="00B66913" w:rsidP="00AE613A">
      <w:pPr>
        <w:widowControl/>
        <w:rPr>
          <w:bCs/>
          <w:sz w:val="22"/>
        </w:rPr>
      </w:pPr>
      <w:r w:rsidRPr="005138D5">
        <w:rPr>
          <w:bCs/>
          <w:sz w:val="22"/>
          <w:u w:val="single"/>
        </w:rPr>
        <w:t>Substancja pomocnicza o znanym działaniu</w:t>
      </w:r>
    </w:p>
    <w:p w14:paraId="67CAAF3B" w14:textId="77777777" w:rsidR="00AE613A" w:rsidRPr="005138D5" w:rsidRDefault="00AE613A" w:rsidP="00AE613A">
      <w:pPr>
        <w:widowControl/>
        <w:rPr>
          <w:bCs/>
          <w:sz w:val="22"/>
        </w:rPr>
      </w:pPr>
      <w:r w:rsidRPr="005138D5">
        <w:rPr>
          <w:bCs/>
          <w:sz w:val="22"/>
        </w:rPr>
        <w:t xml:space="preserve">Każda tabletka zawiera 251 mg laktozy </w:t>
      </w:r>
      <w:r w:rsidR="00B66913">
        <w:rPr>
          <w:bCs/>
          <w:sz w:val="22"/>
        </w:rPr>
        <w:t xml:space="preserve">(w postaci </w:t>
      </w:r>
      <w:r w:rsidRPr="005138D5">
        <w:rPr>
          <w:bCs/>
          <w:sz w:val="22"/>
        </w:rPr>
        <w:t>jednowodnej</w:t>
      </w:r>
      <w:r w:rsidR="00B66913">
        <w:rPr>
          <w:bCs/>
          <w:sz w:val="22"/>
        </w:rPr>
        <w:t>)</w:t>
      </w:r>
      <w:r w:rsidRPr="005138D5">
        <w:rPr>
          <w:bCs/>
          <w:sz w:val="22"/>
        </w:rPr>
        <w:t>.</w:t>
      </w:r>
    </w:p>
    <w:p w14:paraId="65B156DA" w14:textId="77777777" w:rsidR="00AE613A" w:rsidRPr="005138D5" w:rsidRDefault="00AE613A" w:rsidP="00A41668">
      <w:pPr>
        <w:widowControl/>
        <w:rPr>
          <w:bCs/>
          <w:sz w:val="22"/>
        </w:rPr>
      </w:pPr>
    </w:p>
    <w:p w14:paraId="5F5DE307" w14:textId="77777777" w:rsidR="00575F5E" w:rsidRPr="005138D5" w:rsidRDefault="00575F5E" w:rsidP="00A41668">
      <w:pPr>
        <w:widowControl/>
        <w:rPr>
          <w:bCs/>
          <w:sz w:val="22"/>
        </w:rPr>
      </w:pPr>
      <w:r w:rsidRPr="005138D5">
        <w:rPr>
          <w:bCs/>
          <w:sz w:val="22"/>
        </w:rPr>
        <w:t>Pełny wykaz substancji pomocniczych, patrz punkt 6.1.</w:t>
      </w:r>
    </w:p>
    <w:p w14:paraId="2FDB6AB8" w14:textId="77777777" w:rsidR="00575F5E" w:rsidRPr="005138D5" w:rsidRDefault="00575F5E" w:rsidP="00A41668">
      <w:pPr>
        <w:widowControl/>
        <w:rPr>
          <w:b/>
          <w:sz w:val="22"/>
        </w:rPr>
      </w:pPr>
    </w:p>
    <w:p w14:paraId="0F99F342" w14:textId="77777777" w:rsidR="00575F5E" w:rsidRPr="005138D5" w:rsidRDefault="00575F5E" w:rsidP="00A41668">
      <w:pPr>
        <w:widowControl/>
        <w:rPr>
          <w:b/>
          <w:sz w:val="22"/>
        </w:rPr>
      </w:pPr>
    </w:p>
    <w:p w14:paraId="2015D95C" w14:textId="77777777" w:rsidR="00575F5E" w:rsidRPr="005138D5" w:rsidRDefault="00575F5E" w:rsidP="00A41668">
      <w:pPr>
        <w:widowControl/>
        <w:rPr>
          <w:b/>
          <w:sz w:val="22"/>
        </w:rPr>
      </w:pPr>
      <w:r w:rsidRPr="005138D5">
        <w:rPr>
          <w:b/>
          <w:sz w:val="22"/>
        </w:rPr>
        <w:t xml:space="preserve">3. </w:t>
      </w:r>
      <w:r w:rsidRPr="005138D5">
        <w:rPr>
          <w:b/>
          <w:sz w:val="22"/>
        </w:rPr>
        <w:tab/>
        <w:t>POSTAĆ FARMACEUTYCZNA</w:t>
      </w:r>
    </w:p>
    <w:p w14:paraId="0140629C" w14:textId="77777777" w:rsidR="00575F5E" w:rsidRPr="005138D5" w:rsidRDefault="00575F5E" w:rsidP="00A41668">
      <w:pPr>
        <w:widowControl/>
        <w:rPr>
          <w:bCs/>
          <w:sz w:val="22"/>
        </w:rPr>
      </w:pPr>
    </w:p>
    <w:p w14:paraId="1E13B964" w14:textId="77777777" w:rsidR="00AE613A" w:rsidRPr="00622D94" w:rsidRDefault="00AE613A" w:rsidP="00A41668">
      <w:pPr>
        <w:widowControl/>
        <w:rPr>
          <w:bCs/>
          <w:sz w:val="22"/>
          <w:u w:val="single"/>
        </w:rPr>
      </w:pPr>
      <w:r w:rsidRPr="00622D94">
        <w:rPr>
          <w:bCs/>
          <w:sz w:val="22"/>
          <w:u w:val="single"/>
        </w:rPr>
        <w:t xml:space="preserve">Voriconazole </w:t>
      </w:r>
      <w:r w:rsidR="00AF6DE8" w:rsidRPr="00622D94">
        <w:rPr>
          <w:bCs/>
          <w:sz w:val="22"/>
          <w:u w:val="single"/>
        </w:rPr>
        <w:t xml:space="preserve">Accord </w:t>
      </w:r>
      <w:r w:rsidRPr="00622D94">
        <w:rPr>
          <w:bCs/>
          <w:sz w:val="22"/>
          <w:u w:val="single"/>
        </w:rPr>
        <w:t>50 mg tabletki powlekane</w:t>
      </w:r>
    </w:p>
    <w:p w14:paraId="75BBE613" w14:textId="77777777" w:rsidR="00575F5E" w:rsidRPr="005138D5" w:rsidRDefault="00575F5E" w:rsidP="00A41668">
      <w:pPr>
        <w:widowControl/>
        <w:rPr>
          <w:bCs/>
          <w:sz w:val="22"/>
        </w:rPr>
      </w:pPr>
      <w:r w:rsidRPr="005138D5">
        <w:rPr>
          <w:bCs/>
          <w:sz w:val="22"/>
        </w:rPr>
        <w:t>Białe</w:t>
      </w:r>
      <w:r w:rsidR="00BD7003" w:rsidRPr="005138D5">
        <w:rPr>
          <w:bCs/>
          <w:sz w:val="22"/>
        </w:rPr>
        <w:t xml:space="preserve"> lub prawie białe</w:t>
      </w:r>
      <w:r w:rsidRPr="005138D5">
        <w:rPr>
          <w:bCs/>
          <w:sz w:val="22"/>
        </w:rPr>
        <w:t xml:space="preserve">, okrągłe tabletki </w:t>
      </w:r>
      <w:r w:rsidR="00EC4A56" w:rsidRPr="005138D5">
        <w:rPr>
          <w:bCs/>
          <w:sz w:val="22"/>
        </w:rPr>
        <w:t xml:space="preserve">powlekane, o średnicy około </w:t>
      </w:r>
      <w:smartTag w:uri="urn:schemas-microsoft-com:office:smarttags" w:element="metricconverter">
        <w:smartTagPr>
          <w:attr w:name="ProductID" w:val="7ﾠmm"/>
        </w:smartTagPr>
        <w:r w:rsidR="00EC4A56" w:rsidRPr="005138D5">
          <w:rPr>
            <w:bCs/>
            <w:sz w:val="22"/>
          </w:rPr>
          <w:t>7</w:t>
        </w:r>
        <w:r w:rsidR="00386A06" w:rsidRPr="005138D5">
          <w:rPr>
            <w:bCs/>
            <w:sz w:val="22"/>
          </w:rPr>
          <w:t> mm</w:t>
        </w:r>
      </w:smartTag>
      <w:r w:rsidR="00EC4A56" w:rsidRPr="005138D5">
        <w:rPr>
          <w:bCs/>
          <w:sz w:val="22"/>
        </w:rPr>
        <w:t xml:space="preserve">, </w:t>
      </w:r>
      <w:r w:rsidRPr="005138D5">
        <w:rPr>
          <w:bCs/>
          <w:sz w:val="22"/>
        </w:rPr>
        <w:t xml:space="preserve">z wytłoczonym </w:t>
      </w:r>
      <w:r w:rsidR="00EC4A56" w:rsidRPr="005138D5">
        <w:rPr>
          <w:bCs/>
          <w:sz w:val="22"/>
        </w:rPr>
        <w:t xml:space="preserve">napisem </w:t>
      </w:r>
      <w:r w:rsidRPr="005138D5">
        <w:rPr>
          <w:bCs/>
          <w:sz w:val="22"/>
        </w:rPr>
        <w:t>„</w:t>
      </w:r>
      <w:r w:rsidR="00EC4A56" w:rsidRPr="005138D5">
        <w:rPr>
          <w:bCs/>
          <w:sz w:val="22"/>
        </w:rPr>
        <w:t>V50</w:t>
      </w:r>
      <w:r w:rsidRPr="005138D5">
        <w:rPr>
          <w:bCs/>
          <w:sz w:val="22"/>
        </w:rPr>
        <w:t>” na jednej stronie</w:t>
      </w:r>
      <w:r w:rsidR="00EC4A56" w:rsidRPr="005138D5">
        <w:rPr>
          <w:bCs/>
          <w:sz w:val="22"/>
        </w:rPr>
        <w:t xml:space="preserve">, bez oznaczenia </w:t>
      </w:r>
      <w:r w:rsidRPr="005138D5">
        <w:rPr>
          <w:bCs/>
          <w:sz w:val="22"/>
        </w:rPr>
        <w:t>na drugiej stronie.</w:t>
      </w:r>
    </w:p>
    <w:p w14:paraId="44766DD0" w14:textId="77777777" w:rsidR="00AE613A" w:rsidRPr="005138D5" w:rsidRDefault="00AE613A" w:rsidP="00A41668">
      <w:pPr>
        <w:widowControl/>
        <w:rPr>
          <w:bCs/>
          <w:sz w:val="22"/>
        </w:rPr>
      </w:pPr>
    </w:p>
    <w:p w14:paraId="0E5F8D06" w14:textId="77777777" w:rsidR="00AE613A" w:rsidRPr="00622D94" w:rsidRDefault="00AE613A" w:rsidP="00A41668">
      <w:pPr>
        <w:widowControl/>
        <w:rPr>
          <w:bCs/>
          <w:sz w:val="22"/>
          <w:u w:val="single"/>
        </w:rPr>
      </w:pPr>
      <w:r w:rsidRPr="00622D94">
        <w:rPr>
          <w:bCs/>
          <w:sz w:val="22"/>
          <w:u w:val="single"/>
        </w:rPr>
        <w:t xml:space="preserve">Voriconazole </w:t>
      </w:r>
      <w:r w:rsidR="00AF6DE8" w:rsidRPr="00622D94">
        <w:rPr>
          <w:bCs/>
          <w:sz w:val="22"/>
          <w:u w:val="single"/>
        </w:rPr>
        <w:t xml:space="preserve">Accord </w:t>
      </w:r>
      <w:r w:rsidRPr="00622D94">
        <w:rPr>
          <w:bCs/>
          <w:sz w:val="22"/>
          <w:u w:val="single"/>
        </w:rPr>
        <w:t>200 mg tabletki powlekane</w:t>
      </w:r>
    </w:p>
    <w:p w14:paraId="02B1C519" w14:textId="77777777" w:rsidR="00AE613A" w:rsidRPr="005138D5" w:rsidRDefault="00AE613A" w:rsidP="00AE613A">
      <w:pPr>
        <w:widowControl/>
        <w:rPr>
          <w:bCs/>
          <w:sz w:val="22"/>
        </w:rPr>
      </w:pPr>
      <w:r w:rsidRPr="005138D5">
        <w:rPr>
          <w:bCs/>
          <w:sz w:val="22"/>
        </w:rPr>
        <w:t>Białe lub prawie białe, owalne tabletki powlekane, o długości około 15,6 mm i szerokości około 7,8 mm, z wytłoczonym napisem „V200” na jednej stronie, bez oznaczenia na drugiej stronie.</w:t>
      </w:r>
    </w:p>
    <w:p w14:paraId="78E3001C" w14:textId="77777777" w:rsidR="00575F5E" w:rsidRPr="005138D5" w:rsidRDefault="00575F5E" w:rsidP="00A41668">
      <w:pPr>
        <w:widowControl/>
        <w:rPr>
          <w:b/>
          <w:sz w:val="22"/>
        </w:rPr>
      </w:pPr>
    </w:p>
    <w:p w14:paraId="37881C93" w14:textId="77777777" w:rsidR="00575F5E" w:rsidRPr="005138D5" w:rsidRDefault="00575F5E" w:rsidP="00A41668">
      <w:pPr>
        <w:widowControl/>
        <w:rPr>
          <w:b/>
          <w:sz w:val="22"/>
        </w:rPr>
      </w:pPr>
    </w:p>
    <w:p w14:paraId="7BBCFB41" w14:textId="77777777" w:rsidR="00575F5E" w:rsidRPr="005138D5" w:rsidRDefault="00575F5E" w:rsidP="00A41668">
      <w:pPr>
        <w:widowControl/>
        <w:rPr>
          <w:b/>
          <w:sz w:val="22"/>
        </w:rPr>
      </w:pPr>
      <w:r w:rsidRPr="005138D5">
        <w:rPr>
          <w:b/>
          <w:sz w:val="22"/>
        </w:rPr>
        <w:t>4.</w:t>
      </w:r>
      <w:r w:rsidRPr="005138D5">
        <w:rPr>
          <w:b/>
          <w:sz w:val="22"/>
        </w:rPr>
        <w:tab/>
        <w:t>SZCZEGÓŁOWE DANE KLINICZNE</w:t>
      </w:r>
    </w:p>
    <w:p w14:paraId="1BFFF43C" w14:textId="77777777" w:rsidR="00575F5E" w:rsidRPr="005138D5" w:rsidRDefault="00575F5E" w:rsidP="00A41668">
      <w:pPr>
        <w:widowControl/>
        <w:rPr>
          <w:b/>
          <w:sz w:val="22"/>
        </w:rPr>
      </w:pPr>
    </w:p>
    <w:p w14:paraId="454972F2" w14:textId="77777777" w:rsidR="00575F5E" w:rsidRPr="005138D5" w:rsidRDefault="00575F5E" w:rsidP="00A41668">
      <w:pPr>
        <w:widowControl/>
        <w:numPr>
          <w:ilvl w:val="0"/>
          <w:numId w:val="9"/>
        </w:numPr>
        <w:rPr>
          <w:b/>
          <w:sz w:val="22"/>
        </w:rPr>
      </w:pPr>
      <w:r w:rsidRPr="005138D5">
        <w:rPr>
          <w:b/>
          <w:sz w:val="22"/>
        </w:rPr>
        <w:t>Wskazania do stosowania</w:t>
      </w:r>
    </w:p>
    <w:p w14:paraId="2DCB7CE4" w14:textId="77777777" w:rsidR="00575F5E" w:rsidRPr="005138D5" w:rsidRDefault="00575F5E" w:rsidP="00A41668">
      <w:pPr>
        <w:widowControl/>
        <w:rPr>
          <w:b/>
          <w:sz w:val="22"/>
        </w:rPr>
      </w:pPr>
    </w:p>
    <w:p w14:paraId="7282FB89" w14:textId="77777777" w:rsidR="00575F5E" w:rsidRPr="005138D5" w:rsidRDefault="00F06656" w:rsidP="00092D71">
      <w:pPr>
        <w:widowControl/>
        <w:rPr>
          <w:bCs/>
          <w:sz w:val="22"/>
        </w:rPr>
      </w:pPr>
      <w:r w:rsidRPr="005138D5">
        <w:rPr>
          <w:bCs/>
          <w:sz w:val="22"/>
        </w:rPr>
        <w:t>Voriconazole Accord</w:t>
      </w:r>
      <w:r w:rsidR="00575F5E" w:rsidRPr="005138D5">
        <w:rPr>
          <w:bCs/>
          <w:sz w:val="22"/>
        </w:rPr>
        <w:t>, lek przeciwgrzybiczy o szerokim spektrum działania z grupy triazoli jest wskazany</w:t>
      </w:r>
      <w:r w:rsidR="00163094" w:rsidRPr="005138D5">
        <w:rPr>
          <w:bCs/>
          <w:sz w:val="22"/>
        </w:rPr>
        <w:t xml:space="preserve"> do stosowania u pacjentów dorosłych i dzieci w wieku </w:t>
      </w:r>
      <w:r w:rsidR="007C2498" w:rsidRPr="005138D5">
        <w:rPr>
          <w:bCs/>
          <w:sz w:val="22"/>
        </w:rPr>
        <w:t xml:space="preserve">od </w:t>
      </w:r>
      <w:r w:rsidR="00163094" w:rsidRPr="005138D5">
        <w:rPr>
          <w:bCs/>
          <w:sz w:val="22"/>
        </w:rPr>
        <w:t>2</w:t>
      </w:r>
      <w:r w:rsidR="00386A06" w:rsidRPr="005138D5">
        <w:rPr>
          <w:bCs/>
          <w:sz w:val="22"/>
        </w:rPr>
        <w:t> lat</w:t>
      </w:r>
      <w:r w:rsidR="0031379E" w:rsidRPr="005138D5">
        <w:rPr>
          <w:bCs/>
          <w:sz w:val="22"/>
        </w:rPr>
        <w:t xml:space="preserve"> </w:t>
      </w:r>
      <w:r w:rsidR="00575F5E" w:rsidRPr="005138D5">
        <w:rPr>
          <w:bCs/>
          <w:sz w:val="22"/>
        </w:rPr>
        <w:t>w:</w:t>
      </w:r>
    </w:p>
    <w:p w14:paraId="25F8A644" w14:textId="77777777" w:rsidR="00575F5E" w:rsidRPr="005138D5" w:rsidRDefault="00575F5E" w:rsidP="00A41668">
      <w:pPr>
        <w:widowControl/>
        <w:rPr>
          <w:bCs/>
          <w:sz w:val="22"/>
        </w:rPr>
      </w:pPr>
    </w:p>
    <w:p w14:paraId="4F0F3CF8" w14:textId="77777777" w:rsidR="00575F5E" w:rsidRPr="005138D5" w:rsidRDefault="00575F5E" w:rsidP="00A41668">
      <w:pPr>
        <w:widowControl/>
        <w:rPr>
          <w:bCs/>
          <w:sz w:val="22"/>
        </w:rPr>
      </w:pPr>
      <w:r w:rsidRPr="005138D5">
        <w:rPr>
          <w:bCs/>
          <w:sz w:val="22"/>
        </w:rPr>
        <w:t>Leczeniu inwazyjnej aspergilozy.</w:t>
      </w:r>
    </w:p>
    <w:p w14:paraId="16A2CDC3" w14:textId="77777777" w:rsidR="00575F5E" w:rsidRPr="005138D5" w:rsidRDefault="00575F5E" w:rsidP="00A41668">
      <w:pPr>
        <w:widowControl/>
        <w:rPr>
          <w:bCs/>
          <w:sz w:val="22"/>
        </w:rPr>
      </w:pPr>
    </w:p>
    <w:p w14:paraId="7EBC793E" w14:textId="77777777" w:rsidR="00575F5E" w:rsidRPr="005138D5" w:rsidRDefault="00575F5E" w:rsidP="00A41668">
      <w:pPr>
        <w:widowControl/>
        <w:rPr>
          <w:bCs/>
          <w:sz w:val="22"/>
        </w:rPr>
      </w:pPr>
      <w:r w:rsidRPr="005138D5">
        <w:rPr>
          <w:sz w:val="22"/>
        </w:rPr>
        <w:t>Leczeniu kandydemii u pacjentów bez towarzyszącej neutropenii.</w:t>
      </w:r>
    </w:p>
    <w:p w14:paraId="1F8443B3" w14:textId="77777777" w:rsidR="00575F5E" w:rsidRPr="005138D5" w:rsidRDefault="00575F5E" w:rsidP="00A41668">
      <w:pPr>
        <w:widowControl/>
        <w:rPr>
          <w:bCs/>
          <w:sz w:val="22"/>
        </w:rPr>
      </w:pPr>
    </w:p>
    <w:p w14:paraId="3025ED64" w14:textId="77777777" w:rsidR="00575F5E" w:rsidRPr="005138D5" w:rsidRDefault="00575F5E" w:rsidP="00A41668">
      <w:pPr>
        <w:widowControl/>
        <w:rPr>
          <w:bCs/>
          <w:sz w:val="22"/>
        </w:rPr>
      </w:pPr>
      <w:r w:rsidRPr="005138D5">
        <w:rPr>
          <w:bCs/>
          <w:sz w:val="22"/>
        </w:rPr>
        <w:t xml:space="preserve">Leczeniu ciężkich, opornych na flukonazol zakażeń inwazyjnych </w:t>
      </w:r>
      <w:r w:rsidRPr="005138D5">
        <w:rPr>
          <w:bCs/>
          <w:i/>
          <w:iCs/>
          <w:sz w:val="22"/>
        </w:rPr>
        <w:t>Candida</w:t>
      </w:r>
      <w:r w:rsidRPr="005138D5">
        <w:rPr>
          <w:bCs/>
          <w:sz w:val="22"/>
        </w:rPr>
        <w:t xml:space="preserve"> (w tym </w:t>
      </w:r>
      <w:r w:rsidRPr="005138D5">
        <w:rPr>
          <w:bCs/>
          <w:i/>
          <w:iCs/>
          <w:sz w:val="22"/>
        </w:rPr>
        <w:t>C. krusei</w:t>
      </w:r>
      <w:r w:rsidRPr="005138D5">
        <w:rPr>
          <w:bCs/>
          <w:sz w:val="22"/>
        </w:rPr>
        <w:t>).</w:t>
      </w:r>
    </w:p>
    <w:p w14:paraId="3A10D41E" w14:textId="77777777" w:rsidR="00575F5E" w:rsidRPr="005138D5" w:rsidRDefault="00575F5E" w:rsidP="00A41668">
      <w:pPr>
        <w:widowControl/>
        <w:rPr>
          <w:bCs/>
          <w:sz w:val="22"/>
        </w:rPr>
      </w:pPr>
    </w:p>
    <w:p w14:paraId="32A664FB" w14:textId="77777777" w:rsidR="00575F5E" w:rsidRPr="005138D5" w:rsidRDefault="00575F5E" w:rsidP="00A41668">
      <w:pPr>
        <w:widowControl/>
        <w:rPr>
          <w:bCs/>
          <w:sz w:val="22"/>
        </w:rPr>
      </w:pPr>
      <w:r w:rsidRPr="005138D5">
        <w:rPr>
          <w:bCs/>
          <w:sz w:val="22"/>
        </w:rPr>
        <w:t xml:space="preserve">Leczeniu ciężkich zakażeń grzybiczych wywołanych przez </w:t>
      </w:r>
      <w:r w:rsidRPr="005138D5">
        <w:rPr>
          <w:bCs/>
          <w:i/>
          <w:iCs/>
          <w:sz w:val="22"/>
        </w:rPr>
        <w:t>Scedosporium</w:t>
      </w:r>
      <w:r w:rsidRPr="005138D5">
        <w:rPr>
          <w:bCs/>
          <w:sz w:val="22"/>
        </w:rPr>
        <w:t xml:space="preserve"> spp. i </w:t>
      </w:r>
      <w:r w:rsidRPr="005138D5">
        <w:rPr>
          <w:bCs/>
          <w:i/>
          <w:iCs/>
          <w:sz w:val="22"/>
        </w:rPr>
        <w:t>Fusarium</w:t>
      </w:r>
      <w:r w:rsidRPr="005138D5">
        <w:rPr>
          <w:bCs/>
          <w:sz w:val="22"/>
        </w:rPr>
        <w:t xml:space="preserve"> spp.</w:t>
      </w:r>
    </w:p>
    <w:p w14:paraId="347CC21B" w14:textId="77777777" w:rsidR="00575F5E" w:rsidRPr="005138D5" w:rsidRDefault="00575F5E" w:rsidP="00A41668">
      <w:pPr>
        <w:widowControl/>
        <w:rPr>
          <w:bCs/>
          <w:sz w:val="22"/>
        </w:rPr>
      </w:pPr>
    </w:p>
    <w:p w14:paraId="312F663E" w14:textId="77777777" w:rsidR="00575F5E" w:rsidRPr="005138D5" w:rsidRDefault="006A38E5" w:rsidP="00A41668">
      <w:pPr>
        <w:widowControl/>
        <w:rPr>
          <w:bCs/>
          <w:sz w:val="22"/>
        </w:rPr>
      </w:pPr>
      <w:r w:rsidRPr="005138D5">
        <w:rPr>
          <w:sz w:val="22"/>
        </w:rPr>
        <w:t xml:space="preserve">Voriconazole Accord </w:t>
      </w:r>
      <w:r w:rsidR="00575F5E" w:rsidRPr="005138D5">
        <w:rPr>
          <w:bCs/>
          <w:sz w:val="22"/>
        </w:rPr>
        <w:t>należy stosować przede wszystkim u pacjentów z postępującymi, mogącymi zagrażać życiu zakażeniami.</w:t>
      </w:r>
    </w:p>
    <w:p w14:paraId="0272299A" w14:textId="77777777" w:rsidR="007D3F9B" w:rsidRPr="005138D5" w:rsidRDefault="007D3F9B" w:rsidP="00A41668">
      <w:pPr>
        <w:widowControl/>
        <w:rPr>
          <w:bCs/>
          <w:sz w:val="22"/>
        </w:rPr>
      </w:pPr>
    </w:p>
    <w:p w14:paraId="70B29A96" w14:textId="77777777" w:rsidR="007D3F9B" w:rsidRPr="005138D5" w:rsidRDefault="007D3F9B" w:rsidP="00A41668">
      <w:pPr>
        <w:widowControl/>
        <w:rPr>
          <w:bCs/>
          <w:sz w:val="22"/>
        </w:rPr>
      </w:pPr>
      <w:r w:rsidRPr="005138D5">
        <w:rPr>
          <w:bCs/>
          <w:sz w:val="22"/>
        </w:rPr>
        <w:t xml:space="preserve">Profilaktyce inwazyjnych zakażeń grzybiczych u pacjentów wysokiego ryzyka po allogenicznym przeszczepieniu </w:t>
      </w:r>
      <w:r w:rsidRPr="005138D5">
        <w:rPr>
          <w:sz w:val="22"/>
        </w:rPr>
        <w:t xml:space="preserve">macierzystych komórek krwiotwórczych (HSCT, ang. </w:t>
      </w:r>
      <w:r w:rsidRPr="005138D5">
        <w:rPr>
          <w:i/>
          <w:sz w:val="22"/>
        </w:rPr>
        <w:t>Hematopoietic Stem Cell Transplantation</w:t>
      </w:r>
      <w:r w:rsidRPr="005138D5">
        <w:rPr>
          <w:sz w:val="22"/>
        </w:rPr>
        <w:t>).</w:t>
      </w:r>
    </w:p>
    <w:p w14:paraId="0EE15BB1" w14:textId="77777777" w:rsidR="00575F5E" w:rsidRPr="005138D5" w:rsidRDefault="00575F5E" w:rsidP="00A41668">
      <w:pPr>
        <w:widowControl/>
        <w:rPr>
          <w:bCs/>
          <w:sz w:val="22"/>
        </w:rPr>
      </w:pPr>
    </w:p>
    <w:p w14:paraId="76874EC5" w14:textId="77777777" w:rsidR="00575F5E" w:rsidRPr="005138D5" w:rsidRDefault="00575F5E" w:rsidP="00A3229A">
      <w:pPr>
        <w:widowControl/>
        <w:numPr>
          <w:ilvl w:val="1"/>
          <w:numId w:val="12"/>
        </w:numPr>
        <w:tabs>
          <w:tab w:val="clear" w:pos="360"/>
          <w:tab w:val="num" w:pos="709"/>
        </w:tabs>
        <w:rPr>
          <w:b/>
          <w:sz w:val="22"/>
        </w:rPr>
      </w:pPr>
      <w:r w:rsidRPr="005138D5">
        <w:rPr>
          <w:b/>
          <w:sz w:val="22"/>
        </w:rPr>
        <w:t>Dawkowanie i sposób podawania</w:t>
      </w:r>
    </w:p>
    <w:p w14:paraId="3FE5C19E" w14:textId="77777777" w:rsidR="00575F5E" w:rsidRPr="005138D5" w:rsidRDefault="00575F5E" w:rsidP="00A41668">
      <w:pPr>
        <w:widowControl/>
        <w:rPr>
          <w:b/>
          <w:sz w:val="22"/>
        </w:rPr>
      </w:pPr>
    </w:p>
    <w:p w14:paraId="6C41B385" w14:textId="77777777" w:rsidR="00163094" w:rsidRPr="005138D5" w:rsidRDefault="00163094" w:rsidP="00A41668">
      <w:pPr>
        <w:pStyle w:val="Tekstpodstawowy"/>
        <w:rPr>
          <w:rFonts w:ascii="Times New Roman" w:hAnsi="Times New Roman"/>
          <w:spacing w:val="-3"/>
          <w:u w:val="single"/>
        </w:rPr>
      </w:pPr>
      <w:r w:rsidRPr="005138D5">
        <w:rPr>
          <w:rFonts w:ascii="Times New Roman" w:hAnsi="Times New Roman"/>
          <w:spacing w:val="-3"/>
          <w:u w:val="single"/>
        </w:rPr>
        <w:t>Dawkowanie</w:t>
      </w:r>
    </w:p>
    <w:p w14:paraId="2F90EF73" w14:textId="77777777" w:rsidR="00C8758A" w:rsidRPr="005138D5" w:rsidRDefault="00C8758A" w:rsidP="00A41668">
      <w:pPr>
        <w:pStyle w:val="Tekstpodstawowy"/>
        <w:rPr>
          <w:rFonts w:ascii="Times New Roman" w:hAnsi="Times New Roman"/>
          <w:spacing w:val="-3"/>
          <w:u w:val="single"/>
        </w:rPr>
      </w:pPr>
    </w:p>
    <w:p w14:paraId="663EEB9D" w14:textId="77777777" w:rsidR="00B02043" w:rsidRPr="005138D5" w:rsidRDefault="00575F5E" w:rsidP="00A41668">
      <w:pPr>
        <w:pStyle w:val="Tekstpodstawowy"/>
        <w:rPr>
          <w:rFonts w:ascii="Times New Roman" w:hAnsi="Times New Roman"/>
          <w:spacing w:val="-3"/>
        </w:rPr>
      </w:pPr>
      <w:r w:rsidRPr="005138D5">
        <w:rPr>
          <w:rFonts w:ascii="Times New Roman" w:hAnsi="Times New Roman"/>
          <w:spacing w:val="-3"/>
        </w:rPr>
        <w:t>Zaburzenia elektrolitowe, takie jak hipokal</w:t>
      </w:r>
      <w:r w:rsidR="006558A6" w:rsidRPr="005138D5">
        <w:rPr>
          <w:rFonts w:ascii="Times New Roman" w:hAnsi="Times New Roman"/>
          <w:spacing w:val="-3"/>
        </w:rPr>
        <w:t>i</w:t>
      </w:r>
      <w:r w:rsidRPr="005138D5">
        <w:rPr>
          <w:rFonts w:ascii="Times New Roman" w:hAnsi="Times New Roman"/>
          <w:spacing w:val="-3"/>
        </w:rPr>
        <w:t xml:space="preserve">emia, hipomagnezemia i hipokalcemia należy monitorować </w:t>
      </w:r>
    </w:p>
    <w:p w14:paraId="16E1C1E6" w14:textId="77777777" w:rsidR="00575F5E" w:rsidRDefault="00575F5E" w:rsidP="00A41668">
      <w:pPr>
        <w:pStyle w:val="Tekstpodstawowy"/>
        <w:rPr>
          <w:rFonts w:ascii="Times New Roman" w:hAnsi="Times New Roman"/>
          <w:spacing w:val="-3"/>
        </w:rPr>
      </w:pPr>
      <w:r w:rsidRPr="005138D5">
        <w:rPr>
          <w:rFonts w:ascii="Times New Roman" w:hAnsi="Times New Roman"/>
          <w:spacing w:val="-3"/>
        </w:rPr>
        <w:t>i w razie potrzeby korygować przed rozpoczęciem i w trakcie leczenia worykonazolem (patrz punkt 4.4)</w:t>
      </w:r>
      <w:r w:rsidR="00D546FA" w:rsidRPr="005138D5">
        <w:rPr>
          <w:rFonts w:ascii="Times New Roman" w:hAnsi="Times New Roman"/>
          <w:spacing w:val="-3"/>
        </w:rPr>
        <w:t>.</w:t>
      </w:r>
    </w:p>
    <w:p w14:paraId="6DD8628D" w14:textId="77777777" w:rsidR="00B66913" w:rsidRDefault="00B66913" w:rsidP="00A41668">
      <w:pPr>
        <w:pStyle w:val="Tekstpodstawowy"/>
        <w:rPr>
          <w:rFonts w:ascii="Times New Roman" w:hAnsi="Times New Roman"/>
          <w:spacing w:val="-3"/>
        </w:rPr>
      </w:pPr>
    </w:p>
    <w:p w14:paraId="2149BECD" w14:textId="77777777" w:rsidR="00B66913" w:rsidRPr="005138D5" w:rsidRDefault="00B66913" w:rsidP="00A41668">
      <w:pPr>
        <w:pStyle w:val="Tekstpodstawowy"/>
        <w:rPr>
          <w:rFonts w:ascii="Times New Roman" w:hAnsi="Times New Roman"/>
          <w:spacing w:val="-3"/>
        </w:rPr>
      </w:pPr>
      <w:r>
        <w:rPr>
          <w:rFonts w:ascii="Times New Roman" w:hAnsi="Times New Roman"/>
          <w:spacing w:val="-3"/>
        </w:rPr>
        <w:t>Worykonazol może też być dostępny w postaci proszku do sporządzania roztworu do infuzji, proszku i rozpuszczalnika do sporządzania roztworu do infuzji oraz proszku do sporządzania zawiesiny doustnej, jednak nie pod niniejszą nazwą handlową.</w:t>
      </w:r>
    </w:p>
    <w:p w14:paraId="25297074" w14:textId="77777777" w:rsidR="00575F5E" w:rsidRPr="005138D5" w:rsidRDefault="00575F5E" w:rsidP="00A41668">
      <w:pPr>
        <w:rPr>
          <w:spacing w:val="-3"/>
          <w:sz w:val="22"/>
        </w:rPr>
      </w:pPr>
    </w:p>
    <w:p w14:paraId="41CBCB89" w14:textId="77777777" w:rsidR="007D3F9B" w:rsidRPr="005138D5" w:rsidRDefault="007D3F9B" w:rsidP="007D3F9B">
      <w:pPr>
        <w:rPr>
          <w:spacing w:val="-3"/>
          <w:sz w:val="22"/>
          <w:u w:val="single"/>
        </w:rPr>
      </w:pPr>
      <w:r w:rsidRPr="005138D5">
        <w:rPr>
          <w:spacing w:val="-3"/>
          <w:sz w:val="22"/>
          <w:u w:val="single"/>
        </w:rPr>
        <w:t>Leczenie</w:t>
      </w:r>
    </w:p>
    <w:p w14:paraId="424C25DB" w14:textId="77777777" w:rsidR="007D3F9B" w:rsidRPr="005138D5" w:rsidRDefault="007D3F9B" w:rsidP="007D3F9B">
      <w:pPr>
        <w:rPr>
          <w:spacing w:val="-3"/>
          <w:sz w:val="22"/>
          <w:u w:val="single"/>
        </w:rPr>
      </w:pPr>
    </w:p>
    <w:p w14:paraId="7E55094A" w14:textId="77777777" w:rsidR="00C8758A" w:rsidRPr="005138D5" w:rsidRDefault="007D3F9B" w:rsidP="00163094">
      <w:pPr>
        <w:rPr>
          <w:sz w:val="22"/>
        </w:rPr>
      </w:pPr>
      <w:r w:rsidRPr="005138D5">
        <w:rPr>
          <w:i/>
          <w:spacing w:val="-3"/>
          <w:sz w:val="22"/>
        </w:rPr>
        <w:t>Dorośli</w:t>
      </w:r>
    </w:p>
    <w:p w14:paraId="1F5247B5" w14:textId="77777777" w:rsidR="00575F5E" w:rsidRPr="005138D5" w:rsidRDefault="00575F5E" w:rsidP="00E26316">
      <w:pPr>
        <w:rPr>
          <w:spacing w:val="-3"/>
          <w:sz w:val="22"/>
        </w:rPr>
      </w:pPr>
      <w:r w:rsidRPr="005138D5">
        <w:rPr>
          <w:spacing w:val="-3"/>
          <w:sz w:val="22"/>
        </w:rPr>
        <w:t xml:space="preserve">Terapię należy rozpocząć podaniem w określonym schemacie dawki nasycającej, podawanej dożylnie lub doustnie, w celu osiągnięcia w pierwszym dniu leczenia stężeń </w:t>
      </w:r>
      <w:r w:rsidR="006A38E5" w:rsidRPr="005138D5">
        <w:rPr>
          <w:bCs/>
          <w:sz w:val="22"/>
        </w:rPr>
        <w:t>worykonazol</w:t>
      </w:r>
      <w:r w:rsidR="006A38E5" w:rsidRPr="005138D5">
        <w:rPr>
          <w:spacing w:val="-3"/>
          <w:sz w:val="22"/>
        </w:rPr>
        <w:t xml:space="preserve">u </w:t>
      </w:r>
      <w:r w:rsidRPr="005138D5">
        <w:rPr>
          <w:spacing w:val="-3"/>
          <w:sz w:val="22"/>
        </w:rPr>
        <w:t xml:space="preserve">w osoczu zbliżonych do wartości stężenia w stanie stacjonarnym. Ze względu na dużą biodostępność doustnej postaci </w:t>
      </w:r>
      <w:r w:rsidR="006A38E5" w:rsidRPr="005138D5">
        <w:rPr>
          <w:bCs/>
          <w:sz w:val="22"/>
        </w:rPr>
        <w:t>worykonazol</w:t>
      </w:r>
      <w:r w:rsidR="006A38E5" w:rsidRPr="005138D5">
        <w:rPr>
          <w:spacing w:val="-3"/>
          <w:sz w:val="22"/>
        </w:rPr>
        <w:t xml:space="preserve">u </w:t>
      </w:r>
      <w:r w:rsidRPr="005138D5">
        <w:rPr>
          <w:spacing w:val="-3"/>
          <w:sz w:val="22"/>
        </w:rPr>
        <w:t xml:space="preserve">(96 %; patrz punkt 5.2), możliwa jest zmiana pomiędzy dożylną, a doustną drogą podania </w:t>
      </w:r>
      <w:r w:rsidR="006A38E5" w:rsidRPr="005138D5">
        <w:rPr>
          <w:bCs/>
          <w:sz w:val="22"/>
        </w:rPr>
        <w:t>worykonazol</w:t>
      </w:r>
      <w:r w:rsidR="006A38E5" w:rsidRPr="005138D5">
        <w:rPr>
          <w:spacing w:val="-3"/>
          <w:sz w:val="22"/>
        </w:rPr>
        <w:t>u</w:t>
      </w:r>
      <w:r w:rsidRPr="005138D5">
        <w:rPr>
          <w:spacing w:val="-3"/>
          <w:sz w:val="22"/>
        </w:rPr>
        <w:t>, gdy jest to klinicznie wskazane.</w:t>
      </w:r>
    </w:p>
    <w:p w14:paraId="3295ACEB" w14:textId="77777777" w:rsidR="000705C5" w:rsidRPr="005138D5" w:rsidRDefault="000705C5" w:rsidP="003405DD">
      <w:pPr>
        <w:rPr>
          <w:sz w:val="22"/>
        </w:rPr>
      </w:pPr>
    </w:p>
    <w:p w14:paraId="331775C2" w14:textId="77777777" w:rsidR="00C8758A" w:rsidRPr="005138D5" w:rsidRDefault="00575F5E" w:rsidP="00277FE6">
      <w:pPr>
        <w:rPr>
          <w:sz w:val="22"/>
        </w:rPr>
      </w:pPr>
      <w:r w:rsidRPr="005138D5">
        <w:rPr>
          <w:sz w:val="22"/>
        </w:rPr>
        <w:t>Szczegółowe informacje o zalecanym dawkowaniu podane są w poniższej tabeli:</w:t>
      </w:r>
    </w:p>
    <w:tbl>
      <w:tblPr>
        <w:tblW w:w="9072"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268"/>
        <w:gridCol w:w="1843"/>
        <w:gridCol w:w="2552"/>
        <w:gridCol w:w="2409"/>
      </w:tblGrid>
      <w:tr w:rsidR="00575F5E" w:rsidRPr="005138D5" w14:paraId="0777FF5E" w14:textId="77777777">
        <w:trPr>
          <w:cantSplit/>
        </w:trPr>
        <w:tc>
          <w:tcPr>
            <w:tcW w:w="2268" w:type="dxa"/>
            <w:vMerge w:val="restart"/>
            <w:tcBorders>
              <w:top w:val="single" w:sz="12" w:space="0" w:color="auto"/>
              <w:left w:val="single" w:sz="12" w:space="0" w:color="auto"/>
              <w:bottom w:val="single" w:sz="12" w:space="0" w:color="auto"/>
              <w:right w:val="single" w:sz="12" w:space="0" w:color="auto"/>
            </w:tcBorders>
          </w:tcPr>
          <w:p w14:paraId="260D6AC5" w14:textId="77777777" w:rsidR="00575F5E" w:rsidRPr="005138D5" w:rsidRDefault="00575F5E" w:rsidP="00B90080">
            <w:pPr>
              <w:keepNext/>
              <w:rPr>
                <w:snapToGrid w:val="0"/>
                <w:sz w:val="22"/>
                <w:lang w:eastAsia="en-US"/>
              </w:rPr>
            </w:pPr>
          </w:p>
        </w:tc>
        <w:tc>
          <w:tcPr>
            <w:tcW w:w="1843" w:type="dxa"/>
            <w:vMerge w:val="restart"/>
            <w:tcBorders>
              <w:top w:val="single" w:sz="12" w:space="0" w:color="auto"/>
              <w:left w:val="single" w:sz="12" w:space="0" w:color="auto"/>
              <w:bottom w:val="single" w:sz="12" w:space="0" w:color="auto"/>
              <w:right w:val="single" w:sz="12" w:space="0" w:color="auto"/>
            </w:tcBorders>
            <w:vAlign w:val="center"/>
          </w:tcPr>
          <w:p w14:paraId="6BC5D27E" w14:textId="77777777" w:rsidR="00575F5E" w:rsidRPr="005138D5" w:rsidRDefault="00575F5E" w:rsidP="00A620F7">
            <w:pPr>
              <w:jc w:val="center"/>
              <w:rPr>
                <w:snapToGrid w:val="0"/>
                <w:sz w:val="22"/>
                <w:lang w:eastAsia="en-US"/>
              </w:rPr>
            </w:pPr>
            <w:r w:rsidRPr="005138D5">
              <w:rPr>
                <w:b/>
                <w:snapToGrid w:val="0"/>
                <w:sz w:val="22"/>
                <w:lang w:eastAsia="en-US"/>
              </w:rPr>
              <w:t>Dożylnie</w:t>
            </w:r>
          </w:p>
        </w:tc>
        <w:tc>
          <w:tcPr>
            <w:tcW w:w="4961" w:type="dxa"/>
            <w:gridSpan w:val="2"/>
            <w:tcBorders>
              <w:top w:val="single" w:sz="12" w:space="0" w:color="auto"/>
              <w:left w:val="single" w:sz="12" w:space="0" w:color="auto"/>
              <w:bottom w:val="single" w:sz="12" w:space="0" w:color="auto"/>
              <w:right w:val="single" w:sz="12" w:space="0" w:color="auto"/>
            </w:tcBorders>
          </w:tcPr>
          <w:p w14:paraId="1F291E31" w14:textId="77777777" w:rsidR="00575F5E" w:rsidRPr="005138D5" w:rsidRDefault="00575F5E" w:rsidP="00A620F7">
            <w:pPr>
              <w:jc w:val="center"/>
              <w:rPr>
                <w:b/>
                <w:bCs/>
                <w:snapToGrid w:val="0"/>
                <w:sz w:val="22"/>
                <w:lang w:eastAsia="en-US"/>
              </w:rPr>
            </w:pPr>
            <w:r w:rsidRPr="005138D5">
              <w:rPr>
                <w:b/>
                <w:bCs/>
                <w:snapToGrid w:val="0"/>
                <w:sz w:val="22"/>
                <w:lang w:eastAsia="en-US"/>
              </w:rPr>
              <w:t>Doustnie</w:t>
            </w:r>
          </w:p>
        </w:tc>
      </w:tr>
      <w:tr w:rsidR="00575F5E" w:rsidRPr="005138D5" w14:paraId="1C3EDEC7" w14:textId="77777777">
        <w:trPr>
          <w:cantSplit/>
        </w:trPr>
        <w:tc>
          <w:tcPr>
            <w:tcW w:w="2268" w:type="dxa"/>
            <w:vMerge/>
            <w:tcBorders>
              <w:top w:val="single" w:sz="12" w:space="0" w:color="auto"/>
              <w:left w:val="single" w:sz="12" w:space="0" w:color="auto"/>
              <w:bottom w:val="single" w:sz="12" w:space="0" w:color="auto"/>
              <w:right w:val="single" w:sz="12" w:space="0" w:color="auto"/>
            </w:tcBorders>
            <w:vAlign w:val="center"/>
          </w:tcPr>
          <w:p w14:paraId="218C6A27" w14:textId="77777777" w:rsidR="00575F5E" w:rsidRPr="005138D5" w:rsidRDefault="00575F5E" w:rsidP="00A41668">
            <w:pPr>
              <w:widowControl/>
              <w:rPr>
                <w:snapToGrid w:val="0"/>
                <w:sz w:val="22"/>
                <w:lang w:eastAsia="en-US"/>
              </w:rPr>
            </w:pPr>
          </w:p>
        </w:tc>
        <w:tc>
          <w:tcPr>
            <w:tcW w:w="1843" w:type="dxa"/>
            <w:vMerge/>
            <w:tcBorders>
              <w:top w:val="single" w:sz="12" w:space="0" w:color="auto"/>
              <w:left w:val="single" w:sz="12" w:space="0" w:color="auto"/>
              <w:bottom w:val="single" w:sz="12" w:space="0" w:color="auto"/>
              <w:right w:val="single" w:sz="12" w:space="0" w:color="auto"/>
            </w:tcBorders>
            <w:vAlign w:val="center"/>
          </w:tcPr>
          <w:p w14:paraId="22D12C11" w14:textId="77777777" w:rsidR="00575F5E" w:rsidRPr="005138D5" w:rsidRDefault="00575F5E" w:rsidP="00A620F7">
            <w:pPr>
              <w:widowControl/>
              <w:jc w:val="center"/>
              <w:rPr>
                <w:snapToGrid w:val="0"/>
                <w:sz w:val="22"/>
                <w:lang w:eastAsia="en-US"/>
              </w:rPr>
            </w:pPr>
          </w:p>
        </w:tc>
        <w:tc>
          <w:tcPr>
            <w:tcW w:w="2552" w:type="dxa"/>
            <w:tcBorders>
              <w:top w:val="single" w:sz="12" w:space="0" w:color="auto"/>
              <w:left w:val="single" w:sz="12" w:space="0" w:color="auto"/>
              <w:bottom w:val="single" w:sz="12" w:space="0" w:color="auto"/>
              <w:right w:val="single" w:sz="12" w:space="0" w:color="auto"/>
            </w:tcBorders>
          </w:tcPr>
          <w:p w14:paraId="4D94501B" w14:textId="77777777" w:rsidR="00575F5E" w:rsidRPr="005138D5" w:rsidRDefault="00575F5E" w:rsidP="00A620F7">
            <w:pPr>
              <w:jc w:val="center"/>
              <w:rPr>
                <w:bCs/>
                <w:snapToGrid w:val="0"/>
                <w:sz w:val="22"/>
                <w:lang w:eastAsia="en-US"/>
              </w:rPr>
            </w:pPr>
            <w:r w:rsidRPr="005138D5">
              <w:rPr>
                <w:bCs/>
                <w:snapToGrid w:val="0"/>
                <w:sz w:val="22"/>
                <w:lang w:eastAsia="en-US"/>
              </w:rPr>
              <w:t>Pacjenci o masie ciała</w:t>
            </w:r>
          </w:p>
          <w:p w14:paraId="4DD20409" w14:textId="77777777" w:rsidR="00575F5E" w:rsidRPr="005138D5" w:rsidRDefault="00575F5E" w:rsidP="00A620F7">
            <w:pPr>
              <w:jc w:val="center"/>
              <w:rPr>
                <w:bCs/>
                <w:snapToGrid w:val="0"/>
                <w:sz w:val="22"/>
                <w:lang w:eastAsia="en-US"/>
              </w:rPr>
            </w:pPr>
            <w:smartTag w:uri="urn:schemas-microsoft-com:office:smarttags" w:element="metricconverter">
              <w:smartTagPr>
                <w:attr w:name="ProductID" w:val="40 kg"/>
              </w:smartTagPr>
              <w:r w:rsidRPr="005138D5">
                <w:rPr>
                  <w:bCs/>
                  <w:snapToGrid w:val="0"/>
                  <w:sz w:val="22"/>
                  <w:lang w:eastAsia="en-US"/>
                </w:rPr>
                <w:t>40 kg</w:t>
              </w:r>
            </w:smartTag>
            <w:r w:rsidRPr="005138D5">
              <w:rPr>
                <w:bCs/>
                <w:snapToGrid w:val="0"/>
                <w:sz w:val="22"/>
                <w:lang w:eastAsia="en-US"/>
              </w:rPr>
              <w:t xml:space="preserve"> i większej</w:t>
            </w:r>
            <w:r w:rsidR="007D3F9B" w:rsidRPr="005138D5">
              <w:rPr>
                <w:bCs/>
                <w:snapToGrid w:val="0"/>
                <w:sz w:val="22"/>
                <w:lang w:eastAsia="en-US"/>
              </w:rPr>
              <w:t>*</w:t>
            </w:r>
          </w:p>
        </w:tc>
        <w:tc>
          <w:tcPr>
            <w:tcW w:w="2409" w:type="dxa"/>
            <w:tcBorders>
              <w:top w:val="single" w:sz="12" w:space="0" w:color="auto"/>
              <w:left w:val="single" w:sz="12" w:space="0" w:color="auto"/>
              <w:bottom w:val="single" w:sz="12" w:space="0" w:color="auto"/>
              <w:right w:val="single" w:sz="12" w:space="0" w:color="auto"/>
            </w:tcBorders>
          </w:tcPr>
          <w:p w14:paraId="0CF19A26" w14:textId="77777777" w:rsidR="00575F5E" w:rsidRPr="005138D5" w:rsidRDefault="00575F5E" w:rsidP="00A620F7">
            <w:pPr>
              <w:pStyle w:val="Nagwek4"/>
              <w:jc w:val="center"/>
              <w:rPr>
                <w:rFonts w:ascii="Times New Roman" w:hAnsi="Times New Roman" w:cs="Times New Roman"/>
                <w:b w:val="0"/>
                <w:i w:val="0"/>
                <w:iCs w:val="0"/>
              </w:rPr>
            </w:pPr>
            <w:r w:rsidRPr="005138D5">
              <w:rPr>
                <w:rFonts w:ascii="Times New Roman" w:hAnsi="Times New Roman" w:cs="Times New Roman"/>
                <w:b w:val="0"/>
                <w:i w:val="0"/>
                <w:iCs w:val="0"/>
              </w:rPr>
              <w:t>Pacjenci o masie ciała</w:t>
            </w:r>
          </w:p>
          <w:p w14:paraId="2BB36538" w14:textId="77777777" w:rsidR="00575F5E" w:rsidRPr="005138D5" w:rsidRDefault="00575F5E" w:rsidP="00A620F7">
            <w:pPr>
              <w:pStyle w:val="Nagwek4"/>
              <w:jc w:val="center"/>
              <w:rPr>
                <w:rFonts w:ascii="Times New Roman" w:eastAsia="Arial Unicode MS" w:hAnsi="Times New Roman" w:cs="Times New Roman"/>
                <w:b w:val="0"/>
                <w:i w:val="0"/>
                <w:iCs w:val="0"/>
              </w:rPr>
            </w:pPr>
            <w:r w:rsidRPr="005138D5">
              <w:rPr>
                <w:rFonts w:ascii="Times New Roman" w:hAnsi="Times New Roman" w:cs="Times New Roman"/>
                <w:b w:val="0"/>
                <w:i w:val="0"/>
                <w:iCs w:val="0"/>
              </w:rPr>
              <w:t>poniżej 40 kg</w:t>
            </w:r>
            <w:r w:rsidR="000239B7" w:rsidRPr="005138D5">
              <w:rPr>
                <w:rFonts w:ascii="Times New Roman" w:hAnsi="Times New Roman" w:cs="Times New Roman"/>
                <w:b w:val="0"/>
                <w:i w:val="0"/>
                <w:iCs w:val="0"/>
              </w:rPr>
              <w:t>*</w:t>
            </w:r>
          </w:p>
        </w:tc>
      </w:tr>
      <w:tr w:rsidR="00575F5E" w:rsidRPr="005138D5" w14:paraId="3DFC6C42" w14:textId="77777777">
        <w:trPr>
          <w:trHeight w:val="838"/>
        </w:trPr>
        <w:tc>
          <w:tcPr>
            <w:tcW w:w="2268" w:type="dxa"/>
            <w:tcBorders>
              <w:top w:val="single" w:sz="12" w:space="0" w:color="auto"/>
              <w:left w:val="single" w:sz="12" w:space="0" w:color="auto"/>
              <w:bottom w:val="single" w:sz="12" w:space="0" w:color="auto"/>
              <w:right w:val="single" w:sz="12" w:space="0" w:color="auto"/>
            </w:tcBorders>
          </w:tcPr>
          <w:p w14:paraId="32F52C12" w14:textId="77777777" w:rsidR="00575F5E" w:rsidRPr="005138D5" w:rsidRDefault="00575F5E" w:rsidP="00A41668">
            <w:pPr>
              <w:rPr>
                <w:b/>
                <w:snapToGrid w:val="0"/>
                <w:sz w:val="22"/>
                <w:lang w:eastAsia="en-US"/>
              </w:rPr>
            </w:pPr>
            <w:r w:rsidRPr="005138D5">
              <w:rPr>
                <w:b/>
                <w:snapToGrid w:val="0"/>
                <w:sz w:val="22"/>
                <w:lang w:eastAsia="en-US"/>
              </w:rPr>
              <w:t>Dawka nasycająca-schemat</w:t>
            </w:r>
          </w:p>
          <w:p w14:paraId="02A875BA" w14:textId="77777777" w:rsidR="00575F5E" w:rsidRPr="005138D5" w:rsidRDefault="00575F5E" w:rsidP="00A41668">
            <w:pPr>
              <w:rPr>
                <w:snapToGrid w:val="0"/>
                <w:sz w:val="22"/>
                <w:lang w:eastAsia="en-US"/>
              </w:rPr>
            </w:pPr>
            <w:r w:rsidRPr="005138D5">
              <w:rPr>
                <w:b/>
                <w:snapToGrid w:val="0"/>
                <w:sz w:val="22"/>
                <w:lang w:eastAsia="en-US"/>
              </w:rPr>
              <w:t>(pierwsze 24</w:t>
            </w:r>
            <w:r w:rsidR="00386A06" w:rsidRPr="005138D5">
              <w:rPr>
                <w:b/>
                <w:snapToGrid w:val="0"/>
                <w:sz w:val="22"/>
                <w:lang w:eastAsia="en-US"/>
              </w:rPr>
              <w:t> godzin</w:t>
            </w:r>
            <w:r w:rsidRPr="005138D5">
              <w:rPr>
                <w:b/>
                <w:snapToGrid w:val="0"/>
                <w:sz w:val="22"/>
                <w:lang w:eastAsia="en-US"/>
              </w:rPr>
              <w:t>y)</w:t>
            </w:r>
          </w:p>
        </w:tc>
        <w:tc>
          <w:tcPr>
            <w:tcW w:w="1843" w:type="dxa"/>
            <w:tcBorders>
              <w:top w:val="single" w:sz="12" w:space="0" w:color="auto"/>
              <w:left w:val="single" w:sz="12" w:space="0" w:color="auto"/>
              <w:bottom w:val="single" w:sz="12" w:space="0" w:color="auto"/>
              <w:right w:val="single" w:sz="12" w:space="0" w:color="auto"/>
            </w:tcBorders>
            <w:vAlign w:val="center"/>
          </w:tcPr>
          <w:p w14:paraId="13B9031E" w14:textId="77777777" w:rsidR="00575F5E" w:rsidRPr="005138D5" w:rsidRDefault="00575F5E" w:rsidP="00A41668">
            <w:pPr>
              <w:pStyle w:val="Tekstpodstawowy"/>
              <w:rPr>
                <w:rFonts w:ascii="Times New Roman" w:hAnsi="Times New Roman"/>
                <w:spacing w:val="-10"/>
              </w:rPr>
            </w:pPr>
            <w:r w:rsidRPr="005138D5">
              <w:rPr>
                <w:rFonts w:ascii="Times New Roman" w:hAnsi="Times New Roman"/>
                <w:spacing w:val="-10"/>
              </w:rPr>
              <w:t>6</w:t>
            </w:r>
            <w:r w:rsidR="00086D10" w:rsidRPr="005138D5">
              <w:rPr>
                <w:rFonts w:ascii="Times New Roman" w:hAnsi="Times New Roman"/>
                <w:spacing w:val="-10"/>
              </w:rPr>
              <w:t> mg</w:t>
            </w:r>
            <w:r w:rsidRPr="005138D5">
              <w:rPr>
                <w:rFonts w:ascii="Times New Roman" w:hAnsi="Times New Roman"/>
                <w:spacing w:val="-10"/>
              </w:rPr>
              <w:t>/kg mc. co 12</w:t>
            </w:r>
            <w:r w:rsidR="00386A06" w:rsidRPr="005138D5">
              <w:rPr>
                <w:rFonts w:ascii="Times New Roman" w:hAnsi="Times New Roman"/>
                <w:spacing w:val="-10"/>
              </w:rPr>
              <w:t> godzin</w:t>
            </w:r>
          </w:p>
          <w:p w14:paraId="3BB93F43" w14:textId="77777777" w:rsidR="00575F5E" w:rsidRPr="005138D5" w:rsidRDefault="00575F5E" w:rsidP="00A41668">
            <w:pPr>
              <w:rPr>
                <w:snapToGrid w:val="0"/>
                <w:sz w:val="22"/>
                <w:lang w:eastAsia="en-US"/>
              </w:rPr>
            </w:pPr>
          </w:p>
        </w:tc>
        <w:tc>
          <w:tcPr>
            <w:tcW w:w="2552" w:type="dxa"/>
            <w:tcBorders>
              <w:top w:val="single" w:sz="12" w:space="0" w:color="auto"/>
              <w:left w:val="single" w:sz="12" w:space="0" w:color="auto"/>
              <w:bottom w:val="single" w:sz="12" w:space="0" w:color="auto"/>
              <w:right w:val="single" w:sz="12" w:space="0" w:color="auto"/>
            </w:tcBorders>
            <w:vAlign w:val="center"/>
          </w:tcPr>
          <w:p w14:paraId="4CBCC202" w14:textId="77777777" w:rsidR="00575F5E" w:rsidRPr="005138D5" w:rsidRDefault="00575F5E" w:rsidP="00A41668">
            <w:pPr>
              <w:rPr>
                <w:snapToGrid w:val="0"/>
                <w:sz w:val="22"/>
                <w:lang w:eastAsia="en-US"/>
              </w:rPr>
            </w:pPr>
            <w:r w:rsidRPr="005138D5">
              <w:rPr>
                <w:snapToGrid w:val="0"/>
                <w:sz w:val="22"/>
                <w:lang w:eastAsia="en-US"/>
              </w:rPr>
              <w:t>400</w:t>
            </w:r>
            <w:r w:rsidR="00086D10" w:rsidRPr="005138D5">
              <w:rPr>
                <w:snapToGrid w:val="0"/>
                <w:sz w:val="22"/>
                <w:lang w:eastAsia="en-US"/>
              </w:rPr>
              <w:t> mg</w:t>
            </w:r>
            <w:r w:rsidRPr="005138D5">
              <w:rPr>
                <w:snapToGrid w:val="0"/>
                <w:sz w:val="22"/>
                <w:lang w:eastAsia="en-US"/>
              </w:rPr>
              <w:t xml:space="preserve"> co 12</w:t>
            </w:r>
            <w:r w:rsidR="00386A06" w:rsidRPr="005138D5">
              <w:rPr>
                <w:snapToGrid w:val="0"/>
                <w:sz w:val="22"/>
                <w:lang w:eastAsia="en-US"/>
              </w:rPr>
              <w:t> godzin</w:t>
            </w:r>
          </w:p>
          <w:p w14:paraId="006BAA4F" w14:textId="77777777" w:rsidR="00575F5E" w:rsidRPr="005138D5" w:rsidRDefault="00575F5E" w:rsidP="00A41668">
            <w:pPr>
              <w:rPr>
                <w:snapToGrid w:val="0"/>
                <w:sz w:val="22"/>
                <w:lang w:eastAsia="en-US"/>
              </w:rPr>
            </w:pPr>
          </w:p>
        </w:tc>
        <w:tc>
          <w:tcPr>
            <w:tcW w:w="2409" w:type="dxa"/>
            <w:tcBorders>
              <w:top w:val="single" w:sz="12" w:space="0" w:color="auto"/>
              <w:left w:val="single" w:sz="12" w:space="0" w:color="auto"/>
              <w:bottom w:val="single" w:sz="12" w:space="0" w:color="auto"/>
              <w:right w:val="single" w:sz="12" w:space="0" w:color="auto"/>
            </w:tcBorders>
            <w:vAlign w:val="center"/>
          </w:tcPr>
          <w:p w14:paraId="3D715B89" w14:textId="77777777" w:rsidR="00575F5E" w:rsidRPr="005138D5" w:rsidRDefault="00575F5E" w:rsidP="00A41668">
            <w:pPr>
              <w:rPr>
                <w:snapToGrid w:val="0"/>
                <w:sz w:val="22"/>
                <w:lang w:eastAsia="en-US"/>
              </w:rPr>
            </w:pPr>
            <w:r w:rsidRPr="005138D5">
              <w:rPr>
                <w:snapToGrid w:val="0"/>
                <w:sz w:val="22"/>
                <w:lang w:eastAsia="en-US"/>
              </w:rPr>
              <w:t>200</w:t>
            </w:r>
            <w:r w:rsidR="00086D10" w:rsidRPr="005138D5">
              <w:rPr>
                <w:snapToGrid w:val="0"/>
                <w:sz w:val="22"/>
                <w:lang w:eastAsia="en-US"/>
              </w:rPr>
              <w:t> mg</w:t>
            </w:r>
            <w:r w:rsidRPr="005138D5">
              <w:rPr>
                <w:snapToGrid w:val="0"/>
                <w:sz w:val="22"/>
                <w:lang w:eastAsia="en-US"/>
              </w:rPr>
              <w:t xml:space="preserve"> co 12</w:t>
            </w:r>
            <w:r w:rsidR="00386A06" w:rsidRPr="005138D5">
              <w:rPr>
                <w:snapToGrid w:val="0"/>
                <w:sz w:val="22"/>
                <w:lang w:eastAsia="en-US"/>
              </w:rPr>
              <w:t> godzin</w:t>
            </w:r>
          </w:p>
          <w:p w14:paraId="40D17182" w14:textId="77777777" w:rsidR="00575F5E" w:rsidRPr="005138D5" w:rsidRDefault="00575F5E" w:rsidP="00A41668">
            <w:pPr>
              <w:rPr>
                <w:snapToGrid w:val="0"/>
                <w:sz w:val="22"/>
                <w:lang w:eastAsia="en-US"/>
              </w:rPr>
            </w:pPr>
          </w:p>
        </w:tc>
      </w:tr>
      <w:tr w:rsidR="00575F5E" w:rsidRPr="005138D5" w14:paraId="2B0180EA" w14:textId="77777777">
        <w:trPr>
          <w:trHeight w:val="256"/>
        </w:trPr>
        <w:tc>
          <w:tcPr>
            <w:tcW w:w="2268" w:type="dxa"/>
            <w:tcBorders>
              <w:top w:val="single" w:sz="12" w:space="0" w:color="auto"/>
              <w:left w:val="single" w:sz="12" w:space="0" w:color="auto"/>
              <w:bottom w:val="single" w:sz="12" w:space="0" w:color="auto"/>
              <w:right w:val="single" w:sz="12" w:space="0" w:color="auto"/>
            </w:tcBorders>
          </w:tcPr>
          <w:p w14:paraId="17D1E643" w14:textId="77777777" w:rsidR="00575F5E" w:rsidRPr="005138D5" w:rsidRDefault="00575F5E" w:rsidP="00A41668">
            <w:pPr>
              <w:rPr>
                <w:b/>
                <w:snapToGrid w:val="0"/>
                <w:sz w:val="22"/>
                <w:lang w:eastAsia="en-US"/>
              </w:rPr>
            </w:pPr>
            <w:r w:rsidRPr="005138D5">
              <w:rPr>
                <w:b/>
                <w:snapToGrid w:val="0"/>
                <w:sz w:val="22"/>
                <w:lang w:eastAsia="en-US"/>
              </w:rPr>
              <w:t>Dawka podtrzymująca</w:t>
            </w:r>
          </w:p>
          <w:p w14:paraId="6A7B5A59" w14:textId="77777777" w:rsidR="00575F5E" w:rsidRPr="005138D5" w:rsidRDefault="00575F5E" w:rsidP="00A41668">
            <w:pPr>
              <w:rPr>
                <w:snapToGrid w:val="0"/>
                <w:sz w:val="22"/>
                <w:lang w:eastAsia="en-US"/>
              </w:rPr>
            </w:pPr>
            <w:r w:rsidRPr="005138D5">
              <w:rPr>
                <w:b/>
                <w:snapToGrid w:val="0"/>
                <w:sz w:val="22"/>
                <w:lang w:eastAsia="en-US"/>
              </w:rPr>
              <w:t>(po pierwszych 24</w:t>
            </w:r>
            <w:r w:rsidR="00386A06" w:rsidRPr="005138D5">
              <w:rPr>
                <w:b/>
                <w:snapToGrid w:val="0"/>
                <w:sz w:val="22"/>
                <w:lang w:eastAsia="en-US"/>
              </w:rPr>
              <w:t> godzin</w:t>
            </w:r>
            <w:r w:rsidRPr="005138D5">
              <w:rPr>
                <w:b/>
                <w:snapToGrid w:val="0"/>
                <w:sz w:val="22"/>
                <w:lang w:eastAsia="en-US"/>
              </w:rPr>
              <w:t>ach)</w:t>
            </w:r>
          </w:p>
        </w:tc>
        <w:tc>
          <w:tcPr>
            <w:tcW w:w="1843" w:type="dxa"/>
            <w:tcBorders>
              <w:top w:val="single" w:sz="12" w:space="0" w:color="auto"/>
              <w:left w:val="single" w:sz="12" w:space="0" w:color="auto"/>
              <w:bottom w:val="single" w:sz="12" w:space="0" w:color="auto"/>
              <w:right w:val="single" w:sz="12" w:space="0" w:color="auto"/>
            </w:tcBorders>
            <w:vAlign w:val="center"/>
          </w:tcPr>
          <w:p w14:paraId="19460983" w14:textId="77777777" w:rsidR="00575F5E" w:rsidRPr="005138D5" w:rsidRDefault="00575F5E" w:rsidP="00A41668">
            <w:pPr>
              <w:rPr>
                <w:snapToGrid w:val="0"/>
                <w:sz w:val="22"/>
                <w:lang w:eastAsia="en-US"/>
              </w:rPr>
            </w:pPr>
            <w:r w:rsidRPr="005138D5">
              <w:rPr>
                <w:snapToGrid w:val="0"/>
                <w:sz w:val="22"/>
                <w:lang w:eastAsia="en-US"/>
              </w:rPr>
              <w:t>4</w:t>
            </w:r>
            <w:r w:rsidR="00086D10" w:rsidRPr="005138D5">
              <w:rPr>
                <w:snapToGrid w:val="0"/>
                <w:sz w:val="22"/>
                <w:lang w:eastAsia="en-US"/>
              </w:rPr>
              <w:t> mg</w:t>
            </w:r>
            <w:r w:rsidRPr="005138D5">
              <w:rPr>
                <w:snapToGrid w:val="0"/>
                <w:sz w:val="22"/>
                <w:lang w:eastAsia="en-US"/>
              </w:rPr>
              <w:t>/kg mc. dwa razy na dobę</w:t>
            </w:r>
          </w:p>
        </w:tc>
        <w:tc>
          <w:tcPr>
            <w:tcW w:w="2552" w:type="dxa"/>
            <w:tcBorders>
              <w:top w:val="single" w:sz="12" w:space="0" w:color="auto"/>
              <w:left w:val="single" w:sz="12" w:space="0" w:color="auto"/>
              <w:bottom w:val="single" w:sz="12" w:space="0" w:color="auto"/>
              <w:right w:val="single" w:sz="12" w:space="0" w:color="auto"/>
            </w:tcBorders>
            <w:vAlign w:val="center"/>
          </w:tcPr>
          <w:p w14:paraId="2EE79FC3" w14:textId="77777777" w:rsidR="00575F5E" w:rsidRPr="005138D5" w:rsidRDefault="00575F5E" w:rsidP="00A41668">
            <w:pPr>
              <w:rPr>
                <w:snapToGrid w:val="0"/>
                <w:sz w:val="22"/>
                <w:lang w:eastAsia="en-US"/>
              </w:rPr>
            </w:pPr>
            <w:r w:rsidRPr="005138D5">
              <w:rPr>
                <w:snapToGrid w:val="0"/>
                <w:sz w:val="22"/>
                <w:lang w:eastAsia="en-US"/>
              </w:rPr>
              <w:t>200</w:t>
            </w:r>
            <w:r w:rsidR="00086D10" w:rsidRPr="005138D5">
              <w:rPr>
                <w:snapToGrid w:val="0"/>
                <w:sz w:val="22"/>
                <w:lang w:eastAsia="en-US"/>
              </w:rPr>
              <w:t> mg</w:t>
            </w:r>
            <w:r w:rsidRPr="005138D5">
              <w:rPr>
                <w:snapToGrid w:val="0"/>
                <w:sz w:val="22"/>
                <w:lang w:eastAsia="en-US"/>
              </w:rPr>
              <w:t xml:space="preserve"> dwa razy na dobę</w:t>
            </w:r>
          </w:p>
        </w:tc>
        <w:tc>
          <w:tcPr>
            <w:tcW w:w="2409" w:type="dxa"/>
            <w:tcBorders>
              <w:top w:val="single" w:sz="12" w:space="0" w:color="auto"/>
              <w:left w:val="single" w:sz="12" w:space="0" w:color="auto"/>
              <w:bottom w:val="single" w:sz="12" w:space="0" w:color="auto"/>
              <w:right w:val="single" w:sz="12" w:space="0" w:color="auto"/>
            </w:tcBorders>
            <w:vAlign w:val="center"/>
          </w:tcPr>
          <w:p w14:paraId="06E8C606" w14:textId="77777777" w:rsidR="00575F5E" w:rsidRPr="005138D5" w:rsidRDefault="00575F5E" w:rsidP="00A41668">
            <w:pPr>
              <w:rPr>
                <w:snapToGrid w:val="0"/>
                <w:sz w:val="22"/>
                <w:lang w:eastAsia="en-US"/>
              </w:rPr>
            </w:pPr>
            <w:r w:rsidRPr="005138D5">
              <w:rPr>
                <w:snapToGrid w:val="0"/>
                <w:sz w:val="22"/>
                <w:lang w:eastAsia="en-US"/>
              </w:rPr>
              <w:t>100</w:t>
            </w:r>
            <w:r w:rsidR="00086D10" w:rsidRPr="005138D5">
              <w:rPr>
                <w:snapToGrid w:val="0"/>
                <w:sz w:val="22"/>
                <w:lang w:eastAsia="en-US"/>
              </w:rPr>
              <w:t> mg</w:t>
            </w:r>
            <w:r w:rsidRPr="005138D5">
              <w:rPr>
                <w:snapToGrid w:val="0"/>
                <w:sz w:val="22"/>
                <w:lang w:eastAsia="en-US"/>
              </w:rPr>
              <w:t xml:space="preserve"> dwa razy na dobę</w:t>
            </w:r>
          </w:p>
        </w:tc>
      </w:tr>
    </w:tbl>
    <w:p w14:paraId="73BB5557" w14:textId="77777777" w:rsidR="00575F5E" w:rsidRPr="005138D5" w:rsidRDefault="000239B7" w:rsidP="00A41668">
      <w:pPr>
        <w:widowControl/>
        <w:rPr>
          <w:bCs/>
          <w:sz w:val="22"/>
        </w:rPr>
      </w:pPr>
      <w:r w:rsidRPr="005138D5">
        <w:rPr>
          <w:bCs/>
          <w:sz w:val="22"/>
        </w:rPr>
        <w:t xml:space="preserve">* </w:t>
      </w:r>
      <w:r w:rsidR="007D3F9B" w:rsidRPr="005138D5">
        <w:rPr>
          <w:bCs/>
          <w:sz w:val="22"/>
        </w:rPr>
        <w:t>Dotyczy również pacjentów</w:t>
      </w:r>
      <w:r w:rsidRPr="005138D5">
        <w:rPr>
          <w:bCs/>
          <w:sz w:val="22"/>
        </w:rPr>
        <w:t xml:space="preserve"> pacjentów w wieku </w:t>
      </w:r>
      <w:r w:rsidR="00F54384" w:rsidRPr="005138D5">
        <w:rPr>
          <w:bCs/>
          <w:sz w:val="22"/>
        </w:rPr>
        <w:t>15</w:t>
      </w:r>
      <w:r w:rsidR="00386A06" w:rsidRPr="005138D5">
        <w:rPr>
          <w:bCs/>
          <w:sz w:val="22"/>
        </w:rPr>
        <w:t> lat</w:t>
      </w:r>
      <w:r w:rsidR="00F54384" w:rsidRPr="005138D5">
        <w:rPr>
          <w:bCs/>
          <w:sz w:val="22"/>
        </w:rPr>
        <w:t xml:space="preserve"> i </w:t>
      </w:r>
      <w:r w:rsidR="00A27A2F" w:rsidRPr="005138D5">
        <w:rPr>
          <w:bCs/>
          <w:sz w:val="22"/>
        </w:rPr>
        <w:t>st</w:t>
      </w:r>
      <w:r w:rsidR="00EF5EFF" w:rsidRPr="005138D5">
        <w:rPr>
          <w:bCs/>
          <w:sz w:val="22"/>
        </w:rPr>
        <w:t>a</w:t>
      </w:r>
      <w:r w:rsidR="00A27A2F" w:rsidRPr="005138D5">
        <w:rPr>
          <w:bCs/>
          <w:sz w:val="22"/>
        </w:rPr>
        <w:t>r</w:t>
      </w:r>
      <w:r w:rsidR="00EF5EFF" w:rsidRPr="005138D5">
        <w:rPr>
          <w:bCs/>
          <w:sz w:val="22"/>
        </w:rPr>
        <w:t>szych</w:t>
      </w:r>
    </w:p>
    <w:p w14:paraId="74C5DD9E" w14:textId="77777777" w:rsidR="000239B7" w:rsidRPr="005138D5" w:rsidRDefault="000239B7" w:rsidP="00A41668">
      <w:pPr>
        <w:widowControl/>
        <w:rPr>
          <w:bCs/>
          <w:sz w:val="22"/>
          <w:u w:val="single"/>
        </w:rPr>
      </w:pPr>
    </w:p>
    <w:p w14:paraId="65D3EFB5" w14:textId="77777777" w:rsidR="007D3F9B" w:rsidRPr="005138D5" w:rsidRDefault="007D3F9B" w:rsidP="007D3F9B">
      <w:pPr>
        <w:widowControl/>
        <w:rPr>
          <w:bCs/>
          <w:i/>
          <w:sz w:val="22"/>
          <w:u w:val="single"/>
        </w:rPr>
      </w:pPr>
      <w:r w:rsidRPr="005138D5">
        <w:rPr>
          <w:bCs/>
          <w:i/>
          <w:sz w:val="22"/>
          <w:u w:val="single"/>
        </w:rPr>
        <w:t>Czas trwania leczenia</w:t>
      </w:r>
    </w:p>
    <w:p w14:paraId="0E9FCF98" w14:textId="77777777" w:rsidR="007D3F9B" w:rsidRPr="005138D5" w:rsidRDefault="007D3F9B" w:rsidP="007D3F9B">
      <w:pPr>
        <w:widowControl/>
        <w:rPr>
          <w:bCs/>
          <w:sz w:val="22"/>
        </w:rPr>
      </w:pPr>
      <w:r w:rsidRPr="005138D5">
        <w:rPr>
          <w:bCs/>
          <w:sz w:val="22"/>
        </w:rPr>
        <w:t xml:space="preserve">Czas trwania leczenia powinien być uzależniony od odpowiedzi klinicznej i mikologicznej oraz być możliwie najkrótszy. W celu prowadzenia </w:t>
      </w:r>
      <w:r w:rsidRPr="005138D5">
        <w:rPr>
          <w:iCs/>
          <w:sz w:val="22"/>
        </w:rPr>
        <w:t xml:space="preserve">długotrwałego </w:t>
      </w:r>
      <w:r w:rsidRPr="005138D5">
        <w:rPr>
          <w:bCs/>
          <w:sz w:val="22"/>
        </w:rPr>
        <w:t>leczenia worykonazolem, przekraczającego 180 dni (6 miesięcy) należy przeprowadzić dokładną ocenę stosunku korzyści do ryzyka (patrz punkty 4.4 i 5.1).</w:t>
      </w:r>
    </w:p>
    <w:p w14:paraId="23EBAFB8" w14:textId="77777777" w:rsidR="007D3F9B" w:rsidRPr="005138D5" w:rsidRDefault="007D3F9B" w:rsidP="00A41668">
      <w:pPr>
        <w:widowControl/>
        <w:rPr>
          <w:bCs/>
          <w:i/>
          <w:sz w:val="22"/>
          <w:u w:val="single"/>
        </w:rPr>
      </w:pPr>
    </w:p>
    <w:p w14:paraId="23C0F3D9" w14:textId="77777777" w:rsidR="00575F5E" w:rsidRPr="005138D5" w:rsidRDefault="00575F5E" w:rsidP="00A41668">
      <w:pPr>
        <w:widowControl/>
        <w:rPr>
          <w:bCs/>
          <w:i/>
          <w:sz w:val="22"/>
          <w:u w:val="single"/>
        </w:rPr>
      </w:pPr>
      <w:r w:rsidRPr="005138D5">
        <w:rPr>
          <w:bCs/>
          <w:i/>
          <w:sz w:val="22"/>
          <w:u w:val="single"/>
        </w:rPr>
        <w:t>Dostosowanie dawkowania</w:t>
      </w:r>
      <w:r w:rsidR="007D3F9B" w:rsidRPr="005138D5">
        <w:rPr>
          <w:bCs/>
          <w:i/>
          <w:sz w:val="22"/>
          <w:u w:val="single"/>
        </w:rPr>
        <w:t xml:space="preserve"> </w:t>
      </w:r>
      <w:r w:rsidR="007D3F9B" w:rsidRPr="005138D5">
        <w:rPr>
          <w:bCs/>
          <w:i/>
          <w:sz w:val="22"/>
        </w:rPr>
        <w:t>(dorośli)</w:t>
      </w:r>
    </w:p>
    <w:p w14:paraId="3C5782AE" w14:textId="77777777" w:rsidR="00575F5E" w:rsidRPr="005138D5" w:rsidRDefault="00575F5E" w:rsidP="00A41668">
      <w:pPr>
        <w:widowControl/>
        <w:rPr>
          <w:bCs/>
          <w:sz w:val="22"/>
        </w:rPr>
      </w:pPr>
      <w:r w:rsidRPr="005138D5">
        <w:rPr>
          <w:bCs/>
          <w:sz w:val="22"/>
        </w:rPr>
        <w:t>Jeśli odpowiedź pacjenta na leczenie jest niewystarczająca, można zwiększyć doustną dawkę podtrzymującą do 300</w:t>
      </w:r>
      <w:r w:rsidR="00086D10" w:rsidRPr="005138D5">
        <w:rPr>
          <w:bCs/>
          <w:sz w:val="22"/>
        </w:rPr>
        <w:t> mg</w:t>
      </w:r>
      <w:r w:rsidRPr="005138D5">
        <w:rPr>
          <w:bCs/>
          <w:sz w:val="22"/>
        </w:rPr>
        <w:t xml:space="preserve"> dwa razy na dobę. U pacjentów o masie ciała poniżej </w:t>
      </w:r>
      <w:smartTag w:uri="urn:schemas-microsoft-com:office:smarttags" w:element="metricconverter">
        <w:smartTagPr>
          <w:attr w:name="ProductID" w:val="40 kg"/>
        </w:smartTagPr>
        <w:r w:rsidRPr="005138D5">
          <w:rPr>
            <w:bCs/>
            <w:sz w:val="22"/>
          </w:rPr>
          <w:t>40 kg</w:t>
        </w:r>
      </w:smartTag>
      <w:r w:rsidRPr="005138D5">
        <w:rPr>
          <w:bCs/>
          <w:sz w:val="22"/>
        </w:rPr>
        <w:t xml:space="preserve"> dawka doustna może być zwiększona do 150</w:t>
      </w:r>
      <w:r w:rsidR="00086D10" w:rsidRPr="005138D5">
        <w:rPr>
          <w:bCs/>
          <w:sz w:val="22"/>
        </w:rPr>
        <w:t> mg</w:t>
      </w:r>
      <w:r w:rsidRPr="005138D5">
        <w:rPr>
          <w:bCs/>
          <w:sz w:val="22"/>
        </w:rPr>
        <w:t xml:space="preserve"> dwa razy na dobę.</w:t>
      </w:r>
    </w:p>
    <w:p w14:paraId="043D258E" w14:textId="77777777" w:rsidR="00575F5E" w:rsidRPr="005138D5" w:rsidRDefault="00575F5E" w:rsidP="00A41668">
      <w:pPr>
        <w:widowControl/>
        <w:rPr>
          <w:bCs/>
          <w:sz w:val="22"/>
        </w:rPr>
      </w:pPr>
    </w:p>
    <w:p w14:paraId="38D671FB" w14:textId="77777777" w:rsidR="00575F5E" w:rsidRPr="005138D5" w:rsidRDefault="00575F5E" w:rsidP="00A41668">
      <w:pPr>
        <w:widowControl/>
        <w:rPr>
          <w:bCs/>
          <w:sz w:val="22"/>
        </w:rPr>
      </w:pPr>
      <w:r w:rsidRPr="005138D5">
        <w:rPr>
          <w:bCs/>
          <w:sz w:val="22"/>
        </w:rPr>
        <w:t xml:space="preserve">Jeśli pacjent nie toleruje leczenia </w:t>
      </w:r>
      <w:r w:rsidR="007D3F9B" w:rsidRPr="005138D5">
        <w:rPr>
          <w:bCs/>
          <w:sz w:val="22"/>
        </w:rPr>
        <w:t>zwiększoną dawką</w:t>
      </w:r>
      <w:r w:rsidRPr="005138D5">
        <w:rPr>
          <w:bCs/>
          <w:sz w:val="22"/>
        </w:rPr>
        <w:t>, dawkę doustną należy zmniejszać stopniowo o 50</w:t>
      </w:r>
      <w:r w:rsidR="00086D10" w:rsidRPr="005138D5">
        <w:rPr>
          <w:bCs/>
          <w:sz w:val="22"/>
        </w:rPr>
        <w:t> mg</w:t>
      </w:r>
      <w:r w:rsidRPr="005138D5">
        <w:rPr>
          <w:bCs/>
          <w:sz w:val="22"/>
        </w:rPr>
        <w:t xml:space="preserve"> aż do osiągnięcia dawki podtrzymującej 200</w:t>
      </w:r>
      <w:r w:rsidR="00086D10" w:rsidRPr="005138D5">
        <w:rPr>
          <w:bCs/>
          <w:sz w:val="22"/>
        </w:rPr>
        <w:t> mg</w:t>
      </w:r>
      <w:r w:rsidRPr="005138D5">
        <w:rPr>
          <w:bCs/>
          <w:sz w:val="22"/>
        </w:rPr>
        <w:t xml:space="preserve"> dwa razy na dobę (lub 100</w:t>
      </w:r>
      <w:r w:rsidR="00086D10" w:rsidRPr="005138D5">
        <w:rPr>
          <w:bCs/>
          <w:sz w:val="22"/>
        </w:rPr>
        <w:t> mg</w:t>
      </w:r>
      <w:r w:rsidRPr="005138D5">
        <w:rPr>
          <w:bCs/>
          <w:sz w:val="22"/>
        </w:rPr>
        <w:t xml:space="preserve"> dwa razy na dobę u pacjentów o masie ciała poniżej </w:t>
      </w:r>
      <w:smartTag w:uri="urn:schemas-microsoft-com:office:smarttags" w:element="metricconverter">
        <w:smartTagPr>
          <w:attr w:name="ProductID" w:val="40 kg"/>
        </w:smartTagPr>
        <w:r w:rsidRPr="005138D5">
          <w:rPr>
            <w:bCs/>
            <w:sz w:val="22"/>
          </w:rPr>
          <w:t>40 kg</w:t>
        </w:r>
      </w:smartTag>
      <w:r w:rsidRPr="005138D5">
        <w:rPr>
          <w:bCs/>
          <w:sz w:val="22"/>
        </w:rPr>
        <w:t>).</w:t>
      </w:r>
    </w:p>
    <w:p w14:paraId="15DF8945" w14:textId="77777777" w:rsidR="00575F5E" w:rsidRPr="005138D5" w:rsidRDefault="00575F5E" w:rsidP="00A41668">
      <w:pPr>
        <w:widowControl/>
        <w:rPr>
          <w:bCs/>
          <w:sz w:val="22"/>
        </w:rPr>
      </w:pPr>
    </w:p>
    <w:p w14:paraId="3BA1E2CD" w14:textId="77777777" w:rsidR="007D3F9B" w:rsidRPr="005138D5" w:rsidRDefault="007D3F9B" w:rsidP="007D3F9B">
      <w:pPr>
        <w:widowControl/>
        <w:rPr>
          <w:bCs/>
          <w:sz w:val="22"/>
        </w:rPr>
      </w:pPr>
      <w:r w:rsidRPr="005138D5">
        <w:rPr>
          <w:bCs/>
          <w:sz w:val="22"/>
        </w:rPr>
        <w:t xml:space="preserve">W przypadku profilaktycznego stosowania produktu </w:t>
      </w:r>
      <w:r w:rsidR="004B1FD5" w:rsidRPr="005138D5">
        <w:rPr>
          <w:bCs/>
          <w:sz w:val="22"/>
        </w:rPr>
        <w:t>Voriconazole Accord</w:t>
      </w:r>
      <w:r w:rsidRPr="005138D5">
        <w:rPr>
          <w:bCs/>
          <w:sz w:val="22"/>
        </w:rPr>
        <w:t>, patrz niżej.</w:t>
      </w:r>
    </w:p>
    <w:p w14:paraId="4C8697EE" w14:textId="77777777" w:rsidR="007D3F9B" w:rsidRPr="005138D5" w:rsidRDefault="007D3F9B" w:rsidP="007D3F9B">
      <w:pPr>
        <w:widowControl/>
        <w:rPr>
          <w:i/>
          <w:sz w:val="22"/>
        </w:rPr>
      </w:pPr>
    </w:p>
    <w:p w14:paraId="627F6DE9" w14:textId="77777777" w:rsidR="007D3F9B" w:rsidRPr="005138D5" w:rsidRDefault="007D3F9B" w:rsidP="007D3F9B">
      <w:pPr>
        <w:widowControl/>
        <w:rPr>
          <w:bCs/>
          <w:i/>
          <w:sz w:val="22"/>
        </w:rPr>
      </w:pPr>
      <w:r w:rsidRPr="005138D5">
        <w:rPr>
          <w:i/>
          <w:sz w:val="22"/>
        </w:rPr>
        <w:t xml:space="preserve">Dzieci (w wieku od 2 do &lt; 12 lat) i młodzież o małej masie ciała (w wieku od 12 do 14 lat o masie ciała &lt; </w:t>
      </w:r>
      <w:smartTag w:uri="urn:schemas-microsoft-com:office:smarttags" w:element="metricconverter">
        <w:smartTagPr>
          <w:attr w:name="ProductID" w:val="50 kg"/>
        </w:smartTagPr>
        <w:r w:rsidRPr="005138D5">
          <w:rPr>
            <w:i/>
            <w:sz w:val="22"/>
          </w:rPr>
          <w:t>50 kg</w:t>
        </w:r>
      </w:smartTag>
      <w:r w:rsidRPr="005138D5">
        <w:rPr>
          <w:i/>
          <w:sz w:val="22"/>
        </w:rPr>
        <w:t>)</w:t>
      </w:r>
    </w:p>
    <w:p w14:paraId="4DA8656D" w14:textId="77777777" w:rsidR="007D3F9B" w:rsidRPr="005138D5" w:rsidRDefault="007D3F9B" w:rsidP="007D3F9B">
      <w:pPr>
        <w:rPr>
          <w:sz w:val="22"/>
        </w:rPr>
      </w:pPr>
      <w:r w:rsidRPr="005138D5">
        <w:rPr>
          <w:sz w:val="22"/>
        </w:rPr>
        <w:t>Dawkowanie worykonazolu u młodzieży powinno być takie samo jak u dzieci, gdyż ich metabolizm jest bardziej podobny do metabolizmu dzieci niż dorosłych.</w:t>
      </w:r>
    </w:p>
    <w:p w14:paraId="5047E202" w14:textId="77777777" w:rsidR="007D3F9B" w:rsidRPr="005138D5" w:rsidRDefault="007D3F9B" w:rsidP="007D3F9B">
      <w:pPr>
        <w:rPr>
          <w:sz w:val="22"/>
        </w:rPr>
      </w:pPr>
    </w:p>
    <w:p w14:paraId="70B657A4" w14:textId="77777777" w:rsidR="007D3F9B" w:rsidRDefault="007D3F9B" w:rsidP="007D3F9B">
      <w:pPr>
        <w:rPr>
          <w:sz w:val="22"/>
        </w:rPr>
      </w:pPr>
      <w:r w:rsidRPr="005138D5">
        <w:rPr>
          <w:sz w:val="22"/>
        </w:rPr>
        <w:t>Zalecany schemat dawkowania jest następujący:</w:t>
      </w:r>
    </w:p>
    <w:p w14:paraId="1E4D2485" w14:textId="77777777" w:rsidR="00EA33D1" w:rsidRPr="005138D5" w:rsidRDefault="00EA33D1" w:rsidP="007D3F9B">
      <w:pPr>
        <w:rPr>
          <w:sz w:val="22"/>
        </w:rPr>
      </w:pPr>
    </w:p>
    <w:tbl>
      <w:tblPr>
        <w:tblW w:w="9214"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19"/>
        <w:gridCol w:w="3118"/>
        <w:gridCol w:w="2977"/>
      </w:tblGrid>
      <w:tr w:rsidR="007D3F9B" w:rsidRPr="005138D5" w14:paraId="62AF56D5" w14:textId="77777777" w:rsidTr="00CF52EF">
        <w:tc>
          <w:tcPr>
            <w:tcW w:w="3119" w:type="dxa"/>
            <w:tcBorders>
              <w:top w:val="single" w:sz="12" w:space="0" w:color="auto"/>
              <w:left w:val="single" w:sz="12" w:space="0" w:color="auto"/>
              <w:bottom w:val="single" w:sz="12" w:space="0" w:color="auto"/>
              <w:right w:val="single" w:sz="12" w:space="0" w:color="auto"/>
            </w:tcBorders>
          </w:tcPr>
          <w:p w14:paraId="107EB233" w14:textId="77777777" w:rsidR="007D3F9B" w:rsidRPr="005138D5" w:rsidRDefault="007D3F9B" w:rsidP="00B32731">
            <w:pPr>
              <w:rPr>
                <w:snapToGrid w:val="0"/>
                <w:sz w:val="22"/>
                <w:lang w:eastAsia="en-US"/>
              </w:rPr>
            </w:pPr>
          </w:p>
        </w:tc>
        <w:tc>
          <w:tcPr>
            <w:tcW w:w="3118" w:type="dxa"/>
            <w:tcBorders>
              <w:top w:val="single" w:sz="12" w:space="0" w:color="auto"/>
              <w:left w:val="single" w:sz="12" w:space="0" w:color="auto"/>
              <w:bottom w:val="single" w:sz="12" w:space="0" w:color="auto"/>
              <w:right w:val="single" w:sz="12" w:space="0" w:color="auto"/>
            </w:tcBorders>
            <w:vAlign w:val="center"/>
          </w:tcPr>
          <w:p w14:paraId="678704A0" w14:textId="77777777" w:rsidR="007D3F9B" w:rsidRPr="005138D5" w:rsidRDefault="007D3F9B" w:rsidP="00B32731">
            <w:pPr>
              <w:pStyle w:val="Nagwek2"/>
              <w:rPr>
                <w:rFonts w:ascii="Times New Roman" w:hAnsi="Times New Roman" w:cs="Times New Roman"/>
                <w:snapToGrid w:val="0"/>
                <w:spacing w:val="0"/>
                <w:lang w:eastAsia="en-US"/>
              </w:rPr>
            </w:pPr>
            <w:r w:rsidRPr="005138D5">
              <w:rPr>
                <w:rFonts w:ascii="Times New Roman" w:hAnsi="Times New Roman" w:cs="Times New Roman"/>
                <w:snapToGrid w:val="0"/>
                <w:spacing w:val="0"/>
                <w:lang w:eastAsia="en-US"/>
              </w:rPr>
              <w:t>Dożylnie</w:t>
            </w:r>
          </w:p>
        </w:tc>
        <w:tc>
          <w:tcPr>
            <w:tcW w:w="2977" w:type="dxa"/>
            <w:tcBorders>
              <w:top w:val="single" w:sz="12" w:space="0" w:color="auto"/>
              <w:left w:val="single" w:sz="12" w:space="0" w:color="auto"/>
              <w:bottom w:val="single" w:sz="12" w:space="0" w:color="auto"/>
              <w:right w:val="single" w:sz="12" w:space="0" w:color="auto"/>
            </w:tcBorders>
            <w:vAlign w:val="center"/>
          </w:tcPr>
          <w:p w14:paraId="41C94D82" w14:textId="77777777" w:rsidR="007D3F9B" w:rsidRPr="005138D5" w:rsidRDefault="007D3F9B" w:rsidP="00B32731">
            <w:pPr>
              <w:rPr>
                <w:snapToGrid w:val="0"/>
                <w:sz w:val="22"/>
                <w:lang w:eastAsia="en-US"/>
              </w:rPr>
            </w:pPr>
            <w:r w:rsidRPr="005138D5">
              <w:rPr>
                <w:b/>
                <w:snapToGrid w:val="0"/>
                <w:sz w:val="22"/>
                <w:lang w:eastAsia="en-US"/>
              </w:rPr>
              <w:t xml:space="preserve">Doustnie </w:t>
            </w:r>
          </w:p>
        </w:tc>
      </w:tr>
      <w:tr w:rsidR="007D3F9B" w:rsidRPr="005138D5" w14:paraId="4AD31E94" w14:textId="77777777" w:rsidTr="00CF52EF">
        <w:trPr>
          <w:cantSplit/>
        </w:trPr>
        <w:tc>
          <w:tcPr>
            <w:tcW w:w="3119" w:type="dxa"/>
            <w:tcBorders>
              <w:top w:val="single" w:sz="12" w:space="0" w:color="auto"/>
              <w:left w:val="single" w:sz="12" w:space="0" w:color="auto"/>
              <w:bottom w:val="single" w:sz="12" w:space="0" w:color="auto"/>
              <w:right w:val="single" w:sz="12" w:space="0" w:color="auto"/>
            </w:tcBorders>
          </w:tcPr>
          <w:p w14:paraId="7BA304B7" w14:textId="77777777" w:rsidR="007D3F9B" w:rsidRPr="005138D5" w:rsidRDefault="007D3F9B" w:rsidP="00B32731">
            <w:pPr>
              <w:rPr>
                <w:b/>
                <w:snapToGrid w:val="0"/>
                <w:sz w:val="22"/>
                <w:lang w:eastAsia="en-US"/>
              </w:rPr>
            </w:pPr>
            <w:r w:rsidRPr="005138D5">
              <w:rPr>
                <w:b/>
                <w:snapToGrid w:val="0"/>
                <w:sz w:val="22"/>
                <w:lang w:eastAsia="en-US"/>
              </w:rPr>
              <w:t xml:space="preserve">Dawka nasycająca </w:t>
            </w:r>
          </w:p>
          <w:p w14:paraId="37F8CA6E" w14:textId="77777777" w:rsidR="007D3F9B" w:rsidRPr="005138D5" w:rsidRDefault="007D3F9B" w:rsidP="00B32731">
            <w:pPr>
              <w:rPr>
                <w:snapToGrid w:val="0"/>
                <w:sz w:val="22"/>
                <w:lang w:eastAsia="en-US"/>
              </w:rPr>
            </w:pPr>
            <w:r w:rsidRPr="005138D5">
              <w:rPr>
                <w:b/>
                <w:snapToGrid w:val="0"/>
                <w:sz w:val="22"/>
                <w:lang w:eastAsia="en-US"/>
              </w:rPr>
              <w:t>(pierwsze 24 godziny)</w:t>
            </w:r>
          </w:p>
        </w:tc>
        <w:tc>
          <w:tcPr>
            <w:tcW w:w="3118" w:type="dxa"/>
            <w:tcBorders>
              <w:top w:val="single" w:sz="12" w:space="0" w:color="auto"/>
              <w:left w:val="single" w:sz="12" w:space="0" w:color="auto"/>
              <w:bottom w:val="single" w:sz="12" w:space="0" w:color="auto"/>
              <w:right w:val="single" w:sz="4" w:space="0" w:color="auto"/>
            </w:tcBorders>
            <w:vAlign w:val="center"/>
          </w:tcPr>
          <w:p w14:paraId="5E7AB1CE" w14:textId="77777777" w:rsidR="007D3F9B" w:rsidRPr="005138D5" w:rsidRDefault="007D3F9B" w:rsidP="00B32731">
            <w:pPr>
              <w:pStyle w:val="Tekstpodstawowy"/>
              <w:rPr>
                <w:rFonts w:ascii="Times New Roman" w:hAnsi="Times New Roman"/>
                <w:snapToGrid w:val="0"/>
                <w:lang w:eastAsia="en-US"/>
              </w:rPr>
            </w:pPr>
            <w:r w:rsidRPr="005138D5">
              <w:rPr>
                <w:rFonts w:ascii="Times New Roman" w:hAnsi="Times New Roman"/>
                <w:spacing w:val="-10"/>
              </w:rPr>
              <w:t>9 mg/kg mc. co 12 godzin</w:t>
            </w:r>
          </w:p>
        </w:tc>
        <w:tc>
          <w:tcPr>
            <w:tcW w:w="2977" w:type="dxa"/>
            <w:tcBorders>
              <w:top w:val="single" w:sz="12" w:space="0" w:color="auto"/>
              <w:left w:val="single" w:sz="4" w:space="0" w:color="auto"/>
              <w:bottom w:val="single" w:sz="12" w:space="0" w:color="auto"/>
              <w:right w:val="single" w:sz="12" w:space="0" w:color="auto"/>
            </w:tcBorders>
            <w:vAlign w:val="center"/>
          </w:tcPr>
          <w:p w14:paraId="24040F7E" w14:textId="77777777" w:rsidR="007D3F9B" w:rsidRPr="005138D5" w:rsidRDefault="007D3F9B" w:rsidP="00B32731">
            <w:pPr>
              <w:rPr>
                <w:snapToGrid w:val="0"/>
                <w:sz w:val="22"/>
                <w:lang w:eastAsia="en-US"/>
              </w:rPr>
            </w:pPr>
            <w:r w:rsidRPr="005138D5">
              <w:rPr>
                <w:snapToGrid w:val="0"/>
                <w:sz w:val="22"/>
                <w:lang w:eastAsia="en-US"/>
              </w:rPr>
              <w:t>Niezalecane</w:t>
            </w:r>
          </w:p>
        </w:tc>
      </w:tr>
      <w:tr w:rsidR="007D3F9B" w:rsidRPr="005138D5" w14:paraId="3F537A60" w14:textId="77777777" w:rsidTr="00CF52EF">
        <w:trPr>
          <w:trHeight w:val="599"/>
        </w:trPr>
        <w:tc>
          <w:tcPr>
            <w:tcW w:w="3119" w:type="dxa"/>
            <w:tcBorders>
              <w:top w:val="single" w:sz="12" w:space="0" w:color="auto"/>
              <w:left w:val="single" w:sz="12" w:space="0" w:color="auto"/>
              <w:bottom w:val="single" w:sz="12" w:space="0" w:color="auto"/>
              <w:right w:val="single" w:sz="12" w:space="0" w:color="auto"/>
            </w:tcBorders>
          </w:tcPr>
          <w:p w14:paraId="2048EA63" w14:textId="77777777" w:rsidR="007D3F9B" w:rsidRPr="005138D5" w:rsidRDefault="007D3F9B" w:rsidP="00B32731">
            <w:pPr>
              <w:rPr>
                <w:b/>
                <w:snapToGrid w:val="0"/>
                <w:sz w:val="22"/>
                <w:lang w:eastAsia="en-US"/>
              </w:rPr>
            </w:pPr>
            <w:r w:rsidRPr="005138D5">
              <w:rPr>
                <w:b/>
                <w:snapToGrid w:val="0"/>
                <w:sz w:val="22"/>
                <w:lang w:eastAsia="en-US"/>
              </w:rPr>
              <w:t>Dawka podtrzymująca</w:t>
            </w:r>
          </w:p>
          <w:p w14:paraId="28548A8B" w14:textId="77777777" w:rsidR="007D3F9B" w:rsidRPr="005138D5" w:rsidRDefault="007D3F9B" w:rsidP="00B32731">
            <w:pPr>
              <w:rPr>
                <w:snapToGrid w:val="0"/>
                <w:sz w:val="22"/>
                <w:lang w:eastAsia="en-US"/>
              </w:rPr>
            </w:pPr>
            <w:r w:rsidRPr="005138D5">
              <w:rPr>
                <w:b/>
                <w:snapToGrid w:val="0"/>
                <w:sz w:val="22"/>
                <w:lang w:eastAsia="en-US"/>
              </w:rPr>
              <w:t>(po pierwszych 24 godzinach)</w:t>
            </w:r>
          </w:p>
        </w:tc>
        <w:tc>
          <w:tcPr>
            <w:tcW w:w="3118" w:type="dxa"/>
            <w:tcBorders>
              <w:top w:val="single" w:sz="12" w:space="0" w:color="auto"/>
              <w:left w:val="single" w:sz="12" w:space="0" w:color="auto"/>
              <w:bottom w:val="single" w:sz="12" w:space="0" w:color="auto"/>
              <w:right w:val="single" w:sz="4" w:space="0" w:color="auto"/>
            </w:tcBorders>
            <w:vAlign w:val="center"/>
          </w:tcPr>
          <w:p w14:paraId="4E53C146" w14:textId="77777777" w:rsidR="007D3F9B" w:rsidRPr="005138D5" w:rsidRDefault="007D3F9B" w:rsidP="00B32731">
            <w:pPr>
              <w:rPr>
                <w:snapToGrid w:val="0"/>
                <w:sz w:val="22"/>
                <w:lang w:eastAsia="en-US"/>
              </w:rPr>
            </w:pPr>
            <w:r w:rsidRPr="005138D5">
              <w:rPr>
                <w:snapToGrid w:val="0"/>
                <w:sz w:val="22"/>
                <w:lang w:eastAsia="en-US"/>
              </w:rPr>
              <w:t>8 mg/kg mc. dwa razy na dobę</w:t>
            </w:r>
          </w:p>
        </w:tc>
        <w:tc>
          <w:tcPr>
            <w:tcW w:w="2977" w:type="dxa"/>
            <w:tcBorders>
              <w:top w:val="single" w:sz="12" w:space="0" w:color="auto"/>
              <w:left w:val="single" w:sz="4" w:space="0" w:color="auto"/>
              <w:bottom w:val="single" w:sz="12" w:space="0" w:color="auto"/>
              <w:right w:val="single" w:sz="12" w:space="0" w:color="auto"/>
            </w:tcBorders>
            <w:vAlign w:val="center"/>
          </w:tcPr>
          <w:p w14:paraId="7E2A7EE8" w14:textId="77777777" w:rsidR="007D3F9B" w:rsidRPr="005138D5" w:rsidRDefault="007D3F9B" w:rsidP="00B32731">
            <w:pPr>
              <w:rPr>
                <w:snapToGrid w:val="0"/>
                <w:sz w:val="22"/>
                <w:lang w:eastAsia="en-US"/>
              </w:rPr>
            </w:pPr>
            <w:r w:rsidRPr="005138D5">
              <w:rPr>
                <w:snapToGrid w:val="0"/>
                <w:sz w:val="22"/>
                <w:lang w:eastAsia="en-US"/>
              </w:rPr>
              <w:t>9 mg/kg mc. dwa razy na dobę (maksymalna dawka 350 mg dwa razy na dobę)</w:t>
            </w:r>
          </w:p>
        </w:tc>
      </w:tr>
    </w:tbl>
    <w:p w14:paraId="008A8487" w14:textId="77777777" w:rsidR="007D3F9B" w:rsidRPr="005138D5" w:rsidRDefault="007D3F9B" w:rsidP="007D3F9B">
      <w:pPr>
        <w:rPr>
          <w:sz w:val="22"/>
        </w:rPr>
      </w:pPr>
      <w:r w:rsidRPr="005138D5">
        <w:rPr>
          <w:sz w:val="22"/>
        </w:rPr>
        <w:t xml:space="preserve">Uwaga: Powyższy schemat dawkowania ustalono na podstawie farmakokinetycznej analizy populacyjnej przeprowadzonej u 112 dzieci z niedoborem odporności w wieku od 2 do &lt;12 lat i 26-osobowej grupie młodzieży w wieku od 12 do &lt; 17 lat. </w:t>
      </w:r>
    </w:p>
    <w:p w14:paraId="5D0AE5BD" w14:textId="77777777" w:rsidR="00BC0C99" w:rsidRPr="005138D5" w:rsidRDefault="00BC0C99" w:rsidP="007D3F9B">
      <w:pPr>
        <w:rPr>
          <w:sz w:val="22"/>
        </w:rPr>
      </w:pPr>
    </w:p>
    <w:p w14:paraId="061C746F" w14:textId="77777777" w:rsidR="007D3F9B" w:rsidRPr="005138D5" w:rsidRDefault="007D3F9B" w:rsidP="007D3F9B">
      <w:pPr>
        <w:widowControl/>
        <w:rPr>
          <w:b/>
          <w:sz w:val="22"/>
        </w:rPr>
      </w:pPr>
      <w:r w:rsidRPr="005138D5">
        <w:rPr>
          <w:sz w:val="22"/>
        </w:rPr>
        <w:t xml:space="preserve">Zaleca się rozpoczęcie terapii drogą dożylną. Schemat dawkowania doustnego należy rozważyć jedynie w przypadku, gdy nastąpiła istotna klinicznie poprawa. Należy uwzględnić to, że w tej populacji dawka dożylna 8 mg/kg mc. zapewnia około dwukrotnie większą ekspozycję niż dawka 9 mg/kg mc. podana doustnie. </w:t>
      </w:r>
    </w:p>
    <w:p w14:paraId="0CAB6D11" w14:textId="77777777" w:rsidR="007D3F9B" w:rsidRPr="005138D5" w:rsidRDefault="007D3F9B" w:rsidP="007D3F9B">
      <w:pPr>
        <w:rPr>
          <w:sz w:val="22"/>
        </w:rPr>
      </w:pPr>
    </w:p>
    <w:p w14:paraId="2783D522" w14:textId="77777777" w:rsidR="007D3F9B" w:rsidRPr="005138D5" w:rsidRDefault="007D3F9B" w:rsidP="007D3F9B">
      <w:pPr>
        <w:rPr>
          <w:sz w:val="22"/>
        </w:rPr>
      </w:pPr>
      <w:r w:rsidRPr="005138D5">
        <w:rPr>
          <w:sz w:val="22"/>
        </w:rPr>
        <w:t>Zalecenia dotyczące dawkowania doustnego u dzieci określono na podstawie badań, w których podawano worykonazol w postaci proszku do sporządzania zawiesiny doustnej. Biorównoważność proszku do sporządzania zawiesiny doustnej i tabletek nie była badana u dzieci. Ze względu na przypuszczalnie krótki czas pasażu żołądkowo-jelitowego u dzieci, należy wziąć pod uwagę, że mogą występować różnice we wchłanianiu tabletek u dzieci w stosunku do pacjentów dorosłych. Z tego względu u dzieci od 2 do &lt; 12 lat zaleca się stosowanie zawiesiny doustnej.</w:t>
      </w:r>
    </w:p>
    <w:p w14:paraId="0794366C" w14:textId="77777777" w:rsidR="007D3F9B" w:rsidRPr="005138D5" w:rsidRDefault="007D3F9B" w:rsidP="007D3F9B">
      <w:pPr>
        <w:rPr>
          <w:sz w:val="22"/>
        </w:rPr>
      </w:pPr>
    </w:p>
    <w:p w14:paraId="5BF88222" w14:textId="77777777" w:rsidR="007D3F9B" w:rsidRPr="005138D5" w:rsidRDefault="007D3F9B" w:rsidP="007D3F9B">
      <w:pPr>
        <w:rPr>
          <w:i/>
          <w:sz w:val="22"/>
        </w:rPr>
      </w:pPr>
      <w:r w:rsidRPr="005138D5">
        <w:rPr>
          <w:i/>
          <w:sz w:val="22"/>
        </w:rPr>
        <w:t>Pozostałe podgrupy młodzieży (w wieku od 12 do 14 lat i o masie ciała ≥50 kg; w wieku od 15 do 17 lat niezależnie od masy ciała)</w:t>
      </w:r>
    </w:p>
    <w:p w14:paraId="67A53554" w14:textId="77777777" w:rsidR="007D3F9B" w:rsidRPr="005138D5" w:rsidRDefault="007D3F9B" w:rsidP="007D3F9B">
      <w:pPr>
        <w:rPr>
          <w:sz w:val="22"/>
        </w:rPr>
      </w:pPr>
      <w:r w:rsidRPr="005138D5">
        <w:rPr>
          <w:sz w:val="22"/>
        </w:rPr>
        <w:t>Worykonazol powinien być dawkowany jak u dorosłych.</w:t>
      </w:r>
    </w:p>
    <w:p w14:paraId="47FBD5B2" w14:textId="77777777" w:rsidR="007D3F9B" w:rsidRPr="005138D5" w:rsidRDefault="007D3F9B" w:rsidP="007D3F9B">
      <w:pPr>
        <w:rPr>
          <w:sz w:val="22"/>
          <w:lang w:eastAsia="en-GB"/>
        </w:rPr>
      </w:pPr>
    </w:p>
    <w:p w14:paraId="2341E302" w14:textId="77777777" w:rsidR="007D3F9B" w:rsidRPr="005138D5" w:rsidRDefault="007D3F9B" w:rsidP="007D3F9B">
      <w:pPr>
        <w:rPr>
          <w:i/>
          <w:sz w:val="22"/>
          <w:u w:val="single"/>
        </w:rPr>
      </w:pPr>
      <w:r w:rsidRPr="005138D5">
        <w:rPr>
          <w:i/>
          <w:sz w:val="22"/>
          <w:u w:val="single"/>
        </w:rPr>
        <w:t>Dostosowanie dawki [dzieci (w wieku od 2 do &lt; 12 lat) i młodzież o małej masie ciała (w wieku od 12 do 14 lat o masie ciała &lt; 50 kg)]</w:t>
      </w:r>
    </w:p>
    <w:p w14:paraId="31AE994C" w14:textId="77777777" w:rsidR="007D3F9B" w:rsidRPr="005138D5" w:rsidRDefault="007D3F9B" w:rsidP="007D3F9B">
      <w:pPr>
        <w:rPr>
          <w:sz w:val="22"/>
        </w:rPr>
      </w:pPr>
      <w:r w:rsidRPr="005138D5">
        <w:rPr>
          <w:sz w:val="22"/>
        </w:rPr>
        <w:t xml:space="preserve">W przypadku niewystarczającej odpowiedzi pacjenta na leczenie, dawkę można zwiększać stopniowo o 1 mg/kg mc. (lub stopniowo o 50 mg w przypadku, gdy jako dawkę początkową zastosowano maksymalną dawkę doustną wynoszącą 350 mg). Jeśli </w:t>
      </w:r>
      <w:r w:rsidRPr="005138D5">
        <w:rPr>
          <w:bCs/>
          <w:sz w:val="22"/>
        </w:rPr>
        <w:t xml:space="preserve">pacjent nie toleruje leczenia, dawkę należy zmniejszać stopniowo o 1 mg/kg mc. </w:t>
      </w:r>
      <w:r w:rsidRPr="005138D5">
        <w:rPr>
          <w:sz w:val="22"/>
        </w:rPr>
        <w:t>(lub stopniowo o 50 mg w przypadku, gdy jako dawkę początkową zastosowano maksymalną dawkę doustną wynoszącą 350 mg).</w:t>
      </w:r>
    </w:p>
    <w:p w14:paraId="123BBCB9" w14:textId="77777777" w:rsidR="007D3F9B" w:rsidRPr="005138D5" w:rsidRDefault="007D3F9B" w:rsidP="007D3F9B">
      <w:pPr>
        <w:rPr>
          <w:sz w:val="22"/>
        </w:rPr>
      </w:pPr>
    </w:p>
    <w:p w14:paraId="18C3BCF5" w14:textId="77777777" w:rsidR="007D3F9B" w:rsidRPr="005138D5" w:rsidRDefault="007D3F9B" w:rsidP="007D3F9B">
      <w:pPr>
        <w:rPr>
          <w:sz w:val="22"/>
        </w:rPr>
      </w:pPr>
      <w:r w:rsidRPr="005138D5">
        <w:rPr>
          <w:sz w:val="22"/>
        </w:rPr>
        <w:t>Stosowanie u dzieci w wieku od 2 do &lt; 12 lat z niewydolnością wątroby lub nerek nie było badane (patrz punkty 4.8 i 5.2).</w:t>
      </w:r>
    </w:p>
    <w:p w14:paraId="2834BBE0" w14:textId="77777777" w:rsidR="007D3F9B" w:rsidRPr="005138D5" w:rsidRDefault="007D3F9B" w:rsidP="007D3F9B">
      <w:pPr>
        <w:rPr>
          <w:sz w:val="22"/>
        </w:rPr>
      </w:pPr>
    </w:p>
    <w:p w14:paraId="0A18550C" w14:textId="77777777" w:rsidR="007D3F9B" w:rsidRPr="005138D5" w:rsidRDefault="007D3F9B" w:rsidP="007D3F9B">
      <w:pPr>
        <w:rPr>
          <w:sz w:val="22"/>
          <w:u w:val="single"/>
        </w:rPr>
      </w:pPr>
      <w:r w:rsidRPr="005138D5">
        <w:rPr>
          <w:sz w:val="22"/>
          <w:u w:val="single"/>
        </w:rPr>
        <w:t>Stosowanie profilaktyczne u dorosłych i dzieci</w:t>
      </w:r>
    </w:p>
    <w:p w14:paraId="62836A93" w14:textId="77777777" w:rsidR="007D3F9B" w:rsidRPr="005138D5" w:rsidRDefault="007D3F9B" w:rsidP="007D3F9B">
      <w:pPr>
        <w:rPr>
          <w:sz w:val="22"/>
        </w:rPr>
      </w:pPr>
      <w:r w:rsidRPr="005138D5">
        <w:rPr>
          <w:sz w:val="22"/>
        </w:rPr>
        <w:t xml:space="preserve">Stosowanie profilaktyczne należy rozpocząć </w:t>
      </w:r>
      <w:r w:rsidRPr="005138D5">
        <w:rPr>
          <w:bCs/>
          <w:sz w:val="22"/>
        </w:rPr>
        <w:t>w dniu przeszczepienia i może trwać do 100 dni po przeszczepieniu. Czas trwania s</w:t>
      </w:r>
      <w:r w:rsidRPr="005138D5">
        <w:rPr>
          <w:sz w:val="22"/>
        </w:rPr>
        <w:t xml:space="preserve">tosowania profilaktycznego </w:t>
      </w:r>
      <w:r w:rsidRPr="005138D5">
        <w:rPr>
          <w:bCs/>
          <w:sz w:val="22"/>
        </w:rPr>
        <w:t>powinien być możliwie najkrótszy oraz uzależniony od ryzyka rozwoju inwazyjnego zakażenia grzybiczego (</w:t>
      </w:r>
      <w:r w:rsidRPr="005138D5">
        <w:rPr>
          <w:sz w:val="22"/>
        </w:rPr>
        <w:t xml:space="preserve">IFI, </w:t>
      </w:r>
      <w:r w:rsidRPr="005138D5">
        <w:rPr>
          <w:bCs/>
          <w:sz w:val="22"/>
        </w:rPr>
        <w:t xml:space="preserve">ang. </w:t>
      </w:r>
      <w:r w:rsidRPr="005138D5">
        <w:rPr>
          <w:i/>
          <w:sz w:val="22"/>
        </w:rPr>
        <w:t>Invasive fungal infection</w:t>
      </w:r>
      <w:r w:rsidRPr="005138D5">
        <w:rPr>
          <w:sz w:val="22"/>
        </w:rPr>
        <w:t>), określonego przez neutropenię lub immunosupresję</w:t>
      </w:r>
      <w:r w:rsidRPr="005138D5">
        <w:rPr>
          <w:bCs/>
          <w:sz w:val="22"/>
        </w:rPr>
        <w:t>. Jedynie w przypadku utrzymywania się immunosupresji lub choroby przeszczep przeciwko gospodarzowi (</w:t>
      </w:r>
      <w:r w:rsidRPr="005138D5">
        <w:rPr>
          <w:sz w:val="22"/>
        </w:rPr>
        <w:t xml:space="preserve">GvHD, </w:t>
      </w:r>
      <w:r w:rsidRPr="005138D5">
        <w:rPr>
          <w:bCs/>
          <w:sz w:val="22"/>
        </w:rPr>
        <w:t xml:space="preserve">ang. </w:t>
      </w:r>
      <w:r w:rsidRPr="005138D5">
        <w:rPr>
          <w:i/>
          <w:sz w:val="22"/>
        </w:rPr>
        <w:t>Graft versus host disease</w:t>
      </w:r>
      <w:r w:rsidRPr="005138D5">
        <w:rPr>
          <w:sz w:val="22"/>
        </w:rPr>
        <w:t xml:space="preserve">), </w:t>
      </w:r>
      <w:r w:rsidRPr="005138D5">
        <w:rPr>
          <w:bCs/>
          <w:sz w:val="22"/>
        </w:rPr>
        <w:t>s</w:t>
      </w:r>
      <w:r w:rsidRPr="005138D5">
        <w:rPr>
          <w:sz w:val="22"/>
        </w:rPr>
        <w:t xml:space="preserve">tosowanie profilaktyczne </w:t>
      </w:r>
      <w:r w:rsidRPr="005138D5">
        <w:rPr>
          <w:bCs/>
          <w:sz w:val="22"/>
        </w:rPr>
        <w:t xml:space="preserve">można kontynuować do 180 dni po przeszczepieniu </w:t>
      </w:r>
      <w:r w:rsidRPr="005138D5">
        <w:rPr>
          <w:sz w:val="22"/>
        </w:rPr>
        <w:t>(patrz punkt 5.1).</w:t>
      </w:r>
    </w:p>
    <w:p w14:paraId="669C729A" w14:textId="77777777" w:rsidR="007D3F9B" w:rsidRPr="005138D5" w:rsidRDefault="007D3F9B" w:rsidP="007D3F9B">
      <w:pPr>
        <w:rPr>
          <w:sz w:val="22"/>
        </w:rPr>
      </w:pPr>
    </w:p>
    <w:p w14:paraId="1AE558B0" w14:textId="77777777" w:rsidR="007D3F9B" w:rsidRPr="005138D5" w:rsidRDefault="007D3F9B" w:rsidP="007D3F9B">
      <w:pPr>
        <w:rPr>
          <w:bCs/>
          <w:i/>
          <w:sz w:val="22"/>
        </w:rPr>
      </w:pPr>
      <w:r w:rsidRPr="005138D5">
        <w:rPr>
          <w:bCs/>
          <w:i/>
          <w:sz w:val="22"/>
        </w:rPr>
        <w:t>Dawkowanie</w:t>
      </w:r>
    </w:p>
    <w:p w14:paraId="6B880A23" w14:textId="77777777" w:rsidR="007D3F9B" w:rsidRPr="005138D5" w:rsidRDefault="007D3F9B" w:rsidP="007D3F9B">
      <w:pPr>
        <w:widowControl/>
        <w:rPr>
          <w:sz w:val="22"/>
        </w:rPr>
      </w:pPr>
      <w:r w:rsidRPr="005138D5">
        <w:rPr>
          <w:sz w:val="22"/>
        </w:rPr>
        <w:t>Zalecany schemat dawkowania przy profilaktyce jest taki sam, jak dla leczenia w odpowiednich grupach wiekowych. Patrz tabele leczenia powyżej.</w:t>
      </w:r>
    </w:p>
    <w:p w14:paraId="5CF9D560" w14:textId="77777777" w:rsidR="007D3F9B" w:rsidRPr="005138D5" w:rsidRDefault="007D3F9B" w:rsidP="007D3F9B">
      <w:pPr>
        <w:widowControl/>
        <w:rPr>
          <w:sz w:val="22"/>
        </w:rPr>
      </w:pPr>
    </w:p>
    <w:p w14:paraId="777BBD08" w14:textId="77777777" w:rsidR="007D3F9B" w:rsidRPr="005138D5" w:rsidRDefault="007D3F9B" w:rsidP="007D3F9B">
      <w:pPr>
        <w:widowControl/>
        <w:rPr>
          <w:bCs/>
          <w:i/>
          <w:sz w:val="22"/>
        </w:rPr>
      </w:pPr>
      <w:r w:rsidRPr="005138D5">
        <w:rPr>
          <w:bCs/>
          <w:i/>
          <w:sz w:val="22"/>
        </w:rPr>
        <w:t>Czas trwania profilaktyki</w:t>
      </w:r>
    </w:p>
    <w:p w14:paraId="610FD118" w14:textId="77777777" w:rsidR="007D3F9B" w:rsidRPr="005138D5" w:rsidRDefault="007D3F9B" w:rsidP="007D3F9B">
      <w:pPr>
        <w:widowControl/>
        <w:rPr>
          <w:bCs/>
          <w:sz w:val="22"/>
        </w:rPr>
      </w:pPr>
      <w:r w:rsidRPr="005138D5">
        <w:rPr>
          <w:bCs/>
          <w:sz w:val="22"/>
        </w:rPr>
        <w:t xml:space="preserve">Nie przeprowadzono odpowiednich badań klinicznych dotyczących bezpieczeństwa i skuteczności </w:t>
      </w:r>
      <w:r w:rsidRPr="005138D5">
        <w:rPr>
          <w:noProof/>
          <w:sz w:val="22"/>
        </w:rPr>
        <w:t xml:space="preserve">stosowania </w:t>
      </w:r>
      <w:r w:rsidRPr="005138D5">
        <w:rPr>
          <w:bCs/>
          <w:sz w:val="22"/>
        </w:rPr>
        <w:t>worykonazolu dłużej niż przez 180 dni.</w:t>
      </w:r>
    </w:p>
    <w:p w14:paraId="36D562DB" w14:textId="77777777" w:rsidR="007D3F9B" w:rsidRPr="005138D5" w:rsidRDefault="007D3F9B" w:rsidP="007D3F9B">
      <w:pPr>
        <w:widowControl/>
        <w:rPr>
          <w:bCs/>
          <w:sz w:val="22"/>
        </w:rPr>
      </w:pPr>
    </w:p>
    <w:p w14:paraId="333E3CEF" w14:textId="77777777" w:rsidR="007D3F9B" w:rsidRPr="005138D5" w:rsidRDefault="007D3F9B" w:rsidP="007D3F9B">
      <w:pPr>
        <w:widowControl/>
        <w:rPr>
          <w:bCs/>
          <w:sz w:val="22"/>
        </w:rPr>
      </w:pPr>
      <w:r w:rsidRPr="005138D5">
        <w:rPr>
          <w:bCs/>
          <w:sz w:val="22"/>
        </w:rPr>
        <w:t xml:space="preserve">W celu stosowania worykonazolu </w:t>
      </w:r>
      <w:r w:rsidRPr="005138D5">
        <w:rPr>
          <w:sz w:val="22"/>
        </w:rPr>
        <w:t xml:space="preserve">profilaktycznie </w:t>
      </w:r>
      <w:r w:rsidRPr="005138D5">
        <w:rPr>
          <w:bCs/>
          <w:sz w:val="22"/>
        </w:rPr>
        <w:t>dłużej niż przez 180 dni (6 miesięcy) należy przeprowadzić dokładną ocenę stosunku korzyści do ryzyka (patrz punkty 4.4 i 5.1).</w:t>
      </w:r>
    </w:p>
    <w:p w14:paraId="75B45A56" w14:textId="77777777" w:rsidR="007D3F9B" w:rsidRPr="005138D5" w:rsidRDefault="007D3F9B" w:rsidP="007D3F9B">
      <w:pPr>
        <w:widowControl/>
        <w:rPr>
          <w:bCs/>
          <w:sz w:val="22"/>
        </w:rPr>
      </w:pPr>
    </w:p>
    <w:p w14:paraId="22FA9A51" w14:textId="77777777" w:rsidR="007D3F9B" w:rsidRPr="005138D5" w:rsidRDefault="007D3F9B" w:rsidP="007D3F9B">
      <w:pPr>
        <w:widowControl/>
        <w:rPr>
          <w:bCs/>
          <w:sz w:val="22"/>
        </w:rPr>
      </w:pPr>
      <w:r w:rsidRPr="005138D5">
        <w:rPr>
          <w:bCs/>
          <w:sz w:val="22"/>
        </w:rPr>
        <w:t>Poniższe instrukcje dotyczą stosowania zarówno w przypadku leczenia jak i profilaktycznie</w:t>
      </w:r>
    </w:p>
    <w:p w14:paraId="02FEDFAF" w14:textId="77777777" w:rsidR="007D3F9B" w:rsidRPr="005138D5" w:rsidRDefault="007D3F9B" w:rsidP="007D3F9B">
      <w:pPr>
        <w:widowControl/>
        <w:rPr>
          <w:bCs/>
          <w:sz w:val="22"/>
        </w:rPr>
      </w:pPr>
    </w:p>
    <w:p w14:paraId="06D7F047" w14:textId="77777777" w:rsidR="007D3F9B" w:rsidRPr="005138D5" w:rsidRDefault="007D3F9B" w:rsidP="007D3F9B">
      <w:pPr>
        <w:widowControl/>
        <w:rPr>
          <w:bCs/>
          <w:sz w:val="22"/>
        </w:rPr>
      </w:pPr>
      <w:r w:rsidRPr="005138D5">
        <w:rPr>
          <w:i/>
          <w:sz w:val="22"/>
        </w:rPr>
        <w:t>Dostosowanie dawki</w:t>
      </w:r>
    </w:p>
    <w:p w14:paraId="25299403" w14:textId="77777777" w:rsidR="007D3F9B" w:rsidRPr="005138D5" w:rsidRDefault="007D3F9B" w:rsidP="007D3F9B">
      <w:pPr>
        <w:widowControl/>
        <w:rPr>
          <w:bCs/>
          <w:sz w:val="22"/>
        </w:rPr>
      </w:pPr>
      <w:r w:rsidRPr="005138D5">
        <w:rPr>
          <w:bCs/>
          <w:sz w:val="22"/>
        </w:rPr>
        <w:t>Podczas stosowania profilaktycznie nie zaleca się dostosowywania dawki w przypadku braku skuteczności lub wystąpienia działań niepożądanych związanych z leczeniem. W przypadku wystąpienia działań niepożądanych związanych z leczeniem należy rozważyć przerwanie stosowania worykonazolu i zastosowanie alternatywnych leków przeciwgrzybiczych (patrz punkty 4.4 i 4.8).</w:t>
      </w:r>
    </w:p>
    <w:p w14:paraId="471FF4BF" w14:textId="77777777" w:rsidR="007D3F9B" w:rsidRPr="005138D5" w:rsidRDefault="007D3F9B" w:rsidP="007D3F9B">
      <w:pPr>
        <w:widowControl/>
        <w:rPr>
          <w:bCs/>
          <w:sz w:val="22"/>
        </w:rPr>
      </w:pPr>
    </w:p>
    <w:p w14:paraId="2FFD20C9" w14:textId="77777777" w:rsidR="007D3F9B" w:rsidRPr="005138D5" w:rsidRDefault="007D3F9B" w:rsidP="00A41668">
      <w:pPr>
        <w:widowControl/>
        <w:rPr>
          <w:bCs/>
          <w:sz w:val="22"/>
        </w:rPr>
      </w:pPr>
      <w:r w:rsidRPr="005138D5">
        <w:rPr>
          <w:i/>
          <w:sz w:val="22"/>
        </w:rPr>
        <w:t>Dostosowanie dawki w przypadku jednoczesnego podawania</w:t>
      </w:r>
    </w:p>
    <w:p w14:paraId="1CDF95A4" w14:textId="77777777" w:rsidR="00575F5E" w:rsidRPr="005138D5" w:rsidRDefault="00575F5E" w:rsidP="00A41668">
      <w:pPr>
        <w:widowControl/>
        <w:rPr>
          <w:bCs/>
          <w:sz w:val="22"/>
        </w:rPr>
      </w:pPr>
      <w:r w:rsidRPr="005138D5">
        <w:rPr>
          <w:bCs/>
          <w:sz w:val="22"/>
        </w:rPr>
        <w:t>Fenytoinę można podawać jednocześnie z worykonazolem, jeśli doustna dawka podtrzymująca worykonazolu zostanie zwiększona z 200</w:t>
      </w:r>
      <w:r w:rsidR="00086D10" w:rsidRPr="005138D5">
        <w:rPr>
          <w:bCs/>
          <w:sz w:val="22"/>
        </w:rPr>
        <w:t> mg</w:t>
      </w:r>
      <w:r w:rsidRPr="005138D5">
        <w:rPr>
          <w:bCs/>
          <w:sz w:val="22"/>
        </w:rPr>
        <w:t xml:space="preserve"> do 400</w:t>
      </w:r>
      <w:r w:rsidR="00086D10" w:rsidRPr="005138D5">
        <w:rPr>
          <w:bCs/>
          <w:sz w:val="22"/>
        </w:rPr>
        <w:t> mg</w:t>
      </w:r>
      <w:r w:rsidRPr="005138D5">
        <w:rPr>
          <w:bCs/>
          <w:sz w:val="22"/>
        </w:rPr>
        <w:t xml:space="preserve"> dwa razy na dobę</w:t>
      </w:r>
      <w:r w:rsidR="00E26316" w:rsidRPr="005138D5">
        <w:rPr>
          <w:bCs/>
          <w:sz w:val="22"/>
        </w:rPr>
        <w:t>; oraz w przypadku zwiększenia dawki podtrzymującej</w:t>
      </w:r>
      <w:r w:rsidRPr="005138D5">
        <w:rPr>
          <w:bCs/>
          <w:sz w:val="22"/>
        </w:rPr>
        <w:t xml:space="preserve"> </w:t>
      </w:r>
      <w:r w:rsidR="0035266C" w:rsidRPr="005138D5">
        <w:rPr>
          <w:bCs/>
          <w:sz w:val="22"/>
        </w:rPr>
        <w:t xml:space="preserve">u pacjentów o masie ciała poniżej </w:t>
      </w:r>
      <w:smartTag w:uri="urn:schemas-microsoft-com:office:smarttags" w:element="metricconverter">
        <w:smartTagPr>
          <w:attr w:name="ProductID" w:val="40 kg"/>
        </w:smartTagPr>
        <w:r w:rsidR="0035266C" w:rsidRPr="005138D5">
          <w:rPr>
            <w:bCs/>
            <w:sz w:val="22"/>
          </w:rPr>
          <w:t>40 kg</w:t>
        </w:r>
      </w:smartTag>
      <w:r w:rsidR="0035266C" w:rsidRPr="005138D5">
        <w:rPr>
          <w:bCs/>
          <w:sz w:val="22"/>
        </w:rPr>
        <w:t xml:space="preserve"> </w:t>
      </w:r>
      <w:r w:rsidRPr="005138D5">
        <w:rPr>
          <w:bCs/>
          <w:sz w:val="22"/>
        </w:rPr>
        <w:t>ze 100</w:t>
      </w:r>
      <w:r w:rsidR="00086D10" w:rsidRPr="005138D5">
        <w:rPr>
          <w:bCs/>
          <w:sz w:val="22"/>
        </w:rPr>
        <w:t> mg</w:t>
      </w:r>
      <w:r w:rsidRPr="005138D5">
        <w:rPr>
          <w:bCs/>
          <w:sz w:val="22"/>
        </w:rPr>
        <w:t xml:space="preserve"> do 200</w:t>
      </w:r>
      <w:r w:rsidR="00086D10" w:rsidRPr="005138D5">
        <w:rPr>
          <w:bCs/>
          <w:sz w:val="22"/>
        </w:rPr>
        <w:t> mg</w:t>
      </w:r>
      <w:r w:rsidRPr="005138D5">
        <w:rPr>
          <w:bCs/>
          <w:sz w:val="22"/>
        </w:rPr>
        <w:t xml:space="preserve"> dwa razy na dobę, patrz punkt</w:t>
      </w:r>
      <w:r w:rsidR="00A620F7" w:rsidRPr="005138D5">
        <w:rPr>
          <w:bCs/>
          <w:sz w:val="22"/>
        </w:rPr>
        <w:t>y</w:t>
      </w:r>
      <w:r w:rsidRPr="005138D5">
        <w:rPr>
          <w:bCs/>
          <w:sz w:val="22"/>
        </w:rPr>
        <w:t xml:space="preserve"> 4.4 i 4.5.</w:t>
      </w:r>
    </w:p>
    <w:p w14:paraId="487C6728" w14:textId="77777777" w:rsidR="00575F5E" w:rsidRPr="005138D5" w:rsidRDefault="00575F5E" w:rsidP="00A41668">
      <w:pPr>
        <w:widowControl/>
        <w:rPr>
          <w:bCs/>
          <w:sz w:val="22"/>
        </w:rPr>
      </w:pPr>
    </w:p>
    <w:p w14:paraId="678E344F" w14:textId="77777777" w:rsidR="00575F5E" w:rsidRPr="005138D5" w:rsidRDefault="004933CB" w:rsidP="00A41668">
      <w:pPr>
        <w:widowControl/>
        <w:rPr>
          <w:bCs/>
          <w:sz w:val="22"/>
        </w:rPr>
      </w:pPr>
      <w:r w:rsidRPr="005138D5">
        <w:rPr>
          <w:bCs/>
          <w:sz w:val="22"/>
        </w:rPr>
        <w:t>Jeśli to możliwe należy unikać jednoczesnego pod</w:t>
      </w:r>
      <w:r w:rsidR="00052EE4" w:rsidRPr="005138D5">
        <w:rPr>
          <w:bCs/>
          <w:sz w:val="22"/>
        </w:rPr>
        <w:t>a</w:t>
      </w:r>
      <w:r w:rsidRPr="005138D5">
        <w:rPr>
          <w:bCs/>
          <w:sz w:val="22"/>
        </w:rPr>
        <w:t xml:space="preserve">wania ryfabutyny i worykonazolu. Jednakże, jeśli jest to konieczne </w:t>
      </w:r>
      <w:r w:rsidR="00575F5E" w:rsidRPr="005138D5">
        <w:rPr>
          <w:bCs/>
          <w:sz w:val="22"/>
        </w:rPr>
        <w:t xml:space="preserve">doustna dawka podtrzymująca worykonazolu </w:t>
      </w:r>
      <w:r w:rsidRPr="005138D5">
        <w:rPr>
          <w:bCs/>
          <w:sz w:val="22"/>
        </w:rPr>
        <w:t xml:space="preserve">może zostać </w:t>
      </w:r>
      <w:r w:rsidR="00575F5E" w:rsidRPr="005138D5">
        <w:rPr>
          <w:bCs/>
          <w:sz w:val="22"/>
        </w:rPr>
        <w:t>zwiększona z 200</w:t>
      </w:r>
      <w:r w:rsidR="00086D10" w:rsidRPr="005138D5">
        <w:rPr>
          <w:bCs/>
          <w:sz w:val="22"/>
        </w:rPr>
        <w:t> mg</w:t>
      </w:r>
      <w:r w:rsidR="00575F5E" w:rsidRPr="005138D5">
        <w:rPr>
          <w:bCs/>
          <w:sz w:val="22"/>
        </w:rPr>
        <w:t xml:space="preserve"> do 350</w:t>
      </w:r>
      <w:r w:rsidR="00086D10" w:rsidRPr="005138D5">
        <w:rPr>
          <w:bCs/>
          <w:sz w:val="22"/>
        </w:rPr>
        <w:t> mg</w:t>
      </w:r>
      <w:r w:rsidR="00575F5E" w:rsidRPr="005138D5">
        <w:rPr>
          <w:bCs/>
          <w:sz w:val="22"/>
        </w:rPr>
        <w:t xml:space="preserve"> dwa razy na dobę</w:t>
      </w:r>
      <w:r w:rsidR="0035266C" w:rsidRPr="005138D5">
        <w:rPr>
          <w:bCs/>
          <w:sz w:val="22"/>
        </w:rPr>
        <w:t xml:space="preserve">; oraz w przypadku zwiększenia dawki podtrzymującej u pacjentów o masie ciała poniżej </w:t>
      </w:r>
      <w:smartTag w:uri="urn:schemas-microsoft-com:office:smarttags" w:element="metricconverter">
        <w:smartTagPr>
          <w:attr w:name="ProductID" w:val="40 kg"/>
        </w:smartTagPr>
        <w:r w:rsidR="0035266C" w:rsidRPr="005138D5">
          <w:rPr>
            <w:bCs/>
            <w:sz w:val="22"/>
          </w:rPr>
          <w:t>40 kg</w:t>
        </w:r>
      </w:smartTag>
      <w:r w:rsidR="0035266C" w:rsidRPr="005138D5">
        <w:rPr>
          <w:bCs/>
          <w:sz w:val="22"/>
        </w:rPr>
        <w:t xml:space="preserve"> </w:t>
      </w:r>
      <w:r w:rsidR="00575F5E" w:rsidRPr="005138D5">
        <w:rPr>
          <w:bCs/>
          <w:sz w:val="22"/>
        </w:rPr>
        <w:t>ze 100</w:t>
      </w:r>
      <w:r w:rsidR="00086D10" w:rsidRPr="005138D5">
        <w:rPr>
          <w:bCs/>
          <w:sz w:val="22"/>
        </w:rPr>
        <w:t> mg</w:t>
      </w:r>
      <w:r w:rsidR="00575F5E" w:rsidRPr="005138D5">
        <w:rPr>
          <w:bCs/>
          <w:sz w:val="22"/>
        </w:rPr>
        <w:t xml:space="preserve"> do 200</w:t>
      </w:r>
      <w:r w:rsidR="00086D10" w:rsidRPr="005138D5">
        <w:rPr>
          <w:bCs/>
          <w:sz w:val="22"/>
        </w:rPr>
        <w:t> mg</w:t>
      </w:r>
      <w:r w:rsidR="00575F5E" w:rsidRPr="005138D5">
        <w:rPr>
          <w:bCs/>
          <w:sz w:val="22"/>
        </w:rPr>
        <w:t xml:space="preserve"> dwa razy na dobę</w:t>
      </w:r>
      <w:r w:rsidR="009C7752" w:rsidRPr="005138D5">
        <w:rPr>
          <w:bCs/>
          <w:sz w:val="22"/>
        </w:rPr>
        <w:t xml:space="preserve"> (</w:t>
      </w:r>
      <w:r w:rsidR="00575F5E" w:rsidRPr="005138D5">
        <w:rPr>
          <w:bCs/>
          <w:sz w:val="22"/>
        </w:rPr>
        <w:t>patrz punkt</w:t>
      </w:r>
      <w:r w:rsidR="009C7752" w:rsidRPr="005138D5">
        <w:rPr>
          <w:bCs/>
          <w:sz w:val="22"/>
        </w:rPr>
        <w:t>y</w:t>
      </w:r>
      <w:r w:rsidR="00575F5E" w:rsidRPr="005138D5">
        <w:rPr>
          <w:bCs/>
          <w:sz w:val="22"/>
        </w:rPr>
        <w:t xml:space="preserve"> 4.4 i 4.5</w:t>
      </w:r>
      <w:r w:rsidR="009C7752" w:rsidRPr="005138D5">
        <w:rPr>
          <w:bCs/>
          <w:sz w:val="22"/>
        </w:rPr>
        <w:t>)</w:t>
      </w:r>
      <w:r w:rsidR="00575F5E" w:rsidRPr="005138D5">
        <w:rPr>
          <w:bCs/>
          <w:sz w:val="22"/>
        </w:rPr>
        <w:t>.</w:t>
      </w:r>
    </w:p>
    <w:p w14:paraId="55799F2D" w14:textId="77777777" w:rsidR="00575F5E" w:rsidRPr="005138D5" w:rsidRDefault="00575F5E" w:rsidP="00A41668">
      <w:pPr>
        <w:widowControl/>
        <w:rPr>
          <w:bCs/>
          <w:sz w:val="22"/>
        </w:rPr>
      </w:pPr>
    </w:p>
    <w:p w14:paraId="35DC7171" w14:textId="77777777" w:rsidR="00575F5E" w:rsidRPr="005138D5" w:rsidRDefault="00575F5E" w:rsidP="00A41668">
      <w:pPr>
        <w:pStyle w:val="CM55"/>
        <w:spacing w:line="243" w:lineRule="atLeast"/>
        <w:rPr>
          <w:sz w:val="22"/>
          <w:szCs w:val="22"/>
          <w:lang w:val="pl-PL"/>
        </w:rPr>
      </w:pPr>
      <w:r w:rsidRPr="005138D5">
        <w:rPr>
          <w:sz w:val="22"/>
          <w:szCs w:val="22"/>
          <w:lang w:val="pl-PL"/>
        </w:rPr>
        <w:t>Efawirenz może być podawany jednocześnie z worykonazolem, jeżeli dawka podtrzymująca worykonazolu zostanie zwiększona do 400</w:t>
      </w:r>
      <w:r w:rsidR="00086D10" w:rsidRPr="005138D5">
        <w:rPr>
          <w:sz w:val="22"/>
          <w:szCs w:val="22"/>
          <w:lang w:val="pl-PL"/>
        </w:rPr>
        <w:t> mg</w:t>
      </w:r>
      <w:r w:rsidRPr="005138D5">
        <w:rPr>
          <w:sz w:val="22"/>
          <w:szCs w:val="22"/>
          <w:lang w:val="pl-PL"/>
        </w:rPr>
        <w:t xml:space="preserve"> i podawana raz na 12</w:t>
      </w:r>
      <w:r w:rsidR="00386A06" w:rsidRPr="005138D5">
        <w:rPr>
          <w:sz w:val="22"/>
          <w:szCs w:val="22"/>
          <w:lang w:val="pl-PL"/>
        </w:rPr>
        <w:t> godzin</w:t>
      </w:r>
      <w:r w:rsidRPr="005138D5">
        <w:rPr>
          <w:sz w:val="22"/>
          <w:szCs w:val="22"/>
          <w:lang w:val="pl-PL"/>
        </w:rPr>
        <w:t>, a dawka efawirenzu zmniejszona o 50%, tj. do 300</w:t>
      </w:r>
      <w:r w:rsidR="00086D10" w:rsidRPr="005138D5">
        <w:rPr>
          <w:sz w:val="22"/>
          <w:szCs w:val="22"/>
          <w:lang w:val="pl-PL"/>
        </w:rPr>
        <w:t> mg</w:t>
      </w:r>
      <w:r w:rsidRPr="005138D5">
        <w:rPr>
          <w:sz w:val="22"/>
          <w:szCs w:val="22"/>
          <w:lang w:val="pl-PL"/>
        </w:rPr>
        <w:t xml:space="preserve"> raz na dobę. W przypadku przerwania leczenia worykonazolem, należy wrócić do początkowej dawki efawirenzu (patrz punkt</w:t>
      </w:r>
      <w:r w:rsidR="00A620F7" w:rsidRPr="005138D5">
        <w:rPr>
          <w:sz w:val="22"/>
          <w:szCs w:val="22"/>
          <w:lang w:val="pl-PL"/>
        </w:rPr>
        <w:t>y</w:t>
      </w:r>
      <w:r w:rsidRPr="005138D5">
        <w:rPr>
          <w:sz w:val="22"/>
          <w:szCs w:val="22"/>
          <w:lang w:val="pl-PL"/>
        </w:rPr>
        <w:t xml:space="preserve"> 4.4 i 4.5).</w:t>
      </w:r>
    </w:p>
    <w:p w14:paraId="64F8CBB3" w14:textId="77777777" w:rsidR="001A33C3" w:rsidRPr="005138D5" w:rsidRDefault="002528AC" w:rsidP="001A33C3">
      <w:pPr>
        <w:widowControl/>
        <w:rPr>
          <w:bCs/>
          <w:i/>
          <w:sz w:val="22"/>
          <w:u w:val="single"/>
        </w:rPr>
      </w:pPr>
      <w:r w:rsidRPr="005138D5">
        <w:rPr>
          <w:bCs/>
          <w:i/>
          <w:sz w:val="22"/>
          <w:u w:val="single"/>
        </w:rPr>
        <w:t>Osoby</w:t>
      </w:r>
      <w:r w:rsidR="001A33C3" w:rsidRPr="005138D5">
        <w:rPr>
          <w:bCs/>
          <w:i/>
          <w:sz w:val="22"/>
          <w:u w:val="single"/>
        </w:rPr>
        <w:t xml:space="preserve"> w podeszłym wieku</w:t>
      </w:r>
    </w:p>
    <w:p w14:paraId="37AB6F17" w14:textId="77777777" w:rsidR="00575F5E" w:rsidRPr="005138D5" w:rsidRDefault="00575F5E" w:rsidP="00A41668">
      <w:pPr>
        <w:widowControl/>
        <w:rPr>
          <w:bCs/>
          <w:sz w:val="22"/>
        </w:rPr>
      </w:pPr>
      <w:r w:rsidRPr="005138D5">
        <w:rPr>
          <w:bCs/>
          <w:sz w:val="22"/>
        </w:rPr>
        <w:t>Nie ma potrzeby dostosowywania dawki leku u pacjentów w podeszłym wieku (patrz punkt 5.2).</w:t>
      </w:r>
    </w:p>
    <w:p w14:paraId="46D18FC2" w14:textId="77777777" w:rsidR="00575F5E" w:rsidRPr="005138D5" w:rsidRDefault="00575F5E" w:rsidP="00A41668">
      <w:pPr>
        <w:widowControl/>
        <w:rPr>
          <w:bCs/>
          <w:sz w:val="22"/>
        </w:rPr>
      </w:pPr>
    </w:p>
    <w:p w14:paraId="7084ED79" w14:textId="77777777" w:rsidR="001A33C3" w:rsidRPr="005138D5" w:rsidRDefault="002528AC" w:rsidP="001A33C3">
      <w:pPr>
        <w:widowControl/>
        <w:rPr>
          <w:bCs/>
          <w:i/>
          <w:sz w:val="22"/>
          <w:u w:val="single"/>
        </w:rPr>
      </w:pPr>
      <w:r w:rsidRPr="005138D5">
        <w:rPr>
          <w:bCs/>
          <w:i/>
          <w:sz w:val="22"/>
          <w:u w:val="single"/>
        </w:rPr>
        <w:t>Z</w:t>
      </w:r>
      <w:r w:rsidR="001A33C3" w:rsidRPr="005138D5">
        <w:rPr>
          <w:bCs/>
          <w:i/>
          <w:sz w:val="22"/>
          <w:u w:val="single"/>
        </w:rPr>
        <w:t>aburzenia czynności nerek</w:t>
      </w:r>
    </w:p>
    <w:p w14:paraId="36973FA8" w14:textId="77777777" w:rsidR="00575F5E" w:rsidRPr="005138D5" w:rsidRDefault="00575F5E" w:rsidP="00A41668">
      <w:pPr>
        <w:widowControl/>
        <w:rPr>
          <w:bCs/>
          <w:i/>
          <w:sz w:val="22"/>
        </w:rPr>
      </w:pPr>
    </w:p>
    <w:p w14:paraId="6371DDE1" w14:textId="77777777" w:rsidR="00575F5E" w:rsidRPr="005138D5" w:rsidRDefault="00575F5E" w:rsidP="00A41668">
      <w:pPr>
        <w:widowControl/>
        <w:rPr>
          <w:bCs/>
          <w:sz w:val="22"/>
        </w:rPr>
      </w:pPr>
      <w:r w:rsidRPr="005138D5">
        <w:rPr>
          <w:bCs/>
          <w:sz w:val="22"/>
        </w:rPr>
        <w:t>Farmakokinetyka worykonazolu po podaniu doustnym nie zmienia się u osób z zaburzeniami czynności nerek. Nie ma więc potrzeby dostosowania doustnego dawkowania u pacjentów z łagodną do ciężkiej niewydolnością nerek (patrz punkt 5.2).</w:t>
      </w:r>
    </w:p>
    <w:p w14:paraId="2259F661" w14:textId="77777777" w:rsidR="00575F5E" w:rsidRPr="005138D5" w:rsidRDefault="00575F5E" w:rsidP="00A41668">
      <w:pPr>
        <w:widowControl/>
        <w:rPr>
          <w:bCs/>
          <w:sz w:val="22"/>
        </w:rPr>
      </w:pPr>
    </w:p>
    <w:p w14:paraId="704DA174" w14:textId="77777777" w:rsidR="00575F5E" w:rsidRPr="005138D5" w:rsidRDefault="00575F5E" w:rsidP="00A41668">
      <w:pPr>
        <w:widowControl/>
        <w:rPr>
          <w:bCs/>
          <w:sz w:val="22"/>
        </w:rPr>
      </w:pPr>
      <w:r w:rsidRPr="005138D5">
        <w:rPr>
          <w:bCs/>
          <w:sz w:val="22"/>
        </w:rPr>
        <w:t>Worykonazol jest hemodializowany z klirensem 121 ml/min. Czterogodzinna hemodializa nie usuwa takiej ilości worykonazolu, aby potrzebne było dostosowanie dawki leku.</w:t>
      </w:r>
    </w:p>
    <w:p w14:paraId="6D37E483" w14:textId="77777777" w:rsidR="00575F5E" w:rsidRPr="005138D5" w:rsidRDefault="00575F5E" w:rsidP="00277FE6">
      <w:pPr>
        <w:rPr>
          <w:sz w:val="22"/>
        </w:rPr>
      </w:pPr>
    </w:p>
    <w:p w14:paraId="14465BB8" w14:textId="77777777" w:rsidR="001A33C3" w:rsidRPr="005138D5" w:rsidRDefault="002528AC" w:rsidP="001A33C3">
      <w:pPr>
        <w:keepNext/>
        <w:widowControl/>
        <w:rPr>
          <w:bCs/>
          <w:i/>
          <w:sz w:val="22"/>
          <w:u w:val="single"/>
        </w:rPr>
      </w:pPr>
      <w:r w:rsidRPr="005138D5">
        <w:rPr>
          <w:bCs/>
          <w:i/>
          <w:sz w:val="22"/>
          <w:u w:val="single"/>
        </w:rPr>
        <w:t>Z</w:t>
      </w:r>
      <w:r w:rsidR="001A33C3" w:rsidRPr="005138D5">
        <w:rPr>
          <w:bCs/>
          <w:i/>
          <w:sz w:val="22"/>
          <w:u w:val="single"/>
        </w:rPr>
        <w:t>aburzenia czynności wątroby</w:t>
      </w:r>
    </w:p>
    <w:p w14:paraId="6A396B7F" w14:textId="77777777" w:rsidR="00575F5E" w:rsidRPr="005138D5" w:rsidRDefault="00575F5E" w:rsidP="00A41668">
      <w:pPr>
        <w:widowControl/>
        <w:rPr>
          <w:bCs/>
          <w:sz w:val="22"/>
        </w:rPr>
      </w:pPr>
    </w:p>
    <w:p w14:paraId="37DDD62E" w14:textId="77777777" w:rsidR="00575F5E" w:rsidRPr="005138D5" w:rsidRDefault="00575F5E" w:rsidP="00A41668">
      <w:pPr>
        <w:widowControl/>
        <w:rPr>
          <w:bCs/>
          <w:sz w:val="22"/>
        </w:rPr>
      </w:pPr>
      <w:r w:rsidRPr="005138D5">
        <w:rPr>
          <w:bCs/>
          <w:sz w:val="22"/>
        </w:rPr>
        <w:t>U pacjentów</w:t>
      </w:r>
      <w:r w:rsidR="00C807F9" w:rsidRPr="005138D5">
        <w:rPr>
          <w:bCs/>
          <w:sz w:val="22"/>
        </w:rPr>
        <w:t>, otrzymujących worykonazol,</w:t>
      </w:r>
      <w:r w:rsidRPr="005138D5">
        <w:rPr>
          <w:bCs/>
          <w:sz w:val="22"/>
        </w:rPr>
        <w:t xml:space="preserve"> z miernie lub umiarkowanie zaawansowaną marskością wątroby (Child-Pugh A i B) zaleca się podanie standardowej dawki nasycającej. Należy natomiast zmniejszyć o połowę dawkę podtrzymującą (patrz punkt 5.2).</w:t>
      </w:r>
    </w:p>
    <w:p w14:paraId="546E83E4" w14:textId="77777777" w:rsidR="00575F5E" w:rsidRPr="005138D5" w:rsidRDefault="00575F5E" w:rsidP="00A41668">
      <w:pPr>
        <w:widowControl/>
        <w:rPr>
          <w:bCs/>
          <w:sz w:val="22"/>
        </w:rPr>
      </w:pPr>
    </w:p>
    <w:p w14:paraId="2EC6B239" w14:textId="77777777" w:rsidR="00906CC4" w:rsidRPr="005138D5" w:rsidRDefault="00575F5E" w:rsidP="00A41668">
      <w:pPr>
        <w:widowControl/>
        <w:rPr>
          <w:bCs/>
          <w:sz w:val="22"/>
        </w:rPr>
      </w:pPr>
      <w:r w:rsidRPr="005138D5">
        <w:rPr>
          <w:bCs/>
          <w:sz w:val="22"/>
        </w:rPr>
        <w:t xml:space="preserve">Nie badano </w:t>
      </w:r>
      <w:r w:rsidR="006A38E5" w:rsidRPr="005138D5">
        <w:rPr>
          <w:bCs/>
          <w:sz w:val="22"/>
        </w:rPr>
        <w:t xml:space="preserve">worykonazolu </w:t>
      </w:r>
      <w:r w:rsidRPr="005138D5">
        <w:rPr>
          <w:bCs/>
          <w:sz w:val="22"/>
        </w:rPr>
        <w:t>u pacjentów z ciężką przewlekłą marskością wątroby (Child</w:t>
      </w:r>
      <w:r w:rsidR="004B3E58" w:rsidRPr="005138D5">
        <w:rPr>
          <w:bCs/>
          <w:sz w:val="22"/>
        </w:rPr>
        <w:t xml:space="preserve"> </w:t>
      </w:r>
      <w:r w:rsidRPr="005138D5">
        <w:rPr>
          <w:bCs/>
          <w:sz w:val="22"/>
        </w:rPr>
        <w:t>-</w:t>
      </w:r>
      <w:r w:rsidR="004B3E58" w:rsidRPr="005138D5">
        <w:rPr>
          <w:bCs/>
          <w:sz w:val="22"/>
        </w:rPr>
        <w:t xml:space="preserve"> </w:t>
      </w:r>
      <w:r w:rsidRPr="005138D5">
        <w:rPr>
          <w:bCs/>
          <w:sz w:val="22"/>
        </w:rPr>
        <w:t>Pugh C).</w:t>
      </w:r>
    </w:p>
    <w:p w14:paraId="17AFF9DE" w14:textId="77777777" w:rsidR="00A620F7" w:rsidRPr="005138D5" w:rsidRDefault="00A620F7" w:rsidP="00A41668">
      <w:pPr>
        <w:widowControl/>
        <w:rPr>
          <w:bCs/>
          <w:sz w:val="22"/>
        </w:rPr>
      </w:pPr>
    </w:p>
    <w:p w14:paraId="55118639" w14:textId="77777777" w:rsidR="001A33C3" w:rsidRPr="005138D5" w:rsidRDefault="001A33C3" w:rsidP="00A41668">
      <w:pPr>
        <w:widowControl/>
        <w:rPr>
          <w:bCs/>
          <w:sz w:val="22"/>
        </w:rPr>
      </w:pPr>
      <w:r w:rsidRPr="005138D5">
        <w:rPr>
          <w:bCs/>
          <w:sz w:val="22"/>
        </w:rPr>
        <w:t xml:space="preserve">Dostępne są ograniczone dane dotyczące bezpieczeństwa stosowania produktu leczniczego </w:t>
      </w:r>
      <w:r w:rsidR="004B1FD5" w:rsidRPr="005138D5">
        <w:rPr>
          <w:bCs/>
          <w:sz w:val="22"/>
        </w:rPr>
        <w:t>Voriconazole Accord</w:t>
      </w:r>
      <w:r w:rsidRPr="005138D5">
        <w:rPr>
          <w:bCs/>
          <w:sz w:val="22"/>
        </w:rPr>
        <w:t xml:space="preserve"> u pacjentów z nieprawidłowymi wynikami testów czynności wątroby (aktywność aminotransferazy asparaginianowej [</w:t>
      </w:r>
      <w:r w:rsidRPr="005138D5">
        <w:rPr>
          <w:sz w:val="22"/>
        </w:rPr>
        <w:t>AspAT</w:t>
      </w:r>
      <w:r w:rsidRPr="005138D5">
        <w:rPr>
          <w:bCs/>
          <w:sz w:val="22"/>
        </w:rPr>
        <w:t>], aminotransferazy alaninowej [AlAT], fosfatazy zasadowej [ALP] lub stężenie bilirubiny całkowitej ponad pięciokrotnie przekraczające wartości górnej granicy normy).</w:t>
      </w:r>
    </w:p>
    <w:p w14:paraId="1C572AFA" w14:textId="77777777" w:rsidR="001A33C3" w:rsidRPr="005138D5" w:rsidRDefault="001A33C3" w:rsidP="00A41668">
      <w:pPr>
        <w:widowControl/>
        <w:rPr>
          <w:bCs/>
          <w:sz w:val="22"/>
        </w:rPr>
      </w:pPr>
    </w:p>
    <w:p w14:paraId="57186C5F" w14:textId="77777777" w:rsidR="003E200E" w:rsidRPr="005138D5" w:rsidRDefault="00575F5E" w:rsidP="00A41668">
      <w:pPr>
        <w:widowControl/>
        <w:rPr>
          <w:bCs/>
          <w:sz w:val="22"/>
        </w:rPr>
      </w:pPr>
      <w:r w:rsidRPr="005138D5">
        <w:rPr>
          <w:bCs/>
          <w:sz w:val="22"/>
        </w:rPr>
        <w:t xml:space="preserve">Podanie </w:t>
      </w:r>
      <w:r w:rsidR="006A38E5" w:rsidRPr="005138D5">
        <w:rPr>
          <w:bCs/>
          <w:sz w:val="22"/>
        </w:rPr>
        <w:t xml:space="preserve">worykonazolu </w:t>
      </w:r>
      <w:r w:rsidRPr="005138D5">
        <w:rPr>
          <w:bCs/>
          <w:sz w:val="22"/>
        </w:rPr>
        <w:t xml:space="preserve">wiązało się ze zwiększeniem wartości testów czynności wątroby oraz klinicznymi objawami uszkodzenia wątroby, takimi jak żółtaczka. </w:t>
      </w:r>
    </w:p>
    <w:p w14:paraId="5F025126" w14:textId="77777777" w:rsidR="00575F5E" w:rsidRPr="005138D5" w:rsidRDefault="00575F5E" w:rsidP="00A41668">
      <w:pPr>
        <w:widowControl/>
        <w:rPr>
          <w:bCs/>
          <w:sz w:val="22"/>
        </w:rPr>
      </w:pPr>
      <w:r w:rsidRPr="005138D5">
        <w:rPr>
          <w:bCs/>
          <w:sz w:val="22"/>
        </w:rPr>
        <w:t xml:space="preserve">U pacjentów z ciężkim uszkodzeniem wątroby, </w:t>
      </w:r>
      <w:r w:rsidR="00E37C17" w:rsidRPr="005138D5">
        <w:rPr>
          <w:bCs/>
          <w:sz w:val="22"/>
        </w:rPr>
        <w:t xml:space="preserve"> </w:t>
      </w:r>
      <w:r w:rsidR="006A38E5" w:rsidRPr="005138D5">
        <w:rPr>
          <w:bCs/>
          <w:sz w:val="22"/>
        </w:rPr>
        <w:t>worykonazol</w:t>
      </w:r>
      <w:r w:rsidRPr="005138D5">
        <w:rPr>
          <w:bCs/>
          <w:sz w:val="22"/>
        </w:rPr>
        <w:t xml:space="preserve"> należy stosować tylko wówczas, kiedy korzyść przeważa potencjalne ryzyko. Pacjentów z </w:t>
      </w:r>
      <w:r w:rsidR="001A33C3" w:rsidRPr="005138D5">
        <w:rPr>
          <w:bCs/>
          <w:sz w:val="22"/>
        </w:rPr>
        <w:t xml:space="preserve">ciężkimi </w:t>
      </w:r>
      <w:r w:rsidRPr="005138D5">
        <w:rPr>
          <w:bCs/>
          <w:sz w:val="22"/>
        </w:rPr>
        <w:t>zaburzeniami czynności wątroby należy monitorować ze względu na toksyczność leku (patrz punkt 4.8).</w:t>
      </w:r>
    </w:p>
    <w:p w14:paraId="76F01A6F" w14:textId="77777777" w:rsidR="00575F5E" w:rsidRPr="005138D5" w:rsidRDefault="00575F5E" w:rsidP="00A41668">
      <w:pPr>
        <w:widowControl/>
        <w:rPr>
          <w:bCs/>
          <w:sz w:val="22"/>
        </w:rPr>
      </w:pPr>
    </w:p>
    <w:p w14:paraId="74330949" w14:textId="77777777" w:rsidR="00E868F7" w:rsidRPr="005138D5" w:rsidRDefault="00E868F7" w:rsidP="00967C3B">
      <w:pPr>
        <w:rPr>
          <w:bCs/>
          <w:i/>
          <w:sz w:val="22"/>
        </w:rPr>
      </w:pPr>
      <w:r w:rsidRPr="005138D5">
        <w:rPr>
          <w:bCs/>
          <w:i/>
          <w:sz w:val="22"/>
        </w:rPr>
        <w:t>Dzieci i m</w:t>
      </w:r>
      <w:r w:rsidR="004735D8" w:rsidRPr="005138D5">
        <w:rPr>
          <w:bCs/>
          <w:i/>
          <w:sz w:val="22"/>
        </w:rPr>
        <w:t>ł</w:t>
      </w:r>
      <w:r w:rsidRPr="005138D5">
        <w:rPr>
          <w:bCs/>
          <w:i/>
          <w:sz w:val="22"/>
        </w:rPr>
        <w:t>odzież</w:t>
      </w:r>
    </w:p>
    <w:p w14:paraId="64F82430" w14:textId="77777777" w:rsidR="007453FE" w:rsidRPr="005138D5" w:rsidRDefault="00967C3B" w:rsidP="00967C3B">
      <w:pPr>
        <w:rPr>
          <w:spacing w:val="-3"/>
          <w:sz w:val="22"/>
          <w:u w:val="single"/>
        </w:rPr>
      </w:pPr>
      <w:r w:rsidRPr="005138D5">
        <w:rPr>
          <w:bCs/>
          <w:sz w:val="22"/>
        </w:rPr>
        <w:t xml:space="preserve">Nie ustalono bezpieczeństwa i skuteczności </w:t>
      </w:r>
      <w:r w:rsidR="006A38E5" w:rsidRPr="005138D5">
        <w:rPr>
          <w:bCs/>
          <w:sz w:val="22"/>
        </w:rPr>
        <w:t xml:space="preserve">worykonazolu </w:t>
      </w:r>
      <w:r w:rsidRPr="005138D5">
        <w:rPr>
          <w:bCs/>
          <w:sz w:val="22"/>
        </w:rPr>
        <w:t xml:space="preserve">u pacjentów </w:t>
      </w:r>
      <w:r w:rsidR="00052EE4" w:rsidRPr="005138D5">
        <w:rPr>
          <w:bCs/>
          <w:sz w:val="22"/>
        </w:rPr>
        <w:t xml:space="preserve">w wieku </w:t>
      </w:r>
      <w:r w:rsidRPr="005138D5">
        <w:rPr>
          <w:bCs/>
          <w:sz w:val="22"/>
        </w:rPr>
        <w:t>poniżej 2</w:t>
      </w:r>
      <w:r w:rsidR="00386A06" w:rsidRPr="005138D5">
        <w:rPr>
          <w:bCs/>
          <w:sz w:val="22"/>
        </w:rPr>
        <w:t> lat</w:t>
      </w:r>
      <w:r w:rsidRPr="005138D5">
        <w:rPr>
          <w:bCs/>
          <w:sz w:val="22"/>
        </w:rPr>
        <w:t>.</w:t>
      </w:r>
      <w:r w:rsidR="007453FE" w:rsidRPr="005138D5">
        <w:rPr>
          <w:sz w:val="22"/>
        </w:rPr>
        <w:t xml:space="preserve"> Dostępne dane opisano w punk</w:t>
      </w:r>
      <w:r w:rsidR="00A620F7" w:rsidRPr="005138D5">
        <w:rPr>
          <w:sz w:val="22"/>
        </w:rPr>
        <w:t>tach</w:t>
      </w:r>
      <w:r w:rsidR="007453FE" w:rsidRPr="005138D5">
        <w:rPr>
          <w:sz w:val="22"/>
        </w:rPr>
        <w:t xml:space="preserve"> 4.8 i 5.1</w:t>
      </w:r>
      <w:r w:rsidR="00D546FA" w:rsidRPr="005138D5">
        <w:rPr>
          <w:sz w:val="22"/>
        </w:rPr>
        <w:t>,</w:t>
      </w:r>
      <w:r w:rsidR="007453FE" w:rsidRPr="005138D5">
        <w:rPr>
          <w:sz w:val="22"/>
        </w:rPr>
        <w:t xml:space="preserve"> jednakże na ich podstawie nie można ustalić żadnych zaleceń dotyczących dawkowania. </w:t>
      </w:r>
    </w:p>
    <w:p w14:paraId="1E912A38" w14:textId="77777777" w:rsidR="00335884" w:rsidRPr="005138D5" w:rsidRDefault="00335884" w:rsidP="007453FE">
      <w:pPr>
        <w:pStyle w:val="Tekstpodstawowy"/>
        <w:rPr>
          <w:rFonts w:ascii="Times New Roman" w:hAnsi="Times New Roman"/>
          <w:spacing w:val="-3"/>
          <w:u w:val="single"/>
        </w:rPr>
      </w:pPr>
    </w:p>
    <w:p w14:paraId="420D6595" w14:textId="77777777" w:rsidR="007453FE" w:rsidRPr="005138D5" w:rsidRDefault="007453FE" w:rsidP="007453FE">
      <w:pPr>
        <w:pStyle w:val="Tekstpodstawowy"/>
        <w:rPr>
          <w:rFonts w:ascii="Times New Roman" w:hAnsi="Times New Roman"/>
          <w:spacing w:val="-3"/>
          <w:u w:val="single"/>
        </w:rPr>
      </w:pPr>
      <w:r w:rsidRPr="005138D5">
        <w:rPr>
          <w:rFonts w:ascii="Times New Roman" w:hAnsi="Times New Roman"/>
          <w:spacing w:val="-3"/>
          <w:u w:val="single"/>
        </w:rPr>
        <w:t>Sposób podawania</w:t>
      </w:r>
    </w:p>
    <w:p w14:paraId="16FEEAA9" w14:textId="77777777" w:rsidR="007453FE" w:rsidRPr="005138D5" w:rsidRDefault="007453FE" w:rsidP="007453FE">
      <w:pPr>
        <w:pStyle w:val="Tekstpodstawowy"/>
        <w:rPr>
          <w:rFonts w:ascii="Times New Roman" w:hAnsi="Times New Roman"/>
          <w:spacing w:val="-3"/>
        </w:rPr>
      </w:pPr>
      <w:r w:rsidRPr="005138D5">
        <w:rPr>
          <w:rFonts w:ascii="Times New Roman" w:hAnsi="Times New Roman"/>
          <w:spacing w:val="-3"/>
        </w:rPr>
        <w:t xml:space="preserve">Tabletki powlekane </w:t>
      </w:r>
      <w:r w:rsidR="006A38E5" w:rsidRPr="005138D5">
        <w:rPr>
          <w:rFonts w:ascii="Times New Roman" w:hAnsi="Times New Roman"/>
        </w:rPr>
        <w:t xml:space="preserve">Voriconazole Accord </w:t>
      </w:r>
      <w:r w:rsidRPr="005138D5">
        <w:rPr>
          <w:rFonts w:ascii="Times New Roman" w:hAnsi="Times New Roman"/>
          <w:spacing w:val="-3"/>
        </w:rPr>
        <w:t>powinny być przyjmowane co najmniej</w:t>
      </w:r>
      <w:r w:rsidR="00386A06" w:rsidRPr="005138D5">
        <w:rPr>
          <w:rFonts w:ascii="Times New Roman" w:hAnsi="Times New Roman"/>
          <w:spacing w:val="-3"/>
        </w:rPr>
        <w:t> godzin</w:t>
      </w:r>
      <w:r w:rsidRPr="005138D5">
        <w:rPr>
          <w:rFonts w:ascii="Times New Roman" w:hAnsi="Times New Roman"/>
          <w:spacing w:val="-3"/>
        </w:rPr>
        <w:t>ę przed posiłkiem lub</w:t>
      </w:r>
      <w:r w:rsidR="00386A06" w:rsidRPr="005138D5">
        <w:rPr>
          <w:rFonts w:ascii="Times New Roman" w:hAnsi="Times New Roman"/>
          <w:spacing w:val="-3"/>
        </w:rPr>
        <w:t> godzin</w:t>
      </w:r>
      <w:r w:rsidRPr="005138D5">
        <w:rPr>
          <w:rFonts w:ascii="Times New Roman" w:hAnsi="Times New Roman"/>
          <w:spacing w:val="-3"/>
        </w:rPr>
        <w:t xml:space="preserve">ę po posiłku. </w:t>
      </w:r>
    </w:p>
    <w:p w14:paraId="4C7D0D97" w14:textId="77777777" w:rsidR="009E0D45" w:rsidRPr="005138D5" w:rsidRDefault="009E0D45" w:rsidP="00A41668">
      <w:pPr>
        <w:widowControl/>
        <w:rPr>
          <w:bCs/>
          <w:sz w:val="22"/>
        </w:rPr>
      </w:pPr>
    </w:p>
    <w:p w14:paraId="747F3C88" w14:textId="77777777" w:rsidR="00575F5E" w:rsidRPr="005138D5" w:rsidRDefault="00575F5E" w:rsidP="00A41668">
      <w:pPr>
        <w:widowControl/>
        <w:rPr>
          <w:b/>
          <w:sz w:val="22"/>
        </w:rPr>
      </w:pPr>
      <w:r w:rsidRPr="005138D5">
        <w:rPr>
          <w:b/>
          <w:sz w:val="22"/>
        </w:rPr>
        <w:t>4.3</w:t>
      </w:r>
      <w:r w:rsidRPr="005138D5">
        <w:rPr>
          <w:b/>
          <w:sz w:val="22"/>
        </w:rPr>
        <w:tab/>
        <w:t>Przeciwwskazania</w:t>
      </w:r>
    </w:p>
    <w:p w14:paraId="50423613" w14:textId="77777777" w:rsidR="00575F5E" w:rsidRPr="005138D5" w:rsidRDefault="00575F5E" w:rsidP="00A41668">
      <w:pPr>
        <w:widowControl/>
        <w:rPr>
          <w:b/>
          <w:sz w:val="22"/>
        </w:rPr>
      </w:pPr>
    </w:p>
    <w:p w14:paraId="17215CBC" w14:textId="77777777" w:rsidR="003E200E" w:rsidRPr="005138D5" w:rsidRDefault="00575F5E" w:rsidP="00A41668">
      <w:pPr>
        <w:pStyle w:val="Tekstpodstawowy"/>
        <w:rPr>
          <w:rFonts w:ascii="Times New Roman" w:hAnsi="Times New Roman"/>
          <w:spacing w:val="-3"/>
        </w:rPr>
      </w:pPr>
      <w:r w:rsidRPr="005138D5">
        <w:rPr>
          <w:rFonts w:ascii="Times New Roman" w:hAnsi="Times New Roman"/>
          <w:spacing w:val="-3"/>
        </w:rPr>
        <w:t>Nadwrażliwość na substancję czynną lub na którąkolwiek substancję pomocniczą</w:t>
      </w:r>
      <w:r w:rsidR="00AC2858" w:rsidRPr="005138D5">
        <w:rPr>
          <w:rFonts w:ascii="Times New Roman" w:hAnsi="Times New Roman"/>
          <w:spacing w:val="-3"/>
        </w:rPr>
        <w:t xml:space="preserve"> wymienioną </w:t>
      </w:r>
    </w:p>
    <w:p w14:paraId="75EF4600" w14:textId="77777777" w:rsidR="00575F5E" w:rsidRPr="005138D5" w:rsidRDefault="00AC2858" w:rsidP="00A41668">
      <w:pPr>
        <w:pStyle w:val="Tekstpodstawowy"/>
        <w:rPr>
          <w:rFonts w:ascii="Times New Roman" w:hAnsi="Times New Roman"/>
          <w:spacing w:val="-3"/>
        </w:rPr>
      </w:pPr>
      <w:r w:rsidRPr="005138D5">
        <w:rPr>
          <w:rFonts w:ascii="Times New Roman" w:hAnsi="Times New Roman"/>
          <w:spacing w:val="-3"/>
        </w:rPr>
        <w:t>w punkcie 6.1</w:t>
      </w:r>
      <w:r w:rsidR="00575F5E" w:rsidRPr="005138D5">
        <w:rPr>
          <w:rFonts w:ascii="Times New Roman" w:hAnsi="Times New Roman"/>
          <w:spacing w:val="-3"/>
        </w:rPr>
        <w:t>.</w:t>
      </w:r>
    </w:p>
    <w:p w14:paraId="775D668E" w14:textId="77777777" w:rsidR="00575F5E" w:rsidRPr="005138D5" w:rsidRDefault="00575F5E" w:rsidP="00A41668">
      <w:pPr>
        <w:rPr>
          <w:spacing w:val="-3"/>
          <w:sz w:val="22"/>
        </w:rPr>
      </w:pPr>
    </w:p>
    <w:p w14:paraId="55345FD4" w14:textId="77777777" w:rsidR="00575F5E" w:rsidRPr="005138D5" w:rsidRDefault="00CB26C2" w:rsidP="00A41668">
      <w:pPr>
        <w:rPr>
          <w:spacing w:val="-3"/>
          <w:sz w:val="22"/>
        </w:rPr>
      </w:pPr>
      <w:r w:rsidRPr="005138D5">
        <w:rPr>
          <w:spacing w:val="-3"/>
          <w:sz w:val="22"/>
        </w:rPr>
        <w:t>Jednoczesne podawanie</w:t>
      </w:r>
      <w:r w:rsidR="00575F5E" w:rsidRPr="005138D5">
        <w:rPr>
          <w:spacing w:val="-3"/>
          <w:sz w:val="22"/>
        </w:rPr>
        <w:t xml:space="preserve"> z substratami CYP3A4, terfenadyną, astemizolem, cyzaprydem, pimozydem</w:t>
      </w:r>
      <w:r w:rsidR="005113EF">
        <w:rPr>
          <w:spacing w:val="-3"/>
          <w:sz w:val="22"/>
        </w:rPr>
        <w:t xml:space="preserve">, </w:t>
      </w:r>
      <w:r w:rsidR="00575F5E" w:rsidRPr="005138D5">
        <w:rPr>
          <w:spacing w:val="-3"/>
          <w:sz w:val="22"/>
        </w:rPr>
        <w:t xml:space="preserve"> chinidyną</w:t>
      </w:r>
      <w:r w:rsidR="005113EF">
        <w:rPr>
          <w:spacing w:val="-3"/>
          <w:sz w:val="22"/>
        </w:rPr>
        <w:t xml:space="preserve"> lub iwabradyną</w:t>
      </w:r>
      <w:r w:rsidR="00575F5E" w:rsidRPr="005138D5">
        <w:rPr>
          <w:spacing w:val="-3"/>
          <w:sz w:val="22"/>
        </w:rPr>
        <w:t xml:space="preserve">, ponieważ zwiększone stężenie tych leków w osoczu może prowadzić do wydłużenia QTc oraz rzadko do występowania zaburzeń rytmu typu </w:t>
      </w:r>
      <w:r w:rsidR="00575F5E" w:rsidRPr="005138D5">
        <w:rPr>
          <w:i/>
          <w:iCs/>
          <w:spacing w:val="-3"/>
          <w:sz w:val="22"/>
        </w:rPr>
        <w:t>torsades de pointes</w:t>
      </w:r>
      <w:r w:rsidR="00575F5E" w:rsidRPr="005138D5">
        <w:rPr>
          <w:spacing w:val="-3"/>
          <w:sz w:val="22"/>
        </w:rPr>
        <w:t xml:space="preserve"> (patrz punkt 4.5).</w:t>
      </w:r>
    </w:p>
    <w:p w14:paraId="554D26CD" w14:textId="77777777" w:rsidR="00575F5E" w:rsidRPr="005138D5" w:rsidRDefault="00575F5E" w:rsidP="00A41668">
      <w:pPr>
        <w:rPr>
          <w:spacing w:val="-3"/>
          <w:sz w:val="22"/>
        </w:rPr>
      </w:pPr>
    </w:p>
    <w:p w14:paraId="0BD657B3" w14:textId="77777777" w:rsidR="00575F5E" w:rsidRPr="005138D5" w:rsidRDefault="00CB26C2" w:rsidP="00A41668">
      <w:pPr>
        <w:rPr>
          <w:spacing w:val="-3"/>
          <w:sz w:val="22"/>
        </w:rPr>
      </w:pPr>
      <w:r w:rsidRPr="005138D5">
        <w:rPr>
          <w:spacing w:val="-3"/>
          <w:sz w:val="22"/>
        </w:rPr>
        <w:t>Jednoczesne podawanie</w:t>
      </w:r>
      <w:r w:rsidR="00575F5E" w:rsidRPr="005138D5">
        <w:rPr>
          <w:spacing w:val="-3"/>
          <w:sz w:val="22"/>
        </w:rPr>
        <w:t xml:space="preserve"> z ryfampicyną, karbamazepiną</w:t>
      </w:r>
      <w:r w:rsidR="00D56734">
        <w:rPr>
          <w:spacing w:val="-3"/>
          <w:sz w:val="22"/>
        </w:rPr>
        <w:t>,</w:t>
      </w:r>
      <w:r w:rsidR="00575F5E" w:rsidRPr="005138D5">
        <w:rPr>
          <w:spacing w:val="-3"/>
          <w:sz w:val="22"/>
        </w:rPr>
        <w:t xml:space="preserve">  fenobarbitalem</w:t>
      </w:r>
      <w:r w:rsidR="00D56734">
        <w:rPr>
          <w:spacing w:val="-3"/>
          <w:sz w:val="22"/>
        </w:rPr>
        <w:t xml:space="preserve"> lub zielem dziurawca</w:t>
      </w:r>
      <w:r w:rsidR="00575F5E" w:rsidRPr="005138D5">
        <w:rPr>
          <w:spacing w:val="-3"/>
          <w:sz w:val="22"/>
        </w:rPr>
        <w:t xml:space="preserve">, </w:t>
      </w:r>
      <w:r w:rsidRPr="005138D5">
        <w:rPr>
          <w:spacing w:val="-3"/>
          <w:sz w:val="22"/>
        </w:rPr>
        <w:t>może</w:t>
      </w:r>
      <w:r w:rsidR="00575F5E" w:rsidRPr="005138D5">
        <w:rPr>
          <w:spacing w:val="-3"/>
          <w:sz w:val="22"/>
        </w:rPr>
        <w:t xml:space="preserve"> znacząco zmniejsza</w:t>
      </w:r>
      <w:r w:rsidRPr="005138D5">
        <w:rPr>
          <w:spacing w:val="-3"/>
          <w:sz w:val="22"/>
        </w:rPr>
        <w:t xml:space="preserve">ć </w:t>
      </w:r>
      <w:r w:rsidR="00575F5E" w:rsidRPr="005138D5">
        <w:rPr>
          <w:spacing w:val="-3"/>
          <w:sz w:val="22"/>
        </w:rPr>
        <w:t xml:space="preserve"> stężenie worykonazolu w osoczu (patrz punkt 4.5).</w:t>
      </w:r>
    </w:p>
    <w:p w14:paraId="38EF1D9C" w14:textId="77777777" w:rsidR="001A33C3" w:rsidRPr="005138D5" w:rsidRDefault="001A33C3" w:rsidP="00A41668">
      <w:pPr>
        <w:rPr>
          <w:spacing w:val="-3"/>
          <w:sz w:val="22"/>
        </w:rPr>
      </w:pPr>
    </w:p>
    <w:p w14:paraId="484FAA43" w14:textId="77777777" w:rsidR="001A33C3" w:rsidRPr="005138D5" w:rsidRDefault="001A33C3" w:rsidP="00A41668">
      <w:pPr>
        <w:rPr>
          <w:spacing w:val="-3"/>
          <w:sz w:val="22"/>
        </w:rPr>
      </w:pPr>
      <w:r w:rsidRPr="005138D5">
        <w:rPr>
          <w:spacing w:val="-3"/>
          <w:sz w:val="22"/>
        </w:rPr>
        <w:t>Jednoczesne podawanie standardowej dawki worykonazolu z efawirenzem w dawce 400 mg raz na dobę lub większej jest przeciwwskazane, ponieważ efawirenz znacząco zmniejsza stężenie worykonazolu w osoczu u zdrowych ochotników, gdy jest stosowany w takich dawkach. Worykonazol również znacząco zwiększa stężenie efawirenzu w osoczu (patrz punkt 4.5, informacje o małych dawkach patrz punkt 4.4).</w:t>
      </w:r>
    </w:p>
    <w:p w14:paraId="334395D8" w14:textId="77777777" w:rsidR="00575F5E" w:rsidRPr="005138D5" w:rsidRDefault="00575F5E" w:rsidP="00A41668">
      <w:pPr>
        <w:rPr>
          <w:spacing w:val="-3"/>
          <w:sz w:val="22"/>
        </w:rPr>
      </w:pPr>
    </w:p>
    <w:p w14:paraId="42D86093" w14:textId="77777777" w:rsidR="00575F5E" w:rsidRPr="005138D5" w:rsidRDefault="00575F5E" w:rsidP="00A41668">
      <w:pPr>
        <w:rPr>
          <w:spacing w:val="-3"/>
          <w:sz w:val="22"/>
        </w:rPr>
      </w:pPr>
      <w:r w:rsidRPr="005138D5">
        <w:rPr>
          <w:spacing w:val="-3"/>
          <w:sz w:val="22"/>
        </w:rPr>
        <w:t xml:space="preserve">Jednoczesne podawanie </w:t>
      </w:r>
      <w:r w:rsidR="00CB26C2" w:rsidRPr="005138D5">
        <w:rPr>
          <w:spacing w:val="-3"/>
          <w:sz w:val="22"/>
        </w:rPr>
        <w:t>z</w:t>
      </w:r>
      <w:r w:rsidRPr="005138D5">
        <w:rPr>
          <w:spacing w:val="-3"/>
          <w:sz w:val="22"/>
        </w:rPr>
        <w:t xml:space="preserve"> </w:t>
      </w:r>
      <w:r w:rsidR="00CB26C2" w:rsidRPr="005138D5">
        <w:rPr>
          <w:spacing w:val="-3"/>
          <w:sz w:val="22"/>
        </w:rPr>
        <w:t xml:space="preserve">rytonawirem </w:t>
      </w:r>
      <w:r w:rsidRPr="005138D5">
        <w:rPr>
          <w:spacing w:val="-3"/>
          <w:sz w:val="22"/>
        </w:rPr>
        <w:t>w dużej dawce (400</w:t>
      </w:r>
      <w:r w:rsidR="00086D10" w:rsidRPr="005138D5">
        <w:rPr>
          <w:spacing w:val="-3"/>
          <w:sz w:val="22"/>
        </w:rPr>
        <w:t> mg</w:t>
      </w:r>
      <w:r w:rsidRPr="005138D5">
        <w:rPr>
          <w:spacing w:val="-3"/>
          <w:sz w:val="22"/>
        </w:rPr>
        <w:t xml:space="preserve"> dwa razy na dobę lub większej)</w:t>
      </w:r>
      <w:r w:rsidR="00CB26C2" w:rsidRPr="005138D5">
        <w:rPr>
          <w:spacing w:val="-3"/>
          <w:sz w:val="22"/>
        </w:rPr>
        <w:t>,</w:t>
      </w:r>
      <w:r w:rsidRPr="005138D5">
        <w:rPr>
          <w:spacing w:val="-3"/>
          <w:sz w:val="22"/>
        </w:rPr>
        <w:t xml:space="preserve"> ponieważ rytonawir znacząco zmniejsza stężenie worykonazolu w osoczu u zdrowych ochotników, gdy jest stosowany w takiej dawce (patrz punkt 4.5, informacje o małych dawkach patrz punkt 4.4).</w:t>
      </w:r>
    </w:p>
    <w:p w14:paraId="01FDD0D5" w14:textId="77777777" w:rsidR="00D63D85" w:rsidRPr="005138D5" w:rsidRDefault="00D63D85" w:rsidP="003405DD">
      <w:pPr>
        <w:rPr>
          <w:sz w:val="22"/>
        </w:rPr>
      </w:pPr>
    </w:p>
    <w:p w14:paraId="01411E4D" w14:textId="77777777" w:rsidR="00575F5E" w:rsidRPr="005138D5" w:rsidRDefault="00575F5E" w:rsidP="00277FE6">
      <w:pPr>
        <w:rPr>
          <w:sz w:val="22"/>
        </w:rPr>
      </w:pPr>
      <w:r w:rsidRPr="005138D5">
        <w:rPr>
          <w:sz w:val="22"/>
        </w:rPr>
        <w:t>Jednoczesne podawanie alkaloidów sporyszu (ergotaminy, dihydroergotaminy), które są substratami CYP3A4 ze względu na to, że zwiększone stężenie tych leków w osoczu może prowadzić do zatrucia alkaloidami sporyszu (patrz punkt 4.5).</w:t>
      </w:r>
    </w:p>
    <w:p w14:paraId="3A3415D1" w14:textId="77777777" w:rsidR="00575F5E" w:rsidRPr="005138D5" w:rsidRDefault="00575F5E" w:rsidP="00A41668">
      <w:pPr>
        <w:rPr>
          <w:spacing w:val="-3"/>
          <w:sz w:val="22"/>
        </w:rPr>
      </w:pPr>
    </w:p>
    <w:p w14:paraId="7B35B2FB" w14:textId="77777777" w:rsidR="00575F5E" w:rsidRPr="005138D5" w:rsidRDefault="00AE7208" w:rsidP="00A41668">
      <w:pPr>
        <w:rPr>
          <w:spacing w:val="-3"/>
          <w:sz w:val="22"/>
        </w:rPr>
      </w:pPr>
      <w:r w:rsidRPr="005138D5">
        <w:rPr>
          <w:spacing w:val="-3"/>
          <w:sz w:val="22"/>
        </w:rPr>
        <w:t xml:space="preserve">Jednoczesne podawanie </w:t>
      </w:r>
      <w:r w:rsidR="00575F5E" w:rsidRPr="005138D5">
        <w:rPr>
          <w:spacing w:val="-3"/>
          <w:sz w:val="22"/>
        </w:rPr>
        <w:t>z syrolimusem, może znacząco zwiększać jego stężenie w osoczu (patrz punkt 4.5).</w:t>
      </w:r>
    </w:p>
    <w:p w14:paraId="56203FE4" w14:textId="77777777" w:rsidR="00575F5E" w:rsidRPr="005138D5" w:rsidRDefault="00575F5E" w:rsidP="00A41668">
      <w:pPr>
        <w:rPr>
          <w:spacing w:val="-3"/>
          <w:sz w:val="22"/>
        </w:rPr>
      </w:pPr>
    </w:p>
    <w:p w14:paraId="2E3FFFA5" w14:textId="77777777" w:rsidR="00D56734" w:rsidRDefault="00D56734" w:rsidP="00A41668">
      <w:pPr>
        <w:rPr>
          <w:spacing w:val="-3"/>
          <w:sz w:val="22"/>
        </w:rPr>
      </w:pPr>
    </w:p>
    <w:p w14:paraId="683F3368" w14:textId="77777777" w:rsidR="00D56734" w:rsidRPr="00D56734" w:rsidRDefault="00D56734" w:rsidP="00D56734">
      <w:pPr>
        <w:rPr>
          <w:spacing w:val="-3"/>
          <w:sz w:val="22"/>
        </w:rPr>
      </w:pPr>
      <w:r w:rsidRPr="00D56734">
        <w:rPr>
          <w:spacing w:val="-3"/>
          <w:sz w:val="22"/>
        </w:rPr>
        <w:t>Jednoczesne podawanie worykonazolu z naloksegolem, substratem CYP3A4, ponieważ zwiększone</w:t>
      </w:r>
    </w:p>
    <w:p w14:paraId="5BA40E25" w14:textId="77777777" w:rsidR="00D56734" w:rsidRDefault="00D56734" w:rsidP="00D56734">
      <w:pPr>
        <w:rPr>
          <w:spacing w:val="-3"/>
          <w:sz w:val="22"/>
        </w:rPr>
      </w:pPr>
      <w:r w:rsidRPr="00D56734">
        <w:rPr>
          <w:spacing w:val="-3"/>
          <w:sz w:val="22"/>
        </w:rPr>
        <w:t>stężenie naloksegolu w osoczu może wywołać objawy odstawienia opioidów (patrz punkt 4.5).</w:t>
      </w:r>
    </w:p>
    <w:p w14:paraId="3FBF9AD3" w14:textId="77777777" w:rsidR="00D56734" w:rsidRPr="00D56734" w:rsidRDefault="00D56734" w:rsidP="00D56734">
      <w:pPr>
        <w:rPr>
          <w:spacing w:val="-3"/>
          <w:sz w:val="22"/>
        </w:rPr>
      </w:pPr>
    </w:p>
    <w:p w14:paraId="34A37462" w14:textId="77777777" w:rsidR="00D56734" w:rsidRPr="00D56734" w:rsidRDefault="00D56734" w:rsidP="00D56734">
      <w:pPr>
        <w:rPr>
          <w:spacing w:val="-3"/>
          <w:sz w:val="22"/>
        </w:rPr>
      </w:pPr>
      <w:r w:rsidRPr="00D56734">
        <w:rPr>
          <w:spacing w:val="-3"/>
          <w:sz w:val="22"/>
        </w:rPr>
        <w:t>Jednoczesne podawanie worykonazolu z tolwaptanem, ponieważ silne inhibitory CYP3A4, takie jak</w:t>
      </w:r>
    </w:p>
    <w:p w14:paraId="7DB4A45F" w14:textId="77777777" w:rsidR="00D56734" w:rsidRDefault="00D56734" w:rsidP="00D56734">
      <w:pPr>
        <w:rPr>
          <w:spacing w:val="-3"/>
          <w:sz w:val="22"/>
        </w:rPr>
      </w:pPr>
      <w:r w:rsidRPr="00D56734">
        <w:rPr>
          <w:spacing w:val="-3"/>
          <w:sz w:val="22"/>
        </w:rPr>
        <w:t>worykonazol, znacząco zwiększają stężenie tolwaptanu w osoczu (patrz punkt 4.5).</w:t>
      </w:r>
    </w:p>
    <w:p w14:paraId="1612C960" w14:textId="77777777" w:rsidR="00D56734" w:rsidRPr="00D56734" w:rsidRDefault="00D56734" w:rsidP="00D56734">
      <w:pPr>
        <w:rPr>
          <w:spacing w:val="-3"/>
          <w:sz w:val="22"/>
        </w:rPr>
      </w:pPr>
    </w:p>
    <w:p w14:paraId="69C41AE6" w14:textId="77777777" w:rsidR="00D56734" w:rsidRPr="00D56734" w:rsidRDefault="00D56734" w:rsidP="00D56734">
      <w:pPr>
        <w:rPr>
          <w:spacing w:val="-3"/>
          <w:sz w:val="22"/>
        </w:rPr>
      </w:pPr>
      <w:r w:rsidRPr="00D56734">
        <w:rPr>
          <w:spacing w:val="-3"/>
          <w:sz w:val="22"/>
        </w:rPr>
        <w:t>Jednoczesne podawanie worykonazolu z lurazydonem, ponieważ znaczne zwiększenie ekspozycji</w:t>
      </w:r>
    </w:p>
    <w:p w14:paraId="2348DE25" w14:textId="77777777" w:rsidR="00D56734" w:rsidRDefault="00D56734" w:rsidP="00D56734">
      <w:pPr>
        <w:rPr>
          <w:spacing w:val="-3"/>
          <w:sz w:val="22"/>
        </w:rPr>
      </w:pPr>
      <w:r w:rsidRPr="00D56734">
        <w:rPr>
          <w:spacing w:val="-3"/>
          <w:sz w:val="22"/>
        </w:rPr>
        <w:t>na lurazydon może powodować ciężkie działania niepożądane (patrz punkt 4.5).</w:t>
      </w:r>
      <w:r w:rsidRPr="00D56734">
        <w:rPr>
          <w:spacing w:val="-3"/>
          <w:sz w:val="22"/>
        </w:rPr>
        <w:cr/>
      </w:r>
    </w:p>
    <w:p w14:paraId="3D7EFD32" w14:textId="77777777" w:rsidR="005113EF" w:rsidRPr="005113EF" w:rsidRDefault="005113EF" w:rsidP="005113EF">
      <w:pPr>
        <w:rPr>
          <w:spacing w:val="-3"/>
          <w:sz w:val="22"/>
        </w:rPr>
      </w:pPr>
      <w:r w:rsidRPr="005113EF">
        <w:rPr>
          <w:spacing w:val="-3"/>
          <w:sz w:val="22"/>
        </w:rPr>
        <w:t>Jednoczesne podawanie z wenetoklaksem na początku jego stosowania oraz w fazie dostosowania</w:t>
      </w:r>
    </w:p>
    <w:p w14:paraId="4BC43324" w14:textId="77777777" w:rsidR="005113EF" w:rsidRPr="005113EF" w:rsidRDefault="005113EF" w:rsidP="005113EF">
      <w:pPr>
        <w:rPr>
          <w:spacing w:val="-3"/>
          <w:sz w:val="22"/>
        </w:rPr>
      </w:pPr>
      <w:r w:rsidRPr="005113EF">
        <w:rPr>
          <w:spacing w:val="-3"/>
          <w:sz w:val="22"/>
        </w:rPr>
        <w:t>dawki wenetoklaksu, ponieważ worykonazol może znacząco zwiększać stężenie wenetoklaksu</w:t>
      </w:r>
    </w:p>
    <w:p w14:paraId="40EACCF6" w14:textId="77777777" w:rsidR="005113EF" w:rsidRPr="005138D5" w:rsidRDefault="005113EF" w:rsidP="005113EF">
      <w:pPr>
        <w:rPr>
          <w:spacing w:val="-3"/>
          <w:sz w:val="22"/>
        </w:rPr>
      </w:pPr>
      <w:r w:rsidRPr="005113EF">
        <w:rPr>
          <w:spacing w:val="-3"/>
          <w:sz w:val="22"/>
        </w:rPr>
        <w:t>w osoczu i zwiększać ryzyko zespołu rozpadu guza (patrz punkt 4.5).</w:t>
      </w:r>
      <w:r w:rsidRPr="005113EF">
        <w:rPr>
          <w:spacing w:val="-3"/>
          <w:sz w:val="22"/>
        </w:rPr>
        <w:cr/>
      </w:r>
    </w:p>
    <w:p w14:paraId="0AC5CDE4" w14:textId="77777777" w:rsidR="00575F5E" w:rsidRPr="005138D5" w:rsidRDefault="00575F5E" w:rsidP="00A41668">
      <w:pPr>
        <w:rPr>
          <w:spacing w:val="-3"/>
          <w:sz w:val="22"/>
        </w:rPr>
      </w:pPr>
    </w:p>
    <w:p w14:paraId="6178531B" w14:textId="77777777" w:rsidR="00575F5E" w:rsidRPr="005138D5" w:rsidRDefault="00575F5E" w:rsidP="00A41668">
      <w:pPr>
        <w:pStyle w:val="Naglwek1"/>
        <w:keepNext w:val="0"/>
        <w:widowControl w:val="0"/>
        <w:numPr>
          <w:ilvl w:val="1"/>
          <w:numId w:val="7"/>
        </w:numPr>
        <w:spacing w:before="0" w:after="0"/>
        <w:rPr>
          <w:rFonts w:ascii="Times New Roman" w:hAnsi="Times New Roman"/>
          <w:caps w:val="0"/>
          <w:spacing w:val="-3"/>
          <w:sz w:val="22"/>
          <w:lang w:val="pl-PL"/>
        </w:rPr>
      </w:pPr>
      <w:r w:rsidRPr="005138D5">
        <w:rPr>
          <w:rFonts w:ascii="Times New Roman" w:hAnsi="Times New Roman"/>
          <w:caps w:val="0"/>
          <w:spacing w:val="-3"/>
          <w:sz w:val="22"/>
          <w:lang w:val="pl-PL"/>
        </w:rPr>
        <w:t>Specjalne ostrzeżenia i środki ostrożności dotyczące stosowania</w:t>
      </w:r>
    </w:p>
    <w:p w14:paraId="60192440" w14:textId="77777777" w:rsidR="00575F5E" w:rsidRPr="005138D5" w:rsidRDefault="00575F5E" w:rsidP="00A41668">
      <w:pPr>
        <w:rPr>
          <w:sz w:val="22"/>
        </w:rPr>
      </w:pPr>
    </w:p>
    <w:p w14:paraId="3F90853D" w14:textId="77777777" w:rsidR="001E7DB6" w:rsidRPr="005138D5" w:rsidRDefault="00575F5E" w:rsidP="00A41668">
      <w:pPr>
        <w:pStyle w:val="Tekstpodstawowy2"/>
        <w:jc w:val="left"/>
        <w:rPr>
          <w:rFonts w:ascii="Times New Roman" w:hAnsi="Times New Roman"/>
          <w:bCs/>
          <w:u w:val="single"/>
        </w:rPr>
      </w:pPr>
      <w:r w:rsidRPr="005138D5">
        <w:rPr>
          <w:rFonts w:ascii="Times New Roman" w:hAnsi="Times New Roman"/>
          <w:bCs/>
          <w:u w:val="single"/>
        </w:rPr>
        <w:t>Nadwrażliwość</w:t>
      </w:r>
    </w:p>
    <w:p w14:paraId="265454C5" w14:textId="77777777" w:rsidR="00575F5E" w:rsidRPr="005138D5" w:rsidRDefault="00575F5E" w:rsidP="00A41668">
      <w:pPr>
        <w:pStyle w:val="Tekstpodstawowy2"/>
        <w:jc w:val="left"/>
        <w:rPr>
          <w:rFonts w:ascii="Times New Roman" w:hAnsi="Times New Roman"/>
          <w:bCs/>
        </w:rPr>
      </w:pPr>
      <w:r w:rsidRPr="005138D5">
        <w:rPr>
          <w:rFonts w:ascii="Times New Roman" w:hAnsi="Times New Roman"/>
          <w:bCs/>
        </w:rPr>
        <w:t xml:space="preserve">Należy zachować szczególną ostrożność przy przepisywaniu </w:t>
      </w:r>
      <w:r w:rsidR="001B49FD" w:rsidRPr="005138D5">
        <w:rPr>
          <w:rFonts w:ascii="Times New Roman" w:hAnsi="Times New Roman"/>
          <w:bCs/>
        </w:rPr>
        <w:t>produktu leczniczego</w:t>
      </w:r>
      <w:r w:rsidR="006A38E5" w:rsidRPr="005138D5">
        <w:rPr>
          <w:rFonts w:ascii="Times New Roman" w:hAnsi="Times New Roman"/>
          <w:bCs/>
        </w:rPr>
        <w:t xml:space="preserve"> </w:t>
      </w:r>
      <w:r w:rsidR="006A38E5" w:rsidRPr="005138D5">
        <w:rPr>
          <w:rFonts w:ascii="Times New Roman" w:hAnsi="Times New Roman"/>
        </w:rPr>
        <w:t xml:space="preserve">Voriconazole Accord </w:t>
      </w:r>
      <w:r w:rsidRPr="005138D5">
        <w:rPr>
          <w:rFonts w:ascii="Times New Roman" w:hAnsi="Times New Roman"/>
          <w:bCs/>
        </w:rPr>
        <w:t>pacjentom z nadwrażliwością na inne azole (patrz także punkt 4.8).</w:t>
      </w:r>
    </w:p>
    <w:p w14:paraId="0C44DAB8" w14:textId="77777777" w:rsidR="00575F5E" w:rsidRPr="005138D5" w:rsidRDefault="00575F5E" w:rsidP="00A41668">
      <w:pPr>
        <w:widowControl/>
        <w:rPr>
          <w:bCs/>
          <w:sz w:val="22"/>
        </w:rPr>
      </w:pPr>
    </w:p>
    <w:p w14:paraId="48876D74" w14:textId="77777777" w:rsidR="00575F5E" w:rsidRPr="005138D5" w:rsidRDefault="00575F5E" w:rsidP="00A41668">
      <w:pPr>
        <w:widowControl/>
        <w:rPr>
          <w:bCs/>
          <w:sz w:val="22"/>
          <w:u w:val="single"/>
        </w:rPr>
      </w:pPr>
      <w:r w:rsidRPr="005138D5">
        <w:rPr>
          <w:bCs/>
          <w:sz w:val="22"/>
          <w:u w:val="single"/>
        </w:rPr>
        <w:t>Zaburzenia sercowo</w:t>
      </w:r>
      <w:r w:rsidR="00092D71" w:rsidRPr="005138D5">
        <w:rPr>
          <w:bCs/>
          <w:sz w:val="22"/>
          <w:u w:val="single"/>
        </w:rPr>
        <w:t xml:space="preserve"> </w:t>
      </w:r>
      <w:r w:rsidRPr="005138D5">
        <w:rPr>
          <w:bCs/>
          <w:sz w:val="22"/>
          <w:u w:val="single"/>
        </w:rPr>
        <w:t>-</w:t>
      </w:r>
      <w:r w:rsidR="00092D71" w:rsidRPr="005138D5">
        <w:rPr>
          <w:bCs/>
          <w:sz w:val="22"/>
          <w:u w:val="single"/>
        </w:rPr>
        <w:t xml:space="preserve"> </w:t>
      </w:r>
      <w:r w:rsidRPr="005138D5">
        <w:rPr>
          <w:bCs/>
          <w:sz w:val="22"/>
          <w:u w:val="single"/>
        </w:rPr>
        <w:t>naczyniowe</w:t>
      </w:r>
    </w:p>
    <w:p w14:paraId="0E7EE637" w14:textId="77777777" w:rsidR="00575F5E" w:rsidRPr="005138D5" w:rsidRDefault="00575F5E" w:rsidP="00A41668">
      <w:pPr>
        <w:widowControl/>
        <w:rPr>
          <w:bCs/>
          <w:sz w:val="22"/>
        </w:rPr>
      </w:pPr>
      <w:r w:rsidRPr="005138D5">
        <w:rPr>
          <w:bCs/>
          <w:sz w:val="22"/>
        </w:rPr>
        <w:t>Stosowanie worykonazolu wiązało się z wydłużeniem odstępu QT</w:t>
      </w:r>
      <w:r w:rsidR="001A33C3" w:rsidRPr="005138D5">
        <w:rPr>
          <w:bCs/>
          <w:sz w:val="22"/>
        </w:rPr>
        <w:t>c</w:t>
      </w:r>
      <w:r w:rsidRPr="005138D5">
        <w:rPr>
          <w:bCs/>
          <w:sz w:val="22"/>
        </w:rPr>
        <w:t xml:space="preserve">. W rzadkich przypadkach dochodziło do wystąpienia zaburzeń rytmu typu </w:t>
      </w:r>
      <w:r w:rsidRPr="005138D5">
        <w:rPr>
          <w:bCs/>
          <w:i/>
          <w:sz w:val="22"/>
        </w:rPr>
        <w:t>torsades de pointes</w:t>
      </w:r>
      <w:r w:rsidRPr="005138D5">
        <w:rPr>
          <w:bCs/>
          <w:sz w:val="22"/>
        </w:rPr>
        <w:t xml:space="preserve"> u pacjentów przyjmujących worykonazol, obciążonych czynnikami ryzyka, takimi jak: wcześniejsza chemioterapia </w:t>
      </w:r>
      <w:r w:rsidR="00C351A3" w:rsidRPr="005138D5">
        <w:rPr>
          <w:bCs/>
          <w:sz w:val="22"/>
        </w:rPr>
        <w:t xml:space="preserve">produktami leczniczymi </w:t>
      </w:r>
      <w:r w:rsidRPr="005138D5">
        <w:rPr>
          <w:bCs/>
          <w:sz w:val="22"/>
        </w:rPr>
        <w:t>kardiotoksycznymi, kardiomiopatia, hipokal</w:t>
      </w:r>
      <w:r w:rsidR="007941AB" w:rsidRPr="005138D5">
        <w:rPr>
          <w:bCs/>
          <w:sz w:val="22"/>
        </w:rPr>
        <w:t>i</w:t>
      </w:r>
      <w:r w:rsidRPr="005138D5">
        <w:rPr>
          <w:bCs/>
          <w:sz w:val="22"/>
        </w:rPr>
        <w:t xml:space="preserve">emia i jednoczesne przyjmowanie </w:t>
      </w:r>
      <w:r w:rsidR="001E7DB6" w:rsidRPr="005138D5">
        <w:rPr>
          <w:bCs/>
          <w:sz w:val="22"/>
        </w:rPr>
        <w:t xml:space="preserve">produktów leczniczych </w:t>
      </w:r>
      <w:r w:rsidRPr="005138D5">
        <w:rPr>
          <w:bCs/>
          <w:sz w:val="22"/>
        </w:rPr>
        <w:t>mogących być przyczyną wystąpienia takich zaburzeń. Worykonazol należy stosować ostrożnie u pacjentów z następującymi czynnikami ryzyka, które mogą sprzyjać wystąpieniu zaburzeń rytmu serca:</w:t>
      </w:r>
    </w:p>
    <w:p w14:paraId="3552951D" w14:textId="77777777" w:rsidR="00575F5E" w:rsidRPr="005138D5" w:rsidRDefault="00575F5E" w:rsidP="00277FE6">
      <w:pPr>
        <w:numPr>
          <w:ilvl w:val="0"/>
          <w:numId w:val="55"/>
        </w:numPr>
        <w:ind w:left="567" w:hanging="567"/>
        <w:rPr>
          <w:sz w:val="22"/>
        </w:rPr>
      </w:pPr>
      <w:r w:rsidRPr="005138D5">
        <w:rPr>
          <w:sz w:val="22"/>
        </w:rPr>
        <w:t>wrodzone lub nabyte wydłużenie odstępu QT</w:t>
      </w:r>
      <w:r w:rsidR="001A33C3" w:rsidRPr="005138D5">
        <w:rPr>
          <w:sz w:val="22"/>
        </w:rPr>
        <w:t>c</w:t>
      </w:r>
      <w:r w:rsidRPr="005138D5">
        <w:rPr>
          <w:sz w:val="22"/>
        </w:rPr>
        <w:t>,</w:t>
      </w:r>
    </w:p>
    <w:p w14:paraId="3C2F37CD" w14:textId="77777777" w:rsidR="00575F5E" w:rsidRPr="005138D5" w:rsidRDefault="00575F5E" w:rsidP="00277FE6">
      <w:pPr>
        <w:numPr>
          <w:ilvl w:val="0"/>
          <w:numId w:val="55"/>
        </w:numPr>
        <w:ind w:left="567" w:hanging="567"/>
        <w:rPr>
          <w:sz w:val="22"/>
        </w:rPr>
      </w:pPr>
      <w:r w:rsidRPr="005138D5">
        <w:rPr>
          <w:sz w:val="22"/>
        </w:rPr>
        <w:t>kardiomiopatia, zwłaszcza z towarzyszącą niewydolnością serca,</w:t>
      </w:r>
    </w:p>
    <w:p w14:paraId="7A7C8B23" w14:textId="77777777" w:rsidR="00575F5E" w:rsidRPr="005138D5" w:rsidRDefault="00575F5E" w:rsidP="00277FE6">
      <w:pPr>
        <w:numPr>
          <w:ilvl w:val="0"/>
          <w:numId w:val="55"/>
        </w:numPr>
        <w:ind w:left="567" w:hanging="567"/>
        <w:rPr>
          <w:sz w:val="22"/>
        </w:rPr>
      </w:pPr>
      <w:r w:rsidRPr="005138D5">
        <w:rPr>
          <w:sz w:val="22"/>
        </w:rPr>
        <w:t>bradykardia zatokowa,</w:t>
      </w:r>
    </w:p>
    <w:p w14:paraId="16F2AB7D" w14:textId="77777777" w:rsidR="00575F5E" w:rsidRPr="005138D5" w:rsidRDefault="00575F5E" w:rsidP="00277FE6">
      <w:pPr>
        <w:numPr>
          <w:ilvl w:val="0"/>
          <w:numId w:val="55"/>
        </w:numPr>
        <w:ind w:left="567" w:hanging="567"/>
        <w:rPr>
          <w:sz w:val="22"/>
        </w:rPr>
      </w:pPr>
      <w:r w:rsidRPr="005138D5">
        <w:rPr>
          <w:sz w:val="22"/>
        </w:rPr>
        <w:t>objawowe arytmie,</w:t>
      </w:r>
    </w:p>
    <w:p w14:paraId="76A991EE" w14:textId="77777777" w:rsidR="00575F5E" w:rsidRPr="005138D5" w:rsidRDefault="00575F5E" w:rsidP="00277FE6">
      <w:pPr>
        <w:numPr>
          <w:ilvl w:val="0"/>
          <w:numId w:val="55"/>
        </w:numPr>
        <w:ind w:left="567" w:hanging="567"/>
        <w:rPr>
          <w:sz w:val="22"/>
        </w:rPr>
      </w:pPr>
      <w:r w:rsidRPr="005138D5">
        <w:rPr>
          <w:sz w:val="22"/>
        </w:rPr>
        <w:t xml:space="preserve">jednoczesne stosowanie </w:t>
      </w:r>
      <w:r w:rsidR="001E7DB6" w:rsidRPr="005138D5">
        <w:rPr>
          <w:sz w:val="22"/>
        </w:rPr>
        <w:t>produktów leczniczych</w:t>
      </w:r>
      <w:r w:rsidRPr="005138D5">
        <w:rPr>
          <w:sz w:val="22"/>
        </w:rPr>
        <w:t>, które mogą wydłużać odstęp QT</w:t>
      </w:r>
      <w:r w:rsidR="001A33C3" w:rsidRPr="005138D5">
        <w:rPr>
          <w:sz w:val="22"/>
        </w:rPr>
        <w:t>c</w:t>
      </w:r>
      <w:r w:rsidR="002A1061" w:rsidRPr="005138D5">
        <w:rPr>
          <w:sz w:val="22"/>
        </w:rPr>
        <w:t>.</w:t>
      </w:r>
      <w:r w:rsidR="00F949B8" w:rsidRPr="005138D5">
        <w:rPr>
          <w:sz w:val="22"/>
        </w:rPr>
        <w:t xml:space="preserve"> </w:t>
      </w:r>
      <w:r w:rsidRPr="005138D5">
        <w:rPr>
          <w:sz w:val="22"/>
        </w:rPr>
        <w:t>Zaburzenia elektrolitowe, takie jak hipokal</w:t>
      </w:r>
      <w:r w:rsidR="007941AB" w:rsidRPr="005138D5">
        <w:rPr>
          <w:sz w:val="22"/>
        </w:rPr>
        <w:t>i</w:t>
      </w:r>
      <w:r w:rsidRPr="005138D5">
        <w:rPr>
          <w:sz w:val="22"/>
        </w:rPr>
        <w:t>emia, hipomagnezemia i hipokalcemia powinny być monitorowane</w:t>
      </w:r>
      <w:r w:rsidR="007941AB" w:rsidRPr="005138D5">
        <w:rPr>
          <w:sz w:val="22"/>
        </w:rPr>
        <w:t>,</w:t>
      </w:r>
      <w:r w:rsidRPr="005138D5">
        <w:rPr>
          <w:sz w:val="22"/>
        </w:rPr>
        <w:t xml:space="preserve"> i w razie potrzeby korygowane przed rozpoczęciem i podczas terapii worykonazolem (patrz punkt 4.2). U zdrowych ochotników przeprowadzono badanie, w którym określano wpływ podania pojedynczej dawki worykonazolu do 4 razy większej niż zalecona dawka dobowa, na odstęp QT</w:t>
      </w:r>
      <w:r w:rsidR="001A33C3" w:rsidRPr="005138D5">
        <w:rPr>
          <w:sz w:val="22"/>
        </w:rPr>
        <w:t>c</w:t>
      </w:r>
      <w:r w:rsidRPr="005138D5">
        <w:rPr>
          <w:sz w:val="22"/>
        </w:rPr>
        <w:t>. U żadnego z uczestników nie zaobserwowano wydłużenia odstępu QT</w:t>
      </w:r>
      <w:r w:rsidR="00E05D78" w:rsidRPr="005138D5">
        <w:rPr>
          <w:sz w:val="22"/>
        </w:rPr>
        <w:t>c</w:t>
      </w:r>
      <w:r w:rsidRPr="005138D5">
        <w:rPr>
          <w:sz w:val="22"/>
        </w:rPr>
        <w:t xml:space="preserve"> powyżej istotnej klinicznie wartości 500 msec (patrz punkt 5.1)</w:t>
      </w:r>
      <w:r w:rsidR="00C42343" w:rsidRPr="005138D5">
        <w:rPr>
          <w:sz w:val="22"/>
        </w:rPr>
        <w:t>.</w:t>
      </w:r>
    </w:p>
    <w:p w14:paraId="62504827" w14:textId="77777777" w:rsidR="00E05D78" w:rsidRPr="005138D5" w:rsidRDefault="00E05D78" w:rsidP="00A41668">
      <w:pPr>
        <w:widowControl/>
        <w:rPr>
          <w:bCs/>
          <w:sz w:val="22"/>
          <w:u w:val="single"/>
        </w:rPr>
      </w:pPr>
    </w:p>
    <w:p w14:paraId="3CECE133" w14:textId="77777777" w:rsidR="007331EF" w:rsidRPr="005138D5" w:rsidRDefault="00575F5E" w:rsidP="00A41668">
      <w:pPr>
        <w:widowControl/>
        <w:rPr>
          <w:bCs/>
          <w:sz w:val="22"/>
        </w:rPr>
      </w:pPr>
      <w:r w:rsidRPr="005138D5">
        <w:rPr>
          <w:bCs/>
          <w:sz w:val="22"/>
          <w:u w:val="single"/>
        </w:rPr>
        <w:t>Hepatotoksyczność</w:t>
      </w:r>
    </w:p>
    <w:p w14:paraId="668843FB" w14:textId="77777777" w:rsidR="003E200E" w:rsidRPr="005138D5" w:rsidRDefault="00575F5E" w:rsidP="00A41668">
      <w:pPr>
        <w:widowControl/>
        <w:rPr>
          <w:bCs/>
          <w:sz w:val="22"/>
        </w:rPr>
      </w:pPr>
      <w:r w:rsidRPr="005138D5">
        <w:rPr>
          <w:bCs/>
          <w:sz w:val="22"/>
        </w:rPr>
        <w:t xml:space="preserve">Podczas badań klinicznych obserwowano przypadki ciężkich reakcji wątroby w czasie leczenia </w:t>
      </w:r>
      <w:r w:rsidR="001E7DB6" w:rsidRPr="005138D5">
        <w:rPr>
          <w:bCs/>
          <w:sz w:val="22"/>
        </w:rPr>
        <w:t>worykonazolem</w:t>
      </w:r>
      <w:r w:rsidRPr="005138D5">
        <w:rPr>
          <w:bCs/>
          <w:sz w:val="22"/>
        </w:rPr>
        <w:t xml:space="preserve"> (w tym zapalenie wątroby, cholestazę i piorunującą niewydolność wątroby, ze zgonami włącznie). Przypadki uszkodzenia wątroby obserwowane były głównie u pacjentów </w:t>
      </w:r>
    </w:p>
    <w:p w14:paraId="14A4E7F3" w14:textId="77777777" w:rsidR="003E200E" w:rsidRPr="005138D5" w:rsidRDefault="00575F5E" w:rsidP="00A41668">
      <w:pPr>
        <w:widowControl/>
        <w:rPr>
          <w:bCs/>
          <w:sz w:val="22"/>
        </w:rPr>
      </w:pPr>
      <w:r w:rsidRPr="005138D5">
        <w:rPr>
          <w:bCs/>
          <w:sz w:val="22"/>
        </w:rPr>
        <w:t xml:space="preserve">z innymi ciężkimi chorobami (przede wszystkim z nowotworami układu krwiotwórczego). Przemijające reakcje ze strony wątroby, w tym zapalenie wątroby i żółtaczka, występowały </w:t>
      </w:r>
    </w:p>
    <w:p w14:paraId="1563211C" w14:textId="77777777" w:rsidR="00575F5E" w:rsidRPr="005138D5" w:rsidRDefault="00575F5E" w:rsidP="00A41668">
      <w:pPr>
        <w:widowControl/>
        <w:rPr>
          <w:bCs/>
          <w:sz w:val="22"/>
        </w:rPr>
      </w:pPr>
      <w:r w:rsidRPr="005138D5">
        <w:rPr>
          <w:bCs/>
          <w:sz w:val="22"/>
        </w:rPr>
        <w:t>u pacjentów nieobciążonych innymi czynnikami ryzyka. Zaburzenia czynności wątroby były najczęściej odwracalne po zaprzestaniu terapii (patrz punkt 4.8).</w:t>
      </w:r>
    </w:p>
    <w:p w14:paraId="16F9DBC2" w14:textId="77777777" w:rsidR="00575F5E" w:rsidRPr="005138D5" w:rsidRDefault="00575F5E" w:rsidP="00A41668">
      <w:pPr>
        <w:widowControl/>
        <w:rPr>
          <w:bCs/>
          <w:sz w:val="22"/>
        </w:rPr>
      </w:pPr>
    </w:p>
    <w:p w14:paraId="0A7057E1" w14:textId="77777777" w:rsidR="007331EF" w:rsidRPr="005138D5" w:rsidRDefault="00575F5E" w:rsidP="00A41668">
      <w:pPr>
        <w:rPr>
          <w:bCs/>
          <w:sz w:val="22"/>
        </w:rPr>
      </w:pPr>
      <w:r w:rsidRPr="005138D5">
        <w:rPr>
          <w:bCs/>
          <w:sz w:val="22"/>
          <w:u w:val="single"/>
        </w:rPr>
        <w:t>Monitorowanie czynności wątroby</w:t>
      </w:r>
    </w:p>
    <w:p w14:paraId="12E80146" w14:textId="77777777" w:rsidR="00B1760F" w:rsidRPr="005138D5" w:rsidRDefault="00B1760F" w:rsidP="00B1760F">
      <w:pPr>
        <w:pStyle w:val="Tekstpodstawowy2"/>
        <w:jc w:val="left"/>
        <w:rPr>
          <w:rFonts w:ascii="Times New Roman" w:hAnsi="Times New Roman"/>
          <w:bCs/>
        </w:rPr>
      </w:pPr>
      <w:r w:rsidRPr="005138D5">
        <w:rPr>
          <w:rFonts w:ascii="Times New Roman" w:hAnsi="Times New Roman"/>
          <w:bCs/>
        </w:rPr>
        <w:t xml:space="preserve">Pacjenci otrzymujący produkt leczniczy </w:t>
      </w:r>
      <w:r w:rsidR="004B1FD5" w:rsidRPr="005138D5">
        <w:rPr>
          <w:rFonts w:ascii="Times New Roman" w:hAnsi="Times New Roman"/>
          <w:bCs/>
        </w:rPr>
        <w:t>Voriconazole Accord</w:t>
      </w:r>
      <w:r w:rsidRPr="005138D5">
        <w:rPr>
          <w:rFonts w:ascii="Times New Roman" w:hAnsi="Times New Roman"/>
          <w:bCs/>
        </w:rPr>
        <w:t xml:space="preserve"> muszą być dokładnie monitorowani pod kątem hepatotoksyczności. Postępowanie kliniczne powinno obejmować ocenę laboratoryjną czynności wątroby (w szczególności testy aktywności </w:t>
      </w:r>
      <w:r w:rsidRPr="005138D5">
        <w:rPr>
          <w:rFonts w:ascii="Times New Roman" w:hAnsi="Times New Roman"/>
        </w:rPr>
        <w:t xml:space="preserve">AspAT </w:t>
      </w:r>
      <w:r w:rsidRPr="005138D5">
        <w:rPr>
          <w:rFonts w:ascii="Times New Roman" w:hAnsi="Times New Roman"/>
          <w:bCs/>
        </w:rPr>
        <w:t xml:space="preserve">i AlAT) na początku leczenia produktem leczniczym </w:t>
      </w:r>
      <w:r w:rsidR="004B1FD5" w:rsidRPr="005138D5">
        <w:rPr>
          <w:rFonts w:ascii="Times New Roman" w:hAnsi="Times New Roman"/>
          <w:bCs/>
        </w:rPr>
        <w:t>Voriconazole Accord</w:t>
      </w:r>
      <w:r w:rsidRPr="005138D5">
        <w:rPr>
          <w:rFonts w:ascii="Times New Roman" w:hAnsi="Times New Roman"/>
          <w:bCs/>
        </w:rPr>
        <w:t xml:space="preserve"> oraz co najmniej raz w tygodniu w pierwszym miesiącu leczenia. Czas trwania terapii powinien być możliwie najkrótszy, jednak jeśli na podstawie oceny stosunku korzyści do ryzyka leczenie jest kontynuowane (patrz punkt 4.2), częstość badań można zmniejszyć i wykonywać je raz w miesiącu, w przypadku gdy wyniki testów czynności wątroby się nie zmieniają.</w:t>
      </w:r>
    </w:p>
    <w:p w14:paraId="69858630" w14:textId="77777777" w:rsidR="00B1760F" w:rsidRPr="005138D5" w:rsidRDefault="00B1760F" w:rsidP="00B1760F">
      <w:pPr>
        <w:pStyle w:val="Tekstpodstawowy2"/>
        <w:jc w:val="left"/>
        <w:rPr>
          <w:rFonts w:ascii="Times New Roman" w:hAnsi="Times New Roman"/>
          <w:bCs/>
        </w:rPr>
      </w:pPr>
    </w:p>
    <w:p w14:paraId="4279BC46" w14:textId="77777777" w:rsidR="00B1760F" w:rsidRPr="005138D5" w:rsidRDefault="00B1760F" w:rsidP="00B1760F">
      <w:pPr>
        <w:pStyle w:val="Tekstpodstawowy2"/>
        <w:jc w:val="left"/>
        <w:rPr>
          <w:rFonts w:ascii="Times New Roman" w:hAnsi="Times New Roman"/>
          <w:bCs/>
        </w:rPr>
      </w:pPr>
      <w:r w:rsidRPr="005138D5">
        <w:rPr>
          <w:rFonts w:ascii="Times New Roman" w:hAnsi="Times New Roman"/>
          <w:bCs/>
        </w:rPr>
        <w:t xml:space="preserve">W przypadku znacznego zwiększenia wartości wyników testów czynności wątroby, należy przerwać leczenie produktem leczniczym </w:t>
      </w:r>
      <w:r w:rsidR="004B1FD5" w:rsidRPr="005138D5">
        <w:rPr>
          <w:rFonts w:ascii="Times New Roman" w:hAnsi="Times New Roman"/>
          <w:bCs/>
        </w:rPr>
        <w:t>Voriconazole Accord</w:t>
      </w:r>
      <w:r w:rsidRPr="005138D5">
        <w:rPr>
          <w:rFonts w:ascii="Times New Roman" w:hAnsi="Times New Roman"/>
          <w:bCs/>
        </w:rPr>
        <w:t>, chyba że medyczna ocena stosunku korzyści do ryzyka dla danego pacjenta uzasadnia kontynuowanie leczenia.</w:t>
      </w:r>
    </w:p>
    <w:p w14:paraId="5338A54A" w14:textId="77777777" w:rsidR="00B1760F" w:rsidRPr="005138D5" w:rsidRDefault="00B1760F" w:rsidP="00B1760F">
      <w:pPr>
        <w:pStyle w:val="Tekstpodstawowy2"/>
        <w:jc w:val="left"/>
        <w:rPr>
          <w:rFonts w:ascii="Times New Roman" w:hAnsi="Times New Roman"/>
          <w:bCs/>
        </w:rPr>
      </w:pPr>
    </w:p>
    <w:p w14:paraId="3F29FC3F" w14:textId="77777777" w:rsidR="00B1760F" w:rsidRDefault="00B1760F" w:rsidP="00B1760F">
      <w:pPr>
        <w:pStyle w:val="Tekstpodstawowy2"/>
        <w:jc w:val="left"/>
        <w:rPr>
          <w:rFonts w:ascii="Times New Roman" w:hAnsi="Times New Roman"/>
          <w:bCs/>
        </w:rPr>
      </w:pPr>
      <w:r w:rsidRPr="005138D5">
        <w:rPr>
          <w:rFonts w:ascii="Times New Roman" w:hAnsi="Times New Roman"/>
          <w:bCs/>
        </w:rPr>
        <w:t>Monitorowanie czynności wątroby należy prowadzić zarówno u dzieci, jak i u dorosłych.</w:t>
      </w:r>
    </w:p>
    <w:p w14:paraId="48BEDA19" w14:textId="77777777" w:rsidR="00D274B6" w:rsidRPr="005138D5" w:rsidRDefault="00D274B6" w:rsidP="00B1760F">
      <w:pPr>
        <w:pStyle w:val="Tekstpodstawowy2"/>
        <w:jc w:val="left"/>
        <w:rPr>
          <w:rFonts w:ascii="Times New Roman" w:hAnsi="Times New Roman"/>
          <w:bCs/>
        </w:rPr>
      </w:pPr>
    </w:p>
    <w:p w14:paraId="5CC1C96C" w14:textId="77777777" w:rsidR="00D274B6" w:rsidRPr="00D274B6" w:rsidRDefault="00D274B6" w:rsidP="00D274B6">
      <w:pPr>
        <w:rPr>
          <w:bCs/>
          <w:sz w:val="22"/>
          <w:u w:val="single"/>
        </w:rPr>
      </w:pPr>
      <w:r w:rsidRPr="00D274B6">
        <w:rPr>
          <w:bCs/>
          <w:sz w:val="22"/>
          <w:u w:val="single"/>
        </w:rPr>
        <w:t>Ciężkie niepożądane reakcje dermatologiczne</w:t>
      </w:r>
    </w:p>
    <w:p w14:paraId="115913FF" w14:textId="77777777" w:rsidR="00D274B6" w:rsidRPr="00D274B6" w:rsidRDefault="00D274B6" w:rsidP="00D274B6">
      <w:pPr>
        <w:rPr>
          <w:bCs/>
          <w:sz w:val="22"/>
        </w:rPr>
      </w:pPr>
    </w:p>
    <w:p w14:paraId="2160D65C" w14:textId="77777777" w:rsidR="00D274B6" w:rsidRPr="00D274B6" w:rsidRDefault="00D274B6" w:rsidP="00D274B6">
      <w:pPr>
        <w:numPr>
          <w:ilvl w:val="0"/>
          <w:numId w:val="84"/>
        </w:numPr>
        <w:rPr>
          <w:bCs/>
          <w:sz w:val="22"/>
          <w:u w:val="single"/>
        </w:rPr>
      </w:pPr>
      <w:r w:rsidRPr="00D274B6">
        <w:rPr>
          <w:bCs/>
          <w:sz w:val="22"/>
          <w:u w:val="single"/>
        </w:rPr>
        <w:t>Fototoksyczność</w:t>
      </w:r>
    </w:p>
    <w:p w14:paraId="1B0C4E28" w14:textId="5250F630" w:rsidR="00D274B6" w:rsidRPr="00D274B6" w:rsidRDefault="00D274B6" w:rsidP="00D274B6">
      <w:pPr>
        <w:rPr>
          <w:bCs/>
          <w:sz w:val="22"/>
        </w:rPr>
      </w:pPr>
      <w:r w:rsidRPr="00D274B6">
        <w:rPr>
          <w:bCs/>
          <w:sz w:val="22"/>
        </w:rPr>
        <w:t>Dodatkowo leczenie produkte</w:t>
      </w:r>
      <w:r>
        <w:rPr>
          <w:bCs/>
          <w:sz w:val="22"/>
        </w:rPr>
        <w:t xml:space="preserve">m leczniczym </w:t>
      </w:r>
      <w:r w:rsidRPr="005138D5">
        <w:rPr>
          <w:sz w:val="22"/>
        </w:rPr>
        <w:t>Voriconazole Accord</w:t>
      </w:r>
      <w:r w:rsidRPr="00D274B6">
        <w:rPr>
          <w:bCs/>
          <w:sz w:val="22"/>
        </w:rPr>
        <w:t xml:space="preserve"> związane było z występowaniem fototoksyczności,w tym reakcji, takich jak piegi, plamy soczewicowate, rogowacenie słoneczne oraz pseudoporfiria. </w:t>
      </w:r>
      <w:r w:rsidR="00D02DD3" w:rsidRPr="00D02DD3">
        <w:rPr>
          <w:bCs/>
          <w:sz w:val="22"/>
        </w:rPr>
        <w:t xml:space="preserve">Istnieje potencjalnie zwiększone ryzyko wystąpienia reakcji skórnych i (lub) toksyczności skórnej podczas jednoczesnego stosowania leków fotouczulających (np. metotreksatu, itp.). </w:t>
      </w:r>
      <w:r w:rsidRPr="00D274B6">
        <w:rPr>
          <w:bCs/>
          <w:sz w:val="22"/>
        </w:rPr>
        <w:t>Zaleca się, aby wszyscy pacjenci, w tym dzieci, byli informowani o konieczności unikania bezpośredniej ekspozycji na światło słoneczne oraz o konieczności noszenia odzieży chroniącej przed światłem słonecznym i stosowania preparatów z filtrem chroniącym przed promieniowaniem UV o dużym współczynniku ochrony (SPF) w trakcie leczenia produktem leczn</w:t>
      </w:r>
      <w:r>
        <w:rPr>
          <w:bCs/>
          <w:sz w:val="22"/>
        </w:rPr>
        <w:t xml:space="preserve">iczym </w:t>
      </w:r>
      <w:r w:rsidRPr="005138D5">
        <w:rPr>
          <w:sz w:val="22"/>
        </w:rPr>
        <w:t>Voriconazole Accord</w:t>
      </w:r>
      <w:r w:rsidRPr="00D274B6">
        <w:rPr>
          <w:bCs/>
          <w:sz w:val="22"/>
        </w:rPr>
        <w:t>.</w:t>
      </w:r>
    </w:p>
    <w:p w14:paraId="421F19FD" w14:textId="77777777" w:rsidR="00D274B6" w:rsidRPr="00D274B6" w:rsidRDefault="00D274B6" w:rsidP="00D274B6">
      <w:pPr>
        <w:rPr>
          <w:bCs/>
          <w:sz w:val="22"/>
        </w:rPr>
      </w:pPr>
    </w:p>
    <w:p w14:paraId="3E34E75C" w14:textId="77777777" w:rsidR="00D274B6" w:rsidRPr="00D274B6" w:rsidRDefault="00D274B6" w:rsidP="00D274B6">
      <w:pPr>
        <w:numPr>
          <w:ilvl w:val="0"/>
          <w:numId w:val="84"/>
        </w:numPr>
        <w:rPr>
          <w:bCs/>
          <w:sz w:val="22"/>
          <w:u w:val="single"/>
        </w:rPr>
      </w:pPr>
      <w:r w:rsidRPr="00D274B6">
        <w:rPr>
          <w:bCs/>
          <w:sz w:val="22"/>
          <w:u w:val="single"/>
        </w:rPr>
        <w:t xml:space="preserve">Rak kolczystokomórkowy skóry (SCC, ang. </w:t>
      </w:r>
      <w:r w:rsidRPr="00D274B6">
        <w:rPr>
          <w:bCs/>
          <w:i/>
          <w:sz w:val="22"/>
          <w:u w:val="single"/>
        </w:rPr>
        <w:t>Squamous cell carcinoma</w:t>
      </w:r>
      <w:r w:rsidRPr="00D274B6">
        <w:rPr>
          <w:bCs/>
          <w:sz w:val="22"/>
          <w:u w:val="single"/>
        </w:rPr>
        <w:t>)</w:t>
      </w:r>
    </w:p>
    <w:p w14:paraId="744ED413" w14:textId="77777777" w:rsidR="00C8744C" w:rsidRPr="00C8744C" w:rsidRDefault="00D274B6" w:rsidP="00C8744C">
      <w:pPr>
        <w:rPr>
          <w:bCs/>
          <w:sz w:val="22"/>
        </w:rPr>
      </w:pPr>
      <w:r w:rsidRPr="00D274B6">
        <w:rPr>
          <w:bCs/>
          <w:sz w:val="22"/>
        </w:rPr>
        <w:t xml:space="preserve">Zgłaszano występowanie raka kolczystokomórkowego skóry </w:t>
      </w:r>
      <w:r w:rsidR="00C8744C" w:rsidRPr="00C8744C">
        <w:rPr>
          <w:bCs/>
          <w:sz w:val="22"/>
        </w:rPr>
        <w:t>(w tym raka kolczystokomórkowego</w:t>
      </w:r>
    </w:p>
    <w:p w14:paraId="0E9C9635" w14:textId="00AF6CC4" w:rsidR="00D274B6" w:rsidRPr="00D274B6" w:rsidRDefault="00C8744C" w:rsidP="00C8744C">
      <w:pPr>
        <w:rPr>
          <w:bCs/>
          <w:sz w:val="22"/>
          <w:u w:val="single"/>
        </w:rPr>
      </w:pPr>
      <w:r w:rsidRPr="00C8744C">
        <w:rPr>
          <w:bCs/>
          <w:sz w:val="22"/>
        </w:rPr>
        <w:t xml:space="preserve">skóry </w:t>
      </w:r>
      <w:r w:rsidRPr="00C8744C">
        <w:rPr>
          <w:bCs/>
          <w:i/>
          <w:iCs/>
          <w:sz w:val="22"/>
        </w:rPr>
        <w:t>in situ</w:t>
      </w:r>
      <w:r w:rsidRPr="00C8744C">
        <w:rPr>
          <w:bCs/>
          <w:sz w:val="22"/>
        </w:rPr>
        <w:t xml:space="preserve"> lub choroby Bowena)</w:t>
      </w:r>
      <w:r>
        <w:rPr>
          <w:bCs/>
          <w:sz w:val="22"/>
        </w:rPr>
        <w:t xml:space="preserve"> </w:t>
      </w:r>
      <w:r w:rsidR="00D274B6" w:rsidRPr="00D274B6">
        <w:rPr>
          <w:bCs/>
          <w:sz w:val="22"/>
        </w:rPr>
        <w:t xml:space="preserve">u pacjentów, z których część donosiła o wcześniejszych reakcjach fototoksycznych. </w:t>
      </w:r>
      <w:r w:rsidR="00D274B6" w:rsidRPr="00D274B6">
        <w:rPr>
          <w:bCs/>
          <w:iCs/>
          <w:sz w:val="22"/>
        </w:rPr>
        <w:t xml:space="preserve">W przypadku wystąpienia reakcji fototoksycznej należy zasięgnąć porady wielodyscyplinarnej. Należy rozważyć przerwanie leczenia produktem </w:t>
      </w:r>
      <w:r w:rsidR="00D274B6" w:rsidRPr="005138D5">
        <w:rPr>
          <w:sz w:val="22"/>
        </w:rPr>
        <w:t>Voriconazole Accord</w:t>
      </w:r>
      <w:r w:rsidR="00D274B6">
        <w:rPr>
          <w:sz w:val="22"/>
        </w:rPr>
        <w:t xml:space="preserve"> </w:t>
      </w:r>
      <w:r w:rsidR="00D274B6" w:rsidRPr="00D274B6">
        <w:rPr>
          <w:bCs/>
          <w:sz w:val="22"/>
        </w:rPr>
        <w:t xml:space="preserve"> i zastosowanie alternatywnych leków przeciwgrzybiczych,</w:t>
      </w:r>
      <w:r w:rsidR="00D274B6" w:rsidRPr="00D274B6">
        <w:rPr>
          <w:bCs/>
          <w:iCs/>
          <w:sz w:val="22"/>
        </w:rPr>
        <w:t xml:space="preserve"> i skierować pacjenta do dermatologa. Jeśli</w:t>
      </w:r>
      <w:r w:rsidR="00D274B6">
        <w:rPr>
          <w:bCs/>
          <w:iCs/>
          <w:sz w:val="22"/>
        </w:rPr>
        <w:t xml:space="preserve"> leczenie produktem </w:t>
      </w:r>
      <w:r w:rsidR="00D274B6" w:rsidRPr="005138D5">
        <w:rPr>
          <w:sz w:val="22"/>
        </w:rPr>
        <w:t>Voriconazole Accord</w:t>
      </w:r>
      <w:r w:rsidR="00D274B6" w:rsidRPr="00D274B6">
        <w:rPr>
          <w:bCs/>
          <w:iCs/>
          <w:sz w:val="22"/>
        </w:rPr>
        <w:t xml:space="preserve"> jest kontynuowane, konieczne jest systematyczne i regularne wykonywanie badań dermatologicznych, aby umożliwić wczesne rozpoznanie i leczenie zmian przedrakowych. W przypadku stwierdzenia zmian przedrakowych lub raka kolczystokomórkowego skóry, należy zaprzestać stosowania produktu </w:t>
      </w:r>
      <w:r w:rsidR="00D274B6">
        <w:rPr>
          <w:bCs/>
          <w:iCs/>
          <w:sz w:val="22"/>
        </w:rPr>
        <w:t xml:space="preserve">leczniczego </w:t>
      </w:r>
      <w:r w:rsidR="00D274B6" w:rsidRPr="005138D5">
        <w:rPr>
          <w:sz w:val="22"/>
        </w:rPr>
        <w:t>Voriconazole Accord</w:t>
      </w:r>
      <w:r w:rsidR="00D274B6" w:rsidRPr="00D274B6">
        <w:rPr>
          <w:bCs/>
          <w:sz w:val="22"/>
        </w:rPr>
        <w:t xml:space="preserve"> (patrz poniżej - Leczenie długotrwałe).</w:t>
      </w:r>
    </w:p>
    <w:p w14:paraId="283B244E" w14:textId="77777777" w:rsidR="00D274B6" w:rsidRPr="00D274B6" w:rsidRDefault="00D274B6" w:rsidP="00D274B6">
      <w:pPr>
        <w:rPr>
          <w:bCs/>
          <w:sz w:val="22"/>
        </w:rPr>
      </w:pPr>
    </w:p>
    <w:p w14:paraId="7FEC8EE3" w14:textId="77777777" w:rsidR="00D274B6" w:rsidRPr="00D274B6" w:rsidRDefault="00D274B6" w:rsidP="00D274B6">
      <w:pPr>
        <w:numPr>
          <w:ilvl w:val="0"/>
          <w:numId w:val="84"/>
        </w:numPr>
        <w:rPr>
          <w:bCs/>
          <w:sz w:val="22"/>
          <w:u w:val="single"/>
        </w:rPr>
      </w:pPr>
      <w:r w:rsidRPr="00D274B6">
        <w:rPr>
          <w:bCs/>
          <w:sz w:val="22"/>
          <w:u w:val="single"/>
        </w:rPr>
        <w:t xml:space="preserve"> </w:t>
      </w:r>
      <w:r w:rsidR="005113EF">
        <w:rPr>
          <w:bCs/>
          <w:sz w:val="22"/>
          <w:u w:val="single"/>
        </w:rPr>
        <w:t xml:space="preserve">Ciężkie niepożądane </w:t>
      </w:r>
      <w:r w:rsidRPr="00D274B6">
        <w:rPr>
          <w:bCs/>
          <w:sz w:val="22"/>
          <w:u w:val="single"/>
        </w:rPr>
        <w:t xml:space="preserve">reakcje </w:t>
      </w:r>
      <w:r w:rsidR="005113EF">
        <w:rPr>
          <w:bCs/>
          <w:sz w:val="22"/>
          <w:u w:val="single"/>
        </w:rPr>
        <w:t>skórne</w:t>
      </w:r>
    </w:p>
    <w:p w14:paraId="31329067" w14:textId="77777777" w:rsidR="00D274B6" w:rsidRDefault="008D0700" w:rsidP="008D0700">
      <w:pPr>
        <w:rPr>
          <w:bCs/>
          <w:sz w:val="22"/>
        </w:rPr>
      </w:pPr>
      <w:r w:rsidRPr="008D0700">
        <w:rPr>
          <w:bCs/>
          <w:sz w:val="22"/>
        </w:rPr>
        <w:t>U pacjentów leczonych worykonazolem zgłaszano ciężkie skórne reakcje niepożądane</w:t>
      </w:r>
      <w:r>
        <w:rPr>
          <w:bCs/>
          <w:sz w:val="22"/>
        </w:rPr>
        <w:t xml:space="preserve"> </w:t>
      </w:r>
      <w:r w:rsidRPr="008D0700">
        <w:rPr>
          <w:bCs/>
          <w:sz w:val="22"/>
        </w:rPr>
        <w:t>(SCAR, ang. severe cutaneous adverse reactions), które mogą zagrażać życiu lub kończyć</w:t>
      </w:r>
      <w:r>
        <w:rPr>
          <w:bCs/>
          <w:sz w:val="22"/>
        </w:rPr>
        <w:t xml:space="preserve"> </w:t>
      </w:r>
      <w:r w:rsidRPr="008D0700">
        <w:rPr>
          <w:bCs/>
          <w:sz w:val="22"/>
        </w:rPr>
        <w:t>się zgonem, jak zespół Stevensa-Johnsona (ZSJ), toksyczne martwicze oddzielanie się</w:t>
      </w:r>
      <w:r>
        <w:rPr>
          <w:bCs/>
          <w:sz w:val="22"/>
        </w:rPr>
        <w:t xml:space="preserve"> </w:t>
      </w:r>
      <w:r w:rsidRPr="008D0700">
        <w:rPr>
          <w:bCs/>
          <w:sz w:val="22"/>
        </w:rPr>
        <w:t>naskórka (TEN, ang. toxic epidermal necrolysis) oraz osutkę polekową z eozynofilią</w:t>
      </w:r>
      <w:r>
        <w:rPr>
          <w:bCs/>
          <w:sz w:val="22"/>
        </w:rPr>
        <w:t xml:space="preserve"> </w:t>
      </w:r>
      <w:r w:rsidRPr="008D0700">
        <w:rPr>
          <w:bCs/>
          <w:sz w:val="22"/>
        </w:rPr>
        <w:t>i objawami układowymi (DRESS, ang. drug reaction with eosinophilia and systemic</w:t>
      </w:r>
      <w:r>
        <w:rPr>
          <w:bCs/>
          <w:sz w:val="22"/>
        </w:rPr>
        <w:t xml:space="preserve"> </w:t>
      </w:r>
      <w:r w:rsidRPr="008D0700">
        <w:rPr>
          <w:bCs/>
          <w:sz w:val="22"/>
        </w:rPr>
        <w:t>symptoms).</w:t>
      </w:r>
      <w:r w:rsidR="00D274B6" w:rsidRPr="00D274B6">
        <w:rPr>
          <w:bCs/>
          <w:sz w:val="22"/>
        </w:rPr>
        <w:t xml:space="preserve"> Pacjent, u którego wystąpi wysypka, powinien być ściśle kontrolowany i jeśli zmiany postępują, lec</w:t>
      </w:r>
      <w:r w:rsidR="00D274B6">
        <w:rPr>
          <w:bCs/>
          <w:sz w:val="22"/>
        </w:rPr>
        <w:t xml:space="preserve">zenie produktem leczniczym </w:t>
      </w:r>
      <w:r w:rsidR="00D274B6" w:rsidRPr="005138D5">
        <w:rPr>
          <w:sz w:val="22"/>
        </w:rPr>
        <w:t>Voriconazole Accord</w:t>
      </w:r>
      <w:r w:rsidR="00D274B6">
        <w:rPr>
          <w:sz w:val="22"/>
        </w:rPr>
        <w:t xml:space="preserve"> </w:t>
      </w:r>
      <w:r w:rsidR="00D274B6" w:rsidRPr="00D274B6">
        <w:rPr>
          <w:bCs/>
          <w:sz w:val="22"/>
        </w:rPr>
        <w:t xml:space="preserve"> należy przerwać.</w:t>
      </w:r>
    </w:p>
    <w:p w14:paraId="7BDA95A8" w14:textId="77777777" w:rsidR="005113EF" w:rsidRDefault="005113EF" w:rsidP="008D0700">
      <w:pPr>
        <w:rPr>
          <w:bCs/>
          <w:sz w:val="22"/>
        </w:rPr>
      </w:pPr>
    </w:p>
    <w:p w14:paraId="0BAC50DC" w14:textId="77777777" w:rsidR="005113EF" w:rsidRPr="005113EF" w:rsidRDefault="005113EF" w:rsidP="005113EF">
      <w:pPr>
        <w:rPr>
          <w:bCs/>
          <w:sz w:val="22"/>
          <w:u w:val="single"/>
        </w:rPr>
      </w:pPr>
      <w:r w:rsidRPr="005113EF">
        <w:rPr>
          <w:bCs/>
          <w:sz w:val="22"/>
          <w:u w:val="single"/>
        </w:rPr>
        <w:t>Działania niepożądane dotyczące nadnerczy</w:t>
      </w:r>
    </w:p>
    <w:p w14:paraId="6CA6C117" w14:textId="77777777" w:rsidR="005113EF" w:rsidRPr="005113EF" w:rsidRDefault="005113EF" w:rsidP="005113EF">
      <w:pPr>
        <w:rPr>
          <w:bCs/>
          <w:sz w:val="22"/>
        </w:rPr>
      </w:pPr>
    </w:p>
    <w:p w14:paraId="544A7FE6" w14:textId="77777777" w:rsidR="005113EF" w:rsidRDefault="005113EF" w:rsidP="005113EF">
      <w:pPr>
        <w:rPr>
          <w:bCs/>
          <w:sz w:val="22"/>
        </w:rPr>
      </w:pPr>
      <w:r w:rsidRPr="005113EF">
        <w:rPr>
          <w:bCs/>
          <w:sz w:val="22"/>
        </w:rPr>
        <w:t>U pacjentów otrzymujących worykonazol zgłaszano odwracalne przypadki niedoczynności nadnerczy.</w:t>
      </w:r>
    </w:p>
    <w:p w14:paraId="49196DCD" w14:textId="77777777" w:rsidR="00D56734" w:rsidRPr="00D56734" w:rsidRDefault="00D56734" w:rsidP="00D56734">
      <w:pPr>
        <w:rPr>
          <w:bCs/>
          <w:sz w:val="22"/>
        </w:rPr>
      </w:pPr>
      <w:r w:rsidRPr="00D56734">
        <w:rPr>
          <w:bCs/>
          <w:sz w:val="22"/>
        </w:rPr>
        <w:t>Niedoczynność nadnerczy zgłaszano u pacjentów leczonych azolami</w:t>
      </w:r>
      <w:r>
        <w:rPr>
          <w:bCs/>
          <w:sz w:val="22"/>
        </w:rPr>
        <w:t xml:space="preserve"> </w:t>
      </w:r>
      <w:r w:rsidRPr="00D56734">
        <w:rPr>
          <w:bCs/>
          <w:sz w:val="22"/>
        </w:rPr>
        <w:t>zarówno w skojarzeniu z kortykosteroidami, jak i w monoterapii. U pacjentów otrzymujących azole bez</w:t>
      </w:r>
      <w:r>
        <w:rPr>
          <w:bCs/>
          <w:sz w:val="22"/>
        </w:rPr>
        <w:t xml:space="preserve"> </w:t>
      </w:r>
      <w:r w:rsidRPr="00D56734">
        <w:rPr>
          <w:bCs/>
          <w:sz w:val="22"/>
        </w:rPr>
        <w:t>kortykosteroidów niedoczynność nadnerczy związana jest z bezpośrednim hamowaniem steroidogenezy</w:t>
      </w:r>
    </w:p>
    <w:p w14:paraId="6F9623BE" w14:textId="77777777" w:rsidR="00D56734" w:rsidRPr="00D56734" w:rsidRDefault="00D56734" w:rsidP="00D56734">
      <w:pPr>
        <w:rPr>
          <w:bCs/>
          <w:sz w:val="22"/>
        </w:rPr>
      </w:pPr>
      <w:r w:rsidRPr="00D56734">
        <w:rPr>
          <w:bCs/>
          <w:sz w:val="22"/>
        </w:rPr>
        <w:t>przez azole. U pacjentów przyjmujących kortykosteroidy hamowanie ich metabolizmu przez CYP3A4</w:t>
      </w:r>
    </w:p>
    <w:p w14:paraId="6DE61ACB" w14:textId="77777777" w:rsidR="00D56734" w:rsidRPr="00D56734" w:rsidRDefault="00D56734" w:rsidP="00D56734">
      <w:pPr>
        <w:rPr>
          <w:bCs/>
          <w:sz w:val="22"/>
        </w:rPr>
      </w:pPr>
      <w:r w:rsidRPr="00D56734">
        <w:rPr>
          <w:bCs/>
          <w:sz w:val="22"/>
        </w:rPr>
        <w:t>związane ze stosowaniem worykonazolu może prowadzić do nadmiaru kortykosteroidów i supresji</w:t>
      </w:r>
    </w:p>
    <w:p w14:paraId="2F9ED7CE" w14:textId="77777777" w:rsidR="00D56734" w:rsidRPr="00D56734" w:rsidRDefault="00D56734" w:rsidP="00D56734">
      <w:pPr>
        <w:rPr>
          <w:bCs/>
          <w:sz w:val="22"/>
        </w:rPr>
      </w:pPr>
      <w:r w:rsidRPr="00D56734">
        <w:rPr>
          <w:bCs/>
          <w:sz w:val="22"/>
        </w:rPr>
        <w:t>nadnerczy (patrz punkt 4.5). U pacjentów stosujących worykonazol w skojarzeniu z kortykosteroidami</w:t>
      </w:r>
    </w:p>
    <w:p w14:paraId="7BC9CFA0" w14:textId="77777777" w:rsidR="005113EF" w:rsidRDefault="00D56734" w:rsidP="00D56734">
      <w:pPr>
        <w:rPr>
          <w:bCs/>
          <w:sz w:val="22"/>
        </w:rPr>
      </w:pPr>
      <w:r w:rsidRPr="00D56734">
        <w:rPr>
          <w:bCs/>
          <w:sz w:val="22"/>
        </w:rPr>
        <w:t>zgłaszano również przypadki zespołu Cushinga, z następczą niedoczynnością nadnerczy lub bez niej.</w:t>
      </w:r>
    </w:p>
    <w:p w14:paraId="082F2C82" w14:textId="77777777" w:rsidR="00D56734" w:rsidRPr="005113EF" w:rsidRDefault="00D56734" w:rsidP="00D56734">
      <w:pPr>
        <w:rPr>
          <w:bCs/>
          <w:sz w:val="22"/>
        </w:rPr>
      </w:pPr>
    </w:p>
    <w:p w14:paraId="14CB229D" w14:textId="77777777" w:rsidR="005113EF" w:rsidRPr="005113EF" w:rsidRDefault="005113EF" w:rsidP="005113EF">
      <w:pPr>
        <w:rPr>
          <w:bCs/>
          <w:sz w:val="22"/>
        </w:rPr>
      </w:pPr>
      <w:r w:rsidRPr="005113EF">
        <w:rPr>
          <w:bCs/>
          <w:sz w:val="22"/>
        </w:rPr>
        <w:t>Pacjentów długotrwale leczonych worykonazolem i kortykosteroidami (w tym wziewnymi</w:t>
      </w:r>
    </w:p>
    <w:p w14:paraId="4FFB9B07" w14:textId="77777777" w:rsidR="005113EF" w:rsidRPr="005113EF" w:rsidRDefault="005113EF" w:rsidP="005113EF">
      <w:pPr>
        <w:rPr>
          <w:bCs/>
          <w:sz w:val="22"/>
        </w:rPr>
      </w:pPr>
      <w:r w:rsidRPr="005113EF">
        <w:rPr>
          <w:bCs/>
          <w:sz w:val="22"/>
        </w:rPr>
        <w:t>kortykosteroidami, np. budezonidem, oraz kortykosteroidami donosowymi), należy uważnie</w:t>
      </w:r>
    </w:p>
    <w:p w14:paraId="02774C04" w14:textId="77777777" w:rsidR="005113EF" w:rsidRPr="005113EF" w:rsidRDefault="005113EF" w:rsidP="005113EF">
      <w:pPr>
        <w:rPr>
          <w:bCs/>
          <w:sz w:val="22"/>
        </w:rPr>
      </w:pPr>
      <w:r w:rsidRPr="005113EF">
        <w:rPr>
          <w:bCs/>
          <w:sz w:val="22"/>
        </w:rPr>
        <w:t>monitorować pod kątem występowania zaburzeń czynności kory nadnerczy zarówno podczas</w:t>
      </w:r>
    </w:p>
    <w:p w14:paraId="35ABDB38" w14:textId="77777777" w:rsidR="00D56734" w:rsidRDefault="005113EF" w:rsidP="00D56734">
      <w:pPr>
        <w:rPr>
          <w:bCs/>
          <w:sz w:val="22"/>
        </w:rPr>
      </w:pPr>
      <w:r w:rsidRPr="005113EF">
        <w:rPr>
          <w:bCs/>
          <w:sz w:val="22"/>
        </w:rPr>
        <w:t>leczenia, jak i po odstawieniu worykonazolu (patrz punkt 4.5).</w:t>
      </w:r>
      <w:r w:rsidR="00D56734" w:rsidRPr="00D56734">
        <w:t xml:space="preserve"> </w:t>
      </w:r>
      <w:r w:rsidR="00D56734" w:rsidRPr="00D56734">
        <w:rPr>
          <w:bCs/>
          <w:sz w:val="22"/>
        </w:rPr>
        <w:t xml:space="preserve">Pacjentów należy poinstruować, aby </w:t>
      </w:r>
    </w:p>
    <w:p w14:paraId="1D05BBCE" w14:textId="77777777" w:rsidR="00D56734" w:rsidRDefault="00D56734" w:rsidP="00D56734">
      <w:pPr>
        <w:rPr>
          <w:bCs/>
          <w:sz w:val="22"/>
        </w:rPr>
      </w:pPr>
      <w:r w:rsidRPr="00D56734">
        <w:rPr>
          <w:bCs/>
          <w:sz w:val="22"/>
        </w:rPr>
        <w:t>w przypadku</w:t>
      </w:r>
      <w:r>
        <w:rPr>
          <w:bCs/>
          <w:sz w:val="22"/>
        </w:rPr>
        <w:t xml:space="preserve"> </w:t>
      </w:r>
      <w:r w:rsidRPr="00D56734">
        <w:rPr>
          <w:bCs/>
          <w:sz w:val="22"/>
        </w:rPr>
        <w:t xml:space="preserve">objawów zespołu Cushinga lub niedoczynności nadnerczy niezwłocznie zwrócili się </w:t>
      </w:r>
    </w:p>
    <w:p w14:paraId="00028AC2" w14:textId="77777777" w:rsidR="00D274B6" w:rsidRPr="00D56734" w:rsidRDefault="00D56734" w:rsidP="00D274B6">
      <w:pPr>
        <w:rPr>
          <w:bCs/>
          <w:sz w:val="22"/>
        </w:rPr>
      </w:pPr>
      <w:r w:rsidRPr="00D56734">
        <w:rPr>
          <w:bCs/>
          <w:sz w:val="22"/>
        </w:rPr>
        <w:t>o pomoc</w:t>
      </w:r>
      <w:r>
        <w:rPr>
          <w:bCs/>
          <w:sz w:val="22"/>
        </w:rPr>
        <w:t xml:space="preserve"> </w:t>
      </w:r>
      <w:r w:rsidRPr="00D56734">
        <w:rPr>
          <w:bCs/>
          <w:sz w:val="22"/>
        </w:rPr>
        <w:t>medyczną.</w:t>
      </w:r>
      <w:r w:rsidRPr="00D56734">
        <w:rPr>
          <w:bCs/>
          <w:sz w:val="22"/>
        </w:rPr>
        <w:cr/>
      </w:r>
    </w:p>
    <w:p w14:paraId="7C91DB70" w14:textId="77777777" w:rsidR="00D274B6" w:rsidRPr="00D274B6" w:rsidRDefault="00D274B6" w:rsidP="00D274B6">
      <w:pPr>
        <w:rPr>
          <w:bCs/>
          <w:sz w:val="22"/>
          <w:u w:val="single"/>
        </w:rPr>
      </w:pPr>
      <w:r w:rsidRPr="00D274B6">
        <w:rPr>
          <w:bCs/>
          <w:sz w:val="22"/>
          <w:u w:val="single"/>
        </w:rPr>
        <w:t>Leczenie długotrwałe</w:t>
      </w:r>
    </w:p>
    <w:p w14:paraId="029C42EA" w14:textId="77777777" w:rsidR="00D274B6" w:rsidRPr="00D274B6" w:rsidRDefault="00D274B6" w:rsidP="00D274B6">
      <w:pPr>
        <w:rPr>
          <w:bCs/>
          <w:iCs/>
          <w:sz w:val="22"/>
        </w:rPr>
      </w:pPr>
      <w:r w:rsidRPr="00D274B6">
        <w:rPr>
          <w:bCs/>
          <w:sz w:val="22"/>
        </w:rPr>
        <w:t>D</w:t>
      </w:r>
      <w:r w:rsidRPr="00D274B6">
        <w:rPr>
          <w:bCs/>
          <w:iCs/>
          <w:sz w:val="22"/>
        </w:rPr>
        <w:t xml:space="preserve">ługotrwała ekspozycja (leczenie lub stosowanie profilaktyczne) </w:t>
      </w:r>
      <w:r w:rsidRPr="00D274B6">
        <w:rPr>
          <w:bCs/>
          <w:sz w:val="22"/>
        </w:rPr>
        <w:t>przekraczająca 180 dni (6 miesięcy) wymaga przeprowadzenia dokładnej oceny stosunku korzyści do ryzyka</w:t>
      </w:r>
      <w:r w:rsidRPr="00D274B6">
        <w:rPr>
          <w:bCs/>
          <w:iCs/>
          <w:sz w:val="22"/>
        </w:rPr>
        <w:t xml:space="preserve">, dlatego lekarze powinni rozważyć konieczność ograniczenia ekspozycji na </w:t>
      </w:r>
      <w:r w:rsidRPr="005138D5">
        <w:rPr>
          <w:sz w:val="22"/>
        </w:rPr>
        <w:t>Voriconazole Accord</w:t>
      </w:r>
      <w:r w:rsidRPr="00D274B6">
        <w:rPr>
          <w:bCs/>
          <w:iCs/>
          <w:sz w:val="22"/>
        </w:rPr>
        <w:t xml:space="preserve"> (patrz punkty 4.2 i 5.1). </w:t>
      </w:r>
    </w:p>
    <w:p w14:paraId="3FBFC993" w14:textId="77777777" w:rsidR="00D274B6" w:rsidRPr="00D274B6" w:rsidRDefault="00D274B6" w:rsidP="00D274B6">
      <w:pPr>
        <w:rPr>
          <w:bCs/>
          <w:iCs/>
          <w:sz w:val="22"/>
        </w:rPr>
      </w:pPr>
    </w:p>
    <w:p w14:paraId="1C095A8B" w14:textId="77777777" w:rsidR="00C8744C" w:rsidRPr="00C8744C" w:rsidRDefault="00D274B6" w:rsidP="00C8744C">
      <w:pPr>
        <w:rPr>
          <w:bCs/>
          <w:iCs/>
          <w:sz w:val="22"/>
        </w:rPr>
      </w:pPr>
      <w:r w:rsidRPr="00D274B6">
        <w:rPr>
          <w:bCs/>
          <w:iCs/>
          <w:sz w:val="22"/>
        </w:rPr>
        <w:t xml:space="preserve">Zgłaszano występowanie raka kolczystokomórkowego skóry </w:t>
      </w:r>
      <w:r w:rsidR="00C8744C" w:rsidRPr="00C8744C">
        <w:rPr>
          <w:bCs/>
          <w:iCs/>
          <w:sz w:val="22"/>
        </w:rPr>
        <w:t>(w tym raka kolczystokomórkowego</w:t>
      </w:r>
    </w:p>
    <w:p w14:paraId="3BA4D995" w14:textId="05767953" w:rsidR="00D274B6" w:rsidRPr="00D274B6" w:rsidRDefault="00C8744C" w:rsidP="00C8744C">
      <w:pPr>
        <w:rPr>
          <w:bCs/>
          <w:sz w:val="22"/>
        </w:rPr>
      </w:pPr>
      <w:r w:rsidRPr="00C8744C">
        <w:rPr>
          <w:bCs/>
          <w:iCs/>
          <w:sz w:val="22"/>
        </w:rPr>
        <w:t xml:space="preserve">skóry </w:t>
      </w:r>
      <w:r w:rsidRPr="00C8744C">
        <w:rPr>
          <w:bCs/>
          <w:i/>
          <w:sz w:val="22"/>
        </w:rPr>
        <w:t>in situ</w:t>
      </w:r>
      <w:r w:rsidRPr="00C8744C">
        <w:rPr>
          <w:bCs/>
          <w:iCs/>
          <w:sz w:val="22"/>
        </w:rPr>
        <w:t xml:space="preserve"> lub choroby Bowena)</w:t>
      </w:r>
      <w:r>
        <w:rPr>
          <w:bCs/>
          <w:iCs/>
          <w:sz w:val="22"/>
        </w:rPr>
        <w:t xml:space="preserve"> </w:t>
      </w:r>
      <w:r w:rsidR="00D274B6" w:rsidRPr="00D274B6">
        <w:rPr>
          <w:bCs/>
          <w:iCs/>
          <w:sz w:val="22"/>
        </w:rPr>
        <w:t xml:space="preserve">w trakcie długotrwałego leczenia produktem </w:t>
      </w:r>
      <w:r w:rsidR="00D274B6" w:rsidRPr="005138D5">
        <w:rPr>
          <w:sz w:val="22"/>
        </w:rPr>
        <w:t>Voriconazole Accord</w:t>
      </w:r>
      <w:r w:rsidR="00D02DD3">
        <w:rPr>
          <w:sz w:val="22"/>
        </w:rPr>
        <w:t xml:space="preserve"> (patrz punkt 4.8)</w:t>
      </w:r>
      <w:r w:rsidR="00D274B6" w:rsidRPr="00D274B6">
        <w:rPr>
          <w:bCs/>
          <w:sz w:val="22"/>
        </w:rPr>
        <w:t>.</w:t>
      </w:r>
    </w:p>
    <w:p w14:paraId="3E3BF70E" w14:textId="77777777" w:rsidR="00D274B6" w:rsidRPr="00D274B6" w:rsidRDefault="00D274B6" w:rsidP="00D274B6">
      <w:pPr>
        <w:rPr>
          <w:bCs/>
          <w:iCs/>
          <w:sz w:val="22"/>
        </w:rPr>
      </w:pPr>
    </w:p>
    <w:p w14:paraId="1D81AA55" w14:textId="654087D0" w:rsidR="00D274B6" w:rsidRPr="00D274B6" w:rsidRDefault="00D274B6" w:rsidP="00D274B6">
      <w:pPr>
        <w:rPr>
          <w:bCs/>
          <w:sz w:val="22"/>
        </w:rPr>
      </w:pPr>
      <w:r w:rsidRPr="00D274B6">
        <w:rPr>
          <w:bCs/>
          <w:sz w:val="22"/>
        </w:rPr>
        <w:t xml:space="preserve">Niezakaźne zapalenie okostnej ze zwiększonym stężeniem fluorków i zwiększoną aktywnością fosfatazy zasadowej zaobserwowano u pacjentów po przeszczepieniach. Jeżeli u pacjenta wystąpi ból kości oraz wyniki radiologiczne będą wskazywać na zapalenie okostnej, po uzyskaniu porady wielodyscyplinarnej, należy rozważyć przerwanie leczenia produktem </w:t>
      </w:r>
      <w:r w:rsidRPr="005138D5">
        <w:rPr>
          <w:sz w:val="22"/>
        </w:rPr>
        <w:t>Voriconazole Accord</w:t>
      </w:r>
      <w:r w:rsidR="00D02DD3">
        <w:rPr>
          <w:sz w:val="22"/>
        </w:rPr>
        <w:t xml:space="preserve"> (patrz punkt 4.8)</w:t>
      </w:r>
      <w:r w:rsidRPr="00D274B6">
        <w:rPr>
          <w:bCs/>
          <w:sz w:val="22"/>
        </w:rPr>
        <w:t xml:space="preserve">. </w:t>
      </w:r>
    </w:p>
    <w:p w14:paraId="127034FB" w14:textId="77777777" w:rsidR="00575F5E" w:rsidRPr="005138D5" w:rsidRDefault="00575F5E" w:rsidP="00A41668">
      <w:pPr>
        <w:pStyle w:val="Tekstpodstawowy2"/>
        <w:jc w:val="left"/>
        <w:rPr>
          <w:rFonts w:ascii="Times New Roman" w:hAnsi="Times New Roman"/>
          <w:bCs/>
        </w:rPr>
      </w:pPr>
    </w:p>
    <w:p w14:paraId="75AD3A33" w14:textId="77777777" w:rsidR="007331EF" w:rsidRPr="005138D5" w:rsidRDefault="008D3351" w:rsidP="001267B6">
      <w:pPr>
        <w:pStyle w:val="Tekstpodstawowy2"/>
        <w:jc w:val="left"/>
        <w:rPr>
          <w:rFonts w:ascii="Times New Roman" w:hAnsi="Times New Roman"/>
          <w:bCs/>
          <w:u w:val="single"/>
        </w:rPr>
      </w:pPr>
      <w:r w:rsidRPr="005138D5">
        <w:rPr>
          <w:rFonts w:ascii="Times New Roman" w:hAnsi="Times New Roman"/>
          <w:bCs/>
          <w:u w:val="single"/>
        </w:rPr>
        <w:t xml:space="preserve">Reakcje </w:t>
      </w:r>
      <w:r w:rsidR="001267B6" w:rsidRPr="005138D5">
        <w:rPr>
          <w:rFonts w:ascii="Times New Roman" w:hAnsi="Times New Roman"/>
          <w:bCs/>
          <w:u w:val="single"/>
        </w:rPr>
        <w:t>niepożądane dotyczące widzenia</w:t>
      </w:r>
    </w:p>
    <w:p w14:paraId="119EBF80" w14:textId="77777777" w:rsidR="001267B6" w:rsidRPr="005138D5" w:rsidRDefault="001267B6" w:rsidP="001267B6">
      <w:pPr>
        <w:pStyle w:val="Tekstpodstawowy2"/>
        <w:jc w:val="left"/>
        <w:rPr>
          <w:rFonts w:ascii="Times New Roman" w:hAnsi="Times New Roman"/>
          <w:bCs/>
        </w:rPr>
      </w:pPr>
      <w:r w:rsidRPr="005138D5">
        <w:rPr>
          <w:rFonts w:ascii="Times New Roman" w:hAnsi="Times New Roman"/>
          <w:bCs/>
        </w:rPr>
        <w:t xml:space="preserve">Zgłaszano przedłużone zdarzenia niepożądane dotyczące widzenia, w tym niewyraźne widzenie, zapalenie </w:t>
      </w:r>
      <w:r w:rsidRPr="005138D5">
        <w:rPr>
          <w:rFonts w:ascii="Times New Roman" w:hAnsi="Times New Roman"/>
        </w:rPr>
        <w:t>nerwu wzrokowego</w:t>
      </w:r>
      <w:r w:rsidR="002759AF" w:rsidRPr="005138D5">
        <w:rPr>
          <w:rFonts w:ascii="Times New Roman" w:hAnsi="Times New Roman"/>
        </w:rPr>
        <w:t xml:space="preserve"> oraz</w:t>
      </w:r>
      <w:r w:rsidRPr="005138D5">
        <w:rPr>
          <w:rFonts w:ascii="Times New Roman" w:hAnsi="Times New Roman"/>
        </w:rPr>
        <w:t xml:space="preserve"> tarczę zastoinową (patrz punkt 4.8)</w:t>
      </w:r>
      <w:r w:rsidRPr="005138D5">
        <w:rPr>
          <w:rFonts w:ascii="Times New Roman" w:hAnsi="Times New Roman"/>
          <w:bCs/>
        </w:rPr>
        <w:t>.</w:t>
      </w:r>
    </w:p>
    <w:p w14:paraId="1225467A" w14:textId="77777777" w:rsidR="00441990" w:rsidRPr="005138D5" w:rsidRDefault="00441990" w:rsidP="00A41668">
      <w:pPr>
        <w:pStyle w:val="Tekstpodstawowy2"/>
        <w:jc w:val="left"/>
        <w:rPr>
          <w:rFonts w:ascii="Times New Roman" w:hAnsi="Times New Roman"/>
          <w:bCs/>
        </w:rPr>
      </w:pPr>
    </w:p>
    <w:p w14:paraId="3B0D79E8" w14:textId="77777777" w:rsidR="007331EF" w:rsidRPr="005138D5" w:rsidRDefault="0045543C" w:rsidP="00A41668">
      <w:pPr>
        <w:widowControl/>
        <w:rPr>
          <w:bCs/>
          <w:sz w:val="22"/>
        </w:rPr>
      </w:pPr>
      <w:r w:rsidRPr="005138D5">
        <w:rPr>
          <w:bCs/>
          <w:sz w:val="22"/>
          <w:u w:val="single"/>
        </w:rPr>
        <w:t xml:space="preserve">Reakcje </w:t>
      </w:r>
      <w:r w:rsidR="00575F5E" w:rsidRPr="005138D5">
        <w:rPr>
          <w:bCs/>
          <w:sz w:val="22"/>
          <w:u w:val="single"/>
        </w:rPr>
        <w:t>niepożądane dotyczące czynności nerek</w:t>
      </w:r>
    </w:p>
    <w:p w14:paraId="0F0A8CFB" w14:textId="77777777" w:rsidR="00575F5E" w:rsidRPr="005138D5" w:rsidRDefault="00575F5E" w:rsidP="00A41668">
      <w:pPr>
        <w:widowControl/>
        <w:rPr>
          <w:bCs/>
          <w:sz w:val="22"/>
        </w:rPr>
      </w:pPr>
      <w:r w:rsidRPr="005138D5">
        <w:rPr>
          <w:bCs/>
          <w:sz w:val="22"/>
        </w:rPr>
        <w:t xml:space="preserve">U ciężko chorych pacjentów leczonych </w:t>
      </w:r>
      <w:r w:rsidR="006A38E5" w:rsidRPr="005138D5">
        <w:rPr>
          <w:bCs/>
          <w:sz w:val="22"/>
        </w:rPr>
        <w:t xml:space="preserve">worykonazolem </w:t>
      </w:r>
      <w:r w:rsidRPr="005138D5">
        <w:rPr>
          <w:bCs/>
          <w:sz w:val="22"/>
        </w:rPr>
        <w:t xml:space="preserve">obserwowano ostre zaburzenia czynności nerek. Pacjenci leczeni worykonazolem i jednocześnie leczeni nefrotoksycznymi </w:t>
      </w:r>
      <w:r w:rsidR="00676073" w:rsidRPr="005138D5">
        <w:rPr>
          <w:bCs/>
          <w:sz w:val="22"/>
        </w:rPr>
        <w:t xml:space="preserve">produktami leczniczymi </w:t>
      </w:r>
      <w:r w:rsidRPr="005138D5">
        <w:rPr>
          <w:bCs/>
          <w:sz w:val="22"/>
        </w:rPr>
        <w:t>mają zbieżne obciążenia, które mogą doprowadzić do pogorszenia czynności nerek (patrz punkt 4.8)</w:t>
      </w:r>
      <w:r w:rsidR="001267B6" w:rsidRPr="005138D5">
        <w:rPr>
          <w:bCs/>
          <w:sz w:val="22"/>
        </w:rPr>
        <w:t>.</w:t>
      </w:r>
    </w:p>
    <w:p w14:paraId="22CF288A" w14:textId="77777777" w:rsidR="00575F5E" w:rsidRPr="005138D5" w:rsidRDefault="00575F5E" w:rsidP="00A41668">
      <w:pPr>
        <w:widowControl/>
        <w:rPr>
          <w:bCs/>
          <w:sz w:val="22"/>
        </w:rPr>
      </w:pPr>
    </w:p>
    <w:p w14:paraId="0053082F" w14:textId="77777777" w:rsidR="0005204F" w:rsidRPr="005138D5" w:rsidRDefault="00575F5E" w:rsidP="00A41668">
      <w:pPr>
        <w:widowControl/>
        <w:rPr>
          <w:bCs/>
          <w:sz w:val="22"/>
        </w:rPr>
      </w:pPr>
      <w:r w:rsidRPr="005138D5">
        <w:rPr>
          <w:bCs/>
          <w:sz w:val="22"/>
          <w:u w:val="single"/>
        </w:rPr>
        <w:t>Monitorowanie czynności nerek</w:t>
      </w:r>
    </w:p>
    <w:p w14:paraId="0C6DA295" w14:textId="77777777" w:rsidR="00EA6AEB" w:rsidRPr="005138D5" w:rsidRDefault="00575F5E" w:rsidP="00A41668">
      <w:pPr>
        <w:widowControl/>
        <w:rPr>
          <w:bCs/>
          <w:sz w:val="22"/>
        </w:rPr>
      </w:pPr>
      <w:r w:rsidRPr="005138D5">
        <w:rPr>
          <w:bCs/>
          <w:sz w:val="22"/>
        </w:rPr>
        <w:t xml:space="preserve">Należy monitorować czynność nerek pacjentów leczonych </w:t>
      </w:r>
      <w:r w:rsidR="000F6BF1" w:rsidRPr="005138D5">
        <w:rPr>
          <w:sz w:val="22"/>
        </w:rPr>
        <w:t xml:space="preserve"> </w:t>
      </w:r>
      <w:r w:rsidR="000F6BF1" w:rsidRPr="005138D5">
        <w:rPr>
          <w:bCs/>
          <w:sz w:val="22"/>
        </w:rPr>
        <w:t>worykonazolem</w:t>
      </w:r>
      <w:r w:rsidRPr="005138D5">
        <w:rPr>
          <w:bCs/>
          <w:sz w:val="22"/>
        </w:rPr>
        <w:t xml:space="preserve">, w tym ocenę laboratoryjną, ze szczególnym uwzględnieniem stężenia kreatyniny </w:t>
      </w:r>
    </w:p>
    <w:p w14:paraId="6502E7C0" w14:textId="77777777" w:rsidR="00575F5E" w:rsidRPr="005138D5" w:rsidRDefault="00575F5E" w:rsidP="00A41668">
      <w:pPr>
        <w:widowControl/>
        <w:rPr>
          <w:bCs/>
          <w:sz w:val="22"/>
        </w:rPr>
      </w:pPr>
      <w:r w:rsidRPr="005138D5">
        <w:rPr>
          <w:bCs/>
          <w:sz w:val="22"/>
        </w:rPr>
        <w:t>w surowicy.</w:t>
      </w:r>
    </w:p>
    <w:p w14:paraId="3B818CC1" w14:textId="77777777" w:rsidR="00575F5E" w:rsidRPr="005138D5" w:rsidRDefault="00575F5E" w:rsidP="00A41668">
      <w:pPr>
        <w:widowControl/>
        <w:rPr>
          <w:bCs/>
          <w:sz w:val="22"/>
        </w:rPr>
      </w:pPr>
    </w:p>
    <w:p w14:paraId="740194C3" w14:textId="77777777" w:rsidR="0005204F" w:rsidRPr="005138D5" w:rsidRDefault="00575F5E" w:rsidP="00A41668">
      <w:pPr>
        <w:rPr>
          <w:sz w:val="22"/>
        </w:rPr>
      </w:pPr>
      <w:r w:rsidRPr="005138D5">
        <w:rPr>
          <w:sz w:val="22"/>
          <w:u w:val="single"/>
        </w:rPr>
        <w:t>Monitorowanie czynności trzustki</w:t>
      </w:r>
    </w:p>
    <w:p w14:paraId="7BB4F612" w14:textId="77777777" w:rsidR="00EA6AEB" w:rsidRPr="005138D5" w:rsidRDefault="00575F5E" w:rsidP="00A41668">
      <w:pPr>
        <w:rPr>
          <w:sz w:val="22"/>
        </w:rPr>
      </w:pPr>
      <w:r w:rsidRPr="005138D5">
        <w:rPr>
          <w:sz w:val="22"/>
        </w:rPr>
        <w:t xml:space="preserve">Pacjenci, w szczególności dzieci, z czynnikami ryzyka wystąpienia ostrego zapalenia trzustki </w:t>
      </w:r>
    </w:p>
    <w:p w14:paraId="68510CD8" w14:textId="77777777" w:rsidR="00EA6AEB" w:rsidRPr="005138D5" w:rsidRDefault="00575F5E" w:rsidP="00A41668">
      <w:pPr>
        <w:rPr>
          <w:sz w:val="22"/>
        </w:rPr>
      </w:pPr>
      <w:r w:rsidRPr="005138D5">
        <w:rPr>
          <w:sz w:val="22"/>
        </w:rPr>
        <w:t xml:space="preserve">(np. niedawno przebyta chemioterapia, przeszczep macierzystych komórek krwiotwórczych </w:t>
      </w:r>
    </w:p>
    <w:p w14:paraId="0866A180" w14:textId="77777777" w:rsidR="00575F5E" w:rsidRPr="005138D5" w:rsidRDefault="00575F5E" w:rsidP="00A41668">
      <w:pPr>
        <w:rPr>
          <w:sz w:val="22"/>
        </w:rPr>
      </w:pPr>
      <w:r w:rsidRPr="005138D5">
        <w:rPr>
          <w:sz w:val="22"/>
        </w:rPr>
        <w:t xml:space="preserve">(ang. </w:t>
      </w:r>
      <w:r w:rsidRPr="005138D5">
        <w:rPr>
          <w:i/>
          <w:sz w:val="22"/>
        </w:rPr>
        <w:t xml:space="preserve">Hematopoietic </w:t>
      </w:r>
      <w:r w:rsidR="0005204F" w:rsidRPr="005138D5">
        <w:rPr>
          <w:i/>
          <w:sz w:val="22"/>
        </w:rPr>
        <w:t xml:space="preserve">Stem Cell Transplantation </w:t>
      </w:r>
      <w:r w:rsidRPr="005138D5">
        <w:rPr>
          <w:i/>
          <w:sz w:val="22"/>
        </w:rPr>
        <w:t>-</w:t>
      </w:r>
      <w:r w:rsidRPr="005138D5">
        <w:rPr>
          <w:sz w:val="22"/>
        </w:rPr>
        <w:t xml:space="preserve"> HSCT) podczas leczenia </w:t>
      </w:r>
      <w:r w:rsidR="001B49FD" w:rsidRPr="005138D5">
        <w:rPr>
          <w:sz w:val="22"/>
        </w:rPr>
        <w:t xml:space="preserve">produktem leczniczym </w:t>
      </w:r>
      <w:r w:rsidR="00A94D1C" w:rsidRPr="005138D5">
        <w:rPr>
          <w:sz w:val="22"/>
        </w:rPr>
        <w:t>Voriconazole Accord</w:t>
      </w:r>
      <w:r w:rsidR="00A94D1C" w:rsidRPr="005138D5" w:rsidDel="00A94D1C">
        <w:rPr>
          <w:sz w:val="22"/>
        </w:rPr>
        <w:t xml:space="preserve"> </w:t>
      </w:r>
      <w:r w:rsidRPr="005138D5">
        <w:rPr>
          <w:sz w:val="22"/>
        </w:rPr>
        <w:t>powinni podlegać ścisłej kontroli. W takiej sytuacji klinicznej można rozważyć badanie aktywności amylazy lub lipazy w surowicy krwi.</w:t>
      </w:r>
    </w:p>
    <w:p w14:paraId="644E559C" w14:textId="77777777" w:rsidR="00575F5E" w:rsidRPr="005138D5" w:rsidRDefault="00575F5E" w:rsidP="00A41668">
      <w:pPr>
        <w:widowControl/>
        <w:rPr>
          <w:bCs/>
          <w:sz w:val="22"/>
        </w:rPr>
      </w:pPr>
    </w:p>
    <w:p w14:paraId="2C371EA9" w14:textId="77777777" w:rsidR="008B5628" w:rsidRPr="005138D5" w:rsidRDefault="008B5628" w:rsidP="00A41668">
      <w:pPr>
        <w:rPr>
          <w:bCs/>
          <w:sz w:val="22"/>
          <w:u w:val="single"/>
        </w:rPr>
      </w:pPr>
      <w:r w:rsidRPr="005138D5">
        <w:rPr>
          <w:bCs/>
          <w:sz w:val="22"/>
          <w:u w:val="single"/>
        </w:rPr>
        <w:t xml:space="preserve">Dzieci i młodzież </w:t>
      </w:r>
    </w:p>
    <w:p w14:paraId="599FFCD4" w14:textId="77777777" w:rsidR="00EA6AEB" w:rsidRPr="005138D5" w:rsidRDefault="00575F5E" w:rsidP="00A41668">
      <w:pPr>
        <w:rPr>
          <w:bCs/>
          <w:sz w:val="22"/>
        </w:rPr>
      </w:pPr>
      <w:r w:rsidRPr="005138D5">
        <w:rPr>
          <w:bCs/>
          <w:sz w:val="22"/>
        </w:rPr>
        <w:t xml:space="preserve">Nie ustalono bezpieczeństwa i skuteczności </w:t>
      </w:r>
      <w:r w:rsidR="000F6BF1" w:rsidRPr="005138D5">
        <w:rPr>
          <w:bCs/>
          <w:sz w:val="22"/>
        </w:rPr>
        <w:t>worykonazolu</w:t>
      </w:r>
      <w:r w:rsidRPr="005138D5">
        <w:rPr>
          <w:bCs/>
          <w:sz w:val="22"/>
        </w:rPr>
        <w:t xml:space="preserve"> u pacjentów </w:t>
      </w:r>
    </w:p>
    <w:p w14:paraId="69B33D23" w14:textId="77777777" w:rsidR="00EA6AEB" w:rsidRPr="005138D5" w:rsidRDefault="00C807F9" w:rsidP="00A41668">
      <w:pPr>
        <w:rPr>
          <w:sz w:val="22"/>
        </w:rPr>
      </w:pPr>
      <w:r w:rsidRPr="005138D5">
        <w:rPr>
          <w:bCs/>
          <w:sz w:val="22"/>
        </w:rPr>
        <w:t xml:space="preserve">w wieku </w:t>
      </w:r>
      <w:r w:rsidR="00575F5E" w:rsidRPr="005138D5">
        <w:rPr>
          <w:bCs/>
          <w:sz w:val="22"/>
        </w:rPr>
        <w:t>poniżej 2</w:t>
      </w:r>
      <w:r w:rsidR="00386A06" w:rsidRPr="005138D5">
        <w:rPr>
          <w:bCs/>
          <w:sz w:val="22"/>
        </w:rPr>
        <w:t> lat</w:t>
      </w:r>
      <w:r w:rsidR="00575F5E" w:rsidRPr="005138D5">
        <w:rPr>
          <w:bCs/>
          <w:sz w:val="22"/>
        </w:rPr>
        <w:t xml:space="preserve"> (patrz także punkty 4.8 i 5.1). </w:t>
      </w:r>
      <w:r w:rsidR="00575F5E" w:rsidRPr="005138D5">
        <w:rPr>
          <w:sz w:val="22"/>
        </w:rPr>
        <w:t>Worykonazol jest wskazany u dzieci w wieku 2</w:t>
      </w:r>
      <w:r w:rsidR="00386A06" w:rsidRPr="005138D5">
        <w:rPr>
          <w:sz w:val="22"/>
        </w:rPr>
        <w:t> lat</w:t>
      </w:r>
      <w:r w:rsidR="00575F5E" w:rsidRPr="005138D5">
        <w:rPr>
          <w:sz w:val="22"/>
        </w:rPr>
        <w:t xml:space="preserve"> lub starszych. </w:t>
      </w:r>
      <w:r w:rsidR="002528AC" w:rsidRPr="005138D5">
        <w:rPr>
          <w:sz w:val="22"/>
        </w:rPr>
        <w:t xml:space="preserve">U dzieci i młodzieży obserwowano większą częstość występowania przypadków zwiększenia aktywności enzymów wątrobowych (patrz punkt 4.8). </w:t>
      </w:r>
      <w:r w:rsidR="00575F5E" w:rsidRPr="005138D5">
        <w:rPr>
          <w:sz w:val="22"/>
        </w:rPr>
        <w:t>Czynność wątroby należy monitorować zarówno u dzieci, jak i u dorosłych. Biodostępność po podaniu doustnym może być zmniejszona u dzieci w wieku od 2 do &lt;12</w:t>
      </w:r>
      <w:r w:rsidR="00386A06" w:rsidRPr="005138D5">
        <w:rPr>
          <w:sz w:val="22"/>
        </w:rPr>
        <w:t> lat</w:t>
      </w:r>
      <w:r w:rsidR="00575F5E" w:rsidRPr="005138D5">
        <w:rPr>
          <w:sz w:val="22"/>
        </w:rPr>
        <w:t xml:space="preserve"> </w:t>
      </w:r>
    </w:p>
    <w:p w14:paraId="1C3D45AD" w14:textId="77777777" w:rsidR="00575F5E" w:rsidRDefault="00575F5E" w:rsidP="00A41668">
      <w:pPr>
        <w:rPr>
          <w:sz w:val="22"/>
        </w:rPr>
      </w:pPr>
      <w:r w:rsidRPr="005138D5">
        <w:rPr>
          <w:sz w:val="22"/>
        </w:rPr>
        <w:t>z zaburzeniami wchłaniania lub bardzo małą masą ciała w stosunku do wieku. W takim przypadku zalecane jest podawanie worykonazolu dożylnie.</w:t>
      </w:r>
    </w:p>
    <w:p w14:paraId="75A6CF24" w14:textId="77777777" w:rsidR="00D274B6" w:rsidRPr="005138D5" w:rsidRDefault="00D274B6" w:rsidP="00A41668">
      <w:pPr>
        <w:rPr>
          <w:sz w:val="22"/>
        </w:rPr>
      </w:pPr>
    </w:p>
    <w:p w14:paraId="1B659B5B" w14:textId="77777777" w:rsidR="008A7D0D" w:rsidRPr="005138D5" w:rsidRDefault="00D274B6" w:rsidP="00A41668">
      <w:pPr>
        <w:rPr>
          <w:sz w:val="22"/>
        </w:rPr>
      </w:pPr>
      <w:r>
        <w:rPr>
          <w:bCs/>
          <w:u w:val="single"/>
        </w:rPr>
        <w:t>Ciężkie</w:t>
      </w:r>
      <w:r w:rsidRPr="005C2589">
        <w:rPr>
          <w:bCs/>
          <w:u w:val="single"/>
        </w:rPr>
        <w:t xml:space="preserve"> </w:t>
      </w:r>
      <w:r w:rsidRPr="00F621C9">
        <w:rPr>
          <w:bCs/>
          <w:u w:val="single"/>
        </w:rPr>
        <w:t xml:space="preserve">niepożądane </w:t>
      </w:r>
      <w:r>
        <w:rPr>
          <w:bCs/>
          <w:u w:val="single"/>
        </w:rPr>
        <w:t>reakcje dermatologiczne (w tym r</w:t>
      </w:r>
      <w:r w:rsidRPr="005C2589">
        <w:rPr>
          <w:bCs/>
          <w:u w:val="single"/>
        </w:rPr>
        <w:t>ak kolczystokomórkowy skóry</w:t>
      </w:r>
      <w:r>
        <w:rPr>
          <w:bCs/>
          <w:u w:val="single"/>
        </w:rPr>
        <w:t>)</w:t>
      </w:r>
    </w:p>
    <w:p w14:paraId="2405AE87" w14:textId="77777777" w:rsidR="008A7D0D" w:rsidRPr="005138D5" w:rsidRDefault="008A7D0D" w:rsidP="008A7D0D">
      <w:pPr>
        <w:rPr>
          <w:sz w:val="22"/>
        </w:rPr>
      </w:pPr>
      <w:r w:rsidRPr="005138D5">
        <w:rPr>
          <w:sz w:val="22"/>
        </w:rPr>
        <w:t xml:space="preserve">U dzieci i młodzieży częstość </w:t>
      </w:r>
      <w:r w:rsidRPr="005138D5">
        <w:rPr>
          <w:bCs/>
          <w:sz w:val="22"/>
        </w:rPr>
        <w:t xml:space="preserve">występowania reakcji fototoksycznych jest </w:t>
      </w:r>
      <w:r w:rsidRPr="005138D5">
        <w:rPr>
          <w:sz w:val="22"/>
        </w:rPr>
        <w:t xml:space="preserve">większa. Jako że odnotowano rozwój </w:t>
      </w:r>
      <w:r w:rsidRPr="005138D5">
        <w:rPr>
          <w:iCs/>
          <w:sz w:val="22"/>
        </w:rPr>
        <w:t>raka kolczystokomórkowego skóry, w tej grupie pacjentów uzasadnione jest stosowanie rygorystycznych środków chroniących przed promieniowaniem słonecznym</w:t>
      </w:r>
      <w:r w:rsidRPr="005138D5">
        <w:rPr>
          <w:sz w:val="22"/>
        </w:rPr>
        <w:t>. W przypadku dzieci z objawami fotostarzenia się skóry, takimi jak plamy soczewicowate lub piegi, zaleca się unikanie słońca i kontynuowanie kontroli dermatologicznych nawet po zakończeniu leczenia.</w:t>
      </w:r>
    </w:p>
    <w:p w14:paraId="09053AED" w14:textId="77777777" w:rsidR="008A7D0D" w:rsidRPr="005138D5" w:rsidRDefault="008A7D0D" w:rsidP="008A7D0D">
      <w:pPr>
        <w:pStyle w:val="Tekstpodstawowy2"/>
        <w:jc w:val="left"/>
        <w:rPr>
          <w:rFonts w:ascii="Times New Roman" w:hAnsi="Times New Roman"/>
          <w:bCs/>
        </w:rPr>
      </w:pPr>
    </w:p>
    <w:p w14:paraId="28B24D52" w14:textId="77777777" w:rsidR="008A7D0D" w:rsidRPr="005138D5" w:rsidRDefault="008A7D0D" w:rsidP="008A7D0D">
      <w:pPr>
        <w:pStyle w:val="Default"/>
        <w:rPr>
          <w:sz w:val="22"/>
          <w:szCs w:val="22"/>
          <w:u w:val="single"/>
          <w:lang w:val="pl-PL"/>
        </w:rPr>
      </w:pPr>
      <w:r w:rsidRPr="005138D5">
        <w:rPr>
          <w:sz w:val="22"/>
          <w:szCs w:val="22"/>
          <w:u w:val="single"/>
          <w:lang w:val="pl-PL"/>
        </w:rPr>
        <w:t>Profilaktyka</w:t>
      </w:r>
    </w:p>
    <w:p w14:paraId="5B4D179B" w14:textId="77777777" w:rsidR="008A7D0D" w:rsidRPr="005138D5" w:rsidRDefault="008A7D0D" w:rsidP="008A7D0D">
      <w:pPr>
        <w:pStyle w:val="Default"/>
        <w:rPr>
          <w:sz w:val="22"/>
          <w:szCs w:val="22"/>
          <w:lang w:val="pl-PL"/>
        </w:rPr>
      </w:pPr>
      <w:r w:rsidRPr="005138D5">
        <w:rPr>
          <w:bCs/>
          <w:sz w:val="22"/>
          <w:szCs w:val="22"/>
          <w:lang w:val="pl-PL"/>
        </w:rPr>
        <w:t xml:space="preserve">W przypadku wystąpienia zdarzeń niepożądanych związanych z leczeniem </w:t>
      </w:r>
      <w:r w:rsidRPr="005138D5">
        <w:rPr>
          <w:sz w:val="22"/>
          <w:szCs w:val="22"/>
          <w:lang w:val="pl-PL"/>
        </w:rPr>
        <w:t>(h</w:t>
      </w:r>
      <w:r w:rsidRPr="005138D5">
        <w:rPr>
          <w:bCs/>
          <w:sz w:val="22"/>
          <w:szCs w:val="22"/>
          <w:lang w:val="pl-PL"/>
        </w:rPr>
        <w:t>epatotoksyczności</w:t>
      </w:r>
      <w:r w:rsidRPr="005138D5">
        <w:rPr>
          <w:sz w:val="22"/>
          <w:szCs w:val="22"/>
          <w:lang w:val="pl-PL"/>
        </w:rPr>
        <w:t xml:space="preserve">, ciężkich reakcji skórnych, w tym fototoksyczności i raka </w:t>
      </w:r>
      <w:r w:rsidRPr="005138D5">
        <w:rPr>
          <w:iCs/>
          <w:sz w:val="22"/>
          <w:szCs w:val="22"/>
          <w:lang w:val="pl-PL"/>
        </w:rPr>
        <w:t>kolczystokomórkowego skóry</w:t>
      </w:r>
      <w:r w:rsidRPr="005138D5">
        <w:rPr>
          <w:sz w:val="22"/>
          <w:szCs w:val="22"/>
          <w:lang w:val="pl-PL"/>
        </w:rPr>
        <w:t xml:space="preserve">, ciężkich lub </w:t>
      </w:r>
      <w:r w:rsidRPr="005138D5">
        <w:rPr>
          <w:bCs/>
          <w:sz w:val="22"/>
          <w:szCs w:val="22"/>
          <w:lang w:val="pl-PL"/>
        </w:rPr>
        <w:t xml:space="preserve">przedłużonych zaburzeń widzenia oraz </w:t>
      </w:r>
      <w:r w:rsidRPr="005138D5">
        <w:rPr>
          <w:sz w:val="22"/>
          <w:szCs w:val="22"/>
          <w:lang w:val="pl-PL"/>
        </w:rPr>
        <w:t xml:space="preserve">zapalenia okostnej) </w:t>
      </w:r>
      <w:r w:rsidRPr="005138D5">
        <w:rPr>
          <w:bCs/>
          <w:sz w:val="22"/>
          <w:szCs w:val="22"/>
          <w:lang w:val="pl-PL"/>
        </w:rPr>
        <w:t>należy rozważyć przerwanie stosowania worykonazolu i zastosowanie alternatywnych leków przeciwgrzybiczych</w:t>
      </w:r>
      <w:r w:rsidRPr="005138D5">
        <w:rPr>
          <w:sz w:val="22"/>
          <w:szCs w:val="22"/>
          <w:lang w:val="pl-PL"/>
        </w:rPr>
        <w:t>.</w:t>
      </w:r>
    </w:p>
    <w:p w14:paraId="378F86D3" w14:textId="77777777" w:rsidR="008E45F8" w:rsidRPr="005138D5" w:rsidRDefault="008E45F8" w:rsidP="00A41668">
      <w:pPr>
        <w:pStyle w:val="Tekstpodstawowy2"/>
        <w:jc w:val="left"/>
        <w:rPr>
          <w:rFonts w:ascii="Times New Roman" w:hAnsi="Times New Roman"/>
          <w:bCs/>
        </w:rPr>
      </w:pPr>
    </w:p>
    <w:p w14:paraId="18342D9D" w14:textId="77777777" w:rsidR="0032058C" w:rsidRPr="005138D5" w:rsidRDefault="00575F5E" w:rsidP="00A41668">
      <w:pPr>
        <w:widowControl/>
        <w:rPr>
          <w:bCs/>
          <w:sz w:val="22"/>
          <w:u w:val="single"/>
        </w:rPr>
      </w:pPr>
      <w:r w:rsidRPr="005138D5">
        <w:rPr>
          <w:bCs/>
          <w:sz w:val="22"/>
          <w:u w:val="single"/>
        </w:rPr>
        <w:t xml:space="preserve">Fenytoina (substrat dla </w:t>
      </w:r>
      <w:r w:rsidR="00803F9F" w:rsidRPr="005138D5">
        <w:rPr>
          <w:bCs/>
          <w:sz w:val="22"/>
          <w:u w:val="single"/>
        </w:rPr>
        <w:t xml:space="preserve">CYP2C9 </w:t>
      </w:r>
      <w:r w:rsidRPr="005138D5">
        <w:rPr>
          <w:bCs/>
          <w:sz w:val="22"/>
          <w:u w:val="single"/>
        </w:rPr>
        <w:t>i silny induktor CYP450)</w:t>
      </w:r>
    </w:p>
    <w:p w14:paraId="24C69529" w14:textId="77777777" w:rsidR="00575F5E" w:rsidRPr="005138D5" w:rsidRDefault="00575F5E" w:rsidP="00A41668">
      <w:pPr>
        <w:widowControl/>
        <w:rPr>
          <w:bCs/>
          <w:sz w:val="22"/>
        </w:rPr>
      </w:pPr>
      <w:r w:rsidRPr="005138D5">
        <w:rPr>
          <w:bCs/>
          <w:sz w:val="22"/>
        </w:rPr>
        <w:t xml:space="preserve">W razie jednoczesnego stosowania fenytoiny i worykonazolu konieczne jest </w:t>
      </w:r>
      <w:r w:rsidR="00D546FA" w:rsidRPr="005138D5">
        <w:rPr>
          <w:bCs/>
          <w:sz w:val="22"/>
        </w:rPr>
        <w:t xml:space="preserve">ścisłe </w:t>
      </w:r>
      <w:r w:rsidRPr="005138D5">
        <w:rPr>
          <w:bCs/>
          <w:sz w:val="22"/>
        </w:rPr>
        <w:t>monitorowanie stężeń fenytoiny we krwi. Należy unikać jednoczesnego podawania obu leków, chyba że oczekiwane korzyści przeważają ryzyko (patrz punkt 4.5).</w:t>
      </w:r>
    </w:p>
    <w:p w14:paraId="7155176A" w14:textId="77777777" w:rsidR="00575F5E" w:rsidRPr="005138D5" w:rsidRDefault="00575F5E" w:rsidP="00A41668">
      <w:pPr>
        <w:widowControl/>
        <w:rPr>
          <w:bCs/>
          <w:sz w:val="22"/>
        </w:rPr>
      </w:pPr>
    </w:p>
    <w:p w14:paraId="68702F52" w14:textId="77777777" w:rsidR="0032058C" w:rsidRPr="005138D5" w:rsidRDefault="0032058C" w:rsidP="0032058C">
      <w:pPr>
        <w:pStyle w:val="Tekstprzypisukocowego"/>
        <w:rPr>
          <w:u w:val="single"/>
          <w:lang w:val="en-US"/>
        </w:rPr>
      </w:pPr>
      <w:proofErr w:type="spellStart"/>
      <w:r w:rsidRPr="005138D5">
        <w:rPr>
          <w:u w:val="single"/>
          <w:lang w:val="en-US"/>
        </w:rPr>
        <w:t>Efawirenz</w:t>
      </w:r>
      <w:proofErr w:type="spellEnd"/>
      <w:r w:rsidRPr="005138D5">
        <w:rPr>
          <w:u w:val="single"/>
          <w:lang w:val="en-US"/>
        </w:rPr>
        <w:t xml:space="preserve"> (</w:t>
      </w:r>
      <w:proofErr w:type="spellStart"/>
      <w:r w:rsidR="00DC1631" w:rsidRPr="005138D5">
        <w:rPr>
          <w:u w:val="single"/>
          <w:lang w:val="en-US"/>
        </w:rPr>
        <w:t>induktor</w:t>
      </w:r>
      <w:proofErr w:type="spellEnd"/>
      <w:r w:rsidR="00DC1631" w:rsidRPr="005138D5">
        <w:rPr>
          <w:u w:val="single"/>
          <w:lang w:val="en-US"/>
        </w:rPr>
        <w:t xml:space="preserve"> </w:t>
      </w:r>
      <w:r w:rsidRPr="005138D5">
        <w:rPr>
          <w:u w:val="single"/>
          <w:lang w:val="en-US"/>
        </w:rPr>
        <w:t xml:space="preserve">CYP450; inhibitor </w:t>
      </w:r>
      <w:proofErr w:type="spellStart"/>
      <w:r w:rsidRPr="005138D5">
        <w:rPr>
          <w:u w:val="single"/>
          <w:lang w:val="en-US"/>
        </w:rPr>
        <w:t>i</w:t>
      </w:r>
      <w:proofErr w:type="spellEnd"/>
      <w:r w:rsidRPr="005138D5">
        <w:rPr>
          <w:u w:val="single"/>
          <w:lang w:val="en-US"/>
        </w:rPr>
        <w:t xml:space="preserve"> </w:t>
      </w:r>
      <w:proofErr w:type="spellStart"/>
      <w:r w:rsidRPr="005138D5">
        <w:rPr>
          <w:u w:val="single"/>
          <w:lang w:val="en-US"/>
        </w:rPr>
        <w:t>substrat</w:t>
      </w:r>
      <w:proofErr w:type="spellEnd"/>
      <w:r w:rsidRPr="005138D5">
        <w:rPr>
          <w:u w:val="single"/>
          <w:lang w:val="en-US"/>
        </w:rPr>
        <w:t xml:space="preserve"> CYP3A4)</w:t>
      </w:r>
    </w:p>
    <w:p w14:paraId="32D459B2" w14:textId="77777777" w:rsidR="0032058C" w:rsidRDefault="0032058C" w:rsidP="0032058C">
      <w:pPr>
        <w:pStyle w:val="Tekstprzypisukocowego"/>
        <w:rPr>
          <w:lang w:val="pl-PL"/>
        </w:rPr>
      </w:pPr>
      <w:r w:rsidRPr="005138D5">
        <w:rPr>
          <w:lang w:val="pl-PL"/>
        </w:rPr>
        <w:t>Jeżeli worykonazol jest podawany jednocześnie z lekiem efawirenz, należy zwiększyć dawkę worykonazolu do 400</w:t>
      </w:r>
      <w:r w:rsidR="00086D10" w:rsidRPr="005138D5">
        <w:rPr>
          <w:lang w:val="pl-PL"/>
        </w:rPr>
        <w:t> mg</w:t>
      </w:r>
      <w:r w:rsidRPr="005138D5">
        <w:rPr>
          <w:lang w:val="pl-PL"/>
        </w:rPr>
        <w:t xml:space="preserve"> podawanych co 12</w:t>
      </w:r>
      <w:r w:rsidR="00386A06" w:rsidRPr="005138D5">
        <w:rPr>
          <w:lang w:val="pl-PL"/>
        </w:rPr>
        <w:t> godzin</w:t>
      </w:r>
      <w:r w:rsidRPr="005138D5">
        <w:rPr>
          <w:lang w:val="pl-PL"/>
        </w:rPr>
        <w:t>, a dawkę leku efawirenz należy zmniejszyć do 300</w:t>
      </w:r>
      <w:r w:rsidR="00086D10" w:rsidRPr="005138D5">
        <w:rPr>
          <w:lang w:val="pl-PL"/>
        </w:rPr>
        <w:t> mg</w:t>
      </w:r>
      <w:r w:rsidRPr="005138D5">
        <w:rPr>
          <w:lang w:val="pl-PL"/>
        </w:rPr>
        <w:t xml:space="preserve"> na dobę (patrz punkt</w:t>
      </w:r>
      <w:r w:rsidR="002759AF" w:rsidRPr="005138D5">
        <w:rPr>
          <w:lang w:val="pl-PL"/>
        </w:rPr>
        <w:t>y</w:t>
      </w:r>
      <w:r w:rsidRPr="005138D5">
        <w:rPr>
          <w:lang w:val="pl-PL"/>
        </w:rPr>
        <w:t xml:space="preserve"> 4.2</w:t>
      </w:r>
      <w:r w:rsidR="00887118" w:rsidRPr="005138D5">
        <w:rPr>
          <w:lang w:val="pl-PL"/>
        </w:rPr>
        <w:t>, 4.3</w:t>
      </w:r>
      <w:r w:rsidRPr="005138D5">
        <w:rPr>
          <w:lang w:val="pl-PL"/>
        </w:rPr>
        <w:t xml:space="preserve"> i 4.5).</w:t>
      </w:r>
    </w:p>
    <w:p w14:paraId="1781D3A3" w14:textId="77777777" w:rsidR="00D56734" w:rsidRPr="00D56734" w:rsidRDefault="00D56734" w:rsidP="0032058C">
      <w:pPr>
        <w:pStyle w:val="Tekstprzypisukocowego"/>
        <w:rPr>
          <w:u w:val="single"/>
          <w:lang w:val="pl-PL"/>
        </w:rPr>
      </w:pPr>
    </w:p>
    <w:p w14:paraId="6AA0E31D" w14:textId="77777777" w:rsidR="00D56734" w:rsidRPr="00D56734" w:rsidRDefault="00D56734" w:rsidP="0032058C">
      <w:pPr>
        <w:pStyle w:val="Tekstprzypisukocowego"/>
        <w:rPr>
          <w:u w:val="single"/>
          <w:lang w:val="pl-PL"/>
        </w:rPr>
      </w:pPr>
      <w:r w:rsidRPr="00D56734">
        <w:rPr>
          <w:u w:val="single"/>
          <w:lang w:val="pl-PL"/>
        </w:rPr>
        <w:t xml:space="preserve">Glasdegib (substrat CYP3A4) </w:t>
      </w:r>
    </w:p>
    <w:p w14:paraId="3935B3A4" w14:textId="77777777" w:rsidR="00D56734" w:rsidRDefault="00D56734" w:rsidP="0032058C">
      <w:pPr>
        <w:pStyle w:val="Tekstprzypisukocowego"/>
        <w:rPr>
          <w:lang w:val="pl-PL"/>
        </w:rPr>
      </w:pPr>
      <w:r w:rsidRPr="00D56734">
        <w:rPr>
          <w:lang w:val="pl-PL"/>
        </w:rPr>
        <w:t xml:space="preserve">Oczekuje się, że jednoczesne stosowanie worykonazolu będzie zwiększać stężenie glasdegibu w osoczu oraz ryzyko wydłużenia odstępu QTc (patrz punkt 4.5). Jeśli nie można uniknąć jednoczesnego stosowania tych produktów, zaleca się częste monitorowanie EKG. </w:t>
      </w:r>
    </w:p>
    <w:p w14:paraId="5C3967D4" w14:textId="77777777" w:rsidR="00D56734" w:rsidRDefault="00D56734" w:rsidP="0032058C">
      <w:pPr>
        <w:pStyle w:val="Tekstprzypisukocowego"/>
        <w:rPr>
          <w:lang w:val="pl-PL"/>
        </w:rPr>
      </w:pPr>
    </w:p>
    <w:p w14:paraId="21511446" w14:textId="77777777" w:rsidR="00D56734" w:rsidRPr="00D56734" w:rsidRDefault="00D56734" w:rsidP="0032058C">
      <w:pPr>
        <w:pStyle w:val="Tekstprzypisukocowego"/>
        <w:rPr>
          <w:u w:val="single"/>
          <w:lang w:val="pl-PL"/>
        </w:rPr>
      </w:pPr>
      <w:r w:rsidRPr="00D56734">
        <w:rPr>
          <w:u w:val="single"/>
          <w:lang w:val="pl-PL"/>
        </w:rPr>
        <w:t xml:space="preserve">Inhibitory kinazy tyrozynowej (substrat CYP3A4) </w:t>
      </w:r>
    </w:p>
    <w:p w14:paraId="3E837641" w14:textId="77777777" w:rsidR="00D56734" w:rsidRPr="00D56734" w:rsidRDefault="00D56734" w:rsidP="0032058C">
      <w:pPr>
        <w:pStyle w:val="Tekstprzypisukocowego"/>
        <w:rPr>
          <w:lang w:val="pl-PL"/>
        </w:rPr>
      </w:pPr>
      <w:r w:rsidRPr="00D56734">
        <w:rPr>
          <w:lang w:val="pl-PL"/>
        </w:rPr>
        <w:t>Oczekuje się, że jednoczesne stosowanie worykonazolu z inhibitorami kinazy tyrozynowej metabolizowanymi przez CYP3A4 zwiększy stężenie inhibitora kinazy tyrozynowej w osoczu oraz ryzyko działań niepożądanych. Jeśli nie można uniknąć jednoczesnego stosowania tych produktów, zaleca się zmniejszenie dawki inhibitora kinazy tyrozynowej i dokładną obserwację kliniczną pacjenta (patrz punkt 4.5).</w:t>
      </w:r>
    </w:p>
    <w:p w14:paraId="545C77A0" w14:textId="77777777" w:rsidR="0032058C" w:rsidRPr="005138D5" w:rsidRDefault="0032058C" w:rsidP="00A41668">
      <w:pPr>
        <w:widowControl/>
        <w:rPr>
          <w:bCs/>
          <w:sz w:val="22"/>
        </w:rPr>
      </w:pPr>
    </w:p>
    <w:p w14:paraId="7A66110F" w14:textId="77777777" w:rsidR="006E1613" w:rsidRPr="005138D5" w:rsidRDefault="00575F5E" w:rsidP="00A41668">
      <w:pPr>
        <w:widowControl/>
        <w:rPr>
          <w:bCs/>
          <w:sz w:val="22"/>
          <w:u w:val="single"/>
        </w:rPr>
      </w:pPr>
      <w:r w:rsidRPr="005138D5">
        <w:rPr>
          <w:bCs/>
          <w:sz w:val="22"/>
          <w:u w:val="single"/>
        </w:rPr>
        <w:t>Ryfabutyna (</w:t>
      </w:r>
      <w:r w:rsidR="008A7D0D" w:rsidRPr="005138D5">
        <w:rPr>
          <w:bCs/>
          <w:sz w:val="22"/>
          <w:u w:val="single"/>
        </w:rPr>
        <w:t xml:space="preserve">silny </w:t>
      </w:r>
      <w:r w:rsidRPr="005138D5">
        <w:rPr>
          <w:bCs/>
          <w:sz w:val="22"/>
          <w:u w:val="single"/>
        </w:rPr>
        <w:t>induktor CYP450)</w:t>
      </w:r>
    </w:p>
    <w:p w14:paraId="38A967C8" w14:textId="77777777" w:rsidR="00EA6AEB" w:rsidRPr="005138D5" w:rsidRDefault="00575F5E" w:rsidP="00A41668">
      <w:pPr>
        <w:widowControl/>
        <w:rPr>
          <w:bCs/>
          <w:sz w:val="22"/>
        </w:rPr>
      </w:pPr>
      <w:r w:rsidRPr="005138D5">
        <w:rPr>
          <w:bCs/>
          <w:sz w:val="22"/>
        </w:rPr>
        <w:t>Podczas jednoczesnego stosowania worykonazolu i ryfabutyny konieczne jest</w:t>
      </w:r>
      <w:r w:rsidR="00D546FA" w:rsidRPr="005138D5">
        <w:rPr>
          <w:bCs/>
          <w:sz w:val="22"/>
        </w:rPr>
        <w:t xml:space="preserve"> ścisłe</w:t>
      </w:r>
      <w:r w:rsidRPr="005138D5">
        <w:rPr>
          <w:bCs/>
          <w:sz w:val="22"/>
        </w:rPr>
        <w:t xml:space="preserve"> monitorowanie morfologii krwi oraz kontrola </w:t>
      </w:r>
      <w:r w:rsidR="004B0850" w:rsidRPr="005138D5">
        <w:rPr>
          <w:bCs/>
          <w:sz w:val="22"/>
        </w:rPr>
        <w:t xml:space="preserve">reakcji </w:t>
      </w:r>
      <w:r w:rsidRPr="005138D5">
        <w:rPr>
          <w:bCs/>
          <w:sz w:val="22"/>
        </w:rPr>
        <w:t xml:space="preserve">niepożądanych związanych ze stosowaniem ryfabutyny </w:t>
      </w:r>
    </w:p>
    <w:p w14:paraId="55FF3CE5" w14:textId="77777777" w:rsidR="00575F5E" w:rsidRPr="005138D5" w:rsidRDefault="00575F5E" w:rsidP="00A41668">
      <w:pPr>
        <w:widowControl/>
        <w:rPr>
          <w:bCs/>
          <w:sz w:val="22"/>
        </w:rPr>
      </w:pPr>
      <w:r w:rsidRPr="005138D5">
        <w:rPr>
          <w:bCs/>
          <w:sz w:val="22"/>
        </w:rPr>
        <w:t>(np. zapalenie naczyniówki). Należy unikać jednoczesnego podawania obu leków, chyba że oczekiwane korzyści przeważają ryzyko (patrz punkt 4.5).</w:t>
      </w:r>
    </w:p>
    <w:p w14:paraId="3BD003D8" w14:textId="77777777" w:rsidR="00575F5E" w:rsidRPr="005138D5" w:rsidRDefault="00575F5E" w:rsidP="00A41668">
      <w:pPr>
        <w:widowControl/>
        <w:rPr>
          <w:bCs/>
          <w:sz w:val="22"/>
        </w:rPr>
      </w:pPr>
    </w:p>
    <w:p w14:paraId="36304977" w14:textId="77777777" w:rsidR="00382F58" w:rsidRPr="005138D5" w:rsidRDefault="008A0A14" w:rsidP="008A0A14">
      <w:pPr>
        <w:pStyle w:val="Default"/>
        <w:rPr>
          <w:sz w:val="22"/>
          <w:szCs w:val="22"/>
          <w:u w:val="single"/>
          <w:lang w:val="pl-PL"/>
        </w:rPr>
      </w:pPr>
      <w:r w:rsidRPr="005138D5">
        <w:rPr>
          <w:sz w:val="22"/>
          <w:szCs w:val="22"/>
          <w:u w:val="single"/>
          <w:lang w:val="pl-PL"/>
        </w:rPr>
        <w:t xml:space="preserve">Rytonawir (silny induktor CYP450; </w:t>
      </w:r>
      <w:r w:rsidR="00382F58" w:rsidRPr="005138D5">
        <w:rPr>
          <w:sz w:val="22"/>
          <w:szCs w:val="22"/>
          <w:u w:val="single"/>
          <w:lang w:val="pl-PL"/>
        </w:rPr>
        <w:t>inhibitor oraz substrat CYP3A4)</w:t>
      </w:r>
    </w:p>
    <w:p w14:paraId="757F2575" w14:textId="77777777" w:rsidR="008A0A14" w:rsidRPr="005138D5" w:rsidRDefault="008A0A14" w:rsidP="008A0A14">
      <w:pPr>
        <w:pStyle w:val="Default"/>
        <w:rPr>
          <w:sz w:val="22"/>
          <w:szCs w:val="22"/>
          <w:lang w:val="pl-PL"/>
        </w:rPr>
      </w:pPr>
      <w:r w:rsidRPr="005138D5">
        <w:rPr>
          <w:sz w:val="22"/>
          <w:szCs w:val="22"/>
          <w:lang w:val="pl-PL"/>
        </w:rPr>
        <w:t>Należy unikać jednoczesnego stosowania worykonazolu i rytonawiru w małej dawce (100</w:t>
      </w:r>
      <w:r w:rsidR="00086D10" w:rsidRPr="005138D5">
        <w:rPr>
          <w:sz w:val="22"/>
          <w:szCs w:val="22"/>
          <w:lang w:val="pl-PL"/>
        </w:rPr>
        <w:t> mg</w:t>
      </w:r>
      <w:r w:rsidRPr="005138D5">
        <w:rPr>
          <w:sz w:val="22"/>
          <w:szCs w:val="22"/>
          <w:lang w:val="pl-PL"/>
        </w:rPr>
        <w:t xml:space="preserve"> dwa razy na dobę), chyba że ocena stosunku korzyści do ryzyka uzasadnia stosowanie</w:t>
      </w:r>
      <w:r w:rsidR="008A7D0D" w:rsidRPr="005138D5">
        <w:rPr>
          <w:sz w:val="22"/>
          <w:szCs w:val="22"/>
          <w:lang w:val="pl-PL"/>
        </w:rPr>
        <w:t xml:space="preserve"> u pacjenta</w:t>
      </w:r>
      <w:r w:rsidRPr="005138D5">
        <w:rPr>
          <w:sz w:val="22"/>
          <w:szCs w:val="22"/>
          <w:lang w:val="pl-PL"/>
        </w:rPr>
        <w:t xml:space="preserve"> worykonazolu (patrz</w:t>
      </w:r>
      <w:r w:rsidR="009F296A" w:rsidRPr="005138D5">
        <w:rPr>
          <w:sz w:val="22"/>
          <w:szCs w:val="22"/>
          <w:lang w:val="pl-PL"/>
        </w:rPr>
        <w:t xml:space="preserve"> punkt</w:t>
      </w:r>
      <w:r w:rsidR="002759AF" w:rsidRPr="005138D5">
        <w:rPr>
          <w:sz w:val="22"/>
          <w:szCs w:val="22"/>
          <w:lang w:val="pl-PL"/>
        </w:rPr>
        <w:t>y</w:t>
      </w:r>
      <w:r w:rsidR="009F296A" w:rsidRPr="005138D5">
        <w:rPr>
          <w:sz w:val="22"/>
          <w:szCs w:val="22"/>
          <w:lang w:val="pl-PL"/>
        </w:rPr>
        <w:t xml:space="preserve"> 4.</w:t>
      </w:r>
      <w:r w:rsidR="008A7D0D" w:rsidRPr="005138D5">
        <w:rPr>
          <w:sz w:val="22"/>
          <w:szCs w:val="22"/>
          <w:lang w:val="pl-PL"/>
        </w:rPr>
        <w:t>3</w:t>
      </w:r>
      <w:r w:rsidR="009F296A" w:rsidRPr="005138D5">
        <w:rPr>
          <w:sz w:val="22"/>
          <w:szCs w:val="22"/>
          <w:lang w:val="pl-PL"/>
        </w:rPr>
        <w:t xml:space="preserve"> i </w:t>
      </w:r>
      <w:r w:rsidRPr="005138D5">
        <w:rPr>
          <w:sz w:val="22"/>
          <w:szCs w:val="22"/>
          <w:lang w:val="pl-PL"/>
        </w:rPr>
        <w:t>4.</w:t>
      </w:r>
      <w:r w:rsidR="008A7D0D" w:rsidRPr="005138D5">
        <w:rPr>
          <w:sz w:val="22"/>
          <w:szCs w:val="22"/>
          <w:lang w:val="pl-PL"/>
        </w:rPr>
        <w:t>5</w:t>
      </w:r>
      <w:r w:rsidRPr="005138D5">
        <w:rPr>
          <w:sz w:val="22"/>
          <w:szCs w:val="22"/>
          <w:lang w:val="pl-PL"/>
        </w:rPr>
        <w:t>).</w:t>
      </w:r>
    </w:p>
    <w:p w14:paraId="29CCE16E" w14:textId="77777777" w:rsidR="008A0A14" w:rsidRPr="005138D5" w:rsidRDefault="008A0A14" w:rsidP="008A0A14">
      <w:pPr>
        <w:widowControl/>
        <w:rPr>
          <w:bCs/>
          <w:sz w:val="22"/>
        </w:rPr>
      </w:pPr>
    </w:p>
    <w:p w14:paraId="33F11067" w14:textId="77777777" w:rsidR="00382F58" w:rsidRPr="005138D5" w:rsidRDefault="008A0A14" w:rsidP="008A0A14">
      <w:pPr>
        <w:widowControl/>
        <w:rPr>
          <w:bCs/>
          <w:sz w:val="22"/>
          <w:u w:val="single"/>
        </w:rPr>
      </w:pPr>
      <w:r w:rsidRPr="005138D5">
        <w:rPr>
          <w:bCs/>
          <w:sz w:val="22"/>
          <w:u w:val="single"/>
        </w:rPr>
        <w:t xml:space="preserve">Ewerolimus </w:t>
      </w:r>
      <w:r w:rsidR="00382F58" w:rsidRPr="005138D5">
        <w:rPr>
          <w:bCs/>
          <w:sz w:val="22"/>
          <w:u w:val="single"/>
        </w:rPr>
        <w:t>(substrat CYP3A4 oraz P-gp)</w:t>
      </w:r>
    </w:p>
    <w:p w14:paraId="420F1848" w14:textId="77777777" w:rsidR="008A0A14" w:rsidRDefault="008A0A14" w:rsidP="008A0A14">
      <w:pPr>
        <w:widowControl/>
        <w:rPr>
          <w:bCs/>
          <w:sz w:val="22"/>
        </w:rPr>
      </w:pPr>
      <w:r w:rsidRPr="005138D5">
        <w:rPr>
          <w:bCs/>
          <w:sz w:val="22"/>
        </w:rPr>
        <w:t>Nie zaleca się jednoczesnego stosowania worykonazolu i ewerolimusu, ponieważ worykonazol znacznie zwiększa stężenie ewerolimusu. Obecnie nie ma wystarczających danych pozwalających na zalecanie odpowiedniego dawkowania w takiej sytuacji (patrz punkt 4.5).</w:t>
      </w:r>
    </w:p>
    <w:p w14:paraId="58236C54" w14:textId="77777777" w:rsidR="005113EF" w:rsidRDefault="005113EF" w:rsidP="008A0A14">
      <w:pPr>
        <w:widowControl/>
        <w:rPr>
          <w:bCs/>
          <w:sz w:val="22"/>
        </w:rPr>
      </w:pPr>
    </w:p>
    <w:p w14:paraId="61FFBB1D" w14:textId="77777777" w:rsidR="009F296A" w:rsidRPr="005138D5" w:rsidRDefault="00575F5E" w:rsidP="00A41668">
      <w:pPr>
        <w:pStyle w:val="Tekstprzypisukocowego"/>
        <w:tabs>
          <w:tab w:val="clear" w:pos="567"/>
        </w:tabs>
        <w:rPr>
          <w:lang w:val="pl-PL"/>
        </w:rPr>
      </w:pPr>
      <w:r w:rsidRPr="005138D5">
        <w:rPr>
          <w:u w:val="single"/>
          <w:lang w:val="pl-PL"/>
        </w:rPr>
        <w:t>Metadon (substrat CYP3A4)</w:t>
      </w:r>
    </w:p>
    <w:p w14:paraId="2ABA3741" w14:textId="77777777" w:rsidR="00575F5E" w:rsidRPr="005138D5" w:rsidRDefault="00C0145D" w:rsidP="00A41668">
      <w:pPr>
        <w:pStyle w:val="Tekstprzypisukocowego"/>
        <w:tabs>
          <w:tab w:val="clear" w:pos="567"/>
        </w:tabs>
        <w:rPr>
          <w:lang w:val="pl-PL"/>
        </w:rPr>
      </w:pPr>
      <w:r w:rsidRPr="005138D5">
        <w:rPr>
          <w:lang w:val="pl-PL"/>
        </w:rPr>
        <w:t>S</w:t>
      </w:r>
      <w:r w:rsidR="00575F5E" w:rsidRPr="005138D5">
        <w:rPr>
          <w:lang w:val="pl-PL"/>
        </w:rPr>
        <w:t>tężeni</w:t>
      </w:r>
      <w:r w:rsidR="005A00DA" w:rsidRPr="005138D5">
        <w:rPr>
          <w:lang w:val="pl-PL"/>
        </w:rPr>
        <w:t>e</w:t>
      </w:r>
      <w:r w:rsidR="00575F5E" w:rsidRPr="005138D5">
        <w:rPr>
          <w:lang w:val="pl-PL"/>
        </w:rPr>
        <w:t xml:space="preserve"> metadonu po jednoczesnym </w:t>
      </w:r>
      <w:r w:rsidR="005A00DA" w:rsidRPr="005138D5">
        <w:rPr>
          <w:lang w:val="pl-PL"/>
        </w:rPr>
        <w:t>za</w:t>
      </w:r>
      <w:r w:rsidR="00575F5E" w:rsidRPr="005138D5">
        <w:rPr>
          <w:lang w:val="pl-PL"/>
        </w:rPr>
        <w:t>stosowaniu metadonu z worykonazolem</w:t>
      </w:r>
      <w:r w:rsidRPr="005138D5">
        <w:rPr>
          <w:lang w:val="pl-PL"/>
        </w:rPr>
        <w:t xml:space="preserve"> zwiększa się. </w:t>
      </w:r>
      <w:r w:rsidR="00575F5E" w:rsidRPr="005138D5">
        <w:rPr>
          <w:lang w:val="pl-PL"/>
        </w:rPr>
        <w:t xml:space="preserve">Z tego względu podczas jednoczesnego stosowania metadonu i worykonazolu zaleca się częste monitorowanie </w:t>
      </w:r>
      <w:r w:rsidRPr="005138D5">
        <w:rPr>
          <w:lang w:val="pl-PL"/>
        </w:rPr>
        <w:t xml:space="preserve">reakcji </w:t>
      </w:r>
      <w:r w:rsidR="00575F5E" w:rsidRPr="005138D5">
        <w:rPr>
          <w:lang w:val="pl-PL"/>
        </w:rPr>
        <w:t>niepożądanych i toksyczności związanych z przyjmowaniem metadonu, w tym wydłużenia odstępu QTc</w:t>
      </w:r>
      <w:r w:rsidR="00E9217C" w:rsidRPr="005138D5">
        <w:rPr>
          <w:lang w:val="pl-PL"/>
        </w:rPr>
        <w:t xml:space="preserve">. </w:t>
      </w:r>
      <w:r w:rsidR="00575F5E" w:rsidRPr="005138D5">
        <w:rPr>
          <w:lang w:val="pl-PL"/>
        </w:rPr>
        <w:t>Konieczne może być zmniejszenie dawki metadonu (patrz punkt 4.5).</w:t>
      </w:r>
    </w:p>
    <w:p w14:paraId="44E68BC9" w14:textId="77777777" w:rsidR="00575F5E" w:rsidRPr="005138D5" w:rsidRDefault="00575F5E" w:rsidP="00A41668">
      <w:pPr>
        <w:widowControl/>
        <w:rPr>
          <w:bCs/>
          <w:sz w:val="22"/>
        </w:rPr>
      </w:pPr>
    </w:p>
    <w:p w14:paraId="5B8D6952" w14:textId="77777777" w:rsidR="00783035" w:rsidRPr="005138D5" w:rsidRDefault="00AE4D44" w:rsidP="00AE4D44">
      <w:pPr>
        <w:pStyle w:val="Default"/>
        <w:rPr>
          <w:color w:val="auto"/>
          <w:sz w:val="22"/>
          <w:szCs w:val="22"/>
          <w:lang w:val="pl-PL"/>
        </w:rPr>
      </w:pPr>
      <w:r w:rsidRPr="005138D5">
        <w:rPr>
          <w:color w:val="auto"/>
          <w:sz w:val="22"/>
          <w:szCs w:val="22"/>
          <w:u w:val="single"/>
          <w:lang w:val="pl-PL"/>
        </w:rPr>
        <w:t xml:space="preserve">Krótko działające </w:t>
      </w:r>
      <w:r w:rsidR="00C5024B" w:rsidRPr="005138D5">
        <w:rPr>
          <w:color w:val="auto"/>
          <w:sz w:val="22"/>
          <w:szCs w:val="22"/>
          <w:u w:val="single"/>
          <w:lang w:val="pl-PL"/>
        </w:rPr>
        <w:t xml:space="preserve">opioidy </w:t>
      </w:r>
      <w:r w:rsidRPr="005138D5">
        <w:rPr>
          <w:color w:val="auto"/>
          <w:sz w:val="22"/>
          <w:szCs w:val="22"/>
          <w:u w:val="single"/>
          <w:lang w:val="pl-PL"/>
        </w:rPr>
        <w:t>(substrat CYP3A4)</w:t>
      </w:r>
    </w:p>
    <w:p w14:paraId="5B0E5DAE" w14:textId="77777777" w:rsidR="00EA6AEB" w:rsidRPr="005138D5" w:rsidRDefault="00AE4D44" w:rsidP="00AE4D44">
      <w:pPr>
        <w:pStyle w:val="Default"/>
        <w:rPr>
          <w:color w:val="auto"/>
          <w:sz w:val="22"/>
          <w:szCs w:val="22"/>
          <w:lang w:val="pl-PL"/>
        </w:rPr>
      </w:pPr>
      <w:r w:rsidRPr="005138D5">
        <w:rPr>
          <w:color w:val="auto"/>
          <w:sz w:val="22"/>
          <w:szCs w:val="22"/>
          <w:lang w:val="pl-PL"/>
        </w:rPr>
        <w:t xml:space="preserve">Podczas jednoczesnego podawania z worykonazolem alfentanylu, fentanylu i innych krótko działających </w:t>
      </w:r>
      <w:r w:rsidR="00197552" w:rsidRPr="005138D5">
        <w:rPr>
          <w:color w:val="auto"/>
          <w:sz w:val="22"/>
          <w:szCs w:val="22"/>
          <w:lang w:val="pl-PL"/>
        </w:rPr>
        <w:t xml:space="preserve">opioidów </w:t>
      </w:r>
      <w:r w:rsidRPr="005138D5">
        <w:rPr>
          <w:color w:val="auto"/>
          <w:sz w:val="22"/>
          <w:szCs w:val="22"/>
          <w:lang w:val="pl-PL"/>
        </w:rPr>
        <w:t>o budowie zbliżonej do alfentanylu</w:t>
      </w:r>
      <w:r w:rsidR="00197552" w:rsidRPr="005138D5">
        <w:rPr>
          <w:color w:val="auto"/>
          <w:sz w:val="22"/>
          <w:szCs w:val="22"/>
          <w:lang w:val="pl-PL"/>
        </w:rPr>
        <w:t xml:space="preserve"> i</w:t>
      </w:r>
      <w:r w:rsidRPr="005138D5">
        <w:rPr>
          <w:color w:val="auto"/>
          <w:sz w:val="22"/>
          <w:szCs w:val="22"/>
          <w:lang w:val="pl-PL"/>
        </w:rPr>
        <w:t xml:space="preserve"> metabolizowanych przez CYP3A4 </w:t>
      </w:r>
    </w:p>
    <w:p w14:paraId="512CD5D2" w14:textId="77777777" w:rsidR="00AE4D44" w:rsidRPr="005138D5" w:rsidRDefault="00AE4D44" w:rsidP="00AE4D44">
      <w:pPr>
        <w:pStyle w:val="Default"/>
        <w:rPr>
          <w:color w:val="auto"/>
          <w:sz w:val="22"/>
          <w:szCs w:val="22"/>
          <w:lang w:val="pl-PL"/>
        </w:rPr>
      </w:pPr>
      <w:r w:rsidRPr="005138D5">
        <w:rPr>
          <w:color w:val="auto"/>
          <w:sz w:val="22"/>
          <w:szCs w:val="22"/>
          <w:lang w:val="pl-PL"/>
        </w:rPr>
        <w:t>(np. sufentanyl), należy rozważyć zmniejszenie ich dawki (patrz punkt 4.5). Ponieważ okres półtrwania alfentanylu podczas jednoczesnego podawania z worykonazolem jest wydłużony czterokrotnie oraz</w:t>
      </w:r>
      <w:r w:rsidR="007941AB" w:rsidRPr="005138D5">
        <w:rPr>
          <w:color w:val="auto"/>
          <w:sz w:val="22"/>
          <w:szCs w:val="22"/>
          <w:lang w:val="pl-PL"/>
        </w:rPr>
        <w:t>,</w:t>
      </w:r>
      <w:r w:rsidRPr="005138D5">
        <w:rPr>
          <w:color w:val="auto"/>
          <w:sz w:val="22"/>
          <w:szCs w:val="22"/>
          <w:lang w:val="pl-PL"/>
        </w:rPr>
        <w:t xml:space="preserve"> ponieważ niezależne badania kliniczne wykazały, że jednoczesne stosowanie worykonazolu i fentanylu powoduje wzrost wartości AUC</w:t>
      </w:r>
      <w:r w:rsidRPr="005138D5">
        <w:rPr>
          <w:color w:val="auto"/>
          <w:sz w:val="22"/>
          <w:szCs w:val="22"/>
          <w:vertAlign w:val="subscript"/>
          <w:lang w:val="pl-PL"/>
        </w:rPr>
        <w:t>0-∞</w:t>
      </w:r>
      <w:r w:rsidRPr="005138D5">
        <w:rPr>
          <w:color w:val="auto"/>
          <w:sz w:val="22"/>
          <w:szCs w:val="22"/>
          <w:lang w:val="pl-PL"/>
        </w:rPr>
        <w:t xml:space="preserve"> fentanylu, może być konieczne zwiększenie częstości monitorowania </w:t>
      </w:r>
      <w:r w:rsidR="00CF7F60" w:rsidRPr="005138D5">
        <w:rPr>
          <w:color w:val="auto"/>
          <w:sz w:val="22"/>
          <w:szCs w:val="22"/>
          <w:lang w:val="pl-PL"/>
        </w:rPr>
        <w:t xml:space="preserve">reakcji </w:t>
      </w:r>
      <w:r w:rsidRPr="005138D5">
        <w:rPr>
          <w:color w:val="auto"/>
          <w:sz w:val="22"/>
          <w:szCs w:val="22"/>
          <w:lang w:val="pl-PL"/>
        </w:rPr>
        <w:t xml:space="preserve">niepożądanych związanych z </w:t>
      </w:r>
      <w:r w:rsidR="0012144B" w:rsidRPr="005138D5">
        <w:rPr>
          <w:color w:val="auto"/>
          <w:sz w:val="22"/>
          <w:szCs w:val="22"/>
          <w:lang w:val="pl-PL"/>
        </w:rPr>
        <w:t>opioidami</w:t>
      </w:r>
      <w:r w:rsidRPr="005138D5">
        <w:rPr>
          <w:color w:val="auto"/>
          <w:sz w:val="22"/>
          <w:szCs w:val="22"/>
          <w:lang w:val="pl-PL"/>
        </w:rPr>
        <w:t xml:space="preserve"> (</w:t>
      </w:r>
      <w:r w:rsidR="006A252A" w:rsidRPr="005138D5">
        <w:rPr>
          <w:color w:val="auto"/>
          <w:sz w:val="22"/>
          <w:szCs w:val="22"/>
          <w:lang w:val="pl-PL"/>
        </w:rPr>
        <w:t xml:space="preserve">w tym </w:t>
      </w:r>
      <w:r w:rsidRPr="005138D5">
        <w:rPr>
          <w:color w:val="auto"/>
          <w:sz w:val="22"/>
          <w:szCs w:val="22"/>
          <w:lang w:val="pl-PL"/>
        </w:rPr>
        <w:t>dłuższy okres monitorowania oddechu).</w:t>
      </w:r>
    </w:p>
    <w:p w14:paraId="4013AB90" w14:textId="77777777" w:rsidR="00AE4D44" w:rsidRPr="005138D5" w:rsidRDefault="00AE4D44" w:rsidP="00AE4D44">
      <w:pPr>
        <w:pStyle w:val="Default"/>
        <w:rPr>
          <w:color w:val="auto"/>
          <w:sz w:val="22"/>
          <w:szCs w:val="22"/>
          <w:lang w:val="pl-PL"/>
        </w:rPr>
      </w:pPr>
    </w:p>
    <w:p w14:paraId="4DA977B9" w14:textId="77777777" w:rsidR="00783035" w:rsidRPr="005138D5" w:rsidRDefault="00AE4D44" w:rsidP="00AE4D44">
      <w:pPr>
        <w:pStyle w:val="Default"/>
        <w:rPr>
          <w:color w:val="auto"/>
          <w:sz w:val="22"/>
          <w:szCs w:val="22"/>
          <w:u w:val="single"/>
          <w:lang w:val="pl-PL"/>
        </w:rPr>
      </w:pPr>
      <w:r w:rsidRPr="005138D5">
        <w:rPr>
          <w:color w:val="auto"/>
          <w:sz w:val="22"/>
          <w:szCs w:val="22"/>
          <w:u w:val="single"/>
          <w:lang w:val="pl-PL"/>
        </w:rPr>
        <w:t xml:space="preserve">Długo działające </w:t>
      </w:r>
      <w:r w:rsidR="00B83310" w:rsidRPr="005138D5">
        <w:rPr>
          <w:color w:val="auto"/>
          <w:sz w:val="22"/>
          <w:szCs w:val="22"/>
          <w:u w:val="single"/>
          <w:lang w:val="pl-PL"/>
        </w:rPr>
        <w:t xml:space="preserve">opioidy </w:t>
      </w:r>
      <w:r w:rsidRPr="005138D5">
        <w:rPr>
          <w:color w:val="auto"/>
          <w:sz w:val="22"/>
          <w:szCs w:val="22"/>
          <w:u w:val="single"/>
          <w:lang w:val="pl-PL"/>
        </w:rPr>
        <w:t>(substrat CYP3A4)</w:t>
      </w:r>
    </w:p>
    <w:p w14:paraId="7962C7D3" w14:textId="77777777" w:rsidR="00EA6AEB" w:rsidRPr="005138D5" w:rsidRDefault="00AE4D44" w:rsidP="00AE4D44">
      <w:pPr>
        <w:pStyle w:val="Default"/>
        <w:rPr>
          <w:color w:val="auto"/>
          <w:sz w:val="22"/>
          <w:szCs w:val="22"/>
          <w:lang w:val="pl-PL"/>
        </w:rPr>
      </w:pPr>
      <w:r w:rsidRPr="005138D5">
        <w:rPr>
          <w:color w:val="auto"/>
          <w:sz w:val="22"/>
          <w:szCs w:val="22"/>
          <w:lang w:val="pl-PL"/>
        </w:rPr>
        <w:t xml:space="preserve">Należy rozważyć redukcję dawki oksykodonu oraz innych długo działających </w:t>
      </w:r>
      <w:r w:rsidR="00B83310" w:rsidRPr="005138D5">
        <w:rPr>
          <w:color w:val="auto"/>
          <w:sz w:val="22"/>
          <w:szCs w:val="22"/>
          <w:lang w:val="pl-PL"/>
        </w:rPr>
        <w:t xml:space="preserve">opioidów </w:t>
      </w:r>
      <w:r w:rsidRPr="005138D5">
        <w:rPr>
          <w:color w:val="auto"/>
          <w:sz w:val="22"/>
          <w:szCs w:val="22"/>
          <w:lang w:val="pl-PL"/>
        </w:rPr>
        <w:t xml:space="preserve">metabolizowanych przez CYP3A4 (np. hydrokodon) podczas równoczesnego podawania </w:t>
      </w:r>
    </w:p>
    <w:p w14:paraId="5D98DEC4" w14:textId="77777777" w:rsidR="00EA6AEB" w:rsidRPr="005138D5" w:rsidRDefault="00AE4D44" w:rsidP="00AE4D44">
      <w:pPr>
        <w:pStyle w:val="Default"/>
        <w:rPr>
          <w:color w:val="auto"/>
          <w:sz w:val="22"/>
          <w:szCs w:val="22"/>
          <w:lang w:val="pl-PL"/>
        </w:rPr>
      </w:pPr>
      <w:r w:rsidRPr="005138D5">
        <w:rPr>
          <w:color w:val="auto"/>
          <w:sz w:val="22"/>
          <w:szCs w:val="22"/>
          <w:lang w:val="pl-PL"/>
        </w:rPr>
        <w:t xml:space="preserve">z worykonazolem. Konieczne może być częste monitorowanie </w:t>
      </w:r>
      <w:r w:rsidR="001C034B" w:rsidRPr="005138D5">
        <w:rPr>
          <w:color w:val="auto"/>
          <w:sz w:val="22"/>
          <w:szCs w:val="22"/>
          <w:lang w:val="pl-PL"/>
        </w:rPr>
        <w:t xml:space="preserve">reakcji </w:t>
      </w:r>
      <w:r w:rsidRPr="005138D5">
        <w:rPr>
          <w:color w:val="auto"/>
          <w:sz w:val="22"/>
          <w:szCs w:val="22"/>
          <w:lang w:val="pl-PL"/>
        </w:rPr>
        <w:t xml:space="preserve">niepożądanych związanych </w:t>
      </w:r>
    </w:p>
    <w:p w14:paraId="4CA6DB72" w14:textId="77777777" w:rsidR="00AE4D44" w:rsidRPr="005138D5" w:rsidRDefault="00AE4D44" w:rsidP="00AE4D44">
      <w:pPr>
        <w:pStyle w:val="Default"/>
        <w:rPr>
          <w:color w:val="auto"/>
          <w:sz w:val="22"/>
          <w:szCs w:val="22"/>
          <w:lang w:val="pl-PL"/>
        </w:rPr>
      </w:pPr>
      <w:r w:rsidRPr="005138D5">
        <w:rPr>
          <w:color w:val="auto"/>
          <w:sz w:val="22"/>
          <w:szCs w:val="22"/>
          <w:lang w:val="pl-PL"/>
        </w:rPr>
        <w:t xml:space="preserve">z </w:t>
      </w:r>
      <w:r w:rsidR="00130207" w:rsidRPr="005138D5">
        <w:rPr>
          <w:color w:val="auto"/>
          <w:sz w:val="22"/>
          <w:szCs w:val="22"/>
          <w:lang w:val="pl-PL"/>
        </w:rPr>
        <w:t xml:space="preserve">opioidami </w:t>
      </w:r>
      <w:r w:rsidRPr="005138D5">
        <w:rPr>
          <w:color w:val="auto"/>
          <w:sz w:val="22"/>
          <w:szCs w:val="22"/>
          <w:lang w:val="pl-PL"/>
        </w:rPr>
        <w:t xml:space="preserve">(patrz </w:t>
      </w:r>
      <w:r w:rsidR="009A0301" w:rsidRPr="005138D5">
        <w:rPr>
          <w:color w:val="auto"/>
          <w:sz w:val="22"/>
          <w:szCs w:val="22"/>
          <w:lang w:val="pl-PL"/>
        </w:rPr>
        <w:t>p</w:t>
      </w:r>
      <w:r w:rsidRPr="005138D5">
        <w:rPr>
          <w:color w:val="auto"/>
          <w:sz w:val="22"/>
          <w:szCs w:val="22"/>
          <w:lang w:val="pl-PL"/>
        </w:rPr>
        <w:t>unkt 4.5).</w:t>
      </w:r>
    </w:p>
    <w:p w14:paraId="383D80E0" w14:textId="77777777" w:rsidR="00AE4D44" w:rsidRPr="005138D5" w:rsidRDefault="00AE4D44" w:rsidP="00AE4D44">
      <w:pPr>
        <w:pStyle w:val="Default"/>
        <w:rPr>
          <w:color w:val="auto"/>
          <w:sz w:val="22"/>
          <w:szCs w:val="22"/>
          <w:lang w:val="pl-PL"/>
        </w:rPr>
      </w:pPr>
    </w:p>
    <w:p w14:paraId="2A85F0C3" w14:textId="77777777" w:rsidR="00783035" w:rsidRPr="005138D5" w:rsidRDefault="00AE4D44" w:rsidP="00AE4D44">
      <w:pPr>
        <w:pStyle w:val="Default"/>
        <w:rPr>
          <w:color w:val="auto"/>
          <w:sz w:val="22"/>
          <w:szCs w:val="22"/>
          <w:u w:val="single"/>
          <w:lang w:val="pl-PL"/>
        </w:rPr>
      </w:pPr>
      <w:r w:rsidRPr="005138D5">
        <w:rPr>
          <w:color w:val="auto"/>
          <w:sz w:val="22"/>
          <w:szCs w:val="22"/>
          <w:u w:val="single"/>
          <w:lang w:val="pl-PL"/>
        </w:rPr>
        <w:t>Flukonazol (inhibitor CYP2C9, CYP2C19 i CYP3A4)</w:t>
      </w:r>
    </w:p>
    <w:p w14:paraId="6F722514" w14:textId="77777777" w:rsidR="00AE4D44" w:rsidRPr="005138D5" w:rsidRDefault="00AE4D44" w:rsidP="00AE4D44">
      <w:pPr>
        <w:pStyle w:val="Default"/>
        <w:rPr>
          <w:rFonts w:eastAsia="SymbolMT"/>
          <w:sz w:val="22"/>
          <w:szCs w:val="22"/>
          <w:lang w:val="pl-PL"/>
        </w:rPr>
      </w:pPr>
      <w:r w:rsidRPr="005138D5">
        <w:rPr>
          <w:color w:val="auto"/>
          <w:sz w:val="22"/>
          <w:szCs w:val="22"/>
          <w:lang w:val="pl-PL"/>
        </w:rPr>
        <w:t>U osób zdrowych równoczesne podawanie  doustnych postaci worykonazolu oraz flukonazolu powodowało znacząc</w:t>
      </w:r>
      <w:r w:rsidR="00C64BD9" w:rsidRPr="005138D5">
        <w:rPr>
          <w:color w:val="auto"/>
          <w:sz w:val="22"/>
          <w:szCs w:val="22"/>
          <w:lang w:val="pl-PL"/>
        </w:rPr>
        <w:t>e zwi</w:t>
      </w:r>
      <w:r w:rsidR="00CC7AD2" w:rsidRPr="005138D5">
        <w:rPr>
          <w:color w:val="auto"/>
          <w:sz w:val="22"/>
          <w:szCs w:val="22"/>
          <w:lang w:val="pl-PL"/>
        </w:rPr>
        <w:t>ę</w:t>
      </w:r>
      <w:r w:rsidR="00C64BD9" w:rsidRPr="005138D5">
        <w:rPr>
          <w:color w:val="auto"/>
          <w:sz w:val="22"/>
          <w:szCs w:val="22"/>
          <w:lang w:val="pl-PL"/>
        </w:rPr>
        <w:t>kszenie</w:t>
      </w:r>
      <w:r w:rsidRPr="005138D5">
        <w:rPr>
          <w:color w:val="auto"/>
          <w:sz w:val="22"/>
          <w:szCs w:val="22"/>
          <w:lang w:val="pl-PL"/>
        </w:rPr>
        <w:t xml:space="preserve"> C</w:t>
      </w:r>
      <w:r w:rsidRPr="005138D5">
        <w:rPr>
          <w:color w:val="auto"/>
          <w:sz w:val="22"/>
          <w:szCs w:val="22"/>
          <w:vertAlign w:val="subscript"/>
          <w:lang w:val="pl-PL"/>
        </w:rPr>
        <w:t>max</w:t>
      </w:r>
      <w:r w:rsidRPr="005138D5">
        <w:rPr>
          <w:color w:val="auto"/>
          <w:sz w:val="22"/>
          <w:szCs w:val="22"/>
          <w:lang w:val="pl-PL"/>
        </w:rPr>
        <w:t xml:space="preserve"> oraz </w:t>
      </w:r>
      <w:r w:rsidRPr="005138D5">
        <w:rPr>
          <w:sz w:val="22"/>
          <w:szCs w:val="22"/>
          <w:lang w:val="pl-PL"/>
        </w:rPr>
        <w:t>AUC</w:t>
      </w:r>
      <w:r w:rsidRPr="005138D5">
        <w:rPr>
          <w:rFonts w:eastAsia="SymbolMT"/>
          <w:sz w:val="22"/>
          <w:szCs w:val="22"/>
          <w:lang w:val="pl-PL"/>
        </w:rPr>
        <w:t xml:space="preserve">τ worykonazolu. Nie ustalono </w:t>
      </w:r>
      <w:r w:rsidR="008B212E" w:rsidRPr="005138D5">
        <w:rPr>
          <w:rFonts w:eastAsia="SymbolMT"/>
          <w:sz w:val="22"/>
          <w:szCs w:val="22"/>
          <w:lang w:val="pl-PL"/>
        </w:rPr>
        <w:t xml:space="preserve">zmniejszonej </w:t>
      </w:r>
      <w:r w:rsidRPr="005138D5">
        <w:rPr>
          <w:rFonts w:eastAsia="SymbolMT"/>
          <w:sz w:val="22"/>
          <w:szCs w:val="22"/>
          <w:lang w:val="pl-PL"/>
        </w:rPr>
        <w:t xml:space="preserve">dawki i (lub) częstości stosowania worykonazolu i flukonazolu, mogącej wyeliminować taki efekt. Zaleca się monitorowanie </w:t>
      </w:r>
      <w:r w:rsidR="007F4A5B" w:rsidRPr="005138D5">
        <w:rPr>
          <w:color w:val="auto"/>
          <w:sz w:val="22"/>
          <w:szCs w:val="22"/>
          <w:lang w:val="pl-PL"/>
        </w:rPr>
        <w:t xml:space="preserve">reakcji </w:t>
      </w:r>
      <w:r w:rsidRPr="005138D5">
        <w:rPr>
          <w:rFonts w:eastAsia="SymbolMT"/>
          <w:sz w:val="22"/>
          <w:szCs w:val="22"/>
          <w:lang w:val="pl-PL"/>
        </w:rPr>
        <w:t>niepożądanych związanych z worykonazolem</w:t>
      </w:r>
      <w:r w:rsidR="00AC1048" w:rsidRPr="005138D5">
        <w:rPr>
          <w:rFonts w:eastAsia="SymbolMT"/>
          <w:sz w:val="22"/>
          <w:szCs w:val="22"/>
          <w:lang w:val="pl-PL"/>
        </w:rPr>
        <w:t>,</w:t>
      </w:r>
      <w:r w:rsidRPr="005138D5">
        <w:rPr>
          <w:rFonts w:eastAsia="SymbolMT"/>
          <w:sz w:val="22"/>
          <w:szCs w:val="22"/>
          <w:lang w:val="pl-PL"/>
        </w:rPr>
        <w:t xml:space="preserve"> jeśli jest on stosowany po flukonazolu (patrz </w:t>
      </w:r>
      <w:r w:rsidR="009A0301" w:rsidRPr="005138D5">
        <w:rPr>
          <w:rFonts w:eastAsia="SymbolMT"/>
          <w:sz w:val="22"/>
          <w:szCs w:val="22"/>
          <w:lang w:val="pl-PL"/>
        </w:rPr>
        <w:t>p</w:t>
      </w:r>
      <w:r w:rsidRPr="005138D5">
        <w:rPr>
          <w:rFonts w:eastAsia="SymbolMT"/>
          <w:sz w:val="22"/>
          <w:szCs w:val="22"/>
          <w:lang w:val="pl-PL"/>
        </w:rPr>
        <w:t>unkt 4.5).</w:t>
      </w:r>
    </w:p>
    <w:p w14:paraId="090571F8" w14:textId="77777777" w:rsidR="001C66EC" w:rsidRDefault="001C66EC" w:rsidP="00A41668">
      <w:pPr>
        <w:pStyle w:val="Default"/>
        <w:rPr>
          <w:color w:val="auto"/>
          <w:sz w:val="22"/>
          <w:szCs w:val="22"/>
          <w:lang w:val="pl-PL"/>
        </w:rPr>
      </w:pPr>
    </w:p>
    <w:p w14:paraId="30F1FAC1" w14:textId="77777777" w:rsidR="005113EF" w:rsidRDefault="005113EF" w:rsidP="00A41668">
      <w:pPr>
        <w:pStyle w:val="Default"/>
        <w:rPr>
          <w:color w:val="auto"/>
          <w:sz w:val="22"/>
          <w:szCs w:val="22"/>
          <w:u w:val="single"/>
          <w:lang w:val="pl-PL"/>
        </w:rPr>
      </w:pPr>
      <w:r w:rsidRPr="005113EF">
        <w:rPr>
          <w:color w:val="auto"/>
          <w:sz w:val="22"/>
          <w:szCs w:val="22"/>
          <w:u w:val="single"/>
          <w:lang w:val="pl-PL"/>
        </w:rPr>
        <w:t>Substancje pomocnicze</w:t>
      </w:r>
    </w:p>
    <w:p w14:paraId="4E2D98C7" w14:textId="77777777" w:rsidR="005113EF" w:rsidRDefault="005113EF" w:rsidP="00A41668">
      <w:pPr>
        <w:pStyle w:val="Default"/>
        <w:rPr>
          <w:color w:val="auto"/>
          <w:sz w:val="22"/>
          <w:szCs w:val="22"/>
          <w:u w:val="single"/>
          <w:lang w:val="pl-PL"/>
        </w:rPr>
      </w:pPr>
    </w:p>
    <w:p w14:paraId="464ADBE4" w14:textId="77777777" w:rsidR="005113EF" w:rsidRPr="005113EF" w:rsidRDefault="005113EF" w:rsidP="00A41668">
      <w:pPr>
        <w:pStyle w:val="Default"/>
        <w:rPr>
          <w:i/>
          <w:iCs/>
          <w:color w:val="auto"/>
          <w:sz w:val="22"/>
          <w:szCs w:val="22"/>
          <w:lang w:val="pl-PL"/>
        </w:rPr>
      </w:pPr>
      <w:r w:rsidRPr="005113EF">
        <w:rPr>
          <w:i/>
          <w:iCs/>
          <w:color w:val="auto"/>
          <w:sz w:val="22"/>
          <w:szCs w:val="22"/>
          <w:lang w:val="pl-PL"/>
        </w:rPr>
        <w:t>Laktoza</w:t>
      </w:r>
    </w:p>
    <w:p w14:paraId="40E28C40" w14:textId="77777777" w:rsidR="00575F5E" w:rsidRDefault="00575F5E" w:rsidP="00A41668">
      <w:pPr>
        <w:widowControl/>
        <w:rPr>
          <w:bCs/>
          <w:sz w:val="22"/>
        </w:rPr>
      </w:pPr>
      <w:r w:rsidRPr="005138D5">
        <w:rPr>
          <w:bCs/>
          <w:sz w:val="22"/>
        </w:rPr>
        <w:t>T</w:t>
      </w:r>
      <w:r w:rsidR="005113EF">
        <w:rPr>
          <w:bCs/>
          <w:sz w:val="22"/>
        </w:rPr>
        <w:t>en</w:t>
      </w:r>
      <w:r w:rsidRPr="005138D5">
        <w:rPr>
          <w:bCs/>
          <w:sz w:val="22"/>
        </w:rPr>
        <w:t xml:space="preserve"> </w:t>
      </w:r>
      <w:r w:rsidR="00B05AE1" w:rsidRPr="005138D5">
        <w:rPr>
          <w:bCs/>
          <w:sz w:val="22"/>
        </w:rPr>
        <w:t>produkt lecznicz</w:t>
      </w:r>
      <w:r w:rsidR="005113EF">
        <w:rPr>
          <w:bCs/>
          <w:sz w:val="22"/>
        </w:rPr>
        <w:t>y</w:t>
      </w:r>
      <w:r w:rsidR="00145ED4" w:rsidRPr="005138D5" w:rsidDel="00145ED4">
        <w:rPr>
          <w:bCs/>
          <w:sz w:val="22"/>
        </w:rPr>
        <w:t xml:space="preserve"> </w:t>
      </w:r>
      <w:r w:rsidRPr="005138D5">
        <w:rPr>
          <w:bCs/>
          <w:sz w:val="22"/>
        </w:rPr>
        <w:t>zawiera laktozę i nie powin</w:t>
      </w:r>
      <w:r w:rsidR="005113EF">
        <w:rPr>
          <w:bCs/>
          <w:sz w:val="22"/>
        </w:rPr>
        <w:t>ien</w:t>
      </w:r>
      <w:r w:rsidRPr="005138D5">
        <w:rPr>
          <w:bCs/>
          <w:sz w:val="22"/>
        </w:rPr>
        <w:t xml:space="preserve"> być stosowane u pacjentów z rzadkimi, dziedzicznymi postaciami nietolerancji galaktozy, </w:t>
      </w:r>
      <w:r w:rsidR="005113EF">
        <w:rPr>
          <w:bCs/>
          <w:sz w:val="22"/>
        </w:rPr>
        <w:t xml:space="preserve">całkowitym brakiem </w:t>
      </w:r>
      <w:r w:rsidRPr="005138D5">
        <w:rPr>
          <w:bCs/>
          <w:sz w:val="22"/>
        </w:rPr>
        <w:t xml:space="preserve">laktazy </w:t>
      </w:r>
      <w:r w:rsidR="005113EF">
        <w:rPr>
          <w:bCs/>
          <w:sz w:val="22"/>
        </w:rPr>
        <w:t>lub</w:t>
      </w:r>
      <w:r w:rsidRPr="005138D5">
        <w:rPr>
          <w:bCs/>
          <w:sz w:val="22"/>
        </w:rPr>
        <w:t xml:space="preserve"> </w:t>
      </w:r>
      <w:r w:rsidR="005113EF">
        <w:rPr>
          <w:bCs/>
          <w:sz w:val="22"/>
        </w:rPr>
        <w:t xml:space="preserve">zespołem </w:t>
      </w:r>
      <w:r w:rsidRPr="005138D5">
        <w:rPr>
          <w:bCs/>
          <w:sz w:val="22"/>
        </w:rPr>
        <w:t>zł</w:t>
      </w:r>
      <w:r w:rsidR="005113EF">
        <w:rPr>
          <w:bCs/>
          <w:sz w:val="22"/>
        </w:rPr>
        <w:t>ego</w:t>
      </w:r>
      <w:r w:rsidRPr="005138D5">
        <w:rPr>
          <w:bCs/>
          <w:sz w:val="22"/>
        </w:rPr>
        <w:t xml:space="preserve"> wchłaniani</w:t>
      </w:r>
      <w:r w:rsidR="005113EF">
        <w:rPr>
          <w:bCs/>
          <w:sz w:val="22"/>
        </w:rPr>
        <w:t>a</w:t>
      </w:r>
      <w:r w:rsidRPr="005138D5">
        <w:rPr>
          <w:bCs/>
          <w:sz w:val="22"/>
        </w:rPr>
        <w:t xml:space="preserve"> glukozy-galaktozy. </w:t>
      </w:r>
    </w:p>
    <w:p w14:paraId="4E2B4598" w14:textId="77777777" w:rsidR="005113EF" w:rsidRDefault="005113EF" w:rsidP="00A41668">
      <w:pPr>
        <w:widowControl/>
        <w:rPr>
          <w:bCs/>
          <w:sz w:val="22"/>
        </w:rPr>
      </w:pPr>
    </w:p>
    <w:p w14:paraId="6D19C9F5" w14:textId="77777777" w:rsidR="005113EF" w:rsidRDefault="005113EF" w:rsidP="00A41668">
      <w:pPr>
        <w:widowControl/>
        <w:rPr>
          <w:bCs/>
          <w:i/>
          <w:iCs/>
          <w:sz w:val="22"/>
        </w:rPr>
      </w:pPr>
      <w:r w:rsidRPr="005113EF">
        <w:rPr>
          <w:bCs/>
          <w:i/>
          <w:iCs/>
          <w:sz w:val="22"/>
        </w:rPr>
        <w:t>Sód</w:t>
      </w:r>
    </w:p>
    <w:p w14:paraId="1165B1DF" w14:textId="77777777" w:rsidR="005113EF" w:rsidRPr="005113EF" w:rsidRDefault="005113EF" w:rsidP="005113EF">
      <w:pPr>
        <w:widowControl/>
        <w:rPr>
          <w:bCs/>
          <w:sz w:val="22"/>
        </w:rPr>
      </w:pPr>
      <w:r w:rsidRPr="005113EF">
        <w:rPr>
          <w:bCs/>
          <w:sz w:val="22"/>
        </w:rPr>
        <w:t>Ten produkt leczniczy zawiera mniej niż 1 mmol (23 mg) sodu na tabletkę. Pacjentów będących na</w:t>
      </w:r>
    </w:p>
    <w:p w14:paraId="056560DA" w14:textId="77777777" w:rsidR="005113EF" w:rsidRPr="005113EF" w:rsidRDefault="005113EF" w:rsidP="005113EF">
      <w:pPr>
        <w:widowControl/>
        <w:rPr>
          <w:bCs/>
          <w:sz w:val="22"/>
        </w:rPr>
      </w:pPr>
      <w:r w:rsidRPr="005113EF">
        <w:rPr>
          <w:bCs/>
          <w:sz w:val="22"/>
        </w:rPr>
        <w:t>diecie niskosodowej można poinformować, że ten produkt leczniczy jest zasadniczo „wolny od sodu”.</w:t>
      </w:r>
    </w:p>
    <w:p w14:paraId="1D413E73" w14:textId="77777777" w:rsidR="00575F5E" w:rsidRPr="005113EF" w:rsidRDefault="00575F5E" w:rsidP="00A41668">
      <w:pPr>
        <w:widowControl/>
        <w:rPr>
          <w:b/>
          <w:i/>
          <w:iCs/>
          <w:sz w:val="22"/>
        </w:rPr>
      </w:pPr>
    </w:p>
    <w:p w14:paraId="6B057E8B" w14:textId="77777777" w:rsidR="00575F5E" w:rsidRPr="005138D5" w:rsidRDefault="00575F5E" w:rsidP="00A3229A">
      <w:pPr>
        <w:widowControl/>
        <w:numPr>
          <w:ilvl w:val="1"/>
          <w:numId w:val="13"/>
        </w:numPr>
        <w:tabs>
          <w:tab w:val="clear" w:pos="360"/>
          <w:tab w:val="num" w:pos="709"/>
        </w:tabs>
        <w:rPr>
          <w:b/>
          <w:sz w:val="22"/>
        </w:rPr>
      </w:pPr>
      <w:r w:rsidRPr="005138D5">
        <w:rPr>
          <w:b/>
          <w:sz w:val="22"/>
        </w:rPr>
        <w:t xml:space="preserve">Interakcje z innymi </w:t>
      </w:r>
      <w:r w:rsidR="00D546FA" w:rsidRPr="005138D5">
        <w:rPr>
          <w:b/>
          <w:sz w:val="22"/>
        </w:rPr>
        <w:t xml:space="preserve">produktami leczniczymi </w:t>
      </w:r>
      <w:r w:rsidRPr="005138D5">
        <w:rPr>
          <w:b/>
          <w:sz w:val="22"/>
        </w:rPr>
        <w:t>i inne rodzaje interakcji</w:t>
      </w:r>
    </w:p>
    <w:p w14:paraId="4CD48040" w14:textId="77777777" w:rsidR="00575F5E" w:rsidRPr="005138D5" w:rsidRDefault="00575F5E" w:rsidP="00A41668">
      <w:pPr>
        <w:widowControl/>
        <w:rPr>
          <w:b/>
          <w:sz w:val="22"/>
        </w:rPr>
      </w:pPr>
    </w:p>
    <w:p w14:paraId="0F48E481" w14:textId="77777777" w:rsidR="00EA6AEB" w:rsidRPr="005138D5" w:rsidRDefault="008E5B4A" w:rsidP="008E5B4A">
      <w:pPr>
        <w:widowControl/>
        <w:rPr>
          <w:bCs/>
          <w:sz w:val="22"/>
        </w:rPr>
      </w:pPr>
      <w:r w:rsidRPr="005138D5">
        <w:rPr>
          <w:bCs/>
          <w:sz w:val="22"/>
        </w:rPr>
        <w:t>Worykonazol hamuje aktywność izoenzymów cytochromu P450: CYP2C19, CYP2C9 i CYP3A4</w:t>
      </w:r>
      <w:r w:rsidR="007941AB" w:rsidRPr="005138D5">
        <w:rPr>
          <w:bCs/>
          <w:sz w:val="22"/>
        </w:rPr>
        <w:t>,</w:t>
      </w:r>
      <w:r w:rsidRPr="005138D5">
        <w:rPr>
          <w:bCs/>
          <w:sz w:val="22"/>
        </w:rPr>
        <w:t xml:space="preserve"> przez które jest metabolizowany. Inhibitory lub induktory tych izoenzymów mogą odpowiednio  zwiększać lub zmniejszać stężenie worykonazolu w osoczu. Worykonazol może ponadto zwiększać </w:t>
      </w:r>
    </w:p>
    <w:p w14:paraId="7A72E6C0" w14:textId="77777777" w:rsidR="005113EF" w:rsidRPr="005113EF" w:rsidRDefault="008E5B4A" w:rsidP="005113EF">
      <w:pPr>
        <w:widowControl/>
        <w:rPr>
          <w:bCs/>
          <w:sz w:val="22"/>
        </w:rPr>
      </w:pPr>
      <w:r w:rsidRPr="005138D5">
        <w:rPr>
          <w:bCs/>
          <w:sz w:val="22"/>
        </w:rPr>
        <w:t>w osoczu stężenia leków metabolizowanych przez izoenzymy CYP450</w:t>
      </w:r>
      <w:r w:rsidR="005113EF">
        <w:rPr>
          <w:bCs/>
          <w:sz w:val="22"/>
        </w:rPr>
        <w:t xml:space="preserve">, </w:t>
      </w:r>
      <w:r w:rsidR="005113EF" w:rsidRPr="005113EF">
        <w:rPr>
          <w:bCs/>
          <w:sz w:val="22"/>
        </w:rPr>
        <w:t xml:space="preserve">w szczególności w przypadku </w:t>
      </w:r>
    </w:p>
    <w:p w14:paraId="250B554E" w14:textId="77777777" w:rsidR="005113EF" w:rsidRPr="005113EF" w:rsidRDefault="005113EF" w:rsidP="005113EF">
      <w:pPr>
        <w:widowControl/>
        <w:rPr>
          <w:bCs/>
          <w:sz w:val="22"/>
        </w:rPr>
      </w:pPr>
      <w:r w:rsidRPr="005113EF">
        <w:rPr>
          <w:bCs/>
          <w:sz w:val="22"/>
        </w:rPr>
        <w:t>substancji metabolizowanych przez CYP3A4, ponieważ worykonazol jest silnym inhibitorem</w:t>
      </w:r>
    </w:p>
    <w:p w14:paraId="3ED4470F" w14:textId="77777777" w:rsidR="005113EF" w:rsidRDefault="005113EF" w:rsidP="008E5B4A">
      <w:pPr>
        <w:widowControl/>
        <w:rPr>
          <w:bCs/>
          <w:sz w:val="22"/>
        </w:rPr>
      </w:pPr>
      <w:r w:rsidRPr="005113EF">
        <w:rPr>
          <w:bCs/>
          <w:sz w:val="22"/>
        </w:rPr>
        <w:t>CYP3A4, chociaż zwiększenie AUC jest zależne od substratu (patrz tabela poniżej)</w:t>
      </w:r>
      <w:r w:rsidR="009B2AD5">
        <w:rPr>
          <w:bCs/>
          <w:sz w:val="22"/>
        </w:rPr>
        <w:t>.</w:t>
      </w:r>
    </w:p>
    <w:p w14:paraId="70B6ED5A" w14:textId="77777777" w:rsidR="009B2AD5" w:rsidRPr="005138D5" w:rsidRDefault="009B2AD5" w:rsidP="008E5B4A">
      <w:pPr>
        <w:widowControl/>
        <w:rPr>
          <w:bCs/>
          <w:sz w:val="22"/>
        </w:rPr>
      </w:pPr>
    </w:p>
    <w:p w14:paraId="34BC8CE8" w14:textId="77777777" w:rsidR="00EA6AEB" w:rsidRPr="005138D5" w:rsidRDefault="008E5B4A" w:rsidP="008E5B4A">
      <w:pPr>
        <w:pStyle w:val="Tekstpodstawowy2"/>
        <w:jc w:val="left"/>
        <w:rPr>
          <w:rFonts w:ascii="Times New Roman" w:hAnsi="Times New Roman"/>
          <w:bCs/>
        </w:rPr>
      </w:pPr>
      <w:r w:rsidRPr="005138D5">
        <w:rPr>
          <w:rFonts w:ascii="Times New Roman" w:hAnsi="Times New Roman"/>
          <w:bCs/>
        </w:rPr>
        <w:t xml:space="preserve">Jeżeli nie wyszczególniono inaczej, to badania interakcji między lekami były przeprowadzane </w:t>
      </w:r>
    </w:p>
    <w:p w14:paraId="407679D2" w14:textId="77777777" w:rsidR="008E5B4A" w:rsidRPr="005138D5" w:rsidRDefault="004A1BA3" w:rsidP="008E5B4A">
      <w:pPr>
        <w:pStyle w:val="Tekstpodstawowy2"/>
        <w:jc w:val="left"/>
        <w:rPr>
          <w:rFonts w:ascii="Times New Roman" w:hAnsi="Times New Roman"/>
          <w:bCs/>
        </w:rPr>
      </w:pPr>
      <w:r w:rsidRPr="005138D5">
        <w:rPr>
          <w:rFonts w:ascii="Times New Roman" w:hAnsi="Times New Roman"/>
          <w:bCs/>
        </w:rPr>
        <w:t xml:space="preserve">u </w:t>
      </w:r>
      <w:r w:rsidR="008E5B4A" w:rsidRPr="005138D5">
        <w:rPr>
          <w:rFonts w:ascii="Times New Roman" w:hAnsi="Times New Roman"/>
          <w:bCs/>
        </w:rPr>
        <w:t>zdrowych dorosłych pacjent</w:t>
      </w:r>
      <w:r w:rsidR="000920D9" w:rsidRPr="005138D5">
        <w:rPr>
          <w:rFonts w:ascii="Times New Roman" w:hAnsi="Times New Roman"/>
          <w:bCs/>
        </w:rPr>
        <w:t>ów</w:t>
      </w:r>
      <w:r w:rsidR="008E5B4A" w:rsidRPr="005138D5">
        <w:rPr>
          <w:rFonts w:ascii="Times New Roman" w:hAnsi="Times New Roman"/>
          <w:bCs/>
        </w:rPr>
        <w:t xml:space="preserve"> płci męskiej, u których uzyskiwano stan stacjonarny podając doustnie 200</w:t>
      </w:r>
      <w:r w:rsidR="00086D10" w:rsidRPr="005138D5">
        <w:rPr>
          <w:rFonts w:ascii="Times New Roman" w:hAnsi="Times New Roman"/>
          <w:bCs/>
        </w:rPr>
        <w:t> mg</w:t>
      </w:r>
      <w:r w:rsidR="008E5B4A" w:rsidRPr="005138D5">
        <w:rPr>
          <w:rFonts w:ascii="Times New Roman" w:hAnsi="Times New Roman"/>
          <w:bCs/>
        </w:rPr>
        <w:t xml:space="preserve"> worykonazolu dwa razy na dobę. Wyniki tych badań mają odniesienie do innych populacji, a także do innych dróg podania leku. </w:t>
      </w:r>
    </w:p>
    <w:p w14:paraId="1C2C4974" w14:textId="77777777" w:rsidR="008E5B4A" w:rsidRPr="005138D5" w:rsidRDefault="008E5B4A" w:rsidP="008E5B4A">
      <w:pPr>
        <w:widowControl/>
        <w:rPr>
          <w:bCs/>
          <w:sz w:val="22"/>
        </w:rPr>
      </w:pPr>
    </w:p>
    <w:p w14:paraId="6A0AAAA6" w14:textId="77777777" w:rsidR="008E5B4A" w:rsidRPr="005138D5" w:rsidRDefault="008E5B4A" w:rsidP="008E5B4A">
      <w:pPr>
        <w:widowControl/>
        <w:rPr>
          <w:bCs/>
          <w:sz w:val="22"/>
        </w:rPr>
      </w:pPr>
      <w:r w:rsidRPr="005138D5">
        <w:rPr>
          <w:bCs/>
          <w:sz w:val="22"/>
        </w:rPr>
        <w:t>Worykonazol należy stosować ostrożnie u pacjentów, którzy jednocześnie przyjmują leki mogące wydłużać odstęp QT</w:t>
      </w:r>
      <w:r w:rsidR="008A7D0D" w:rsidRPr="005138D5">
        <w:rPr>
          <w:bCs/>
          <w:sz w:val="22"/>
        </w:rPr>
        <w:t>c</w:t>
      </w:r>
      <w:r w:rsidRPr="005138D5">
        <w:rPr>
          <w:bCs/>
          <w:sz w:val="22"/>
        </w:rPr>
        <w:t>. W przypadku</w:t>
      </w:r>
      <w:r w:rsidR="00002D01" w:rsidRPr="005138D5">
        <w:rPr>
          <w:bCs/>
          <w:sz w:val="22"/>
        </w:rPr>
        <w:t>,</w:t>
      </w:r>
      <w:r w:rsidRPr="005138D5">
        <w:rPr>
          <w:bCs/>
          <w:sz w:val="22"/>
        </w:rPr>
        <w:t xml:space="preserve"> gdy istnieje potencjalne ryzyko zwiększenia przez worykonazol stężenia w osoczu leków metabolizowanych przez izoenzymy CYP3A4 (niektóre leki przeciwhistaminowe, chinidyna, cyzapryd, pimozyd</w:t>
      </w:r>
      <w:r w:rsidR="009B2AD5">
        <w:rPr>
          <w:bCs/>
          <w:sz w:val="22"/>
        </w:rPr>
        <w:t xml:space="preserve"> i iwabradyna</w:t>
      </w:r>
      <w:r w:rsidRPr="005138D5">
        <w:rPr>
          <w:bCs/>
          <w:sz w:val="22"/>
        </w:rPr>
        <w:t>)</w:t>
      </w:r>
      <w:r w:rsidR="00D546FA" w:rsidRPr="005138D5">
        <w:rPr>
          <w:bCs/>
          <w:sz w:val="22"/>
        </w:rPr>
        <w:t>,</w:t>
      </w:r>
      <w:r w:rsidRPr="005138D5">
        <w:rPr>
          <w:bCs/>
          <w:sz w:val="22"/>
        </w:rPr>
        <w:t xml:space="preserve"> jednoczesne stosowanie tych leków z worykonazolem jest przeciwwskazane (patrz poniżej i patrz punkt 4.3).</w:t>
      </w:r>
    </w:p>
    <w:p w14:paraId="36419565" w14:textId="77777777" w:rsidR="008E5B4A" w:rsidRPr="005138D5" w:rsidRDefault="008E5B4A" w:rsidP="008E5B4A">
      <w:pPr>
        <w:widowControl/>
        <w:rPr>
          <w:bCs/>
          <w:sz w:val="22"/>
        </w:rPr>
      </w:pPr>
    </w:p>
    <w:p w14:paraId="0D0D1D89" w14:textId="77777777" w:rsidR="008E5B4A" w:rsidRPr="005138D5" w:rsidRDefault="008E5B4A" w:rsidP="008E5B4A">
      <w:pPr>
        <w:widowControl/>
        <w:rPr>
          <w:bCs/>
          <w:sz w:val="22"/>
        </w:rPr>
      </w:pPr>
      <w:r w:rsidRPr="005138D5">
        <w:rPr>
          <w:bCs/>
          <w:sz w:val="22"/>
          <w:u w:val="single"/>
        </w:rPr>
        <w:t>Tabela interakcji</w:t>
      </w:r>
    </w:p>
    <w:p w14:paraId="4B32BC14" w14:textId="77777777" w:rsidR="00EA6AEB" w:rsidRPr="005138D5" w:rsidRDefault="008E5B4A" w:rsidP="008E5B4A">
      <w:pPr>
        <w:widowControl/>
        <w:rPr>
          <w:bCs/>
          <w:sz w:val="22"/>
        </w:rPr>
      </w:pPr>
      <w:r w:rsidRPr="005138D5">
        <w:rPr>
          <w:bCs/>
          <w:sz w:val="22"/>
        </w:rPr>
        <w:t xml:space="preserve">Interakcje pomiędzy worykonazolem oraz innymi produktami leczniczymi zostały zamieszczone </w:t>
      </w:r>
    </w:p>
    <w:p w14:paraId="746624A7" w14:textId="77777777" w:rsidR="008E5B4A" w:rsidRPr="005138D5" w:rsidRDefault="008E5B4A" w:rsidP="008E5B4A">
      <w:pPr>
        <w:widowControl/>
        <w:rPr>
          <w:color w:val="000000"/>
          <w:sz w:val="22"/>
        </w:rPr>
      </w:pPr>
      <w:r w:rsidRPr="005138D5">
        <w:rPr>
          <w:bCs/>
          <w:sz w:val="22"/>
        </w:rPr>
        <w:t xml:space="preserve">w poniższej tabeli (raz na dobę „QD”, dwa razy na dobę „BID”, trzy razy na dobę „TID”, częstość nieokreślona „ND”). Kierunek strzałek dla każdego z parametrów farmakokinetycznych wyznaczono wykorzystując średnią geometryczną (przy 90% przedziale ufności), parametry zawarte w przedziale </w:t>
      </w:r>
      <w:r w:rsidRPr="005138D5">
        <w:rPr>
          <w:sz w:val="22"/>
        </w:rPr>
        <w:t xml:space="preserve">80-125% </w:t>
      </w:r>
      <w:r w:rsidRPr="005138D5">
        <w:rPr>
          <w:bCs/>
          <w:sz w:val="22"/>
        </w:rPr>
        <w:t>oznaczono (</w:t>
      </w:r>
      <w:r w:rsidRPr="005138D5">
        <w:rPr>
          <w:sz w:val="22"/>
        </w:rPr>
        <w:t>↔), poniżej (</w:t>
      </w:r>
      <w:r w:rsidRPr="005138D5">
        <w:rPr>
          <w:sz w:val="22"/>
        </w:rPr>
        <w:sym w:font="Symbol" w:char="F0AF"/>
      </w:r>
      <w:r w:rsidRPr="005138D5">
        <w:rPr>
          <w:sz w:val="22"/>
        </w:rPr>
        <w:t>) lub powyżej (</w:t>
      </w:r>
      <w:r w:rsidRPr="005138D5">
        <w:rPr>
          <w:sz w:val="22"/>
        </w:rPr>
        <w:sym w:font="Symbol" w:char="F0AD"/>
      </w:r>
      <w:r w:rsidRPr="005138D5">
        <w:rPr>
          <w:sz w:val="22"/>
        </w:rPr>
        <w:t xml:space="preserve">). Gwiazdką (*) oznaczono interakcje </w:t>
      </w:r>
      <w:r w:rsidR="002759AF" w:rsidRPr="005138D5">
        <w:rPr>
          <w:sz w:val="22"/>
        </w:rPr>
        <w:t>dwustronne</w:t>
      </w:r>
      <w:r w:rsidRPr="005138D5">
        <w:rPr>
          <w:sz w:val="22"/>
        </w:rPr>
        <w:t xml:space="preserve">. </w:t>
      </w:r>
      <w:r w:rsidRPr="005138D5">
        <w:rPr>
          <w:color w:val="000000"/>
          <w:sz w:val="22"/>
        </w:rPr>
        <w:t>Wartości AUC</w:t>
      </w:r>
      <w:r w:rsidRPr="005138D5">
        <w:rPr>
          <w:color w:val="000000"/>
          <w:sz w:val="22"/>
          <w:vertAlign w:val="subscript"/>
        </w:rPr>
        <w:sym w:font="Symbol" w:char="F074"/>
      </w:r>
      <w:r w:rsidRPr="005138D5">
        <w:rPr>
          <w:color w:val="000000"/>
          <w:sz w:val="22"/>
        </w:rPr>
        <w:t>, AUC</w:t>
      </w:r>
      <w:r w:rsidRPr="005138D5">
        <w:rPr>
          <w:color w:val="000000"/>
          <w:sz w:val="22"/>
          <w:vertAlign w:val="subscript"/>
        </w:rPr>
        <w:t>t</w:t>
      </w:r>
      <w:r w:rsidRPr="005138D5">
        <w:rPr>
          <w:color w:val="000000"/>
          <w:sz w:val="22"/>
        </w:rPr>
        <w:t xml:space="preserve"> i AUC</w:t>
      </w:r>
      <w:r w:rsidRPr="005138D5">
        <w:rPr>
          <w:color w:val="000000"/>
          <w:sz w:val="22"/>
          <w:vertAlign w:val="subscript"/>
        </w:rPr>
        <w:t>0-</w:t>
      </w:r>
      <w:r w:rsidRPr="005138D5">
        <w:rPr>
          <w:color w:val="000000"/>
          <w:sz w:val="22"/>
          <w:vertAlign w:val="subscript"/>
        </w:rPr>
        <w:sym w:font="Symbol" w:char="F0A5"/>
      </w:r>
      <w:r w:rsidRPr="005138D5">
        <w:rPr>
          <w:color w:val="000000"/>
          <w:sz w:val="22"/>
        </w:rPr>
        <w:t xml:space="preserve"> przedstawiają pole pod krzywą pomiędzy poszczególnymi dawkami, odpowiednio od czasu zero do czasu</w:t>
      </w:r>
      <w:r w:rsidR="00002D01" w:rsidRPr="005138D5">
        <w:rPr>
          <w:color w:val="000000"/>
          <w:sz w:val="22"/>
        </w:rPr>
        <w:t>,</w:t>
      </w:r>
      <w:r w:rsidRPr="005138D5">
        <w:rPr>
          <w:color w:val="000000"/>
          <w:sz w:val="22"/>
        </w:rPr>
        <w:t xml:space="preserve"> gdy można było wykonać pomiar i od czasu zero do nieskończoności. </w:t>
      </w:r>
    </w:p>
    <w:p w14:paraId="0D990F43" w14:textId="77777777" w:rsidR="008E5B4A" w:rsidRPr="005138D5" w:rsidRDefault="008E5B4A" w:rsidP="008E5B4A">
      <w:pPr>
        <w:widowControl/>
        <w:rPr>
          <w:bCs/>
          <w:sz w:val="22"/>
        </w:rPr>
      </w:pPr>
    </w:p>
    <w:p w14:paraId="43EB22BB" w14:textId="77777777" w:rsidR="008E5B4A" w:rsidRPr="005138D5" w:rsidRDefault="008E5B4A" w:rsidP="008E5B4A">
      <w:pPr>
        <w:widowControl/>
        <w:rPr>
          <w:bCs/>
          <w:sz w:val="22"/>
        </w:rPr>
      </w:pPr>
      <w:r w:rsidRPr="005138D5">
        <w:rPr>
          <w:bCs/>
          <w:sz w:val="22"/>
        </w:rPr>
        <w:t>Interakcje przedstawione w tabeli uszeregowano w następującej kolejności: przeciwwskazania, interakcje wymagające zmiany dawkowania, interakcje wymagające monitorowania funkcji klinicznych i biologicznych, oraz interakcje niemające istotnego znaczenia farmakokinetycznego</w:t>
      </w:r>
      <w:r w:rsidR="009C7752" w:rsidRPr="005138D5">
        <w:rPr>
          <w:bCs/>
          <w:sz w:val="22"/>
        </w:rPr>
        <w:t>,</w:t>
      </w:r>
      <w:r w:rsidRPr="005138D5">
        <w:rPr>
          <w:bCs/>
          <w:sz w:val="22"/>
        </w:rPr>
        <w:t xml:space="preserve"> ale mogące mieć znaczenie kliniczne z punktu widzenia terapii.</w:t>
      </w:r>
    </w:p>
    <w:p w14:paraId="2EA02BEA" w14:textId="77777777" w:rsidR="00A96FB1" w:rsidRPr="005138D5" w:rsidRDefault="00A96FB1" w:rsidP="008E5B4A">
      <w:pPr>
        <w:widowControl/>
        <w:rPr>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046"/>
        <w:gridCol w:w="3236"/>
      </w:tblGrid>
      <w:tr w:rsidR="00277FE6" w:rsidRPr="005138D5" w14:paraId="424E6FC0" w14:textId="77777777" w:rsidTr="00F66B3D">
        <w:tc>
          <w:tcPr>
            <w:tcW w:w="2700" w:type="dxa"/>
          </w:tcPr>
          <w:p w14:paraId="51C16A87" w14:textId="77777777" w:rsidR="00277FE6" w:rsidRPr="005138D5" w:rsidRDefault="00277FE6" w:rsidP="00F66B3D">
            <w:pPr>
              <w:pStyle w:val="TableText"/>
              <w:keepNext/>
              <w:overflowPunct w:val="0"/>
              <w:autoSpaceDE w:val="0"/>
              <w:autoSpaceDN w:val="0"/>
              <w:adjustRightInd w:val="0"/>
              <w:textAlignment w:val="baseline"/>
              <w:rPr>
                <w:rFonts w:cs="Times New Roman"/>
                <w:b/>
                <w:i/>
                <w:lang w:val="pl-PL"/>
              </w:rPr>
            </w:pPr>
            <w:r w:rsidRPr="005138D5">
              <w:rPr>
                <w:rFonts w:cs="Times New Roman"/>
                <w:lang w:val="pl-PL"/>
              </w:rPr>
              <w:br w:type="page"/>
            </w:r>
            <w:r w:rsidRPr="005138D5">
              <w:rPr>
                <w:rFonts w:cs="Times New Roman"/>
                <w:b/>
                <w:lang w:val="pl-PL"/>
              </w:rPr>
              <w:t>Produkt leczniczy</w:t>
            </w:r>
          </w:p>
          <w:p w14:paraId="04209191" w14:textId="77777777" w:rsidR="00277FE6" w:rsidRPr="005138D5" w:rsidRDefault="00277FE6" w:rsidP="00F66B3D">
            <w:pPr>
              <w:pStyle w:val="TableText"/>
              <w:keepNext/>
              <w:overflowPunct w:val="0"/>
              <w:autoSpaceDE w:val="0"/>
              <w:autoSpaceDN w:val="0"/>
              <w:adjustRightInd w:val="0"/>
              <w:textAlignment w:val="baseline"/>
              <w:rPr>
                <w:rFonts w:cs="Times New Roman"/>
                <w:b/>
                <w:lang w:val="pl-PL"/>
              </w:rPr>
            </w:pPr>
            <w:r w:rsidRPr="005138D5">
              <w:rPr>
                <w:rFonts w:cs="Times New Roman"/>
                <w:b/>
                <w:i/>
                <w:lang w:val="pl-PL"/>
              </w:rPr>
              <w:t>[Mechanizm interakcji]</w:t>
            </w:r>
          </w:p>
        </w:tc>
        <w:tc>
          <w:tcPr>
            <w:tcW w:w="3150" w:type="dxa"/>
          </w:tcPr>
          <w:p w14:paraId="707D16F4" w14:textId="77777777" w:rsidR="00277FE6" w:rsidRPr="005138D5" w:rsidRDefault="00277FE6" w:rsidP="00F66B3D">
            <w:pPr>
              <w:pStyle w:val="TableText"/>
              <w:keepNext/>
              <w:overflowPunct w:val="0"/>
              <w:autoSpaceDE w:val="0"/>
              <w:autoSpaceDN w:val="0"/>
              <w:adjustRightInd w:val="0"/>
              <w:textAlignment w:val="baseline"/>
              <w:rPr>
                <w:rFonts w:cs="Times New Roman"/>
                <w:b/>
                <w:lang w:val="pl-PL"/>
              </w:rPr>
            </w:pPr>
            <w:r w:rsidRPr="005138D5">
              <w:rPr>
                <w:rFonts w:cs="Times New Roman"/>
                <w:b/>
                <w:lang w:val="pl-PL"/>
              </w:rPr>
              <w:t xml:space="preserve">Interakcje </w:t>
            </w:r>
          </w:p>
          <w:p w14:paraId="09E68016" w14:textId="77777777" w:rsidR="00277FE6" w:rsidRPr="005138D5" w:rsidRDefault="00277FE6" w:rsidP="00F66B3D">
            <w:pPr>
              <w:pStyle w:val="TableText"/>
              <w:keepNext/>
              <w:overflowPunct w:val="0"/>
              <w:autoSpaceDE w:val="0"/>
              <w:autoSpaceDN w:val="0"/>
              <w:adjustRightInd w:val="0"/>
              <w:textAlignment w:val="baseline"/>
              <w:rPr>
                <w:rFonts w:cs="Times New Roman"/>
                <w:b/>
                <w:lang w:val="pl-PL"/>
              </w:rPr>
            </w:pPr>
            <w:r w:rsidRPr="005138D5">
              <w:rPr>
                <w:rFonts w:cs="Times New Roman"/>
                <w:b/>
                <w:lang w:val="pl-PL"/>
              </w:rPr>
              <w:t>Zmiana wartości średniej geometrycznej (%)</w:t>
            </w:r>
          </w:p>
        </w:tc>
        <w:tc>
          <w:tcPr>
            <w:tcW w:w="3328" w:type="dxa"/>
          </w:tcPr>
          <w:p w14:paraId="6ACC7FC4" w14:textId="77777777" w:rsidR="00277FE6" w:rsidRPr="005138D5" w:rsidRDefault="00277FE6" w:rsidP="00F66B3D">
            <w:pPr>
              <w:pStyle w:val="TableText"/>
              <w:keepNext/>
              <w:overflowPunct w:val="0"/>
              <w:autoSpaceDE w:val="0"/>
              <w:autoSpaceDN w:val="0"/>
              <w:adjustRightInd w:val="0"/>
              <w:textAlignment w:val="baseline"/>
              <w:rPr>
                <w:rFonts w:cs="Times New Roman"/>
                <w:b/>
                <w:lang w:val="pl-PL"/>
              </w:rPr>
            </w:pPr>
            <w:r w:rsidRPr="005138D5">
              <w:rPr>
                <w:rFonts w:cs="Times New Roman"/>
                <w:b/>
                <w:lang w:val="pl-PL"/>
              </w:rPr>
              <w:t>Zalecenia dotyczące jednoczesnego stosowania</w:t>
            </w:r>
          </w:p>
        </w:tc>
      </w:tr>
      <w:tr w:rsidR="00277FE6" w:rsidRPr="005138D5" w14:paraId="461C007D" w14:textId="77777777" w:rsidTr="00F66B3D">
        <w:tc>
          <w:tcPr>
            <w:tcW w:w="2700" w:type="dxa"/>
          </w:tcPr>
          <w:p w14:paraId="5621E1C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Astemizol, cyzapryd, pimozyd, chinidyna</w:t>
            </w:r>
            <w:r w:rsidR="009B2AD5">
              <w:rPr>
                <w:rFonts w:cs="Times New Roman"/>
                <w:lang w:val="pl-PL"/>
              </w:rPr>
              <w:t>,</w:t>
            </w:r>
            <w:r w:rsidRPr="005138D5">
              <w:rPr>
                <w:rFonts w:cs="Times New Roman"/>
                <w:lang w:val="pl-PL"/>
              </w:rPr>
              <w:t xml:space="preserve">  terfenadyna</w:t>
            </w:r>
            <w:r w:rsidR="009B2AD5">
              <w:rPr>
                <w:rFonts w:cs="Times New Roman"/>
                <w:lang w:val="pl-PL"/>
              </w:rPr>
              <w:t xml:space="preserve"> i iwabradyna</w:t>
            </w:r>
            <w:r w:rsidRPr="005138D5">
              <w:rPr>
                <w:rFonts w:cs="Times New Roman"/>
                <w:lang w:val="pl-PL"/>
              </w:rPr>
              <w:t xml:space="preserve"> </w:t>
            </w:r>
          </w:p>
          <w:p w14:paraId="6CE0797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i/>
                <w:lang w:val="pl-PL"/>
              </w:rPr>
              <w:t>[substraty CYP3A4]</w:t>
            </w:r>
          </w:p>
        </w:tc>
        <w:tc>
          <w:tcPr>
            <w:tcW w:w="3150" w:type="dxa"/>
          </w:tcPr>
          <w:p w14:paraId="7AA1D8EC"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r w:rsidRPr="005138D5">
              <w:rPr>
                <w:rFonts w:cs="Times New Roman"/>
                <w:lang w:val="pl-PL"/>
              </w:rPr>
              <w:t xml:space="preserve">Mimo, że tego nie badano, zwiększone stężenia tych leków w osoczu mogą prowadzić do wydłużenia odstępu QTc i występowania zaburzeń typu </w:t>
            </w:r>
            <w:r w:rsidRPr="005138D5">
              <w:rPr>
                <w:rFonts w:cs="Times New Roman"/>
                <w:i/>
                <w:lang w:val="pl-PL"/>
              </w:rPr>
              <w:t>torsades de pointes</w:t>
            </w:r>
            <w:r w:rsidRPr="005138D5">
              <w:rPr>
                <w:rFonts w:cs="Times New Roman"/>
                <w:lang w:val="pl-PL"/>
              </w:rPr>
              <w:t>.</w:t>
            </w:r>
          </w:p>
          <w:p w14:paraId="2E0BC335"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p>
        </w:tc>
        <w:tc>
          <w:tcPr>
            <w:tcW w:w="3328" w:type="dxa"/>
          </w:tcPr>
          <w:p w14:paraId="144C8A45" w14:textId="77777777" w:rsidR="00277FE6" w:rsidRPr="005138D5" w:rsidRDefault="00277FE6" w:rsidP="00F66B3D">
            <w:pPr>
              <w:pStyle w:val="TableText"/>
              <w:overflowPunct w:val="0"/>
              <w:autoSpaceDE w:val="0"/>
              <w:autoSpaceDN w:val="0"/>
              <w:adjustRightInd w:val="0"/>
              <w:textAlignment w:val="baseline"/>
              <w:rPr>
                <w:rFonts w:cs="Times New Roman"/>
                <w:b/>
                <w:lang w:val="pl-PL"/>
              </w:rPr>
            </w:pPr>
          </w:p>
          <w:p w14:paraId="57612D84"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r w:rsidRPr="005138D5">
              <w:rPr>
                <w:rFonts w:cs="Times New Roman"/>
                <w:b/>
                <w:lang w:val="pl-PL"/>
              </w:rPr>
              <w:t>Przeciwwskazane</w:t>
            </w:r>
            <w:r w:rsidRPr="005138D5">
              <w:rPr>
                <w:rFonts w:cs="Times New Roman"/>
                <w:lang w:val="pl-PL"/>
              </w:rPr>
              <w:t xml:space="preserve"> (patrz punkt 4.3)</w:t>
            </w:r>
          </w:p>
        </w:tc>
      </w:tr>
      <w:tr w:rsidR="00277FE6" w:rsidRPr="005138D5" w14:paraId="50C613D4" w14:textId="77777777" w:rsidTr="00F66B3D">
        <w:tc>
          <w:tcPr>
            <w:tcW w:w="2700" w:type="dxa"/>
          </w:tcPr>
          <w:p w14:paraId="3B4B8597" w14:textId="18493173"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Karbamazepina i długo działające barbiturany (</w:t>
            </w:r>
            <w:r w:rsidR="009745B5" w:rsidRPr="009745B5">
              <w:rPr>
                <w:rFonts w:cs="Times New Roman"/>
                <w:lang w:val="pl-PL"/>
              </w:rPr>
              <w:t xml:space="preserve">w tym między innymi: </w:t>
            </w:r>
            <w:r w:rsidRPr="005138D5">
              <w:rPr>
                <w:rFonts w:cs="Times New Roman"/>
                <w:lang w:val="pl-PL"/>
              </w:rPr>
              <w:t xml:space="preserve">np. fenobarbital, mefobarbital) </w:t>
            </w:r>
            <w:r w:rsidRPr="005138D5">
              <w:rPr>
                <w:rFonts w:cs="Times New Roman"/>
                <w:lang w:val="pl-PL"/>
              </w:rPr>
              <w:br/>
            </w:r>
            <w:r w:rsidRPr="005138D5">
              <w:rPr>
                <w:rFonts w:cs="Times New Roman"/>
                <w:i/>
                <w:lang w:val="pl-PL"/>
              </w:rPr>
              <w:t>[silne induktory CYP450]</w:t>
            </w:r>
          </w:p>
        </w:tc>
        <w:tc>
          <w:tcPr>
            <w:tcW w:w="3150" w:type="dxa"/>
          </w:tcPr>
          <w:p w14:paraId="5B50C4F3"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r w:rsidRPr="005138D5">
              <w:rPr>
                <w:rFonts w:cs="Times New Roman"/>
                <w:lang w:val="pl-PL"/>
              </w:rPr>
              <w:t>Mimo, że tego nie badano, karbamazepina i długo działające barbiturany zmniejszają w sposób istotny stężenie worykonazolu w osoczu.</w:t>
            </w:r>
          </w:p>
        </w:tc>
        <w:tc>
          <w:tcPr>
            <w:tcW w:w="3328" w:type="dxa"/>
          </w:tcPr>
          <w:p w14:paraId="44A088FA" w14:textId="77777777" w:rsidR="00277FE6" w:rsidRPr="005138D5" w:rsidRDefault="00277FE6" w:rsidP="00F66B3D">
            <w:pPr>
              <w:pStyle w:val="TableText"/>
              <w:overflowPunct w:val="0"/>
              <w:autoSpaceDE w:val="0"/>
              <w:autoSpaceDN w:val="0"/>
              <w:adjustRightInd w:val="0"/>
              <w:textAlignment w:val="baseline"/>
              <w:rPr>
                <w:rFonts w:cs="Times New Roman"/>
                <w:b/>
                <w:lang w:val="pl-PL"/>
              </w:rPr>
            </w:pPr>
          </w:p>
          <w:p w14:paraId="5DB3AB78" w14:textId="77777777" w:rsidR="00277FE6" w:rsidRPr="005138D5" w:rsidRDefault="00277FE6" w:rsidP="00F66B3D">
            <w:pPr>
              <w:pStyle w:val="TableText"/>
              <w:overflowPunct w:val="0"/>
              <w:autoSpaceDE w:val="0"/>
              <w:autoSpaceDN w:val="0"/>
              <w:adjustRightInd w:val="0"/>
              <w:textAlignment w:val="baseline"/>
              <w:rPr>
                <w:rFonts w:cs="Times New Roman"/>
                <w:b/>
                <w:lang w:val="pl-PL"/>
              </w:rPr>
            </w:pPr>
            <w:r w:rsidRPr="005138D5">
              <w:rPr>
                <w:rFonts w:cs="Times New Roman"/>
                <w:b/>
                <w:lang w:val="pl-PL"/>
              </w:rPr>
              <w:t>Przeciwwskazane</w:t>
            </w:r>
            <w:r w:rsidRPr="005138D5">
              <w:rPr>
                <w:rFonts w:cs="Times New Roman"/>
                <w:lang w:val="pl-PL"/>
              </w:rPr>
              <w:t xml:space="preserve"> (patrz punkt 4.3)</w:t>
            </w:r>
          </w:p>
        </w:tc>
      </w:tr>
      <w:tr w:rsidR="00277FE6" w:rsidRPr="005138D5" w14:paraId="6EF60038" w14:textId="77777777" w:rsidTr="00F66B3D">
        <w:tc>
          <w:tcPr>
            <w:tcW w:w="2700" w:type="dxa"/>
          </w:tcPr>
          <w:p w14:paraId="59F381C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i/>
                <w:lang w:val="pl-PL"/>
              </w:rPr>
            </w:pPr>
            <w:r w:rsidRPr="005138D5">
              <w:rPr>
                <w:rFonts w:cs="Times New Roman"/>
                <w:lang w:val="pl-PL"/>
              </w:rPr>
              <w:t xml:space="preserve">Efawirenz (nienukleotydowy inhibitor odwrotnej transktryptazy) </w:t>
            </w:r>
            <w:r w:rsidRPr="005138D5">
              <w:rPr>
                <w:rFonts w:cs="Times New Roman"/>
                <w:i/>
                <w:lang w:val="pl-PL"/>
              </w:rPr>
              <w:t>[induktor CYP450; inhibitor i substrat  CYP3A4]</w:t>
            </w:r>
          </w:p>
          <w:p w14:paraId="6DC7BB3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i/>
                <w:lang w:val="pl-PL"/>
              </w:rPr>
            </w:pPr>
          </w:p>
          <w:p w14:paraId="2265FEBB" w14:textId="77777777" w:rsidR="00277FE6" w:rsidRPr="005138D5" w:rsidRDefault="008A7D0D"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Efawirenz 400 mg QD, stosowany jednocześnie z worykonazolem 200 mg BID</w:t>
            </w:r>
            <w:r w:rsidRPr="005138D5">
              <w:rPr>
                <w:rFonts w:cs="Times New Roman"/>
                <w:vertAlign w:val="superscript"/>
                <w:lang w:val="pl-PL"/>
              </w:rPr>
              <w:t>*</w:t>
            </w:r>
          </w:p>
          <w:p w14:paraId="3DEA060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55F5256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8AA01B2"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D0FD27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30B1AE5" w14:textId="77777777" w:rsidR="00277FE6" w:rsidRPr="005138D5" w:rsidRDefault="008A7D0D"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Efawirenz 300 mg QD, stosowany jednocześnie z worykonazolem 400 mg BID</w:t>
            </w:r>
            <w:r w:rsidRPr="005138D5">
              <w:rPr>
                <w:rFonts w:cs="Times New Roman"/>
                <w:vertAlign w:val="superscript"/>
                <w:lang w:val="pl-PL"/>
              </w:rPr>
              <w:t>*</w:t>
            </w:r>
          </w:p>
        </w:tc>
        <w:tc>
          <w:tcPr>
            <w:tcW w:w="3150" w:type="dxa"/>
          </w:tcPr>
          <w:p w14:paraId="2C13850E"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p>
          <w:p w14:paraId="03E436F7"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p>
          <w:p w14:paraId="651D6324"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p>
          <w:p w14:paraId="33714BDF"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p>
          <w:p w14:paraId="1C788427"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r w:rsidRPr="005138D5">
              <w:rPr>
                <w:rFonts w:cs="Times New Roman"/>
                <w:lang w:val="pl-PL"/>
              </w:rPr>
              <w:t>Efawirenz C</w:t>
            </w:r>
            <w:r w:rsidRPr="005138D5">
              <w:rPr>
                <w:rFonts w:cs="Times New Roman"/>
                <w:vertAlign w:val="subscript"/>
                <w:lang w:val="pl-PL"/>
              </w:rPr>
              <w:t>max</w:t>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38%</w:t>
            </w:r>
            <w:r w:rsidRPr="005138D5">
              <w:rPr>
                <w:rFonts w:cs="Times New Roman"/>
                <w:lang w:val="pl-PL"/>
              </w:rPr>
              <w:br/>
              <w:t>Efawirenz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44%</w:t>
            </w:r>
          </w:p>
          <w:p w14:paraId="56729359"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r w:rsidRPr="005138D5">
              <w:rPr>
                <w:rFonts w:cs="Times New Roman"/>
                <w:lang w:val="pl-PL"/>
              </w:rPr>
              <w:t>Worykonazol C</w:t>
            </w:r>
            <w:r w:rsidRPr="005138D5">
              <w:rPr>
                <w:rFonts w:cs="Times New Roman"/>
                <w:vertAlign w:val="subscript"/>
                <w:lang w:val="pl-PL"/>
              </w:rPr>
              <w:t>max</w:t>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61%</w:t>
            </w:r>
            <w:r w:rsidRPr="005138D5">
              <w:rPr>
                <w:rFonts w:cs="Times New Roman"/>
                <w:lang w:val="pl-PL"/>
              </w:rPr>
              <w:b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77%</w:t>
            </w:r>
          </w:p>
          <w:p w14:paraId="048BAC9B" w14:textId="77777777" w:rsidR="00277FE6" w:rsidRPr="005138D5" w:rsidRDefault="00277FE6" w:rsidP="00F66B3D">
            <w:pPr>
              <w:pStyle w:val="TableText"/>
              <w:tabs>
                <w:tab w:val="left" w:pos="216"/>
                <w:tab w:val="left" w:pos="360"/>
              </w:tabs>
              <w:overflowPunct w:val="0"/>
              <w:autoSpaceDE w:val="0"/>
              <w:autoSpaceDN w:val="0"/>
              <w:adjustRightInd w:val="0"/>
              <w:textAlignment w:val="baseline"/>
              <w:rPr>
                <w:rFonts w:cs="Times New Roman"/>
                <w:lang w:val="pl-PL"/>
              </w:rPr>
            </w:pPr>
          </w:p>
          <w:p w14:paraId="7D695FAA" w14:textId="77777777" w:rsidR="00277FE6" w:rsidRPr="005138D5" w:rsidRDefault="00277FE6" w:rsidP="00F66B3D">
            <w:pPr>
              <w:pStyle w:val="TableText"/>
              <w:tabs>
                <w:tab w:val="left" w:pos="216"/>
                <w:tab w:val="left" w:pos="360"/>
              </w:tabs>
              <w:overflowPunct w:val="0"/>
              <w:autoSpaceDE w:val="0"/>
              <w:autoSpaceDN w:val="0"/>
              <w:adjustRightInd w:val="0"/>
              <w:textAlignment w:val="baseline"/>
              <w:rPr>
                <w:rFonts w:cs="Times New Roman"/>
                <w:lang w:val="pl-PL"/>
              </w:rPr>
            </w:pPr>
          </w:p>
          <w:p w14:paraId="4E880726" w14:textId="77777777" w:rsidR="00277FE6" w:rsidRPr="005138D5" w:rsidRDefault="00277FE6" w:rsidP="00F66B3D">
            <w:pPr>
              <w:pStyle w:val="TableText"/>
              <w:tabs>
                <w:tab w:val="left" w:pos="216"/>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 porównaniu do efawirenzu </w:t>
            </w:r>
            <w:r w:rsidRPr="005138D5">
              <w:rPr>
                <w:rFonts w:cs="Times New Roman"/>
                <w:lang w:val="pl-PL"/>
              </w:rPr>
              <w:br/>
              <w:t>600 mg QD,</w:t>
            </w:r>
          </w:p>
          <w:p w14:paraId="53872986" w14:textId="77777777" w:rsidR="00277FE6" w:rsidRPr="005138D5" w:rsidRDefault="00277FE6" w:rsidP="00F66B3D">
            <w:pPr>
              <w:pStyle w:val="TableText"/>
              <w:tabs>
                <w:tab w:val="left" w:pos="216"/>
                <w:tab w:val="left" w:pos="360"/>
              </w:tabs>
              <w:overflowPunct w:val="0"/>
              <w:autoSpaceDE w:val="0"/>
              <w:autoSpaceDN w:val="0"/>
              <w:adjustRightInd w:val="0"/>
              <w:textAlignment w:val="baseline"/>
              <w:rPr>
                <w:rFonts w:cs="Times New Roman"/>
                <w:lang w:val="pl-PL"/>
              </w:rPr>
            </w:pPr>
            <w:r w:rsidRPr="005138D5">
              <w:rPr>
                <w:rFonts w:cs="Times New Roman"/>
                <w:lang w:val="pl-PL"/>
              </w:rPr>
              <w:t>Efawirenz C</w:t>
            </w:r>
            <w:r w:rsidRPr="005138D5">
              <w:rPr>
                <w:rFonts w:cs="Times New Roman"/>
                <w:vertAlign w:val="subscript"/>
                <w:lang w:val="pl-PL"/>
              </w:rPr>
              <w:t>max</w:t>
            </w:r>
            <w:r w:rsidRPr="005138D5">
              <w:rPr>
                <w:rFonts w:cs="Times New Roman"/>
                <w:lang w:val="pl-PL"/>
              </w:rPr>
              <w:t xml:space="preserve"> ↔</w:t>
            </w:r>
            <w:r w:rsidRPr="005138D5">
              <w:rPr>
                <w:rFonts w:cs="Times New Roman"/>
                <w:lang w:val="pl-PL"/>
              </w:rPr>
              <w:br/>
              <w:t>Efawirenz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17%</w:t>
            </w:r>
            <w:r w:rsidRPr="005138D5">
              <w:rPr>
                <w:rFonts w:cs="Times New Roman"/>
                <w:lang w:val="pl-PL"/>
              </w:rPr>
              <w:br/>
            </w:r>
          </w:p>
          <w:p w14:paraId="0350E907" w14:textId="77777777" w:rsidR="00277FE6" w:rsidRPr="005138D5" w:rsidRDefault="00277FE6" w:rsidP="00F66B3D">
            <w:pPr>
              <w:pStyle w:val="TableText"/>
              <w:tabs>
                <w:tab w:val="left" w:pos="216"/>
                <w:tab w:val="left" w:pos="360"/>
              </w:tabs>
              <w:overflowPunct w:val="0"/>
              <w:autoSpaceDE w:val="0"/>
              <w:autoSpaceDN w:val="0"/>
              <w:adjustRightInd w:val="0"/>
              <w:textAlignment w:val="baseline"/>
              <w:rPr>
                <w:rFonts w:cs="Times New Roman"/>
                <w:lang w:val="pl-PL"/>
              </w:rPr>
            </w:pPr>
            <w:r w:rsidRPr="005138D5">
              <w:rPr>
                <w:rFonts w:cs="Times New Roman"/>
                <w:lang w:val="pl-PL"/>
              </w:rPr>
              <w:t>W porównaniu do worykonazolu 200 mg BID,</w:t>
            </w:r>
          </w:p>
          <w:p w14:paraId="520861DF" w14:textId="77777777" w:rsidR="00277FE6" w:rsidRPr="005138D5" w:rsidRDefault="00277FE6" w:rsidP="00F66B3D">
            <w:pPr>
              <w:pStyle w:val="TableText"/>
              <w:tabs>
                <w:tab w:val="left" w:pos="216"/>
              </w:tabs>
              <w:overflowPunct w:val="0"/>
              <w:autoSpaceDE w:val="0"/>
              <w:autoSpaceDN w:val="0"/>
              <w:adjustRightInd w:val="0"/>
              <w:textAlignment w:val="baseline"/>
              <w:rPr>
                <w:rFonts w:cs="Times New Roman"/>
                <w:lang w:val="pl-PL"/>
              </w:rPr>
            </w:pPr>
            <w:r w:rsidRPr="005138D5">
              <w:rPr>
                <w:rFonts w:cs="Times New Roman"/>
                <w:lang w:val="pl-PL"/>
              </w:rPr>
              <w:t>Worykonazol C</w:t>
            </w:r>
            <w:r w:rsidRPr="005138D5">
              <w:rPr>
                <w:rFonts w:cs="Times New Roman"/>
                <w:vertAlign w:val="subscript"/>
                <w:lang w:val="pl-PL"/>
              </w:rPr>
              <w:t>max</w:t>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23%</w:t>
            </w:r>
            <w:r w:rsidRPr="005138D5">
              <w:rPr>
                <w:rFonts w:cs="Times New Roman"/>
                <w:lang w:val="pl-PL"/>
              </w:rPr>
              <w:b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7%</w:t>
            </w:r>
          </w:p>
        </w:tc>
        <w:tc>
          <w:tcPr>
            <w:tcW w:w="3328" w:type="dxa"/>
          </w:tcPr>
          <w:p w14:paraId="269F87ED"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p>
          <w:p w14:paraId="512E4665"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p>
          <w:p w14:paraId="774F6C7A"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p>
          <w:p w14:paraId="3D0171B7"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r w:rsidRPr="005138D5">
              <w:rPr>
                <w:rFonts w:cs="Times New Roman"/>
                <w:lang w:val="pl-PL"/>
              </w:rPr>
              <w:t xml:space="preserve">Stosowanie dawki standardowej worykonazolu z dawką efawirenzu </w:t>
            </w:r>
            <w:r w:rsidRPr="005138D5">
              <w:rPr>
                <w:rFonts w:cs="Times New Roman"/>
                <w:lang w:val="pl-PL"/>
              </w:rPr>
              <w:br/>
              <w:t xml:space="preserve">400 mg QD lub </w:t>
            </w:r>
            <w:r w:rsidR="00613B2E" w:rsidRPr="005138D5">
              <w:rPr>
                <w:rFonts w:cs="Times New Roman"/>
                <w:lang w:val="pl-PL"/>
              </w:rPr>
              <w:t>większą</w:t>
            </w:r>
            <w:r w:rsidRPr="005138D5">
              <w:rPr>
                <w:rFonts w:cs="Times New Roman"/>
                <w:lang w:val="pl-PL"/>
              </w:rPr>
              <w:t xml:space="preserve"> jest </w:t>
            </w:r>
            <w:r w:rsidRPr="005138D5">
              <w:rPr>
                <w:rFonts w:cs="Times New Roman"/>
                <w:b/>
                <w:lang w:val="pl-PL"/>
              </w:rPr>
              <w:t xml:space="preserve">przeciwwskazane </w:t>
            </w:r>
            <w:r w:rsidRPr="005138D5">
              <w:rPr>
                <w:rFonts w:cs="Times New Roman"/>
                <w:lang w:val="pl-PL"/>
              </w:rPr>
              <w:t>(patrz punkt 4.3).</w:t>
            </w:r>
          </w:p>
          <w:p w14:paraId="7B745ACF"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p>
          <w:p w14:paraId="39CCB587" w14:textId="77777777" w:rsidR="00277FE6" w:rsidRPr="005138D5" w:rsidRDefault="00277FE6" w:rsidP="00F66B3D">
            <w:pPr>
              <w:pStyle w:val="TableText"/>
              <w:overflowPunct w:val="0"/>
              <w:autoSpaceDE w:val="0"/>
              <w:autoSpaceDN w:val="0"/>
              <w:adjustRightInd w:val="0"/>
              <w:textAlignment w:val="baseline"/>
              <w:rPr>
                <w:rFonts w:cs="Times New Roman"/>
                <w:lang w:val="pl-PL"/>
              </w:rPr>
            </w:pPr>
            <w:r w:rsidRPr="005138D5">
              <w:rPr>
                <w:rFonts w:cs="Times New Roman"/>
                <w:lang w:val="pl-PL"/>
              </w:rPr>
              <w:t>Worykonazol może być stosowany jednocześnie z efawirenzem w przypadku, gdy dawka podtrzymująca worykonazolu jest zwiększona do 400 mg BID, a dawka efawirenzu jest zmniejszona do 300 mg QD. Po zakończeniu leczenia worykonazolem dawka początkowa efawirenzu powinna być przywrócona (patrz punkt 4.2</w:t>
            </w:r>
            <w:r w:rsidR="00031224" w:rsidRPr="005138D5">
              <w:rPr>
                <w:rFonts w:cs="Times New Roman"/>
                <w:lang w:val="pl-PL"/>
              </w:rPr>
              <w:t xml:space="preserve"> i 4.4</w:t>
            </w:r>
            <w:r w:rsidRPr="005138D5">
              <w:rPr>
                <w:rFonts w:cs="Times New Roman"/>
                <w:lang w:val="pl-PL"/>
              </w:rPr>
              <w:t>).</w:t>
            </w:r>
          </w:p>
          <w:p w14:paraId="7D5CDF78" w14:textId="77777777" w:rsidR="00277FE6" w:rsidRPr="005138D5" w:rsidRDefault="00277FE6" w:rsidP="00F66B3D">
            <w:pPr>
              <w:pStyle w:val="TableText"/>
              <w:overflowPunct w:val="0"/>
              <w:autoSpaceDE w:val="0"/>
              <w:autoSpaceDN w:val="0"/>
              <w:adjustRightInd w:val="0"/>
              <w:textAlignment w:val="baseline"/>
              <w:rPr>
                <w:rFonts w:cs="Times New Roman"/>
                <w:b/>
                <w:lang w:val="pl-PL"/>
              </w:rPr>
            </w:pPr>
          </w:p>
        </w:tc>
      </w:tr>
      <w:tr w:rsidR="00277FE6" w:rsidRPr="005138D5" w14:paraId="3A9A0616" w14:textId="77777777" w:rsidTr="00F66B3D">
        <w:tc>
          <w:tcPr>
            <w:tcW w:w="2700" w:type="dxa"/>
          </w:tcPr>
          <w:p w14:paraId="6E734779" w14:textId="7E3432A4"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Alkaloidy sporyszu </w:t>
            </w:r>
            <w:r w:rsidRPr="005138D5">
              <w:rPr>
                <w:rFonts w:cs="Times New Roman"/>
                <w:lang w:val="pl-PL"/>
              </w:rPr>
              <w:br/>
              <w:t>(</w:t>
            </w:r>
            <w:r w:rsidR="009745B5" w:rsidRPr="009745B5">
              <w:rPr>
                <w:rFonts w:cs="Times New Roman"/>
                <w:lang w:val="pl-PL"/>
              </w:rPr>
              <w:t xml:space="preserve">w tym między innymi: </w:t>
            </w:r>
            <w:r w:rsidRPr="005138D5">
              <w:rPr>
                <w:rFonts w:cs="Times New Roman"/>
                <w:lang w:val="pl-PL"/>
              </w:rPr>
              <w:t>np. ergotamina i dihydroergotamina)</w:t>
            </w:r>
            <w:r w:rsidRPr="005138D5">
              <w:rPr>
                <w:rFonts w:cs="Times New Roman"/>
                <w:lang w:val="pl-PL"/>
              </w:rPr>
              <w:br/>
              <w:t>[substraty CYP3A4]</w:t>
            </w:r>
          </w:p>
        </w:tc>
        <w:tc>
          <w:tcPr>
            <w:tcW w:w="3150" w:type="dxa"/>
          </w:tcPr>
          <w:p w14:paraId="5789D2C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Mimo, że tego nie badano, worykonazol może zwiększać stężenie alkaloidów sporyszu w osoczu i prowadzić do zatrucia tymi lekami. </w:t>
            </w:r>
          </w:p>
          <w:p w14:paraId="5D683D2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2FF4D6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74A07E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0E1E9A7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7198F4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b/>
                <w:bCs/>
                <w:lang w:val="pl-PL"/>
              </w:rPr>
              <w:t xml:space="preserve">Przeciwwskazane </w:t>
            </w:r>
            <w:r w:rsidRPr="005138D5">
              <w:rPr>
                <w:rFonts w:cs="Times New Roman"/>
                <w:lang w:val="pl-PL"/>
              </w:rPr>
              <w:t>(patrz punkt 4.3)</w:t>
            </w:r>
          </w:p>
        </w:tc>
      </w:tr>
      <w:tr w:rsidR="00D56734" w:rsidRPr="005138D5" w14:paraId="5F8F223E" w14:textId="77777777" w:rsidTr="00F66B3D">
        <w:tc>
          <w:tcPr>
            <w:tcW w:w="2700" w:type="dxa"/>
          </w:tcPr>
          <w:p w14:paraId="41E8406D" w14:textId="77777777" w:rsidR="00D56734" w:rsidRPr="005138D5"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lang w:val="pl-PL"/>
              </w:rPr>
              <w:t xml:space="preserve">Lurazydon [substrat CYP3A4] </w:t>
            </w:r>
          </w:p>
        </w:tc>
        <w:tc>
          <w:tcPr>
            <w:tcW w:w="3150" w:type="dxa"/>
          </w:tcPr>
          <w:p w14:paraId="05FC658D" w14:textId="77777777" w:rsidR="00D56734" w:rsidRPr="005138D5"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lang w:val="pl-PL"/>
              </w:rPr>
              <w:t>Mimo, że tego nie badano, worykonazol może znacząco zwiększać stężenie lurazydonu w osoczu.</w:t>
            </w:r>
          </w:p>
        </w:tc>
        <w:tc>
          <w:tcPr>
            <w:tcW w:w="3328" w:type="dxa"/>
          </w:tcPr>
          <w:p w14:paraId="3ED07E6E" w14:textId="77777777" w:rsidR="00D56734" w:rsidRPr="005138D5"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b/>
                <w:bCs/>
                <w:lang w:val="pl-PL"/>
              </w:rPr>
              <w:t>Przeciwwskazane</w:t>
            </w:r>
            <w:r w:rsidRPr="00D56734">
              <w:rPr>
                <w:rFonts w:cs="Times New Roman"/>
                <w:lang w:val="pl-PL"/>
              </w:rPr>
              <w:t xml:space="preserve"> (patrz punkt 4.3)</w:t>
            </w:r>
          </w:p>
        </w:tc>
      </w:tr>
      <w:tr w:rsidR="00D56734" w:rsidRPr="005138D5" w14:paraId="4D05CF9C" w14:textId="77777777" w:rsidTr="00F66B3D">
        <w:tc>
          <w:tcPr>
            <w:tcW w:w="2700" w:type="dxa"/>
          </w:tcPr>
          <w:p w14:paraId="11218E07" w14:textId="77777777" w:rsidR="00D56734" w:rsidRPr="00D56734" w:rsidRDefault="00D56734" w:rsidP="00D56734">
            <w:pPr>
              <w:pStyle w:val="TableText"/>
              <w:tabs>
                <w:tab w:val="left" w:pos="360"/>
              </w:tabs>
              <w:overflowPunct w:val="0"/>
              <w:autoSpaceDE w:val="0"/>
              <w:autoSpaceDN w:val="0"/>
              <w:adjustRightInd w:val="0"/>
              <w:textAlignment w:val="baseline"/>
              <w:rPr>
                <w:lang w:val="pl-PL"/>
              </w:rPr>
            </w:pPr>
            <w:r w:rsidRPr="00D56734">
              <w:rPr>
                <w:lang w:val="pl-PL"/>
              </w:rPr>
              <w:t>Naloksegol</w:t>
            </w:r>
          </w:p>
          <w:p w14:paraId="4F524C6D" w14:textId="77777777" w:rsidR="00D56734" w:rsidRPr="00D56734" w:rsidRDefault="00D56734" w:rsidP="00D56734">
            <w:pPr>
              <w:pStyle w:val="TableText"/>
              <w:tabs>
                <w:tab w:val="left" w:pos="360"/>
              </w:tabs>
              <w:overflowPunct w:val="0"/>
              <w:autoSpaceDE w:val="0"/>
              <w:autoSpaceDN w:val="0"/>
              <w:adjustRightInd w:val="0"/>
              <w:textAlignment w:val="baseline"/>
              <w:rPr>
                <w:lang w:val="pl-PL"/>
              </w:rPr>
            </w:pPr>
            <w:r w:rsidRPr="00D56734">
              <w:rPr>
                <w:lang w:val="pl-PL"/>
              </w:rPr>
              <w:t>[substrat CYP3A4]</w:t>
            </w:r>
          </w:p>
        </w:tc>
        <w:tc>
          <w:tcPr>
            <w:tcW w:w="3150" w:type="dxa"/>
          </w:tcPr>
          <w:p w14:paraId="234AE00B" w14:textId="77777777" w:rsidR="00D56734" w:rsidRPr="00D56734"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lang w:val="pl-PL"/>
              </w:rPr>
              <w:t>Mimo, że tego nie badano,</w:t>
            </w:r>
          </w:p>
          <w:p w14:paraId="0A81D5CC" w14:textId="77777777" w:rsidR="00D56734" w:rsidRPr="00D56734"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lang w:val="pl-PL"/>
              </w:rPr>
              <w:t>worykonazol może znacząco</w:t>
            </w:r>
          </w:p>
          <w:p w14:paraId="31F3B7BF" w14:textId="77777777" w:rsidR="00D56734" w:rsidRPr="00D56734"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lang w:val="pl-PL"/>
              </w:rPr>
              <w:t>zwiększać stężenie naloksegolu w</w:t>
            </w:r>
            <w:r>
              <w:rPr>
                <w:rFonts w:cs="Times New Roman"/>
                <w:lang w:val="pl-PL"/>
              </w:rPr>
              <w:t xml:space="preserve"> </w:t>
            </w:r>
            <w:r w:rsidRPr="00D56734">
              <w:rPr>
                <w:rFonts w:cs="Times New Roman"/>
                <w:lang w:val="pl-PL"/>
              </w:rPr>
              <w:t>osoczu.</w:t>
            </w:r>
          </w:p>
        </w:tc>
        <w:tc>
          <w:tcPr>
            <w:tcW w:w="3328" w:type="dxa"/>
          </w:tcPr>
          <w:p w14:paraId="6DDCDC8C" w14:textId="77777777" w:rsidR="00D56734" w:rsidRPr="00D56734" w:rsidRDefault="00D56734" w:rsidP="00D56734">
            <w:pPr>
              <w:pStyle w:val="TableText"/>
              <w:tabs>
                <w:tab w:val="left" w:pos="360"/>
              </w:tabs>
              <w:overflowPunct w:val="0"/>
              <w:autoSpaceDE w:val="0"/>
              <w:autoSpaceDN w:val="0"/>
              <w:adjustRightInd w:val="0"/>
              <w:textAlignment w:val="baseline"/>
              <w:rPr>
                <w:rFonts w:cs="Times New Roman"/>
                <w:lang w:val="pl-PL"/>
              </w:rPr>
            </w:pPr>
            <w:r w:rsidRPr="00D56734">
              <w:rPr>
                <w:rFonts w:cs="Times New Roman"/>
                <w:b/>
                <w:bCs/>
                <w:lang w:val="pl-PL"/>
              </w:rPr>
              <w:t>Przeciwwskazane</w:t>
            </w:r>
            <w:r w:rsidRPr="00D56734">
              <w:rPr>
                <w:rFonts w:cs="Times New Roman"/>
                <w:lang w:val="pl-PL"/>
              </w:rPr>
              <w:t xml:space="preserve"> (patrz punkt 4.3)</w:t>
            </w:r>
          </w:p>
        </w:tc>
      </w:tr>
      <w:tr w:rsidR="00277FE6" w:rsidRPr="005138D5" w14:paraId="796BC10B" w14:textId="77777777" w:rsidTr="00F66B3D">
        <w:tc>
          <w:tcPr>
            <w:tcW w:w="2700" w:type="dxa"/>
          </w:tcPr>
          <w:p w14:paraId="72FA6B1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Ryfabutyna </w:t>
            </w:r>
          </w:p>
          <w:p w14:paraId="0BEC106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[silny induktor CYP450]</w:t>
            </w:r>
          </w:p>
          <w:p w14:paraId="7A3E036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814706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300 mg QD </w:t>
            </w:r>
          </w:p>
          <w:p w14:paraId="032953C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37F8E6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2F87A79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300 mg QD (jednoczesne stosowanie z worykonazolem 350 mg BID)*</w:t>
            </w:r>
          </w:p>
          <w:p w14:paraId="023635D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4BC199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F2FE28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300 mg QD (jednoczesne stosowanie z worykonazolem 400 mg BID)*</w:t>
            </w:r>
          </w:p>
          <w:p w14:paraId="1B11FF8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c>
          <w:tcPr>
            <w:tcW w:w="3150" w:type="dxa"/>
          </w:tcPr>
          <w:p w14:paraId="1C84B79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2A83AB4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84F1FC2"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F"/>
            </w:r>
            <w:r w:rsidRPr="005138D5">
              <w:rPr>
                <w:rFonts w:cs="Times New Roman"/>
                <w:lang w:val="pl-PL"/>
              </w:rPr>
              <w:t xml:space="preserve"> 69%</w:t>
            </w:r>
          </w:p>
          <w:p w14:paraId="2E82223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78%</w:t>
            </w:r>
          </w:p>
          <w:p w14:paraId="5166FEB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7471D9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 porównaniu do worykonazolu 200 mg BID,</w:t>
            </w:r>
          </w:p>
          <w:p w14:paraId="7E479CB2"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F"/>
            </w:r>
            <w:r w:rsidRPr="005138D5">
              <w:rPr>
                <w:rFonts w:cs="Times New Roman"/>
                <w:lang w:val="pl-PL"/>
              </w:rPr>
              <w:t xml:space="preserve"> 4%</w:t>
            </w:r>
            <w:r w:rsidRPr="005138D5">
              <w:rPr>
                <w:rFonts w:cs="Times New Roman"/>
                <w:lang w:val="pl-PL"/>
              </w:rPr>
              <w:b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32%</w:t>
            </w:r>
          </w:p>
          <w:p w14:paraId="1C534D5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2CA625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Ryfabutyna Cmax </w:t>
            </w:r>
            <w:r w:rsidRPr="005138D5">
              <w:rPr>
                <w:rFonts w:cs="Times New Roman"/>
                <w:lang w:val="pl-PL"/>
              </w:rPr>
              <w:sym w:font="Symbol" w:char="F0AD"/>
            </w:r>
            <w:r w:rsidRPr="005138D5">
              <w:rPr>
                <w:rFonts w:cs="Times New Roman"/>
                <w:lang w:val="pl-PL"/>
              </w:rPr>
              <w:t xml:space="preserve"> 195%</w:t>
            </w:r>
            <w:r w:rsidRPr="005138D5">
              <w:rPr>
                <w:rFonts w:cs="Times New Roman"/>
                <w:lang w:val="pl-PL"/>
              </w:rPr>
              <w:br/>
              <w:t>Ryfabutyna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331%</w:t>
            </w:r>
          </w:p>
          <w:p w14:paraId="692A65E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 porównaniu do worykonazolu 200 mg BID,</w:t>
            </w:r>
          </w:p>
          <w:p w14:paraId="1A93929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D"/>
            </w:r>
            <w:r w:rsidRPr="005138D5">
              <w:rPr>
                <w:rFonts w:cs="Times New Roman"/>
                <w:lang w:val="pl-PL"/>
              </w:rPr>
              <w:t xml:space="preserve"> 104%</w:t>
            </w:r>
            <w:r w:rsidRPr="005138D5">
              <w:rPr>
                <w:rFonts w:cs="Times New Roman"/>
                <w:lang w:val="pl-PL"/>
              </w:rPr>
              <w:b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87% </w:t>
            </w:r>
          </w:p>
        </w:tc>
        <w:tc>
          <w:tcPr>
            <w:tcW w:w="3328" w:type="dxa"/>
          </w:tcPr>
          <w:p w14:paraId="2A6BEF52"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Należy unikać jednoczesnego stosowania ryfabutyny i worykonazolu, chyba że korzyści przewyższają ryzyko. </w:t>
            </w:r>
          </w:p>
          <w:p w14:paraId="09C8DA4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Podtrzymująca dawka worykonazolu może zostać  zwiększona do 5 mg/kg mc. dożylnie BID lub dawka doustna z 200 mg na 350 mg BID (100 mg do 200 mg BID u pacjentów o masie ciała poniżej </w:t>
            </w:r>
            <w:smartTag w:uri="urn:schemas-microsoft-com:office:smarttags" w:element="metricconverter">
              <w:smartTagPr>
                <w:attr w:name="ProductID" w:val="40 kg"/>
              </w:smartTagPr>
              <w:r w:rsidRPr="005138D5">
                <w:rPr>
                  <w:rFonts w:cs="Times New Roman"/>
                  <w:lang w:val="pl-PL"/>
                </w:rPr>
                <w:t>40 kg</w:t>
              </w:r>
            </w:smartTag>
            <w:r w:rsidRPr="005138D5">
              <w:rPr>
                <w:rFonts w:cs="Times New Roman"/>
                <w:lang w:val="pl-PL"/>
              </w:rPr>
              <w:t xml:space="preserve">) (patrz punkt 4.2). Zaleca się ścisłe monitorowanie parametrów krwi oraz działań niepożądanych ryfabutyny </w:t>
            </w:r>
            <w:r w:rsidRPr="005138D5">
              <w:rPr>
                <w:rFonts w:cs="Times New Roman"/>
                <w:lang w:val="pl-PL"/>
              </w:rPr>
              <w:br/>
              <w:t xml:space="preserve">(np. zapalenie błony naczyniowej oka) podczas jednoczesnego podawania ryfabutyny i worykonazolu. </w:t>
            </w:r>
          </w:p>
        </w:tc>
      </w:tr>
      <w:tr w:rsidR="00277FE6" w:rsidRPr="005138D5" w14:paraId="53134DB3" w14:textId="77777777" w:rsidTr="00F66B3D">
        <w:tc>
          <w:tcPr>
            <w:tcW w:w="2700" w:type="dxa"/>
          </w:tcPr>
          <w:p w14:paraId="35D9B39D"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Ryfampicyna (600 mg QD)</w:t>
            </w:r>
          </w:p>
          <w:p w14:paraId="7BCC682C"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[silny induktor CYP450]</w:t>
            </w:r>
          </w:p>
        </w:tc>
        <w:tc>
          <w:tcPr>
            <w:tcW w:w="3150" w:type="dxa"/>
          </w:tcPr>
          <w:p w14:paraId="6BC54D87"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F"/>
            </w:r>
            <w:r w:rsidRPr="005138D5">
              <w:rPr>
                <w:rFonts w:cs="Times New Roman"/>
                <w:lang w:val="pl-PL"/>
              </w:rPr>
              <w:t xml:space="preserve"> 93%</w:t>
            </w:r>
          </w:p>
          <w:p w14:paraId="0B3C2377"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96%</w:t>
            </w:r>
          </w:p>
        </w:tc>
        <w:tc>
          <w:tcPr>
            <w:tcW w:w="3328" w:type="dxa"/>
          </w:tcPr>
          <w:p w14:paraId="1D29439B"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b/>
                <w:lang w:val="pl-PL"/>
              </w:rPr>
              <w:t>Przeciwwskazane</w:t>
            </w:r>
            <w:r w:rsidRPr="005138D5">
              <w:rPr>
                <w:rFonts w:cs="Times New Roman"/>
                <w:lang w:val="pl-PL"/>
              </w:rPr>
              <w:t xml:space="preserve"> (patrz punkt 4.3)</w:t>
            </w:r>
          </w:p>
        </w:tc>
      </w:tr>
      <w:tr w:rsidR="00277FE6" w:rsidRPr="005138D5" w14:paraId="21017000" w14:textId="77777777" w:rsidTr="00F66B3D">
        <w:tc>
          <w:tcPr>
            <w:tcW w:w="2700" w:type="dxa"/>
          </w:tcPr>
          <w:p w14:paraId="2698B54E"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Rytonawir (inhibitor proteazy) [silny induktor CYP450; inhibitor i substrat CYP3A4]</w:t>
            </w:r>
          </w:p>
          <w:p w14:paraId="4B702CAE"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Duża dawka (400 mg BID)</w:t>
            </w:r>
          </w:p>
          <w:p w14:paraId="296EE3A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1E2072B5"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5DDD58F4"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0FAA6242"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16883ABF"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Mała dawka (100 mg BID)*</w:t>
            </w:r>
          </w:p>
        </w:tc>
        <w:tc>
          <w:tcPr>
            <w:tcW w:w="3150" w:type="dxa"/>
          </w:tcPr>
          <w:p w14:paraId="034270C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26ED4F65"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790BAC02"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4FD2C329"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6395CE3D"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Rytonawir Cmax i AUC</w:t>
            </w:r>
            <w:r w:rsidRPr="005138D5">
              <w:rPr>
                <w:rFonts w:cs="Times New Roman"/>
                <w:lang w:val="pl-PL"/>
              </w:rPr>
              <w:sym w:font="Symbol" w:char="F074"/>
            </w:r>
            <w:r w:rsidRPr="005138D5">
              <w:rPr>
                <w:rFonts w:cs="Times New Roman"/>
                <w:lang w:val="pl-PL"/>
              </w:rPr>
              <w:t xml:space="preserve"> ↔</w:t>
            </w:r>
          </w:p>
          <w:p w14:paraId="0515EBE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F"/>
            </w:r>
            <w:r w:rsidRPr="005138D5">
              <w:rPr>
                <w:rFonts w:cs="Times New Roman"/>
                <w:lang w:val="pl-PL"/>
              </w:rPr>
              <w:t xml:space="preserve"> 66%</w:t>
            </w:r>
          </w:p>
          <w:p w14:paraId="3507CC6B"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82%</w:t>
            </w:r>
          </w:p>
          <w:p w14:paraId="0739F400"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5552504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51DEC16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Rytonawir Cmax </w:t>
            </w:r>
            <w:r w:rsidRPr="005138D5">
              <w:rPr>
                <w:rFonts w:cs="Times New Roman"/>
                <w:lang w:val="pl-PL"/>
              </w:rPr>
              <w:sym w:font="Symbol" w:char="F0AF"/>
            </w:r>
            <w:r w:rsidRPr="005138D5">
              <w:rPr>
                <w:rFonts w:cs="Times New Roman"/>
                <w:lang w:val="pl-PL"/>
              </w:rPr>
              <w:t xml:space="preserve"> 25%</w:t>
            </w:r>
          </w:p>
          <w:p w14:paraId="69AE982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Rytonawir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13%</w:t>
            </w:r>
          </w:p>
          <w:p w14:paraId="6A102D84"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F"/>
            </w:r>
            <w:r w:rsidRPr="005138D5">
              <w:rPr>
                <w:rFonts w:cs="Times New Roman"/>
                <w:lang w:val="pl-PL"/>
              </w:rPr>
              <w:t xml:space="preserve"> 24%</w:t>
            </w:r>
          </w:p>
          <w:p w14:paraId="09AF0BE1"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39%</w:t>
            </w:r>
          </w:p>
        </w:tc>
        <w:tc>
          <w:tcPr>
            <w:tcW w:w="3328" w:type="dxa"/>
          </w:tcPr>
          <w:p w14:paraId="1B6771EF"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6A8AA454"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63CF27CB"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1D368B90"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Jednoczesne stosowanie worykonazolu i dużych dawek rytonawiru (400 mg lub powyżej BID) jest </w:t>
            </w:r>
            <w:r w:rsidRPr="005138D5">
              <w:rPr>
                <w:rFonts w:cs="Times New Roman"/>
                <w:b/>
                <w:lang w:val="pl-PL"/>
              </w:rPr>
              <w:t>przeciwwskazane</w:t>
            </w:r>
            <w:r w:rsidRPr="005138D5">
              <w:rPr>
                <w:rFonts w:cs="Times New Roman"/>
                <w:lang w:val="pl-PL"/>
              </w:rPr>
              <w:t xml:space="preserve"> (patrz punkt 4.3).</w:t>
            </w:r>
          </w:p>
          <w:p w14:paraId="5094CD9B"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77A0994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Należy unikać jednoczesnego  stosowania worykonazolu i małych dawek rytonawiru (100 mg BID), chyba że stosunek korzyści do ryzyka uzasadnia zastosowanie worykonazolu. </w:t>
            </w:r>
          </w:p>
          <w:p w14:paraId="67256786"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tc>
      </w:tr>
      <w:tr w:rsidR="00277FE6" w:rsidRPr="005138D5" w14:paraId="7A957B46" w14:textId="77777777" w:rsidTr="00F66B3D">
        <w:tc>
          <w:tcPr>
            <w:tcW w:w="2700" w:type="dxa"/>
          </w:tcPr>
          <w:p w14:paraId="4F326E31"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Ziele dziurawca</w:t>
            </w:r>
          </w:p>
          <w:p w14:paraId="5CBA1E7F"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 xml:space="preserve">[induktor CYP450; induktor </w:t>
            </w:r>
          </w:p>
          <w:p w14:paraId="6B30E007"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P-gp]</w:t>
            </w:r>
          </w:p>
          <w:p w14:paraId="4D0F49FA"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300 mg TID (jednoczesne stosowanie z worykonazolem 400 mg w pojedynczej dawce)</w:t>
            </w:r>
          </w:p>
        </w:tc>
        <w:tc>
          <w:tcPr>
            <w:tcW w:w="3150" w:type="dxa"/>
          </w:tcPr>
          <w:p w14:paraId="5E95E924"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381DE471"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6DD19F23"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Opublikowane wyniki niezależnych badań klinicznych.</w:t>
            </w:r>
          </w:p>
          <w:p w14:paraId="1DD2E49F"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lang w:val="pl-PL"/>
              </w:rPr>
              <w:t>Worykonazol AUC</w:t>
            </w:r>
            <w:r w:rsidR="00773658" w:rsidRPr="00CD5831">
              <w:rPr>
                <w:vertAlign w:val="subscript"/>
                <w:lang w:val="sv-SE"/>
              </w:rPr>
              <w:t>0-</w:t>
            </w:r>
            <w:r w:rsidR="00773658" w:rsidRPr="00CD5831">
              <w:rPr>
                <w:vertAlign w:val="subscript"/>
                <w:lang w:val="sv-SE"/>
              </w:rPr>
              <w:sym w:font="Symbol" w:char="F0A5"/>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59%</w:t>
            </w:r>
          </w:p>
        </w:tc>
        <w:tc>
          <w:tcPr>
            <w:tcW w:w="3328" w:type="dxa"/>
          </w:tcPr>
          <w:p w14:paraId="3E99789C"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20B4D223"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p>
          <w:p w14:paraId="53EE5DE8" w14:textId="77777777" w:rsidR="00277FE6" w:rsidRPr="005138D5" w:rsidRDefault="00277FE6" w:rsidP="00F66B3D">
            <w:pPr>
              <w:pStyle w:val="TableText"/>
              <w:keepNext/>
              <w:overflowPunct w:val="0"/>
              <w:autoSpaceDE w:val="0"/>
              <w:autoSpaceDN w:val="0"/>
              <w:adjustRightInd w:val="0"/>
              <w:textAlignment w:val="baseline"/>
              <w:rPr>
                <w:rFonts w:cs="Times New Roman"/>
                <w:lang w:val="pl-PL"/>
              </w:rPr>
            </w:pPr>
            <w:r w:rsidRPr="005138D5">
              <w:rPr>
                <w:rFonts w:cs="Times New Roman"/>
                <w:b/>
                <w:lang w:val="pl-PL"/>
              </w:rPr>
              <w:t>Przeciwwskazane</w:t>
            </w:r>
            <w:r w:rsidRPr="005138D5">
              <w:rPr>
                <w:rFonts w:cs="Times New Roman"/>
                <w:lang w:val="pl-PL"/>
              </w:rPr>
              <w:t xml:space="preserve"> (patrz punkt 4.3)</w:t>
            </w:r>
          </w:p>
        </w:tc>
      </w:tr>
      <w:tr w:rsidR="00D56734" w:rsidRPr="005138D5" w14:paraId="447BFEB1" w14:textId="77777777" w:rsidTr="00F66B3D">
        <w:tc>
          <w:tcPr>
            <w:tcW w:w="2700" w:type="dxa"/>
          </w:tcPr>
          <w:p w14:paraId="53A71F25" w14:textId="77777777" w:rsidR="00D56734" w:rsidRPr="00D56734" w:rsidRDefault="00D56734" w:rsidP="00D56734">
            <w:pPr>
              <w:pStyle w:val="TableText"/>
              <w:keepNext/>
              <w:overflowPunct w:val="0"/>
              <w:autoSpaceDE w:val="0"/>
              <w:autoSpaceDN w:val="0"/>
              <w:adjustRightInd w:val="0"/>
              <w:textAlignment w:val="baseline"/>
              <w:rPr>
                <w:rFonts w:cs="Times New Roman"/>
                <w:lang w:val="pl-PL"/>
              </w:rPr>
            </w:pPr>
            <w:r w:rsidRPr="00D56734">
              <w:rPr>
                <w:rFonts w:cs="Times New Roman"/>
                <w:lang w:val="pl-PL"/>
              </w:rPr>
              <w:t>Tolwaptan</w:t>
            </w:r>
          </w:p>
          <w:p w14:paraId="4D62ABE0" w14:textId="77777777" w:rsidR="00D56734" w:rsidRPr="005138D5" w:rsidRDefault="00D56734" w:rsidP="00D56734">
            <w:pPr>
              <w:pStyle w:val="TableText"/>
              <w:keepNext/>
              <w:overflowPunct w:val="0"/>
              <w:autoSpaceDE w:val="0"/>
              <w:autoSpaceDN w:val="0"/>
              <w:adjustRightInd w:val="0"/>
              <w:textAlignment w:val="baseline"/>
              <w:rPr>
                <w:rFonts w:cs="Times New Roman"/>
                <w:lang w:val="pl-PL"/>
              </w:rPr>
            </w:pPr>
            <w:r w:rsidRPr="00D56734">
              <w:rPr>
                <w:rFonts w:cs="Times New Roman"/>
                <w:lang w:val="pl-PL"/>
              </w:rPr>
              <w:t>[substrat CYP3A]</w:t>
            </w:r>
          </w:p>
        </w:tc>
        <w:tc>
          <w:tcPr>
            <w:tcW w:w="3150" w:type="dxa"/>
          </w:tcPr>
          <w:p w14:paraId="5D689D9E" w14:textId="77777777" w:rsidR="00D56734" w:rsidRPr="00D56734" w:rsidRDefault="00D56734" w:rsidP="00D56734">
            <w:pPr>
              <w:pStyle w:val="TableText"/>
              <w:keepNext/>
              <w:overflowPunct w:val="0"/>
              <w:autoSpaceDE w:val="0"/>
              <w:autoSpaceDN w:val="0"/>
              <w:adjustRightInd w:val="0"/>
              <w:textAlignment w:val="baseline"/>
              <w:rPr>
                <w:rFonts w:cs="Times New Roman"/>
                <w:lang w:val="pl-PL"/>
              </w:rPr>
            </w:pPr>
            <w:r w:rsidRPr="00D56734">
              <w:rPr>
                <w:rFonts w:cs="Times New Roman"/>
                <w:lang w:val="pl-PL"/>
              </w:rPr>
              <w:t>Mimo, że tego nie badano,</w:t>
            </w:r>
          </w:p>
          <w:p w14:paraId="1173B029" w14:textId="77777777" w:rsidR="00D56734" w:rsidRPr="00D56734" w:rsidRDefault="00D56734" w:rsidP="00D56734">
            <w:pPr>
              <w:pStyle w:val="TableText"/>
              <w:keepNext/>
              <w:overflowPunct w:val="0"/>
              <w:autoSpaceDE w:val="0"/>
              <w:autoSpaceDN w:val="0"/>
              <w:adjustRightInd w:val="0"/>
              <w:textAlignment w:val="baseline"/>
              <w:rPr>
                <w:rFonts w:cs="Times New Roman"/>
                <w:lang w:val="pl-PL"/>
              </w:rPr>
            </w:pPr>
            <w:r w:rsidRPr="00D56734">
              <w:rPr>
                <w:rFonts w:cs="Times New Roman"/>
                <w:lang w:val="pl-PL"/>
              </w:rPr>
              <w:t>worykonazol może znacząco</w:t>
            </w:r>
          </w:p>
          <w:p w14:paraId="1E39CEBE" w14:textId="77777777" w:rsidR="00D56734" w:rsidRPr="00D56734" w:rsidRDefault="00D56734" w:rsidP="00D56734">
            <w:pPr>
              <w:pStyle w:val="TableText"/>
              <w:keepNext/>
              <w:overflowPunct w:val="0"/>
              <w:autoSpaceDE w:val="0"/>
              <w:autoSpaceDN w:val="0"/>
              <w:adjustRightInd w:val="0"/>
              <w:textAlignment w:val="baseline"/>
              <w:rPr>
                <w:rFonts w:cs="Times New Roman"/>
                <w:lang w:val="pl-PL"/>
              </w:rPr>
            </w:pPr>
            <w:r w:rsidRPr="00D56734">
              <w:rPr>
                <w:rFonts w:cs="Times New Roman"/>
                <w:lang w:val="pl-PL"/>
              </w:rPr>
              <w:t>zwiększać stężenie tolwaptanu w</w:t>
            </w:r>
          </w:p>
          <w:p w14:paraId="2ABD0B31" w14:textId="77777777" w:rsidR="00D56734" w:rsidRPr="005138D5" w:rsidRDefault="00D56734" w:rsidP="00D56734">
            <w:pPr>
              <w:pStyle w:val="TableText"/>
              <w:keepNext/>
              <w:overflowPunct w:val="0"/>
              <w:autoSpaceDE w:val="0"/>
              <w:autoSpaceDN w:val="0"/>
              <w:adjustRightInd w:val="0"/>
              <w:textAlignment w:val="baseline"/>
              <w:rPr>
                <w:rFonts w:cs="Times New Roman"/>
                <w:lang w:val="pl-PL"/>
              </w:rPr>
            </w:pPr>
            <w:r w:rsidRPr="00D56734">
              <w:rPr>
                <w:rFonts w:cs="Times New Roman"/>
                <w:lang w:val="pl-PL"/>
              </w:rPr>
              <w:t>osoczu.</w:t>
            </w:r>
          </w:p>
        </w:tc>
        <w:tc>
          <w:tcPr>
            <w:tcW w:w="3328" w:type="dxa"/>
          </w:tcPr>
          <w:p w14:paraId="31632B2C" w14:textId="77777777" w:rsidR="00D56734" w:rsidRPr="005138D5" w:rsidRDefault="00D56734" w:rsidP="00F66B3D">
            <w:pPr>
              <w:pStyle w:val="TableText"/>
              <w:keepNext/>
              <w:overflowPunct w:val="0"/>
              <w:autoSpaceDE w:val="0"/>
              <w:autoSpaceDN w:val="0"/>
              <w:adjustRightInd w:val="0"/>
              <w:textAlignment w:val="baseline"/>
              <w:rPr>
                <w:rFonts w:cs="Times New Roman"/>
                <w:lang w:val="pl-PL"/>
              </w:rPr>
            </w:pPr>
            <w:r w:rsidRPr="00D56734">
              <w:rPr>
                <w:rFonts w:cs="Times New Roman"/>
                <w:b/>
                <w:bCs/>
                <w:lang w:val="pl-PL"/>
              </w:rPr>
              <w:t>Przeciwwskazane</w:t>
            </w:r>
            <w:r w:rsidRPr="00D56734">
              <w:rPr>
                <w:rFonts w:cs="Times New Roman"/>
                <w:lang w:val="pl-PL"/>
              </w:rPr>
              <w:t xml:space="preserve"> (patrz punkt 4.3)</w:t>
            </w:r>
          </w:p>
        </w:tc>
      </w:tr>
      <w:tr w:rsidR="009B2AD5" w:rsidRPr="005138D5" w14:paraId="4B3F0208" w14:textId="77777777" w:rsidTr="00F66B3D">
        <w:tc>
          <w:tcPr>
            <w:tcW w:w="2700" w:type="dxa"/>
          </w:tcPr>
          <w:p w14:paraId="63E69F9F"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Wenetoklaks</w:t>
            </w:r>
          </w:p>
          <w:p w14:paraId="21867001"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[substrat CYP3A]</w:t>
            </w:r>
          </w:p>
        </w:tc>
        <w:tc>
          <w:tcPr>
            <w:tcW w:w="3150" w:type="dxa"/>
          </w:tcPr>
          <w:p w14:paraId="3D8396A7"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Mimo że tego nie badano,</w:t>
            </w:r>
          </w:p>
          <w:p w14:paraId="7C3758A9"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worykonazol może znacząco</w:t>
            </w:r>
          </w:p>
          <w:p w14:paraId="72513CFC"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zwiększać stężenie wenetoklaksu</w:t>
            </w:r>
          </w:p>
          <w:p w14:paraId="319D7779" w14:textId="77777777" w:rsidR="009B2AD5" w:rsidRPr="005138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 osoczu.</w:t>
            </w:r>
          </w:p>
        </w:tc>
        <w:tc>
          <w:tcPr>
            <w:tcW w:w="3328" w:type="dxa"/>
          </w:tcPr>
          <w:p w14:paraId="00FD3467"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Jednoczesne stosowanie</w:t>
            </w:r>
          </w:p>
          <w:p w14:paraId="0CD005EC"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worykonazolu jest</w:t>
            </w:r>
          </w:p>
          <w:p w14:paraId="237FF28C"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b/>
                <w:bCs/>
                <w:lang w:val="pl-PL"/>
              </w:rPr>
              <w:t>przeciwskazane</w:t>
            </w:r>
            <w:r w:rsidRPr="009B2AD5">
              <w:rPr>
                <w:rFonts w:cs="Times New Roman"/>
                <w:lang w:val="pl-PL"/>
              </w:rPr>
              <w:t xml:space="preserve"> w czasie</w:t>
            </w:r>
          </w:p>
          <w:p w14:paraId="7E88B298"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rozpoczynania leczenia</w:t>
            </w:r>
          </w:p>
          <w:p w14:paraId="5D386F95"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i w fazie dostosowania dawki</w:t>
            </w:r>
          </w:p>
          <w:p w14:paraId="591DA130"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wenetoklaksu (patrz punkt</w:t>
            </w:r>
          </w:p>
          <w:p w14:paraId="60BD8427"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4.3). Konieczne jest</w:t>
            </w:r>
          </w:p>
          <w:p w14:paraId="6183C493"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zmniejszenie dawki</w:t>
            </w:r>
          </w:p>
          <w:p w14:paraId="171937A3"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wenetoklaksu, zgodnie</w:t>
            </w:r>
          </w:p>
          <w:p w14:paraId="3D7821D6"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z zaleceniami zawartymi</w:t>
            </w:r>
          </w:p>
          <w:p w14:paraId="44B6DC5E"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 drukach informacyjnych</w:t>
            </w:r>
          </w:p>
          <w:p w14:paraId="3630E2E2"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wenetoklaksu, podczas</w:t>
            </w:r>
          </w:p>
          <w:p w14:paraId="0C7CBEB0"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stałego, dobowego</w:t>
            </w:r>
          </w:p>
          <w:p w14:paraId="28AC1D76"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dawkowania. Zaleca się ścisłe</w:t>
            </w:r>
          </w:p>
          <w:p w14:paraId="6DF30232"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monitorowanie pacjentów pod</w:t>
            </w:r>
          </w:p>
          <w:p w14:paraId="1EA81933" w14:textId="77777777" w:rsidR="009B2AD5" w:rsidRPr="009B2A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kątem wystąpienia objawów</w:t>
            </w:r>
          </w:p>
          <w:p w14:paraId="31DB75B2" w14:textId="77777777" w:rsidR="009B2AD5" w:rsidRPr="005138D5" w:rsidRDefault="009B2AD5" w:rsidP="009B2AD5">
            <w:pPr>
              <w:pStyle w:val="TableText"/>
              <w:keepNext/>
              <w:overflowPunct w:val="0"/>
              <w:autoSpaceDE w:val="0"/>
              <w:autoSpaceDN w:val="0"/>
              <w:adjustRightInd w:val="0"/>
              <w:textAlignment w:val="baseline"/>
              <w:rPr>
                <w:rFonts w:cs="Times New Roman"/>
                <w:lang w:val="pl-PL"/>
              </w:rPr>
            </w:pPr>
            <w:r w:rsidRPr="009B2AD5">
              <w:rPr>
                <w:rFonts w:cs="Times New Roman"/>
                <w:lang w:val="pl-PL"/>
              </w:rPr>
              <w:t>toksyczności.</w:t>
            </w:r>
          </w:p>
        </w:tc>
      </w:tr>
      <w:tr w:rsidR="00277FE6" w:rsidRPr="005138D5" w14:paraId="4F90EC14" w14:textId="77777777" w:rsidTr="00F66B3D">
        <w:tc>
          <w:tcPr>
            <w:tcW w:w="2700" w:type="dxa"/>
          </w:tcPr>
          <w:p w14:paraId="4B3DDAF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p>
        </w:tc>
        <w:tc>
          <w:tcPr>
            <w:tcW w:w="3150" w:type="dxa"/>
          </w:tcPr>
          <w:p w14:paraId="1F067C2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56D54A5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r>
      <w:tr w:rsidR="009B2AD5" w:rsidRPr="005138D5" w14:paraId="375ECD50" w14:textId="77777777" w:rsidTr="00F66B3D">
        <w:tc>
          <w:tcPr>
            <w:tcW w:w="2700" w:type="dxa"/>
          </w:tcPr>
          <w:p w14:paraId="05BD8F44"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en-GB"/>
              </w:rPr>
            </w:pPr>
          </w:p>
        </w:tc>
        <w:tc>
          <w:tcPr>
            <w:tcW w:w="3150" w:type="dxa"/>
          </w:tcPr>
          <w:p w14:paraId="542DC891"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7B744A99"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p>
        </w:tc>
      </w:tr>
      <w:tr w:rsidR="00277FE6" w:rsidRPr="005138D5" w14:paraId="05837D27" w14:textId="77777777" w:rsidTr="00F66B3D">
        <w:tc>
          <w:tcPr>
            <w:tcW w:w="2700" w:type="dxa"/>
          </w:tcPr>
          <w:p w14:paraId="4AF7481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Flukonazol</w:t>
            </w:r>
            <w:proofErr w:type="spellEnd"/>
            <w:r w:rsidRPr="005138D5">
              <w:rPr>
                <w:rFonts w:cs="Times New Roman"/>
                <w:lang w:val="en-GB"/>
              </w:rPr>
              <w:t xml:space="preserve"> (200 mg QD)</w:t>
            </w:r>
          </w:p>
          <w:p w14:paraId="0B96300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r w:rsidRPr="005138D5">
              <w:rPr>
                <w:rFonts w:cs="Times New Roman"/>
                <w:lang w:val="en-GB"/>
              </w:rPr>
              <w:t>[inhibitor CYP2C9, CYP2C19 i CYP3A4]</w:t>
            </w:r>
          </w:p>
          <w:p w14:paraId="1BBDCF9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p>
        </w:tc>
        <w:tc>
          <w:tcPr>
            <w:tcW w:w="3150" w:type="dxa"/>
          </w:tcPr>
          <w:p w14:paraId="5BD2AE0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Worykonazol</w:t>
            </w:r>
            <w:proofErr w:type="spellEnd"/>
            <w:r w:rsidRPr="005138D5">
              <w:rPr>
                <w:rFonts w:cs="Times New Roman"/>
                <w:lang w:val="en-GB"/>
              </w:rPr>
              <w:t xml:space="preserve"> </w:t>
            </w:r>
            <w:proofErr w:type="spellStart"/>
            <w:r w:rsidRPr="005138D5">
              <w:rPr>
                <w:rFonts w:cs="Times New Roman"/>
                <w:lang w:val="en-GB"/>
              </w:rPr>
              <w:t>Cmax</w:t>
            </w:r>
            <w:proofErr w:type="spellEnd"/>
            <w:r w:rsidRPr="005138D5">
              <w:rPr>
                <w:rFonts w:cs="Times New Roman"/>
                <w:lang w:val="en-GB"/>
              </w:rPr>
              <w:t xml:space="preserve"> </w:t>
            </w:r>
            <w:r w:rsidRPr="005138D5">
              <w:rPr>
                <w:rFonts w:cs="Times New Roman"/>
                <w:lang w:val="pl-PL"/>
              </w:rPr>
              <w:sym w:font="Symbol" w:char="F0AD"/>
            </w:r>
            <w:r w:rsidRPr="005138D5">
              <w:rPr>
                <w:rFonts w:cs="Times New Roman"/>
                <w:lang w:val="en-GB"/>
              </w:rPr>
              <w:t xml:space="preserve"> 57%</w:t>
            </w:r>
          </w:p>
          <w:p w14:paraId="3C6AFCE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Worykonazol</w:t>
            </w:r>
            <w:proofErr w:type="spellEnd"/>
            <w:r w:rsidRPr="005138D5">
              <w:rPr>
                <w:rFonts w:cs="Times New Roman"/>
                <w:lang w:val="en-GB"/>
              </w:rPr>
              <w:t xml:space="preserve"> AUC</w:t>
            </w:r>
            <w:r w:rsidRPr="005138D5">
              <w:rPr>
                <w:rFonts w:cs="Times New Roman"/>
                <w:lang w:val="pl-PL"/>
              </w:rPr>
              <w:sym w:font="Symbol" w:char="F074"/>
            </w:r>
            <w:r w:rsidRPr="005138D5">
              <w:rPr>
                <w:rFonts w:cs="Times New Roman"/>
                <w:lang w:val="en-GB"/>
              </w:rPr>
              <w:t xml:space="preserve"> </w:t>
            </w:r>
            <w:r w:rsidRPr="005138D5">
              <w:rPr>
                <w:rFonts w:cs="Times New Roman"/>
                <w:lang w:val="pl-PL"/>
              </w:rPr>
              <w:sym w:font="Symbol" w:char="F0AD"/>
            </w:r>
            <w:r w:rsidRPr="005138D5">
              <w:rPr>
                <w:rFonts w:cs="Times New Roman"/>
                <w:lang w:val="en-GB"/>
              </w:rPr>
              <w:t xml:space="preserve"> 79%</w:t>
            </w:r>
          </w:p>
          <w:p w14:paraId="6F75639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Flukonazol</w:t>
            </w:r>
            <w:proofErr w:type="spellEnd"/>
            <w:r w:rsidRPr="005138D5">
              <w:rPr>
                <w:rFonts w:cs="Times New Roman"/>
                <w:lang w:val="en-GB"/>
              </w:rPr>
              <w:t xml:space="preserve"> </w:t>
            </w:r>
            <w:proofErr w:type="spellStart"/>
            <w:r w:rsidRPr="005138D5">
              <w:rPr>
                <w:rFonts w:cs="Times New Roman"/>
                <w:lang w:val="en-GB"/>
              </w:rPr>
              <w:t>Cmax</w:t>
            </w:r>
            <w:proofErr w:type="spellEnd"/>
            <w:r w:rsidRPr="005138D5">
              <w:rPr>
                <w:rFonts w:cs="Times New Roman"/>
                <w:lang w:val="en-GB"/>
              </w:rPr>
              <w:t xml:space="preserve"> ND</w:t>
            </w:r>
          </w:p>
          <w:p w14:paraId="057A75B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Flukonazol AUC</w:t>
            </w:r>
            <w:r w:rsidRPr="005138D5">
              <w:rPr>
                <w:rFonts w:cs="Times New Roman"/>
                <w:lang w:val="pl-PL"/>
              </w:rPr>
              <w:sym w:font="Symbol" w:char="F074"/>
            </w:r>
            <w:r w:rsidRPr="005138D5">
              <w:rPr>
                <w:rFonts w:cs="Times New Roman"/>
                <w:lang w:val="pl-PL"/>
              </w:rPr>
              <w:t xml:space="preserve">  ND</w:t>
            </w:r>
          </w:p>
          <w:p w14:paraId="4603C46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br/>
            </w:r>
          </w:p>
        </w:tc>
        <w:tc>
          <w:tcPr>
            <w:tcW w:w="3328" w:type="dxa"/>
          </w:tcPr>
          <w:p w14:paraId="1993719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Nie ustalono zmniejszonej dawki i (lub) częstości stosowania worykonazolu i flukonazolu, która może eliminować ten efekt. Monitorowanie związanych z worykonazolem działań niepożądanych jest zalecane jedynie w przypadku, gdy worykonazol jest stosowany naprzemiennie po flukonazolu. </w:t>
            </w:r>
          </w:p>
          <w:p w14:paraId="4879D8E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r>
      <w:tr w:rsidR="00277FE6" w:rsidRPr="005138D5" w14:paraId="329976D9" w14:textId="77777777" w:rsidTr="00F66B3D">
        <w:tc>
          <w:tcPr>
            <w:tcW w:w="2700" w:type="dxa"/>
          </w:tcPr>
          <w:p w14:paraId="2064E31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Fenytoina</w:t>
            </w:r>
          </w:p>
          <w:p w14:paraId="59698DE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CYP2C9 i silny induktor CYP450]</w:t>
            </w:r>
          </w:p>
          <w:p w14:paraId="4174A902"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3849B6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300 mg QD</w:t>
            </w:r>
          </w:p>
          <w:p w14:paraId="0149901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E2875A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136583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CE3258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124578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300 mg QD (jednoczesne stosowanie z worykonazolem 400 mg BID)*</w:t>
            </w:r>
          </w:p>
        </w:tc>
        <w:tc>
          <w:tcPr>
            <w:tcW w:w="3150" w:type="dxa"/>
          </w:tcPr>
          <w:p w14:paraId="2A3ED6E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7C7DF6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59D2005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86474A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0DC237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F"/>
            </w:r>
            <w:r w:rsidRPr="005138D5">
              <w:rPr>
                <w:rFonts w:cs="Times New Roman"/>
                <w:lang w:val="pl-PL"/>
              </w:rPr>
              <w:t xml:space="preserve"> 49%</w:t>
            </w:r>
          </w:p>
          <w:p w14:paraId="4848EB7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69%</w:t>
            </w:r>
          </w:p>
          <w:p w14:paraId="307EE5D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F4525C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AC6281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Fenytoina Cmax </w:t>
            </w:r>
            <w:r w:rsidRPr="005138D5">
              <w:rPr>
                <w:rFonts w:cs="Times New Roman"/>
                <w:lang w:val="pl-PL"/>
              </w:rPr>
              <w:sym w:font="Symbol" w:char="F0AD"/>
            </w:r>
            <w:r w:rsidRPr="005138D5">
              <w:rPr>
                <w:rFonts w:cs="Times New Roman"/>
                <w:lang w:val="pl-PL"/>
              </w:rPr>
              <w:t xml:space="preserve"> 67%</w:t>
            </w:r>
          </w:p>
          <w:p w14:paraId="4EFDD9E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Fenytoina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81%</w:t>
            </w:r>
          </w:p>
          <w:p w14:paraId="7B9DF01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 porównaniu do worykonazolu  200 mg BID,</w:t>
            </w:r>
          </w:p>
          <w:p w14:paraId="7510E63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D"/>
            </w:r>
            <w:r w:rsidRPr="005138D5">
              <w:rPr>
                <w:rFonts w:cs="Times New Roman"/>
                <w:lang w:val="pl-PL"/>
              </w:rPr>
              <w:t xml:space="preserve"> 34%</w:t>
            </w:r>
            <w:r w:rsidRPr="005138D5">
              <w:rPr>
                <w:rFonts w:cs="Times New Roman"/>
                <w:lang w:val="pl-PL"/>
              </w:rPr>
              <w:b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39%</w:t>
            </w:r>
          </w:p>
        </w:tc>
        <w:tc>
          <w:tcPr>
            <w:tcW w:w="3328" w:type="dxa"/>
          </w:tcPr>
          <w:p w14:paraId="245CC4F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Należy unikać jednoczesnego stosowania worykonazolu i fenytoiny, chyba że korzyści przewyższają ryzyko. Zaleca się ścisłe monitorowanie stężenia w osoczu. </w:t>
            </w:r>
          </w:p>
          <w:p w14:paraId="15FE053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D1BBB2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Fenytoina może być stosowana jednocześnie z worykonazolem, jeśli podtrzymująca dawka dożylna worykonazolu zostanie zwiększona do 5 mg/kg mc. BID lub dawka doustna z </w:t>
            </w:r>
            <w:r w:rsidRPr="005138D5">
              <w:rPr>
                <w:rFonts w:cs="Times New Roman"/>
                <w:lang w:val="pl-PL"/>
              </w:rPr>
              <w:br/>
              <w:t xml:space="preserve">200 mg na 400 mg BID, (100 mg do 200 mg BID u pacjentów o masie ciała poniżej </w:t>
            </w:r>
            <w:smartTag w:uri="urn:schemas-microsoft-com:office:smarttags" w:element="metricconverter">
              <w:smartTagPr>
                <w:attr w:name="ProductID" w:val="40 kg"/>
              </w:smartTagPr>
              <w:r w:rsidRPr="005138D5">
                <w:rPr>
                  <w:rFonts w:cs="Times New Roman"/>
                  <w:lang w:val="pl-PL"/>
                </w:rPr>
                <w:t>40 kg</w:t>
              </w:r>
            </w:smartTag>
            <w:r w:rsidRPr="005138D5">
              <w:rPr>
                <w:rFonts w:cs="Times New Roman"/>
                <w:lang w:val="pl-PL"/>
              </w:rPr>
              <w:t>) (patrz punkt 4.2).</w:t>
            </w:r>
          </w:p>
          <w:p w14:paraId="3BE746F2"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r>
      <w:tr w:rsidR="009B2AD5" w:rsidRPr="005138D5" w14:paraId="05CAB3AE" w14:textId="77777777" w:rsidTr="00F66B3D">
        <w:tc>
          <w:tcPr>
            <w:tcW w:w="2700" w:type="dxa"/>
          </w:tcPr>
          <w:p w14:paraId="447140DE"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Letermowir</w:t>
            </w:r>
          </w:p>
          <w:p w14:paraId="47D25CEA"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[induktor CYP2C9 i CYP2C19]</w:t>
            </w:r>
          </w:p>
        </w:tc>
        <w:tc>
          <w:tcPr>
            <w:tcW w:w="3150" w:type="dxa"/>
          </w:tcPr>
          <w:p w14:paraId="6C4355CC"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 xml:space="preserve">Worykonazol Cmax </w:t>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w:t>
            </w:r>
            <w:r w:rsidRPr="009B2AD5">
              <w:rPr>
                <w:rFonts w:cs="Times New Roman"/>
                <w:lang w:val="pl-PL"/>
              </w:rPr>
              <w:t xml:space="preserve"> 39%</w:t>
            </w:r>
          </w:p>
          <w:p w14:paraId="6E3F5650"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Worykonazol AUC0-12</w:t>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w:t>
            </w:r>
            <w:r w:rsidRPr="009B2AD5">
              <w:rPr>
                <w:rFonts w:cs="Times New Roman"/>
                <w:lang w:val="pl-PL"/>
              </w:rPr>
              <w:t xml:space="preserve"> 44%</w:t>
            </w:r>
          </w:p>
          <w:p w14:paraId="0EDF27C9"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Worykonazol C12</w:t>
            </w:r>
            <w:r w:rsidRPr="005138D5">
              <w:rPr>
                <w:rFonts w:cs="Times New Roman"/>
                <w:lang w:val="pl-PL"/>
              </w:rPr>
              <w:t xml:space="preserve"> </w:t>
            </w:r>
            <w:r w:rsidRPr="005138D5">
              <w:rPr>
                <w:rFonts w:cs="Times New Roman"/>
                <w:lang w:val="pl-PL"/>
              </w:rPr>
              <w:sym w:font="Symbol" w:char="F0AF"/>
            </w:r>
            <w:r w:rsidRPr="005138D5">
              <w:rPr>
                <w:rFonts w:cs="Times New Roman"/>
                <w:lang w:val="pl-PL"/>
              </w:rPr>
              <w:t xml:space="preserve"> </w:t>
            </w:r>
            <w:r w:rsidRPr="009B2AD5">
              <w:rPr>
                <w:rFonts w:cs="Times New Roman"/>
                <w:lang w:val="pl-PL"/>
              </w:rPr>
              <w:t xml:space="preserve">  51%</w:t>
            </w:r>
          </w:p>
        </w:tc>
        <w:tc>
          <w:tcPr>
            <w:tcW w:w="3328" w:type="dxa"/>
          </w:tcPr>
          <w:p w14:paraId="22061314"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Jeśli nie można uniknąć</w:t>
            </w:r>
          </w:p>
          <w:p w14:paraId="5E169D90"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jednoczesnego stosowania</w:t>
            </w:r>
          </w:p>
          <w:p w14:paraId="24A7791A"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worykonazolu</w:t>
            </w:r>
          </w:p>
          <w:p w14:paraId="47DDA17A"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z letermowirem, pacjenta</w:t>
            </w:r>
          </w:p>
          <w:p w14:paraId="1C88A6A8"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należy monitorować pod</w:t>
            </w:r>
          </w:p>
          <w:p w14:paraId="416E2CA2"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kątem utraty skuteczności</w:t>
            </w:r>
          </w:p>
          <w:p w14:paraId="3AB32622"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worykonazolu.</w:t>
            </w:r>
          </w:p>
        </w:tc>
      </w:tr>
      <w:tr w:rsidR="00C44C86" w:rsidRPr="005138D5" w14:paraId="59B2E22C" w14:textId="77777777" w:rsidTr="00F66B3D">
        <w:tc>
          <w:tcPr>
            <w:tcW w:w="2700" w:type="dxa"/>
          </w:tcPr>
          <w:p w14:paraId="4C5BDF12"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Glasdegib</w:t>
            </w:r>
          </w:p>
          <w:p w14:paraId="7B898C9A" w14:textId="77777777" w:rsidR="00C44C86" w:rsidRPr="009B2A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[substrat CYP3A4]</w:t>
            </w:r>
          </w:p>
        </w:tc>
        <w:tc>
          <w:tcPr>
            <w:tcW w:w="3150" w:type="dxa"/>
          </w:tcPr>
          <w:p w14:paraId="66E3F2B1"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Mimo że tego nie badano,</w:t>
            </w:r>
          </w:p>
          <w:p w14:paraId="51E26F27"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worykonazol może zwiększać</w:t>
            </w:r>
          </w:p>
          <w:p w14:paraId="76CF18DC" w14:textId="77777777" w:rsidR="00C44C86" w:rsidRPr="009B2A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stężenie glasdegibu w osoczu oraz</w:t>
            </w:r>
            <w:r>
              <w:rPr>
                <w:rFonts w:cs="Times New Roman"/>
                <w:lang w:val="pl-PL"/>
              </w:rPr>
              <w:t xml:space="preserve"> </w:t>
            </w:r>
            <w:r w:rsidRPr="00C44C86">
              <w:rPr>
                <w:rFonts w:cs="Times New Roman"/>
                <w:lang w:val="pl-PL"/>
              </w:rPr>
              <w:t>ryzyko wydłużenia odstępu QTc.</w:t>
            </w:r>
          </w:p>
        </w:tc>
        <w:tc>
          <w:tcPr>
            <w:tcW w:w="3328" w:type="dxa"/>
          </w:tcPr>
          <w:p w14:paraId="01F9AD22"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Jeśli nie można uniknąć</w:t>
            </w:r>
          </w:p>
          <w:p w14:paraId="6273928B"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jednoczesnego stosowania</w:t>
            </w:r>
          </w:p>
          <w:p w14:paraId="06C9CA40"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tych produktów, zaleca się</w:t>
            </w:r>
          </w:p>
          <w:p w14:paraId="0660A503"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częste monitorowanie EKG</w:t>
            </w:r>
          </w:p>
          <w:p w14:paraId="44A71A90" w14:textId="77777777" w:rsidR="00C44C86" w:rsidRPr="009B2A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(patrz punkt 4.4).</w:t>
            </w:r>
          </w:p>
        </w:tc>
      </w:tr>
      <w:tr w:rsidR="00C44C86" w:rsidRPr="005138D5" w14:paraId="625F45EC" w14:textId="77777777" w:rsidTr="00F66B3D">
        <w:tc>
          <w:tcPr>
            <w:tcW w:w="2700" w:type="dxa"/>
          </w:tcPr>
          <w:p w14:paraId="3E9BA659"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Inhibitory kinazy tyrozynowej</w:t>
            </w:r>
          </w:p>
          <w:p w14:paraId="7449818A" w14:textId="0EF7C8D4"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t>
            </w:r>
            <w:r w:rsidR="009745B5" w:rsidRPr="009745B5">
              <w:rPr>
                <w:rFonts w:cs="Times New Roman"/>
                <w:lang w:val="pl-PL"/>
              </w:rPr>
              <w:t xml:space="preserve">w tym między innymi: </w:t>
            </w:r>
            <w:r w:rsidRPr="00C44C86">
              <w:rPr>
                <w:rFonts w:cs="Times New Roman"/>
                <w:lang w:val="pl-PL"/>
              </w:rPr>
              <w:t>np. aksytynib, bosutynib,</w:t>
            </w:r>
          </w:p>
          <w:p w14:paraId="42FB89D6"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kabozantynib, cerytynib,</w:t>
            </w:r>
          </w:p>
          <w:p w14:paraId="46E3B693"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kobimetynib, dabrafenib,</w:t>
            </w:r>
          </w:p>
          <w:p w14:paraId="28E00B75"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dazatynib, nilotynib, sunitynib,</w:t>
            </w:r>
          </w:p>
          <w:p w14:paraId="36244A1E"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ibrutynib, rybocyklib)</w:t>
            </w:r>
          </w:p>
          <w:p w14:paraId="293C26BC" w14:textId="77777777" w:rsidR="00C44C86" w:rsidRPr="009B2A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[substraty CYP3A4]</w:t>
            </w:r>
          </w:p>
        </w:tc>
        <w:tc>
          <w:tcPr>
            <w:tcW w:w="3150" w:type="dxa"/>
          </w:tcPr>
          <w:p w14:paraId="03A6B8DE"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Mimo że tego nie badano,</w:t>
            </w:r>
          </w:p>
          <w:p w14:paraId="2E0EC376"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worykonazol może zwiększać</w:t>
            </w:r>
          </w:p>
          <w:p w14:paraId="076D6328"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stężenia inhibitorów kinazy</w:t>
            </w:r>
          </w:p>
          <w:p w14:paraId="0A81AE7B"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tyrozynowej w osoczu,</w:t>
            </w:r>
          </w:p>
          <w:p w14:paraId="2C0F59F6" w14:textId="77777777" w:rsidR="00C44C86" w:rsidRPr="009B2A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metabolizowanych przez CYP3A4</w:t>
            </w:r>
          </w:p>
        </w:tc>
        <w:tc>
          <w:tcPr>
            <w:tcW w:w="3328" w:type="dxa"/>
          </w:tcPr>
          <w:p w14:paraId="63FAEB76"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Jeśli nie można uniknąć</w:t>
            </w:r>
          </w:p>
          <w:p w14:paraId="2C27F771"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jednoczesnego stosowania</w:t>
            </w:r>
          </w:p>
          <w:p w14:paraId="144C8145"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tych produktów, zaleca się</w:t>
            </w:r>
          </w:p>
          <w:p w14:paraId="5607F806"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zmniejszenie dawki inhibitora</w:t>
            </w:r>
          </w:p>
          <w:p w14:paraId="0AC2F4B8" w14:textId="4A5546D5"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 xml:space="preserve">kinazy tyrozynowej </w:t>
            </w:r>
            <w:r w:rsidR="009745B5" w:rsidRPr="009745B5">
              <w:rPr>
                <w:rFonts w:cs="Times New Roman"/>
                <w:lang w:val="pl-PL"/>
              </w:rPr>
              <w:t xml:space="preserve">i ścisłe monitorowanie kliniczne </w:t>
            </w:r>
            <w:r w:rsidRPr="00C44C86">
              <w:rPr>
                <w:rFonts w:cs="Times New Roman"/>
                <w:lang w:val="pl-PL"/>
              </w:rPr>
              <w:t>(patrz</w:t>
            </w:r>
          </w:p>
          <w:p w14:paraId="7432F7F4" w14:textId="77777777" w:rsidR="00C44C86" w:rsidRPr="009B2A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punkt 4.4).</w:t>
            </w:r>
          </w:p>
        </w:tc>
      </w:tr>
      <w:tr w:rsidR="00277FE6" w:rsidRPr="005138D5" w14:paraId="7E1D7653" w14:textId="77777777" w:rsidTr="00F66B3D">
        <w:tc>
          <w:tcPr>
            <w:tcW w:w="2700" w:type="dxa"/>
          </w:tcPr>
          <w:p w14:paraId="7C0A595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Leki przeciwzakrzepowe</w:t>
            </w:r>
          </w:p>
          <w:p w14:paraId="3412E41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53C5B6F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Warfaryna (pojedyncza dawka 30 mg, stosowana jednocześnie z 300 mg BID worykonazolu)</w:t>
            </w:r>
          </w:p>
          <w:p w14:paraId="63086BA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CYP2C9]</w:t>
            </w:r>
          </w:p>
          <w:p w14:paraId="5515FA2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72A448B" w14:textId="5ED61B5E"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Inne doustne leki przeciwzakrzepowe (</w:t>
            </w:r>
            <w:r w:rsidR="009745B5" w:rsidRPr="009745B5">
              <w:rPr>
                <w:rFonts w:cs="Times New Roman"/>
                <w:lang w:val="pl-PL"/>
              </w:rPr>
              <w:t xml:space="preserve">w tym między innymi: </w:t>
            </w:r>
            <w:r w:rsidRPr="005138D5">
              <w:rPr>
                <w:rFonts w:cs="Times New Roman"/>
                <w:lang w:val="pl-PL"/>
              </w:rPr>
              <w:t>fenprokumon, acenokumarol)</w:t>
            </w:r>
          </w:p>
          <w:p w14:paraId="3B945FF0" w14:textId="561F19E3"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 [substraty CYP2C9 i CYP3A4]</w:t>
            </w:r>
          </w:p>
        </w:tc>
        <w:tc>
          <w:tcPr>
            <w:tcW w:w="3150" w:type="dxa"/>
          </w:tcPr>
          <w:p w14:paraId="4631530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D4C03E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83E50C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Maksymalne wydłużenie czasu protrombinowego było 2-krotne.</w:t>
            </w:r>
          </w:p>
          <w:p w14:paraId="29AE451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D9DC99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94C7DB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67F2AE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279E72F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Mimo, że tego nie badano, worykonazol może zwiększać stężenia pochodnych kumaryny w osoczu, co może powodować wydłużenie czasu protrombinowego. </w:t>
            </w:r>
          </w:p>
          <w:p w14:paraId="04ADD97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1C7C21E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12DE1A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835AC3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Zaleca się dokładne monitorowanie czasu protrombinowego lub innych testów krzepnięcia, oraz dostosowanie dawki leków przeciwzakrzepowych. </w:t>
            </w:r>
          </w:p>
        </w:tc>
      </w:tr>
      <w:tr w:rsidR="009B2AD5" w:rsidRPr="005138D5" w14:paraId="19113156" w14:textId="77777777" w:rsidTr="00F66B3D">
        <w:tc>
          <w:tcPr>
            <w:tcW w:w="2700" w:type="dxa"/>
          </w:tcPr>
          <w:p w14:paraId="4B514A02"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Iwakaftor</w:t>
            </w:r>
          </w:p>
          <w:p w14:paraId="0891124F"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[substrat CYP3A4]</w:t>
            </w:r>
          </w:p>
        </w:tc>
        <w:tc>
          <w:tcPr>
            <w:tcW w:w="3150" w:type="dxa"/>
          </w:tcPr>
          <w:p w14:paraId="40782389"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Mimo że tego nie badano,</w:t>
            </w:r>
          </w:p>
          <w:p w14:paraId="5BF81982"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worykonazol może zwiększać</w:t>
            </w:r>
          </w:p>
          <w:p w14:paraId="57F768CA"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stężenie iwakaftoru w osoczu,</w:t>
            </w:r>
          </w:p>
          <w:p w14:paraId="497C020C"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stwarzając ryzyko nasilenia działań</w:t>
            </w:r>
          </w:p>
          <w:p w14:paraId="35675915"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niepożądanych.</w:t>
            </w:r>
          </w:p>
        </w:tc>
        <w:tc>
          <w:tcPr>
            <w:tcW w:w="3328" w:type="dxa"/>
          </w:tcPr>
          <w:p w14:paraId="58D1427C" w14:textId="77777777" w:rsidR="009B2AD5" w:rsidRPr="009B2A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Zaleca się zmniejszenie dawki</w:t>
            </w:r>
          </w:p>
          <w:p w14:paraId="6EF0704D"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r w:rsidRPr="009B2AD5">
              <w:rPr>
                <w:rFonts w:cs="Times New Roman"/>
                <w:lang w:val="pl-PL"/>
              </w:rPr>
              <w:t>iwakaftoru.</w:t>
            </w:r>
          </w:p>
        </w:tc>
      </w:tr>
      <w:tr w:rsidR="00277FE6" w:rsidRPr="005138D5" w14:paraId="5F16BCEA" w14:textId="77777777" w:rsidTr="00F66B3D">
        <w:tc>
          <w:tcPr>
            <w:tcW w:w="2700" w:type="dxa"/>
          </w:tcPr>
          <w:p w14:paraId="439E715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Benzodiazepiny </w:t>
            </w:r>
          </w:p>
          <w:p w14:paraId="306F83FB" w14:textId="77777777" w:rsidR="00277FE6"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[substraty CYP3A4]</w:t>
            </w:r>
          </w:p>
          <w:p w14:paraId="4126F872"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Midazolam (pojedyncza</w:t>
            </w:r>
          </w:p>
          <w:p w14:paraId="0F15F31A"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dawka 0,05 mg/kg, i.v.)</w:t>
            </w:r>
          </w:p>
          <w:p w14:paraId="581BDD13"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3FFCF752"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66A8E153"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77D91380"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Midazolam (pojedyncza</w:t>
            </w:r>
          </w:p>
          <w:p w14:paraId="5DCE1A59"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dawka 7,5 mg, doustnie)</w:t>
            </w:r>
          </w:p>
          <w:p w14:paraId="46D5A41E"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0D06004C"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3A461E94"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2F0FEBBC"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p>
          <w:p w14:paraId="10D34837" w14:textId="2E896FDB"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Inne benzodiazepiny (</w:t>
            </w:r>
            <w:r w:rsidR="009745B5" w:rsidRPr="009745B5">
              <w:rPr>
                <w:rFonts w:cs="Times New Roman"/>
                <w:lang w:val="pl-PL"/>
              </w:rPr>
              <w:t xml:space="preserve">w tym między innymi: </w:t>
            </w:r>
            <w:r w:rsidRPr="00C44C86">
              <w:rPr>
                <w:rFonts w:cs="Times New Roman"/>
                <w:lang w:val="pl-PL"/>
              </w:rPr>
              <w:t>np.</w:t>
            </w:r>
          </w:p>
          <w:p w14:paraId="1486334F" w14:textId="77777777" w:rsidR="00C44C86" w:rsidRPr="005138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triazolam, alprazolam)</w:t>
            </w:r>
          </w:p>
        </w:tc>
        <w:tc>
          <w:tcPr>
            <w:tcW w:w="3150" w:type="dxa"/>
          </w:tcPr>
          <w:p w14:paraId="7B6B228E"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58199F04"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69F638FD"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25F52844"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491670D3"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 opublikowanych wynikach</w:t>
            </w:r>
          </w:p>
          <w:p w14:paraId="7CF32A5C" w14:textId="77777777" w:rsid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niezależnego badania klinicznego</w:t>
            </w:r>
            <w:r>
              <w:rPr>
                <w:rFonts w:cs="Times New Roman"/>
                <w:lang w:val="pl-PL"/>
              </w:rPr>
              <w:t xml:space="preserve"> </w:t>
            </w:r>
            <w:r w:rsidRPr="00C44C86">
              <w:rPr>
                <w:rFonts w:cs="Times New Roman"/>
                <w:lang w:val="pl-PL"/>
              </w:rPr>
              <w:t>midazolam AUC</w:t>
            </w:r>
            <w:r w:rsidRPr="00CD5831">
              <w:rPr>
                <w:vertAlign w:val="subscript"/>
                <w:lang w:val="sv-SE"/>
              </w:rPr>
              <w:t>0-</w:t>
            </w:r>
            <w:r w:rsidRPr="00CD5831">
              <w:rPr>
                <w:vertAlign w:val="subscript"/>
                <w:lang w:val="sv-SE"/>
              </w:rPr>
              <w:sym w:font="Symbol" w:char="F0A5"/>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w:t>
            </w:r>
            <w:r w:rsidRPr="00C44C86">
              <w:rPr>
                <w:rFonts w:cs="Times New Roman"/>
                <w:lang w:val="pl-PL"/>
              </w:rPr>
              <w:t>3,7-krotność</w:t>
            </w:r>
          </w:p>
          <w:p w14:paraId="17AD1837"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6686B525" w14:textId="77777777" w:rsidR="00C44C86" w:rsidRPr="00C44C86" w:rsidRDefault="00C44C86" w:rsidP="00F66B3D">
            <w:pPr>
              <w:pStyle w:val="TableText"/>
              <w:tabs>
                <w:tab w:val="left" w:pos="360"/>
              </w:tabs>
              <w:overflowPunct w:val="0"/>
              <w:autoSpaceDE w:val="0"/>
              <w:autoSpaceDN w:val="0"/>
              <w:adjustRightInd w:val="0"/>
              <w:textAlignment w:val="baseline"/>
              <w:rPr>
                <w:rFonts w:cs="Times New Roman"/>
                <w:lang w:val="pl-PL"/>
              </w:rPr>
            </w:pPr>
            <w:r w:rsidRPr="00C44C86">
              <w:rPr>
                <w:lang w:val="pl-PL"/>
              </w:rPr>
              <w:t>W opublikowanych wynikach niezależnego badania klinicznego midazolam C</w:t>
            </w:r>
            <w:r w:rsidRPr="00C44C86">
              <w:rPr>
                <w:vertAlign w:val="subscript"/>
                <w:lang w:val="pl-PL"/>
              </w:rPr>
              <w:t xml:space="preserve">max </w:t>
            </w:r>
            <w:r>
              <w:sym w:font="Symbol" w:char="F0AD"/>
            </w:r>
            <w:r w:rsidRPr="00C44C86">
              <w:rPr>
                <w:lang w:val="pl-PL"/>
              </w:rPr>
              <w:t xml:space="preserve"> 3,8-krotność midazolam </w:t>
            </w:r>
            <w:r w:rsidRPr="00C44C86">
              <w:rPr>
                <w:vertAlign w:val="subscript"/>
                <w:lang w:val="pl-PL"/>
              </w:rPr>
              <w:t>AUC0-</w:t>
            </w:r>
            <w:r w:rsidRPr="00C44C86">
              <w:rPr>
                <w:vertAlign w:val="subscript"/>
              </w:rPr>
              <w:sym w:font="Symbol" w:char="F0A5"/>
            </w:r>
            <w:r w:rsidRPr="00C44C86">
              <w:rPr>
                <w:lang w:val="pl-PL"/>
              </w:rPr>
              <w:t xml:space="preserve"> </w:t>
            </w:r>
            <w:r>
              <w:sym w:font="Symbol" w:char="F0AD"/>
            </w:r>
            <w:r w:rsidRPr="00C44C86">
              <w:rPr>
                <w:lang w:val="pl-PL"/>
              </w:rPr>
              <w:t xml:space="preserve"> 10,3-krotność</w:t>
            </w:r>
          </w:p>
          <w:p w14:paraId="58E02B00"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2ADE81A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Mimo, że tego klinicznie nie badano, worykonazol może zwiększać w osoczu stężenie benzodiazepin metabolizowanych przez CYP3A4 i prowadzić do wydłużonego działania nasennego. </w:t>
            </w:r>
          </w:p>
          <w:p w14:paraId="3521D28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6D95F7C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Zaleca się rozważenie zmniejszenia dawki benzodiazepin.</w:t>
            </w:r>
          </w:p>
          <w:p w14:paraId="2D4F87B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r>
      <w:tr w:rsidR="009B2AD5" w:rsidRPr="005138D5" w14:paraId="6DBCC685" w14:textId="77777777" w:rsidTr="00F66B3D">
        <w:tc>
          <w:tcPr>
            <w:tcW w:w="2700" w:type="dxa"/>
          </w:tcPr>
          <w:p w14:paraId="065A4EC1"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p>
        </w:tc>
        <w:tc>
          <w:tcPr>
            <w:tcW w:w="3150" w:type="dxa"/>
          </w:tcPr>
          <w:p w14:paraId="518BEB40" w14:textId="77777777" w:rsidR="009B2AD5" w:rsidRPr="005138D5" w:rsidRDefault="009B2AD5" w:rsidP="009B2AD5">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7FCCC55F" w14:textId="77777777" w:rsidR="009B2AD5" w:rsidRPr="005138D5" w:rsidRDefault="009B2AD5" w:rsidP="00277FD8">
            <w:pPr>
              <w:pStyle w:val="TableText"/>
              <w:tabs>
                <w:tab w:val="left" w:pos="360"/>
              </w:tabs>
              <w:overflowPunct w:val="0"/>
              <w:autoSpaceDE w:val="0"/>
              <w:autoSpaceDN w:val="0"/>
              <w:adjustRightInd w:val="0"/>
              <w:textAlignment w:val="baseline"/>
              <w:rPr>
                <w:rFonts w:cs="Times New Roman"/>
                <w:lang w:val="pl-PL"/>
              </w:rPr>
            </w:pPr>
          </w:p>
        </w:tc>
      </w:tr>
      <w:tr w:rsidR="00277FE6" w:rsidRPr="005138D5" w14:paraId="4A1167FF" w14:textId="77777777" w:rsidTr="00F66B3D">
        <w:tc>
          <w:tcPr>
            <w:tcW w:w="2700" w:type="dxa"/>
          </w:tcPr>
          <w:p w14:paraId="7E18C3A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Leki immunosupresyjne</w:t>
            </w:r>
          </w:p>
          <w:p w14:paraId="1716570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[substraty CYP3A4]</w:t>
            </w:r>
          </w:p>
          <w:p w14:paraId="4F146E8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5DE1B8A4" w14:textId="77777777" w:rsidR="00277FE6"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Syrolimus (pojedyncza dawka 2 mg)</w:t>
            </w:r>
          </w:p>
          <w:p w14:paraId="377545DE" w14:textId="77777777" w:rsidR="00C44C86" w:rsidRPr="005138D5"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29062AC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CA3883A" w14:textId="77777777" w:rsidR="00277FE6" w:rsidRPr="00C44C86" w:rsidRDefault="00C44C86" w:rsidP="00F66B3D">
            <w:pPr>
              <w:pStyle w:val="TableText"/>
              <w:tabs>
                <w:tab w:val="left" w:pos="360"/>
              </w:tabs>
              <w:overflowPunct w:val="0"/>
              <w:autoSpaceDE w:val="0"/>
              <w:autoSpaceDN w:val="0"/>
              <w:adjustRightInd w:val="0"/>
              <w:textAlignment w:val="baseline"/>
              <w:rPr>
                <w:rFonts w:cs="Times New Roman"/>
                <w:lang w:val="pl-PL"/>
              </w:rPr>
            </w:pPr>
            <w:r w:rsidRPr="00C44C86">
              <w:rPr>
                <w:lang w:val="pl-PL"/>
              </w:rPr>
              <w:t>Ewerolimus [również substrat P-gp]</w:t>
            </w:r>
          </w:p>
          <w:p w14:paraId="58AE0FE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28A5146B"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600D1E3E"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724E1466"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38719221"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77FFC63D"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2A65129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Cyklosporyna (u stabilnych biorców przeszczepu nerki poddanych regularnej terapii cyklosporyną) </w:t>
            </w:r>
            <w:r w:rsidRPr="005138D5">
              <w:rPr>
                <w:rFonts w:cs="Times New Roman"/>
                <w:lang w:val="pl-PL"/>
              </w:rPr>
              <w:br/>
            </w:r>
          </w:p>
          <w:p w14:paraId="0286EB3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CFA9E4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59803D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3D6F52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5886D4D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7A158C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3D8E95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37BCCC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F6AB30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B63B04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A6E29E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Takrolimus (pojedyncza dawka 0,1 mg/kg mc.)</w:t>
            </w:r>
            <w:r w:rsidRPr="005138D5">
              <w:rPr>
                <w:rFonts w:cs="Times New Roman"/>
                <w:lang w:val="pl-PL"/>
              </w:rPr>
              <w:br/>
            </w:r>
          </w:p>
        </w:tc>
        <w:tc>
          <w:tcPr>
            <w:tcW w:w="3150" w:type="dxa"/>
          </w:tcPr>
          <w:p w14:paraId="2F4A268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AB42DC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D4D225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Opublikowane wyniki niezależnych badań klinicznych.</w:t>
            </w:r>
          </w:p>
          <w:p w14:paraId="132BC89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Syrolimus Cmax </w:t>
            </w:r>
            <w:r w:rsidRPr="005138D5">
              <w:rPr>
                <w:rFonts w:cs="Times New Roman"/>
                <w:lang w:val="pl-PL"/>
              </w:rPr>
              <w:sym w:font="Symbol" w:char="F0AD"/>
            </w:r>
            <w:r w:rsidRPr="005138D5">
              <w:rPr>
                <w:rFonts w:cs="Times New Roman"/>
                <w:lang w:val="pl-PL"/>
              </w:rPr>
              <w:t xml:space="preserve"> 6,6-krotnie</w:t>
            </w:r>
          </w:p>
          <w:p w14:paraId="11BAFFE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Syrolimus AUC</w:t>
            </w:r>
            <w:r w:rsidR="00773658" w:rsidRPr="00CD5831">
              <w:rPr>
                <w:vertAlign w:val="subscript"/>
                <w:lang w:val="sv-SE"/>
              </w:rPr>
              <w:t>0-</w:t>
            </w:r>
            <w:r w:rsidR="00773658" w:rsidRPr="00CD5831">
              <w:rPr>
                <w:vertAlign w:val="subscript"/>
                <w:lang w:val="sv-SE"/>
              </w:rPr>
              <w:sym w:font="Symbol" w:char="F0A5"/>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11-krotnie</w:t>
            </w:r>
          </w:p>
          <w:p w14:paraId="4DF9145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78E475D" w14:textId="77777777" w:rsidR="00277FE6" w:rsidRPr="00C44C86" w:rsidRDefault="00C44C86" w:rsidP="00F66B3D">
            <w:pPr>
              <w:pStyle w:val="TableText"/>
              <w:tabs>
                <w:tab w:val="left" w:pos="360"/>
              </w:tabs>
              <w:overflowPunct w:val="0"/>
              <w:autoSpaceDE w:val="0"/>
              <w:autoSpaceDN w:val="0"/>
              <w:adjustRightInd w:val="0"/>
              <w:textAlignment w:val="baseline"/>
              <w:rPr>
                <w:rFonts w:cs="Times New Roman"/>
                <w:lang w:val="pl-PL"/>
              </w:rPr>
            </w:pPr>
            <w:r w:rsidRPr="00C44C86">
              <w:rPr>
                <w:lang w:val="pl-PL"/>
              </w:rPr>
              <w:t>Mimo, że tego nie badano, worykonazol może znacząco zwiększać stężenie ewerolimusu w osoczu.</w:t>
            </w:r>
          </w:p>
          <w:p w14:paraId="58549AFE"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40CAE4CE"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42B88735"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3C27C3F6"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5C9587B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Cyklosporyna Cmax </w:t>
            </w:r>
            <w:r w:rsidRPr="005138D5">
              <w:rPr>
                <w:rFonts w:cs="Times New Roman"/>
                <w:lang w:val="pl-PL"/>
              </w:rPr>
              <w:sym w:font="Symbol" w:char="F0AD"/>
            </w:r>
            <w:r w:rsidRPr="005138D5">
              <w:rPr>
                <w:rFonts w:cs="Times New Roman"/>
                <w:lang w:val="pl-PL"/>
              </w:rPr>
              <w:t xml:space="preserve"> 13%</w:t>
            </w:r>
          </w:p>
          <w:p w14:paraId="6F83442D"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Cyklosporyna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70%</w:t>
            </w:r>
          </w:p>
          <w:p w14:paraId="19DB590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EF2292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B21499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7119EF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A0D4E7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3B87FD0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B03C30C"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A5E8FB6"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68BBDF67"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A766BA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C0CBB7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0F8076E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E5D8DD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6179E3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Takrolimus Cmax </w:t>
            </w:r>
            <w:r w:rsidRPr="005138D5">
              <w:rPr>
                <w:rFonts w:cs="Times New Roman"/>
                <w:lang w:val="pl-PL"/>
              </w:rPr>
              <w:sym w:font="Symbol" w:char="F0AD"/>
            </w:r>
            <w:r w:rsidRPr="005138D5">
              <w:rPr>
                <w:rFonts w:cs="Times New Roman"/>
                <w:lang w:val="pl-PL"/>
              </w:rPr>
              <w:t xml:space="preserve"> 117%</w:t>
            </w:r>
          </w:p>
          <w:p w14:paraId="031C87E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Takrolimus </w:t>
            </w:r>
            <w:r w:rsidR="00031224" w:rsidRPr="005138D5">
              <w:rPr>
                <w:rFonts w:cs="Times New Roman"/>
                <w:lang w:val="pl-PL"/>
              </w:rPr>
              <w:t>AUC</w:t>
            </w:r>
            <w:r w:rsidR="00031224" w:rsidRPr="005138D5">
              <w:rPr>
                <w:rFonts w:cs="Times New Roman"/>
                <w:vertAlign w:val="subscript"/>
                <w:lang w:val="pl-PL"/>
              </w:rPr>
              <w:t>t</w:t>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221%</w:t>
            </w:r>
          </w:p>
        </w:tc>
        <w:tc>
          <w:tcPr>
            <w:tcW w:w="3328" w:type="dxa"/>
          </w:tcPr>
          <w:p w14:paraId="78969B7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4D7B37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220D0831"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Jednoczesne stosowanie worykonazolu i syrolimusu jest przeciwwskazane (patrz punkt 4.3).</w:t>
            </w:r>
          </w:p>
          <w:p w14:paraId="69001478"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31E232C" w14:textId="77777777" w:rsidR="00277FE6" w:rsidRPr="00C44C86" w:rsidRDefault="00C44C86" w:rsidP="00F66B3D">
            <w:pPr>
              <w:pStyle w:val="TableText"/>
              <w:tabs>
                <w:tab w:val="left" w:pos="360"/>
              </w:tabs>
              <w:overflowPunct w:val="0"/>
              <w:autoSpaceDE w:val="0"/>
              <w:autoSpaceDN w:val="0"/>
              <w:adjustRightInd w:val="0"/>
              <w:textAlignment w:val="baseline"/>
              <w:rPr>
                <w:rFonts w:cs="Times New Roman"/>
                <w:lang w:val="pl-PL"/>
              </w:rPr>
            </w:pPr>
            <w:r w:rsidRPr="00C44C86">
              <w:rPr>
                <w:lang w:val="pl-PL"/>
              </w:rPr>
              <w:t>Nie zaleca się stosowania worykonazolu jednocześnie z ewerolimusem, gdyż oczekuje się, że worykonazol będzie znacząco zwiększał stężenie ewerolimusu (patrz punkt 4.4).</w:t>
            </w:r>
          </w:p>
          <w:p w14:paraId="7638382E"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65D03DCF" w14:textId="77777777" w:rsidR="00C44C86" w:rsidRDefault="00C44C86" w:rsidP="00F66B3D">
            <w:pPr>
              <w:pStyle w:val="TableText"/>
              <w:tabs>
                <w:tab w:val="left" w:pos="360"/>
              </w:tabs>
              <w:overflowPunct w:val="0"/>
              <w:autoSpaceDE w:val="0"/>
              <w:autoSpaceDN w:val="0"/>
              <w:adjustRightInd w:val="0"/>
              <w:textAlignment w:val="baseline"/>
              <w:rPr>
                <w:rFonts w:cs="Times New Roman"/>
                <w:lang w:val="pl-PL"/>
              </w:rPr>
            </w:pPr>
          </w:p>
          <w:p w14:paraId="00E02D3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U pacjentów już przyjmujących cyklosporynę, u których rozpoczynamy leczenie worykonazolem zalecane jest zmniejszenie dawki cyklosporyny o połowę i monitorowanie jej stężenia w osoczu. Zwiększone stężenia cyklosporyny wiąże się z jej nefrotoksycznością. Po zakończeniu terapii worykonazolem stężenia cyklosporyny muszą być ściśle monitorowane, a jej dawka zwiększona w razie konieczności .</w:t>
            </w:r>
          </w:p>
          <w:p w14:paraId="3332F92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58D687F"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U pacjentów leczonych takrolimusem, rozpoczynających terapię worykonazolem zaleca się zmniejszenie do jednej trzeciej dawki takrolimusu i ścisłe monitorowanie jego stężenia. </w:t>
            </w:r>
          </w:p>
          <w:p w14:paraId="5CEEA3DE" w14:textId="77777777" w:rsidR="00277FE6" w:rsidRPr="005138D5" w:rsidRDefault="00277FE6" w:rsidP="00335884">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Zwiększenie stężenia takrolimusu wiąże się z jego nefrotoksycznością. Po zakończeniu leczenia worykonazolem stężenia takrolimusu muszą być ściśle monitorowane, a jego dawka zwiększona w razie konieczności. </w:t>
            </w:r>
          </w:p>
        </w:tc>
      </w:tr>
      <w:tr w:rsidR="00277FE6" w:rsidRPr="005138D5" w14:paraId="716F9715" w14:textId="77777777" w:rsidTr="00F66B3D">
        <w:tc>
          <w:tcPr>
            <w:tcW w:w="2700" w:type="dxa"/>
          </w:tcPr>
          <w:p w14:paraId="18CF6E2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Długo działające opioidy</w:t>
            </w:r>
          </w:p>
          <w:p w14:paraId="68C12003"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CYP3A4]</w:t>
            </w:r>
          </w:p>
          <w:p w14:paraId="53F5F120"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1D3030E5"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Oksykodon (pojedyncza dawka 10 mg)</w:t>
            </w:r>
          </w:p>
        </w:tc>
        <w:tc>
          <w:tcPr>
            <w:tcW w:w="3150" w:type="dxa"/>
          </w:tcPr>
          <w:p w14:paraId="5CD0739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43F0579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p w14:paraId="765D9BAA"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Opublikowane wyniki niezależnych badań klinicznych.</w:t>
            </w:r>
          </w:p>
          <w:p w14:paraId="0029B81B"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Oksykodon Cmax </w:t>
            </w:r>
            <w:r w:rsidRPr="005138D5">
              <w:rPr>
                <w:rFonts w:cs="Times New Roman"/>
                <w:lang w:val="pl-PL"/>
              </w:rPr>
              <w:sym w:font="Symbol" w:char="F0AD"/>
            </w:r>
            <w:r w:rsidRPr="005138D5">
              <w:rPr>
                <w:rFonts w:cs="Times New Roman"/>
                <w:lang w:val="pl-PL"/>
              </w:rPr>
              <w:t xml:space="preserve"> 1,7-krotnie</w:t>
            </w:r>
          </w:p>
          <w:p w14:paraId="5B889449"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Oksykodon AUC</w:t>
            </w:r>
            <w:r w:rsidR="00773658" w:rsidRPr="00CD5831">
              <w:rPr>
                <w:vertAlign w:val="subscript"/>
                <w:lang w:val="sv-SE"/>
              </w:rPr>
              <w:t>0-</w:t>
            </w:r>
            <w:r w:rsidR="00773658" w:rsidRPr="00CD5831">
              <w:rPr>
                <w:vertAlign w:val="subscript"/>
                <w:lang w:val="sv-SE"/>
              </w:rPr>
              <w:sym w:font="Symbol" w:char="F0A5"/>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3,6-krotnie</w:t>
            </w:r>
          </w:p>
        </w:tc>
        <w:tc>
          <w:tcPr>
            <w:tcW w:w="3328" w:type="dxa"/>
          </w:tcPr>
          <w:p w14:paraId="21ADA25E"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Należy rozważyć zmniejszenie dawki oksykodonu oraz innych długo działających opioidów metabolizowanych przez CYP3A4 (np. hydrokodon). Może być konieczne częste monitorowanie działań niepożądanych związanych ze stosowaniem opioidów. </w:t>
            </w:r>
          </w:p>
          <w:p w14:paraId="1D3ABCF4" w14:textId="77777777" w:rsidR="00277FE6" w:rsidRPr="005138D5" w:rsidRDefault="00277FE6" w:rsidP="00F66B3D">
            <w:pPr>
              <w:pStyle w:val="TableText"/>
              <w:tabs>
                <w:tab w:val="left" w:pos="360"/>
              </w:tabs>
              <w:overflowPunct w:val="0"/>
              <w:autoSpaceDE w:val="0"/>
              <w:autoSpaceDN w:val="0"/>
              <w:adjustRightInd w:val="0"/>
              <w:textAlignment w:val="baseline"/>
              <w:rPr>
                <w:rFonts w:cs="Times New Roman"/>
                <w:lang w:val="pl-PL"/>
              </w:rPr>
            </w:pPr>
          </w:p>
        </w:tc>
      </w:tr>
      <w:tr w:rsidR="006252CC" w:rsidRPr="005138D5" w14:paraId="461DF4B1" w14:textId="77777777" w:rsidTr="00F66B3D">
        <w:tc>
          <w:tcPr>
            <w:tcW w:w="2700" w:type="dxa"/>
          </w:tcPr>
          <w:p w14:paraId="6103F48B"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Metadon</w:t>
            </w:r>
            <w:proofErr w:type="spellEnd"/>
            <w:r w:rsidRPr="005138D5">
              <w:rPr>
                <w:rFonts w:cs="Times New Roman"/>
                <w:lang w:val="en-GB"/>
              </w:rPr>
              <w:t xml:space="preserve"> (32-100 mg QD)</w:t>
            </w:r>
          </w:p>
          <w:p w14:paraId="6FC9525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r w:rsidRPr="005138D5">
              <w:rPr>
                <w:rFonts w:cs="Times New Roman"/>
                <w:lang w:val="en-GB"/>
              </w:rPr>
              <w:t>[</w:t>
            </w:r>
            <w:proofErr w:type="spellStart"/>
            <w:r w:rsidRPr="005138D5">
              <w:rPr>
                <w:rFonts w:cs="Times New Roman"/>
                <w:lang w:val="en-GB"/>
              </w:rPr>
              <w:t>substrat</w:t>
            </w:r>
            <w:proofErr w:type="spellEnd"/>
            <w:r w:rsidRPr="005138D5">
              <w:rPr>
                <w:rFonts w:cs="Times New Roman"/>
                <w:lang w:val="en-GB"/>
              </w:rPr>
              <w:t xml:space="preserve"> CYP3A4]</w:t>
            </w:r>
          </w:p>
        </w:tc>
        <w:tc>
          <w:tcPr>
            <w:tcW w:w="3150" w:type="dxa"/>
          </w:tcPr>
          <w:p w14:paraId="19687EEB"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R-metadon (aktywny) Cmax </w:t>
            </w:r>
            <w:r w:rsidRPr="005138D5">
              <w:rPr>
                <w:rFonts w:cs="Times New Roman"/>
                <w:lang w:val="pl-PL"/>
              </w:rPr>
              <w:sym w:font="Symbol" w:char="F0AD"/>
            </w:r>
            <w:r w:rsidRPr="005138D5">
              <w:rPr>
                <w:rFonts w:cs="Times New Roman"/>
                <w:lang w:val="pl-PL"/>
              </w:rPr>
              <w:t xml:space="preserve"> 31%</w:t>
            </w:r>
            <w:r w:rsidRPr="005138D5">
              <w:rPr>
                <w:rFonts w:cs="Times New Roman"/>
                <w:lang w:val="pl-PL"/>
              </w:rPr>
              <w:br/>
              <w:t>R-metadon (aktywny)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47%</w:t>
            </w:r>
            <w:r w:rsidRPr="005138D5">
              <w:rPr>
                <w:rFonts w:cs="Times New Roman"/>
                <w:lang w:val="pl-PL"/>
              </w:rPr>
              <w:br/>
              <w:t xml:space="preserve">S-metadon Cmax </w:t>
            </w:r>
            <w:r w:rsidRPr="005138D5">
              <w:rPr>
                <w:rFonts w:cs="Times New Roman"/>
                <w:lang w:val="pl-PL"/>
              </w:rPr>
              <w:sym w:font="Symbol" w:char="F0AD"/>
            </w:r>
            <w:r w:rsidRPr="005138D5">
              <w:rPr>
                <w:rFonts w:cs="Times New Roman"/>
                <w:lang w:val="pl-PL"/>
              </w:rPr>
              <w:t xml:space="preserve"> 65%</w:t>
            </w:r>
          </w:p>
          <w:p w14:paraId="58D9B08C"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S-metadon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103%</w:t>
            </w:r>
          </w:p>
        </w:tc>
        <w:tc>
          <w:tcPr>
            <w:tcW w:w="3328" w:type="dxa"/>
          </w:tcPr>
          <w:p w14:paraId="3256C70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Zaleca się częste monitorowanie reakcji niepożądanych oraz toksyczności związanej ze stosowaniem metadonu, w tym wydłużenia odstępu QT. Konieczne może być zmniejszenie dawki metadonu. </w:t>
            </w:r>
          </w:p>
        </w:tc>
      </w:tr>
      <w:tr w:rsidR="006252CC" w:rsidRPr="005138D5" w14:paraId="6F62D4D0" w14:textId="77777777" w:rsidTr="00F66B3D">
        <w:tc>
          <w:tcPr>
            <w:tcW w:w="2700" w:type="dxa"/>
          </w:tcPr>
          <w:p w14:paraId="0640F70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Niesteroidowe leki przeciwzapalne (NLPZ) [substrat CYP2C9]</w:t>
            </w:r>
          </w:p>
          <w:p w14:paraId="0551A163"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27A8FE4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Ibuprofen (pojedyncza dawka 400 mg)</w:t>
            </w:r>
          </w:p>
          <w:p w14:paraId="192F9CD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529FF283"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Diklofenak (pojedyncza dawka 50 mg)</w:t>
            </w:r>
          </w:p>
        </w:tc>
        <w:tc>
          <w:tcPr>
            <w:tcW w:w="3150" w:type="dxa"/>
          </w:tcPr>
          <w:p w14:paraId="5D277DB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4F0E54BB"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73D56AD0"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5D6FA872" w14:textId="77777777" w:rsidR="006252CC" w:rsidRPr="00CB5019" w:rsidRDefault="006252CC" w:rsidP="00F66B3D">
            <w:pPr>
              <w:pStyle w:val="TableText"/>
              <w:tabs>
                <w:tab w:val="left" w:pos="360"/>
              </w:tabs>
              <w:overflowPunct w:val="0"/>
              <w:autoSpaceDE w:val="0"/>
              <w:autoSpaceDN w:val="0"/>
              <w:adjustRightInd w:val="0"/>
              <w:textAlignment w:val="baseline"/>
              <w:rPr>
                <w:rFonts w:cs="Times New Roman"/>
                <w:lang w:val="nl-NL"/>
              </w:rPr>
            </w:pPr>
            <w:r w:rsidRPr="00CB5019">
              <w:rPr>
                <w:rFonts w:cs="Times New Roman"/>
                <w:lang w:val="nl-NL"/>
              </w:rPr>
              <w:t xml:space="preserve">S-Ibuprofen Cmax </w:t>
            </w:r>
            <w:r w:rsidRPr="005138D5">
              <w:rPr>
                <w:rFonts w:cs="Times New Roman"/>
                <w:lang w:val="pl-PL"/>
              </w:rPr>
              <w:sym w:font="Symbol" w:char="F0AD"/>
            </w:r>
            <w:r w:rsidRPr="00CB5019">
              <w:rPr>
                <w:rFonts w:cs="Times New Roman"/>
                <w:lang w:val="nl-NL"/>
              </w:rPr>
              <w:t xml:space="preserve"> 20%</w:t>
            </w:r>
          </w:p>
          <w:p w14:paraId="1F9DF30F" w14:textId="77777777" w:rsidR="006252CC" w:rsidRPr="00CB5019" w:rsidRDefault="006252CC" w:rsidP="00F66B3D">
            <w:pPr>
              <w:pStyle w:val="TableText"/>
              <w:tabs>
                <w:tab w:val="left" w:pos="360"/>
              </w:tabs>
              <w:overflowPunct w:val="0"/>
              <w:autoSpaceDE w:val="0"/>
              <w:autoSpaceDN w:val="0"/>
              <w:adjustRightInd w:val="0"/>
              <w:textAlignment w:val="baseline"/>
              <w:rPr>
                <w:rFonts w:cs="Times New Roman"/>
                <w:lang w:val="nl-NL"/>
              </w:rPr>
            </w:pPr>
            <w:r w:rsidRPr="00CB5019">
              <w:rPr>
                <w:rFonts w:cs="Times New Roman"/>
                <w:lang w:val="nl-NL"/>
              </w:rPr>
              <w:t>S-Ibuprofen AUC</w:t>
            </w:r>
            <w:r w:rsidR="00773658" w:rsidRPr="00CD5831">
              <w:rPr>
                <w:vertAlign w:val="subscript"/>
                <w:lang w:val="sv-SE"/>
              </w:rPr>
              <w:t>0-</w:t>
            </w:r>
            <w:r w:rsidR="00773658" w:rsidRPr="00CD5831">
              <w:rPr>
                <w:vertAlign w:val="subscript"/>
                <w:lang w:val="sv-SE"/>
              </w:rPr>
              <w:sym w:font="Symbol" w:char="F0A5"/>
            </w:r>
            <w:r w:rsidRPr="00CB5019">
              <w:rPr>
                <w:rFonts w:cs="Times New Roman"/>
                <w:lang w:val="nl-NL"/>
              </w:rPr>
              <w:t xml:space="preserve"> </w:t>
            </w:r>
            <w:r w:rsidRPr="005138D5">
              <w:rPr>
                <w:rFonts w:cs="Times New Roman"/>
                <w:lang w:val="pl-PL"/>
              </w:rPr>
              <w:sym w:font="Symbol" w:char="F0AD"/>
            </w:r>
            <w:r w:rsidRPr="00CB5019">
              <w:rPr>
                <w:rFonts w:cs="Times New Roman"/>
                <w:lang w:val="nl-NL"/>
              </w:rPr>
              <w:t xml:space="preserve"> 100%</w:t>
            </w:r>
          </w:p>
          <w:p w14:paraId="09825188" w14:textId="77777777" w:rsidR="006252CC" w:rsidRPr="00CB5019" w:rsidRDefault="006252CC" w:rsidP="00F66B3D">
            <w:pPr>
              <w:pStyle w:val="TableText"/>
              <w:tabs>
                <w:tab w:val="left" w:pos="360"/>
              </w:tabs>
              <w:overflowPunct w:val="0"/>
              <w:autoSpaceDE w:val="0"/>
              <w:autoSpaceDN w:val="0"/>
              <w:adjustRightInd w:val="0"/>
              <w:textAlignment w:val="baseline"/>
              <w:rPr>
                <w:rFonts w:cs="Times New Roman"/>
                <w:lang w:val="nl-NL"/>
              </w:rPr>
            </w:pPr>
          </w:p>
          <w:p w14:paraId="677E8208" w14:textId="77777777" w:rsidR="006252CC" w:rsidRPr="00277FD8"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277FD8">
              <w:rPr>
                <w:rFonts w:cs="Times New Roman"/>
                <w:lang w:val="en-GB"/>
              </w:rPr>
              <w:t>Diklofenak</w:t>
            </w:r>
            <w:proofErr w:type="spellEnd"/>
            <w:r w:rsidRPr="00277FD8">
              <w:rPr>
                <w:rFonts w:cs="Times New Roman"/>
                <w:lang w:val="en-GB"/>
              </w:rPr>
              <w:t xml:space="preserve"> </w:t>
            </w:r>
            <w:proofErr w:type="spellStart"/>
            <w:r w:rsidRPr="00277FD8">
              <w:rPr>
                <w:rFonts w:cs="Times New Roman"/>
                <w:lang w:val="en-GB"/>
              </w:rPr>
              <w:t>Cmax</w:t>
            </w:r>
            <w:proofErr w:type="spellEnd"/>
            <w:r w:rsidRPr="00277FD8">
              <w:rPr>
                <w:rFonts w:cs="Times New Roman"/>
                <w:lang w:val="en-GB"/>
              </w:rPr>
              <w:t xml:space="preserve"> </w:t>
            </w:r>
            <w:r w:rsidRPr="005138D5">
              <w:rPr>
                <w:rFonts w:cs="Times New Roman"/>
                <w:lang w:val="pl-PL"/>
              </w:rPr>
              <w:sym w:font="Symbol" w:char="F0AD"/>
            </w:r>
            <w:r w:rsidRPr="00277FD8">
              <w:rPr>
                <w:rFonts w:cs="Times New Roman"/>
                <w:lang w:val="en-GB"/>
              </w:rPr>
              <w:t xml:space="preserve"> 114%</w:t>
            </w:r>
          </w:p>
          <w:p w14:paraId="7B4F4C83" w14:textId="77777777" w:rsidR="006252CC" w:rsidRPr="00277FD8"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277FD8">
              <w:rPr>
                <w:rFonts w:cs="Times New Roman"/>
                <w:lang w:val="en-GB"/>
              </w:rPr>
              <w:t>Diklofenak</w:t>
            </w:r>
            <w:proofErr w:type="spellEnd"/>
            <w:r w:rsidRPr="00277FD8">
              <w:rPr>
                <w:rFonts w:cs="Times New Roman"/>
                <w:lang w:val="en-GB"/>
              </w:rPr>
              <w:t xml:space="preserve"> AUC</w:t>
            </w:r>
            <w:r w:rsidR="00773658" w:rsidRPr="00CD5831">
              <w:rPr>
                <w:vertAlign w:val="subscript"/>
                <w:lang w:val="sv-SE"/>
              </w:rPr>
              <w:t>0-</w:t>
            </w:r>
            <w:r w:rsidR="00773658" w:rsidRPr="00CD5831">
              <w:rPr>
                <w:vertAlign w:val="subscript"/>
                <w:lang w:val="sv-SE"/>
              </w:rPr>
              <w:sym w:font="Symbol" w:char="F0A5"/>
            </w:r>
            <w:r w:rsidRPr="00277FD8">
              <w:rPr>
                <w:rFonts w:cs="Times New Roman"/>
                <w:lang w:val="en-GB"/>
              </w:rPr>
              <w:t xml:space="preserve"> </w:t>
            </w:r>
            <w:r w:rsidRPr="005138D5">
              <w:rPr>
                <w:rFonts w:cs="Times New Roman"/>
                <w:lang w:val="pl-PL"/>
              </w:rPr>
              <w:sym w:font="Symbol" w:char="F0AD"/>
            </w:r>
            <w:r w:rsidRPr="00277FD8">
              <w:rPr>
                <w:rFonts w:cs="Times New Roman"/>
                <w:lang w:val="en-GB"/>
              </w:rPr>
              <w:t xml:space="preserve"> 78%</w:t>
            </w:r>
          </w:p>
        </w:tc>
        <w:tc>
          <w:tcPr>
            <w:tcW w:w="3328" w:type="dxa"/>
          </w:tcPr>
          <w:p w14:paraId="2C37351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Zaleca się częste monitorowanie reakcji niepożądanych i toksyczności związanej ze stosowaniem niesteroidowych leków przeciwzapalnych. Może być konieczne zmniejszenie dawki niesteroidowych leków przeciwzapalnych. </w:t>
            </w:r>
          </w:p>
          <w:p w14:paraId="5CFCF57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r>
      <w:tr w:rsidR="006252CC" w:rsidRPr="005138D5" w14:paraId="74CAF7B9" w14:textId="77777777" w:rsidTr="00F66B3D">
        <w:tc>
          <w:tcPr>
            <w:tcW w:w="2700" w:type="dxa"/>
          </w:tcPr>
          <w:p w14:paraId="3D8B1AE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Omeprazol</w:t>
            </w:r>
            <w:proofErr w:type="spellEnd"/>
            <w:r w:rsidRPr="005138D5">
              <w:rPr>
                <w:rFonts w:cs="Times New Roman"/>
                <w:lang w:val="en-GB"/>
              </w:rPr>
              <w:t xml:space="preserve"> (40 mg QD)*</w:t>
            </w:r>
            <w:r w:rsidRPr="005138D5">
              <w:rPr>
                <w:rFonts w:cs="Times New Roman"/>
                <w:lang w:val="en-GB"/>
              </w:rPr>
              <w:br/>
              <w:t xml:space="preserve">[inhibitor CYP2C19; </w:t>
            </w:r>
            <w:proofErr w:type="spellStart"/>
            <w:r w:rsidRPr="005138D5">
              <w:rPr>
                <w:rFonts w:cs="Times New Roman"/>
                <w:lang w:val="en-GB"/>
              </w:rPr>
              <w:t>substrat</w:t>
            </w:r>
            <w:proofErr w:type="spellEnd"/>
            <w:r w:rsidRPr="005138D5">
              <w:rPr>
                <w:rFonts w:cs="Times New Roman"/>
                <w:lang w:val="en-GB"/>
              </w:rPr>
              <w:t xml:space="preserve"> CYP2C19 </w:t>
            </w:r>
            <w:proofErr w:type="spellStart"/>
            <w:r w:rsidRPr="005138D5">
              <w:rPr>
                <w:rFonts w:cs="Times New Roman"/>
                <w:lang w:val="en-GB"/>
              </w:rPr>
              <w:t>i</w:t>
            </w:r>
            <w:proofErr w:type="spellEnd"/>
            <w:r w:rsidRPr="005138D5">
              <w:rPr>
                <w:rFonts w:cs="Times New Roman"/>
                <w:lang w:val="en-GB"/>
              </w:rPr>
              <w:t xml:space="preserve"> CYP3A4]</w:t>
            </w:r>
          </w:p>
          <w:p w14:paraId="1C9527E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
          <w:p w14:paraId="2128A40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
        </w:tc>
        <w:tc>
          <w:tcPr>
            <w:tcW w:w="3150" w:type="dxa"/>
          </w:tcPr>
          <w:p w14:paraId="2F299BF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Omeprazol</w:t>
            </w:r>
            <w:proofErr w:type="spellEnd"/>
            <w:r w:rsidRPr="005138D5">
              <w:rPr>
                <w:rFonts w:cs="Times New Roman"/>
                <w:lang w:val="en-GB"/>
              </w:rPr>
              <w:t xml:space="preserve"> </w:t>
            </w:r>
            <w:proofErr w:type="spellStart"/>
            <w:r w:rsidRPr="005138D5">
              <w:rPr>
                <w:rFonts w:cs="Times New Roman"/>
                <w:lang w:val="en-GB"/>
              </w:rPr>
              <w:t>Cmax</w:t>
            </w:r>
            <w:proofErr w:type="spellEnd"/>
            <w:r w:rsidRPr="005138D5">
              <w:rPr>
                <w:rFonts w:cs="Times New Roman"/>
                <w:lang w:val="en-GB"/>
              </w:rPr>
              <w:t xml:space="preserve"> </w:t>
            </w:r>
            <w:r w:rsidRPr="005138D5">
              <w:rPr>
                <w:rFonts w:cs="Times New Roman"/>
                <w:lang w:val="pl-PL"/>
              </w:rPr>
              <w:sym w:font="Symbol" w:char="F0AD"/>
            </w:r>
            <w:r w:rsidRPr="005138D5">
              <w:rPr>
                <w:rFonts w:cs="Times New Roman"/>
                <w:lang w:val="en-GB"/>
              </w:rPr>
              <w:t xml:space="preserve"> 116%</w:t>
            </w:r>
          </w:p>
          <w:p w14:paraId="6A50995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Omeprazol</w:t>
            </w:r>
            <w:proofErr w:type="spellEnd"/>
            <w:r w:rsidRPr="005138D5">
              <w:rPr>
                <w:rFonts w:cs="Times New Roman"/>
                <w:lang w:val="en-GB"/>
              </w:rPr>
              <w:t xml:space="preserve"> AUC</w:t>
            </w:r>
            <w:r w:rsidRPr="005138D5">
              <w:rPr>
                <w:rFonts w:cs="Times New Roman"/>
                <w:lang w:val="pl-PL"/>
              </w:rPr>
              <w:sym w:font="Symbol" w:char="F074"/>
            </w:r>
            <w:r w:rsidRPr="005138D5">
              <w:rPr>
                <w:rFonts w:cs="Times New Roman"/>
                <w:lang w:val="en-GB"/>
              </w:rPr>
              <w:t xml:space="preserve"> </w:t>
            </w:r>
            <w:r w:rsidRPr="005138D5">
              <w:rPr>
                <w:rFonts w:cs="Times New Roman"/>
                <w:lang w:val="pl-PL"/>
              </w:rPr>
              <w:sym w:font="Symbol" w:char="F0AD"/>
            </w:r>
            <w:r w:rsidRPr="005138D5">
              <w:rPr>
                <w:rFonts w:cs="Times New Roman"/>
                <w:lang w:val="en-GB"/>
              </w:rPr>
              <w:t xml:space="preserve"> 280%</w:t>
            </w:r>
          </w:p>
          <w:p w14:paraId="31174CD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Worykonazol</w:t>
            </w:r>
            <w:proofErr w:type="spellEnd"/>
            <w:r w:rsidRPr="005138D5">
              <w:rPr>
                <w:rFonts w:cs="Times New Roman"/>
                <w:lang w:val="en-GB"/>
              </w:rPr>
              <w:t xml:space="preserve"> </w:t>
            </w:r>
            <w:proofErr w:type="spellStart"/>
            <w:r w:rsidRPr="005138D5">
              <w:rPr>
                <w:rFonts w:cs="Times New Roman"/>
                <w:lang w:val="en-GB"/>
              </w:rPr>
              <w:t>Cmax</w:t>
            </w:r>
            <w:proofErr w:type="spellEnd"/>
            <w:r w:rsidRPr="005138D5">
              <w:rPr>
                <w:rFonts w:cs="Times New Roman"/>
                <w:lang w:val="en-GB"/>
              </w:rPr>
              <w:t xml:space="preserve"> </w:t>
            </w:r>
            <w:r w:rsidRPr="005138D5">
              <w:rPr>
                <w:rFonts w:cs="Times New Roman"/>
                <w:lang w:val="pl-PL"/>
              </w:rPr>
              <w:sym w:font="Symbol" w:char="F0AD"/>
            </w:r>
            <w:r w:rsidRPr="005138D5">
              <w:rPr>
                <w:rFonts w:cs="Times New Roman"/>
                <w:lang w:val="en-GB"/>
              </w:rPr>
              <w:t xml:space="preserve"> 15%</w:t>
            </w:r>
          </w:p>
          <w:p w14:paraId="65EB8A5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41%</w:t>
            </w:r>
          </w:p>
          <w:p w14:paraId="18278C0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40334FD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może także hamować metabolizm innych inhibitorów pompy protonowej, które są substratami CYP2C19, oraz powodować zwiększenie ich stężenia w osoczu. </w:t>
            </w:r>
          </w:p>
          <w:p w14:paraId="0B89E10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438A12F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Nie zaleca się zmiany dawkowania worykonazolu. </w:t>
            </w:r>
          </w:p>
          <w:p w14:paraId="2307917D"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74651B8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U pacjentów leczonych omeprazolem w dawce 40 mg lub większej, u których rozpoczyna się terapię worykonazolem, zaleca się zmniejszenie dawki omeprazolu o połowę. </w:t>
            </w:r>
          </w:p>
          <w:p w14:paraId="65DD45C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r>
      <w:tr w:rsidR="006252CC" w:rsidRPr="005138D5" w14:paraId="64247EEC" w14:textId="77777777" w:rsidTr="00F66B3D">
        <w:tc>
          <w:tcPr>
            <w:tcW w:w="2700" w:type="dxa"/>
          </w:tcPr>
          <w:p w14:paraId="298E6DE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Doustne środki antykoncepcyjne* </w:t>
            </w:r>
          </w:p>
          <w:p w14:paraId="581A9D1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CYP3A4; inhibitor CYP2C19]</w:t>
            </w:r>
          </w:p>
          <w:p w14:paraId="10087BD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Noretysteron / Etynyloestradiol </w:t>
            </w:r>
            <w:r w:rsidRPr="005138D5">
              <w:rPr>
                <w:rFonts w:cs="Times New Roman"/>
                <w:lang w:val="pl-PL"/>
              </w:rPr>
              <w:br/>
              <w:t xml:space="preserve">(1 mg/0,035 mg QD) </w:t>
            </w:r>
          </w:p>
        </w:tc>
        <w:tc>
          <w:tcPr>
            <w:tcW w:w="3150" w:type="dxa"/>
          </w:tcPr>
          <w:p w14:paraId="30834803"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Etynyloestradiol Cmax </w:t>
            </w:r>
            <w:r w:rsidRPr="005138D5">
              <w:rPr>
                <w:rFonts w:cs="Times New Roman"/>
                <w:lang w:val="pl-PL"/>
              </w:rPr>
              <w:sym w:font="Symbol" w:char="F0AD"/>
            </w:r>
            <w:r w:rsidRPr="005138D5">
              <w:rPr>
                <w:rFonts w:cs="Times New Roman"/>
                <w:lang w:val="pl-PL"/>
              </w:rPr>
              <w:t xml:space="preserve"> 36%</w:t>
            </w:r>
          </w:p>
          <w:p w14:paraId="376E665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Etynyloestradiol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61%</w:t>
            </w:r>
          </w:p>
          <w:p w14:paraId="2158195B"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Noretysteron Cmax </w:t>
            </w:r>
            <w:r w:rsidRPr="005138D5">
              <w:rPr>
                <w:rFonts w:cs="Times New Roman"/>
                <w:lang w:val="pl-PL"/>
              </w:rPr>
              <w:sym w:font="Symbol" w:char="F0AD"/>
            </w:r>
            <w:r w:rsidRPr="005138D5">
              <w:rPr>
                <w:rFonts w:cs="Times New Roman"/>
                <w:lang w:val="pl-PL"/>
              </w:rPr>
              <w:t xml:space="preserve"> 15%</w:t>
            </w:r>
          </w:p>
          <w:p w14:paraId="4BD16910"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Noretysteron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53%</w:t>
            </w:r>
          </w:p>
          <w:p w14:paraId="3BB85CB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D"/>
            </w:r>
            <w:r w:rsidRPr="005138D5">
              <w:rPr>
                <w:rFonts w:cs="Times New Roman"/>
                <w:lang w:val="pl-PL"/>
              </w:rPr>
              <w:t xml:space="preserve"> 14%</w:t>
            </w:r>
          </w:p>
          <w:p w14:paraId="2AC97A0D"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46%</w:t>
            </w:r>
          </w:p>
        </w:tc>
        <w:tc>
          <w:tcPr>
            <w:tcW w:w="3328" w:type="dxa"/>
          </w:tcPr>
          <w:p w14:paraId="0E5C069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Zaleca się monitorowanie reakcji niepożądanych związanych ze stosowaniem  doustnych środków antykoncepcyjnych i worykonazolu. </w:t>
            </w:r>
          </w:p>
          <w:p w14:paraId="7B75755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r>
      <w:tr w:rsidR="006252CC" w:rsidRPr="005138D5" w14:paraId="2B394EBE" w14:textId="77777777" w:rsidTr="00F66B3D">
        <w:tc>
          <w:tcPr>
            <w:tcW w:w="2700" w:type="dxa"/>
          </w:tcPr>
          <w:p w14:paraId="6726139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Krótko działające opioidy</w:t>
            </w:r>
          </w:p>
          <w:p w14:paraId="3ACADC0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[substraty CYP3A4]</w:t>
            </w:r>
          </w:p>
          <w:p w14:paraId="1368C82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35D3231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Alfentanyl (pojedyncza dawka 20 μg/kg mc. z jednoczesnym zastosowaniem naloksonu)</w:t>
            </w:r>
          </w:p>
          <w:p w14:paraId="7FF5CF3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141A809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Fentanyl (pojedyncza dawka 5 </w:t>
            </w:r>
            <w:r w:rsidRPr="005138D5">
              <w:rPr>
                <w:rFonts w:cs="Times New Roman"/>
                <w:lang w:val="pl-PL"/>
              </w:rPr>
              <w:sym w:font="Symbol" w:char="F06D"/>
            </w:r>
            <w:r w:rsidRPr="005138D5">
              <w:rPr>
                <w:rFonts w:cs="Times New Roman"/>
                <w:lang w:val="pl-PL"/>
              </w:rPr>
              <w:t>g/kg mc.)</w:t>
            </w:r>
          </w:p>
        </w:tc>
        <w:tc>
          <w:tcPr>
            <w:tcW w:w="3150" w:type="dxa"/>
          </w:tcPr>
          <w:p w14:paraId="57C3E903"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11CEEEDC"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4AAE2E6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1738413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Opublikowane wyniki niezależnych badań klinicznych.</w:t>
            </w:r>
          </w:p>
          <w:p w14:paraId="642B0CE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Alfentanyl AUC</w:t>
            </w:r>
            <w:r w:rsidR="00773658" w:rsidRPr="00CD5831">
              <w:rPr>
                <w:vertAlign w:val="subscript"/>
                <w:lang w:val="sv-SE"/>
              </w:rPr>
              <w:t>0-</w:t>
            </w:r>
            <w:r w:rsidR="00773658" w:rsidRPr="00CD5831">
              <w:rPr>
                <w:vertAlign w:val="subscript"/>
                <w:lang w:val="sv-SE"/>
              </w:rPr>
              <w:sym w:font="Symbol" w:char="F0A5"/>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6-krotnie</w:t>
            </w:r>
          </w:p>
          <w:p w14:paraId="629C15D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18FFFF2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2FED422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Opublikowane wyniki niezależnych badań klinicznych. </w:t>
            </w:r>
          </w:p>
          <w:p w14:paraId="3C0FC61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Fentanyl AUC</w:t>
            </w:r>
            <w:r w:rsidR="00773658" w:rsidRPr="00CD5831">
              <w:rPr>
                <w:vertAlign w:val="subscript"/>
                <w:lang w:val="sv-SE"/>
              </w:rPr>
              <w:t>0-</w:t>
            </w:r>
            <w:r w:rsidR="00773658" w:rsidRPr="00CD5831">
              <w:rPr>
                <w:vertAlign w:val="subscript"/>
                <w:lang w:val="sv-SE"/>
              </w:rPr>
              <w:sym w:font="Symbol" w:char="F0A5"/>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1,34-krotnie </w:t>
            </w:r>
          </w:p>
        </w:tc>
        <w:tc>
          <w:tcPr>
            <w:tcW w:w="3328" w:type="dxa"/>
          </w:tcPr>
          <w:p w14:paraId="442EED6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Należy rozważyć zmniejszenie dawki alfentanylu, fentanylu oraz innych krótko działających opioidów o strukturze podobnej do alfentanylu i metabolizowanych przez CYP3A4 (np. sufentanyl).</w:t>
            </w:r>
          </w:p>
          <w:p w14:paraId="5756066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Zaleca się szersze oraz częste monitorowanie pacjentów pod kątem zapaści oddechowej oraz innych związanych z zastosowaniem opioidów działań  niepożądanych. </w:t>
            </w:r>
          </w:p>
          <w:p w14:paraId="1A402E3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sidDel="006B0915">
              <w:rPr>
                <w:rFonts w:cs="Times New Roman"/>
                <w:lang w:val="pl-PL"/>
              </w:rPr>
              <w:t xml:space="preserve"> </w:t>
            </w:r>
          </w:p>
        </w:tc>
      </w:tr>
      <w:tr w:rsidR="006252CC" w:rsidRPr="005138D5" w14:paraId="5C9FA488" w14:textId="77777777" w:rsidTr="00F66B3D">
        <w:tc>
          <w:tcPr>
            <w:tcW w:w="2700" w:type="dxa"/>
          </w:tcPr>
          <w:p w14:paraId="508E9E4C"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Statyny (np. lowastatyna) [substrat CYP3A4]</w:t>
            </w:r>
          </w:p>
        </w:tc>
        <w:tc>
          <w:tcPr>
            <w:tcW w:w="3150" w:type="dxa"/>
          </w:tcPr>
          <w:p w14:paraId="0A5BAA3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Mimo, że tego nie badano,</w:t>
            </w:r>
          </w:p>
          <w:p w14:paraId="799CF8C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może zwiększać w osoczu stężenie statyn metabolizowanych przez CYP3A4, co może prowadzić do rabdomiolizy.</w:t>
            </w:r>
          </w:p>
          <w:p w14:paraId="1602035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  </w:t>
            </w:r>
          </w:p>
        </w:tc>
        <w:tc>
          <w:tcPr>
            <w:tcW w:w="3328" w:type="dxa"/>
          </w:tcPr>
          <w:p w14:paraId="6646772B"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Jeśli nie można uniknąć</w:t>
            </w:r>
          </w:p>
          <w:p w14:paraId="38569BAA"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jednoczesnego podawania</w:t>
            </w:r>
          </w:p>
          <w:p w14:paraId="6D9EA9F0"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worykonazolu i statyn</w:t>
            </w:r>
          </w:p>
          <w:p w14:paraId="7AEA4C94"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metabolizowanych przez</w:t>
            </w:r>
          </w:p>
          <w:p w14:paraId="0988B54B" w14:textId="77777777" w:rsidR="006252CC" w:rsidRPr="005138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 xml:space="preserve">CYP3A4, </w:t>
            </w:r>
            <w:r>
              <w:rPr>
                <w:rFonts w:cs="Times New Roman"/>
                <w:lang w:val="pl-PL"/>
              </w:rPr>
              <w:t>n</w:t>
            </w:r>
            <w:r w:rsidR="006252CC" w:rsidRPr="005138D5">
              <w:rPr>
                <w:rFonts w:cs="Times New Roman"/>
                <w:lang w:val="pl-PL"/>
              </w:rPr>
              <w:t>ależy rozważyć zmniejszenie dawki statyn.</w:t>
            </w:r>
          </w:p>
        </w:tc>
      </w:tr>
      <w:tr w:rsidR="006252CC" w:rsidRPr="005138D5" w14:paraId="2546E843" w14:textId="77777777" w:rsidTr="00F66B3D">
        <w:tc>
          <w:tcPr>
            <w:tcW w:w="2700" w:type="dxa"/>
          </w:tcPr>
          <w:p w14:paraId="7377EEA3" w14:textId="19434894"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Pochodne sulfonylomocznika (</w:t>
            </w:r>
            <w:r w:rsidR="009745B5" w:rsidRPr="009745B5">
              <w:rPr>
                <w:rFonts w:cs="Times New Roman"/>
                <w:lang w:val="pl-PL"/>
              </w:rPr>
              <w:t xml:space="preserve">w tym między innymi: </w:t>
            </w:r>
            <w:r w:rsidRPr="005138D5">
              <w:rPr>
                <w:rFonts w:cs="Times New Roman"/>
                <w:lang w:val="pl-PL"/>
              </w:rPr>
              <w:t>np. tolbutamid, glipizyd, glibenklamid)</w:t>
            </w:r>
          </w:p>
          <w:p w14:paraId="5B0ADF5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[substraty CYP2C9]</w:t>
            </w:r>
          </w:p>
        </w:tc>
        <w:tc>
          <w:tcPr>
            <w:tcW w:w="3150" w:type="dxa"/>
          </w:tcPr>
          <w:p w14:paraId="4B28189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Mimo, że tego nie badano,</w:t>
            </w:r>
          </w:p>
          <w:p w14:paraId="5C44A4A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może zwiększać w osoczu stężenie pochodnych sulfonylomocznika i powodować hipoglikemię.</w:t>
            </w:r>
          </w:p>
          <w:p w14:paraId="506DC3A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1DF6E85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Zaleca się uważne monitorowanie stężenia glukozy we krwi. Należy rozważyć zmniejszenie dawki sulfonylomocznika.</w:t>
            </w:r>
          </w:p>
          <w:p w14:paraId="243BCD7D"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r>
      <w:tr w:rsidR="006252CC" w:rsidRPr="005138D5" w14:paraId="364C0911" w14:textId="77777777" w:rsidTr="00F66B3D">
        <w:tc>
          <w:tcPr>
            <w:tcW w:w="2700" w:type="dxa"/>
          </w:tcPr>
          <w:p w14:paraId="2C49207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Alkaloidy Vinca </w:t>
            </w:r>
          </w:p>
          <w:p w14:paraId="0C704690" w14:textId="645F6DDD"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t>
            </w:r>
            <w:r w:rsidR="009745B5" w:rsidRPr="009745B5">
              <w:rPr>
                <w:rFonts w:cs="Times New Roman"/>
                <w:lang w:val="pl-PL"/>
              </w:rPr>
              <w:t xml:space="preserve">w tym między innymi: </w:t>
            </w:r>
            <w:r w:rsidRPr="005138D5">
              <w:rPr>
                <w:rFonts w:cs="Times New Roman"/>
                <w:lang w:val="pl-PL"/>
              </w:rPr>
              <w:t>np. winkrystyna i winblastyna)</w:t>
            </w:r>
          </w:p>
          <w:p w14:paraId="4A4FAC0C"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[substraty CYP3A4]</w:t>
            </w:r>
          </w:p>
        </w:tc>
        <w:tc>
          <w:tcPr>
            <w:tcW w:w="3150" w:type="dxa"/>
          </w:tcPr>
          <w:p w14:paraId="6D8828DD"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Mimo, że tego nie badano,</w:t>
            </w:r>
          </w:p>
          <w:p w14:paraId="1B94A4B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może zwiększać w osoczu stężenie alkaloidów Vinca i prowadzić do neurotoksyczności.</w:t>
            </w:r>
          </w:p>
          <w:p w14:paraId="307EDE43"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0E21808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Należy rozważyć zmniejszenie dawki alkaloidów Vinca.</w:t>
            </w:r>
          </w:p>
        </w:tc>
      </w:tr>
      <w:tr w:rsidR="006252CC" w:rsidRPr="005138D5" w14:paraId="612E1953" w14:textId="77777777" w:rsidTr="00F66B3D">
        <w:tc>
          <w:tcPr>
            <w:tcW w:w="2700" w:type="dxa"/>
          </w:tcPr>
          <w:p w14:paraId="1E04A519" w14:textId="3A9FC6FD"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Inne inhibitory proteazy HIV (</w:t>
            </w:r>
            <w:r w:rsidR="009745B5" w:rsidRPr="009745B5">
              <w:rPr>
                <w:rFonts w:cs="Times New Roman"/>
                <w:lang w:val="pl-PL"/>
              </w:rPr>
              <w:t xml:space="preserve">w tym między innymi: </w:t>
            </w:r>
            <w:r w:rsidRPr="005138D5">
              <w:rPr>
                <w:rFonts w:cs="Times New Roman"/>
                <w:lang w:val="pl-PL"/>
              </w:rPr>
              <w:t>np. sakwinawir, amprenawir i nelfinawir)*</w:t>
            </w:r>
          </w:p>
          <w:p w14:paraId="333E745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[substraty i inhibitory CYP3A4]</w:t>
            </w:r>
          </w:p>
        </w:tc>
        <w:tc>
          <w:tcPr>
            <w:tcW w:w="3150" w:type="dxa"/>
          </w:tcPr>
          <w:p w14:paraId="7E0219A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Nie przebadano klinicznie. Badania in vitro wykazały, że worykonazol może hamować metabolizm inhibitorów proteazy HIV oraz, że metabolizm worykonazolu może być hamowany przez inhibitory proteazy HIV.</w:t>
            </w:r>
          </w:p>
          <w:p w14:paraId="319EF2A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39D012E3"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Może być konieczne monitorowanie pod względem występowania jakiejkolwiek toksyczności leków i (lub) utraty ich skuteczności działania oraz konieczności dostosowania dawki.</w:t>
            </w:r>
          </w:p>
          <w:p w14:paraId="7E7171F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r>
      <w:tr w:rsidR="006252CC" w:rsidRPr="005138D5" w14:paraId="78BA33CA" w14:textId="77777777" w:rsidTr="00F66B3D">
        <w:tc>
          <w:tcPr>
            <w:tcW w:w="2700" w:type="dxa"/>
          </w:tcPr>
          <w:p w14:paraId="408E6416" w14:textId="65E0DAD4" w:rsidR="006252CC" w:rsidRPr="00622D94" w:rsidRDefault="006252CC" w:rsidP="00F66B3D">
            <w:pPr>
              <w:pStyle w:val="TableText"/>
              <w:tabs>
                <w:tab w:val="left" w:pos="360"/>
              </w:tabs>
              <w:overflowPunct w:val="0"/>
              <w:autoSpaceDE w:val="0"/>
              <w:autoSpaceDN w:val="0"/>
              <w:adjustRightInd w:val="0"/>
              <w:textAlignment w:val="baseline"/>
              <w:rPr>
                <w:rFonts w:cs="Times New Roman"/>
              </w:rPr>
            </w:pPr>
            <w:r w:rsidRPr="005138D5">
              <w:rPr>
                <w:rFonts w:cs="Times New Roman"/>
                <w:lang w:val="pl-PL"/>
              </w:rPr>
              <w:t xml:space="preserve">Inne nienukleozydowe inhibitory odwrotnej transkryptazy (NNRTIs, ang. </w:t>
            </w:r>
            <w:r w:rsidRPr="00622D94">
              <w:rPr>
                <w:rFonts w:cs="Times New Roman"/>
              </w:rPr>
              <w:t>Non-Nucleoside Reverse Transcriptase Inhibitors) (</w:t>
            </w:r>
            <w:r w:rsidR="009745B5" w:rsidRPr="009745B5">
              <w:rPr>
                <w:rFonts w:cs="Times New Roman"/>
              </w:rPr>
              <w:t xml:space="preserve">w </w:t>
            </w:r>
            <w:proofErr w:type="spellStart"/>
            <w:r w:rsidR="009745B5" w:rsidRPr="009745B5">
              <w:rPr>
                <w:rFonts w:cs="Times New Roman"/>
              </w:rPr>
              <w:t>tym</w:t>
            </w:r>
            <w:proofErr w:type="spellEnd"/>
            <w:r w:rsidR="009745B5" w:rsidRPr="009745B5">
              <w:rPr>
                <w:rFonts w:cs="Times New Roman"/>
              </w:rPr>
              <w:t xml:space="preserve"> </w:t>
            </w:r>
            <w:proofErr w:type="spellStart"/>
            <w:r w:rsidR="009745B5" w:rsidRPr="009745B5">
              <w:rPr>
                <w:rFonts w:cs="Times New Roman"/>
              </w:rPr>
              <w:t>między</w:t>
            </w:r>
            <w:proofErr w:type="spellEnd"/>
            <w:r w:rsidR="009745B5" w:rsidRPr="009745B5">
              <w:rPr>
                <w:rFonts w:cs="Times New Roman"/>
              </w:rPr>
              <w:t xml:space="preserve"> </w:t>
            </w:r>
            <w:proofErr w:type="spellStart"/>
            <w:r w:rsidR="009745B5" w:rsidRPr="009745B5">
              <w:rPr>
                <w:rFonts w:cs="Times New Roman"/>
              </w:rPr>
              <w:t>innymi</w:t>
            </w:r>
            <w:proofErr w:type="spellEnd"/>
            <w:r w:rsidR="009745B5" w:rsidRPr="009745B5">
              <w:rPr>
                <w:rFonts w:cs="Times New Roman"/>
              </w:rPr>
              <w:t xml:space="preserve">: </w:t>
            </w:r>
            <w:r w:rsidRPr="00622D94">
              <w:rPr>
                <w:rFonts w:cs="Times New Roman"/>
              </w:rPr>
              <w:t xml:space="preserve">np. </w:t>
            </w:r>
            <w:proofErr w:type="spellStart"/>
            <w:r w:rsidRPr="00622D94">
              <w:rPr>
                <w:rFonts w:cs="Times New Roman"/>
              </w:rPr>
              <w:t>delawirdyna</w:t>
            </w:r>
            <w:proofErr w:type="spellEnd"/>
            <w:r w:rsidRPr="00622D94">
              <w:rPr>
                <w:rFonts w:cs="Times New Roman"/>
              </w:rPr>
              <w:t xml:space="preserve">, </w:t>
            </w:r>
            <w:proofErr w:type="spellStart"/>
            <w:r w:rsidRPr="00622D94">
              <w:rPr>
                <w:rFonts w:cs="Times New Roman"/>
              </w:rPr>
              <w:t>newirapina</w:t>
            </w:r>
            <w:proofErr w:type="spellEnd"/>
            <w:r w:rsidRPr="00622D94">
              <w:rPr>
                <w:rFonts w:cs="Times New Roman"/>
              </w:rPr>
              <w:t>)*</w:t>
            </w:r>
          </w:p>
          <w:p w14:paraId="31A27F27" w14:textId="77777777" w:rsidR="006252CC" w:rsidRPr="00622D94" w:rsidRDefault="006252CC" w:rsidP="00F66B3D">
            <w:pPr>
              <w:pStyle w:val="TableText"/>
              <w:tabs>
                <w:tab w:val="left" w:pos="360"/>
              </w:tabs>
              <w:overflowPunct w:val="0"/>
              <w:autoSpaceDE w:val="0"/>
              <w:autoSpaceDN w:val="0"/>
              <w:adjustRightInd w:val="0"/>
              <w:textAlignment w:val="baseline"/>
              <w:rPr>
                <w:rFonts w:cs="Times New Roman"/>
              </w:rPr>
            </w:pPr>
            <w:r w:rsidRPr="00622D94">
              <w:rPr>
                <w:rFonts w:cs="Times New Roman"/>
              </w:rPr>
              <w:t>[</w:t>
            </w:r>
            <w:proofErr w:type="spellStart"/>
            <w:r w:rsidRPr="00622D94">
              <w:rPr>
                <w:rFonts w:cs="Times New Roman"/>
              </w:rPr>
              <w:t>substraty</w:t>
            </w:r>
            <w:proofErr w:type="spellEnd"/>
            <w:r w:rsidRPr="00622D94">
              <w:rPr>
                <w:rFonts w:cs="Times New Roman"/>
              </w:rPr>
              <w:t xml:space="preserve"> CYP3A4; inhibitory </w:t>
            </w:r>
            <w:proofErr w:type="spellStart"/>
            <w:r w:rsidRPr="00622D94">
              <w:rPr>
                <w:rFonts w:cs="Times New Roman"/>
              </w:rPr>
              <w:t>lub</w:t>
            </w:r>
            <w:proofErr w:type="spellEnd"/>
            <w:r w:rsidRPr="00622D94">
              <w:rPr>
                <w:rFonts w:cs="Times New Roman"/>
              </w:rPr>
              <w:t xml:space="preserve"> </w:t>
            </w:r>
            <w:proofErr w:type="spellStart"/>
            <w:r w:rsidRPr="00622D94">
              <w:rPr>
                <w:rFonts w:cs="Times New Roman"/>
              </w:rPr>
              <w:t>induktory</w:t>
            </w:r>
            <w:proofErr w:type="spellEnd"/>
            <w:r w:rsidRPr="00622D94">
              <w:rPr>
                <w:rFonts w:cs="Times New Roman"/>
              </w:rPr>
              <w:t xml:space="preserve"> CYP450]</w:t>
            </w:r>
          </w:p>
        </w:tc>
        <w:tc>
          <w:tcPr>
            <w:tcW w:w="3150" w:type="dxa"/>
          </w:tcPr>
          <w:p w14:paraId="41F4C8D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Nie przebadano klinicznie. Badania in vitro wykazały, że metabolizm worykonazolu może być hamowany przez NNRTI oraz, że worykonazol może hamować metabolizm NNRTI. Doniesienia dotyczące wpływu efawirenzu na worykonazol pozwalają przypuszczać, że NNRTI mogą indukować metabolizm worykonazolu. </w:t>
            </w:r>
          </w:p>
          <w:p w14:paraId="66CAD45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c>
          <w:tcPr>
            <w:tcW w:w="3328" w:type="dxa"/>
          </w:tcPr>
          <w:p w14:paraId="0E41432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Zaleca się uważne monitorowanie pod względem występowania jakiejkolwiek toksyczności leków i (lub) utraty ich skuteczności działania oraz konieczności dostosowania dawki.</w:t>
            </w:r>
          </w:p>
        </w:tc>
      </w:tr>
      <w:tr w:rsidR="00C44C86" w:rsidRPr="005138D5" w14:paraId="7CAF3151" w14:textId="77777777" w:rsidTr="00F66B3D">
        <w:tc>
          <w:tcPr>
            <w:tcW w:w="2700" w:type="dxa"/>
          </w:tcPr>
          <w:p w14:paraId="1A61B98E"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Tretynoina</w:t>
            </w:r>
          </w:p>
          <w:p w14:paraId="32184917" w14:textId="77777777" w:rsidR="00C44C86" w:rsidRPr="005138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[substrat CYP3A4]</w:t>
            </w:r>
          </w:p>
        </w:tc>
        <w:tc>
          <w:tcPr>
            <w:tcW w:w="3150" w:type="dxa"/>
          </w:tcPr>
          <w:p w14:paraId="68B8BC4A"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Mimo że tego nie badano,</w:t>
            </w:r>
          </w:p>
          <w:p w14:paraId="121C40EC"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worykonazol może zwiększać</w:t>
            </w:r>
          </w:p>
          <w:p w14:paraId="60F34FA3"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stężenie tretynoiny oraz ryzyko</w:t>
            </w:r>
          </w:p>
          <w:p w14:paraId="7142F901" w14:textId="77777777" w:rsidR="00C44C86" w:rsidRPr="005138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reakcji niepożądanych (rzekomego</w:t>
            </w:r>
            <w:r>
              <w:rPr>
                <w:rFonts w:cs="Times New Roman"/>
                <w:lang w:val="pl-PL"/>
              </w:rPr>
              <w:t xml:space="preserve"> </w:t>
            </w:r>
            <w:r w:rsidRPr="00C44C86">
              <w:rPr>
                <w:rFonts w:cs="Times New Roman"/>
                <w:lang w:val="pl-PL"/>
              </w:rPr>
              <w:t>guza mózgu, hiperkalcemii).</w:t>
            </w:r>
          </w:p>
        </w:tc>
        <w:tc>
          <w:tcPr>
            <w:tcW w:w="3328" w:type="dxa"/>
          </w:tcPr>
          <w:p w14:paraId="31577E92"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Podczas leczenia</w:t>
            </w:r>
          </w:p>
          <w:p w14:paraId="049F6D67"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worykonazolem i po jego</w:t>
            </w:r>
          </w:p>
          <w:p w14:paraId="7334AB08"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zakończeniu zaleca się</w:t>
            </w:r>
          </w:p>
          <w:p w14:paraId="46924EF6" w14:textId="77777777" w:rsidR="00C44C86" w:rsidRPr="00C44C86"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dostosowanie dawki</w:t>
            </w:r>
          </w:p>
          <w:p w14:paraId="75EC1359" w14:textId="77777777" w:rsidR="00C44C86" w:rsidRPr="005138D5" w:rsidRDefault="00C44C86" w:rsidP="00C44C86">
            <w:pPr>
              <w:pStyle w:val="TableText"/>
              <w:tabs>
                <w:tab w:val="left" w:pos="360"/>
              </w:tabs>
              <w:overflowPunct w:val="0"/>
              <w:autoSpaceDE w:val="0"/>
              <w:autoSpaceDN w:val="0"/>
              <w:adjustRightInd w:val="0"/>
              <w:textAlignment w:val="baseline"/>
              <w:rPr>
                <w:rFonts w:cs="Times New Roman"/>
                <w:lang w:val="pl-PL"/>
              </w:rPr>
            </w:pPr>
            <w:r w:rsidRPr="00C44C86">
              <w:rPr>
                <w:rFonts w:cs="Times New Roman"/>
                <w:lang w:val="pl-PL"/>
              </w:rPr>
              <w:t>tretynoiny</w:t>
            </w:r>
          </w:p>
        </w:tc>
      </w:tr>
      <w:tr w:rsidR="006252CC" w:rsidRPr="005138D5" w14:paraId="6413ACBF" w14:textId="77777777" w:rsidTr="00F66B3D">
        <w:tc>
          <w:tcPr>
            <w:tcW w:w="2700" w:type="dxa"/>
          </w:tcPr>
          <w:p w14:paraId="6803F78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Cymetydyna (400 mg BID)</w:t>
            </w:r>
          </w:p>
          <w:p w14:paraId="7B3B965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[niespecyficzny inhibitor CYP450 oraz środek zwiększający pH w żołądku]</w:t>
            </w:r>
          </w:p>
        </w:tc>
        <w:tc>
          <w:tcPr>
            <w:tcW w:w="3150" w:type="dxa"/>
          </w:tcPr>
          <w:p w14:paraId="3803461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Worykonazol Cmax </w:t>
            </w:r>
            <w:r w:rsidRPr="005138D5">
              <w:rPr>
                <w:rFonts w:cs="Times New Roman"/>
                <w:lang w:val="pl-PL"/>
              </w:rPr>
              <w:sym w:font="Symbol" w:char="F0AD"/>
            </w:r>
            <w:r w:rsidRPr="005138D5">
              <w:rPr>
                <w:rFonts w:cs="Times New Roman"/>
                <w:lang w:val="pl-PL"/>
              </w:rPr>
              <w:t xml:space="preserve"> 18%</w:t>
            </w:r>
          </w:p>
          <w:p w14:paraId="70A4F370"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r w:rsidRPr="005138D5">
              <w:rPr>
                <w:rFonts w:cs="Times New Roman"/>
                <w:lang w:val="pl-PL"/>
              </w:rPr>
              <w:sym w:font="Symbol" w:char="F0AD"/>
            </w:r>
            <w:r w:rsidRPr="005138D5">
              <w:rPr>
                <w:rFonts w:cs="Times New Roman"/>
                <w:lang w:val="pl-PL"/>
              </w:rPr>
              <w:t xml:space="preserve"> 23%</w:t>
            </w:r>
          </w:p>
        </w:tc>
        <w:tc>
          <w:tcPr>
            <w:tcW w:w="3328" w:type="dxa"/>
          </w:tcPr>
          <w:p w14:paraId="031BFF0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Brak konieczności zmiany dawki. </w:t>
            </w:r>
          </w:p>
        </w:tc>
      </w:tr>
      <w:tr w:rsidR="006252CC" w:rsidRPr="005138D5" w14:paraId="2A6F61BF" w14:textId="77777777" w:rsidTr="00F66B3D">
        <w:tc>
          <w:tcPr>
            <w:tcW w:w="2700" w:type="dxa"/>
          </w:tcPr>
          <w:p w14:paraId="61D7093B"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Digoksyna (0,25 mg QD)</w:t>
            </w:r>
          </w:p>
          <w:p w14:paraId="118A183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P-gp]</w:t>
            </w:r>
          </w:p>
        </w:tc>
        <w:tc>
          <w:tcPr>
            <w:tcW w:w="3150" w:type="dxa"/>
          </w:tcPr>
          <w:p w14:paraId="79CFD28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Digoksyna Cmax ↔</w:t>
            </w:r>
          </w:p>
          <w:p w14:paraId="34CBF84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Digoksyna AUC</w:t>
            </w:r>
            <w:r w:rsidRPr="005138D5">
              <w:rPr>
                <w:rFonts w:cs="Times New Roman"/>
                <w:lang w:val="pl-PL"/>
              </w:rPr>
              <w:sym w:font="Symbol" w:char="F074"/>
            </w:r>
            <w:r w:rsidRPr="005138D5">
              <w:rPr>
                <w:rFonts w:cs="Times New Roman"/>
                <w:lang w:val="pl-PL"/>
              </w:rPr>
              <w:t xml:space="preserve"> ↔</w:t>
            </w:r>
          </w:p>
        </w:tc>
        <w:tc>
          <w:tcPr>
            <w:tcW w:w="3328" w:type="dxa"/>
          </w:tcPr>
          <w:p w14:paraId="1001A6F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Brak konieczności zmiany dawki.</w:t>
            </w:r>
          </w:p>
        </w:tc>
      </w:tr>
      <w:tr w:rsidR="006252CC" w:rsidRPr="005138D5" w14:paraId="0CD75B14" w14:textId="77777777" w:rsidTr="00F66B3D">
        <w:tc>
          <w:tcPr>
            <w:tcW w:w="2700" w:type="dxa"/>
          </w:tcPr>
          <w:p w14:paraId="0E05943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Indynawir</w:t>
            </w:r>
            <w:proofErr w:type="spellEnd"/>
            <w:r w:rsidRPr="005138D5">
              <w:rPr>
                <w:rFonts w:cs="Times New Roman"/>
                <w:lang w:val="en-GB"/>
              </w:rPr>
              <w:t xml:space="preserve"> (800 mg TID)</w:t>
            </w:r>
          </w:p>
          <w:p w14:paraId="07139B7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r w:rsidRPr="005138D5">
              <w:rPr>
                <w:rFonts w:cs="Times New Roman"/>
                <w:lang w:val="en-GB"/>
              </w:rPr>
              <w:t xml:space="preserve">[inhibitor </w:t>
            </w:r>
            <w:proofErr w:type="spellStart"/>
            <w:r w:rsidRPr="005138D5">
              <w:rPr>
                <w:rFonts w:cs="Times New Roman"/>
                <w:lang w:val="en-GB"/>
              </w:rPr>
              <w:t>i</w:t>
            </w:r>
            <w:proofErr w:type="spellEnd"/>
            <w:r w:rsidRPr="005138D5">
              <w:rPr>
                <w:rFonts w:cs="Times New Roman"/>
                <w:lang w:val="en-GB"/>
              </w:rPr>
              <w:t xml:space="preserve"> </w:t>
            </w:r>
            <w:proofErr w:type="spellStart"/>
            <w:r w:rsidRPr="005138D5">
              <w:rPr>
                <w:rFonts w:cs="Times New Roman"/>
                <w:lang w:val="en-GB"/>
              </w:rPr>
              <w:t>substrat</w:t>
            </w:r>
            <w:proofErr w:type="spellEnd"/>
            <w:r w:rsidRPr="005138D5">
              <w:rPr>
                <w:rFonts w:cs="Times New Roman"/>
                <w:lang w:val="en-GB"/>
              </w:rPr>
              <w:t xml:space="preserve"> CYP3A4]</w:t>
            </w:r>
          </w:p>
        </w:tc>
        <w:tc>
          <w:tcPr>
            <w:tcW w:w="3150" w:type="dxa"/>
          </w:tcPr>
          <w:p w14:paraId="163FA80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Indynawir</w:t>
            </w:r>
            <w:proofErr w:type="spellEnd"/>
            <w:r w:rsidRPr="005138D5">
              <w:rPr>
                <w:rFonts w:cs="Times New Roman"/>
                <w:lang w:val="en-GB"/>
              </w:rPr>
              <w:t xml:space="preserve"> </w:t>
            </w:r>
            <w:proofErr w:type="spellStart"/>
            <w:r w:rsidRPr="005138D5">
              <w:rPr>
                <w:rFonts w:cs="Times New Roman"/>
                <w:lang w:val="en-GB"/>
              </w:rPr>
              <w:t>Cmax</w:t>
            </w:r>
            <w:proofErr w:type="spellEnd"/>
            <w:r w:rsidRPr="005138D5">
              <w:rPr>
                <w:rFonts w:cs="Times New Roman"/>
                <w:lang w:val="en-GB"/>
              </w:rPr>
              <w:t xml:space="preserve"> ↔</w:t>
            </w:r>
          </w:p>
          <w:p w14:paraId="231EDEA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Indynawir</w:t>
            </w:r>
            <w:proofErr w:type="spellEnd"/>
            <w:r w:rsidRPr="005138D5">
              <w:rPr>
                <w:rFonts w:cs="Times New Roman"/>
                <w:lang w:val="en-GB"/>
              </w:rPr>
              <w:t xml:space="preserve"> AUC</w:t>
            </w:r>
            <w:r w:rsidRPr="005138D5">
              <w:rPr>
                <w:rFonts w:cs="Times New Roman"/>
                <w:lang w:val="pl-PL"/>
              </w:rPr>
              <w:sym w:font="Symbol" w:char="F074"/>
            </w:r>
            <w:r w:rsidRPr="005138D5">
              <w:rPr>
                <w:rFonts w:cs="Times New Roman"/>
                <w:lang w:val="en-GB"/>
              </w:rPr>
              <w:t xml:space="preserve"> ↔</w:t>
            </w:r>
          </w:p>
          <w:p w14:paraId="72517886"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en-GB"/>
              </w:rPr>
            </w:pPr>
            <w:proofErr w:type="spellStart"/>
            <w:r w:rsidRPr="005138D5">
              <w:rPr>
                <w:rFonts w:cs="Times New Roman"/>
                <w:lang w:val="en-GB"/>
              </w:rPr>
              <w:t>Worykonazol</w:t>
            </w:r>
            <w:proofErr w:type="spellEnd"/>
            <w:r w:rsidRPr="005138D5">
              <w:rPr>
                <w:rFonts w:cs="Times New Roman"/>
                <w:lang w:val="en-GB"/>
              </w:rPr>
              <w:t xml:space="preserve"> </w:t>
            </w:r>
            <w:proofErr w:type="spellStart"/>
            <w:r w:rsidRPr="005138D5">
              <w:rPr>
                <w:rFonts w:cs="Times New Roman"/>
                <w:lang w:val="en-GB"/>
              </w:rPr>
              <w:t>Cmax</w:t>
            </w:r>
            <w:proofErr w:type="spellEnd"/>
            <w:r w:rsidRPr="005138D5">
              <w:rPr>
                <w:rFonts w:cs="Times New Roman"/>
                <w:lang w:val="en-GB"/>
              </w:rPr>
              <w:t xml:space="preserve"> ↔</w:t>
            </w:r>
          </w:p>
          <w:p w14:paraId="3A89992D"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AUC</w:t>
            </w:r>
            <w:r w:rsidRPr="005138D5">
              <w:rPr>
                <w:rFonts w:cs="Times New Roman"/>
                <w:lang w:val="pl-PL"/>
              </w:rPr>
              <w:sym w:font="Symbol" w:char="F074"/>
            </w:r>
            <w:r w:rsidRPr="005138D5">
              <w:rPr>
                <w:rFonts w:cs="Times New Roman"/>
                <w:lang w:val="pl-PL"/>
              </w:rPr>
              <w:t xml:space="preserve"> ↔</w:t>
            </w:r>
          </w:p>
        </w:tc>
        <w:tc>
          <w:tcPr>
            <w:tcW w:w="3328" w:type="dxa"/>
          </w:tcPr>
          <w:p w14:paraId="4BC62DC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Brak konieczności zmiany dawki.</w:t>
            </w:r>
          </w:p>
        </w:tc>
      </w:tr>
      <w:tr w:rsidR="006252CC" w:rsidRPr="005138D5" w14:paraId="18B1175B" w14:textId="77777777" w:rsidTr="00F66B3D">
        <w:tc>
          <w:tcPr>
            <w:tcW w:w="2700" w:type="dxa"/>
          </w:tcPr>
          <w:p w14:paraId="3CCDC6B0"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Antybiotyki makrolidowe</w:t>
            </w:r>
          </w:p>
          <w:p w14:paraId="3D4C1F29"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2C543DD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Erytromycyna (</w:t>
            </w:r>
            <w:smartTag w:uri="urn:schemas-microsoft-com:office:smarttags" w:element="metricconverter">
              <w:smartTagPr>
                <w:attr w:name="ProductID" w:val="1 g"/>
              </w:smartTagPr>
              <w:r w:rsidRPr="005138D5">
                <w:rPr>
                  <w:rFonts w:cs="Times New Roman"/>
                  <w:lang w:val="pl-PL"/>
                </w:rPr>
                <w:t>1 g</w:t>
              </w:r>
            </w:smartTag>
            <w:r w:rsidRPr="005138D5">
              <w:rPr>
                <w:rFonts w:cs="Times New Roman"/>
                <w:lang w:val="pl-PL"/>
              </w:rPr>
              <w:t xml:space="preserve"> BID)</w:t>
            </w:r>
          </w:p>
          <w:p w14:paraId="36D521B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[inhibitor CYP3A4]</w:t>
            </w:r>
          </w:p>
          <w:p w14:paraId="297A732C"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59A119B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Azytromycyna (500 mg QD)</w:t>
            </w:r>
          </w:p>
          <w:p w14:paraId="1464DDF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tc>
        <w:tc>
          <w:tcPr>
            <w:tcW w:w="3150" w:type="dxa"/>
          </w:tcPr>
          <w:p w14:paraId="7CA548E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6BEB2B9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37F375E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Cmax i AUC</w:t>
            </w:r>
            <w:r w:rsidRPr="005138D5">
              <w:rPr>
                <w:rFonts w:cs="Times New Roman"/>
                <w:lang w:val="pl-PL"/>
              </w:rPr>
              <w:sym w:font="Symbol" w:char="F074"/>
            </w:r>
            <w:r w:rsidRPr="005138D5">
              <w:rPr>
                <w:rFonts w:cs="Times New Roman"/>
                <w:lang w:val="pl-PL"/>
              </w:rPr>
              <w:t xml:space="preserve"> ↔</w:t>
            </w:r>
          </w:p>
          <w:p w14:paraId="11FEEE1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7C01CE82"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6C5C5AB8"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Cmax i AUC</w:t>
            </w:r>
            <w:r w:rsidRPr="005138D5">
              <w:rPr>
                <w:rFonts w:cs="Times New Roman"/>
                <w:lang w:val="pl-PL"/>
              </w:rPr>
              <w:sym w:font="Symbol" w:char="F074"/>
            </w:r>
            <w:r w:rsidRPr="005138D5">
              <w:rPr>
                <w:rFonts w:cs="Times New Roman"/>
                <w:lang w:val="pl-PL"/>
              </w:rPr>
              <w:t xml:space="preserve"> ↔</w:t>
            </w:r>
          </w:p>
          <w:p w14:paraId="2E112AAC"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p>
          <w:p w14:paraId="639EDCA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Wpływ worykonazolu na erytromycynę lub azytromycynę jest nieznany. </w:t>
            </w:r>
          </w:p>
        </w:tc>
        <w:tc>
          <w:tcPr>
            <w:tcW w:w="3328" w:type="dxa"/>
          </w:tcPr>
          <w:p w14:paraId="6082E5A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Brak konieczności zmiany dawki.</w:t>
            </w:r>
          </w:p>
        </w:tc>
      </w:tr>
      <w:tr w:rsidR="006252CC" w:rsidRPr="005138D5" w14:paraId="2433E9FE" w14:textId="77777777" w:rsidTr="00F66B3D">
        <w:tc>
          <w:tcPr>
            <w:tcW w:w="2700" w:type="dxa"/>
          </w:tcPr>
          <w:p w14:paraId="5CD9AFC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Kwas mykofenolowy (dawka pojedyncza </w:t>
            </w:r>
            <w:smartTag w:uri="urn:schemas-microsoft-com:office:smarttags" w:element="metricconverter">
              <w:smartTagPr>
                <w:attr w:name="ProductID" w:val="1 g"/>
              </w:smartTagPr>
              <w:r w:rsidRPr="005138D5">
                <w:rPr>
                  <w:rFonts w:cs="Times New Roman"/>
                  <w:lang w:val="pl-PL"/>
                </w:rPr>
                <w:t>1 g</w:t>
              </w:r>
            </w:smartTag>
            <w:r w:rsidRPr="005138D5">
              <w:rPr>
                <w:rFonts w:cs="Times New Roman"/>
                <w:lang w:val="pl-PL"/>
              </w:rPr>
              <w:t xml:space="preserve">) </w:t>
            </w:r>
          </w:p>
          <w:p w14:paraId="263A896B"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UDP-glukuronylotransferazy]</w:t>
            </w:r>
          </w:p>
        </w:tc>
        <w:tc>
          <w:tcPr>
            <w:tcW w:w="3150" w:type="dxa"/>
          </w:tcPr>
          <w:p w14:paraId="2EB692F5"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Kwas mykofenolowy Cmax ↔</w:t>
            </w:r>
          </w:p>
          <w:p w14:paraId="2D30869D"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Kwas mykofenolowy AUCt ↔</w:t>
            </w:r>
          </w:p>
        </w:tc>
        <w:tc>
          <w:tcPr>
            <w:tcW w:w="3328" w:type="dxa"/>
          </w:tcPr>
          <w:p w14:paraId="39A9050F"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Brak konieczności zmiany dawki.</w:t>
            </w:r>
          </w:p>
        </w:tc>
      </w:tr>
      <w:tr w:rsidR="006252CC" w:rsidRPr="005138D5" w14:paraId="49462277" w14:textId="77777777" w:rsidTr="00F66B3D">
        <w:tc>
          <w:tcPr>
            <w:tcW w:w="2700" w:type="dxa"/>
          </w:tcPr>
          <w:p w14:paraId="76A46B12" w14:textId="77777777" w:rsidR="00277FD8" w:rsidRDefault="00277FD8" w:rsidP="00F66B3D">
            <w:pPr>
              <w:pStyle w:val="TableText"/>
              <w:tabs>
                <w:tab w:val="left" w:pos="360"/>
              </w:tabs>
              <w:overflowPunct w:val="0"/>
              <w:autoSpaceDE w:val="0"/>
              <w:autoSpaceDN w:val="0"/>
              <w:adjustRightInd w:val="0"/>
              <w:textAlignment w:val="baseline"/>
              <w:rPr>
                <w:rFonts w:cs="Times New Roman"/>
                <w:lang w:val="pl-PL"/>
              </w:rPr>
            </w:pPr>
            <w:r>
              <w:rPr>
                <w:rFonts w:cs="Times New Roman"/>
                <w:lang w:val="pl-PL"/>
              </w:rPr>
              <w:t>Kortykosteriody</w:t>
            </w:r>
          </w:p>
          <w:p w14:paraId="1CAC7B6A"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Prednizolon (pojedyncza dawka 60 mg) </w:t>
            </w:r>
          </w:p>
          <w:p w14:paraId="20075E50"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[substrat CYP3A4]</w:t>
            </w:r>
          </w:p>
        </w:tc>
        <w:tc>
          <w:tcPr>
            <w:tcW w:w="3150" w:type="dxa"/>
          </w:tcPr>
          <w:p w14:paraId="55B9DD8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 xml:space="preserve">Prednizolon Cmax </w:t>
            </w:r>
            <w:r w:rsidRPr="005138D5">
              <w:rPr>
                <w:rFonts w:cs="Times New Roman"/>
                <w:lang w:val="pl-PL"/>
              </w:rPr>
              <w:sym w:font="Symbol" w:char="F0AD"/>
            </w:r>
            <w:r w:rsidRPr="005138D5">
              <w:rPr>
                <w:rFonts w:cs="Times New Roman"/>
                <w:lang w:val="pl-PL"/>
              </w:rPr>
              <w:t xml:space="preserve"> 11%</w:t>
            </w:r>
          </w:p>
          <w:p w14:paraId="567391C7"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Prednizolon AUC</w:t>
            </w:r>
            <w:r w:rsidR="00773658" w:rsidRPr="00CD5831">
              <w:rPr>
                <w:vertAlign w:val="subscript"/>
                <w:lang w:val="sv-SE"/>
              </w:rPr>
              <w:t>0-</w:t>
            </w:r>
            <w:r w:rsidR="00773658" w:rsidRPr="00CD5831">
              <w:rPr>
                <w:vertAlign w:val="subscript"/>
                <w:lang w:val="sv-SE"/>
              </w:rPr>
              <w:sym w:font="Symbol" w:char="F0A5"/>
            </w:r>
            <w:r w:rsidRPr="005138D5">
              <w:rPr>
                <w:rFonts w:cs="Times New Roman"/>
                <w:lang w:val="pl-PL"/>
              </w:rPr>
              <w:sym w:font="Symbol" w:char="F0AD"/>
            </w:r>
            <w:r w:rsidRPr="005138D5">
              <w:rPr>
                <w:rFonts w:cs="Times New Roman"/>
                <w:lang w:val="pl-PL"/>
              </w:rPr>
              <w:t xml:space="preserve"> 34%</w:t>
            </w:r>
          </w:p>
        </w:tc>
        <w:tc>
          <w:tcPr>
            <w:tcW w:w="3328" w:type="dxa"/>
          </w:tcPr>
          <w:p w14:paraId="2AAC590F" w14:textId="77777777" w:rsidR="00277FD8"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Brak konieczności zmiany dawki.</w:t>
            </w:r>
          </w:p>
          <w:p w14:paraId="30E15F27"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Pacjentów długotrwale</w:t>
            </w:r>
          </w:p>
          <w:p w14:paraId="510C38AE"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leczonych worykonazolem</w:t>
            </w:r>
          </w:p>
          <w:p w14:paraId="5CE7390F"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i kortykosteroidami (w tym</w:t>
            </w:r>
          </w:p>
          <w:p w14:paraId="2D84EA17"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kortykosteroidami wziewnymi,</w:t>
            </w:r>
          </w:p>
          <w:p w14:paraId="5F152E93"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np. budezonidem,</w:t>
            </w:r>
          </w:p>
          <w:p w14:paraId="4AA89C69"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i kortykosteroidami</w:t>
            </w:r>
          </w:p>
          <w:p w14:paraId="41854E46"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donosowymi) należy uważnie</w:t>
            </w:r>
          </w:p>
          <w:p w14:paraId="32189D03"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monitorować pod kątem</w:t>
            </w:r>
          </w:p>
          <w:p w14:paraId="754C3DCD"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zaburzeń czynności kory</w:t>
            </w:r>
          </w:p>
          <w:p w14:paraId="08EBC6C8"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nadnerczy zarówno podczas</w:t>
            </w:r>
          </w:p>
          <w:p w14:paraId="583589F2"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leczenia, jak i po odstawieniu</w:t>
            </w:r>
          </w:p>
          <w:p w14:paraId="18F9F7F6" w14:textId="77777777" w:rsidR="00277FD8" w:rsidRPr="00277FD8"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worykonazolu (patrz</w:t>
            </w:r>
          </w:p>
          <w:p w14:paraId="48AA5330" w14:textId="77777777" w:rsidR="00277FD8" w:rsidRPr="005138D5" w:rsidRDefault="00277FD8" w:rsidP="00277FD8">
            <w:pPr>
              <w:pStyle w:val="TableText"/>
              <w:tabs>
                <w:tab w:val="left" w:pos="360"/>
              </w:tabs>
              <w:overflowPunct w:val="0"/>
              <w:autoSpaceDE w:val="0"/>
              <w:autoSpaceDN w:val="0"/>
              <w:adjustRightInd w:val="0"/>
              <w:textAlignment w:val="baseline"/>
              <w:rPr>
                <w:rFonts w:cs="Times New Roman"/>
                <w:lang w:val="pl-PL"/>
              </w:rPr>
            </w:pPr>
            <w:r w:rsidRPr="00277FD8">
              <w:rPr>
                <w:rFonts w:cs="Times New Roman"/>
                <w:lang w:val="pl-PL"/>
              </w:rPr>
              <w:t>punkt 4.4).</w:t>
            </w:r>
          </w:p>
        </w:tc>
      </w:tr>
      <w:tr w:rsidR="006252CC" w:rsidRPr="005138D5" w14:paraId="473D7F7A" w14:textId="77777777" w:rsidTr="00F66B3D">
        <w:tc>
          <w:tcPr>
            <w:tcW w:w="2700" w:type="dxa"/>
          </w:tcPr>
          <w:p w14:paraId="22A51AC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Ranitydyna (150 mg BID)</w:t>
            </w:r>
          </w:p>
          <w:p w14:paraId="33002AB1"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[zwiększa pH żołądka]</w:t>
            </w:r>
          </w:p>
        </w:tc>
        <w:tc>
          <w:tcPr>
            <w:tcW w:w="3150" w:type="dxa"/>
          </w:tcPr>
          <w:p w14:paraId="28729434"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Worykonazol Cmax and AUC</w:t>
            </w:r>
            <w:r w:rsidRPr="005138D5">
              <w:rPr>
                <w:rFonts w:cs="Times New Roman"/>
                <w:lang w:val="pl-PL"/>
              </w:rPr>
              <w:sym w:font="Symbol" w:char="F074"/>
            </w:r>
            <w:r w:rsidRPr="005138D5">
              <w:rPr>
                <w:rFonts w:cs="Times New Roman"/>
                <w:lang w:val="pl-PL"/>
              </w:rPr>
              <w:t xml:space="preserve"> ↔</w:t>
            </w:r>
          </w:p>
        </w:tc>
        <w:tc>
          <w:tcPr>
            <w:tcW w:w="3328" w:type="dxa"/>
          </w:tcPr>
          <w:p w14:paraId="4EAC68CE" w14:textId="77777777" w:rsidR="006252CC" w:rsidRPr="005138D5" w:rsidRDefault="006252CC" w:rsidP="00F66B3D">
            <w:pPr>
              <w:pStyle w:val="TableText"/>
              <w:tabs>
                <w:tab w:val="left" w:pos="360"/>
              </w:tabs>
              <w:overflowPunct w:val="0"/>
              <w:autoSpaceDE w:val="0"/>
              <w:autoSpaceDN w:val="0"/>
              <w:adjustRightInd w:val="0"/>
              <w:textAlignment w:val="baseline"/>
              <w:rPr>
                <w:rFonts w:cs="Times New Roman"/>
                <w:lang w:val="pl-PL"/>
              </w:rPr>
            </w:pPr>
            <w:r w:rsidRPr="005138D5">
              <w:rPr>
                <w:rFonts w:cs="Times New Roman"/>
                <w:lang w:val="pl-PL"/>
              </w:rPr>
              <w:t>Brak konieczności zmiany dawki.</w:t>
            </w:r>
          </w:p>
        </w:tc>
      </w:tr>
      <w:tr w:rsidR="004E5AF3" w:rsidRPr="005138D5" w14:paraId="4583327C" w14:textId="77777777" w:rsidTr="00F66B3D">
        <w:tc>
          <w:tcPr>
            <w:tcW w:w="2700" w:type="dxa"/>
          </w:tcPr>
          <w:p w14:paraId="54943AB9" w14:textId="147CD3A6" w:rsidR="004E5AF3" w:rsidRPr="005138D5" w:rsidRDefault="004E5AF3" w:rsidP="00F66B3D">
            <w:pPr>
              <w:pStyle w:val="TableText"/>
              <w:tabs>
                <w:tab w:val="left" w:pos="360"/>
              </w:tabs>
              <w:overflowPunct w:val="0"/>
              <w:autoSpaceDE w:val="0"/>
              <w:autoSpaceDN w:val="0"/>
              <w:adjustRightInd w:val="0"/>
              <w:textAlignment w:val="baseline"/>
              <w:rPr>
                <w:rFonts w:cs="Times New Roman"/>
                <w:lang w:val="pl-PL"/>
              </w:rPr>
            </w:pPr>
            <w:r w:rsidRPr="004E5AF3">
              <w:rPr>
                <w:rFonts w:cs="Times New Roman"/>
                <w:lang w:val="pl-PL"/>
              </w:rPr>
              <w:t>Flukloksacylina [induktor CYP450]</w:t>
            </w:r>
          </w:p>
        </w:tc>
        <w:tc>
          <w:tcPr>
            <w:tcW w:w="3150" w:type="dxa"/>
          </w:tcPr>
          <w:p w14:paraId="559DA858" w14:textId="736742FC" w:rsidR="004E5AF3" w:rsidRPr="005138D5" w:rsidRDefault="004E5AF3" w:rsidP="00F66B3D">
            <w:pPr>
              <w:pStyle w:val="TableText"/>
              <w:tabs>
                <w:tab w:val="left" w:pos="360"/>
              </w:tabs>
              <w:overflowPunct w:val="0"/>
              <w:autoSpaceDE w:val="0"/>
              <w:autoSpaceDN w:val="0"/>
              <w:adjustRightInd w:val="0"/>
              <w:textAlignment w:val="baseline"/>
              <w:rPr>
                <w:rFonts w:cs="Times New Roman"/>
                <w:lang w:val="pl-PL"/>
              </w:rPr>
            </w:pPr>
            <w:r w:rsidRPr="004E5AF3">
              <w:rPr>
                <w:rFonts w:cs="Times New Roman"/>
                <w:lang w:val="pl-PL"/>
              </w:rPr>
              <w:t>Zgłaszano przypadki znacznego zmniejszenia stężenia worykonazolu w osoczu.</w:t>
            </w:r>
          </w:p>
        </w:tc>
        <w:tc>
          <w:tcPr>
            <w:tcW w:w="3328" w:type="dxa"/>
          </w:tcPr>
          <w:p w14:paraId="1C500958" w14:textId="5D29E721" w:rsidR="004E5AF3" w:rsidRPr="005138D5" w:rsidRDefault="004E5AF3" w:rsidP="00F66B3D">
            <w:pPr>
              <w:pStyle w:val="TableText"/>
              <w:tabs>
                <w:tab w:val="left" w:pos="360"/>
              </w:tabs>
              <w:overflowPunct w:val="0"/>
              <w:autoSpaceDE w:val="0"/>
              <w:autoSpaceDN w:val="0"/>
              <w:adjustRightInd w:val="0"/>
              <w:textAlignment w:val="baseline"/>
              <w:rPr>
                <w:rFonts w:cs="Times New Roman"/>
                <w:lang w:val="pl-PL"/>
              </w:rPr>
            </w:pPr>
            <w:r w:rsidRPr="004E5AF3">
              <w:rPr>
                <w:rFonts w:cs="Times New Roman"/>
                <w:lang w:val="pl-PL"/>
              </w:rPr>
              <w:t>Jeżeli nie można uniknąć jednoczesnego stosowania worykonazolu z flukloksacyliną, należy obserwować, czy worykonazol nie utracił skuteczności u pacjenta (np. monitorując terapeutyczne działanie leku); konieczne może być zwiększenie dawki worykonazolu.</w:t>
            </w:r>
          </w:p>
        </w:tc>
      </w:tr>
    </w:tbl>
    <w:p w14:paraId="1D504097" w14:textId="77777777" w:rsidR="00AB1C79" w:rsidRPr="005138D5" w:rsidRDefault="00AB1C79" w:rsidP="008E5B4A">
      <w:pPr>
        <w:widowControl/>
        <w:rPr>
          <w:b/>
          <w:sz w:val="22"/>
        </w:rPr>
      </w:pPr>
    </w:p>
    <w:p w14:paraId="2ACAAF75" w14:textId="77777777" w:rsidR="00575F5E" w:rsidRPr="005138D5" w:rsidRDefault="00575F5E" w:rsidP="00277FE6">
      <w:pPr>
        <w:rPr>
          <w:b/>
          <w:sz w:val="22"/>
        </w:rPr>
      </w:pPr>
      <w:r w:rsidRPr="005138D5">
        <w:rPr>
          <w:b/>
          <w:sz w:val="22"/>
        </w:rPr>
        <w:t>4.6</w:t>
      </w:r>
      <w:r w:rsidRPr="005138D5">
        <w:rPr>
          <w:b/>
          <w:sz w:val="22"/>
        </w:rPr>
        <w:tab/>
      </w:r>
      <w:r w:rsidR="00B54765" w:rsidRPr="005138D5">
        <w:rPr>
          <w:b/>
          <w:sz w:val="22"/>
        </w:rPr>
        <w:t>Wpływ na płodność, c</w:t>
      </w:r>
      <w:r w:rsidRPr="005138D5">
        <w:rPr>
          <w:b/>
          <w:sz w:val="22"/>
        </w:rPr>
        <w:t>iąż</w:t>
      </w:r>
      <w:r w:rsidR="00B54765" w:rsidRPr="005138D5">
        <w:rPr>
          <w:b/>
          <w:sz w:val="22"/>
        </w:rPr>
        <w:t>ę</w:t>
      </w:r>
      <w:r w:rsidRPr="005138D5">
        <w:rPr>
          <w:b/>
          <w:sz w:val="22"/>
        </w:rPr>
        <w:t xml:space="preserve"> i laktacj</w:t>
      </w:r>
      <w:r w:rsidR="00B54765" w:rsidRPr="005138D5">
        <w:rPr>
          <w:b/>
          <w:sz w:val="22"/>
        </w:rPr>
        <w:t>ę</w:t>
      </w:r>
    </w:p>
    <w:p w14:paraId="3CB9E3BC" w14:textId="77777777" w:rsidR="00575F5E" w:rsidRPr="005138D5" w:rsidRDefault="00575F5E" w:rsidP="00277FE6">
      <w:pPr>
        <w:rPr>
          <w:sz w:val="22"/>
        </w:rPr>
      </w:pPr>
    </w:p>
    <w:p w14:paraId="42628108" w14:textId="77777777" w:rsidR="00575F5E" w:rsidRPr="005138D5" w:rsidRDefault="00575F5E" w:rsidP="00277FE6">
      <w:pPr>
        <w:rPr>
          <w:sz w:val="22"/>
          <w:u w:val="single"/>
        </w:rPr>
      </w:pPr>
      <w:r w:rsidRPr="005138D5">
        <w:rPr>
          <w:sz w:val="22"/>
          <w:u w:val="single"/>
        </w:rPr>
        <w:t>Ciąża</w:t>
      </w:r>
    </w:p>
    <w:p w14:paraId="57FCF2A9" w14:textId="77777777" w:rsidR="00D15169" w:rsidRPr="005138D5" w:rsidRDefault="00575F5E" w:rsidP="00277FE6">
      <w:pPr>
        <w:rPr>
          <w:sz w:val="22"/>
        </w:rPr>
      </w:pPr>
      <w:r w:rsidRPr="005138D5">
        <w:rPr>
          <w:sz w:val="22"/>
        </w:rPr>
        <w:t xml:space="preserve">Brak wystarczających danych dotyczących stosowania </w:t>
      </w:r>
      <w:r w:rsidR="006958AD" w:rsidRPr="005138D5">
        <w:rPr>
          <w:sz w:val="22"/>
        </w:rPr>
        <w:t xml:space="preserve">produktu leczniczego </w:t>
      </w:r>
      <w:r w:rsidR="0004770E" w:rsidRPr="005138D5">
        <w:rPr>
          <w:bCs/>
          <w:sz w:val="22"/>
        </w:rPr>
        <w:t>worykonazolu</w:t>
      </w:r>
      <w:r w:rsidR="0004770E" w:rsidRPr="005138D5" w:rsidDel="00A02747">
        <w:rPr>
          <w:sz w:val="22"/>
        </w:rPr>
        <w:t xml:space="preserve"> </w:t>
      </w:r>
    </w:p>
    <w:p w14:paraId="1DF626AC" w14:textId="77777777" w:rsidR="00575F5E" w:rsidRPr="005138D5" w:rsidRDefault="00575F5E" w:rsidP="00277FE6">
      <w:pPr>
        <w:rPr>
          <w:sz w:val="22"/>
        </w:rPr>
      </w:pPr>
      <w:r w:rsidRPr="005138D5">
        <w:rPr>
          <w:sz w:val="22"/>
        </w:rPr>
        <w:t>u kobiet w ciąży.</w:t>
      </w:r>
    </w:p>
    <w:p w14:paraId="07364FD5" w14:textId="77777777" w:rsidR="00575F5E" w:rsidRPr="005138D5" w:rsidRDefault="00575F5E" w:rsidP="00277FE6">
      <w:pPr>
        <w:rPr>
          <w:sz w:val="22"/>
        </w:rPr>
      </w:pPr>
    </w:p>
    <w:p w14:paraId="49A14C76" w14:textId="77777777" w:rsidR="00D15169" w:rsidRPr="005138D5" w:rsidRDefault="00575F5E" w:rsidP="00277FE6">
      <w:pPr>
        <w:rPr>
          <w:sz w:val="22"/>
        </w:rPr>
      </w:pPr>
      <w:r w:rsidRPr="005138D5">
        <w:rPr>
          <w:sz w:val="22"/>
        </w:rPr>
        <w:t xml:space="preserve">Badania na zwierzętach wykazały toksyczne działanie na reprodukcję (patrz punkt 5.3). </w:t>
      </w:r>
    </w:p>
    <w:p w14:paraId="4BFF198B" w14:textId="77777777" w:rsidR="00575F5E" w:rsidRPr="005138D5" w:rsidRDefault="00575F5E" w:rsidP="00277FE6">
      <w:pPr>
        <w:rPr>
          <w:sz w:val="22"/>
        </w:rPr>
      </w:pPr>
      <w:r w:rsidRPr="005138D5">
        <w:rPr>
          <w:sz w:val="22"/>
        </w:rPr>
        <w:t>Potencjalne ryzyko stosowania leku u ludzi nie jest ustalone.</w:t>
      </w:r>
    </w:p>
    <w:p w14:paraId="1483B8B3" w14:textId="77777777" w:rsidR="00575F5E" w:rsidRPr="005138D5" w:rsidRDefault="00575F5E" w:rsidP="00277FE6">
      <w:pPr>
        <w:rPr>
          <w:sz w:val="22"/>
        </w:rPr>
      </w:pPr>
    </w:p>
    <w:p w14:paraId="1C515E48" w14:textId="77777777" w:rsidR="00575F5E" w:rsidRPr="005138D5" w:rsidRDefault="006958AD" w:rsidP="00277FE6">
      <w:pPr>
        <w:rPr>
          <w:sz w:val="22"/>
        </w:rPr>
      </w:pPr>
      <w:r w:rsidRPr="005138D5">
        <w:rPr>
          <w:sz w:val="22"/>
        </w:rPr>
        <w:t xml:space="preserve">Produktu leczniczego </w:t>
      </w:r>
      <w:r w:rsidR="00A02747" w:rsidRPr="005138D5">
        <w:rPr>
          <w:sz w:val="22"/>
        </w:rPr>
        <w:t xml:space="preserve">Voriconazole Accord </w:t>
      </w:r>
      <w:r w:rsidR="00575F5E" w:rsidRPr="005138D5">
        <w:rPr>
          <w:sz w:val="22"/>
        </w:rPr>
        <w:t>nie wolno stosować podczas ciąży, chyba że korzyść dla matki wyraźnie przeważa potencjalne ryzyko dla płodu.</w:t>
      </w:r>
    </w:p>
    <w:p w14:paraId="789AACEC" w14:textId="77777777" w:rsidR="00575F5E" w:rsidRPr="005138D5" w:rsidRDefault="00575F5E" w:rsidP="00277FE6">
      <w:pPr>
        <w:rPr>
          <w:sz w:val="22"/>
        </w:rPr>
      </w:pPr>
    </w:p>
    <w:p w14:paraId="60E8BF7C" w14:textId="77777777" w:rsidR="00575F5E" w:rsidRPr="005138D5" w:rsidRDefault="00575F5E" w:rsidP="00277FE6">
      <w:pPr>
        <w:rPr>
          <w:sz w:val="22"/>
          <w:u w:val="single"/>
        </w:rPr>
      </w:pPr>
      <w:r w:rsidRPr="005138D5">
        <w:rPr>
          <w:sz w:val="22"/>
          <w:u w:val="single"/>
        </w:rPr>
        <w:t>Kobiety w wieku rozrodczym</w:t>
      </w:r>
    </w:p>
    <w:p w14:paraId="5C06EBA9" w14:textId="77777777" w:rsidR="00575F5E" w:rsidRPr="005138D5" w:rsidRDefault="00575F5E" w:rsidP="00277FE6">
      <w:pPr>
        <w:rPr>
          <w:sz w:val="22"/>
        </w:rPr>
      </w:pPr>
      <w:r w:rsidRPr="005138D5">
        <w:rPr>
          <w:sz w:val="22"/>
        </w:rPr>
        <w:t xml:space="preserve">Kobiety w wieku rozrodczym muszą zawsze stosować skuteczną antykoncepcję podczas leczenia </w:t>
      </w:r>
      <w:r w:rsidR="006958AD" w:rsidRPr="005138D5">
        <w:rPr>
          <w:sz w:val="22"/>
        </w:rPr>
        <w:t xml:space="preserve">produktem </w:t>
      </w:r>
      <w:r w:rsidR="000F6BF1" w:rsidRPr="005138D5">
        <w:rPr>
          <w:sz w:val="22"/>
        </w:rPr>
        <w:t>Voriconazole Accord</w:t>
      </w:r>
      <w:r w:rsidRPr="005138D5">
        <w:rPr>
          <w:sz w:val="22"/>
        </w:rPr>
        <w:t>.</w:t>
      </w:r>
    </w:p>
    <w:p w14:paraId="108B96A7" w14:textId="77777777" w:rsidR="00575F5E" w:rsidRPr="005138D5" w:rsidRDefault="00575F5E" w:rsidP="00277FE6">
      <w:pPr>
        <w:rPr>
          <w:sz w:val="22"/>
        </w:rPr>
      </w:pPr>
    </w:p>
    <w:p w14:paraId="561F397E" w14:textId="77777777" w:rsidR="00575F5E" w:rsidRPr="005138D5" w:rsidRDefault="00575F5E" w:rsidP="00277FE6">
      <w:pPr>
        <w:rPr>
          <w:sz w:val="22"/>
          <w:u w:val="single"/>
        </w:rPr>
      </w:pPr>
      <w:r w:rsidRPr="005138D5">
        <w:rPr>
          <w:sz w:val="22"/>
          <w:u w:val="single"/>
        </w:rPr>
        <w:t>Okres karmienia piersią</w:t>
      </w:r>
    </w:p>
    <w:p w14:paraId="06ED72CA" w14:textId="77777777" w:rsidR="00D15169" w:rsidRPr="005138D5" w:rsidRDefault="00575F5E" w:rsidP="00A41668">
      <w:pPr>
        <w:widowControl/>
        <w:rPr>
          <w:bCs/>
          <w:sz w:val="22"/>
        </w:rPr>
      </w:pPr>
      <w:r w:rsidRPr="005138D5">
        <w:rPr>
          <w:bCs/>
          <w:sz w:val="22"/>
        </w:rPr>
        <w:t xml:space="preserve">Nie badano wydzielania worykonazolu do mleka matki. Karmienie piersią musi być przerwane </w:t>
      </w:r>
    </w:p>
    <w:p w14:paraId="5E5964F4" w14:textId="77777777" w:rsidR="00575F5E" w:rsidRPr="005138D5" w:rsidRDefault="00575F5E" w:rsidP="00A41668">
      <w:pPr>
        <w:widowControl/>
        <w:rPr>
          <w:bCs/>
          <w:sz w:val="22"/>
        </w:rPr>
      </w:pPr>
      <w:r w:rsidRPr="005138D5">
        <w:rPr>
          <w:bCs/>
          <w:sz w:val="22"/>
        </w:rPr>
        <w:t xml:space="preserve">w chwili rozpoczęcia terapii </w:t>
      </w:r>
      <w:r w:rsidR="004A689C" w:rsidRPr="005138D5">
        <w:rPr>
          <w:bCs/>
          <w:sz w:val="22"/>
        </w:rPr>
        <w:t xml:space="preserve">produktem leczniczym </w:t>
      </w:r>
      <w:r w:rsidR="008B1F4D" w:rsidRPr="005138D5">
        <w:rPr>
          <w:bCs/>
          <w:sz w:val="22"/>
        </w:rPr>
        <w:t>Voriconazole Accord</w:t>
      </w:r>
      <w:r w:rsidRPr="005138D5">
        <w:rPr>
          <w:bCs/>
          <w:sz w:val="22"/>
        </w:rPr>
        <w:t>.</w:t>
      </w:r>
    </w:p>
    <w:p w14:paraId="2682DFF9" w14:textId="77777777" w:rsidR="00575F5E" w:rsidRPr="005138D5" w:rsidRDefault="00575F5E" w:rsidP="00A41668">
      <w:pPr>
        <w:widowControl/>
        <w:rPr>
          <w:bCs/>
          <w:sz w:val="22"/>
        </w:rPr>
      </w:pPr>
    </w:p>
    <w:p w14:paraId="05D72C8D" w14:textId="77777777" w:rsidR="00FB045A" w:rsidRPr="005138D5" w:rsidRDefault="00726266" w:rsidP="00A41668">
      <w:pPr>
        <w:pStyle w:val="Tekstpodstawowywcity"/>
        <w:widowControl/>
        <w:ind w:left="709" w:hanging="709"/>
        <w:jc w:val="left"/>
        <w:rPr>
          <w:rFonts w:ascii="Times New Roman" w:hAnsi="Times New Roman"/>
          <w:b w:val="0"/>
          <w:sz w:val="22"/>
          <w:u w:val="single"/>
        </w:rPr>
      </w:pPr>
      <w:r w:rsidRPr="005138D5">
        <w:rPr>
          <w:rFonts w:ascii="Times New Roman" w:hAnsi="Times New Roman"/>
          <w:b w:val="0"/>
          <w:sz w:val="22"/>
          <w:u w:val="single"/>
        </w:rPr>
        <w:t>Płodność</w:t>
      </w:r>
    </w:p>
    <w:p w14:paraId="2AD4CF93" w14:textId="77777777" w:rsidR="00726266" w:rsidRPr="005138D5" w:rsidRDefault="00BC53F8" w:rsidP="00726266">
      <w:pPr>
        <w:pStyle w:val="Tekstpodstawowywcity"/>
        <w:widowControl/>
        <w:ind w:firstLine="0"/>
        <w:jc w:val="left"/>
        <w:rPr>
          <w:rFonts w:ascii="Times New Roman" w:hAnsi="Times New Roman"/>
          <w:b w:val="0"/>
          <w:sz w:val="22"/>
        </w:rPr>
      </w:pPr>
      <w:r w:rsidRPr="005138D5">
        <w:rPr>
          <w:rFonts w:ascii="Times New Roman" w:hAnsi="Times New Roman"/>
          <w:b w:val="0"/>
          <w:sz w:val="22"/>
        </w:rPr>
        <w:t>W b</w:t>
      </w:r>
      <w:r w:rsidR="00726266" w:rsidRPr="005138D5">
        <w:rPr>
          <w:rFonts w:ascii="Times New Roman" w:hAnsi="Times New Roman"/>
          <w:b w:val="0"/>
          <w:sz w:val="22"/>
        </w:rPr>
        <w:t>adania</w:t>
      </w:r>
      <w:r w:rsidRPr="005138D5">
        <w:rPr>
          <w:rFonts w:ascii="Times New Roman" w:hAnsi="Times New Roman"/>
          <w:b w:val="0"/>
          <w:sz w:val="22"/>
        </w:rPr>
        <w:t>ch</w:t>
      </w:r>
      <w:r w:rsidR="00726266" w:rsidRPr="005138D5">
        <w:rPr>
          <w:rFonts w:ascii="Times New Roman" w:hAnsi="Times New Roman"/>
          <w:b w:val="0"/>
          <w:sz w:val="22"/>
        </w:rPr>
        <w:t xml:space="preserve"> na zwierzętach</w:t>
      </w:r>
      <w:r w:rsidRPr="005138D5">
        <w:rPr>
          <w:rFonts w:ascii="Times New Roman" w:hAnsi="Times New Roman"/>
          <w:b w:val="0"/>
          <w:sz w:val="22"/>
        </w:rPr>
        <w:t xml:space="preserve">, </w:t>
      </w:r>
      <w:r w:rsidR="00726266" w:rsidRPr="005138D5">
        <w:rPr>
          <w:rFonts w:ascii="Times New Roman" w:hAnsi="Times New Roman"/>
          <w:b w:val="0"/>
          <w:sz w:val="22"/>
        </w:rPr>
        <w:t>przeprowadzon</w:t>
      </w:r>
      <w:r w:rsidR="00C3762D" w:rsidRPr="005138D5">
        <w:rPr>
          <w:rFonts w:ascii="Times New Roman" w:hAnsi="Times New Roman"/>
          <w:b w:val="0"/>
          <w:sz w:val="22"/>
        </w:rPr>
        <w:t>ych u samców i samic szczurów</w:t>
      </w:r>
      <w:r w:rsidR="00726266" w:rsidRPr="005138D5">
        <w:rPr>
          <w:rFonts w:ascii="Times New Roman" w:hAnsi="Times New Roman"/>
          <w:b w:val="0"/>
          <w:sz w:val="22"/>
        </w:rPr>
        <w:t xml:space="preserve"> nie </w:t>
      </w:r>
      <w:r w:rsidR="009C5D85" w:rsidRPr="005138D5">
        <w:rPr>
          <w:rFonts w:ascii="Times New Roman" w:hAnsi="Times New Roman"/>
          <w:b w:val="0"/>
          <w:sz w:val="22"/>
        </w:rPr>
        <w:t xml:space="preserve">wykazano  </w:t>
      </w:r>
      <w:r w:rsidR="00726266" w:rsidRPr="005138D5">
        <w:rPr>
          <w:rFonts w:ascii="Times New Roman" w:hAnsi="Times New Roman"/>
          <w:b w:val="0"/>
          <w:sz w:val="22"/>
        </w:rPr>
        <w:t xml:space="preserve">szkodliwego wpływu na </w:t>
      </w:r>
      <w:r w:rsidR="001A34EC" w:rsidRPr="005138D5">
        <w:rPr>
          <w:rFonts w:ascii="Times New Roman" w:hAnsi="Times New Roman"/>
          <w:b w:val="0"/>
          <w:sz w:val="22"/>
        </w:rPr>
        <w:t>płodność</w:t>
      </w:r>
      <w:r w:rsidR="00726266" w:rsidRPr="005138D5">
        <w:rPr>
          <w:rFonts w:ascii="Times New Roman" w:hAnsi="Times New Roman"/>
          <w:b w:val="0"/>
          <w:sz w:val="22"/>
        </w:rPr>
        <w:t xml:space="preserve"> (patrz punkt 5.3).</w:t>
      </w:r>
    </w:p>
    <w:p w14:paraId="412C16A4" w14:textId="77777777" w:rsidR="00BB05CE" w:rsidRPr="005138D5" w:rsidRDefault="00BB05CE" w:rsidP="00277FE6">
      <w:pPr>
        <w:pStyle w:val="Tekstpodstawowywcity"/>
        <w:widowControl/>
        <w:ind w:firstLine="0"/>
        <w:jc w:val="left"/>
        <w:rPr>
          <w:rFonts w:ascii="Times New Roman" w:hAnsi="Times New Roman"/>
          <w:sz w:val="22"/>
        </w:rPr>
      </w:pPr>
    </w:p>
    <w:p w14:paraId="536D5C0E" w14:textId="77777777" w:rsidR="00575F5E" w:rsidRDefault="00575F5E" w:rsidP="00A41668">
      <w:pPr>
        <w:pStyle w:val="Tekstpodstawowywcity"/>
        <w:widowControl/>
        <w:ind w:left="709" w:hanging="709"/>
        <w:jc w:val="left"/>
        <w:rPr>
          <w:rFonts w:ascii="Times New Roman" w:hAnsi="Times New Roman"/>
          <w:sz w:val="22"/>
        </w:rPr>
      </w:pPr>
      <w:r w:rsidRPr="005138D5">
        <w:rPr>
          <w:rFonts w:ascii="Times New Roman" w:hAnsi="Times New Roman"/>
          <w:sz w:val="22"/>
        </w:rPr>
        <w:t>4.7</w:t>
      </w:r>
      <w:r w:rsidRPr="005138D5">
        <w:rPr>
          <w:rFonts w:ascii="Times New Roman" w:hAnsi="Times New Roman"/>
          <w:sz w:val="22"/>
        </w:rPr>
        <w:tab/>
        <w:t xml:space="preserve">Wpływ na zdolność prowadzenia pojazdów </w:t>
      </w:r>
      <w:r w:rsidR="006558A6" w:rsidRPr="005138D5">
        <w:rPr>
          <w:rFonts w:ascii="Times New Roman" w:hAnsi="Times New Roman"/>
          <w:sz w:val="22"/>
        </w:rPr>
        <w:t xml:space="preserve">i </w:t>
      </w:r>
      <w:r w:rsidRPr="005138D5">
        <w:rPr>
          <w:rFonts w:ascii="Times New Roman" w:hAnsi="Times New Roman"/>
          <w:sz w:val="22"/>
        </w:rPr>
        <w:t xml:space="preserve">obsługiwania </w:t>
      </w:r>
      <w:r w:rsidR="008B6F4E" w:rsidRPr="005138D5">
        <w:rPr>
          <w:rFonts w:ascii="Times New Roman" w:hAnsi="Times New Roman"/>
          <w:sz w:val="22"/>
        </w:rPr>
        <w:t>maszyn</w:t>
      </w:r>
    </w:p>
    <w:p w14:paraId="2571740F" w14:textId="77777777" w:rsidR="00EA33D1" w:rsidRPr="005138D5" w:rsidRDefault="00EA33D1" w:rsidP="00A41668">
      <w:pPr>
        <w:pStyle w:val="Tekstpodstawowywcity"/>
        <w:widowControl/>
        <w:ind w:left="709" w:hanging="709"/>
        <w:jc w:val="left"/>
        <w:rPr>
          <w:rFonts w:ascii="Times New Roman" w:hAnsi="Times New Roman"/>
          <w:sz w:val="22"/>
        </w:rPr>
      </w:pPr>
    </w:p>
    <w:p w14:paraId="0C7E174E" w14:textId="77777777" w:rsidR="00D15169" w:rsidRPr="005138D5" w:rsidRDefault="008B1F4D" w:rsidP="00092D71">
      <w:pPr>
        <w:rPr>
          <w:noProof/>
          <w:sz w:val="22"/>
        </w:rPr>
      </w:pPr>
      <w:r w:rsidRPr="005138D5">
        <w:rPr>
          <w:spacing w:val="-3"/>
          <w:sz w:val="22"/>
        </w:rPr>
        <w:t xml:space="preserve">Voriconazole Accord </w:t>
      </w:r>
      <w:r w:rsidR="00575F5E" w:rsidRPr="005138D5">
        <w:rPr>
          <w:spacing w:val="-3"/>
          <w:sz w:val="22"/>
        </w:rPr>
        <w:t xml:space="preserve">wywiera umiarkowany wpływ </w:t>
      </w:r>
      <w:r w:rsidR="00575F5E" w:rsidRPr="005138D5">
        <w:rPr>
          <w:noProof/>
          <w:sz w:val="22"/>
        </w:rPr>
        <w:t xml:space="preserve">na zdolność prowadzenia pojazdów </w:t>
      </w:r>
    </w:p>
    <w:p w14:paraId="5C50B31F" w14:textId="77777777" w:rsidR="00575F5E" w:rsidRDefault="00575F5E" w:rsidP="00092D71">
      <w:pPr>
        <w:rPr>
          <w:spacing w:val="-3"/>
          <w:sz w:val="22"/>
        </w:rPr>
      </w:pPr>
      <w:r w:rsidRPr="005138D5">
        <w:rPr>
          <w:noProof/>
          <w:sz w:val="22"/>
        </w:rPr>
        <w:t xml:space="preserve">i obsługiwania </w:t>
      </w:r>
      <w:r w:rsidR="008B6F4E" w:rsidRPr="005138D5">
        <w:rPr>
          <w:noProof/>
          <w:sz w:val="22"/>
        </w:rPr>
        <w:t>maszyn</w:t>
      </w:r>
      <w:r w:rsidRPr="005138D5">
        <w:rPr>
          <w:noProof/>
          <w:sz w:val="22"/>
        </w:rPr>
        <w:t xml:space="preserve">. </w:t>
      </w:r>
      <w:r w:rsidRPr="005138D5">
        <w:rPr>
          <w:spacing w:val="-3"/>
          <w:sz w:val="22"/>
        </w:rPr>
        <w:t xml:space="preserve">Może powodować przejściowe i odwracalne zaburzenia widzenia, w tym: niewyraźne widzenie, </w:t>
      </w:r>
      <w:r w:rsidR="007941AB" w:rsidRPr="005138D5">
        <w:rPr>
          <w:spacing w:val="-3"/>
          <w:sz w:val="22"/>
        </w:rPr>
        <w:t>zmienioną</w:t>
      </w:r>
      <w:r w:rsidRPr="005138D5">
        <w:rPr>
          <w:spacing w:val="-3"/>
          <w:sz w:val="22"/>
        </w:rPr>
        <w:t>/zwiększon</w:t>
      </w:r>
      <w:r w:rsidR="007941AB" w:rsidRPr="005138D5">
        <w:rPr>
          <w:spacing w:val="-3"/>
          <w:sz w:val="22"/>
        </w:rPr>
        <w:t>ą</w:t>
      </w:r>
      <w:r w:rsidRPr="005138D5">
        <w:rPr>
          <w:spacing w:val="-3"/>
          <w:sz w:val="22"/>
        </w:rPr>
        <w:t xml:space="preserve"> percepcj</w:t>
      </w:r>
      <w:r w:rsidR="006558A6" w:rsidRPr="005138D5">
        <w:rPr>
          <w:spacing w:val="-3"/>
          <w:sz w:val="22"/>
        </w:rPr>
        <w:t>ę</w:t>
      </w:r>
      <w:r w:rsidRPr="005138D5">
        <w:rPr>
          <w:spacing w:val="-3"/>
          <w:sz w:val="22"/>
        </w:rPr>
        <w:t xml:space="preserve"> wzrokow</w:t>
      </w:r>
      <w:r w:rsidR="007941AB" w:rsidRPr="005138D5">
        <w:rPr>
          <w:spacing w:val="-3"/>
          <w:sz w:val="22"/>
        </w:rPr>
        <w:t>ą</w:t>
      </w:r>
      <w:r w:rsidRPr="005138D5">
        <w:rPr>
          <w:spacing w:val="-3"/>
          <w:sz w:val="22"/>
        </w:rPr>
        <w:t xml:space="preserve"> i (lub) światłowstręt. W razie wystąpienia któregokolwiek z tych objawów pacjent powinien unikać wykonywania potencjalnie ryzykownych czynności, takich jak prowadzenie pojazdów czy obsług</w:t>
      </w:r>
      <w:r w:rsidR="006F7B4D" w:rsidRPr="005138D5">
        <w:rPr>
          <w:spacing w:val="-3"/>
          <w:sz w:val="22"/>
        </w:rPr>
        <w:t>iwanie</w:t>
      </w:r>
      <w:r w:rsidRPr="005138D5">
        <w:rPr>
          <w:spacing w:val="-3"/>
          <w:sz w:val="22"/>
        </w:rPr>
        <w:t xml:space="preserve"> maszyn.</w:t>
      </w:r>
    </w:p>
    <w:p w14:paraId="1EF49769" w14:textId="77777777" w:rsidR="00277FD8" w:rsidRDefault="00277FD8" w:rsidP="00092D71">
      <w:pPr>
        <w:rPr>
          <w:spacing w:val="-3"/>
          <w:sz w:val="22"/>
        </w:rPr>
      </w:pPr>
    </w:p>
    <w:p w14:paraId="2861673F" w14:textId="77777777" w:rsidR="00277FD8" w:rsidRPr="005138D5" w:rsidRDefault="00277FD8" w:rsidP="00092D71">
      <w:pPr>
        <w:rPr>
          <w:spacing w:val="-3"/>
          <w:sz w:val="22"/>
        </w:rPr>
      </w:pPr>
    </w:p>
    <w:p w14:paraId="3BC29608" w14:textId="77777777" w:rsidR="00575F5E" w:rsidRPr="005138D5" w:rsidRDefault="00575F5E" w:rsidP="00A41668">
      <w:pPr>
        <w:widowControl/>
        <w:rPr>
          <w:sz w:val="22"/>
        </w:rPr>
      </w:pPr>
    </w:p>
    <w:p w14:paraId="330288F3" w14:textId="77777777" w:rsidR="00575F5E" w:rsidRPr="005138D5" w:rsidRDefault="00575F5E" w:rsidP="00277FE6">
      <w:pPr>
        <w:rPr>
          <w:b/>
          <w:sz w:val="22"/>
        </w:rPr>
      </w:pPr>
      <w:r w:rsidRPr="005138D5">
        <w:rPr>
          <w:b/>
          <w:sz w:val="22"/>
        </w:rPr>
        <w:t>4.8</w:t>
      </w:r>
      <w:r w:rsidRPr="005138D5">
        <w:rPr>
          <w:b/>
          <w:sz w:val="22"/>
        </w:rPr>
        <w:tab/>
        <w:t>Działania niepożądane</w:t>
      </w:r>
    </w:p>
    <w:p w14:paraId="034C962B" w14:textId="77777777" w:rsidR="00575F5E" w:rsidRPr="005138D5" w:rsidRDefault="00575F5E" w:rsidP="00277FE6">
      <w:pPr>
        <w:rPr>
          <w:sz w:val="22"/>
        </w:rPr>
      </w:pPr>
    </w:p>
    <w:p w14:paraId="2C299277" w14:textId="77777777" w:rsidR="00EE6373" w:rsidRPr="005138D5" w:rsidRDefault="00EE6373" w:rsidP="00A41668">
      <w:pPr>
        <w:pStyle w:val="Tekstpodstawowy2"/>
        <w:jc w:val="left"/>
        <w:rPr>
          <w:rFonts w:ascii="Times New Roman" w:hAnsi="Times New Roman"/>
          <w:bCs/>
          <w:u w:val="single"/>
        </w:rPr>
      </w:pPr>
      <w:r w:rsidRPr="005138D5">
        <w:rPr>
          <w:rFonts w:ascii="Times New Roman" w:hAnsi="Times New Roman"/>
          <w:bCs/>
          <w:u w:val="single"/>
        </w:rPr>
        <w:t>Podsumowanie profilu bezpieczeństwa</w:t>
      </w:r>
    </w:p>
    <w:p w14:paraId="51E4A477" w14:textId="77777777" w:rsidR="00575F5E" w:rsidRPr="005138D5" w:rsidRDefault="00575F5E" w:rsidP="00A41668">
      <w:pPr>
        <w:pStyle w:val="Tekstpodstawowy2"/>
        <w:jc w:val="left"/>
        <w:rPr>
          <w:rFonts w:ascii="Times New Roman" w:hAnsi="Times New Roman"/>
          <w:bCs/>
        </w:rPr>
      </w:pPr>
      <w:r w:rsidRPr="005138D5">
        <w:rPr>
          <w:rFonts w:ascii="Times New Roman" w:hAnsi="Times New Roman"/>
          <w:bCs/>
        </w:rPr>
        <w:t xml:space="preserve">Profil bezpieczeństwa worykonazolu </w:t>
      </w:r>
      <w:r w:rsidR="002528AC" w:rsidRPr="005138D5">
        <w:rPr>
          <w:rFonts w:ascii="Times New Roman" w:hAnsi="Times New Roman"/>
          <w:bCs/>
        </w:rPr>
        <w:t xml:space="preserve">u dorosłych </w:t>
      </w:r>
      <w:r w:rsidRPr="005138D5">
        <w:rPr>
          <w:rFonts w:ascii="Times New Roman" w:hAnsi="Times New Roman"/>
          <w:bCs/>
        </w:rPr>
        <w:t>oparty jest na zintegrowanej bazie danych dotyczących bezpieczeństwa stosowania leku u ponad 2000 pacjentów (</w:t>
      </w:r>
      <w:r w:rsidR="00031224" w:rsidRPr="005138D5">
        <w:rPr>
          <w:rFonts w:ascii="Times New Roman" w:hAnsi="Times New Roman"/>
          <w:bCs/>
        </w:rPr>
        <w:t xml:space="preserve">w tym </w:t>
      </w:r>
      <w:r w:rsidRPr="005138D5">
        <w:rPr>
          <w:rFonts w:ascii="Times New Roman" w:hAnsi="Times New Roman"/>
          <w:bCs/>
        </w:rPr>
        <w:t>16</w:t>
      </w:r>
      <w:r w:rsidR="002528AC" w:rsidRPr="005138D5">
        <w:rPr>
          <w:rFonts w:ascii="Times New Roman" w:hAnsi="Times New Roman"/>
          <w:bCs/>
        </w:rPr>
        <w:t>03 dorosłych</w:t>
      </w:r>
      <w:r w:rsidRPr="005138D5">
        <w:rPr>
          <w:rFonts w:ascii="Times New Roman" w:hAnsi="Times New Roman"/>
          <w:bCs/>
        </w:rPr>
        <w:t xml:space="preserve"> pacjentów w badaniach działania leczniczego</w:t>
      </w:r>
      <w:r w:rsidR="00947518" w:rsidRPr="005138D5">
        <w:rPr>
          <w:rFonts w:ascii="Times New Roman" w:hAnsi="Times New Roman"/>
          <w:bCs/>
        </w:rPr>
        <w:t>)</w:t>
      </w:r>
      <w:r w:rsidR="00031224" w:rsidRPr="005138D5">
        <w:rPr>
          <w:rFonts w:ascii="Times New Roman" w:hAnsi="Times New Roman"/>
          <w:bCs/>
        </w:rPr>
        <w:t xml:space="preserve"> i </w:t>
      </w:r>
      <w:r w:rsidR="00947518" w:rsidRPr="005138D5">
        <w:rPr>
          <w:rFonts w:ascii="Times New Roman" w:hAnsi="Times New Roman"/>
          <w:bCs/>
        </w:rPr>
        <w:t>dodatkowo u 270</w:t>
      </w:r>
      <w:r w:rsidR="00031224" w:rsidRPr="005138D5">
        <w:rPr>
          <w:rFonts w:ascii="Times New Roman" w:hAnsi="Times New Roman"/>
          <w:bCs/>
        </w:rPr>
        <w:t> </w:t>
      </w:r>
      <w:r w:rsidR="00947518" w:rsidRPr="005138D5">
        <w:rPr>
          <w:rFonts w:ascii="Times New Roman" w:hAnsi="Times New Roman"/>
          <w:bCs/>
        </w:rPr>
        <w:t xml:space="preserve">dorosłych </w:t>
      </w:r>
      <w:r w:rsidR="00031224" w:rsidRPr="005138D5">
        <w:rPr>
          <w:rFonts w:ascii="Times New Roman" w:hAnsi="Times New Roman"/>
          <w:bCs/>
        </w:rPr>
        <w:t>pacjentów w badaniach dotyczących profilaktyki</w:t>
      </w:r>
      <w:r w:rsidRPr="005138D5">
        <w:rPr>
          <w:rFonts w:ascii="Times New Roman" w:hAnsi="Times New Roman"/>
          <w:bCs/>
        </w:rPr>
        <w:t>. Stanowi to bardzo zróżnicowaną populację obejmującą pacjentów z nowotworami złośliwymi układu krwiotwórczego, pacjentów zakażonych wirusem HIV z kandydozą przełyku i opornymi zakażeniami grzybiczymi, pacjentów z kandydemią i aspergilozą bez równoczesnej neutropenii i zdrowych ochotników.</w:t>
      </w:r>
    </w:p>
    <w:p w14:paraId="4B8653C7" w14:textId="77777777" w:rsidR="00575F5E" w:rsidRPr="005138D5" w:rsidRDefault="00575F5E" w:rsidP="00A41668">
      <w:pPr>
        <w:pStyle w:val="Tekstpodstawowy"/>
        <w:widowControl/>
        <w:rPr>
          <w:rFonts w:ascii="Times New Roman" w:hAnsi="Times New Roman"/>
          <w:bCs/>
        </w:rPr>
      </w:pPr>
    </w:p>
    <w:p w14:paraId="7B48DE5E" w14:textId="77777777" w:rsidR="00E85A80" w:rsidRPr="005138D5" w:rsidRDefault="00E85A80" w:rsidP="00A41668">
      <w:pPr>
        <w:pStyle w:val="Tekstpodstawowy"/>
        <w:widowControl/>
        <w:rPr>
          <w:rFonts w:ascii="Times New Roman" w:hAnsi="Times New Roman"/>
          <w:bCs/>
        </w:rPr>
      </w:pPr>
      <w:r w:rsidRPr="005138D5">
        <w:rPr>
          <w:rFonts w:ascii="Times New Roman" w:hAnsi="Times New Roman"/>
          <w:bCs/>
        </w:rPr>
        <w:t>Najczęściej obserwowanymi zdarzeniami niepożądanymi były: zaburzenia widzenia, gorączka, wysypka, wymioty, nudności, biegunka, ból głowy, obrzęki obwodowe</w:t>
      </w:r>
      <w:r w:rsidR="00031224" w:rsidRPr="005138D5">
        <w:rPr>
          <w:rFonts w:ascii="Times New Roman" w:hAnsi="Times New Roman"/>
          <w:bCs/>
        </w:rPr>
        <w:t>,</w:t>
      </w:r>
      <w:r w:rsidR="00031224" w:rsidRPr="005138D5">
        <w:rPr>
          <w:rFonts w:ascii="Times New Roman" w:hAnsi="Times New Roman"/>
        </w:rPr>
        <w:t xml:space="preserve"> nieprawidłowe wyniki testów czynności wątroby, zespół zaburzeń oddechowych</w:t>
      </w:r>
      <w:r w:rsidRPr="005138D5">
        <w:rPr>
          <w:rFonts w:ascii="Times New Roman" w:hAnsi="Times New Roman"/>
          <w:bCs/>
        </w:rPr>
        <w:t xml:space="preserve"> i ból brzucha.</w:t>
      </w:r>
    </w:p>
    <w:p w14:paraId="3587BDA0" w14:textId="77777777" w:rsidR="00E85A80" w:rsidRPr="005138D5" w:rsidRDefault="00E85A80" w:rsidP="00A41668">
      <w:pPr>
        <w:pStyle w:val="Tekstpodstawowy"/>
        <w:widowControl/>
        <w:rPr>
          <w:rFonts w:ascii="Times New Roman" w:hAnsi="Times New Roman"/>
          <w:bCs/>
        </w:rPr>
      </w:pPr>
    </w:p>
    <w:p w14:paraId="3382782B" w14:textId="77777777" w:rsidR="00E85A80" w:rsidRPr="005138D5" w:rsidRDefault="00E85A80" w:rsidP="00A41668">
      <w:pPr>
        <w:pStyle w:val="Tekstpodstawowy"/>
        <w:widowControl/>
        <w:rPr>
          <w:rFonts w:ascii="Times New Roman" w:hAnsi="Times New Roman"/>
          <w:bCs/>
        </w:rPr>
      </w:pPr>
      <w:r w:rsidRPr="005138D5">
        <w:rPr>
          <w:rFonts w:ascii="Times New Roman" w:hAnsi="Times New Roman"/>
          <w:bCs/>
        </w:rPr>
        <w:t xml:space="preserve">Nasilenie tych </w:t>
      </w:r>
      <w:r w:rsidR="00611FD8" w:rsidRPr="005138D5">
        <w:rPr>
          <w:rFonts w:ascii="Times New Roman" w:hAnsi="Times New Roman"/>
        </w:rPr>
        <w:t xml:space="preserve">reakcji </w:t>
      </w:r>
      <w:r w:rsidRPr="005138D5">
        <w:rPr>
          <w:rFonts w:ascii="Times New Roman" w:hAnsi="Times New Roman"/>
          <w:bCs/>
        </w:rPr>
        <w:t>niepożądanych było przeważnie łagodne do umiarkowanego. Nie obserwowano klinicznie istotnych różnic, analizując dane dotyczące bezpieczeństwa stosowania w zależności od wieku, rasy i płci.</w:t>
      </w:r>
    </w:p>
    <w:p w14:paraId="2F48E9AE" w14:textId="77777777" w:rsidR="00E85A80" w:rsidRPr="005138D5" w:rsidRDefault="00E85A80" w:rsidP="00A41668">
      <w:pPr>
        <w:pStyle w:val="Tekstpodstawowy"/>
        <w:widowControl/>
        <w:rPr>
          <w:rFonts w:ascii="Times New Roman" w:hAnsi="Times New Roman"/>
          <w:bCs/>
        </w:rPr>
      </w:pPr>
    </w:p>
    <w:p w14:paraId="1B398CCF" w14:textId="77777777" w:rsidR="00E85A80" w:rsidRPr="005138D5" w:rsidRDefault="005C566A" w:rsidP="00A41668">
      <w:pPr>
        <w:pStyle w:val="Tekstpodstawowy"/>
        <w:widowControl/>
        <w:rPr>
          <w:rFonts w:ascii="Times New Roman" w:hAnsi="Times New Roman"/>
          <w:bCs/>
          <w:u w:val="single"/>
        </w:rPr>
      </w:pPr>
      <w:r w:rsidRPr="005138D5">
        <w:rPr>
          <w:rFonts w:ascii="Times New Roman" w:hAnsi="Times New Roman"/>
          <w:bCs/>
          <w:u w:val="single"/>
        </w:rPr>
        <w:t xml:space="preserve">Reakcje </w:t>
      </w:r>
      <w:r w:rsidR="00E85A80" w:rsidRPr="005138D5">
        <w:rPr>
          <w:rFonts w:ascii="Times New Roman" w:hAnsi="Times New Roman"/>
          <w:bCs/>
          <w:u w:val="single"/>
        </w:rPr>
        <w:t>niepożądane zamieszczone w tabeli</w:t>
      </w:r>
    </w:p>
    <w:p w14:paraId="09DB9773" w14:textId="77777777" w:rsidR="00575F5E" w:rsidRPr="005138D5" w:rsidRDefault="00575F5E" w:rsidP="00A41668">
      <w:pPr>
        <w:widowControl/>
        <w:rPr>
          <w:bCs/>
          <w:sz w:val="22"/>
        </w:rPr>
      </w:pPr>
      <w:r w:rsidRPr="005138D5">
        <w:rPr>
          <w:bCs/>
          <w:sz w:val="22"/>
        </w:rPr>
        <w:t>Ze względu na to, że większość badań miało charakter otwarty, w poniższej tabeli podano wszystkie rodzaje zdarzeń niepożądanych</w:t>
      </w:r>
      <w:r w:rsidR="00947518" w:rsidRPr="005138D5">
        <w:rPr>
          <w:sz w:val="22"/>
        </w:rPr>
        <w:t xml:space="preserve"> </w:t>
      </w:r>
      <w:r w:rsidR="00947518" w:rsidRPr="005138D5">
        <w:rPr>
          <w:bCs/>
          <w:sz w:val="22"/>
        </w:rPr>
        <w:t>wraz z kategoriami częstości występowania u 1873 dorosłych pacjentów stanowiących łączną grupę z badań działania leczniczego (1603) oraz badań dotyczących profilaktyki (270)</w:t>
      </w:r>
      <w:r w:rsidRPr="005138D5">
        <w:rPr>
          <w:bCs/>
          <w:sz w:val="22"/>
        </w:rPr>
        <w:t xml:space="preserve">, grupując je według układów </w:t>
      </w:r>
      <w:r w:rsidR="00947518" w:rsidRPr="005138D5">
        <w:rPr>
          <w:bCs/>
          <w:sz w:val="22"/>
        </w:rPr>
        <w:t xml:space="preserve">i </w:t>
      </w:r>
      <w:r w:rsidRPr="005138D5">
        <w:rPr>
          <w:bCs/>
          <w:sz w:val="22"/>
        </w:rPr>
        <w:t>narząd</w:t>
      </w:r>
      <w:r w:rsidR="00D97F61" w:rsidRPr="005138D5">
        <w:rPr>
          <w:bCs/>
          <w:sz w:val="22"/>
        </w:rPr>
        <w:t>ów</w:t>
      </w:r>
      <w:r w:rsidR="00E85A80" w:rsidRPr="005138D5">
        <w:rPr>
          <w:bCs/>
          <w:sz w:val="22"/>
        </w:rPr>
        <w:t>.</w:t>
      </w:r>
    </w:p>
    <w:p w14:paraId="484DDDBC" w14:textId="77777777" w:rsidR="00E85A80" w:rsidRPr="005138D5" w:rsidRDefault="00E85A80" w:rsidP="00A41668">
      <w:pPr>
        <w:widowControl/>
        <w:rPr>
          <w:bCs/>
          <w:sz w:val="22"/>
        </w:rPr>
      </w:pPr>
    </w:p>
    <w:p w14:paraId="6E404FA8" w14:textId="77777777" w:rsidR="00E85A80" w:rsidRPr="005138D5" w:rsidRDefault="00E85A80" w:rsidP="00A41668">
      <w:pPr>
        <w:widowControl/>
        <w:rPr>
          <w:noProof/>
          <w:sz w:val="22"/>
        </w:rPr>
      </w:pPr>
      <w:r w:rsidRPr="005138D5">
        <w:rPr>
          <w:bCs/>
          <w:sz w:val="22"/>
        </w:rPr>
        <w:t>Częstość występowania przedstawiono w sposób następujący: B</w:t>
      </w:r>
      <w:r w:rsidR="00575F5E" w:rsidRPr="005138D5">
        <w:rPr>
          <w:bCs/>
          <w:noProof/>
          <w:sz w:val="22"/>
        </w:rPr>
        <w:t xml:space="preserve">ardzo często </w:t>
      </w:r>
      <w:r w:rsidRPr="005138D5">
        <w:rPr>
          <w:bCs/>
          <w:noProof/>
          <w:sz w:val="22"/>
        </w:rPr>
        <w:t>(</w:t>
      </w:r>
      <w:r w:rsidR="00575F5E" w:rsidRPr="005138D5">
        <w:rPr>
          <w:bCs/>
          <w:noProof/>
          <w:sz w:val="22"/>
        </w:rPr>
        <w:sym w:font="Symbol" w:char="F0B3"/>
      </w:r>
      <w:r w:rsidR="00575F5E" w:rsidRPr="005138D5">
        <w:rPr>
          <w:bCs/>
          <w:noProof/>
          <w:sz w:val="22"/>
        </w:rPr>
        <w:t>1/10</w:t>
      </w:r>
      <w:r w:rsidRPr="005138D5">
        <w:rPr>
          <w:bCs/>
          <w:noProof/>
          <w:sz w:val="22"/>
        </w:rPr>
        <w:t>);</w:t>
      </w:r>
      <w:r w:rsidR="00575F5E" w:rsidRPr="005138D5">
        <w:rPr>
          <w:bCs/>
          <w:noProof/>
          <w:sz w:val="22"/>
        </w:rPr>
        <w:t xml:space="preserve"> </w:t>
      </w:r>
      <w:r w:rsidRPr="005138D5">
        <w:rPr>
          <w:bCs/>
          <w:noProof/>
          <w:sz w:val="22"/>
        </w:rPr>
        <w:t>C</w:t>
      </w:r>
      <w:r w:rsidR="00575F5E" w:rsidRPr="005138D5">
        <w:rPr>
          <w:bCs/>
          <w:noProof/>
          <w:sz w:val="22"/>
        </w:rPr>
        <w:t xml:space="preserve">zęsto </w:t>
      </w:r>
      <w:r w:rsidRPr="005138D5">
        <w:rPr>
          <w:bCs/>
          <w:noProof/>
          <w:sz w:val="22"/>
        </w:rPr>
        <w:t>(</w:t>
      </w:r>
      <w:r w:rsidR="00575F5E" w:rsidRPr="005138D5">
        <w:rPr>
          <w:bCs/>
          <w:noProof/>
          <w:sz w:val="22"/>
        </w:rPr>
        <w:sym w:font="Symbol" w:char="F0B3"/>
      </w:r>
      <w:r w:rsidR="00575F5E" w:rsidRPr="005138D5">
        <w:rPr>
          <w:bCs/>
          <w:noProof/>
          <w:sz w:val="22"/>
        </w:rPr>
        <w:t>1/100 do &lt;1/10</w:t>
      </w:r>
      <w:r w:rsidRPr="005138D5">
        <w:rPr>
          <w:bCs/>
          <w:noProof/>
          <w:sz w:val="22"/>
        </w:rPr>
        <w:t>);</w:t>
      </w:r>
      <w:r w:rsidR="00575F5E" w:rsidRPr="005138D5">
        <w:rPr>
          <w:bCs/>
          <w:noProof/>
          <w:sz w:val="22"/>
        </w:rPr>
        <w:t xml:space="preserve"> </w:t>
      </w:r>
      <w:r w:rsidRPr="005138D5">
        <w:rPr>
          <w:bCs/>
          <w:noProof/>
          <w:sz w:val="22"/>
        </w:rPr>
        <w:t>N</w:t>
      </w:r>
      <w:r w:rsidR="00575F5E" w:rsidRPr="005138D5">
        <w:rPr>
          <w:bCs/>
          <w:noProof/>
          <w:sz w:val="22"/>
        </w:rPr>
        <w:t xml:space="preserve">iezbyt często </w:t>
      </w:r>
      <w:r w:rsidRPr="005138D5">
        <w:rPr>
          <w:bCs/>
          <w:noProof/>
          <w:sz w:val="22"/>
        </w:rPr>
        <w:t>(</w:t>
      </w:r>
      <w:r w:rsidR="00575F5E" w:rsidRPr="005138D5">
        <w:rPr>
          <w:bCs/>
          <w:noProof/>
          <w:sz w:val="22"/>
        </w:rPr>
        <w:sym w:font="Symbol" w:char="F0B3"/>
      </w:r>
      <w:r w:rsidR="00575F5E" w:rsidRPr="005138D5">
        <w:rPr>
          <w:bCs/>
          <w:noProof/>
          <w:sz w:val="22"/>
        </w:rPr>
        <w:t>1/1000 do &lt;1/100</w:t>
      </w:r>
      <w:r w:rsidRPr="005138D5">
        <w:rPr>
          <w:bCs/>
          <w:noProof/>
          <w:sz w:val="22"/>
        </w:rPr>
        <w:t>);</w:t>
      </w:r>
      <w:r w:rsidR="00575F5E" w:rsidRPr="005138D5">
        <w:rPr>
          <w:bCs/>
          <w:noProof/>
          <w:sz w:val="22"/>
        </w:rPr>
        <w:t xml:space="preserve"> </w:t>
      </w:r>
      <w:r w:rsidRPr="005138D5">
        <w:rPr>
          <w:bCs/>
          <w:noProof/>
          <w:sz w:val="22"/>
        </w:rPr>
        <w:t>R</w:t>
      </w:r>
      <w:r w:rsidR="00575F5E" w:rsidRPr="005138D5">
        <w:rPr>
          <w:bCs/>
          <w:noProof/>
          <w:sz w:val="22"/>
        </w:rPr>
        <w:t xml:space="preserve">zadko </w:t>
      </w:r>
      <w:r w:rsidRPr="005138D5">
        <w:rPr>
          <w:bCs/>
          <w:noProof/>
          <w:sz w:val="22"/>
        </w:rPr>
        <w:t>(</w:t>
      </w:r>
      <w:r w:rsidR="00575F5E" w:rsidRPr="005138D5">
        <w:rPr>
          <w:bCs/>
          <w:noProof/>
          <w:sz w:val="22"/>
        </w:rPr>
        <w:sym w:font="Symbol" w:char="F0B3"/>
      </w:r>
      <w:r w:rsidR="00575F5E" w:rsidRPr="005138D5">
        <w:rPr>
          <w:bCs/>
          <w:noProof/>
          <w:sz w:val="22"/>
        </w:rPr>
        <w:t>1/10 000 do &lt;1/1000</w:t>
      </w:r>
      <w:r w:rsidRPr="005138D5">
        <w:rPr>
          <w:bCs/>
          <w:noProof/>
          <w:sz w:val="22"/>
        </w:rPr>
        <w:t>);</w:t>
      </w:r>
      <w:r w:rsidR="00575F5E" w:rsidRPr="005138D5">
        <w:rPr>
          <w:bCs/>
          <w:noProof/>
          <w:sz w:val="22"/>
        </w:rPr>
        <w:t xml:space="preserve"> </w:t>
      </w:r>
      <w:r w:rsidRPr="005138D5">
        <w:rPr>
          <w:bCs/>
          <w:noProof/>
          <w:sz w:val="22"/>
        </w:rPr>
        <w:t>B</w:t>
      </w:r>
      <w:r w:rsidR="00575F5E" w:rsidRPr="005138D5">
        <w:rPr>
          <w:bCs/>
          <w:noProof/>
          <w:sz w:val="22"/>
        </w:rPr>
        <w:t>ardzo rzadko</w:t>
      </w:r>
      <w:r w:rsidRPr="005138D5">
        <w:rPr>
          <w:bCs/>
          <w:noProof/>
          <w:sz w:val="22"/>
        </w:rPr>
        <w:t xml:space="preserve"> (</w:t>
      </w:r>
      <w:r w:rsidR="00575F5E" w:rsidRPr="005138D5">
        <w:rPr>
          <w:sz w:val="22"/>
        </w:rPr>
        <w:t>&lt;</w:t>
      </w:r>
      <w:r w:rsidR="00575F5E" w:rsidRPr="005138D5">
        <w:rPr>
          <w:bCs/>
          <w:noProof/>
          <w:sz w:val="22"/>
        </w:rPr>
        <w:t>1/10 000</w:t>
      </w:r>
      <w:r w:rsidR="00575F5E" w:rsidRPr="005138D5">
        <w:rPr>
          <w:bCs/>
          <w:sz w:val="22"/>
        </w:rPr>
        <w:t>)</w:t>
      </w:r>
      <w:r w:rsidRPr="005138D5">
        <w:rPr>
          <w:bCs/>
          <w:sz w:val="22"/>
        </w:rPr>
        <w:t>; Czę</w:t>
      </w:r>
      <w:r w:rsidR="00002D01" w:rsidRPr="005138D5">
        <w:rPr>
          <w:bCs/>
          <w:sz w:val="22"/>
        </w:rPr>
        <w:t>s</w:t>
      </w:r>
      <w:r w:rsidRPr="005138D5">
        <w:rPr>
          <w:bCs/>
          <w:sz w:val="22"/>
        </w:rPr>
        <w:t xml:space="preserve">tość nieznana (nie może być </w:t>
      </w:r>
      <w:r w:rsidR="007C2498" w:rsidRPr="005138D5">
        <w:rPr>
          <w:bCs/>
          <w:sz w:val="22"/>
        </w:rPr>
        <w:t>określona</w:t>
      </w:r>
      <w:r w:rsidRPr="005138D5">
        <w:rPr>
          <w:bCs/>
          <w:sz w:val="22"/>
        </w:rPr>
        <w:t xml:space="preserve"> na podstawie dostępnych danych)</w:t>
      </w:r>
      <w:r w:rsidR="00575F5E" w:rsidRPr="005138D5">
        <w:rPr>
          <w:bCs/>
          <w:sz w:val="22"/>
        </w:rPr>
        <w:t>.</w:t>
      </w:r>
      <w:r w:rsidR="00575F5E" w:rsidRPr="005138D5">
        <w:rPr>
          <w:noProof/>
          <w:sz w:val="22"/>
        </w:rPr>
        <w:t xml:space="preserve"> </w:t>
      </w:r>
    </w:p>
    <w:p w14:paraId="343CE27C" w14:textId="77777777" w:rsidR="00E85A80" w:rsidRPr="005138D5" w:rsidRDefault="00E85A80" w:rsidP="00A41668">
      <w:pPr>
        <w:widowControl/>
        <w:rPr>
          <w:noProof/>
          <w:sz w:val="22"/>
        </w:rPr>
      </w:pPr>
    </w:p>
    <w:p w14:paraId="1EC96BAB" w14:textId="77777777" w:rsidR="00575F5E" w:rsidRPr="005138D5" w:rsidRDefault="00575F5E" w:rsidP="00A41668">
      <w:pPr>
        <w:widowControl/>
        <w:rPr>
          <w:b/>
          <w:sz w:val="22"/>
        </w:rPr>
      </w:pPr>
      <w:r w:rsidRPr="005138D5">
        <w:rPr>
          <w:noProof/>
          <w:sz w:val="22"/>
        </w:rPr>
        <w:t>W obrębie każdej grupy o określonej częstości występowania objawy niepożądane są wymienione zgodnie ze zmniejszającym się nasileniem.</w:t>
      </w:r>
      <w:r w:rsidRPr="005138D5">
        <w:rPr>
          <w:bCs/>
          <w:sz w:val="22"/>
        </w:rPr>
        <w:t xml:space="preserve"> </w:t>
      </w:r>
    </w:p>
    <w:p w14:paraId="30343093" w14:textId="77777777" w:rsidR="006B0ED6" w:rsidRPr="005138D5" w:rsidRDefault="006B0ED6" w:rsidP="00277FE6">
      <w:pPr>
        <w:rPr>
          <w:sz w:val="22"/>
        </w:rPr>
      </w:pPr>
    </w:p>
    <w:p w14:paraId="5D384CBF" w14:textId="77777777" w:rsidR="00575F5E" w:rsidRPr="005138D5" w:rsidRDefault="00575F5E" w:rsidP="00277FE6">
      <w:pPr>
        <w:rPr>
          <w:sz w:val="22"/>
        </w:rPr>
      </w:pPr>
      <w:r w:rsidRPr="005138D5">
        <w:rPr>
          <w:sz w:val="22"/>
        </w:rPr>
        <w:t>Działania niepożądane obserwowane u pacjentów leczonych worykonazolem</w:t>
      </w:r>
      <w:r w:rsidR="002759AF" w:rsidRPr="005138D5">
        <w:rPr>
          <w:sz w:val="22"/>
        </w:rPr>
        <w:t>:</w:t>
      </w:r>
    </w:p>
    <w:p w14:paraId="53E510F4" w14:textId="77777777" w:rsidR="007E263F" w:rsidRPr="005138D5" w:rsidRDefault="007E263F" w:rsidP="00277FE6">
      <w:pPr>
        <w:rPr>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9"/>
        <w:gridCol w:w="1812"/>
        <w:gridCol w:w="1842"/>
        <w:gridCol w:w="1843"/>
        <w:gridCol w:w="1433"/>
      </w:tblGrid>
      <w:tr w:rsidR="00D31C86" w:rsidRPr="005138D5" w14:paraId="7A572453" w14:textId="77777777" w:rsidTr="00664478">
        <w:trPr>
          <w:trHeight w:val="790"/>
          <w:tblHeader/>
        </w:trPr>
        <w:tc>
          <w:tcPr>
            <w:tcW w:w="1701" w:type="dxa"/>
          </w:tcPr>
          <w:p w14:paraId="15C84B1E" w14:textId="77777777" w:rsidR="00D31C86" w:rsidRPr="005138D5" w:rsidRDefault="00D31C86" w:rsidP="00664478">
            <w:pPr>
              <w:keepNext/>
              <w:keepLines/>
              <w:jc w:val="center"/>
              <w:rPr>
                <w:b/>
                <w:sz w:val="22"/>
                <w:lang w:val="en-US"/>
              </w:rPr>
            </w:pPr>
            <w:proofErr w:type="spellStart"/>
            <w:r w:rsidRPr="005138D5">
              <w:rPr>
                <w:b/>
                <w:sz w:val="22"/>
                <w:lang w:val="en-US"/>
              </w:rPr>
              <w:t>Klasyfikacja</w:t>
            </w:r>
            <w:proofErr w:type="spellEnd"/>
            <w:r w:rsidRPr="005138D5">
              <w:rPr>
                <w:b/>
                <w:sz w:val="22"/>
                <w:lang w:val="en-US"/>
              </w:rPr>
              <w:t xml:space="preserve"> </w:t>
            </w:r>
            <w:proofErr w:type="spellStart"/>
            <w:r w:rsidRPr="005138D5">
              <w:rPr>
                <w:b/>
                <w:sz w:val="22"/>
                <w:lang w:val="en-US"/>
              </w:rPr>
              <w:t>układów</w:t>
            </w:r>
            <w:proofErr w:type="spellEnd"/>
            <w:r w:rsidRPr="005138D5">
              <w:rPr>
                <w:b/>
                <w:sz w:val="22"/>
                <w:lang w:val="en-US"/>
              </w:rPr>
              <w:t xml:space="preserve"> </w:t>
            </w:r>
            <w:proofErr w:type="spellStart"/>
            <w:r w:rsidRPr="005138D5">
              <w:rPr>
                <w:b/>
                <w:sz w:val="22"/>
                <w:lang w:val="en-US"/>
              </w:rPr>
              <w:t>i</w:t>
            </w:r>
            <w:proofErr w:type="spellEnd"/>
            <w:r w:rsidRPr="005138D5">
              <w:rPr>
                <w:b/>
                <w:sz w:val="22"/>
                <w:lang w:val="en-US"/>
              </w:rPr>
              <w:t> </w:t>
            </w:r>
            <w:proofErr w:type="spellStart"/>
            <w:r w:rsidRPr="005138D5">
              <w:rPr>
                <w:b/>
                <w:sz w:val="22"/>
                <w:lang w:val="en-US"/>
              </w:rPr>
              <w:t>narządów</w:t>
            </w:r>
            <w:proofErr w:type="spellEnd"/>
          </w:p>
        </w:tc>
        <w:tc>
          <w:tcPr>
            <w:tcW w:w="1449" w:type="dxa"/>
          </w:tcPr>
          <w:p w14:paraId="3FF675A5" w14:textId="77777777" w:rsidR="00D31C86" w:rsidRPr="005138D5" w:rsidRDefault="00D31C86" w:rsidP="00664478">
            <w:pPr>
              <w:jc w:val="center"/>
              <w:rPr>
                <w:sz w:val="22"/>
                <w:lang w:val="en-US"/>
              </w:rPr>
            </w:pPr>
            <w:proofErr w:type="spellStart"/>
            <w:r w:rsidRPr="005138D5">
              <w:rPr>
                <w:b/>
                <w:sz w:val="22"/>
                <w:lang w:val="en-US"/>
              </w:rPr>
              <w:t>Bardzo</w:t>
            </w:r>
            <w:proofErr w:type="spellEnd"/>
            <w:r w:rsidRPr="005138D5">
              <w:rPr>
                <w:b/>
                <w:sz w:val="22"/>
                <w:lang w:val="en-US"/>
              </w:rPr>
              <w:t xml:space="preserve"> </w:t>
            </w:r>
            <w:proofErr w:type="spellStart"/>
            <w:r w:rsidRPr="005138D5">
              <w:rPr>
                <w:b/>
                <w:sz w:val="22"/>
                <w:lang w:val="en-US"/>
              </w:rPr>
              <w:t>często</w:t>
            </w:r>
            <w:proofErr w:type="spellEnd"/>
            <w:r w:rsidRPr="005138D5">
              <w:rPr>
                <w:b/>
                <w:sz w:val="22"/>
                <w:lang w:val="en-US"/>
              </w:rPr>
              <w:t xml:space="preserve"> (≥1/10)</w:t>
            </w:r>
          </w:p>
        </w:tc>
        <w:tc>
          <w:tcPr>
            <w:tcW w:w="1812" w:type="dxa"/>
          </w:tcPr>
          <w:p w14:paraId="6D0C1A2C" w14:textId="77777777" w:rsidR="00D31C86" w:rsidRPr="005138D5" w:rsidRDefault="00D31C86" w:rsidP="00664478">
            <w:pPr>
              <w:jc w:val="center"/>
              <w:rPr>
                <w:b/>
                <w:sz w:val="22"/>
                <w:lang w:val="en-US"/>
              </w:rPr>
            </w:pPr>
            <w:proofErr w:type="spellStart"/>
            <w:r w:rsidRPr="005138D5">
              <w:rPr>
                <w:b/>
                <w:sz w:val="22"/>
                <w:lang w:val="en-US"/>
              </w:rPr>
              <w:t>Często</w:t>
            </w:r>
            <w:proofErr w:type="spellEnd"/>
            <w:r w:rsidRPr="005138D5">
              <w:rPr>
                <w:b/>
                <w:sz w:val="22"/>
                <w:lang w:val="en-US"/>
              </w:rPr>
              <w:t xml:space="preserve"> (≥1/100 do &lt;1/10)</w:t>
            </w:r>
          </w:p>
        </w:tc>
        <w:tc>
          <w:tcPr>
            <w:tcW w:w="1842" w:type="dxa"/>
          </w:tcPr>
          <w:p w14:paraId="04550505" w14:textId="77777777" w:rsidR="00D31C86" w:rsidRPr="005138D5" w:rsidRDefault="00D31C86" w:rsidP="00664478">
            <w:pPr>
              <w:jc w:val="center"/>
              <w:rPr>
                <w:b/>
                <w:sz w:val="22"/>
                <w:lang w:val="en-US"/>
              </w:rPr>
            </w:pPr>
            <w:proofErr w:type="spellStart"/>
            <w:r w:rsidRPr="005138D5">
              <w:rPr>
                <w:b/>
                <w:sz w:val="22"/>
                <w:lang w:val="en-US"/>
              </w:rPr>
              <w:t>Niezbyt</w:t>
            </w:r>
            <w:proofErr w:type="spellEnd"/>
            <w:r w:rsidRPr="005138D5">
              <w:rPr>
                <w:b/>
                <w:sz w:val="22"/>
                <w:lang w:val="en-US"/>
              </w:rPr>
              <w:t xml:space="preserve"> </w:t>
            </w:r>
            <w:proofErr w:type="spellStart"/>
            <w:r w:rsidRPr="005138D5">
              <w:rPr>
                <w:b/>
                <w:sz w:val="22"/>
                <w:lang w:val="en-US"/>
              </w:rPr>
              <w:t>często</w:t>
            </w:r>
            <w:proofErr w:type="spellEnd"/>
            <w:r w:rsidRPr="005138D5">
              <w:rPr>
                <w:b/>
                <w:sz w:val="22"/>
                <w:lang w:val="en-US"/>
              </w:rPr>
              <w:t xml:space="preserve"> (≥1/1 000 do &lt;1/100)</w:t>
            </w:r>
          </w:p>
        </w:tc>
        <w:tc>
          <w:tcPr>
            <w:tcW w:w="1843" w:type="dxa"/>
          </w:tcPr>
          <w:p w14:paraId="4CAE4E2F" w14:textId="77777777" w:rsidR="00D31C86" w:rsidRPr="005138D5" w:rsidRDefault="00D31C86" w:rsidP="00664478">
            <w:pPr>
              <w:jc w:val="center"/>
              <w:rPr>
                <w:b/>
                <w:sz w:val="22"/>
                <w:lang w:val="en-US"/>
              </w:rPr>
            </w:pPr>
            <w:proofErr w:type="spellStart"/>
            <w:r w:rsidRPr="005138D5">
              <w:rPr>
                <w:b/>
                <w:sz w:val="22"/>
                <w:lang w:val="en-US"/>
              </w:rPr>
              <w:t>Rzadko</w:t>
            </w:r>
            <w:proofErr w:type="spellEnd"/>
            <w:r w:rsidRPr="005138D5">
              <w:rPr>
                <w:b/>
                <w:sz w:val="22"/>
                <w:lang w:val="en-US"/>
              </w:rPr>
              <w:t xml:space="preserve"> (≥1/10 000 do &lt;1/1 000)</w:t>
            </w:r>
          </w:p>
        </w:tc>
        <w:tc>
          <w:tcPr>
            <w:tcW w:w="1433" w:type="dxa"/>
          </w:tcPr>
          <w:p w14:paraId="55FA31D9" w14:textId="77777777" w:rsidR="00D31C86" w:rsidRPr="005138D5" w:rsidRDefault="00D31C86" w:rsidP="00664478">
            <w:pPr>
              <w:jc w:val="center"/>
              <w:rPr>
                <w:b/>
                <w:sz w:val="22"/>
              </w:rPr>
            </w:pPr>
            <w:r w:rsidRPr="005138D5">
              <w:rPr>
                <w:b/>
                <w:sz w:val="22"/>
              </w:rPr>
              <w:t>Częstość nieznana (nie może być określona na podstawie dostępnych danych)</w:t>
            </w:r>
          </w:p>
        </w:tc>
      </w:tr>
      <w:tr w:rsidR="00D31C86" w:rsidRPr="005138D5" w14:paraId="79838B5C" w14:textId="77777777" w:rsidTr="00664478">
        <w:trPr>
          <w:trHeight w:val="589"/>
        </w:trPr>
        <w:tc>
          <w:tcPr>
            <w:tcW w:w="1701" w:type="dxa"/>
          </w:tcPr>
          <w:p w14:paraId="7C1983D4" w14:textId="77777777" w:rsidR="00D31C86" w:rsidRPr="005138D5" w:rsidRDefault="00D31C86" w:rsidP="00664478">
            <w:pPr>
              <w:keepNext/>
              <w:keepLines/>
              <w:rPr>
                <w:sz w:val="22"/>
                <w:lang w:val="en-US"/>
              </w:rPr>
            </w:pPr>
            <w:proofErr w:type="spellStart"/>
            <w:r w:rsidRPr="005138D5">
              <w:rPr>
                <w:sz w:val="22"/>
                <w:lang w:val="en-US"/>
              </w:rPr>
              <w:t>Zakażenia</w:t>
            </w:r>
            <w:proofErr w:type="spellEnd"/>
            <w:r w:rsidRPr="005138D5">
              <w:rPr>
                <w:sz w:val="22"/>
                <w:lang w:val="en-US"/>
              </w:rPr>
              <w:t xml:space="preserve"> </w:t>
            </w:r>
            <w:proofErr w:type="spellStart"/>
            <w:r w:rsidRPr="005138D5">
              <w:rPr>
                <w:sz w:val="22"/>
                <w:lang w:val="en-US"/>
              </w:rPr>
              <w:t>i</w:t>
            </w:r>
            <w:proofErr w:type="spellEnd"/>
            <w:r w:rsidRPr="005138D5">
              <w:rPr>
                <w:sz w:val="22"/>
                <w:lang w:val="en-US"/>
              </w:rPr>
              <w:t> </w:t>
            </w:r>
            <w:proofErr w:type="spellStart"/>
            <w:r w:rsidRPr="005138D5">
              <w:rPr>
                <w:sz w:val="22"/>
                <w:lang w:val="en-US"/>
              </w:rPr>
              <w:t>zarażenia</w:t>
            </w:r>
            <w:proofErr w:type="spellEnd"/>
            <w:r w:rsidRPr="005138D5">
              <w:rPr>
                <w:sz w:val="22"/>
                <w:lang w:val="en-US"/>
              </w:rPr>
              <w:t xml:space="preserve"> </w:t>
            </w:r>
            <w:proofErr w:type="spellStart"/>
            <w:r w:rsidRPr="005138D5">
              <w:rPr>
                <w:sz w:val="22"/>
                <w:lang w:val="en-US"/>
              </w:rPr>
              <w:t>pasożytnicze</w:t>
            </w:r>
            <w:proofErr w:type="spellEnd"/>
          </w:p>
        </w:tc>
        <w:tc>
          <w:tcPr>
            <w:tcW w:w="1449" w:type="dxa"/>
          </w:tcPr>
          <w:p w14:paraId="79E349A2" w14:textId="77777777" w:rsidR="00D31C86" w:rsidRPr="005138D5" w:rsidRDefault="00D31C86" w:rsidP="00664478">
            <w:pPr>
              <w:rPr>
                <w:sz w:val="22"/>
                <w:lang w:val="en-US"/>
              </w:rPr>
            </w:pPr>
          </w:p>
        </w:tc>
        <w:tc>
          <w:tcPr>
            <w:tcW w:w="1812" w:type="dxa"/>
          </w:tcPr>
          <w:p w14:paraId="1F8CC22A" w14:textId="77777777" w:rsidR="00D31C86" w:rsidRPr="005138D5" w:rsidRDefault="00D31C86" w:rsidP="00664478">
            <w:pPr>
              <w:rPr>
                <w:sz w:val="22"/>
                <w:lang w:val="en-US"/>
              </w:rPr>
            </w:pPr>
            <w:r w:rsidRPr="005138D5">
              <w:rPr>
                <w:sz w:val="22"/>
              </w:rPr>
              <w:t>zapalenie zatok</w:t>
            </w:r>
          </w:p>
        </w:tc>
        <w:tc>
          <w:tcPr>
            <w:tcW w:w="1842" w:type="dxa"/>
          </w:tcPr>
          <w:p w14:paraId="760197E7" w14:textId="77777777" w:rsidR="00D31C86" w:rsidRPr="005138D5" w:rsidRDefault="00D31C86" w:rsidP="00664478">
            <w:pPr>
              <w:rPr>
                <w:sz w:val="22"/>
                <w:lang w:val="en-US"/>
              </w:rPr>
            </w:pPr>
            <w:r w:rsidRPr="005138D5">
              <w:rPr>
                <w:sz w:val="22"/>
              </w:rPr>
              <w:t>rzekomobłoniaste zapalenie okrężnicy</w:t>
            </w:r>
          </w:p>
        </w:tc>
        <w:tc>
          <w:tcPr>
            <w:tcW w:w="1843" w:type="dxa"/>
          </w:tcPr>
          <w:p w14:paraId="362D602C" w14:textId="77777777" w:rsidR="00D31C86" w:rsidRPr="005138D5" w:rsidRDefault="00D31C86" w:rsidP="00664478">
            <w:pPr>
              <w:rPr>
                <w:sz w:val="22"/>
                <w:lang w:val="en-US"/>
              </w:rPr>
            </w:pPr>
          </w:p>
        </w:tc>
        <w:tc>
          <w:tcPr>
            <w:tcW w:w="1433" w:type="dxa"/>
          </w:tcPr>
          <w:p w14:paraId="05CF3727" w14:textId="77777777" w:rsidR="00D31C86" w:rsidRPr="005138D5" w:rsidRDefault="00D31C86" w:rsidP="00664478">
            <w:pPr>
              <w:rPr>
                <w:sz w:val="22"/>
                <w:lang w:val="en-US"/>
              </w:rPr>
            </w:pPr>
          </w:p>
        </w:tc>
      </w:tr>
      <w:tr w:rsidR="00D31C86" w:rsidRPr="005138D5" w14:paraId="57523EC3" w14:textId="77777777" w:rsidTr="00664478">
        <w:trPr>
          <w:trHeight w:val="790"/>
        </w:trPr>
        <w:tc>
          <w:tcPr>
            <w:tcW w:w="1701" w:type="dxa"/>
          </w:tcPr>
          <w:p w14:paraId="46865177" w14:textId="77777777" w:rsidR="00D31C86" w:rsidRPr="005138D5" w:rsidRDefault="00D31C86" w:rsidP="00664478">
            <w:pPr>
              <w:keepNext/>
              <w:keepLines/>
              <w:rPr>
                <w:sz w:val="22"/>
              </w:rPr>
            </w:pPr>
            <w:r w:rsidRPr="005138D5">
              <w:rPr>
                <w:sz w:val="22"/>
              </w:rPr>
              <w:t>Nowotwory łagodne, złośliwe i nieokreślone (w tym torbiele i polipy)</w:t>
            </w:r>
          </w:p>
        </w:tc>
        <w:tc>
          <w:tcPr>
            <w:tcW w:w="1449" w:type="dxa"/>
          </w:tcPr>
          <w:p w14:paraId="29F0249D" w14:textId="77777777" w:rsidR="00D31C86" w:rsidRPr="005138D5" w:rsidRDefault="00D31C86" w:rsidP="00664478">
            <w:pPr>
              <w:keepNext/>
              <w:keepLines/>
              <w:rPr>
                <w:sz w:val="22"/>
              </w:rPr>
            </w:pPr>
          </w:p>
        </w:tc>
        <w:tc>
          <w:tcPr>
            <w:tcW w:w="1812" w:type="dxa"/>
          </w:tcPr>
          <w:p w14:paraId="25198130" w14:textId="77777777" w:rsidR="009745B5" w:rsidRPr="009745B5" w:rsidRDefault="009745B5" w:rsidP="009745B5">
            <w:pPr>
              <w:keepNext/>
              <w:keepLines/>
              <w:rPr>
                <w:sz w:val="22"/>
              </w:rPr>
            </w:pPr>
            <w:r w:rsidRPr="009745B5">
              <w:rPr>
                <w:sz w:val="22"/>
              </w:rPr>
              <w:t>rak kolczystoko-mórkowy skóry (w tym rak kolczystokomórkowy skóry in situ lub choroba</w:t>
            </w:r>
          </w:p>
          <w:p w14:paraId="7CB96177" w14:textId="2A138A71" w:rsidR="00D31C86" w:rsidRPr="005138D5" w:rsidRDefault="009745B5" w:rsidP="009745B5">
            <w:pPr>
              <w:keepNext/>
              <w:keepLines/>
              <w:rPr>
                <w:sz w:val="22"/>
              </w:rPr>
            </w:pPr>
            <w:r w:rsidRPr="009745B5">
              <w:rPr>
                <w:sz w:val="22"/>
              </w:rPr>
              <w:t>Bowena)*</w:t>
            </w:r>
            <w:r>
              <w:rPr>
                <w:sz w:val="22"/>
              </w:rPr>
              <w:t>,**</w:t>
            </w:r>
          </w:p>
        </w:tc>
        <w:tc>
          <w:tcPr>
            <w:tcW w:w="1842" w:type="dxa"/>
          </w:tcPr>
          <w:p w14:paraId="6EDD088A" w14:textId="77777777" w:rsidR="00D31C86" w:rsidRPr="005138D5" w:rsidRDefault="00D31C86" w:rsidP="00664478">
            <w:pPr>
              <w:keepNext/>
              <w:keepLines/>
              <w:rPr>
                <w:sz w:val="22"/>
              </w:rPr>
            </w:pPr>
          </w:p>
        </w:tc>
        <w:tc>
          <w:tcPr>
            <w:tcW w:w="1843" w:type="dxa"/>
          </w:tcPr>
          <w:p w14:paraId="309D8F25" w14:textId="77777777" w:rsidR="00D31C86" w:rsidRPr="005138D5" w:rsidRDefault="00D31C86" w:rsidP="00664478">
            <w:pPr>
              <w:keepNext/>
              <w:keepLines/>
              <w:rPr>
                <w:sz w:val="22"/>
              </w:rPr>
            </w:pPr>
          </w:p>
        </w:tc>
        <w:tc>
          <w:tcPr>
            <w:tcW w:w="1433" w:type="dxa"/>
          </w:tcPr>
          <w:p w14:paraId="27893F68" w14:textId="434F010B" w:rsidR="00D31C86" w:rsidRPr="005138D5" w:rsidRDefault="00D31C86" w:rsidP="00C8744C">
            <w:pPr>
              <w:keepNext/>
              <w:keepLines/>
              <w:rPr>
                <w:sz w:val="22"/>
                <w:lang w:val="en-US"/>
              </w:rPr>
            </w:pPr>
          </w:p>
        </w:tc>
      </w:tr>
      <w:tr w:rsidR="00D31C86" w:rsidRPr="005138D5" w14:paraId="5B02D89B" w14:textId="77777777" w:rsidTr="00664478">
        <w:trPr>
          <w:trHeight w:val="1264"/>
        </w:trPr>
        <w:tc>
          <w:tcPr>
            <w:tcW w:w="1701" w:type="dxa"/>
          </w:tcPr>
          <w:p w14:paraId="093EB1B5" w14:textId="77777777" w:rsidR="00D31C86" w:rsidRPr="005138D5" w:rsidRDefault="00D31C86" w:rsidP="00664478">
            <w:pPr>
              <w:rPr>
                <w:sz w:val="22"/>
              </w:rPr>
            </w:pPr>
            <w:r w:rsidRPr="005138D5">
              <w:rPr>
                <w:sz w:val="22"/>
              </w:rPr>
              <w:t>Zaburzenia krwi i układu chłonnego</w:t>
            </w:r>
          </w:p>
        </w:tc>
        <w:tc>
          <w:tcPr>
            <w:tcW w:w="1449" w:type="dxa"/>
          </w:tcPr>
          <w:p w14:paraId="453431B0" w14:textId="77777777" w:rsidR="00D31C86" w:rsidRPr="005138D5" w:rsidRDefault="00D31C86" w:rsidP="00664478">
            <w:pPr>
              <w:rPr>
                <w:sz w:val="22"/>
              </w:rPr>
            </w:pPr>
          </w:p>
        </w:tc>
        <w:tc>
          <w:tcPr>
            <w:tcW w:w="1812" w:type="dxa"/>
          </w:tcPr>
          <w:p w14:paraId="7E630AF8" w14:textId="77777777" w:rsidR="00D31C86" w:rsidRPr="005138D5" w:rsidRDefault="00D31C86" w:rsidP="00664478">
            <w:pPr>
              <w:pStyle w:val="TableText"/>
              <w:rPr>
                <w:rFonts w:cs="Times New Roman"/>
                <w:lang w:val="pl-PL"/>
              </w:rPr>
            </w:pPr>
            <w:r w:rsidRPr="005138D5">
              <w:rPr>
                <w:rFonts w:cs="Times New Roman"/>
                <w:lang w:val="pl-PL"/>
              </w:rPr>
              <w:t>agranulocytoza</w:t>
            </w:r>
            <w:r w:rsidRPr="005138D5">
              <w:rPr>
                <w:rStyle w:val="TableText12"/>
                <w:rFonts w:cs="Times New Roman"/>
                <w:sz w:val="22"/>
                <w:vertAlign w:val="superscript"/>
                <w:lang w:val="pl-PL"/>
              </w:rPr>
              <w:t>1</w:t>
            </w:r>
            <w:r w:rsidRPr="005138D5">
              <w:rPr>
                <w:rStyle w:val="TableText12"/>
                <w:rFonts w:cs="Times New Roman"/>
                <w:sz w:val="22"/>
                <w:lang w:val="pl-PL"/>
              </w:rPr>
              <w:t xml:space="preserve">, pancytopenia, </w:t>
            </w:r>
            <w:r w:rsidRPr="005138D5">
              <w:rPr>
                <w:rFonts w:cs="Times New Roman"/>
                <w:lang w:val="pl-PL"/>
              </w:rPr>
              <w:t>małopłytkowość</w:t>
            </w:r>
            <w:r w:rsidRPr="005138D5">
              <w:rPr>
                <w:rStyle w:val="TableText12"/>
                <w:rFonts w:cs="Times New Roman"/>
                <w:sz w:val="22"/>
                <w:vertAlign w:val="superscript"/>
                <w:lang w:val="pl-PL"/>
              </w:rPr>
              <w:t>2</w:t>
            </w:r>
            <w:r w:rsidRPr="005138D5">
              <w:rPr>
                <w:rStyle w:val="TableText12"/>
                <w:rFonts w:cs="Times New Roman"/>
                <w:sz w:val="22"/>
                <w:lang w:val="pl-PL"/>
              </w:rPr>
              <w:t xml:space="preserve">, leukopenia, </w:t>
            </w:r>
            <w:r w:rsidRPr="005138D5">
              <w:rPr>
                <w:rFonts w:cs="Times New Roman"/>
                <w:lang w:val="pl-PL"/>
              </w:rPr>
              <w:t>niedokrwistość</w:t>
            </w:r>
          </w:p>
        </w:tc>
        <w:tc>
          <w:tcPr>
            <w:tcW w:w="1842" w:type="dxa"/>
          </w:tcPr>
          <w:p w14:paraId="38A8CAB9" w14:textId="77777777" w:rsidR="00D31C86" w:rsidRPr="005138D5" w:rsidRDefault="00D31C86" w:rsidP="00664478">
            <w:pPr>
              <w:pStyle w:val="TableText"/>
              <w:rPr>
                <w:rFonts w:cs="Times New Roman"/>
                <w:lang w:val="pl-PL"/>
              </w:rPr>
            </w:pPr>
            <w:r w:rsidRPr="005138D5">
              <w:rPr>
                <w:rFonts w:cs="Times New Roman"/>
                <w:lang w:val="pl-PL"/>
              </w:rPr>
              <w:t>niewydolność szpiku kostnego</w:t>
            </w:r>
            <w:r w:rsidRPr="005138D5">
              <w:rPr>
                <w:rStyle w:val="TableText12"/>
                <w:rFonts w:cs="Times New Roman"/>
                <w:sz w:val="22"/>
                <w:lang w:val="pl-PL"/>
              </w:rPr>
              <w:t xml:space="preserve">, </w:t>
            </w:r>
            <w:r w:rsidRPr="005138D5">
              <w:rPr>
                <w:rFonts w:cs="Times New Roman"/>
                <w:lang w:val="pl-PL"/>
              </w:rPr>
              <w:t>limfadenopatia, eozynofilia</w:t>
            </w:r>
          </w:p>
        </w:tc>
        <w:tc>
          <w:tcPr>
            <w:tcW w:w="1843" w:type="dxa"/>
          </w:tcPr>
          <w:p w14:paraId="3E75F426" w14:textId="77777777" w:rsidR="00D31C86" w:rsidRPr="005138D5" w:rsidRDefault="00D31C86" w:rsidP="00664478">
            <w:pPr>
              <w:pStyle w:val="TableText"/>
              <w:rPr>
                <w:rFonts w:cs="Times New Roman"/>
              </w:rPr>
            </w:pPr>
            <w:proofErr w:type="spellStart"/>
            <w:r w:rsidRPr="005138D5">
              <w:rPr>
                <w:rFonts w:cs="Times New Roman"/>
              </w:rPr>
              <w:t>rozsiane</w:t>
            </w:r>
            <w:proofErr w:type="spellEnd"/>
            <w:r w:rsidRPr="005138D5">
              <w:rPr>
                <w:rFonts w:cs="Times New Roman"/>
              </w:rPr>
              <w:t xml:space="preserve"> </w:t>
            </w:r>
            <w:proofErr w:type="spellStart"/>
            <w:r w:rsidRPr="005138D5">
              <w:rPr>
                <w:rFonts w:cs="Times New Roman"/>
              </w:rPr>
              <w:t>wykrzepianie</w:t>
            </w:r>
            <w:proofErr w:type="spellEnd"/>
            <w:r w:rsidRPr="005138D5">
              <w:rPr>
                <w:rFonts w:cs="Times New Roman"/>
              </w:rPr>
              <w:t xml:space="preserve"> </w:t>
            </w:r>
            <w:proofErr w:type="spellStart"/>
            <w:r w:rsidRPr="005138D5">
              <w:rPr>
                <w:rFonts w:cs="Times New Roman"/>
              </w:rPr>
              <w:t>wewnątrznaczy-niowe</w:t>
            </w:r>
            <w:proofErr w:type="spellEnd"/>
          </w:p>
        </w:tc>
        <w:tc>
          <w:tcPr>
            <w:tcW w:w="1433" w:type="dxa"/>
          </w:tcPr>
          <w:p w14:paraId="4E242095" w14:textId="77777777" w:rsidR="00D31C86" w:rsidRPr="005138D5" w:rsidRDefault="00D31C86" w:rsidP="00664478">
            <w:pPr>
              <w:rPr>
                <w:sz w:val="22"/>
                <w:lang w:val="en-US"/>
              </w:rPr>
            </w:pPr>
          </w:p>
        </w:tc>
      </w:tr>
      <w:tr w:rsidR="00D31C86" w:rsidRPr="005138D5" w14:paraId="056C85D6" w14:textId="77777777" w:rsidTr="00664478">
        <w:trPr>
          <w:trHeight w:val="790"/>
        </w:trPr>
        <w:tc>
          <w:tcPr>
            <w:tcW w:w="1701" w:type="dxa"/>
          </w:tcPr>
          <w:p w14:paraId="173CA267"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układu</w:t>
            </w:r>
            <w:proofErr w:type="spellEnd"/>
            <w:r w:rsidRPr="005138D5">
              <w:rPr>
                <w:sz w:val="22"/>
                <w:lang w:val="en-US"/>
              </w:rPr>
              <w:t xml:space="preserve"> </w:t>
            </w:r>
            <w:proofErr w:type="spellStart"/>
            <w:r w:rsidRPr="005138D5">
              <w:rPr>
                <w:sz w:val="22"/>
                <w:lang w:val="en-US"/>
              </w:rPr>
              <w:t>immunologiczn</w:t>
            </w:r>
            <w:proofErr w:type="spellEnd"/>
            <w:r w:rsidRPr="005138D5">
              <w:rPr>
                <w:sz w:val="22"/>
                <w:lang w:val="en-US"/>
              </w:rPr>
              <w:t>-ego</w:t>
            </w:r>
          </w:p>
        </w:tc>
        <w:tc>
          <w:tcPr>
            <w:tcW w:w="1449" w:type="dxa"/>
          </w:tcPr>
          <w:p w14:paraId="0C2F1912" w14:textId="77777777" w:rsidR="00D31C86" w:rsidRPr="005138D5" w:rsidRDefault="00D31C86" w:rsidP="00664478">
            <w:pPr>
              <w:rPr>
                <w:sz w:val="22"/>
                <w:lang w:val="en-US"/>
              </w:rPr>
            </w:pPr>
          </w:p>
        </w:tc>
        <w:tc>
          <w:tcPr>
            <w:tcW w:w="1812" w:type="dxa"/>
          </w:tcPr>
          <w:p w14:paraId="05E17E3E" w14:textId="77777777" w:rsidR="00D31C86" w:rsidRPr="005138D5" w:rsidRDefault="00D31C86" w:rsidP="00664478">
            <w:pPr>
              <w:rPr>
                <w:sz w:val="22"/>
                <w:lang w:val="en-US"/>
              </w:rPr>
            </w:pPr>
          </w:p>
        </w:tc>
        <w:tc>
          <w:tcPr>
            <w:tcW w:w="1842" w:type="dxa"/>
          </w:tcPr>
          <w:p w14:paraId="36B4B491" w14:textId="77777777" w:rsidR="00D31C86" w:rsidRPr="005138D5" w:rsidRDefault="00D31C86" w:rsidP="00664478">
            <w:pPr>
              <w:pStyle w:val="TableText"/>
              <w:rPr>
                <w:rFonts w:cs="Times New Roman"/>
              </w:rPr>
            </w:pPr>
            <w:proofErr w:type="spellStart"/>
            <w:r w:rsidRPr="005138D5">
              <w:rPr>
                <w:rFonts w:cs="Times New Roman"/>
              </w:rPr>
              <w:t>nadwrażliwość</w:t>
            </w:r>
            <w:proofErr w:type="spellEnd"/>
          </w:p>
        </w:tc>
        <w:tc>
          <w:tcPr>
            <w:tcW w:w="1843" w:type="dxa"/>
          </w:tcPr>
          <w:p w14:paraId="4D7FE050" w14:textId="77777777" w:rsidR="00D31C86" w:rsidRPr="005138D5" w:rsidRDefault="00D31C86" w:rsidP="00664478">
            <w:pPr>
              <w:pStyle w:val="TableText"/>
              <w:rPr>
                <w:rFonts w:cs="Times New Roman"/>
              </w:rPr>
            </w:pPr>
            <w:proofErr w:type="spellStart"/>
            <w:r w:rsidRPr="005138D5">
              <w:rPr>
                <w:rFonts w:cs="Times New Roman"/>
              </w:rPr>
              <w:t>reakcja</w:t>
            </w:r>
            <w:proofErr w:type="spellEnd"/>
            <w:r w:rsidRPr="005138D5">
              <w:rPr>
                <w:rFonts w:cs="Times New Roman"/>
              </w:rPr>
              <w:t xml:space="preserve"> </w:t>
            </w:r>
            <w:proofErr w:type="spellStart"/>
            <w:r w:rsidRPr="005138D5">
              <w:rPr>
                <w:rFonts w:cs="Times New Roman"/>
              </w:rPr>
              <w:t>anafilaktyczna</w:t>
            </w:r>
            <w:proofErr w:type="spellEnd"/>
          </w:p>
        </w:tc>
        <w:tc>
          <w:tcPr>
            <w:tcW w:w="1433" w:type="dxa"/>
          </w:tcPr>
          <w:p w14:paraId="3DCD3B66" w14:textId="77777777" w:rsidR="00D31C86" w:rsidRPr="005138D5" w:rsidRDefault="00D31C86" w:rsidP="00664478">
            <w:pPr>
              <w:rPr>
                <w:sz w:val="22"/>
                <w:lang w:val="en-US"/>
              </w:rPr>
            </w:pPr>
          </w:p>
        </w:tc>
      </w:tr>
      <w:tr w:rsidR="00D31C86" w:rsidRPr="005138D5" w14:paraId="37820F92" w14:textId="77777777" w:rsidTr="00664478">
        <w:trPr>
          <w:trHeight w:val="790"/>
        </w:trPr>
        <w:tc>
          <w:tcPr>
            <w:tcW w:w="1701" w:type="dxa"/>
          </w:tcPr>
          <w:p w14:paraId="2F5704B0"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endokrynologi-czne</w:t>
            </w:r>
            <w:proofErr w:type="spellEnd"/>
          </w:p>
        </w:tc>
        <w:tc>
          <w:tcPr>
            <w:tcW w:w="1449" w:type="dxa"/>
          </w:tcPr>
          <w:p w14:paraId="385B9247" w14:textId="77777777" w:rsidR="00D31C86" w:rsidRPr="005138D5" w:rsidRDefault="00D31C86" w:rsidP="00664478">
            <w:pPr>
              <w:rPr>
                <w:sz w:val="22"/>
                <w:lang w:val="en-US"/>
              </w:rPr>
            </w:pPr>
          </w:p>
        </w:tc>
        <w:tc>
          <w:tcPr>
            <w:tcW w:w="1812" w:type="dxa"/>
          </w:tcPr>
          <w:p w14:paraId="2C078C6E" w14:textId="77777777" w:rsidR="00D31C86" w:rsidRPr="005138D5" w:rsidRDefault="00D31C86" w:rsidP="00664478">
            <w:pPr>
              <w:rPr>
                <w:sz w:val="22"/>
                <w:lang w:val="en-US"/>
              </w:rPr>
            </w:pPr>
          </w:p>
        </w:tc>
        <w:tc>
          <w:tcPr>
            <w:tcW w:w="1842" w:type="dxa"/>
          </w:tcPr>
          <w:p w14:paraId="38A31B3F" w14:textId="77777777" w:rsidR="00D31C86" w:rsidRPr="005138D5" w:rsidRDefault="00D31C86" w:rsidP="00664478">
            <w:pPr>
              <w:pStyle w:val="TableText"/>
              <w:rPr>
                <w:rFonts w:cs="Times New Roman"/>
              </w:rPr>
            </w:pPr>
            <w:proofErr w:type="spellStart"/>
            <w:r w:rsidRPr="005138D5">
              <w:rPr>
                <w:rFonts w:cs="Times New Roman"/>
              </w:rPr>
              <w:t>niedoczynność</w:t>
            </w:r>
            <w:proofErr w:type="spellEnd"/>
            <w:r w:rsidRPr="005138D5">
              <w:rPr>
                <w:rFonts w:cs="Times New Roman"/>
              </w:rPr>
              <w:t xml:space="preserve"> </w:t>
            </w:r>
            <w:proofErr w:type="spellStart"/>
            <w:r w:rsidRPr="005138D5">
              <w:rPr>
                <w:rFonts w:cs="Times New Roman"/>
              </w:rPr>
              <w:t>nadnerczy</w:t>
            </w:r>
            <w:proofErr w:type="spellEnd"/>
            <w:r w:rsidRPr="005138D5">
              <w:rPr>
                <w:rFonts w:cs="Times New Roman"/>
              </w:rPr>
              <w:t xml:space="preserve">, </w:t>
            </w:r>
            <w:proofErr w:type="spellStart"/>
            <w:r w:rsidRPr="005138D5">
              <w:rPr>
                <w:rFonts w:cs="Times New Roman"/>
              </w:rPr>
              <w:t>niedoczynność</w:t>
            </w:r>
            <w:proofErr w:type="spellEnd"/>
            <w:r w:rsidRPr="005138D5">
              <w:rPr>
                <w:rFonts w:cs="Times New Roman"/>
              </w:rPr>
              <w:t xml:space="preserve"> </w:t>
            </w:r>
            <w:proofErr w:type="spellStart"/>
            <w:r w:rsidRPr="005138D5">
              <w:rPr>
                <w:rFonts w:cs="Times New Roman"/>
              </w:rPr>
              <w:t>tarczycy</w:t>
            </w:r>
            <w:proofErr w:type="spellEnd"/>
          </w:p>
        </w:tc>
        <w:tc>
          <w:tcPr>
            <w:tcW w:w="1843" w:type="dxa"/>
          </w:tcPr>
          <w:p w14:paraId="64591E12" w14:textId="77777777" w:rsidR="00D31C86" w:rsidRPr="005138D5" w:rsidRDefault="00D31C86" w:rsidP="00664478">
            <w:pPr>
              <w:rPr>
                <w:sz w:val="22"/>
                <w:lang w:val="en-US"/>
              </w:rPr>
            </w:pPr>
            <w:r w:rsidRPr="005138D5">
              <w:rPr>
                <w:sz w:val="22"/>
              </w:rPr>
              <w:t>nadczynność tarczycy</w:t>
            </w:r>
          </w:p>
        </w:tc>
        <w:tc>
          <w:tcPr>
            <w:tcW w:w="1433" w:type="dxa"/>
          </w:tcPr>
          <w:p w14:paraId="49E37EBE" w14:textId="77777777" w:rsidR="00D31C86" w:rsidRPr="005138D5" w:rsidRDefault="00D31C86" w:rsidP="00664478">
            <w:pPr>
              <w:rPr>
                <w:sz w:val="22"/>
                <w:lang w:val="en-US"/>
              </w:rPr>
            </w:pPr>
          </w:p>
        </w:tc>
      </w:tr>
      <w:tr w:rsidR="00D31C86" w:rsidRPr="005138D5" w14:paraId="0530A813" w14:textId="77777777" w:rsidTr="00664478">
        <w:trPr>
          <w:trHeight w:val="790"/>
        </w:trPr>
        <w:tc>
          <w:tcPr>
            <w:tcW w:w="1701" w:type="dxa"/>
          </w:tcPr>
          <w:p w14:paraId="139C37FF"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metabolizmu</w:t>
            </w:r>
            <w:proofErr w:type="spellEnd"/>
            <w:r w:rsidRPr="005138D5">
              <w:rPr>
                <w:sz w:val="22"/>
                <w:lang w:val="en-US"/>
              </w:rPr>
              <w:t xml:space="preserve"> </w:t>
            </w:r>
            <w:proofErr w:type="spellStart"/>
            <w:r w:rsidRPr="005138D5">
              <w:rPr>
                <w:sz w:val="22"/>
                <w:lang w:val="en-US"/>
              </w:rPr>
              <w:t>i</w:t>
            </w:r>
            <w:proofErr w:type="spellEnd"/>
            <w:r w:rsidRPr="005138D5">
              <w:rPr>
                <w:sz w:val="22"/>
                <w:lang w:val="en-US"/>
              </w:rPr>
              <w:t> </w:t>
            </w:r>
            <w:proofErr w:type="spellStart"/>
            <w:r w:rsidRPr="005138D5">
              <w:rPr>
                <w:sz w:val="22"/>
                <w:lang w:val="en-US"/>
              </w:rPr>
              <w:t>odżywiania</w:t>
            </w:r>
            <w:proofErr w:type="spellEnd"/>
          </w:p>
        </w:tc>
        <w:tc>
          <w:tcPr>
            <w:tcW w:w="1449" w:type="dxa"/>
          </w:tcPr>
          <w:p w14:paraId="6B1CF0F3" w14:textId="77777777" w:rsidR="00D31C86" w:rsidRPr="005138D5" w:rsidRDefault="00D31C86" w:rsidP="00664478">
            <w:pPr>
              <w:rPr>
                <w:sz w:val="22"/>
                <w:lang w:val="en-US"/>
              </w:rPr>
            </w:pPr>
            <w:r w:rsidRPr="005138D5">
              <w:rPr>
                <w:sz w:val="22"/>
              </w:rPr>
              <w:t>obrzęk obwodowy</w:t>
            </w:r>
          </w:p>
        </w:tc>
        <w:tc>
          <w:tcPr>
            <w:tcW w:w="1812" w:type="dxa"/>
          </w:tcPr>
          <w:p w14:paraId="505486C6" w14:textId="77777777" w:rsidR="00D31C86" w:rsidRPr="005138D5" w:rsidRDefault="00D31C86" w:rsidP="00664478">
            <w:pPr>
              <w:pStyle w:val="TableText"/>
              <w:rPr>
                <w:rFonts w:cs="Times New Roman"/>
              </w:rPr>
            </w:pPr>
            <w:proofErr w:type="spellStart"/>
            <w:r w:rsidRPr="005138D5">
              <w:rPr>
                <w:rFonts w:cs="Times New Roman"/>
              </w:rPr>
              <w:t>hipoglikemia</w:t>
            </w:r>
            <w:proofErr w:type="spellEnd"/>
            <w:r w:rsidRPr="005138D5">
              <w:rPr>
                <w:rFonts w:cs="Times New Roman"/>
              </w:rPr>
              <w:t xml:space="preserve">, </w:t>
            </w:r>
            <w:proofErr w:type="spellStart"/>
            <w:r w:rsidRPr="005138D5">
              <w:rPr>
                <w:rFonts w:cs="Times New Roman"/>
              </w:rPr>
              <w:t>hipokaliemia</w:t>
            </w:r>
            <w:proofErr w:type="spellEnd"/>
            <w:r w:rsidRPr="005138D5">
              <w:rPr>
                <w:rFonts w:cs="Times New Roman"/>
              </w:rPr>
              <w:t xml:space="preserve">, </w:t>
            </w:r>
            <w:proofErr w:type="spellStart"/>
            <w:r w:rsidRPr="005138D5">
              <w:rPr>
                <w:rFonts w:cs="Times New Roman"/>
              </w:rPr>
              <w:t>hiponatremia</w:t>
            </w:r>
            <w:proofErr w:type="spellEnd"/>
          </w:p>
        </w:tc>
        <w:tc>
          <w:tcPr>
            <w:tcW w:w="1842" w:type="dxa"/>
          </w:tcPr>
          <w:p w14:paraId="55C3345E" w14:textId="77777777" w:rsidR="00D31C86" w:rsidRPr="005138D5" w:rsidRDefault="00D31C86" w:rsidP="00664478">
            <w:pPr>
              <w:rPr>
                <w:sz w:val="22"/>
                <w:lang w:val="en-US"/>
              </w:rPr>
            </w:pPr>
          </w:p>
        </w:tc>
        <w:tc>
          <w:tcPr>
            <w:tcW w:w="1843" w:type="dxa"/>
          </w:tcPr>
          <w:p w14:paraId="3CBCDD34" w14:textId="77777777" w:rsidR="00D31C86" w:rsidRPr="005138D5" w:rsidRDefault="00D31C86" w:rsidP="00664478">
            <w:pPr>
              <w:rPr>
                <w:sz w:val="22"/>
                <w:lang w:val="en-US"/>
              </w:rPr>
            </w:pPr>
          </w:p>
        </w:tc>
        <w:tc>
          <w:tcPr>
            <w:tcW w:w="1433" w:type="dxa"/>
          </w:tcPr>
          <w:p w14:paraId="347EF2AD" w14:textId="77777777" w:rsidR="00D31C86" w:rsidRPr="005138D5" w:rsidRDefault="00D31C86" w:rsidP="00664478">
            <w:pPr>
              <w:rPr>
                <w:sz w:val="22"/>
                <w:lang w:val="en-US"/>
              </w:rPr>
            </w:pPr>
          </w:p>
        </w:tc>
      </w:tr>
      <w:tr w:rsidR="00D31C86" w:rsidRPr="005138D5" w14:paraId="1D6A4DB0" w14:textId="77777777" w:rsidTr="00664478">
        <w:trPr>
          <w:trHeight w:val="481"/>
        </w:trPr>
        <w:tc>
          <w:tcPr>
            <w:tcW w:w="1701" w:type="dxa"/>
          </w:tcPr>
          <w:p w14:paraId="36AC907C"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psychiczne</w:t>
            </w:r>
            <w:proofErr w:type="spellEnd"/>
          </w:p>
        </w:tc>
        <w:tc>
          <w:tcPr>
            <w:tcW w:w="1449" w:type="dxa"/>
          </w:tcPr>
          <w:p w14:paraId="152FA5A3" w14:textId="77777777" w:rsidR="00D31C86" w:rsidRPr="005138D5" w:rsidRDefault="00D31C86" w:rsidP="00664478">
            <w:pPr>
              <w:rPr>
                <w:sz w:val="22"/>
                <w:lang w:val="en-US"/>
              </w:rPr>
            </w:pPr>
          </w:p>
        </w:tc>
        <w:tc>
          <w:tcPr>
            <w:tcW w:w="1812" w:type="dxa"/>
          </w:tcPr>
          <w:p w14:paraId="5FF227B8" w14:textId="77777777" w:rsidR="00D31C86" w:rsidRPr="005138D5" w:rsidRDefault="00D31C86" w:rsidP="00664478">
            <w:pPr>
              <w:rPr>
                <w:sz w:val="22"/>
              </w:rPr>
            </w:pPr>
            <w:r w:rsidRPr="005138D5">
              <w:rPr>
                <w:sz w:val="22"/>
              </w:rPr>
              <w:t>depresja, omamy, lęk, bezsenność, pobudzenie, uczucie splątania</w:t>
            </w:r>
          </w:p>
        </w:tc>
        <w:tc>
          <w:tcPr>
            <w:tcW w:w="1842" w:type="dxa"/>
          </w:tcPr>
          <w:p w14:paraId="67EA9EF3" w14:textId="77777777" w:rsidR="00D31C86" w:rsidRPr="005138D5" w:rsidRDefault="00D31C86" w:rsidP="00664478">
            <w:pPr>
              <w:rPr>
                <w:sz w:val="22"/>
              </w:rPr>
            </w:pPr>
          </w:p>
        </w:tc>
        <w:tc>
          <w:tcPr>
            <w:tcW w:w="1843" w:type="dxa"/>
          </w:tcPr>
          <w:p w14:paraId="2EE0B9B4" w14:textId="77777777" w:rsidR="00D31C86" w:rsidRPr="005138D5" w:rsidRDefault="00D31C86" w:rsidP="00664478">
            <w:pPr>
              <w:rPr>
                <w:sz w:val="22"/>
              </w:rPr>
            </w:pPr>
          </w:p>
        </w:tc>
        <w:tc>
          <w:tcPr>
            <w:tcW w:w="1433" w:type="dxa"/>
          </w:tcPr>
          <w:p w14:paraId="7E40F7AB" w14:textId="77777777" w:rsidR="00D31C86" w:rsidRPr="005138D5" w:rsidRDefault="00D31C86" w:rsidP="00664478">
            <w:pPr>
              <w:rPr>
                <w:sz w:val="22"/>
              </w:rPr>
            </w:pPr>
          </w:p>
        </w:tc>
      </w:tr>
      <w:tr w:rsidR="00D31C86" w:rsidRPr="005138D5" w14:paraId="2848185E" w14:textId="77777777" w:rsidTr="00664478">
        <w:trPr>
          <w:trHeight w:val="790"/>
        </w:trPr>
        <w:tc>
          <w:tcPr>
            <w:tcW w:w="1701" w:type="dxa"/>
          </w:tcPr>
          <w:p w14:paraId="12332871"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układu</w:t>
            </w:r>
            <w:proofErr w:type="spellEnd"/>
            <w:r w:rsidRPr="005138D5">
              <w:rPr>
                <w:sz w:val="22"/>
                <w:lang w:val="en-US"/>
              </w:rPr>
              <w:t xml:space="preserve"> </w:t>
            </w:r>
            <w:proofErr w:type="spellStart"/>
            <w:r w:rsidRPr="005138D5">
              <w:rPr>
                <w:sz w:val="22"/>
                <w:lang w:val="en-US"/>
              </w:rPr>
              <w:t>nerwowego</w:t>
            </w:r>
            <w:proofErr w:type="spellEnd"/>
          </w:p>
        </w:tc>
        <w:tc>
          <w:tcPr>
            <w:tcW w:w="1449" w:type="dxa"/>
          </w:tcPr>
          <w:p w14:paraId="4FA31FD0" w14:textId="77777777" w:rsidR="00D31C86" w:rsidRPr="005138D5" w:rsidRDefault="00D31C86" w:rsidP="00664478">
            <w:pPr>
              <w:rPr>
                <w:sz w:val="22"/>
                <w:lang w:val="en-US"/>
              </w:rPr>
            </w:pPr>
            <w:r w:rsidRPr="005138D5">
              <w:rPr>
                <w:sz w:val="22"/>
              </w:rPr>
              <w:t>ból głowy</w:t>
            </w:r>
          </w:p>
        </w:tc>
        <w:tc>
          <w:tcPr>
            <w:tcW w:w="1812" w:type="dxa"/>
          </w:tcPr>
          <w:p w14:paraId="40084135" w14:textId="77777777" w:rsidR="00D31C86" w:rsidRPr="005138D5" w:rsidRDefault="00D31C86" w:rsidP="00664478">
            <w:pPr>
              <w:pStyle w:val="TableText"/>
              <w:rPr>
                <w:rFonts w:cs="Times New Roman"/>
                <w:lang w:val="pl-PL"/>
              </w:rPr>
            </w:pPr>
            <w:r w:rsidRPr="005138D5">
              <w:rPr>
                <w:rFonts w:cs="Times New Roman"/>
                <w:lang w:val="pl-PL"/>
              </w:rPr>
              <w:t>drgawki</w:t>
            </w:r>
            <w:r w:rsidRPr="005138D5">
              <w:rPr>
                <w:rStyle w:val="TableText12"/>
                <w:rFonts w:cs="Times New Roman"/>
                <w:sz w:val="22"/>
                <w:lang w:val="pl-PL"/>
              </w:rPr>
              <w:t xml:space="preserve">, </w:t>
            </w:r>
            <w:r w:rsidRPr="005138D5">
              <w:rPr>
                <w:rFonts w:cs="Times New Roman"/>
                <w:lang w:val="pl-PL"/>
              </w:rPr>
              <w:t>omdlenie</w:t>
            </w:r>
            <w:r w:rsidRPr="005138D5">
              <w:rPr>
                <w:rStyle w:val="TableText12"/>
                <w:rFonts w:cs="Times New Roman"/>
                <w:sz w:val="22"/>
                <w:lang w:val="pl-PL"/>
              </w:rPr>
              <w:t xml:space="preserve">, </w:t>
            </w:r>
            <w:r w:rsidRPr="005138D5">
              <w:rPr>
                <w:rFonts w:cs="Times New Roman"/>
                <w:lang w:val="pl-PL"/>
              </w:rPr>
              <w:t>drżenie</w:t>
            </w:r>
            <w:r w:rsidRPr="005138D5">
              <w:rPr>
                <w:rStyle w:val="TableText12"/>
                <w:rFonts w:cs="Times New Roman"/>
                <w:sz w:val="22"/>
                <w:lang w:val="pl-PL"/>
              </w:rPr>
              <w:t xml:space="preserve">, </w:t>
            </w:r>
            <w:r w:rsidRPr="005138D5">
              <w:rPr>
                <w:rFonts w:cs="Times New Roman"/>
                <w:lang w:val="pl-PL"/>
              </w:rPr>
              <w:t>wzmożone napięcie mięśniowe</w:t>
            </w:r>
            <w:r w:rsidRPr="005138D5">
              <w:rPr>
                <w:rStyle w:val="TableText12"/>
                <w:rFonts w:cs="Times New Roman"/>
                <w:sz w:val="22"/>
                <w:vertAlign w:val="superscript"/>
                <w:lang w:val="pl-PL"/>
              </w:rPr>
              <w:t>3</w:t>
            </w:r>
            <w:r w:rsidRPr="005138D5">
              <w:rPr>
                <w:rStyle w:val="TableText12"/>
                <w:rFonts w:cs="Times New Roman"/>
                <w:sz w:val="22"/>
                <w:lang w:val="pl-PL"/>
              </w:rPr>
              <w:t xml:space="preserve">, </w:t>
            </w:r>
            <w:r w:rsidRPr="005138D5">
              <w:rPr>
                <w:rFonts w:cs="Times New Roman"/>
                <w:lang w:val="pl-PL"/>
              </w:rPr>
              <w:t>parestezje</w:t>
            </w:r>
            <w:r w:rsidRPr="005138D5">
              <w:rPr>
                <w:rStyle w:val="TableText12"/>
                <w:rFonts w:cs="Times New Roman"/>
                <w:sz w:val="22"/>
                <w:lang w:val="pl-PL"/>
              </w:rPr>
              <w:t xml:space="preserve">, </w:t>
            </w:r>
            <w:r w:rsidRPr="005138D5">
              <w:rPr>
                <w:rFonts w:cs="Times New Roman"/>
                <w:lang w:val="pl-PL"/>
              </w:rPr>
              <w:t>senność</w:t>
            </w:r>
            <w:r w:rsidRPr="005138D5">
              <w:rPr>
                <w:rStyle w:val="TableText12"/>
                <w:rFonts w:cs="Times New Roman"/>
                <w:sz w:val="22"/>
                <w:lang w:val="pl-PL"/>
              </w:rPr>
              <w:t xml:space="preserve">, </w:t>
            </w:r>
            <w:r w:rsidRPr="005138D5">
              <w:rPr>
                <w:rFonts w:cs="Times New Roman"/>
                <w:lang w:val="pl-PL"/>
              </w:rPr>
              <w:t>zawroty głowy</w:t>
            </w:r>
          </w:p>
        </w:tc>
        <w:tc>
          <w:tcPr>
            <w:tcW w:w="1842" w:type="dxa"/>
          </w:tcPr>
          <w:p w14:paraId="17BA7582" w14:textId="77777777" w:rsidR="00D31C86" w:rsidRPr="005138D5" w:rsidRDefault="00D31C86" w:rsidP="00664478">
            <w:pPr>
              <w:pStyle w:val="TableText"/>
              <w:rPr>
                <w:rFonts w:cs="Times New Roman"/>
                <w:lang w:val="pl-PL"/>
              </w:rPr>
            </w:pPr>
            <w:r w:rsidRPr="005138D5">
              <w:rPr>
                <w:rFonts w:cs="Times New Roman"/>
                <w:lang w:val="pl-PL"/>
              </w:rPr>
              <w:t>obrzęk mózgu, encefalopatia</w:t>
            </w:r>
            <w:r w:rsidRPr="005138D5">
              <w:rPr>
                <w:rStyle w:val="TableText12"/>
                <w:rFonts w:cs="Times New Roman"/>
                <w:sz w:val="22"/>
                <w:vertAlign w:val="superscript"/>
                <w:lang w:val="pl-PL"/>
              </w:rPr>
              <w:t>4</w:t>
            </w:r>
            <w:r w:rsidRPr="005138D5">
              <w:rPr>
                <w:rStyle w:val="TableText12"/>
                <w:rFonts w:cs="Times New Roman"/>
                <w:sz w:val="22"/>
                <w:lang w:val="pl-PL"/>
              </w:rPr>
              <w:t xml:space="preserve">, </w:t>
            </w:r>
            <w:r w:rsidRPr="005138D5">
              <w:rPr>
                <w:rFonts w:cs="Times New Roman"/>
                <w:lang w:val="pl-PL"/>
              </w:rPr>
              <w:t>zaburzenia pozapiramidowe</w:t>
            </w:r>
            <w:r w:rsidRPr="005138D5">
              <w:rPr>
                <w:rStyle w:val="TableText12"/>
                <w:rFonts w:cs="Times New Roman"/>
                <w:sz w:val="22"/>
                <w:vertAlign w:val="superscript"/>
                <w:lang w:val="pl-PL"/>
              </w:rPr>
              <w:t>5</w:t>
            </w:r>
            <w:r w:rsidRPr="005138D5">
              <w:rPr>
                <w:rStyle w:val="TableText12"/>
                <w:rFonts w:cs="Times New Roman"/>
                <w:sz w:val="22"/>
                <w:lang w:val="pl-PL"/>
              </w:rPr>
              <w:t xml:space="preserve">, </w:t>
            </w:r>
            <w:r w:rsidRPr="005138D5">
              <w:rPr>
                <w:rFonts w:cs="Times New Roman"/>
                <w:lang w:val="pl-PL"/>
              </w:rPr>
              <w:t>neuropatia obwodowa</w:t>
            </w:r>
            <w:r w:rsidRPr="005138D5">
              <w:rPr>
                <w:rStyle w:val="TableText12"/>
                <w:rFonts w:cs="Times New Roman"/>
                <w:sz w:val="22"/>
                <w:lang w:val="pl-PL"/>
              </w:rPr>
              <w:t xml:space="preserve">, </w:t>
            </w:r>
            <w:r w:rsidRPr="005138D5">
              <w:rPr>
                <w:rFonts w:cs="Times New Roman"/>
                <w:lang w:val="pl-PL"/>
              </w:rPr>
              <w:t>ataksja, niedoczulica</w:t>
            </w:r>
            <w:r w:rsidRPr="005138D5">
              <w:rPr>
                <w:rStyle w:val="TableText12"/>
                <w:rFonts w:cs="Times New Roman"/>
                <w:sz w:val="22"/>
                <w:lang w:val="pl-PL"/>
              </w:rPr>
              <w:t xml:space="preserve">, </w:t>
            </w:r>
            <w:r w:rsidRPr="005138D5">
              <w:rPr>
                <w:rFonts w:cs="Times New Roman"/>
                <w:lang w:val="pl-PL"/>
              </w:rPr>
              <w:t>zaburzenia smaku</w:t>
            </w:r>
          </w:p>
        </w:tc>
        <w:tc>
          <w:tcPr>
            <w:tcW w:w="1843" w:type="dxa"/>
          </w:tcPr>
          <w:p w14:paraId="673ABB3D" w14:textId="77777777" w:rsidR="00D31C86" w:rsidRPr="005138D5" w:rsidRDefault="00D31C86" w:rsidP="00664478">
            <w:pPr>
              <w:pStyle w:val="TableText"/>
              <w:rPr>
                <w:rFonts w:cs="Times New Roman"/>
                <w:lang w:val="pl-PL"/>
              </w:rPr>
            </w:pPr>
            <w:r w:rsidRPr="005138D5">
              <w:rPr>
                <w:rFonts w:cs="Times New Roman"/>
                <w:lang w:val="pl-PL"/>
              </w:rPr>
              <w:t>encefalopatia wątrobowa, zespół Guillaina-Barrego, oczopląs</w:t>
            </w:r>
          </w:p>
        </w:tc>
        <w:tc>
          <w:tcPr>
            <w:tcW w:w="1433" w:type="dxa"/>
          </w:tcPr>
          <w:p w14:paraId="532E0A25" w14:textId="77777777" w:rsidR="00D31C86" w:rsidRPr="005138D5" w:rsidRDefault="00D31C86" w:rsidP="00664478">
            <w:pPr>
              <w:rPr>
                <w:sz w:val="22"/>
              </w:rPr>
            </w:pPr>
          </w:p>
        </w:tc>
      </w:tr>
      <w:tr w:rsidR="00D31C86" w:rsidRPr="005138D5" w14:paraId="6EAED825" w14:textId="77777777" w:rsidTr="00664478">
        <w:trPr>
          <w:trHeight w:val="790"/>
        </w:trPr>
        <w:tc>
          <w:tcPr>
            <w:tcW w:w="1701" w:type="dxa"/>
          </w:tcPr>
          <w:p w14:paraId="70DB8957" w14:textId="77777777" w:rsidR="00D31C86" w:rsidRPr="005138D5" w:rsidRDefault="00D31C86" w:rsidP="00664478">
            <w:pPr>
              <w:keepNext/>
              <w:keepLines/>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oka</w:t>
            </w:r>
            <w:proofErr w:type="spellEnd"/>
          </w:p>
        </w:tc>
        <w:tc>
          <w:tcPr>
            <w:tcW w:w="1449" w:type="dxa"/>
          </w:tcPr>
          <w:p w14:paraId="3130BB7A" w14:textId="77777777" w:rsidR="00D31C86" w:rsidRPr="005138D5" w:rsidRDefault="007A4A85" w:rsidP="00664478">
            <w:pPr>
              <w:keepNext/>
              <w:keepLines/>
              <w:rPr>
                <w:sz w:val="22"/>
                <w:vertAlign w:val="superscript"/>
                <w:lang w:val="en-US"/>
              </w:rPr>
            </w:pPr>
            <w:r w:rsidRPr="005138D5">
              <w:rPr>
                <w:sz w:val="22"/>
              </w:rPr>
              <w:t>zaburzenie</w:t>
            </w:r>
            <w:r w:rsidR="00D31C86" w:rsidRPr="005138D5">
              <w:rPr>
                <w:sz w:val="22"/>
              </w:rPr>
              <w:t xml:space="preserve"> widzenia</w:t>
            </w:r>
            <w:r w:rsidR="00D31C86" w:rsidRPr="005138D5">
              <w:rPr>
                <w:rStyle w:val="TableText12"/>
                <w:sz w:val="22"/>
                <w:vertAlign w:val="superscript"/>
              </w:rPr>
              <w:t>6</w:t>
            </w:r>
          </w:p>
        </w:tc>
        <w:tc>
          <w:tcPr>
            <w:tcW w:w="1812" w:type="dxa"/>
          </w:tcPr>
          <w:p w14:paraId="35950E50" w14:textId="77777777" w:rsidR="00D31C86" w:rsidRPr="005138D5" w:rsidRDefault="00D31C86" w:rsidP="00664478">
            <w:pPr>
              <w:keepNext/>
              <w:keepLines/>
              <w:rPr>
                <w:sz w:val="22"/>
                <w:lang w:val="en-US"/>
              </w:rPr>
            </w:pPr>
            <w:r w:rsidRPr="005138D5">
              <w:rPr>
                <w:sz w:val="22"/>
              </w:rPr>
              <w:t>krwotok do siatkówki</w:t>
            </w:r>
          </w:p>
        </w:tc>
        <w:tc>
          <w:tcPr>
            <w:tcW w:w="1842" w:type="dxa"/>
          </w:tcPr>
          <w:p w14:paraId="3252E87B" w14:textId="77777777" w:rsidR="00D31C86" w:rsidRPr="005138D5" w:rsidRDefault="00D31C86" w:rsidP="00664478">
            <w:pPr>
              <w:pStyle w:val="TableText"/>
              <w:keepNext/>
              <w:keepLines/>
              <w:rPr>
                <w:rFonts w:cs="Times New Roman"/>
                <w:lang w:val="pl-PL"/>
              </w:rPr>
            </w:pPr>
            <w:r w:rsidRPr="005138D5">
              <w:rPr>
                <w:rFonts w:cs="Times New Roman"/>
                <w:lang w:val="pl-PL"/>
              </w:rPr>
              <w:t>choroby nerwu wzrokowego</w:t>
            </w:r>
            <w:r w:rsidRPr="005138D5">
              <w:rPr>
                <w:rStyle w:val="TableText12"/>
                <w:rFonts w:cs="Times New Roman"/>
                <w:sz w:val="22"/>
                <w:vertAlign w:val="superscript"/>
                <w:lang w:val="pl-PL"/>
              </w:rPr>
              <w:t>7</w:t>
            </w:r>
            <w:r w:rsidRPr="005138D5">
              <w:rPr>
                <w:rStyle w:val="TableText12"/>
                <w:rFonts w:cs="Times New Roman"/>
                <w:sz w:val="22"/>
                <w:lang w:val="pl-PL"/>
              </w:rPr>
              <w:t xml:space="preserve">, </w:t>
            </w:r>
            <w:r w:rsidRPr="005138D5">
              <w:rPr>
                <w:rFonts w:cs="Times New Roman"/>
                <w:lang w:val="pl-PL"/>
              </w:rPr>
              <w:t>tarcza zastoinowa</w:t>
            </w:r>
            <w:r w:rsidRPr="005138D5">
              <w:rPr>
                <w:rStyle w:val="TableText12"/>
                <w:rFonts w:cs="Times New Roman"/>
                <w:sz w:val="22"/>
                <w:vertAlign w:val="superscript"/>
                <w:lang w:val="pl-PL"/>
              </w:rPr>
              <w:t>8</w:t>
            </w:r>
            <w:r w:rsidRPr="005138D5">
              <w:rPr>
                <w:rStyle w:val="TableText12"/>
                <w:rFonts w:cs="Times New Roman"/>
                <w:sz w:val="22"/>
                <w:lang w:val="pl-PL"/>
              </w:rPr>
              <w:t xml:space="preserve">, </w:t>
            </w:r>
            <w:r w:rsidRPr="005138D5">
              <w:rPr>
                <w:rFonts w:cs="Times New Roman"/>
                <w:lang w:val="pl-PL"/>
              </w:rPr>
              <w:t>napady przymusowego patrzenia z rotacją gałek ocznych</w:t>
            </w:r>
            <w:r w:rsidRPr="005138D5">
              <w:rPr>
                <w:rStyle w:val="TableText12"/>
                <w:rFonts w:cs="Times New Roman"/>
                <w:sz w:val="22"/>
                <w:lang w:val="pl-PL"/>
              </w:rPr>
              <w:t xml:space="preserve">, diplopia, </w:t>
            </w:r>
            <w:r w:rsidRPr="005138D5">
              <w:rPr>
                <w:rFonts w:cs="Times New Roman"/>
                <w:lang w:val="pl-PL"/>
              </w:rPr>
              <w:t>zapalenie twardówki</w:t>
            </w:r>
            <w:r w:rsidRPr="005138D5">
              <w:rPr>
                <w:rStyle w:val="TableText12"/>
                <w:rFonts w:cs="Times New Roman"/>
                <w:sz w:val="22"/>
                <w:lang w:val="pl-PL"/>
              </w:rPr>
              <w:t xml:space="preserve">, </w:t>
            </w:r>
            <w:r w:rsidRPr="005138D5">
              <w:rPr>
                <w:rFonts w:cs="Times New Roman"/>
                <w:lang w:val="pl-PL"/>
              </w:rPr>
              <w:t>zapalenie brzegów powiek</w:t>
            </w:r>
          </w:p>
        </w:tc>
        <w:tc>
          <w:tcPr>
            <w:tcW w:w="1843" w:type="dxa"/>
          </w:tcPr>
          <w:p w14:paraId="31AD9339" w14:textId="77777777" w:rsidR="00D31C86" w:rsidRPr="005138D5" w:rsidRDefault="00D31C86" w:rsidP="00664478">
            <w:pPr>
              <w:pStyle w:val="TableText"/>
              <w:keepNext/>
              <w:keepLines/>
              <w:rPr>
                <w:rFonts w:cs="Times New Roman"/>
                <w:lang w:val="pl-PL"/>
              </w:rPr>
            </w:pPr>
            <w:r w:rsidRPr="005138D5">
              <w:rPr>
                <w:rFonts w:cs="Times New Roman"/>
                <w:lang w:val="pl-PL"/>
              </w:rPr>
              <w:t>zanik nerwu wzrokowego, zmętnienie rogówki</w:t>
            </w:r>
          </w:p>
        </w:tc>
        <w:tc>
          <w:tcPr>
            <w:tcW w:w="1433" w:type="dxa"/>
          </w:tcPr>
          <w:p w14:paraId="6AF5B1B2" w14:textId="77777777" w:rsidR="00D31C86" w:rsidRPr="005138D5" w:rsidRDefault="00D31C86" w:rsidP="00664478">
            <w:pPr>
              <w:keepNext/>
              <w:keepLines/>
              <w:rPr>
                <w:sz w:val="22"/>
              </w:rPr>
            </w:pPr>
          </w:p>
        </w:tc>
      </w:tr>
      <w:tr w:rsidR="00D31C86" w:rsidRPr="005138D5" w14:paraId="3C533A48" w14:textId="77777777" w:rsidTr="00664478">
        <w:trPr>
          <w:trHeight w:val="790"/>
        </w:trPr>
        <w:tc>
          <w:tcPr>
            <w:tcW w:w="1701" w:type="dxa"/>
          </w:tcPr>
          <w:p w14:paraId="44A70598"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ucha</w:t>
            </w:r>
            <w:proofErr w:type="spellEnd"/>
            <w:r w:rsidRPr="005138D5">
              <w:rPr>
                <w:sz w:val="22"/>
                <w:lang w:val="en-US"/>
              </w:rPr>
              <w:t xml:space="preserve"> </w:t>
            </w:r>
            <w:proofErr w:type="spellStart"/>
            <w:r w:rsidRPr="005138D5">
              <w:rPr>
                <w:sz w:val="22"/>
                <w:lang w:val="en-US"/>
              </w:rPr>
              <w:t>i</w:t>
            </w:r>
            <w:proofErr w:type="spellEnd"/>
            <w:r w:rsidRPr="005138D5">
              <w:rPr>
                <w:sz w:val="22"/>
                <w:lang w:val="en-US"/>
              </w:rPr>
              <w:t> </w:t>
            </w:r>
            <w:proofErr w:type="spellStart"/>
            <w:r w:rsidRPr="005138D5">
              <w:rPr>
                <w:sz w:val="22"/>
                <w:lang w:val="en-US"/>
              </w:rPr>
              <w:t>błędnika</w:t>
            </w:r>
            <w:proofErr w:type="spellEnd"/>
          </w:p>
        </w:tc>
        <w:tc>
          <w:tcPr>
            <w:tcW w:w="1449" w:type="dxa"/>
          </w:tcPr>
          <w:p w14:paraId="568E5F53" w14:textId="77777777" w:rsidR="00D31C86" w:rsidRPr="005138D5" w:rsidRDefault="00D31C86" w:rsidP="00664478">
            <w:pPr>
              <w:rPr>
                <w:sz w:val="22"/>
                <w:lang w:val="en-US"/>
              </w:rPr>
            </w:pPr>
          </w:p>
        </w:tc>
        <w:tc>
          <w:tcPr>
            <w:tcW w:w="1812" w:type="dxa"/>
          </w:tcPr>
          <w:p w14:paraId="2EEBDB74" w14:textId="77777777" w:rsidR="00D31C86" w:rsidRPr="005138D5" w:rsidRDefault="00D31C86" w:rsidP="00664478">
            <w:pPr>
              <w:rPr>
                <w:sz w:val="22"/>
                <w:lang w:val="en-US"/>
              </w:rPr>
            </w:pPr>
          </w:p>
        </w:tc>
        <w:tc>
          <w:tcPr>
            <w:tcW w:w="1842" w:type="dxa"/>
          </w:tcPr>
          <w:p w14:paraId="294EC4FD" w14:textId="77777777" w:rsidR="00D31C86" w:rsidRPr="005138D5" w:rsidRDefault="00D31C86" w:rsidP="00664478">
            <w:pPr>
              <w:rPr>
                <w:sz w:val="22"/>
              </w:rPr>
            </w:pPr>
            <w:r w:rsidRPr="005138D5">
              <w:rPr>
                <w:sz w:val="22"/>
              </w:rPr>
              <w:t>niedosłuch, zawroty głowy, szum w uszach</w:t>
            </w:r>
          </w:p>
        </w:tc>
        <w:tc>
          <w:tcPr>
            <w:tcW w:w="1843" w:type="dxa"/>
          </w:tcPr>
          <w:p w14:paraId="4DE7DB33" w14:textId="77777777" w:rsidR="00D31C86" w:rsidRPr="005138D5" w:rsidRDefault="00D31C86" w:rsidP="00664478">
            <w:pPr>
              <w:rPr>
                <w:sz w:val="22"/>
              </w:rPr>
            </w:pPr>
          </w:p>
        </w:tc>
        <w:tc>
          <w:tcPr>
            <w:tcW w:w="1433" w:type="dxa"/>
          </w:tcPr>
          <w:p w14:paraId="52D123B2" w14:textId="77777777" w:rsidR="00D31C86" w:rsidRPr="005138D5" w:rsidRDefault="00D31C86" w:rsidP="00664478">
            <w:pPr>
              <w:rPr>
                <w:sz w:val="22"/>
              </w:rPr>
            </w:pPr>
          </w:p>
        </w:tc>
      </w:tr>
      <w:tr w:rsidR="00D31C86" w:rsidRPr="005138D5" w14:paraId="4A9CFC4B" w14:textId="77777777" w:rsidTr="00664478">
        <w:trPr>
          <w:trHeight w:val="790"/>
        </w:trPr>
        <w:tc>
          <w:tcPr>
            <w:tcW w:w="1701" w:type="dxa"/>
          </w:tcPr>
          <w:p w14:paraId="5FEFB518" w14:textId="77777777" w:rsidR="00D31C86" w:rsidRPr="005138D5" w:rsidRDefault="00D31C86" w:rsidP="00664478">
            <w:pPr>
              <w:keepNext/>
              <w:keepLines/>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serca</w:t>
            </w:r>
            <w:proofErr w:type="spellEnd"/>
          </w:p>
        </w:tc>
        <w:tc>
          <w:tcPr>
            <w:tcW w:w="1449" w:type="dxa"/>
          </w:tcPr>
          <w:p w14:paraId="0A034ADD" w14:textId="77777777" w:rsidR="00D31C86" w:rsidRPr="005138D5" w:rsidRDefault="00D31C86" w:rsidP="00664478">
            <w:pPr>
              <w:keepNext/>
              <w:keepLines/>
              <w:rPr>
                <w:sz w:val="22"/>
                <w:lang w:val="en-US"/>
              </w:rPr>
            </w:pPr>
          </w:p>
        </w:tc>
        <w:tc>
          <w:tcPr>
            <w:tcW w:w="1812" w:type="dxa"/>
          </w:tcPr>
          <w:p w14:paraId="3B5BBE67" w14:textId="77777777" w:rsidR="00D31C86" w:rsidRPr="005138D5" w:rsidRDefault="00D31C86" w:rsidP="00664478">
            <w:pPr>
              <w:keepNext/>
              <w:keepLines/>
              <w:rPr>
                <w:sz w:val="22"/>
                <w:lang w:val="en-US"/>
              </w:rPr>
            </w:pPr>
            <w:r w:rsidRPr="005138D5">
              <w:rPr>
                <w:sz w:val="22"/>
              </w:rPr>
              <w:t>arytmia nadkomorowa</w:t>
            </w:r>
            <w:r w:rsidRPr="005138D5">
              <w:rPr>
                <w:iCs/>
                <w:sz w:val="22"/>
              </w:rPr>
              <w:t xml:space="preserve">, </w:t>
            </w:r>
            <w:r w:rsidRPr="005138D5">
              <w:rPr>
                <w:sz w:val="22"/>
              </w:rPr>
              <w:t>tachykardia, bradykardia</w:t>
            </w:r>
          </w:p>
        </w:tc>
        <w:tc>
          <w:tcPr>
            <w:tcW w:w="1842" w:type="dxa"/>
          </w:tcPr>
          <w:p w14:paraId="49A43F26" w14:textId="77777777" w:rsidR="00D31C86" w:rsidRPr="005138D5" w:rsidRDefault="00D31C86" w:rsidP="00664478">
            <w:pPr>
              <w:pStyle w:val="TableText"/>
              <w:keepNext/>
              <w:keepLines/>
              <w:rPr>
                <w:rFonts w:cs="Times New Roman"/>
                <w:lang w:val="pl-PL"/>
              </w:rPr>
            </w:pPr>
            <w:r w:rsidRPr="005138D5">
              <w:rPr>
                <w:rFonts w:cs="Times New Roman"/>
                <w:lang w:val="pl-PL"/>
              </w:rPr>
              <w:t>migotanie komór, dodatkowe skurcze komorowe</w:t>
            </w:r>
            <w:r w:rsidRPr="005138D5">
              <w:rPr>
                <w:rStyle w:val="TableText12"/>
                <w:rFonts w:cs="Times New Roman"/>
                <w:sz w:val="22"/>
                <w:lang w:val="pl-PL"/>
              </w:rPr>
              <w:t xml:space="preserve">, </w:t>
            </w:r>
            <w:r w:rsidRPr="005138D5">
              <w:rPr>
                <w:rFonts w:cs="Times New Roman"/>
                <w:lang w:val="pl-PL"/>
              </w:rPr>
              <w:t>tachykardia komorowa</w:t>
            </w:r>
            <w:r w:rsidRPr="005138D5">
              <w:rPr>
                <w:rStyle w:val="TableText12"/>
                <w:rFonts w:cs="Times New Roman"/>
                <w:sz w:val="22"/>
                <w:lang w:val="pl-PL"/>
              </w:rPr>
              <w:t xml:space="preserve">, </w:t>
            </w:r>
            <w:r w:rsidRPr="005138D5">
              <w:rPr>
                <w:rFonts w:cs="Times New Roman"/>
                <w:lang w:val="pl-PL"/>
              </w:rPr>
              <w:t>wydłużenie odstępu QTc w EKG</w:t>
            </w:r>
            <w:r w:rsidRPr="005138D5">
              <w:rPr>
                <w:rStyle w:val="TableText12"/>
                <w:rFonts w:cs="Times New Roman"/>
                <w:sz w:val="22"/>
                <w:lang w:val="pl-PL"/>
              </w:rPr>
              <w:t xml:space="preserve">, </w:t>
            </w:r>
            <w:r w:rsidRPr="005138D5">
              <w:rPr>
                <w:rFonts w:cs="Times New Roman"/>
                <w:lang w:val="pl-PL"/>
              </w:rPr>
              <w:t>tachykardia nadkomorowa</w:t>
            </w:r>
          </w:p>
        </w:tc>
        <w:tc>
          <w:tcPr>
            <w:tcW w:w="1843" w:type="dxa"/>
          </w:tcPr>
          <w:p w14:paraId="3D176474" w14:textId="77777777" w:rsidR="00D31C86" w:rsidRPr="005138D5" w:rsidRDefault="00D31C86" w:rsidP="00664478">
            <w:pPr>
              <w:pStyle w:val="TableText"/>
              <w:keepNext/>
              <w:keepLines/>
              <w:rPr>
                <w:rFonts w:cs="Times New Roman"/>
                <w:lang w:val="pl-PL"/>
              </w:rPr>
            </w:pPr>
            <w:r w:rsidRPr="005138D5">
              <w:rPr>
                <w:rFonts w:cs="Times New Roman"/>
                <w:i/>
                <w:lang w:val="pl-PL"/>
              </w:rPr>
              <w:t>torsades de pointes</w:t>
            </w:r>
            <w:r w:rsidRPr="005138D5">
              <w:rPr>
                <w:rStyle w:val="TableText12"/>
                <w:rFonts w:cs="Times New Roman"/>
                <w:sz w:val="22"/>
                <w:lang w:val="pl-PL"/>
              </w:rPr>
              <w:t xml:space="preserve">, </w:t>
            </w:r>
            <w:r w:rsidRPr="005138D5">
              <w:rPr>
                <w:rFonts w:cs="Times New Roman"/>
                <w:lang w:val="pl-PL"/>
              </w:rPr>
              <w:t>całkowity blok przedsionkowo-komorowy</w:t>
            </w:r>
            <w:r w:rsidRPr="005138D5">
              <w:rPr>
                <w:rStyle w:val="TableText12"/>
                <w:rFonts w:cs="Times New Roman"/>
                <w:sz w:val="22"/>
                <w:lang w:val="pl-PL"/>
              </w:rPr>
              <w:t xml:space="preserve">, </w:t>
            </w:r>
            <w:r w:rsidRPr="005138D5">
              <w:rPr>
                <w:rFonts w:cs="Times New Roman"/>
                <w:lang w:val="pl-PL"/>
              </w:rPr>
              <w:t>blok odnogi pęczka Hisa, rytm węzłowy</w:t>
            </w:r>
          </w:p>
        </w:tc>
        <w:tc>
          <w:tcPr>
            <w:tcW w:w="1433" w:type="dxa"/>
          </w:tcPr>
          <w:p w14:paraId="45759334" w14:textId="77777777" w:rsidR="00D31C86" w:rsidRPr="005138D5" w:rsidRDefault="00D31C86" w:rsidP="00664478">
            <w:pPr>
              <w:rPr>
                <w:sz w:val="22"/>
              </w:rPr>
            </w:pPr>
          </w:p>
        </w:tc>
      </w:tr>
      <w:tr w:rsidR="00D31C86" w:rsidRPr="005138D5" w14:paraId="5953B2A9" w14:textId="77777777" w:rsidTr="00664478">
        <w:trPr>
          <w:trHeight w:val="790"/>
        </w:trPr>
        <w:tc>
          <w:tcPr>
            <w:tcW w:w="1701" w:type="dxa"/>
          </w:tcPr>
          <w:p w14:paraId="0387B140"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naczyniowe</w:t>
            </w:r>
            <w:proofErr w:type="spellEnd"/>
          </w:p>
        </w:tc>
        <w:tc>
          <w:tcPr>
            <w:tcW w:w="1449" w:type="dxa"/>
          </w:tcPr>
          <w:p w14:paraId="07A79C3A" w14:textId="77777777" w:rsidR="00D31C86" w:rsidRPr="005138D5" w:rsidRDefault="00D31C86" w:rsidP="00664478">
            <w:pPr>
              <w:rPr>
                <w:sz w:val="22"/>
                <w:lang w:val="en-US"/>
              </w:rPr>
            </w:pPr>
          </w:p>
        </w:tc>
        <w:tc>
          <w:tcPr>
            <w:tcW w:w="1812" w:type="dxa"/>
          </w:tcPr>
          <w:p w14:paraId="4421047C" w14:textId="77777777" w:rsidR="00D31C86" w:rsidRPr="005138D5" w:rsidRDefault="00D31C86" w:rsidP="00664478">
            <w:pPr>
              <w:pStyle w:val="TableText"/>
              <w:rPr>
                <w:rFonts w:cs="Times New Roman"/>
              </w:rPr>
            </w:pPr>
            <w:proofErr w:type="spellStart"/>
            <w:r w:rsidRPr="005138D5">
              <w:rPr>
                <w:rFonts w:cs="Times New Roman"/>
              </w:rPr>
              <w:t>niedociśnienie</w:t>
            </w:r>
            <w:proofErr w:type="spellEnd"/>
            <w:r w:rsidRPr="005138D5">
              <w:rPr>
                <w:rFonts w:cs="Times New Roman"/>
              </w:rPr>
              <w:t xml:space="preserve">, </w:t>
            </w:r>
            <w:proofErr w:type="spellStart"/>
            <w:r w:rsidRPr="005138D5">
              <w:rPr>
                <w:rFonts w:cs="Times New Roman"/>
              </w:rPr>
              <w:t>zapalenie</w:t>
            </w:r>
            <w:proofErr w:type="spellEnd"/>
            <w:r w:rsidRPr="005138D5">
              <w:rPr>
                <w:rFonts w:cs="Times New Roman"/>
              </w:rPr>
              <w:t xml:space="preserve"> </w:t>
            </w:r>
            <w:proofErr w:type="spellStart"/>
            <w:r w:rsidRPr="005138D5">
              <w:rPr>
                <w:rFonts w:cs="Times New Roman"/>
              </w:rPr>
              <w:t>żył</w:t>
            </w:r>
            <w:proofErr w:type="spellEnd"/>
          </w:p>
        </w:tc>
        <w:tc>
          <w:tcPr>
            <w:tcW w:w="1842" w:type="dxa"/>
          </w:tcPr>
          <w:p w14:paraId="41B5D15A" w14:textId="77777777" w:rsidR="00D31C86" w:rsidRPr="005138D5" w:rsidRDefault="00D31C86" w:rsidP="00664478">
            <w:pPr>
              <w:pStyle w:val="TableText"/>
              <w:rPr>
                <w:rFonts w:cs="Times New Roman"/>
                <w:lang w:val="pl-PL"/>
              </w:rPr>
            </w:pPr>
            <w:r w:rsidRPr="005138D5">
              <w:rPr>
                <w:rFonts w:cs="Times New Roman"/>
                <w:lang w:val="pl-PL"/>
              </w:rPr>
              <w:t>zakrzepowe zapalenie żył</w:t>
            </w:r>
            <w:r w:rsidRPr="005138D5">
              <w:rPr>
                <w:rStyle w:val="TableText12"/>
                <w:rFonts w:cs="Times New Roman"/>
                <w:sz w:val="22"/>
                <w:lang w:val="pl-PL"/>
              </w:rPr>
              <w:t xml:space="preserve">, </w:t>
            </w:r>
            <w:r w:rsidRPr="005138D5">
              <w:rPr>
                <w:rFonts w:cs="Times New Roman"/>
                <w:lang w:val="pl-PL"/>
              </w:rPr>
              <w:t xml:space="preserve">zapalenie naczyń limfatycznych </w:t>
            </w:r>
          </w:p>
        </w:tc>
        <w:tc>
          <w:tcPr>
            <w:tcW w:w="1843" w:type="dxa"/>
          </w:tcPr>
          <w:p w14:paraId="772D4E65" w14:textId="77777777" w:rsidR="00D31C86" w:rsidRPr="005138D5" w:rsidRDefault="00D31C86" w:rsidP="00664478">
            <w:pPr>
              <w:rPr>
                <w:sz w:val="22"/>
              </w:rPr>
            </w:pPr>
          </w:p>
        </w:tc>
        <w:tc>
          <w:tcPr>
            <w:tcW w:w="1433" w:type="dxa"/>
          </w:tcPr>
          <w:p w14:paraId="20257DB1" w14:textId="77777777" w:rsidR="00D31C86" w:rsidRPr="005138D5" w:rsidRDefault="00D31C86" w:rsidP="00664478">
            <w:pPr>
              <w:rPr>
                <w:sz w:val="22"/>
              </w:rPr>
            </w:pPr>
          </w:p>
        </w:tc>
      </w:tr>
      <w:tr w:rsidR="00D31C86" w:rsidRPr="005138D5" w14:paraId="6F23FBCB" w14:textId="77777777" w:rsidTr="00664478">
        <w:trPr>
          <w:trHeight w:val="790"/>
        </w:trPr>
        <w:tc>
          <w:tcPr>
            <w:tcW w:w="1701" w:type="dxa"/>
          </w:tcPr>
          <w:p w14:paraId="7AF9E28B" w14:textId="77777777" w:rsidR="00D31C86" w:rsidRPr="005138D5" w:rsidRDefault="00D31C86" w:rsidP="00664478">
            <w:pPr>
              <w:rPr>
                <w:sz w:val="22"/>
              </w:rPr>
            </w:pPr>
            <w:r w:rsidRPr="005138D5">
              <w:rPr>
                <w:sz w:val="22"/>
              </w:rPr>
              <w:t>Zaburzenia układu oddechowego, klatki piersiowej i śródpiersia</w:t>
            </w:r>
          </w:p>
        </w:tc>
        <w:tc>
          <w:tcPr>
            <w:tcW w:w="1449" w:type="dxa"/>
          </w:tcPr>
          <w:p w14:paraId="5F74F6F0" w14:textId="77777777" w:rsidR="00D31C86" w:rsidRPr="005138D5" w:rsidRDefault="00D31C86" w:rsidP="00664478">
            <w:pPr>
              <w:rPr>
                <w:sz w:val="22"/>
                <w:vertAlign w:val="superscript"/>
                <w:lang w:val="en-US"/>
              </w:rPr>
            </w:pPr>
            <w:r w:rsidRPr="005138D5">
              <w:rPr>
                <w:sz w:val="22"/>
              </w:rPr>
              <w:t>zespół zaburzeń oddechowych</w:t>
            </w:r>
            <w:r w:rsidRPr="005138D5">
              <w:rPr>
                <w:rStyle w:val="TableText12"/>
                <w:sz w:val="22"/>
                <w:vertAlign w:val="superscript"/>
              </w:rPr>
              <w:t>9</w:t>
            </w:r>
          </w:p>
        </w:tc>
        <w:tc>
          <w:tcPr>
            <w:tcW w:w="1812" w:type="dxa"/>
          </w:tcPr>
          <w:p w14:paraId="25324C8D" w14:textId="77777777" w:rsidR="00D31C86" w:rsidRPr="005138D5" w:rsidRDefault="00D31C86" w:rsidP="00664478">
            <w:pPr>
              <w:pStyle w:val="TableText"/>
              <w:rPr>
                <w:rFonts w:cs="Times New Roman"/>
                <w:lang w:val="pl-PL"/>
              </w:rPr>
            </w:pPr>
            <w:r w:rsidRPr="005138D5">
              <w:rPr>
                <w:rFonts w:cs="Times New Roman"/>
                <w:lang w:val="pl-PL"/>
              </w:rPr>
              <w:t>ostry zespół zaburzeń oddechowych, obrzęk płuc</w:t>
            </w:r>
          </w:p>
        </w:tc>
        <w:tc>
          <w:tcPr>
            <w:tcW w:w="1842" w:type="dxa"/>
          </w:tcPr>
          <w:p w14:paraId="15AF7E43" w14:textId="77777777" w:rsidR="00D31C86" w:rsidRPr="005138D5" w:rsidRDefault="00D31C86" w:rsidP="00664478">
            <w:pPr>
              <w:rPr>
                <w:sz w:val="22"/>
              </w:rPr>
            </w:pPr>
          </w:p>
        </w:tc>
        <w:tc>
          <w:tcPr>
            <w:tcW w:w="1843" w:type="dxa"/>
          </w:tcPr>
          <w:p w14:paraId="088B9D4B" w14:textId="77777777" w:rsidR="00D31C86" w:rsidRPr="005138D5" w:rsidRDefault="00D31C86" w:rsidP="00664478">
            <w:pPr>
              <w:rPr>
                <w:sz w:val="22"/>
              </w:rPr>
            </w:pPr>
          </w:p>
        </w:tc>
        <w:tc>
          <w:tcPr>
            <w:tcW w:w="1433" w:type="dxa"/>
          </w:tcPr>
          <w:p w14:paraId="6F1E0EA0" w14:textId="77777777" w:rsidR="00D31C86" w:rsidRPr="005138D5" w:rsidRDefault="00D31C86" w:rsidP="00664478">
            <w:pPr>
              <w:rPr>
                <w:sz w:val="22"/>
              </w:rPr>
            </w:pPr>
          </w:p>
        </w:tc>
      </w:tr>
      <w:tr w:rsidR="00D31C86" w:rsidRPr="005138D5" w14:paraId="11E9C852" w14:textId="77777777" w:rsidTr="00664478">
        <w:trPr>
          <w:trHeight w:val="790"/>
        </w:trPr>
        <w:tc>
          <w:tcPr>
            <w:tcW w:w="1701" w:type="dxa"/>
          </w:tcPr>
          <w:p w14:paraId="527F9BB2" w14:textId="77777777" w:rsidR="00D31C86" w:rsidRPr="005138D5" w:rsidRDefault="00D31C86" w:rsidP="00664478">
            <w:pPr>
              <w:rPr>
                <w:sz w:val="22"/>
                <w:lang w:val="en-US"/>
              </w:rPr>
            </w:pPr>
            <w:proofErr w:type="spellStart"/>
            <w:r w:rsidRPr="005138D5">
              <w:rPr>
                <w:sz w:val="22"/>
                <w:lang w:val="en-US"/>
              </w:rPr>
              <w:t>Zaburzenia</w:t>
            </w:r>
            <w:proofErr w:type="spellEnd"/>
            <w:r w:rsidRPr="005138D5">
              <w:rPr>
                <w:sz w:val="22"/>
                <w:lang w:val="en-US"/>
              </w:rPr>
              <w:t xml:space="preserve"> </w:t>
            </w:r>
            <w:proofErr w:type="spellStart"/>
            <w:r w:rsidRPr="005138D5">
              <w:rPr>
                <w:sz w:val="22"/>
                <w:lang w:val="en-US"/>
              </w:rPr>
              <w:t>żołądka</w:t>
            </w:r>
            <w:proofErr w:type="spellEnd"/>
            <w:r w:rsidRPr="005138D5">
              <w:rPr>
                <w:sz w:val="22"/>
                <w:lang w:val="en-US"/>
              </w:rPr>
              <w:t xml:space="preserve"> </w:t>
            </w:r>
            <w:proofErr w:type="spellStart"/>
            <w:r w:rsidRPr="005138D5">
              <w:rPr>
                <w:sz w:val="22"/>
                <w:lang w:val="en-US"/>
              </w:rPr>
              <w:t>i</w:t>
            </w:r>
            <w:proofErr w:type="spellEnd"/>
            <w:r w:rsidRPr="005138D5">
              <w:rPr>
                <w:sz w:val="22"/>
                <w:lang w:val="en-US"/>
              </w:rPr>
              <w:t> </w:t>
            </w:r>
            <w:proofErr w:type="spellStart"/>
            <w:r w:rsidRPr="005138D5">
              <w:rPr>
                <w:sz w:val="22"/>
                <w:lang w:val="en-US"/>
              </w:rPr>
              <w:t>jelit</w:t>
            </w:r>
            <w:proofErr w:type="spellEnd"/>
          </w:p>
        </w:tc>
        <w:tc>
          <w:tcPr>
            <w:tcW w:w="1449" w:type="dxa"/>
          </w:tcPr>
          <w:p w14:paraId="0484ECBC" w14:textId="77777777" w:rsidR="00D31C86" w:rsidRPr="005138D5" w:rsidRDefault="00D31C86" w:rsidP="00664478">
            <w:pPr>
              <w:pStyle w:val="TableText"/>
              <w:rPr>
                <w:rFonts w:cs="Times New Roman"/>
                <w:lang w:val="pl-PL"/>
              </w:rPr>
            </w:pPr>
            <w:r w:rsidRPr="005138D5">
              <w:rPr>
                <w:rFonts w:cs="Times New Roman"/>
                <w:lang w:val="pl-PL"/>
              </w:rPr>
              <w:t>biegunka</w:t>
            </w:r>
            <w:r w:rsidRPr="005138D5">
              <w:rPr>
                <w:rStyle w:val="TableText12"/>
                <w:rFonts w:cs="Times New Roman"/>
                <w:sz w:val="22"/>
                <w:lang w:val="pl-PL"/>
              </w:rPr>
              <w:t xml:space="preserve">, </w:t>
            </w:r>
            <w:r w:rsidRPr="005138D5">
              <w:rPr>
                <w:rFonts w:cs="Times New Roman"/>
                <w:lang w:val="pl-PL"/>
              </w:rPr>
              <w:t>wymioty</w:t>
            </w:r>
            <w:r w:rsidRPr="005138D5">
              <w:rPr>
                <w:rStyle w:val="TableText12"/>
                <w:rFonts w:cs="Times New Roman"/>
                <w:sz w:val="22"/>
                <w:lang w:val="pl-PL"/>
              </w:rPr>
              <w:t xml:space="preserve">, </w:t>
            </w:r>
            <w:r w:rsidRPr="005138D5">
              <w:rPr>
                <w:rFonts w:cs="Times New Roman"/>
                <w:lang w:val="pl-PL"/>
              </w:rPr>
              <w:t>bóle brzucha</w:t>
            </w:r>
            <w:r w:rsidRPr="005138D5">
              <w:rPr>
                <w:rStyle w:val="TableText12"/>
                <w:rFonts w:cs="Times New Roman"/>
                <w:sz w:val="22"/>
                <w:lang w:val="pl-PL"/>
              </w:rPr>
              <w:t xml:space="preserve">, </w:t>
            </w:r>
            <w:r w:rsidRPr="005138D5">
              <w:rPr>
                <w:rFonts w:cs="Times New Roman"/>
                <w:lang w:val="pl-PL"/>
              </w:rPr>
              <w:t>nudności</w:t>
            </w:r>
          </w:p>
        </w:tc>
        <w:tc>
          <w:tcPr>
            <w:tcW w:w="1812" w:type="dxa"/>
          </w:tcPr>
          <w:p w14:paraId="7A7A9F71" w14:textId="77777777" w:rsidR="00D31C86" w:rsidRPr="005138D5" w:rsidRDefault="00D31C86" w:rsidP="00664478">
            <w:pPr>
              <w:pStyle w:val="TableText"/>
              <w:rPr>
                <w:rFonts w:cs="Times New Roman"/>
                <w:lang w:val="pl-PL"/>
              </w:rPr>
            </w:pPr>
            <w:r w:rsidRPr="005138D5">
              <w:rPr>
                <w:rFonts w:cs="Times New Roman"/>
                <w:lang w:val="pl-PL"/>
              </w:rPr>
              <w:t>zapalenie warg</w:t>
            </w:r>
            <w:r w:rsidRPr="005138D5">
              <w:rPr>
                <w:rStyle w:val="TableText12"/>
                <w:rFonts w:cs="Times New Roman"/>
                <w:sz w:val="22"/>
                <w:lang w:val="pl-PL"/>
              </w:rPr>
              <w:t xml:space="preserve">, </w:t>
            </w:r>
            <w:r w:rsidRPr="005138D5">
              <w:rPr>
                <w:rFonts w:cs="Times New Roman"/>
                <w:lang w:val="pl-PL"/>
              </w:rPr>
              <w:t>niestrawność</w:t>
            </w:r>
            <w:r w:rsidRPr="005138D5">
              <w:rPr>
                <w:rStyle w:val="TableText12"/>
                <w:rFonts w:cs="Times New Roman"/>
                <w:sz w:val="22"/>
                <w:lang w:val="pl-PL"/>
              </w:rPr>
              <w:t xml:space="preserve">, </w:t>
            </w:r>
            <w:r w:rsidRPr="005138D5">
              <w:rPr>
                <w:rFonts w:cs="Times New Roman"/>
                <w:lang w:val="pl-PL"/>
              </w:rPr>
              <w:t>zaparcia</w:t>
            </w:r>
            <w:r w:rsidRPr="005138D5">
              <w:rPr>
                <w:rStyle w:val="TableText12"/>
                <w:rFonts w:cs="Times New Roman"/>
                <w:sz w:val="22"/>
                <w:lang w:val="pl-PL"/>
              </w:rPr>
              <w:t>, zapalenie dziąseł</w:t>
            </w:r>
          </w:p>
        </w:tc>
        <w:tc>
          <w:tcPr>
            <w:tcW w:w="1842" w:type="dxa"/>
          </w:tcPr>
          <w:p w14:paraId="4D43A644" w14:textId="77777777" w:rsidR="00D31C86" w:rsidRPr="005138D5" w:rsidRDefault="00D31C86" w:rsidP="00664478">
            <w:pPr>
              <w:pStyle w:val="TableText"/>
              <w:rPr>
                <w:rFonts w:cs="Times New Roman"/>
                <w:lang w:val="pl-PL"/>
              </w:rPr>
            </w:pPr>
            <w:r w:rsidRPr="005138D5">
              <w:rPr>
                <w:rFonts w:cs="Times New Roman"/>
                <w:lang w:val="pl-PL"/>
              </w:rPr>
              <w:t>zapalenie otrzewnej</w:t>
            </w:r>
            <w:r w:rsidRPr="005138D5">
              <w:rPr>
                <w:rStyle w:val="TableText12"/>
                <w:rFonts w:cs="Times New Roman"/>
                <w:sz w:val="22"/>
                <w:lang w:val="pl-PL"/>
              </w:rPr>
              <w:t xml:space="preserve">, </w:t>
            </w:r>
            <w:r w:rsidRPr="005138D5">
              <w:rPr>
                <w:rFonts w:cs="Times New Roman"/>
                <w:lang w:val="pl-PL"/>
              </w:rPr>
              <w:t>zapalenie trzustki</w:t>
            </w:r>
            <w:r w:rsidRPr="005138D5">
              <w:rPr>
                <w:rStyle w:val="TableText12"/>
                <w:rFonts w:cs="Times New Roman"/>
                <w:sz w:val="22"/>
                <w:lang w:val="pl-PL"/>
              </w:rPr>
              <w:t xml:space="preserve">, </w:t>
            </w:r>
            <w:r w:rsidRPr="005138D5">
              <w:rPr>
                <w:rFonts w:cs="Times New Roman"/>
                <w:lang w:val="pl-PL"/>
              </w:rPr>
              <w:t>opuchnięty język</w:t>
            </w:r>
            <w:r w:rsidRPr="005138D5">
              <w:rPr>
                <w:rStyle w:val="TableText12"/>
                <w:rFonts w:cs="Times New Roman"/>
                <w:sz w:val="22"/>
                <w:lang w:val="pl-PL"/>
              </w:rPr>
              <w:t xml:space="preserve">, </w:t>
            </w:r>
            <w:r w:rsidRPr="005138D5">
              <w:rPr>
                <w:rFonts w:cs="Times New Roman"/>
                <w:lang w:val="pl-PL"/>
              </w:rPr>
              <w:t>zapalenie dwunastnicy</w:t>
            </w:r>
            <w:r w:rsidRPr="005138D5">
              <w:rPr>
                <w:rStyle w:val="TableText12"/>
                <w:rFonts w:cs="Times New Roman"/>
                <w:sz w:val="22"/>
                <w:lang w:val="pl-PL"/>
              </w:rPr>
              <w:t xml:space="preserve">, zapalenie żołądka i jelit, </w:t>
            </w:r>
            <w:r w:rsidRPr="005138D5">
              <w:rPr>
                <w:rFonts w:cs="Times New Roman"/>
                <w:lang w:val="pl-PL"/>
              </w:rPr>
              <w:t>zapalenie języka</w:t>
            </w:r>
          </w:p>
        </w:tc>
        <w:tc>
          <w:tcPr>
            <w:tcW w:w="1843" w:type="dxa"/>
          </w:tcPr>
          <w:p w14:paraId="374E4E0E" w14:textId="77777777" w:rsidR="00D31C86" w:rsidRPr="005138D5" w:rsidRDefault="00D31C86" w:rsidP="00664478">
            <w:pPr>
              <w:rPr>
                <w:sz w:val="22"/>
              </w:rPr>
            </w:pPr>
          </w:p>
        </w:tc>
        <w:tc>
          <w:tcPr>
            <w:tcW w:w="1433" w:type="dxa"/>
          </w:tcPr>
          <w:p w14:paraId="52153046" w14:textId="77777777" w:rsidR="00D31C86" w:rsidRPr="005138D5" w:rsidRDefault="00D31C86" w:rsidP="00664478">
            <w:pPr>
              <w:rPr>
                <w:sz w:val="22"/>
              </w:rPr>
            </w:pPr>
          </w:p>
        </w:tc>
      </w:tr>
      <w:tr w:rsidR="00D31C86" w:rsidRPr="005138D5" w14:paraId="6C913030" w14:textId="77777777" w:rsidTr="00664478">
        <w:trPr>
          <w:trHeight w:val="790"/>
        </w:trPr>
        <w:tc>
          <w:tcPr>
            <w:tcW w:w="1701" w:type="dxa"/>
          </w:tcPr>
          <w:p w14:paraId="50B6B1ED" w14:textId="77777777" w:rsidR="00D31C86" w:rsidRPr="005138D5" w:rsidRDefault="00D31C86" w:rsidP="00664478">
            <w:pPr>
              <w:keepNext/>
              <w:keepLines/>
              <w:rPr>
                <w:sz w:val="22"/>
              </w:rPr>
            </w:pPr>
            <w:r w:rsidRPr="005138D5">
              <w:rPr>
                <w:sz w:val="22"/>
              </w:rPr>
              <w:t>Zaburzenia wątroby i dróg żółciowych</w:t>
            </w:r>
          </w:p>
        </w:tc>
        <w:tc>
          <w:tcPr>
            <w:tcW w:w="1449" w:type="dxa"/>
          </w:tcPr>
          <w:p w14:paraId="0BD4BD86" w14:textId="77777777" w:rsidR="00D31C86" w:rsidRPr="005138D5" w:rsidRDefault="00D31C86" w:rsidP="00664478">
            <w:pPr>
              <w:keepNext/>
              <w:keepLines/>
              <w:rPr>
                <w:sz w:val="22"/>
              </w:rPr>
            </w:pPr>
            <w:r w:rsidRPr="005138D5">
              <w:rPr>
                <w:sz w:val="22"/>
              </w:rPr>
              <w:t>Nieprawidło-we wyniki testów czynności wątroby</w:t>
            </w:r>
          </w:p>
          <w:p w14:paraId="7B776AC9" w14:textId="77777777" w:rsidR="00D31C86" w:rsidRPr="005138D5" w:rsidRDefault="00D31C86" w:rsidP="00664478">
            <w:pPr>
              <w:keepNext/>
              <w:keepLines/>
              <w:rPr>
                <w:sz w:val="22"/>
              </w:rPr>
            </w:pPr>
          </w:p>
        </w:tc>
        <w:tc>
          <w:tcPr>
            <w:tcW w:w="1812" w:type="dxa"/>
          </w:tcPr>
          <w:p w14:paraId="2F488832" w14:textId="77777777" w:rsidR="00D31C86" w:rsidRPr="005138D5" w:rsidRDefault="00D31C86" w:rsidP="00664478">
            <w:pPr>
              <w:pStyle w:val="TableText"/>
              <w:keepNext/>
              <w:keepLines/>
              <w:rPr>
                <w:rFonts w:cs="Times New Roman"/>
                <w:vertAlign w:val="superscript"/>
                <w:lang w:val="pl-PL"/>
              </w:rPr>
            </w:pPr>
            <w:r w:rsidRPr="005138D5">
              <w:rPr>
                <w:rFonts w:cs="Times New Roman"/>
                <w:lang w:val="pl-PL"/>
              </w:rPr>
              <w:t>żółtaczka, żółtaczka cholestatyczna</w:t>
            </w:r>
            <w:r w:rsidRPr="005138D5">
              <w:rPr>
                <w:rStyle w:val="TableText12"/>
                <w:rFonts w:cs="Times New Roman"/>
                <w:sz w:val="22"/>
                <w:lang w:val="pl-PL"/>
              </w:rPr>
              <w:t xml:space="preserve">, </w:t>
            </w:r>
            <w:r w:rsidRPr="005138D5">
              <w:rPr>
                <w:rFonts w:cs="Times New Roman"/>
                <w:lang w:val="pl-PL"/>
              </w:rPr>
              <w:t>zapalenie wątroby</w:t>
            </w:r>
            <w:r w:rsidRPr="005138D5">
              <w:rPr>
                <w:rStyle w:val="TableText12"/>
                <w:rFonts w:cs="Times New Roman"/>
                <w:sz w:val="22"/>
                <w:vertAlign w:val="superscript"/>
                <w:lang w:val="pl-PL"/>
              </w:rPr>
              <w:t>10</w:t>
            </w:r>
          </w:p>
        </w:tc>
        <w:tc>
          <w:tcPr>
            <w:tcW w:w="1842" w:type="dxa"/>
          </w:tcPr>
          <w:p w14:paraId="0C9DC4A7" w14:textId="77777777" w:rsidR="00D31C86" w:rsidRPr="005138D5" w:rsidRDefault="00D31C86" w:rsidP="00664478">
            <w:pPr>
              <w:pStyle w:val="TableText"/>
              <w:keepNext/>
              <w:keepLines/>
              <w:rPr>
                <w:rFonts w:cs="Times New Roman"/>
                <w:lang w:val="pl-PL"/>
              </w:rPr>
            </w:pPr>
            <w:r w:rsidRPr="005138D5">
              <w:rPr>
                <w:rFonts w:cs="Times New Roman"/>
                <w:lang w:val="pl-PL"/>
              </w:rPr>
              <w:t>niewydolność wątroby, powiększenie wątroby, zapalenie pęcherzyka żółciowego, kamica żółciowa</w:t>
            </w:r>
          </w:p>
        </w:tc>
        <w:tc>
          <w:tcPr>
            <w:tcW w:w="1843" w:type="dxa"/>
          </w:tcPr>
          <w:p w14:paraId="1B8DF005" w14:textId="77777777" w:rsidR="00D31C86" w:rsidRPr="005138D5" w:rsidRDefault="00D31C86" w:rsidP="00664478">
            <w:pPr>
              <w:keepNext/>
              <w:keepLines/>
              <w:rPr>
                <w:sz w:val="22"/>
              </w:rPr>
            </w:pPr>
          </w:p>
        </w:tc>
        <w:tc>
          <w:tcPr>
            <w:tcW w:w="1433" w:type="dxa"/>
          </w:tcPr>
          <w:p w14:paraId="2F3DAFE2" w14:textId="77777777" w:rsidR="00D31C86" w:rsidRPr="005138D5" w:rsidRDefault="00D31C86" w:rsidP="00664478">
            <w:pPr>
              <w:keepNext/>
              <w:keepLines/>
              <w:rPr>
                <w:sz w:val="22"/>
              </w:rPr>
            </w:pPr>
          </w:p>
        </w:tc>
      </w:tr>
      <w:tr w:rsidR="00D31C86" w:rsidRPr="005138D5" w14:paraId="334C396D" w14:textId="77777777" w:rsidTr="00664478">
        <w:trPr>
          <w:trHeight w:val="790"/>
        </w:trPr>
        <w:tc>
          <w:tcPr>
            <w:tcW w:w="1701" w:type="dxa"/>
          </w:tcPr>
          <w:p w14:paraId="18F29F65" w14:textId="77777777" w:rsidR="00D31C86" w:rsidRPr="005138D5" w:rsidRDefault="00D31C86" w:rsidP="00664478">
            <w:pPr>
              <w:rPr>
                <w:sz w:val="22"/>
              </w:rPr>
            </w:pPr>
            <w:r w:rsidRPr="005138D5">
              <w:rPr>
                <w:sz w:val="22"/>
              </w:rPr>
              <w:t>Zaburzenia skóry i tkanki podskórnej</w:t>
            </w:r>
          </w:p>
        </w:tc>
        <w:tc>
          <w:tcPr>
            <w:tcW w:w="1449" w:type="dxa"/>
          </w:tcPr>
          <w:p w14:paraId="2ED9A635" w14:textId="77777777" w:rsidR="00D31C86" w:rsidRPr="005138D5" w:rsidRDefault="00D31C86" w:rsidP="00664478">
            <w:pPr>
              <w:rPr>
                <w:sz w:val="22"/>
                <w:lang w:val="en-US"/>
              </w:rPr>
            </w:pPr>
            <w:r w:rsidRPr="005138D5">
              <w:rPr>
                <w:sz w:val="22"/>
              </w:rPr>
              <w:t>wysypka</w:t>
            </w:r>
          </w:p>
        </w:tc>
        <w:tc>
          <w:tcPr>
            <w:tcW w:w="1812" w:type="dxa"/>
          </w:tcPr>
          <w:p w14:paraId="6ECA01CA" w14:textId="6AC529CC" w:rsidR="00D31C86" w:rsidRPr="005138D5" w:rsidRDefault="00D31C86" w:rsidP="00664478">
            <w:pPr>
              <w:pStyle w:val="TableText"/>
              <w:rPr>
                <w:rFonts w:cs="Times New Roman"/>
                <w:lang w:val="pl-PL"/>
              </w:rPr>
            </w:pPr>
            <w:r w:rsidRPr="005138D5">
              <w:rPr>
                <w:rFonts w:cs="Times New Roman"/>
                <w:lang w:val="pl-PL"/>
              </w:rPr>
              <w:t>złuszczające zapalenie skóry</w:t>
            </w:r>
            <w:r w:rsidRPr="005138D5">
              <w:rPr>
                <w:rStyle w:val="TableText12"/>
                <w:rFonts w:cs="Times New Roman"/>
                <w:sz w:val="22"/>
                <w:lang w:val="pl-PL"/>
              </w:rPr>
              <w:t>,</w:t>
            </w:r>
            <w:r w:rsidRPr="005138D5">
              <w:rPr>
                <w:rFonts w:cs="Times New Roman"/>
                <w:lang w:val="pl-PL"/>
              </w:rPr>
              <w:t xml:space="preserve"> łysienie</w:t>
            </w:r>
            <w:r w:rsidRPr="005138D5">
              <w:rPr>
                <w:rStyle w:val="TableText12"/>
                <w:rFonts w:cs="Times New Roman"/>
                <w:sz w:val="22"/>
                <w:lang w:val="pl-PL"/>
              </w:rPr>
              <w:t xml:space="preserve">, </w:t>
            </w:r>
            <w:r w:rsidRPr="005138D5">
              <w:rPr>
                <w:rFonts w:cs="Times New Roman"/>
                <w:lang w:val="pl-PL"/>
              </w:rPr>
              <w:t>wysypka plamisto-grudkowa</w:t>
            </w:r>
            <w:r w:rsidRPr="005138D5">
              <w:rPr>
                <w:rStyle w:val="TableText12"/>
                <w:rFonts w:cs="Times New Roman"/>
                <w:sz w:val="22"/>
                <w:lang w:val="pl-PL"/>
              </w:rPr>
              <w:t xml:space="preserve">, </w:t>
            </w:r>
            <w:r w:rsidRPr="005138D5">
              <w:rPr>
                <w:rFonts w:cs="Times New Roman"/>
                <w:lang w:val="pl-PL"/>
              </w:rPr>
              <w:t>świąd</w:t>
            </w:r>
            <w:r w:rsidRPr="005138D5">
              <w:rPr>
                <w:rStyle w:val="TableText12"/>
                <w:rFonts w:cs="Times New Roman"/>
                <w:sz w:val="22"/>
                <w:lang w:val="pl-PL"/>
              </w:rPr>
              <w:t xml:space="preserve">, </w:t>
            </w:r>
            <w:r w:rsidRPr="005138D5">
              <w:rPr>
                <w:rFonts w:cs="Times New Roman"/>
                <w:lang w:val="pl-PL"/>
              </w:rPr>
              <w:t>rumień</w:t>
            </w:r>
            <w:r w:rsidR="009745B5">
              <w:rPr>
                <w:rFonts w:cs="Times New Roman"/>
                <w:lang w:val="pl-PL"/>
              </w:rPr>
              <w:t xml:space="preserve">, </w:t>
            </w:r>
            <w:r w:rsidR="009745B5" w:rsidRPr="009745B5">
              <w:rPr>
                <w:rFonts w:cs="Times New Roman"/>
                <w:lang w:val="pl-PL"/>
              </w:rPr>
              <w:t>zapalenie skóry fototoksyczne</w:t>
            </w:r>
            <w:r w:rsidR="009745B5">
              <w:rPr>
                <w:rFonts w:cs="Times New Roman"/>
                <w:lang w:val="pl-PL"/>
              </w:rPr>
              <w:t xml:space="preserve"> **</w:t>
            </w:r>
          </w:p>
        </w:tc>
        <w:tc>
          <w:tcPr>
            <w:tcW w:w="1842" w:type="dxa"/>
          </w:tcPr>
          <w:p w14:paraId="56B3879C" w14:textId="17FB8D27" w:rsidR="00D31C86" w:rsidRPr="005138D5" w:rsidRDefault="00D31C86" w:rsidP="00664478">
            <w:pPr>
              <w:pStyle w:val="TableText"/>
              <w:rPr>
                <w:rFonts w:cs="Times New Roman"/>
                <w:lang w:val="pl-PL"/>
              </w:rPr>
            </w:pPr>
            <w:r w:rsidRPr="005138D5">
              <w:rPr>
                <w:rFonts w:cs="Times New Roman"/>
                <w:lang w:val="pl-PL"/>
              </w:rPr>
              <w:t>zespół Stevensa-Johnsona</w:t>
            </w:r>
            <w:r w:rsidR="009745B5">
              <w:rPr>
                <w:rFonts w:cs="Times New Roman"/>
                <w:vertAlign w:val="superscript"/>
                <w:lang w:val="pl-PL"/>
              </w:rPr>
              <w:t>8</w:t>
            </w:r>
            <w:r w:rsidRPr="005138D5">
              <w:rPr>
                <w:rStyle w:val="TableText12"/>
                <w:rFonts w:cs="Times New Roman"/>
                <w:sz w:val="22"/>
                <w:lang w:val="pl-PL"/>
              </w:rPr>
              <w:t xml:space="preserve">,  </w:t>
            </w:r>
            <w:r w:rsidRPr="005138D5">
              <w:rPr>
                <w:rFonts w:cs="Times New Roman"/>
                <w:lang w:val="pl-PL"/>
              </w:rPr>
              <w:t>plamica</w:t>
            </w:r>
            <w:r w:rsidRPr="005138D5">
              <w:rPr>
                <w:rStyle w:val="TableText12"/>
                <w:rFonts w:cs="Times New Roman"/>
                <w:sz w:val="22"/>
                <w:lang w:val="pl-PL"/>
              </w:rPr>
              <w:t xml:space="preserve">, </w:t>
            </w:r>
            <w:r w:rsidRPr="005138D5">
              <w:rPr>
                <w:rFonts w:cs="Times New Roman"/>
                <w:lang w:val="pl-PL"/>
              </w:rPr>
              <w:t>pokrzywka</w:t>
            </w:r>
            <w:r w:rsidRPr="005138D5">
              <w:rPr>
                <w:rStyle w:val="TableText12"/>
                <w:rFonts w:cs="Times New Roman"/>
                <w:sz w:val="22"/>
                <w:lang w:val="pl-PL"/>
              </w:rPr>
              <w:t xml:space="preserve">, </w:t>
            </w:r>
            <w:r w:rsidRPr="005138D5">
              <w:rPr>
                <w:rFonts w:cs="Times New Roman"/>
                <w:lang w:val="pl-PL"/>
              </w:rPr>
              <w:t>alergiczne zapalenie skóry</w:t>
            </w:r>
            <w:r w:rsidRPr="005138D5">
              <w:rPr>
                <w:rStyle w:val="TableText12"/>
                <w:rFonts w:cs="Times New Roman"/>
                <w:sz w:val="22"/>
                <w:lang w:val="pl-PL"/>
              </w:rPr>
              <w:t xml:space="preserve">, </w:t>
            </w:r>
            <w:r w:rsidRPr="005138D5">
              <w:rPr>
                <w:rFonts w:cs="Times New Roman"/>
                <w:lang w:val="pl-PL"/>
              </w:rPr>
              <w:t>wysypka grudkowa</w:t>
            </w:r>
            <w:r w:rsidRPr="005138D5">
              <w:rPr>
                <w:rStyle w:val="TableText12"/>
                <w:rFonts w:cs="Times New Roman"/>
                <w:sz w:val="22"/>
                <w:lang w:val="pl-PL"/>
              </w:rPr>
              <w:t xml:space="preserve">, </w:t>
            </w:r>
            <w:r w:rsidRPr="005138D5">
              <w:rPr>
                <w:rFonts w:cs="Times New Roman"/>
                <w:lang w:val="pl-PL"/>
              </w:rPr>
              <w:t>wysypka plamista</w:t>
            </w:r>
            <w:r w:rsidRPr="005138D5">
              <w:rPr>
                <w:rStyle w:val="TableText12"/>
                <w:rFonts w:cs="Times New Roman"/>
                <w:sz w:val="22"/>
                <w:lang w:val="pl-PL"/>
              </w:rPr>
              <w:t xml:space="preserve">, </w:t>
            </w:r>
            <w:r w:rsidRPr="005138D5">
              <w:rPr>
                <w:rFonts w:cs="Times New Roman"/>
                <w:lang w:val="pl-PL"/>
              </w:rPr>
              <w:t>egzema</w:t>
            </w:r>
          </w:p>
        </w:tc>
        <w:tc>
          <w:tcPr>
            <w:tcW w:w="1843" w:type="dxa"/>
          </w:tcPr>
          <w:p w14:paraId="406654CC" w14:textId="10795C25" w:rsidR="00D31C86" w:rsidRPr="005138D5" w:rsidRDefault="00D31C86" w:rsidP="00664478">
            <w:pPr>
              <w:pStyle w:val="TableText"/>
              <w:rPr>
                <w:rFonts w:cs="Times New Roman"/>
                <w:lang w:val="pl-PL"/>
              </w:rPr>
            </w:pPr>
            <w:r w:rsidRPr="005138D5">
              <w:rPr>
                <w:rFonts w:cs="Times New Roman"/>
                <w:lang w:val="pl-PL"/>
              </w:rPr>
              <w:t>toksyczno-martwicze oddzielanie się naskórka</w:t>
            </w:r>
            <w:r w:rsidR="009745B5">
              <w:rPr>
                <w:rFonts w:cs="Times New Roman"/>
                <w:vertAlign w:val="superscript"/>
                <w:lang w:val="pl-PL"/>
              </w:rPr>
              <w:t>8</w:t>
            </w:r>
            <w:r w:rsidRPr="005138D5">
              <w:rPr>
                <w:rStyle w:val="TableText12"/>
                <w:rFonts w:cs="Times New Roman"/>
                <w:sz w:val="22"/>
                <w:lang w:val="pl-PL"/>
              </w:rPr>
              <w:t xml:space="preserve">, </w:t>
            </w:r>
            <w:r w:rsidRPr="005138D5">
              <w:rPr>
                <w:rFonts w:cs="Times New Roman"/>
                <w:lang w:val="pl-PL"/>
              </w:rPr>
              <w:t>obrzęk naczynioruchowy</w:t>
            </w:r>
            <w:r w:rsidRPr="005138D5">
              <w:rPr>
                <w:rStyle w:val="TableText12"/>
                <w:rFonts w:cs="Times New Roman"/>
                <w:sz w:val="22"/>
                <w:lang w:val="pl-PL"/>
              </w:rPr>
              <w:t xml:space="preserve">, </w:t>
            </w:r>
            <w:r w:rsidR="00287333" w:rsidRPr="005138D5">
              <w:rPr>
                <w:rStyle w:val="TableText12"/>
                <w:rFonts w:cs="Times New Roman"/>
                <w:sz w:val="22"/>
                <w:lang w:val="pl-PL"/>
              </w:rPr>
              <w:t xml:space="preserve">rogowacenie słoneczne*, </w:t>
            </w:r>
            <w:r w:rsidRPr="005138D5">
              <w:rPr>
                <w:rFonts w:cs="Times New Roman"/>
                <w:lang w:val="pl-PL"/>
              </w:rPr>
              <w:t>pseudoporfiria,</w:t>
            </w:r>
            <w:r w:rsidRPr="005138D5">
              <w:rPr>
                <w:rStyle w:val="TableText12"/>
                <w:rFonts w:cs="Times New Roman"/>
                <w:sz w:val="22"/>
                <w:lang w:val="pl-PL"/>
              </w:rPr>
              <w:t xml:space="preserve"> </w:t>
            </w:r>
            <w:r w:rsidRPr="005138D5">
              <w:rPr>
                <w:rFonts w:cs="Times New Roman"/>
                <w:lang w:val="pl-PL"/>
              </w:rPr>
              <w:t>rumień wielopostaciowy</w:t>
            </w:r>
            <w:r w:rsidRPr="005138D5">
              <w:rPr>
                <w:rStyle w:val="TableText12"/>
                <w:rFonts w:cs="Times New Roman"/>
                <w:sz w:val="22"/>
                <w:lang w:val="pl-PL"/>
              </w:rPr>
              <w:t xml:space="preserve">, </w:t>
            </w:r>
            <w:r w:rsidRPr="005138D5">
              <w:rPr>
                <w:rFonts w:cs="Times New Roman"/>
                <w:lang w:val="pl-PL"/>
              </w:rPr>
              <w:t>łuszczyca</w:t>
            </w:r>
            <w:r w:rsidRPr="005138D5">
              <w:rPr>
                <w:rStyle w:val="TableText12"/>
                <w:rFonts w:cs="Times New Roman"/>
                <w:sz w:val="22"/>
                <w:lang w:val="pl-PL"/>
              </w:rPr>
              <w:t xml:space="preserve">, </w:t>
            </w:r>
            <w:r w:rsidRPr="005138D5">
              <w:rPr>
                <w:rFonts w:cs="Times New Roman"/>
                <w:lang w:val="pl-PL"/>
              </w:rPr>
              <w:t>wysypka polekowa</w:t>
            </w:r>
            <w:r w:rsidR="00DB74ED">
              <w:rPr>
                <w:rFonts w:cs="Times New Roman"/>
                <w:lang w:val="pl-PL"/>
              </w:rPr>
              <w:t xml:space="preserve">, </w:t>
            </w:r>
            <w:r w:rsidR="00DB74ED" w:rsidRPr="00DB74ED">
              <w:rPr>
                <w:rFonts w:cs="Times New Roman"/>
                <w:lang w:val="pl-PL"/>
              </w:rPr>
              <w:t>osutka polekowa z eozynofilią i objawami układowymi (DRESS)</w:t>
            </w:r>
          </w:p>
        </w:tc>
        <w:tc>
          <w:tcPr>
            <w:tcW w:w="1433" w:type="dxa"/>
          </w:tcPr>
          <w:p w14:paraId="30CFE9E1" w14:textId="77777777" w:rsidR="00D31C86" w:rsidRPr="005138D5" w:rsidRDefault="00D31C86" w:rsidP="00664478">
            <w:pPr>
              <w:rPr>
                <w:sz w:val="22"/>
              </w:rPr>
            </w:pPr>
            <w:r w:rsidRPr="005138D5">
              <w:rPr>
                <w:sz w:val="22"/>
              </w:rPr>
              <w:t>toczeń rumieniowa-ty skórny</w:t>
            </w:r>
            <w:r w:rsidRPr="005138D5">
              <w:rPr>
                <w:rStyle w:val="TableText12"/>
                <w:sz w:val="22"/>
              </w:rPr>
              <w:t>*</w:t>
            </w:r>
            <w:r w:rsidR="00287333" w:rsidRPr="005138D5">
              <w:rPr>
                <w:rStyle w:val="TableText12"/>
                <w:sz w:val="22"/>
              </w:rPr>
              <w:t>, piegi*, plamy soczewico-wate*</w:t>
            </w:r>
          </w:p>
        </w:tc>
      </w:tr>
      <w:tr w:rsidR="00D31C86" w:rsidRPr="005138D5" w14:paraId="365BFEA0" w14:textId="77777777" w:rsidTr="00664478">
        <w:trPr>
          <w:trHeight w:val="1327"/>
        </w:trPr>
        <w:tc>
          <w:tcPr>
            <w:tcW w:w="1701" w:type="dxa"/>
          </w:tcPr>
          <w:p w14:paraId="0E43D887" w14:textId="77777777" w:rsidR="00D31C86" w:rsidRPr="005138D5" w:rsidRDefault="00D31C86" w:rsidP="00664478">
            <w:pPr>
              <w:rPr>
                <w:sz w:val="22"/>
              </w:rPr>
            </w:pPr>
            <w:r w:rsidRPr="005138D5">
              <w:rPr>
                <w:sz w:val="22"/>
              </w:rPr>
              <w:t>Zaburzenia mięśniowo-szkieletowe i tkanki łącznej</w:t>
            </w:r>
          </w:p>
        </w:tc>
        <w:tc>
          <w:tcPr>
            <w:tcW w:w="1449" w:type="dxa"/>
          </w:tcPr>
          <w:p w14:paraId="5BD662EC" w14:textId="77777777" w:rsidR="00D31C86" w:rsidRPr="005138D5" w:rsidRDefault="00D31C86" w:rsidP="00664478">
            <w:pPr>
              <w:rPr>
                <w:sz w:val="22"/>
              </w:rPr>
            </w:pPr>
          </w:p>
        </w:tc>
        <w:tc>
          <w:tcPr>
            <w:tcW w:w="1812" w:type="dxa"/>
          </w:tcPr>
          <w:p w14:paraId="4A9DD432" w14:textId="77777777" w:rsidR="00D31C86" w:rsidRPr="005138D5" w:rsidRDefault="00D31C86" w:rsidP="00664478">
            <w:pPr>
              <w:rPr>
                <w:sz w:val="22"/>
                <w:lang w:val="en-US"/>
              </w:rPr>
            </w:pPr>
            <w:r w:rsidRPr="005138D5">
              <w:rPr>
                <w:sz w:val="22"/>
              </w:rPr>
              <w:t>ból pleców</w:t>
            </w:r>
          </w:p>
        </w:tc>
        <w:tc>
          <w:tcPr>
            <w:tcW w:w="1842" w:type="dxa"/>
          </w:tcPr>
          <w:p w14:paraId="23E2618D" w14:textId="7E655A2C" w:rsidR="00D31C86" w:rsidRPr="005138D5" w:rsidRDefault="00D31C86" w:rsidP="00664478">
            <w:pPr>
              <w:rPr>
                <w:sz w:val="22"/>
                <w:lang w:val="en-US"/>
              </w:rPr>
            </w:pPr>
            <w:r w:rsidRPr="005138D5">
              <w:rPr>
                <w:sz w:val="22"/>
              </w:rPr>
              <w:t>zapalenie stawów</w:t>
            </w:r>
            <w:r w:rsidR="009745B5">
              <w:rPr>
                <w:sz w:val="22"/>
              </w:rPr>
              <w:t xml:space="preserve">, </w:t>
            </w:r>
            <w:r w:rsidR="009745B5" w:rsidRPr="009745B5">
              <w:rPr>
                <w:sz w:val="22"/>
              </w:rPr>
              <w:t>zapalenie okostnej*</w:t>
            </w:r>
            <w:r w:rsidR="009745B5">
              <w:rPr>
                <w:sz w:val="22"/>
              </w:rPr>
              <w:t>,**</w:t>
            </w:r>
          </w:p>
        </w:tc>
        <w:tc>
          <w:tcPr>
            <w:tcW w:w="1843" w:type="dxa"/>
          </w:tcPr>
          <w:p w14:paraId="3EC51A77" w14:textId="77777777" w:rsidR="00D31C86" w:rsidRPr="005138D5" w:rsidRDefault="00D31C86" w:rsidP="00664478">
            <w:pPr>
              <w:rPr>
                <w:sz w:val="22"/>
                <w:lang w:val="en-US"/>
              </w:rPr>
            </w:pPr>
          </w:p>
        </w:tc>
        <w:tc>
          <w:tcPr>
            <w:tcW w:w="1433" w:type="dxa"/>
          </w:tcPr>
          <w:p w14:paraId="2A952292" w14:textId="6F474050" w:rsidR="00D31C86" w:rsidRPr="005138D5" w:rsidRDefault="00D31C86" w:rsidP="00664478">
            <w:pPr>
              <w:rPr>
                <w:sz w:val="22"/>
                <w:lang w:val="en-US"/>
              </w:rPr>
            </w:pPr>
          </w:p>
        </w:tc>
      </w:tr>
      <w:tr w:rsidR="00D31C86" w:rsidRPr="005138D5" w14:paraId="19000839" w14:textId="77777777" w:rsidTr="00664478">
        <w:trPr>
          <w:trHeight w:val="790"/>
        </w:trPr>
        <w:tc>
          <w:tcPr>
            <w:tcW w:w="1701" w:type="dxa"/>
          </w:tcPr>
          <w:p w14:paraId="024413D3" w14:textId="77777777" w:rsidR="00D31C86" w:rsidRPr="005138D5" w:rsidRDefault="00D31C86" w:rsidP="00664478">
            <w:pPr>
              <w:rPr>
                <w:sz w:val="22"/>
              </w:rPr>
            </w:pPr>
            <w:r w:rsidRPr="005138D5">
              <w:rPr>
                <w:sz w:val="22"/>
              </w:rPr>
              <w:t>Zaburzenia nerek i dróg moczowych</w:t>
            </w:r>
          </w:p>
        </w:tc>
        <w:tc>
          <w:tcPr>
            <w:tcW w:w="1449" w:type="dxa"/>
          </w:tcPr>
          <w:p w14:paraId="08B93503" w14:textId="77777777" w:rsidR="00D31C86" w:rsidRPr="005138D5" w:rsidRDefault="00D31C86" w:rsidP="00664478">
            <w:pPr>
              <w:rPr>
                <w:sz w:val="22"/>
              </w:rPr>
            </w:pPr>
          </w:p>
        </w:tc>
        <w:tc>
          <w:tcPr>
            <w:tcW w:w="1812" w:type="dxa"/>
          </w:tcPr>
          <w:p w14:paraId="44335FC7" w14:textId="77777777" w:rsidR="00D31C86" w:rsidRPr="005138D5" w:rsidRDefault="00D31C86" w:rsidP="00664478">
            <w:pPr>
              <w:pStyle w:val="TableText"/>
              <w:rPr>
                <w:rFonts w:cs="Times New Roman"/>
              </w:rPr>
            </w:pPr>
            <w:proofErr w:type="spellStart"/>
            <w:r w:rsidRPr="005138D5">
              <w:rPr>
                <w:rFonts w:cs="Times New Roman"/>
              </w:rPr>
              <w:t>ostra</w:t>
            </w:r>
            <w:proofErr w:type="spellEnd"/>
            <w:r w:rsidRPr="005138D5">
              <w:rPr>
                <w:rFonts w:cs="Times New Roman"/>
              </w:rPr>
              <w:t xml:space="preserve"> </w:t>
            </w:r>
            <w:proofErr w:type="spellStart"/>
            <w:r w:rsidRPr="005138D5">
              <w:rPr>
                <w:rFonts w:cs="Times New Roman"/>
              </w:rPr>
              <w:t>niewydolność</w:t>
            </w:r>
            <w:proofErr w:type="spellEnd"/>
            <w:r w:rsidRPr="005138D5">
              <w:rPr>
                <w:rFonts w:cs="Times New Roman"/>
              </w:rPr>
              <w:t xml:space="preserve"> </w:t>
            </w:r>
            <w:proofErr w:type="spellStart"/>
            <w:r w:rsidRPr="005138D5">
              <w:rPr>
                <w:rFonts w:cs="Times New Roman"/>
              </w:rPr>
              <w:t>nerek</w:t>
            </w:r>
            <w:proofErr w:type="spellEnd"/>
            <w:r w:rsidRPr="005138D5">
              <w:rPr>
                <w:rFonts w:cs="Times New Roman"/>
              </w:rPr>
              <w:t xml:space="preserve">, </w:t>
            </w:r>
            <w:proofErr w:type="spellStart"/>
            <w:r w:rsidRPr="005138D5">
              <w:rPr>
                <w:rFonts w:cs="Times New Roman"/>
              </w:rPr>
              <w:t>krwiomocz</w:t>
            </w:r>
            <w:proofErr w:type="spellEnd"/>
          </w:p>
        </w:tc>
        <w:tc>
          <w:tcPr>
            <w:tcW w:w="1842" w:type="dxa"/>
          </w:tcPr>
          <w:p w14:paraId="01EE1BCC" w14:textId="77777777" w:rsidR="00D31C86" w:rsidRPr="005138D5" w:rsidRDefault="00D31C86" w:rsidP="00664478">
            <w:pPr>
              <w:pStyle w:val="TableText"/>
              <w:rPr>
                <w:rFonts w:cs="Times New Roman"/>
                <w:lang w:val="pl-PL"/>
              </w:rPr>
            </w:pPr>
            <w:r w:rsidRPr="005138D5">
              <w:rPr>
                <w:rFonts w:cs="Times New Roman"/>
                <w:lang w:val="pl-PL"/>
              </w:rPr>
              <w:t>martwica cewek nerkowych, białkomocz, zapalenie nerek</w:t>
            </w:r>
          </w:p>
        </w:tc>
        <w:tc>
          <w:tcPr>
            <w:tcW w:w="1843" w:type="dxa"/>
          </w:tcPr>
          <w:p w14:paraId="26AD0261" w14:textId="77777777" w:rsidR="00D31C86" w:rsidRPr="005138D5" w:rsidRDefault="00D31C86" w:rsidP="00664478">
            <w:pPr>
              <w:rPr>
                <w:sz w:val="22"/>
              </w:rPr>
            </w:pPr>
          </w:p>
        </w:tc>
        <w:tc>
          <w:tcPr>
            <w:tcW w:w="1433" w:type="dxa"/>
          </w:tcPr>
          <w:p w14:paraId="56410F97" w14:textId="77777777" w:rsidR="00D31C86" w:rsidRPr="005138D5" w:rsidRDefault="00D31C86" w:rsidP="00664478">
            <w:pPr>
              <w:rPr>
                <w:sz w:val="22"/>
              </w:rPr>
            </w:pPr>
          </w:p>
        </w:tc>
      </w:tr>
      <w:tr w:rsidR="00D31C86" w:rsidRPr="005138D5" w14:paraId="07F5B9CA" w14:textId="77777777" w:rsidTr="00664478">
        <w:trPr>
          <w:trHeight w:val="790"/>
        </w:trPr>
        <w:tc>
          <w:tcPr>
            <w:tcW w:w="1701" w:type="dxa"/>
          </w:tcPr>
          <w:p w14:paraId="3148298E" w14:textId="77777777" w:rsidR="00D31C86" w:rsidRPr="005138D5" w:rsidRDefault="00D31C86" w:rsidP="00664478">
            <w:pPr>
              <w:rPr>
                <w:sz w:val="22"/>
              </w:rPr>
            </w:pPr>
            <w:r w:rsidRPr="005138D5">
              <w:rPr>
                <w:sz w:val="22"/>
              </w:rPr>
              <w:t>Zaburzenia ogólne i stany w miejscu podania</w:t>
            </w:r>
          </w:p>
        </w:tc>
        <w:tc>
          <w:tcPr>
            <w:tcW w:w="1449" w:type="dxa"/>
          </w:tcPr>
          <w:p w14:paraId="386F04ED" w14:textId="77777777" w:rsidR="00D31C86" w:rsidRPr="005138D5" w:rsidRDefault="00D31C86" w:rsidP="00664478">
            <w:pPr>
              <w:rPr>
                <w:sz w:val="22"/>
                <w:lang w:val="en-US"/>
              </w:rPr>
            </w:pPr>
            <w:r w:rsidRPr="005138D5">
              <w:rPr>
                <w:sz w:val="22"/>
              </w:rPr>
              <w:t>gorączka</w:t>
            </w:r>
          </w:p>
        </w:tc>
        <w:tc>
          <w:tcPr>
            <w:tcW w:w="1812" w:type="dxa"/>
          </w:tcPr>
          <w:p w14:paraId="161CD7DC" w14:textId="77777777" w:rsidR="00D31C86" w:rsidRPr="005138D5" w:rsidRDefault="00D31C86" w:rsidP="00664478">
            <w:pPr>
              <w:pStyle w:val="TableText"/>
              <w:rPr>
                <w:rFonts w:cs="Times New Roman"/>
                <w:lang w:val="pl-PL"/>
              </w:rPr>
            </w:pPr>
            <w:r w:rsidRPr="005138D5">
              <w:rPr>
                <w:rFonts w:cs="Times New Roman"/>
                <w:lang w:val="pl-PL"/>
              </w:rPr>
              <w:t>ból w klatce piersiowej, obrzęk twarzy</w:t>
            </w:r>
            <w:r w:rsidRPr="005138D5">
              <w:rPr>
                <w:rStyle w:val="TableText12"/>
                <w:rFonts w:cs="Times New Roman"/>
                <w:sz w:val="22"/>
                <w:vertAlign w:val="superscript"/>
                <w:lang w:val="pl-PL"/>
              </w:rPr>
              <w:t>11</w:t>
            </w:r>
            <w:r w:rsidRPr="005138D5">
              <w:rPr>
                <w:rStyle w:val="TableText12"/>
                <w:rFonts w:cs="Times New Roman"/>
                <w:sz w:val="22"/>
                <w:lang w:val="pl-PL"/>
              </w:rPr>
              <w:t xml:space="preserve">, </w:t>
            </w:r>
            <w:r w:rsidRPr="005138D5">
              <w:rPr>
                <w:rFonts w:cs="Times New Roman"/>
                <w:lang w:val="pl-PL"/>
              </w:rPr>
              <w:t>osłabienie</w:t>
            </w:r>
            <w:r w:rsidRPr="005138D5">
              <w:rPr>
                <w:rStyle w:val="TableText12"/>
                <w:rFonts w:cs="Times New Roman"/>
                <w:sz w:val="22"/>
                <w:lang w:val="pl-PL"/>
              </w:rPr>
              <w:t xml:space="preserve">, </w:t>
            </w:r>
            <w:r w:rsidRPr="005138D5">
              <w:rPr>
                <w:rFonts w:cs="Times New Roman"/>
                <w:lang w:val="pl-PL"/>
              </w:rPr>
              <w:t>dreszcze</w:t>
            </w:r>
          </w:p>
        </w:tc>
        <w:tc>
          <w:tcPr>
            <w:tcW w:w="1842" w:type="dxa"/>
          </w:tcPr>
          <w:p w14:paraId="6B91CBA4" w14:textId="77777777" w:rsidR="00D31C86" w:rsidRPr="005138D5" w:rsidRDefault="00D31C86" w:rsidP="00664478">
            <w:pPr>
              <w:pStyle w:val="TableText"/>
              <w:rPr>
                <w:rFonts w:cs="Times New Roman"/>
                <w:lang w:val="pl-PL"/>
              </w:rPr>
            </w:pPr>
            <w:r w:rsidRPr="005138D5">
              <w:rPr>
                <w:rFonts w:cs="Times New Roman"/>
                <w:lang w:val="pl-PL"/>
              </w:rPr>
              <w:t>reakcja w miejscu wlewu</w:t>
            </w:r>
            <w:r w:rsidRPr="005138D5">
              <w:rPr>
                <w:rStyle w:val="TableText12"/>
                <w:rFonts w:cs="Times New Roman"/>
                <w:sz w:val="22"/>
                <w:lang w:val="pl-PL"/>
              </w:rPr>
              <w:t xml:space="preserve">, </w:t>
            </w:r>
            <w:r w:rsidRPr="005138D5">
              <w:rPr>
                <w:rFonts w:cs="Times New Roman"/>
                <w:lang w:val="pl-PL"/>
              </w:rPr>
              <w:t>objawy grypopodobne</w:t>
            </w:r>
          </w:p>
        </w:tc>
        <w:tc>
          <w:tcPr>
            <w:tcW w:w="1843" w:type="dxa"/>
          </w:tcPr>
          <w:p w14:paraId="533E3FAC" w14:textId="77777777" w:rsidR="00D31C86" w:rsidRPr="005138D5" w:rsidRDefault="00D31C86" w:rsidP="00664478">
            <w:pPr>
              <w:rPr>
                <w:sz w:val="22"/>
              </w:rPr>
            </w:pPr>
          </w:p>
        </w:tc>
        <w:tc>
          <w:tcPr>
            <w:tcW w:w="1433" w:type="dxa"/>
          </w:tcPr>
          <w:p w14:paraId="161D954F" w14:textId="77777777" w:rsidR="00D31C86" w:rsidRPr="005138D5" w:rsidRDefault="00D31C86" w:rsidP="00664478">
            <w:pPr>
              <w:rPr>
                <w:sz w:val="22"/>
              </w:rPr>
            </w:pPr>
          </w:p>
        </w:tc>
      </w:tr>
      <w:tr w:rsidR="00D31C86" w:rsidRPr="005138D5" w14:paraId="495AD31A" w14:textId="77777777" w:rsidTr="00664478">
        <w:trPr>
          <w:trHeight w:val="1021"/>
        </w:trPr>
        <w:tc>
          <w:tcPr>
            <w:tcW w:w="1701" w:type="dxa"/>
          </w:tcPr>
          <w:p w14:paraId="78E535CC" w14:textId="77777777" w:rsidR="00D31C86" w:rsidRPr="005138D5" w:rsidRDefault="00D31C86" w:rsidP="00664478">
            <w:pPr>
              <w:keepNext/>
              <w:keepLines/>
              <w:rPr>
                <w:sz w:val="22"/>
                <w:lang w:val="en-US"/>
              </w:rPr>
            </w:pPr>
            <w:proofErr w:type="spellStart"/>
            <w:r w:rsidRPr="005138D5">
              <w:rPr>
                <w:sz w:val="22"/>
                <w:lang w:val="en-US"/>
              </w:rPr>
              <w:t>Badania</w:t>
            </w:r>
            <w:proofErr w:type="spellEnd"/>
            <w:r w:rsidRPr="005138D5">
              <w:rPr>
                <w:sz w:val="22"/>
                <w:lang w:val="en-US"/>
              </w:rPr>
              <w:t xml:space="preserve"> </w:t>
            </w:r>
            <w:proofErr w:type="spellStart"/>
            <w:r w:rsidRPr="005138D5">
              <w:rPr>
                <w:sz w:val="22"/>
                <w:lang w:val="en-US"/>
              </w:rPr>
              <w:t>diagnostyczne</w:t>
            </w:r>
            <w:proofErr w:type="spellEnd"/>
          </w:p>
        </w:tc>
        <w:tc>
          <w:tcPr>
            <w:tcW w:w="1449" w:type="dxa"/>
          </w:tcPr>
          <w:p w14:paraId="0C4DD4E3" w14:textId="77777777" w:rsidR="00D31C86" w:rsidRPr="005138D5" w:rsidRDefault="00D31C86" w:rsidP="00664478">
            <w:pPr>
              <w:keepNext/>
              <w:keepLines/>
              <w:rPr>
                <w:sz w:val="22"/>
                <w:lang w:val="en-US"/>
              </w:rPr>
            </w:pPr>
          </w:p>
        </w:tc>
        <w:tc>
          <w:tcPr>
            <w:tcW w:w="1812" w:type="dxa"/>
          </w:tcPr>
          <w:p w14:paraId="20ECD305" w14:textId="77777777" w:rsidR="00D31C86" w:rsidRPr="005138D5" w:rsidRDefault="00D31C86" w:rsidP="00664478">
            <w:pPr>
              <w:pStyle w:val="TableText"/>
              <w:keepNext/>
              <w:keepLines/>
              <w:rPr>
                <w:rFonts w:cs="Times New Roman"/>
                <w:lang w:val="pl-PL"/>
              </w:rPr>
            </w:pPr>
            <w:r w:rsidRPr="005138D5">
              <w:rPr>
                <w:rFonts w:cs="Times New Roman"/>
                <w:lang w:val="pl-PL"/>
              </w:rPr>
              <w:t>zwiększenie stężenia kreatyniny we krwi</w:t>
            </w:r>
          </w:p>
        </w:tc>
        <w:tc>
          <w:tcPr>
            <w:tcW w:w="1842" w:type="dxa"/>
          </w:tcPr>
          <w:p w14:paraId="38683664" w14:textId="77777777" w:rsidR="00D31C86" w:rsidRPr="005138D5" w:rsidRDefault="00D31C86" w:rsidP="00664478">
            <w:pPr>
              <w:pStyle w:val="TableText"/>
              <w:keepNext/>
              <w:keepLines/>
              <w:rPr>
                <w:rFonts w:cs="Times New Roman"/>
                <w:lang w:val="pl-PL"/>
              </w:rPr>
            </w:pPr>
            <w:r w:rsidRPr="005138D5">
              <w:rPr>
                <w:rFonts w:cs="Times New Roman"/>
                <w:lang w:val="pl-PL"/>
              </w:rPr>
              <w:t>zwiększenie stężenia mocznika we krwi</w:t>
            </w:r>
            <w:r w:rsidRPr="005138D5">
              <w:rPr>
                <w:rStyle w:val="TableText12"/>
                <w:rFonts w:cs="Times New Roman"/>
                <w:sz w:val="22"/>
                <w:lang w:val="pl-PL"/>
              </w:rPr>
              <w:t xml:space="preserve">, </w:t>
            </w:r>
            <w:r w:rsidRPr="005138D5">
              <w:rPr>
                <w:rFonts w:cs="Times New Roman"/>
                <w:lang w:val="pl-PL"/>
              </w:rPr>
              <w:t>zwiększenie stężenia cholesterolu we krwi</w:t>
            </w:r>
          </w:p>
        </w:tc>
        <w:tc>
          <w:tcPr>
            <w:tcW w:w="1843" w:type="dxa"/>
          </w:tcPr>
          <w:p w14:paraId="10FB706D" w14:textId="77777777" w:rsidR="00D31C86" w:rsidRPr="005138D5" w:rsidRDefault="00D31C86" w:rsidP="00664478">
            <w:pPr>
              <w:rPr>
                <w:sz w:val="22"/>
              </w:rPr>
            </w:pPr>
          </w:p>
        </w:tc>
        <w:tc>
          <w:tcPr>
            <w:tcW w:w="1433" w:type="dxa"/>
          </w:tcPr>
          <w:p w14:paraId="1914ADC3" w14:textId="77777777" w:rsidR="00D31C86" w:rsidRPr="005138D5" w:rsidRDefault="00D31C86" w:rsidP="00664478">
            <w:pPr>
              <w:rPr>
                <w:sz w:val="22"/>
              </w:rPr>
            </w:pPr>
          </w:p>
        </w:tc>
      </w:tr>
    </w:tbl>
    <w:p w14:paraId="3C616E4D" w14:textId="77777777" w:rsidR="00D31C86" w:rsidRDefault="00D31C86" w:rsidP="00D31C86">
      <w:pPr>
        <w:widowControl/>
        <w:rPr>
          <w:sz w:val="22"/>
        </w:rPr>
      </w:pPr>
      <w:r w:rsidRPr="005138D5">
        <w:rPr>
          <w:sz w:val="22"/>
        </w:rPr>
        <w:t>* Działania niepożądane zaobserwowane po wprowadzeniu produktu do obrotu</w:t>
      </w:r>
    </w:p>
    <w:p w14:paraId="759E71AA" w14:textId="0915B9B9" w:rsidR="009745B5" w:rsidRPr="005138D5" w:rsidRDefault="009745B5" w:rsidP="00D31C86">
      <w:pPr>
        <w:widowControl/>
        <w:rPr>
          <w:sz w:val="22"/>
        </w:rPr>
      </w:pPr>
      <w:r w:rsidRPr="009745B5">
        <w:rPr>
          <w:sz w:val="22"/>
        </w:rPr>
        <w:t>**Kategoria częstości występowania oparta jest na badaniu obserwacyjnym, w którym wykorzystano dane rzeczywiste pochodzące z wtórnych źródeł danych w Szwecji.</w:t>
      </w:r>
    </w:p>
    <w:p w14:paraId="00D1625C" w14:textId="77777777" w:rsidR="00D31C86" w:rsidRPr="005138D5" w:rsidRDefault="00D31C86" w:rsidP="00D31C86">
      <w:pPr>
        <w:widowControl/>
        <w:rPr>
          <w:sz w:val="22"/>
        </w:rPr>
      </w:pPr>
      <w:r w:rsidRPr="005138D5">
        <w:rPr>
          <w:sz w:val="22"/>
          <w:vertAlign w:val="superscript"/>
        </w:rPr>
        <w:t xml:space="preserve">1 </w:t>
      </w:r>
      <w:r w:rsidRPr="005138D5">
        <w:rPr>
          <w:sz w:val="22"/>
        </w:rPr>
        <w:t>W tym gorączka neutropeniczna i neutropenia.</w:t>
      </w:r>
    </w:p>
    <w:p w14:paraId="7BB7037D" w14:textId="77777777" w:rsidR="00D31C86" w:rsidRPr="005138D5" w:rsidRDefault="00D31C86" w:rsidP="00D31C86">
      <w:pPr>
        <w:widowControl/>
        <w:rPr>
          <w:sz w:val="22"/>
        </w:rPr>
      </w:pPr>
      <w:r w:rsidRPr="005138D5">
        <w:rPr>
          <w:sz w:val="22"/>
          <w:vertAlign w:val="superscript"/>
        </w:rPr>
        <w:t>2</w:t>
      </w:r>
      <w:r w:rsidRPr="005138D5">
        <w:rPr>
          <w:sz w:val="22"/>
        </w:rPr>
        <w:t xml:space="preserve"> W tym immunologiczna plamica małopłytkowa.</w:t>
      </w:r>
    </w:p>
    <w:p w14:paraId="370DC8B9" w14:textId="77777777" w:rsidR="00D31C86" w:rsidRPr="005138D5" w:rsidRDefault="00D31C86" w:rsidP="00D31C86">
      <w:pPr>
        <w:widowControl/>
        <w:rPr>
          <w:sz w:val="22"/>
        </w:rPr>
      </w:pPr>
      <w:r w:rsidRPr="005138D5">
        <w:rPr>
          <w:sz w:val="22"/>
          <w:vertAlign w:val="superscript"/>
        </w:rPr>
        <w:t>3</w:t>
      </w:r>
      <w:r w:rsidRPr="005138D5">
        <w:rPr>
          <w:sz w:val="22"/>
        </w:rPr>
        <w:t xml:space="preserve"> W tym sztywność karku i tężyczka.</w:t>
      </w:r>
    </w:p>
    <w:p w14:paraId="26DA3F65" w14:textId="77777777" w:rsidR="00D31C86" w:rsidRPr="005138D5" w:rsidRDefault="00D31C86" w:rsidP="00D31C86">
      <w:pPr>
        <w:widowControl/>
        <w:rPr>
          <w:sz w:val="22"/>
        </w:rPr>
      </w:pPr>
      <w:r w:rsidRPr="005138D5">
        <w:rPr>
          <w:sz w:val="22"/>
          <w:vertAlign w:val="superscript"/>
        </w:rPr>
        <w:t>4</w:t>
      </w:r>
      <w:r w:rsidRPr="005138D5">
        <w:rPr>
          <w:sz w:val="22"/>
        </w:rPr>
        <w:t xml:space="preserve"> W tym </w:t>
      </w:r>
      <w:r w:rsidRPr="005138D5">
        <w:rPr>
          <w:iCs/>
          <w:sz w:val="22"/>
        </w:rPr>
        <w:t>encefalopatia niedotlenieniowo</w:t>
      </w:r>
      <w:r w:rsidRPr="005138D5">
        <w:rPr>
          <w:sz w:val="22"/>
        </w:rPr>
        <w:t>-</w:t>
      </w:r>
      <w:r w:rsidRPr="005138D5">
        <w:rPr>
          <w:iCs/>
          <w:sz w:val="22"/>
        </w:rPr>
        <w:t>niedokrwienna</w:t>
      </w:r>
      <w:r w:rsidRPr="005138D5">
        <w:rPr>
          <w:sz w:val="22"/>
        </w:rPr>
        <w:t xml:space="preserve"> i encefalopatia metaboliczna.</w:t>
      </w:r>
    </w:p>
    <w:p w14:paraId="1DBEC588" w14:textId="77777777" w:rsidR="00D31C86" w:rsidRPr="005138D5" w:rsidRDefault="00D31C86" w:rsidP="00D31C86">
      <w:pPr>
        <w:widowControl/>
        <w:rPr>
          <w:sz w:val="22"/>
        </w:rPr>
      </w:pPr>
      <w:r w:rsidRPr="005138D5">
        <w:rPr>
          <w:sz w:val="22"/>
          <w:vertAlign w:val="superscript"/>
        </w:rPr>
        <w:t>5</w:t>
      </w:r>
      <w:r w:rsidRPr="005138D5">
        <w:rPr>
          <w:sz w:val="22"/>
        </w:rPr>
        <w:t xml:space="preserve"> W tym akatyzja i  parkinsonizm.</w:t>
      </w:r>
    </w:p>
    <w:p w14:paraId="3AACC2F4" w14:textId="77777777" w:rsidR="00D31C86" w:rsidRPr="005138D5" w:rsidRDefault="00D31C86" w:rsidP="00D31C86">
      <w:pPr>
        <w:widowControl/>
        <w:rPr>
          <w:sz w:val="22"/>
        </w:rPr>
      </w:pPr>
      <w:r w:rsidRPr="005138D5">
        <w:rPr>
          <w:sz w:val="22"/>
          <w:vertAlign w:val="superscript"/>
        </w:rPr>
        <w:t>6</w:t>
      </w:r>
      <w:r w:rsidRPr="005138D5">
        <w:rPr>
          <w:sz w:val="22"/>
        </w:rPr>
        <w:t xml:space="preserve"> Patrz ustęp „</w:t>
      </w:r>
      <w:r w:rsidR="00B763D0" w:rsidRPr="005138D5">
        <w:rPr>
          <w:sz w:val="22"/>
        </w:rPr>
        <w:t>Zaburzenia</w:t>
      </w:r>
      <w:r w:rsidRPr="005138D5">
        <w:rPr>
          <w:sz w:val="22"/>
        </w:rPr>
        <w:t xml:space="preserve"> widzenia” w punkcie 4.8.</w:t>
      </w:r>
    </w:p>
    <w:p w14:paraId="10BFEE99" w14:textId="77777777" w:rsidR="00D31C86" w:rsidRPr="005138D5" w:rsidRDefault="00D31C86" w:rsidP="00D31C86">
      <w:pPr>
        <w:widowControl/>
        <w:rPr>
          <w:sz w:val="22"/>
        </w:rPr>
      </w:pPr>
      <w:r w:rsidRPr="005138D5">
        <w:rPr>
          <w:sz w:val="22"/>
          <w:vertAlign w:val="superscript"/>
        </w:rPr>
        <w:t>7</w:t>
      </w:r>
      <w:r w:rsidRPr="005138D5">
        <w:rPr>
          <w:sz w:val="22"/>
        </w:rPr>
        <w:t xml:space="preserve"> Przedłużone zapalenie nerwu wzrokowego zgłaszano po wprowadzeniu produktu do obrotu. Patrz punkt 4.4.</w:t>
      </w:r>
    </w:p>
    <w:p w14:paraId="2E3122E6" w14:textId="77777777" w:rsidR="00D31C86" w:rsidRPr="005138D5" w:rsidRDefault="00D31C86" w:rsidP="00D31C86">
      <w:pPr>
        <w:widowControl/>
        <w:rPr>
          <w:sz w:val="22"/>
        </w:rPr>
      </w:pPr>
      <w:r w:rsidRPr="005138D5">
        <w:rPr>
          <w:sz w:val="22"/>
          <w:vertAlign w:val="superscript"/>
        </w:rPr>
        <w:t>8</w:t>
      </w:r>
      <w:r w:rsidRPr="005138D5">
        <w:rPr>
          <w:sz w:val="22"/>
        </w:rPr>
        <w:t xml:space="preserve"> Patrz punkt 4.4.</w:t>
      </w:r>
    </w:p>
    <w:p w14:paraId="2E1497B0" w14:textId="77777777" w:rsidR="00D31C86" w:rsidRPr="005138D5" w:rsidRDefault="00D31C86" w:rsidP="00D31C86">
      <w:pPr>
        <w:widowControl/>
        <w:rPr>
          <w:sz w:val="22"/>
        </w:rPr>
      </w:pPr>
      <w:r w:rsidRPr="005138D5">
        <w:rPr>
          <w:sz w:val="22"/>
          <w:vertAlign w:val="superscript"/>
        </w:rPr>
        <w:t>9</w:t>
      </w:r>
      <w:r w:rsidRPr="005138D5">
        <w:rPr>
          <w:sz w:val="22"/>
        </w:rPr>
        <w:t xml:space="preserve"> W tym duszność i duszność wysiłkowa.</w:t>
      </w:r>
    </w:p>
    <w:p w14:paraId="670C1560" w14:textId="77777777" w:rsidR="00D31C86" w:rsidRPr="005138D5" w:rsidRDefault="00D31C86" w:rsidP="00D31C86">
      <w:pPr>
        <w:widowControl/>
        <w:rPr>
          <w:sz w:val="22"/>
        </w:rPr>
      </w:pPr>
      <w:r w:rsidRPr="005138D5">
        <w:rPr>
          <w:sz w:val="22"/>
          <w:vertAlign w:val="superscript"/>
        </w:rPr>
        <w:t>10</w:t>
      </w:r>
      <w:r w:rsidRPr="005138D5">
        <w:rPr>
          <w:sz w:val="22"/>
        </w:rPr>
        <w:t xml:space="preserve"> W tym polekowe uszkodzenie wątroby, toksyczne zapalenie wątroby, uszkodzenie komórek wątroby i hepatotoksyczność.</w:t>
      </w:r>
    </w:p>
    <w:p w14:paraId="559CE6EE" w14:textId="77777777" w:rsidR="007E263F" w:rsidRPr="005138D5" w:rsidRDefault="00D31C86" w:rsidP="00D31C86">
      <w:pPr>
        <w:widowControl/>
        <w:rPr>
          <w:sz w:val="22"/>
        </w:rPr>
      </w:pPr>
      <w:r w:rsidRPr="005138D5">
        <w:rPr>
          <w:sz w:val="22"/>
          <w:vertAlign w:val="superscript"/>
        </w:rPr>
        <w:t>11</w:t>
      </w:r>
      <w:r w:rsidRPr="005138D5">
        <w:rPr>
          <w:sz w:val="22"/>
        </w:rPr>
        <w:t xml:space="preserve"> W tym obrzęk okołooczodołowy, obrzęk warg i obrzęk jamy ustnej.</w:t>
      </w:r>
    </w:p>
    <w:p w14:paraId="7F54173E" w14:textId="77777777" w:rsidR="00D31C86" w:rsidRPr="005138D5" w:rsidRDefault="00D31C86" w:rsidP="00D31C86">
      <w:pPr>
        <w:widowControl/>
        <w:rPr>
          <w:sz w:val="22"/>
        </w:rPr>
      </w:pPr>
    </w:p>
    <w:p w14:paraId="580C9D1C" w14:textId="77777777" w:rsidR="00F60438" w:rsidRPr="005138D5" w:rsidRDefault="00F60438" w:rsidP="00A41668">
      <w:pPr>
        <w:widowControl/>
        <w:rPr>
          <w:sz w:val="22"/>
          <w:u w:val="single"/>
        </w:rPr>
      </w:pPr>
      <w:r w:rsidRPr="005138D5">
        <w:rPr>
          <w:sz w:val="22"/>
          <w:u w:val="single"/>
        </w:rPr>
        <w:t>Opis wybranych działań niepożądanych</w:t>
      </w:r>
    </w:p>
    <w:p w14:paraId="76F4111D" w14:textId="77777777" w:rsidR="00F60438" w:rsidRPr="005138D5" w:rsidRDefault="00F60438" w:rsidP="00A41668">
      <w:pPr>
        <w:widowControl/>
        <w:rPr>
          <w:sz w:val="22"/>
        </w:rPr>
      </w:pPr>
    </w:p>
    <w:p w14:paraId="0C416C7D" w14:textId="77777777" w:rsidR="00575F5E" w:rsidRPr="005138D5" w:rsidRDefault="00575F5E" w:rsidP="00277FE6">
      <w:pPr>
        <w:rPr>
          <w:i/>
          <w:sz w:val="22"/>
        </w:rPr>
      </w:pPr>
      <w:r w:rsidRPr="005138D5">
        <w:rPr>
          <w:i/>
          <w:sz w:val="22"/>
        </w:rPr>
        <w:t>Zaburzenia widzenia</w:t>
      </w:r>
    </w:p>
    <w:p w14:paraId="44EBC111" w14:textId="77777777" w:rsidR="00575F5E" w:rsidRPr="005138D5" w:rsidRDefault="001A2230" w:rsidP="00277FE6">
      <w:pPr>
        <w:rPr>
          <w:sz w:val="22"/>
        </w:rPr>
      </w:pPr>
      <w:r w:rsidRPr="005138D5">
        <w:rPr>
          <w:sz w:val="22"/>
        </w:rPr>
        <w:t xml:space="preserve">W badaniach klinicznych zaburzenia widzenia </w:t>
      </w:r>
      <w:r w:rsidR="00D31C86" w:rsidRPr="005138D5">
        <w:rPr>
          <w:sz w:val="22"/>
        </w:rPr>
        <w:t xml:space="preserve">(w tym nieostre widzenie, światłowstręt, widzenie na zielono, chromatopsja, brak widzenia barw, widzenie na niebiesko, zaburzenia oka, widzenie z poświatą, ślepota nocna, wrażenie drgania obrazu, błyski, migoczące mroczki, zmniejszenie ostrości widzenia, jasne widzenie, ubytek pola widzenia, męty w ciele szklistym i widzenie na żółto) </w:t>
      </w:r>
      <w:r w:rsidRPr="005138D5">
        <w:rPr>
          <w:sz w:val="22"/>
        </w:rPr>
        <w:t xml:space="preserve">związane ze stosowaniem worykonazolu występują bardzo często. </w:t>
      </w:r>
      <w:r w:rsidR="00575F5E" w:rsidRPr="005138D5">
        <w:rPr>
          <w:sz w:val="22"/>
        </w:rPr>
        <w:t>Zaburzenia wzroku są przemijające i w pełni odwracalne, w większości ustępują samoistnie w ciągu 60 minut, nie obserwowano istotnych klinicznie, długoterminowych zaburzeń widzenia. Nasilenie objawów zmniejsza się z podaniem kolejnych dawek. Zaburzenia widzenia mają zwykle charakter łagodny. Rzadko powodowały przerwanie terapii i nie wiązały się z nimi długotrwałe następstwa. Zaburzenia widzenia mogą być związane z dużymi stężeniami worykonazolu w osoczu i (lub) większymi dawkami.</w:t>
      </w:r>
    </w:p>
    <w:p w14:paraId="235A71DC" w14:textId="77777777" w:rsidR="00575F5E" w:rsidRPr="005138D5" w:rsidRDefault="00575F5E" w:rsidP="00A41668">
      <w:pPr>
        <w:widowControl/>
        <w:rPr>
          <w:sz w:val="22"/>
        </w:rPr>
      </w:pPr>
    </w:p>
    <w:p w14:paraId="5FCEBFBD" w14:textId="77777777" w:rsidR="00D15169" w:rsidRPr="005138D5" w:rsidRDefault="00575F5E" w:rsidP="00A41668">
      <w:pPr>
        <w:widowControl/>
        <w:rPr>
          <w:sz w:val="22"/>
        </w:rPr>
      </w:pPr>
      <w:r w:rsidRPr="005138D5">
        <w:rPr>
          <w:sz w:val="22"/>
        </w:rPr>
        <w:t xml:space="preserve">Mechanizm działania jest nieznany, jednak miejsce działania znajduje się najprawdopodobniej </w:t>
      </w:r>
    </w:p>
    <w:p w14:paraId="199EA60E" w14:textId="77777777" w:rsidR="00575F5E" w:rsidRPr="005138D5" w:rsidRDefault="00575F5E" w:rsidP="00A41668">
      <w:pPr>
        <w:widowControl/>
        <w:rPr>
          <w:sz w:val="22"/>
        </w:rPr>
      </w:pPr>
      <w:r w:rsidRPr="005138D5">
        <w:rPr>
          <w:sz w:val="22"/>
        </w:rPr>
        <w:t>w siatkówce. W przeprowadzonym na zdrowych ochotnikach badaniu oceniającym wpływ worykonazolu na czynność siatkówki, worykonazol powodował spadek amplitudy fali elektroretinogramu (ERG). Badanie ERG dokonuje pomiaru impulsów elektrycznych w siatkówce. Zmiany ERG nie pogłębiały się podczas 29-dniowego leczenia worykonazolem i były w pełni odwracalne po odstawieniu leku.</w:t>
      </w:r>
    </w:p>
    <w:p w14:paraId="76552C3E" w14:textId="77777777" w:rsidR="00C84880" w:rsidRPr="005138D5" w:rsidRDefault="00C84880" w:rsidP="00A41668">
      <w:pPr>
        <w:widowControl/>
        <w:rPr>
          <w:sz w:val="22"/>
        </w:rPr>
      </w:pPr>
    </w:p>
    <w:p w14:paraId="3C8F3977" w14:textId="77777777" w:rsidR="00C84880" w:rsidRPr="005138D5" w:rsidRDefault="00C84880" w:rsidP="00C84880">
      <w:pPr>
        <w:widowControl/>
        <w:rPr>
          <w:sz w:val="22"/>
        </w:rPr>
      </w:pPr>
      <w:r w:rsidRPr="005138D5">
        <w:rPr>
          <w:sz w:val="22"/>
        </w:rPr>
        <w:t>Po wprowadzeniu produktu do obrotu zgłaszano zdarzenia niepożądane – przedłużone zaburzenia widzenia (patrz punkt 4.4).</w:t>
      </w:r>
    </w:p>
    <w:p w14:paraId="5D9C5648" w14:textId="77777777" w:rsidR="00C84880" w:rsidRPr="005138D5" w:rsidRDefault="00C84880" w:rsidP="00A41668">
      <w:pPr>
        <w:widowControl/>
        <w:rPr>
          <w:sz w:val="22"/>
        </w:rPr>
      </w:pPr>
    </w:p>
    <w:p w14:paraId="51A6F002" w14:textId="77777777" w:rsidR="00575F5E" w:rsidRPr="005138D5" w:rsidRDefault="00575F5E" w:rsidP="00A41668">
      <w:pPr>
        <w:widowControl/>
        <w:rPr>
          <w:i/>
          <w:sz w:val="22"/>
        </w:rPr>
      </w:pPr>
      <w:r w:rsidRPr="005138D5">
        <w:rPr>
          <w:i/>
          <w:sz w:val="22"/>
        </w:rPr>
        <w:t>Reakcje skórne</w:t>
      </w:r>
    </w:p>
    <w:p w14:paraId="0C524D21" w14:textId="77777777" w:rsidR="00C84880" w:rsidRPr="005138D5" w:rsidRDefault="00575F5E" w:rsidP="008D0700">
      <w:pPr>
        <w:widowControl/>
        <w:rPr>
          <w:sz w:val="22"/>
        </w:rPr>
      </w:pPr>
      <w:r w:rsidRPr="005138D5">
        <w:rPr>
          <w:sz w:val="22"/>
        </w:rPr>
        <w:t xml:space="preserve">W badaniach klinicznych reakcje skórne u pacjentów leczonych worykonazolem były </w:t>
      </w:r>
      <w:r w:rsidR="00D31C86" w:rsidRPr="005138D5">
        <w:rPr>
          <w:sz w:val="22"/>
        </w:rPr>
        <w:t xml:space="preserve">bardzo </w:t>
      </w:r>
      <w:r w:rsidRPr="005138D5">
        <w:rPr>
          <w:sz w:val="22"/>
        </w:rPr>
        <w:t xml:space="preserve">częste, jednak z reguły dotyczyło to pacjentów z inną ciężką chorobą podstawową i otrzymujących równocześnie liczne dodatkowe </w:t>
      </w:r>
      <w:r w:rsidR="00F60438" w:rsidRPr="005138D5">
        <w:rPr>
          <w:sz w:val="22"/>
        </w:rPr>
        <w:t>produkty lecznicze</w:t>
      </w:r>
      <w:r w:rsidRPr="005138D5">
        <w:rPr>
          <w:sz w:val="22"/>
        </w:rPr>
        <w:t xml:space="preserve">. Wysypka w większości przypadków była łagodna lub umiarkowanie nasilona. Podczas leczenia </w:t>
      </w:r>
      <w:r w:rsidR="008B1F4D" w:rsidRPr="005138D5">
        <w:rPr>
          <w:sz w:val="22"/>
        </w:rPr>
        <w:t>worykonazolem</w:t>
      </w:r>
      <w:r w:rsidRPr="005138D5">
        <w:rPr>
          <w:sz w:val="22"/>
        </w:rPr>
        <w:t xml:space="preserve"> występowały </w:t>
      </w:r>
      <w:r w:rsidR="008D0700">
        <w:rPr>
          <w:sz w:val="22"/>
        </w:rPr>
        <w:t xml:space="preserve">ciężkie </w:t>
      </w:r>
      <w:r w:rsidRPr="005138D5">
        <w:rPr>
          <w:sz w:val="22"/>
        </w:rPr>
        <w:t xml:space="preserve"> skórne</w:t>
      </w:r>
      <w:r w:rsidR="008D0700">
        <w:rPr>
          <w:sz w:val="22"/>
        </w:rPr>
        <w:t xml:space="preserve"> reakcje niepożądane (SCAR)</w:t>
      </w:r>
      <w:r w:rsidRPr="005138D5">
        <w:rPr>
          <w:sz w:val="22"/>
        </w:rPr>
        <w:t>, w tym: zespół Stevensa-Johnsona</w:t>
      </w:r>
      <w:r w:rsidR="008D0700">
        <w:rPr>
          <w:sz w:val="22"/>
        </w:rPr>
        <w:t xml:space="preserve"> (ZSJ)</w:t>
      </w:r>
      <w:r w:rsidR="00BB6B47" w:rsidRPr="005138D5">
        <w:rPr>
          <w:sz w:val="22"/>
        </w:rPr>
        <w:t xml:space="preserve"> (niezbyt często)</w:t>
      </w:r>
      <w:r w:rsidRPr="005138D5">
        <w:rPr>
          <w:sz w:val="22"/>
        </w:rPr>
        <w:t xml:space="preserve">, </w:t>
      </w:r>
      <w:r w:rsidR="008D0700">
        <w:rPr>
          <w:sz w:val="22"/>
        </w:rPr>
        <w:t xml:space="preserve">toksyczne </w:t>
      </w:r>
      <w:r w:rsidRPr="005138D5">
        <w:rPr>
          <w:sz w:val="22"/>
        </w:rPr>
        <w:t>martwic</w:t>
      </w:r>
      <w:r w:rsidR="008D0700">
        <w:rPr>
          <w:sz w:val="22"/>
        </w:rPr>
        <w:t>ze</w:t>
      </w:r>
      <w:r w:rsidRPr="005138D5">
        <w:rPr>
          <w:sz w:val="22"/>
        </w:rPr>
        <w:t xml:space="preserve">  </w:t>
      </w:r>
      <w:r w:rsidR="008D0700">
        <w:rPr>
          <w:sz w:val="22"/>
        </w:rPr>
        <w:t xml:space="preserve">oddzielanie się </w:t>
      </w:r>
      <w:r w:rsidRPr="005138D5">
        <w:rPr>
          <w:sz w:val="22"/>
        </w:rPr>
        <w:t xml:space="preserve">naskórka </w:t>
      </w:r>
      <w:r w:rsidR="008D0700">
        <w:rPr>
          <w:sz w:val="22"/>
        </w:rPr>
        <w:t xml:space="preserve">(TEN) </w:t>
      </w:r>
      <w:r w:rsidR="00BB6B47" w:rsidRPr="005138D5">
        <w:rPr>
          <w:sz w:val="22"/>
        </w:rPr>
        <w:t>(rzadko)</w:t>
      </w:r>
      <w:r w:rsidR="008D0700">
        <w:rPr>
          <w:sz w:val="22"/>
        </w:rPr>
        <w:t xml:space="preserve">, </w:t>
      </w:r>
      <w:r w:rsidR="008D0700" w:rsidRPr="008D0700">
        <w:rPr>
          <w:sz w:val="22"/>
        </w:rPr>
        <w:t>osutka polekowa z eozynofilią i objawami</w:t>
      </w:r>
      <w:r w:rsidR="008D0700">
        <w:rPr>
          <w:sz w:val="22"/>
        </w:rPr>
        <w:t xml:space="preserve"> </w:t>
      </w:r>
      <w:r w:rsidR="008D0700" w:rsidRPr="008D0700">
        <w:rPr>
          <w:sz w:val="22"/>
        </w:rPr>
        <w:t>układowymi (DRESS) (rzadko)</w:t>
      </w:r>
      <w:r w:rsidR="00BB6B47" w:rsidRPr="005138D5">
        <w:rPr>
          <w:sz w:val="22"/>
        </w:rPr>
        <w:t xml:space="preserve"> </w:t>
      </w:r>
      <w:r w:rsidRPr="005138D5">
        <w:rPr>
          <w:sz w:val="22"/>
        </w:rPr>
        <w:t>i rumień wielopostaciowy</w:t>
      </w:r>
      <w:r w:rsidR="00BB6B47" w:rsidRPr="005138D5">
        <w:rPr>
          <w:sz w:val="22"/>
        </w:rPr>
        <w:t xml:space="preserve"> (rzadko)</w:t>
      </w:r>
      <w:r w:rsidR="008D0700">
        <w:rPr>
          <w:sz w:val="22"/>
        </w:rPr>
        <w:t xml:space="preserve"> (patrz punkt 4.4)</w:t>
      </w:r>
      <w:r w:rsidRPr="005138D5">
        <w:rPr>
          <w:sz w:val="22"/>
        </w:rPr>
        <w:t>.</w:t>
      </w:r>
    </w:p>
    <w:p w14:paraId="4C659AA4" w14:textId="77777777" w:rsidR="002759AF" w:rsidRPr="005138D5" w:rsidRDefault="00575F5E" w:rsidP="00A41668">
      <w:pPr>
        <w:widowControl/>
        <w:rPr>
          <w:sz w:val="22"/>
        </w:rPr>
      </w:pPr>
      <w:r w:rsidRPr="005138D5">
        <w:rPr>
          <w:sz w:val="22"/>
        </w:rPr>
        <w:t xml:space="preserve"> </w:t>
      </w:r>
    </w:p>
    <w:p w14:paraId="70EA737F" w14:textId="77777777" w:rsidR="00D15169" w:rsidRPr="005138D5" w:rsidRDefault="00575F5E" w:rsidP="00A41668">
      <w:pPr>
        <w:widowControl/>
        <w:rPr>
          <w:sz w:val="22"/>
        </w:rPr>
      </w:pPr>
      <w:r w:rsidRPr="005138D5">
        <w:rPr>
          <w:sz w:val="22"/>
        </w:rPr>
        <w:t>W przypadkach wystąpienia wysypki pacjen</w:t>
      </w:r>
      <w:r w:rsidR="00C84880" w:rsidRPr="005138D5">
        <w:rPr>
          <w:sz w:val="22"/>
        </w:rPr>
        <w:t>t</w:t>
      </w:r>
      <w:r w:rsidRPr="005138D5">
        <w:rPr>
          <w:sz w:val="22"/>
        </w:rPr>
        <w:t xml:space="preserve"> powinni</w:t>
      </w:r>
      <w:r w:rsidR="00C84880" w:rsidRPr="005138D5">
        <w:rPr>
          <w:sz w:val="22"/>
        </w:rPr>
        <w:t>en</w:t>
      </w:r>
      <w:r w:rsidRPr="005138D5">
        <w:rPr>
          <w:sz w:val="22"/>
        </w:rPr>
        <w:t xml:space="preserve"> być dokładnie monitorowan</w:t>
      </w:r>
      <w:r w:rsidR="00C84880" w:rsidRPr="005138D5">
        <w:rPr>
          <w:sz w:val="22"/>
        </w:rPr>
        <w:t>y</w:t>
      </w:r>
      <w:r w:rsidRPr="005138D5">
        <w:rPr>
          <w:sz w:val="22"/>
        </w:rPr>
        <w:t xml:space="preserve"> i w razie nasilenia zmian terapia </w:t>
      </w:r>
      <w:r w:rsidR="001B49FD" w:rsidRPr="005138D5">
        <w:rPr>
          <w:sz w:val="22"/>
        </w:rPr>
        <w:t xml:space="preserve">produktem leczniczym </w:t>
      </w:r>
      <w:r w:rsidR="008B1F4D" w:rsidRPr="005138D5">
        <w:rPr>
          <w:sz w:val="22"/>
        </w:rPr>
        <w:t xml:space="preserve">Voriconazole Accord </w:t>
      </w:r>
      <w:r w:rsidRPr="005138D5">
        <w:rPr>
          <w:sz w:val="22"/>
        </w:rPr>
        <w:t>powinna być przerwana.</w:t>
      </w:r>
      <w:r w:rsidR="00132376" w:rsidRPr="005138D5">
        <w:rPr>
          <w:sz w:val="22"/>
        </w:rPr>
        <w:t xml:space="preserve"> </w:t>
      </w:r>
      <w:r w:rsidRPr="005138D5">
        <w:rPr>
          <w:sz w:val="22"/>
        </w:rPr>
        <w:t xml:space="preserve">Obserwowano także reakcje nadwrażliwości na światło, </w:t>
      </w:r>
      <w:r w:rsidR="00764A36" w:rsidRPr="005138D5">
        <w:rPr>
          <w:sz w:val="22"/>
        </w:rPr>
        <w:t xml:space="preserve">takie jak piegi, plamy soczewicowate i rogowacenie słoneczne, </w:t>
      </w:r>
      <w:r w:rsidRPr="005138D5">
        <w:rPr>
          <w:sz w:val="22"/>
        </w:rPr>
        <w:t xml:space="preserve">zwłaszcza podczas długotrwałej terapii </w:t>
      </w:r>
    </w:p>
    <w:p w14:paraId="6D5DBAE2" w14:textId="77777777" w:rsidR="00575F5E" w:rsidRPr="005138D5" w:rsidRDefault="00575F5E" w:rsidP="00A41668">
      <w:pPr>
        <w:widowControl/>
        <w:rPr>
          <w:sz w:val="22"/>
        </w:rPr>
      </w:pPr>
      <w:r w:rsidRPr="005138D5">
        <w:rPr>
          <w:sz w:val="22"/>
        </w:rPr>
        <w:t>(patrz punkt 4.4).</w:t>
      </w:r>
    </w:p>
    <w:p w14:paraId="3FD751BC" w14:textId="77777777" w:rsidR="00575F5E" w:rsidRPr="005138D5" w:rsidRDefault="00575F5E" w:rsidP="00A41668">
      <w:pPr>
        <w:widowControl/>
        <w:rPr>
          <w:sz w:val="22"/>
          <w:u w:val="single"/>
        </w:rPr>
      </w:pPr>
    </w:p>
    <w:p w14:paraId="426766D9" w14:textId="101DFDD2" w:rsidR="007925DC" w:rsidRPr="005138D5" w:rsidRDefault="007925DC" w:rsidP="00C8744C">
      <w:pPr>
        <w:widowControl/>
        <w:rPr>
          <w:sz w:val="22"/>
        </w:rPr>
      </w:pPr>
      <w:r w:rsidRPr="005138D5">
        <w:rPr>
          <w:sz w:val="22"/>
        </w:rPr>
        <w:t>Zgłaszano przypadki raka kolczystkomórkowego skóry</w:t>
      </w:r>
      <w:r w:rsidR="00C8744C">
        <w:rPr>
          <w:sz w:val="22"/>
        </w:rPr>
        <w:t xml:space="preserve"> </w:t>
      </w:r>
      <w:r w:rsidR="00C8744C" w:rsidRPr="00C8744C">
        <w:rPr>
          <w:sz w:val="22"/>
        </w:rPr>
        <w:t>(w tym rak</w:t>
      </w:r>
      <w:r w:rsidR="00C8744C">
        <w:rPr>
          <w:sz w:val="22"/>
        </w:rPr>
        <w:t>a</w:t>
      </w:r>
      <w:r w:rsidR="00C8744C" w:rsidRPr="00C8744C">
        <w:rPr>
          <w:sz w:val="22"/>
        </w:rPr>
        <w:t xml:space="preserve"> kolczystokomórkowy skóry </w:t>
      </w:r>
      <w:r w:rsidR="00C8744C" w:rsidRPr="00C8744C">
        <w:rPr>
          <w:i/>
          <w:iCs/>
          <w:sz w:val="22"/>
        </w:rPr>
        <w:t xml:space="preserve">in situ </w:t>
      </w:r>
      <w:r w:rsidR="00C8744C" w:rsidRPr="00C8744C">
        <w:rPr>
          <w:sz w:val="22"/>
        </w:rPr>
        <w:t>lub chorob</w:t>
      </w:r>
      <w:r w:rsidR="00C8744C">
        <w:rPr>
          <w:sz w:val="22"/>
        </w:rPr>
        <w:t xml:space="preserve">y </w:t>
      </w:r>
      <w:r w:rsidR="00C8744C" w:rsidRPr="00C8744C">
        <w:rPr>
          <w:sz w:val="22"/>
        </w:rPr>
        <w:t>Bowena)</w:t>
      </w:r>
      <w:r w:rsidRPr="005138D5">
        <w:rPr>
          <w:sz w:val="22"/>
        </w:rPr>
        <w:t xml:space="preserve"> u pacjentów leczonych przez długi czas produktem </w:t>
      </w:r>
      <w:r w:rsidR="001479BE" w:rsidRPr="005138D5">
        <w:rPr>
          <w:sz w:val="22"/>
        </w:rPr>
        <w:t>Voriconazole Accord</w:t>
      </w:r>
      <w:r w:rsidRPr="005138D5">
        <w:rPr>
          <w:sz w:val="22"/>
        </w:rPr>
        <w:t>; mechanizm występowania nie został ustalony (patrz punkt 4.4).</w:t>
      </w:r>
    </w:p>
    <w:p w14:paraId="13E16C99" w14:textId="77777777" w:rsidR="007925DC" w:rsidRPr="005138D5" w:rsidRDefault="007925DC" w:rsidP="00A41668">
      <w:pPr>
        <w:widowControl/>
        <w:rPr>
          <w:sz w:val="22"/>
          <w:u w:val="single"/>
        </w:rPr>
      </w:pPr>
    </w:p>
    <w:p w14:paraId="4A0FF449" w14:textId="77777777" w:rsidR="00575F5E" w:rsidRPr="005138D5" w:rsidRDefault="00575F5E" w:rsidP="00A41668">
      <w:pPr>
        <w:widowControl/>
        <w:rPr>
          <w:i/>
          <w:sz w:val="22"/>
        </w:rPr>
      </w:pPr>
      <w:r w:rsidRPr="005138D5">
        <w:rPr>
          <w:i/>
          <w:sz w:val="22"/>
        </w:rPr>
        <w:t>Testy czynności wątroby</w:t>
      </w:r>
    </w:p>
    <w:p w14:paraId="611B7207" w14:textId="77777777" w:rsidR="00575F5E" w:rsidRPr="005138D5" w:rsidRDefault="00575F5E" w:rsidP="00A41668">
      <w:pPr>
        <w:pStyle w:val="Tekstpodstawowy"/>
        <w:widowControl/>
        <w:rPr>
          <w:rFonts w:ascii="Times New Roman" w:hAnsi="Times New Roman"/>
        </w:rPr>
      </w:pPr>
      <w:r w:rsidRPr="005138D5">
        <w:rPr>
          <w:rFonts w:ascii="Times New Roman" w:hAnsi="Times New Roman"/>
        </w:rPr>
        <w:t xml:space="preserve">W badaniach klinicznych ogólna częstość występowania </w:t>
      </w:r>
      <w:r w:rsidR="00BB6B47" w:rsidRPr="005138D5">
        <w:rPr>
          <w:rFonts w:ascii="Times New Roman" w:hAnsi="Times New Roman"/>
        </w:rPr>
        <w:t>zwiększenia</w:t>
      </w:r>
      <w:r w:rsidR="00BB6B47" w:rsidRPr="005138D5" w:rsidDel="00BB6B47">
        <w:rPr>
          <w:rFonts w:ascii="Times New Roman" w:hAnsi="Times New Roman"/>
        </w:rPr>
        <w:t xml:space="preserve"> </w:t>
      </w:r>
      <w:r w:rsidRPr="005138D5">
        <w:rPr>
          <w:rFonts w:ascii="Times New Roman" w:hAnsi="Times New Roman"/>
        </w:rPr>
        <w:t xml:space="preserve"> aktywności aminotransferaz </w:t>
      </w:r>
      <w:r w:rsidR="00BB6B47" w:rsidRPr="005138D5">
        <w:rPr>
          <w:rFonts w:ascii="Times New Roman" w:hAnsi="Times New Roman"/>
        </w:rPr>
        <w:t xml:space="preserve">&gt;3 x wartości górnej granicy normy (niekoniecznie określanych jako zdarzenia niepożądane) </w:t>
      </w:r>
      <w:r w:rsidRPr="005138D5">
        <w:rPr>
          <w:rFonts w:ascii="Times New Roman" w:hAnsi="Times New Roman"/>
        </w:rPr>
        <w:t xml:space="preserve">u pacjentów </w:t>
      </w:r>
      <w:r w:rsidR="00BB6B47" w:rsidRPr="005138D5">
        <w:rPr>
          <w:rFonts w:ascii="Times New Roman" w:hAnsi="Times New Roman"/>
        </w:rPr>
        <w:t xml:space="preserve"> otrzymujących worykonazol, zarówno w badaniach działania leczniczego, jak i dotyczących profilaktyki,</w:t>
      </w:r>
      <w:r w:rsidRPr="005138D5">
        <w:rPr>
          <w:rFonts w:ascii="Times New Roman" w:hAnsi="Times New Roman"/>
        </w:rPr>
        <w:t xml:space="preserve"> wyniosła </w:t>
      </w:r>
      <w:r w:rsidR="00BB6B47" w:rsidRPr="005138D5">
        <w:rPr>
          <w:rFonts w:ascii="Times New Roman" w:hAnsi="Times New Roman"/>
        </w:rPr>
        <w:t>18,0</w:t>
      </w:r>
      <w:r w:rsidRPr="005138D5">
        <w:rPr>
          <w:rFonts w:ascii="Times New Roman" w:hAnsi="Times New Roman"/>
        </w:rPr>
        <w:t>% (</w:t>
      </w:r>
      <w:r w:rsidR="00BB6B47" w:rsidRPr="005138D5">
        <w:rPr>
          <w:rFonts w:ascii="Times New Roman" w:hAnsi="Times New Roman"/>
        </w:rPr>
        <w:t>319</w:t>
      </w:r>
      <w:r w:rsidR="00C84880" w:rsidRPr="005138D5">
        <w:rPr>
          <w:rFonts w:ascii="Times New Roman" w:hAnsi="Times New Roman"/>
        </w:rPr>
        <w:t>/</w:t>
      </w:r>
      <w:r w:rsidR="00BB6B47" w:rsidRPr="005138D5">
        <w:rPr>
          <w:rFonts w:ascii="Times New Roman" w:hAnsi="Times New Roman"/>
        </w:rPr>
        <w:t>1768</w:t>
      </w:r>
      <w:r w:rsidRPr="005138D5">
        <w:rPr>
          <w:rFonts w:ascii="Times New Roman" w:hAnsi="Times New Roman"/>
        </w:rPr>
        <w:t xml:space="preserve"> pacjentów)</w:t>
      </w:r>
      <w:r w:rsidR="00BB6B47" w:rsidRPr="005138D5">
        <w:rPr>
          <w:rFonts w:ascii="Times New Roman" w:hAnsi="Times New Roman"/>
        </w:rPr>
        <w:t xml:space="preserve"> u dorosłych oraz 25,8% (73/283) u dzieci i młodzieży</w:t>
      </w:r>
      <w:r w:rsidRPr="005138D5">
        <w:rPr>
          <w:rFonts w:ascii="Times New Roman" w:hAnsi="Times New Roman"/>
        </w:rPr>
        <w:t>. Nieprawidłowości wyników testów czynności wątroby mogą być związane ze zwiększonym stężeniem leku w osoczu i (lub) dużymi dawkami. Większość nieprawidłowych wyników testów czynności wątroby ustępowała podczas terapii, w części przypadków bez konieczności dostosowania dawki leku, w innych zaś po zmniejszeniu dawek aż do odstawienia leku włącznie.</w:t>
      </w:r>
    </w:p>
    <w:p w14:paraId="74F26AC1" w14:textId="77777777" w:rsidR="00D15169" w:rsidRPr="005138D5" w:rsidRDefault="00575F5E" w:rsidP="00A41668">
      <w:pPr>
        <w:widowControl/>
        <w:rPr>
          <w:sz w:val="22"/>
        </w:rPr>
      </w:pPr>
      <w:r w:rsidRPr="005138D5">
        <w:rPr>
          <w:sz w:val="22"/>
        </w:rPr>
        <w:t xml:space="preserve">Stosowanie worykonazolu u pacjentów z inną, ciężką chorobą podstawową było związane </w:t>
      </w:r>
    </w:p>
    <w:p w14:paraId="12F663C1" w14:textId="77777777" w:rsidR="00575F5E" w:rsidRPr="005138D5" w:rsidRDefault="00575F5E" w:rsidP="00A41668">
      <w:pPr>
        <w:widowControl/>
        <w:rPr>
          <w:sz w:val="22"/>
        </w:rPr>
      </w:pPr>
      <w:r w:rsidRPr="005138D5">
        <w:rPr>
          <w:sz w:val="22"/>
        </w:rPr>
        <w:t>z występowaniem poważnego uszkodzenia wątroby. Były to przypadki żółtaczki, zapalenia wątroby i niewydolności wątroby prowadzącej do śmierci (patrz punkt 4.4)</w:t>
      </w:r>
      <w:r w:rsidR="009C7752" w:rsidRPr="005138D5">
        <w:rPr>
          <w:sz w:val="22"/>
        </w:rPr>
        <w:t>.</w:t>
      </w:r>
    </w:p>
    <w:p w14:paraId="115D9D7C" w14:textId="77777777" w:rsidR="00575F5E" w:rsidRPr="005138D5" w:rsidRDefault="00575F5E" w:rsidP="00A41668">
      <w:pPr>
        <w:widowControl/>
        <w:rPr>
          <w:sz w:val="22"/>
        </w:rPr>
      </w:pPr>
    </w:p>
    <w:p w14:paraId="4F6F64A1" w14:textId="77777777" w:rsidR="00C84880" w:rsidRPr="005138D5" w:rsidRDefault="00C84880" w:rsidP="00C84880">
      <w:pPr>
        <w:pStyle w:val="Default"/>
        <w:rPr>
          <w:i/>
          <w:sz w:val="22"/>
          <w:szCs w:val="22"/>
          <w:lang w:val="pl-PL"/>
        </w:rPr>
      </w:pPr>
      <w:r w:rsidRPr="005138D5">
        <w:rPr>
          <w:i/>
          <w:sz w:val="22"/>
          <w:szCs w:val="22"/>
          <w:lang w:val="pl-PL"/>
        </w:rPr>
        <w:t>Profilaktyka</w:t>
      </w:r>
    </w:p>
    <w:p w14:paraId="7F74525F" w14:textId="77777777" w:rsidR="00C84880" w:rsidRPr="005138D5" w:rsidRDefault="00C84880" w:rsidP="00C84880">
      <w:pPr>
        <w:pStyle w:val="Default"/>
        <w:rPr>
          <w:b/>
          <w:sz w:val="22"/>
          <w:szCs w:val="22"/>
          <w:lang w:val="pl-PL"/>
        </w:rPr>
      </w:pPr>
      <w:r w:rsidRPr="005138D5">
        <w:rPr>
          <w:sz w:val="22"/>
          <w:szCs w:val="22"/>
          <w:lang w:val="pl-PL"/>
        </w:rPr>
        <w:t xml:space="preserve">W otwartym, porównawczym, wieloośrodkowym badaniu porównywano działanie worykonazolu i itrakonazolu, stosowanych w ramach profilaktyki pierwotnej u dorosłych i młodzieży po allogenicznym przeszczepieniu macierzystych komórek krwiotwórczych bez uprzednio potwierdzonego lub </w:t>
      </w:r>
      <w:r w:rsidRPr="005138D5">
        <w:rPr>
          <w:spacing w:val="-3"/>
          <w:sz w:val="22"/>
          <w:szCs w:val="22"/>
          <w:lang w:val="pl-PL"/>
        </w:rPr>
        <w:t>prawdopodobn</w:t>
      </w:r>
      <w:r w:rsidRPr="005138D5">
        <w:rPr>
          <w:sz w:val="22"/>
          <w:szCs w:val="22"/>
          <w:lang w:val="pl-PL"/>
        </w:rPr>
        <w:t xml:space="preserve">ego </w:t>
      </w:r>
      <w:r w:rsidRPr="005138D5">
        <w:rPr>
          <w:bCs/>
          <w:sz w:val="22"/>
          <w:szCs w:val="22"/>
          <w:lang w:val="pl-PL"/>
        </w:rPr>
        <w:t>inwazyjnego zakażenia grzybiczego.</w:t>
      </w:r>
      <w:r w:rsidRPr="005138D5">
        <w:rPr>
          <w:sz w:val="22"/>
          <w:szCs w:val="22"/>
          <w:lang w:val="pl-PL"/>
        </w:rPr>
        <w:t xml:space="preserve"> Trwałe odstawienie</w:t>
      </w:r>
      <w:r w:rsidRPr="005138D5">
        <w:rPr>
          <w:bCs/>
          <w:sz w:val="22"/>
          <w:szCs w:val="22"/>
          <w:lang w:val="pl-PL"/>
        </w:rPr>
        <w:t xml:space="preserve"> </w:t>
      </w:r>
      <w:r w:rsidRPr="005138D5">
        <w:rPr>
          <w:sz w:val="22"/>
          <w:szCs w:val="22"/>
          <w:lang w:val="pl-PL"/>
        </w:rPr>
        <w:t xml:space="preserve">worykonazolu z powodu wystąpienia zdarzeń niepożądanych zgłoszono u 39,3% pacjentów w porównaniu z 39,6% pacjentów z grupy otrzymującej itrakonazol. W wyniku zgłoszonych w trakcie leczenia działań niepożądanych, dotyczących wątroby, badany lek trwale odstawiono w przypadku </w:t>
      </w:r>
      <w:r w:rsidRPr="005138D5">
        <w:rPr>
          <w:rFonts w:eastAsia="TimesNewRoman"/>
          <w:sz w:val="22"/>
          <w:szCs w:val="22"/>
          <w:lang w:val="pl-PL"/>
        </w:rPr>
        <w:t xml:space="preserve">50 pacjentów (21,4%) leczonych </w:t>
      </w:r>
      <w:r w:rsidRPr="005138D5">
        <w:rPr>
          <w:sz w:val="22"/>
          <w:szCs w:val="22"/>
          <w:lang w:val="pl-PL"/>
        </w:rPr>
        <w:t xml:space="preserve">worykonazolem i </w:t>
      </w:r>
      <w:r w:rsidRPr="005138D5">
        <w:rPr>
          <w:rFonts w:eastAsia="TimesNewRoman"/>
          <w:sz w:val="22"/>
          <w:szCs w:val="22"/>
          <w:lang w:val="pl-PL"/>
        </w:rPr>
        <w:t xml:space="preserve">18 pacjentów (7,1%) leczonych </w:t>
      </w:r>
      <w:r w:rsidRPr="005138D5">
        <w:rPr>
          <w:sz w:val="22"/>
          <w:szCs w:val="22"/>
          <w:lang w:val="pl-PL"/>
        </w:rPr>
        <w:t>itrakonazolem</w:t>
      </w:r>
      <w:r w:rsidRPr="005138D5">
        <w:rPr>
          <w:rFonts w:eastAsia="TimesNewRoman"/>
          <w:sz w:val="22"/>
          <w:szCs w:val="22"/>
          <w:lang w:val="pl-PL"/>
        </w:rPr>
        <w:t>.</w:t>
      </w:r>
    </w:p>
    <w:p w14:paraId="2C88F735" w14:textId="77777777" w:rsidR="00C84880" w:rsidRPr="005138D5" w:rsidRDefault="00C84880" w:rsidP="00A41668">
      <w:pPr>
        <w:widowControl/>
        <w:rPr>
          <w:sz w:val="22"/>
        </w:rPr>
      </w:pPr>
    </w:p>
    <w:p w14:paraId="1D8066ED" w14:textId="77777777" w:rsidR="00133B6E" w:rsidRPr="005138D5" w:rsidRDefault="00133B6E" w:rsidP="00A41668">
      <w:pPr>
        <w:rPr>
          <w:i/>
          <w:sz w:val="22"/>
        </w:rPr>
      </w:pPr>
      <w:r w:rsidRPr="005138D5">
        <w:rPr>
          <w:i/>
          <w:sz w:val="22"/>
        </w:rPr>
        <w:t>Dzieci i młodzież</w:t>
      </w:r>
    </w:p>
    <w:p w14:paraId="61F94E30" w14:textId="77777777" w:rsidR="00575F5E" w:rsidRPr="005138D5" w:rsidRDefault="00575F5E" w:rsidP="00A41668">
      <w:pPr>
        <w:rPr>
          <w:sz w:val="22"/>
        </w:rPr>
      </w:pPr>
      <w:r w:rsidRPr="005138D5">
        <w:rPr>
          <w:sz w:val="22"/>
        </w:rPr>
        <w:t xml:space="preserve">Bezpieczeństwo stosowania worykonazolu było badane u </w:t>
      </w:r>
      <w:r w:rsidR="00C17FB1" w:rsidRPr="005138D5">
        <w:rPr>
          <w:sz w:val="22"/>
        </w:rPr>
        <w:t>288</w:t>
      </w:r>
      <w:r w:rsidR="00D97F61" w:rsidRPr="005138D5">
        <w:rPr>
          <w:sz w:val="22"/>
        </w:rPr>
        <w:t xml:space="preserve"> </w:t>
      </w:r>
      <w:r w:rsidRPr="005138D5">
        <w:rPr>
          <w:sz w:val="22"/>
        </w:rPr>
        <w:t>dzieci w wieku od 2 do &lt;12</w:t>
      </w:r>
      <w:r w:rsidR="00386A06" w:rsidRPr="005138D5">
        <w:rPr>
          <w:sz w:val="22"/>
        </w:rPr>
        <w:t> lat</w:t>
      </w:r>
      <w:r w:rsidR="00BB6B47" w:rsidRPr="005138D5">
        <w:rPr>
          <w:sz w:val="22"/>
        </w:rPr>
        <w:t xml:space="preserve"> (169) oraz od 12 do &lt;18 lat (119)</w:t>
      </w:r>
      <w:r w:rsidRPr="005138D5">
        <w:rPr>
          <w:sz w:val="22"/>
        </w:rPr>
        <w:t xml:space="preserve">,  </w:t>
      </w:r>
      <w:r w:rsidR="00BB6B47" w:rsidRPr="005138D5">
        <w:rPr>
          <w:sz w:val="22"/>
        </w:rPr>
        <w:t xml:space="preserve">otrzymujących </w:t>
      </w:r>
      <w:r w:rsidRPr="005138D5">
        <w:rPr>
          <w:sz w:val="22"/>
        </w:rPr>
        <w:t xml:space="preserve">worykonazol </w:t>
      </w:r>
      <w:r w:rsidR="00BB6B47" w:rsidRPr="005138D5">
        <w:rPr>
          <w:sz w:val="22"/>
        </w:rPr>
        <w:t xml:space="preserve">w badaniach dotyczących profilaktyki </w:t>
      </w:r>
      <w:r w:rsidRPr="005138D5">
        <w:rPr>
          <w:sz w:val="22"/>
        </w:rPr>
        <w:t>(</w:t>
      </w:r>
      <w:r w:rsidR="00BB6B47" w:rsidRPr="005138D5">
        <w:rPr>
          <w:sz w:val="22"/>
        </w:rPr>
        <w:t>183</w:t>
      </w:r>
      <w:r w:rsidRPr="005138D5">
        <w:rPr>
          <w:sz w:val="22"/>
        </w:rPr>
        <w:t xml:space="preserve">) </w:t>
      </w:r>
      <w:r w:rsidR="00C17FB1" w:rsidRPr="005138D5">
        <w:rPr>
          <w:sz w:val="22"/>
        </w:rPr>
        <w:t xml:space="preserve">oraz działania leczniczego </w:t>
      </w:r>
      <w:r w:rsidRPr="005138D5">
        <w:rPr>
          <w:sz w:val="22"/>
        </w:rPr>
        <w:t>(</w:t>
      </w:r>
      <w:r w:rsidR="00C17FB1" w:rsidRPr="005138D5">
        <w:rPr>
          <w:sz w:val="22"/>
        </w:rPr>
        <w:t>105</w:t>
      </w:r>
      <w:r w:rsidRPr="005138D5">
        <w:rPr>
          <w:sz w:val="22"/>
        </w:rPr>
        <w:t xml:space="preserve">). </w:t>
      </w:r>
      <w:r w:rsidR="00C17FB1" w:rsidRPr="005138D5">
        <w:rPr>
          <w:sz w:val="22"/>
        </w:rPr>
        <w:t>Bezpieczeństwo stosowania worykonazolu było badane w dodatkowej grupie 158 dzieci w wieku od 2 do &lt;12 lat w programa</w:t>
      </w:r>
      <w:r w:rsidR="00474693" w:rsidRPr="005138D5">
        <w:rPr>
          <w:sz w:val="22"/>
        </w:rPr>
        <w:t xml:space="preserve">ch leku ostatniej szansy (ang. </w:t>
      </w:r>
      <w:r w:rsidR="00474693" w:rsidRPr="005138D5">
        <w:rPr>
          <w:i/>
          <w:sz w:val="22"/>
        </w:rPr>
        <w:t>compassionate use</w:t>
      </w:r>
      <w:r w:rsidR="00C17FB1" w:rsidRPr="005138D5">
        <w:rPr>
          <w:sz w:val="22"/>
        </w:rPr>
        <w:t>). Ogólnie p</w:t>
      </w:r>
      <w:r w:rsidRPr="005138D5">
        <w:rPr>
          <w:sz w:val="22"/>
        </w:rPr>
        <w:t xml:space="preserve">rofil </w:t>
      </w:r>
      <w:r w:rsidR="00C17FB1" w:rsidRPr="005138D5">
        <w:rPr>
          <w:sz w:val="22"/>
        </w:rPr>
        <w:t xml:space="preserve">bezpieczeństwa worykonazolu w populacji dzieci </w:t>
      </w:r>
      <w:r w:rsidRPr="005138D5">
        <w:rPr>
          <w:sz w:val="22"/>
        </w:rPr>
        <w:t>był podobny jak u dorosłych</w:t>
      </w:r>
      <w:r w:rsidR="00C17FB1" w:rsidRPr="005138D5">
        <w:rPr>
          <w:sz w:val="22"/>
        </w:rPr>
        <w:t>. Natomiast w badaniach klinicznych odnotowano tendencję do częstszego występowania zwiększenia aktywności aminotransferaz zgłaszanych jako zdarzenia ni</w:t>
      </w:r>
      <w:r w:rsidR="00474693" w:rsidRPr="005138D5">
        <w:rPr>
          <w:sz w:val="22"/>
        </w:rPr>
        <w:t xml:space="preserve">epożądane u dzieci i młodzieży </w:t>
      </w:r>
      <w:r w:rsidR="00C17FB1" w:rsidRPr="005138D5">
        <w:rPr>
          <w:sz w:val="22"/>
        </w:rPr>
        <w:t>niż u dorosłych pacjentów (14,2% u dzieci i młodzieży w porównaniu do 5,3% u dorosłych).</w:t>
      </w:r>
      <w:r w:rsidR="007C38E8" w:rsidRPr="005138D5">
        <w:rPr>
          <w:sz w:val="22"/>
        </w:rPr>
        <w:t xml:space="preserve"> </w:t>
      </w:r>
      <w:r w:rsidR="00C17FB1" w:rsidRPr="005138D5">
        <w:rPr>
          <w:sz w:val="22"/>
        </w:rPr>
        <w:t>D</w:t>
      </w:r>
      <w:r w:rsidR="008E1F75" w:rsidRPr="005138D5">
        <w:rPr>
          <w:sz w:val="22"/>
        </w:rPr>
        <w:t>ane uzyskane</w:t>
      </w:r>
      <w:r w:rsidR="00BA3AD1" w:rsidRPr="005138D5">
        <w:rPr>
          <w:sz w:val="22"/>
        </w:rPr>
        <w:t xml:space="preserve"> </w:t>
      </w:r>
      <w:r w:rsidR="00D137D9" w:rsidRPr="005138D5">
        <w:rPr>
          <w:sz w:val="22"/>
        </w:rPr>
        <w:t>po wprowadzeniu leku do obrotu sugerują</w:t>
      </w:r>
      <w:r w:rsidR="00BA3AD1" w:rsidRPr="005138D5">
        <w:rPr>
          <w:sz w:val="22"/>
        </w:rPr>
        <w:t>,</w:t>
      </w:r>
      <w:r w:rsidR="00D137D9" w:rsidRPr="005138D5">
        <w:rPr>
          <w:sz w:val="22"/>
        </w:rPr>
        <w:t xml:space="preserve"> że </w:t>
      </w:r>
      <w:r w:rsidR="004A295C" w:rsidRPr="005138D5">
        <w:rPr>
          <w:sz w:val="22"/>
        </w:rPr>
        <w:t>reakcja skórna</w:t>
      </w:r>
      <w:r w:rsidR="00E3354E" w:rsidRPr="005138D5">
        <w:rPr>
          <w:sz w:val="22"/>
        </w:rPr>
        <w:t xml:space="preserve"> (zwłaszcza rumień)</w:t>
      </w:r>
      <w:r w:rsidR="004A295C" w:rsidRPr="005138D5">
        <w:rPr>
          <w:sz w:val="22"/>
        </w:rPr>
        <w:t xml:space="preserve"> </w:t>
      </w:r>
      <w:r w:rsidR="00D137D9" w:rsidRPr="005138D5">
        <w:rPr>
          <w:sz w:val="22"/>
        </w:rPr>
        <w:t xml:space="preserve">może </w:t>
      </w:r>
      <w:r w:rsidR="00BA3AD1" w:rsidRPr="005138D5">
        <w:rPr>
          <w:sz w:val="22"/>
        </w:rPr>
        <w:t xml:space="preserve">częściej </w:t>
      </w:r>
      <w:r w:rsidR="00D137D9" w:rsidRPr="005138D5">
        <w:rPr>
          <w:sz w:val="22"/>
        </w:rPr>
        <w:t xml:space="preserve">występować </w:t>
      </w:r>
      <w:r w:rsidR="00BA3AD1" w:rsidRPr="005138D5">
        <w:rPr>
          <w:sz w:val="22"/>
        </w:rPr>
        <w:t xml:space="preserve">u dzieci </w:t>
      </w:r>
      <w:r w:rsidR="008E1F75" w:rsidRPr="005138D5">
        <w:rPr>
          <w:sz w:val="22"/>
        </w:rPr>
        <w:t xml:space="preserve">niż u osób </w:t>
      </w:r>
      <w:r w:rsidR="00BA3AD1" w:rsidRPr="005138D5">
        <w:rPr>
          <w:sz w:val="22"/>
        </w:rPr>
        <w:t>dorosłych</w:t>
      </w:r>
      <w:r w:rsidRPr="005138D5">
        <w:rPr>
          <w:sz w:val="22"/>
        </w:rPr>
        <w:t>. U 22 pacjentów w wieku poniżej 2</w:t>
      </w:r>
      <w:r w:rsidR="00386A06" w:rsidRPr="005138D5">
        <w:rPr>
          <w:sz w:val="22"/>
        </w:rPr>
        <w:t> lat</w:t>
      </w:r>
      <w:r w:rsidRPr="005138D5">
        <w:rPr>
          <w:sz w:val="22"/>
        </w:rPr>
        <w:t xml:space="preserve">, którzy otrzymywali worykonazol w ramach programu ostatniej szansy, odnotowano następujące </w:t>
      </w:r>
      <w:r w:rsidR="003C1D55" w:rsidRPr="005138D5">
        <w:rPr>
          <w:sz w:val="22"/>
        </w:rPr>
        <w:t xml:space="preserve">działania </w:t>
      </w:r>
      <w:r w:rsidRPr="005138D5">
        <w:rPr>
          <w:sz w:val="22"/>
        </w:rPr>
        <w:t>niepożądane: reakcje nadwrażliwości na światło (1), zaburzenia rytmu serca (1), zapalenie trzustki (1), zwiększenie stężenia bilirubiny we krwi (1), zwiększenie aktywności enzymów wątrobowych (1), wysypkę (1) i obrzęk tarczy nerwu wzrokowego (1). Nie można wykluczyć, że wystąpiły one w związku ze stosowaniem worykonazolu.</w:t>
      </w:r>
      <w:r w:rsidR="0097127D" w:rsidRPr="005138D5">
        <w:rPr>
          <w:sz w:val="22"/>
        </w:rPr>
        <w:t xml:space="preserve"> </w:t>
      </w:r>
      <w:r w:rsidRPr="005138D5">
        <w:rPr>
          <w:sz w:val="22"/>
        </w:rPr>
        <w:t xml:space="preserve">Po wprowadzeniu </w:t>
      </w:r>
      <w:r w:rsidR="006F7B4D" w:rsidRPr="005138D5">
        <w:rPr>
          <w:sz w:val="22"/>
        </w:rPr>
        <w:t>produktu</w:t>
      </w:r>
      <w:r w:rsidRPr="005138D5">
        <w:rPr>
          <w:sz w:val="22"/>
        </w:rPr>
        <w:t xml:space="preserve"> do obrotu zgłaszano wystąpienie zapalenia trzustki u dzieci.</w:t>
      </w:r>
    </w:p>
    <w:p w14:paraId="34397B34" w14:textId="77777777" w:rsidR="00D66CAD" w:rsidRPr="005138D5" w:rsidRDefault="00D66CAD" w:rsidP="00A41668">
      <w:pPr>
        <w:rPr>
          <w:sz w:val="22"/>
        </w:rPr>
      </w:pPr>
    </w:p>
    <w:p w14:paraId="1C3845B8" w14:textId="77777777" w:rsidR="00D66CAD" w:rsidRPr="005138D5" w:rsidRDefault="00D66CAD" w:rsidP="00D66CAD">
      <w:pPr>
        <w:rPr>
          <w:sz w:val="22"/>
          <w:u w:val="single"/>
        </w:rPr>
      </w:pPr>
      <w:r w:rsidRPr="005138D5">
        <w:rPr>
          <w:noProof/>
          <w:sz w:val="22"/>
          <w:u w:val="single"/>
        </w:rPr>
        <w:t>Zgłaszanie podejrzewanych działań niepożądanych</w:t>
      </w:r>
    </w:p>
    <w:p w14:paraId="35D776CA" w14:textId="77777777" w:rsidR="00D66CAD" w:rsidRPr="005138D5" w:rsidRDefault="00D66CAD" w:rsidP="00D66CAD">
      <w:pPr>
        <w:rPr>
          <w:sz w:val="22"/>
        </w:rPr>
      </w:pPr>
      <w:r w:rsidRPr="005138D5">
        <w:rPr>
          <w:noProof/>
          <w:sz w:val="22"/>
        </w:rPr>
        <w:t>Po dopuszczeniu produktu leczniczego do obrotu istotne jest zgłaszanie podejrzewanych działań niepożądanych.</w:t>
      </w:r>
      <w:r w:rsidRPr="005138D5">
        <w:rPr>
          <w:sz w:val="22"/>
        </w:rPr>
        <w:t xml:space="preserve"> </w:t>
      </w:r>
      <w:r w:rsidRPr="005138D5">
        <w:rPr>
          <w:noProof/>
          <w:sz w:val="22"/>
        </w:rPr>
        <w:t>Umożliwia to nieprzerwane monitorowanie stosunku korzyści do ryzyka stosowania produktu leczniczego.</w:t>
      </w:r>
      <w:r w:rsidRPr="005138D5">
        <w:rPr>
          <w:sz w:val="22"/>
        </w:rPr>
        <w:t xml:space="preserve"> </w:t>
      </w:r>
      <w:r w:rsidRPr="005138D5">
        <w:rPr>
          <w:noProof/>
          <w:sz w:val="22"/>
        </w:rPr>
        <w:t>Osoby należące do fachowego personelu medycznego powinny zgłaszać wszelkie podejrzewane działania niepożądane</w:t>
      </w:r>
      <w:r w:rsidRPr="005138D5">
        <w:rPr>
          <w:sz w:val="22"/>
        </w:rPr>
        <w:t xml:space="preserve"> za pośrednictwem</w:t>
      </w:r>
      <w:r w:rsidRPr="005138D5">
        <w:rPr>
          <w:noProof/>
          <w:sz w:val="22"/>
        </w:rPr>
        <w:t xml:space="preserve"> </w:t>
      </w:r>
      <w:r w:rsidRPr="005138D5">
        <w:rPr>
          <w:sz w:val="22"/>
          <w:highlight w:val="lightGray"/>
        </w:rPr>
        <w:t xml:space="preserve">krajowego systemu zgłaszania wymienionego w </w:t>
      </w:r>
      <w:hyperlink r:id="rId12" w:history="1">
        <w:r w:rsidRPr="00172AF7">
          <w:rPr>
            <w:rStyle w:val="Hipercze"/>
            <w:sz w:val="22"/>
            <w:highlight w:val="lightGray"/>
          </w:rPr>
          <w:t>załączniku V</w:t>
        </w:r>
      </w:hyperlink>
      <w:r w:rsidRPr="005138D5">
        <w:rPr>
          <w:rStyle w:val="Hipercze"/>
          <w:sz w:val="22"/>
        </w:rPr>
        <w:t>.</w:t>
      </w:r>
    </w:p>
    <w:p w14:paraId="25F50025" w14:textId="77777777" w:rsidR="00D15169" w:rsidRPr="005138D5" w:rsidRDefault="00D15169" w:rsidP="00D15169">
      <w:pPr>
        <w:widowControl/>
        <w:rPr>
          <w:b/>
          <w:sz w:val="22"/>
        </w:rPr>
      </w:pPr>
    </w:p>
    <w:p w14:paraId="43136056" w14:textId="77777777" w:rsidR="00575F5E" w:rsidRPr="005138D5" w:rsidRDefault="00575F5E" w:rsidP="00277FE6">
      <w:pPr>
        <w:rPr>
          <w:b/>
          <w:sz w:val="22"/>
        </w:rPr>
      </w:pPr>
      <w:r w:rsidRPr="005138D5">
        <w:rPr>
          <w:b/>
          <w:sz w:val="22"/>
        </w:rPr>
        <w:t>4.9</w:t>
      </w:r>
      <w:r w:rsidRPr="005138D5">
        <w:rPr>
          <w:b/>
          <w:sz w:val="22"/>
        </w:rPr>
        <w:tab/>
        <w:t>Przedawkowanie</w:t>
      </w:r>
    </w:p>
    <w:p w14:paraId="5963955D" w14:textId="77777777" w:rsidR="00575F5E" w:rsidRPr="005138D5" w:rsidRDefault="00575F5E" w:rsidP="00277FE6">
      <w:pPr>
        <w:rPr>
          <w:sz w:val="22"/>
        </w:rPr>
      </w:pPr>
    </w:p>
    <w:p w14:paraId="5C65ED9F" w14:textId="77777777" w:rsidR="00575F5E" w:rsidRPr="005138D5" w:rsidRDefault="00575F5E" w:rsidP="00277FE6">
      <w:pPr>
        <w:rPr>
          <w:bCs/>
          <w:sz w:val="22"/>
        </w:rPr>
      </w:pPr>
      <w:r w:rsidRPr="005138D5">
        <w:rPr>
          <w:sz w:val="22"/>
        </w:rPr>
        <w:t>W</w:t>
      </w:r>
      <w:r w:rsidRPr="005138D5">
        <w:rPr>
          <w:bCs/>
          <w:sz w:val="22"/>
        </w:rPr>
        <w:t xml:space="preserve"> badaniach klinicznych wystąpiły 3 przypadki omyłkowego przedawkowania. Wszystkie dotyczyły dzieci, które otrzymały maksymalnie pięciokrotną zalecaną dożylną dawkę worykonazolu. Zgłoszono jeden przypadek 10- minutowego światłowstrętu.</w:t>
      </w:r>
    </w:p>
    <w:p w14:paraId="4D59C8A0" w14:textId="77777777" w:rsidR="00575F5E" w:rsidRPr="005138D5" w:rsidRDefault="00575F5E" w:rsidP="00A41668">
      <w:pPr>
        <w:pStyle w:val="Tekstpodstawowy2"/>
        <w:jc w:val="left"/>
        <w:rPr>
          <w:rFonts w:ascii="Times New Roman" w:hAnsi="Times New Roman"/>
          <w:bCs/>
        </w:rPr>
      </w:pPr>
    </w:p>
    <w:p w14:paraId="08727021" w14:textId="77777777" w:rsidR="00575F5E" w:rsidRPr="005138D5" w:rsidRDefault="00575F5E" w:rsidP="00A41668">
      <w:pPr>
        <w:pStyle w:val="Tekstpodstawowy2"/>
        <w:jc w:val="left"/>
        <w:rPr>
          <w:rFonts w:ascii="Times New Roman" w:hAnsi="Times New Roman"/>
          <w:bCs/>
        </w:rPr>
      </w:pPr>
      <w:r w:rsidRPr="005138D5">
        <w:rPr>
          <w:rFonts w:ascii="Times New Roman" w:hAnsi="Times New Roman"/>
          <w:bCs/>
        </w:rPr>
        <w:t>Nie istnieje znane antidotum na worykonazol.</w:t>
      </w:r>
    </w:p>
    <w:p w14:paraId="294458D6" w14:textId="77777777" w:rsidR="00575F5E" w:rsidRPr="005138D5" w:rsidRDefault="00575F5E" w:rsidP="00A41668">
      <w:pPr>
        <w:pStyle w:val="Tekstpodstawowy2"/>
        <w:jc w:val="left"/>
        <w:rPr>
          <w:rFonts w:ascii="Times New Roman" w:hAnsi="Times New Roman"/>
          <w:bCs/>
        </w:rPr>
      </w:pPr>
    </w:p>
    <w:p w14:paraId="3E10E215" w14:textId="77777777" w:rsidR="00575F5E" w:rsidRPr="005138D5" w:rsidRDefault="00575F5E" w:rsidP="00A41668">
      <w:pPr>
        <w:pStyle w:val="Tekstpodstawowy2"/>
        <w:jc w:val="left"/>
        <w:rPr>
          <w:rFonts w:ascii="Times New Roman" w:hAnsi="Times New Roman"/>
          <w:bCs/>
        </w:rPr>
      </w:pPr>
      <w:r w:rsidRPr="005138D5">
        <w:rPr>
          <w:rFonts w:ascii="Times New Roman" w:hAnsi="Times New Roman"/>
          <w:bCs/>
        </w:rPr>
        <w:t>Worykonazol jest hemodializowany z klirensem 121 ml/min. W przypadku przedawkowania hemodializa może być pomocna w usuwaniu worykonazolu z organizmu.</w:t>
      </w:r>
    </w:p>
    <w:p w14:paraId="28BE1F64" w14:textId="77777777" w:rsidR="00575F5E" w:rsidRPr="005138D5" w:rsidRDefault="00575F5E" w:rsidP="00A41668">
      <w:pPr>
        <w:widowControl/>
        <w:rPr>
          <w:sz w:val="22"/>
        </w:rPr>
      </w:pPr>
    </w:p>
    <w:p w14:paraId="20C6F80D" w14:textId="77777777" w:rsidR="00575F5E" w:rsidRPr="005138D5" w:rsidRDefault="00575F5E" w:rsidP="00A41668">
      <w:pPr>
        <w:widowControl/>
        <w:rPr>
          <w:sz w:val="22"/>
        </w:rPr>
      </w:pPr>
    </w:p>
    <w:p w14:paraId="0C26D175" w14:textId="77777777" w:rsidR="00575F5E" w:rsidRPr="005138D5" w:rsidRDefault="00575F5E" w:rsidP="00A41668">
      <w:pPr>
        <w:widowControl/>
        <w:rPr>
          <w:b/>
          <w:sz w:val="22"/>
        </w:rPr>
      </w:pPr>
      <w:r w:rsidRPr="005138D5">
        <w:rPr>
          <w:b/>
          <w:sz w:val="22"/>
        </w:rPr>
        <w:t>5.</w:t>
      </w:r>
      <w:r w:rsidRPr="005138D5">
        <w:rPr>
          <w:b/>
          <w:sz w:val="22"/>
        </w:rPr>
        <w:tab/>
        <w:t>WŁAŚCIWOŚCI FARMAKOLOGICZNE</w:t>
      </w:r>
    </w:p>
    <w:p w14:paraId="483E3AF6" w14:textId="77777777" w:rsidR="00575F5E" w:rsidRPr="005138D5" w:rsidRDefault="00575F5E" w:rsidP="00A41668">
      <w:pPr>
        <w:widowControl/>
        <w:rPr>
          <w:b/>
          <w:sz w:val="22"/>
        </w:rPr>
      </w:pPr>
    </w:p>
    <w:p w14:paraId="1668D7D2" w14:textId="77777777" w:rsidR="006252CC" w:rsidRPr="005138D5" w:rsidRDefault="00575F5E" w:rsidP="006C55A5">
      <w:pPr>
        <w:widowControl/>
        <w:rPr>
          <w:b/>
          <w:sz w:val="22"/>
        </w:rPr>
      </w:pPr>
      <w:r w:rsidRPr="005138D5">
        <w:rPr>
          <w:b/>
          <w:sz w:val="22"/>
        </w:rPr>
        <w:t>5.1</w:t>
      </w:r>
      <w:r w:rsidRPr="005138D5">
        <w:rPr>
          <w:b/>
          <w:sz w:val="22"/>
        </w:rPr>
        <w:tab/>
        <w:t>Właściwości farmakodynamiczne</w:t>
      </w:r>
    </w:p>
    <w:p w14:paraId="4F2C4EB5" w14:textId="6EC9BFEB" w:rsidR="006C55A5" w:rsidRDefault="006C55A5" w:rsidP="006C55A5">
      <w:pPr>
        <w:widowControl/>
        <w:rPr>
          <w:sz w:val="22"/>
        </w:rPr>
      </w:pPr>
      <w:r w:rsidRPr="005138D5">
        <w:rPr>
          <w:bCs/>
          <w:sz w:val="22"/>
        </w:rPr>
        <w:t xml:space="preserve">Grupa farmakoterapeutyczna: </w:t>
      </w:r>
      <w:r w:rsidRPr="005138D5">
        <w:rPr>
          <w:sz w:val="22"/>
        </w:rPr>
        <w:t>Leki przeciwgrzybicze działające ogólnie – pochodna triazolu</w:t>
      </w:r>
      <w:r w:rsidR="00563C60">
        <w:rPr>
          <w:sz w:val="22"/>
        </w:rPr>
        <w:t xml:space="preserve"> i tetrazolu</w:t>
      </w:r>
      <w:r w:rsidRPr="005138D5">
        <w:rPr>
          <w:sz w:val="22"/>
        </w:rPr>
        <w:t>,</w:t>
      </w:r>
      <w:r w:rsidRPr="005138D5">
        <w:rPr>
          <w:bCs/>
          <w:sz w:val="22"/>
        </w:rPr>
        <w:t xml:space="preserve"> k</w:t>
      </w:r>
      <w:r w:rsidR="002759AF" w:rsidRPr="005138D5">
        <w:rPr>
          <w:bCs/>
          <w:sz w:val="22"/>
        </w:rPr>
        <w:t xml:space="preserve">od </w:t>
      </w:r>
      <w:r w:rsidRPr="005138D5">
        <w:rPr>
          <w:bCs/>
          <w:sz w:val="22"/>
        </w:rPr>
        <w:t xml:space="preserve"> ATC: J02A</w:t>
      </w:r>
      <w:r w:rsidR="00D15169" w:rsidRPr="005138D5">
        <w:rPr>
          <w:bCs/>
          <w:sz w:val="22"/>
        </w:rPr>
        <w:t xml:space="preserve"> </w:t>
      </w:r>
      <w:r w:rsidRPr="005138D5">
        <w:rPr>
          <w:bCs/>
          <w:sz w:val="22"/>
        </w:rPr>
        <w:t>C03</w:t>
      </w:r>
      <w:r w:rsidRPr="005138D5">
        <w:rPr>
          <w:sz w:val="22"/>
        </w:rPr>
        <w:t>.</w:t>
      </w:r>
    </w:p>
    <w:p w14:paraId="71D4512A" w14:textId="77777777" w:rsidR="00D02531" w:rsidRPr="005138D5" w:rsidRDefault="00D02531" w:rsidP="006C55A5">
      <w:pPr>
        <w:widowControl/>
        <w:rPr>
          <w:b/>
          <w:sz w:val="22"/>
        </w:rPr>
      </w:pPr>
    </w:p>
    <w:p w14:paraId="793AA92C" w14:textId="77777777" w:rsidR="006C55A5" w:rsidRPr="005138D5" w:rsidRDefault="006C55A5" w:rsidP="00277FE6">
      <w:pPr>
        <w:rPr>
          <w:sz w:val="22"/>
          <w:u w:val="single"/>
        </w:rPr>
      </w:pPr>
      <w:r w:rsidRPr="005138D5">
        <w:rPr>
          <w:sz w:val="22"/>
          <w:u w:val="single"/>
        </w:rPr>
        <w:t>Mechanizm działania</w:t>
      </w:r>
    </w:p>
    <w:p w14:paraId="5A78F2FF" w14:textId="77777777" w:rsidR="006C55A5" w:rsidRPr="005138D5" w:rsidRDefault="006C55A5" w:rsidP="006C55A5">
      <w:pPr>
        <w:rPr>
          <w:bCs/>
          <w:sz w:val="22"/>
        </w:rPr>
      </w:pPr>
      <w:r w:rsidRPr="005138D5">
        <w:rPr>
          <w:bCs/>
          <w:sz w:val="22"/>
        </w:rPr>
        <w:t xml:space="preserve">Worykonazol jest lekiem przeciwgrzybiczym z grupy triazoli. </w:t>
      </w:r>
      <w:r w:rsidR="00907890" w:rsidRPr="005138D5">
        <w:rPr>
          <w:bCs/>
          <w:sz w:val="22"/>
        </w:rPr>
        <w:t xml:space="preserve">Podstawowy </w:t>
      </w:r>
      <w:r w:rsidRPr="005138D5">
        <w:rPr>
          <w:bCs/>
          <w:sz w:val="22"/>
        </w:rPr>
        <w:t xml:space="preserve">mechanizm działania worykonazolu polega na hamowaniu zależnej od cytochromu P450 demetylacji 14-alfa-lanosterolu, stanowiącej istotny etap biosyntezy ergosteroli u grzybów. Gromadzenie 14-alfa-metylosteroli jest skorelowane z </w:t>
      </w:r>
      <w:r w:rsidR="00F9350E" w:rsidRPr="005138D5">
        <w:rPr>
          <w:bCs/>
          <w:sz w:val="22"/>
        </w:rPr>
        <w:t xml:space="preserve">następującą </w:t>
      </w:r>
      <w:r w:rsidRPr="005138D5">
        <w:rPr>
          <w:bCs/>
          <w:sz w:val="22"/>
        </w:rPr>
        <w:t>utratą ergosteroli zawartych w błonie komórkowej grzybów i może odpowiadać za przeciwgrzybicze działanie worykonazolu. Wykazano, że działanie worykonazolu jest bardziej selektywne względem cytochromów P450 grzybów niż cytochromów P450 różnych ssaków.</w:t>
      </w:r>
    </w:p>
    <w:p w14:paraId="6D0EFDC5" w14:textId="77777777" w:rsidR="006C55A5" w:rsidRPr="005138D5" w:rsidRDefault="006C55A5" w:rsidP="006C55A5">
      <w:pPr>
        <w:rPr>
          <w:sz w:val="22"/>
        </w:rPr>
      </w:pPr>
    </w:p>
    <w:p w14:paraId="732A664D" w14:textId="77777777" w:rsidR="006C55A5" w:rsidRPr="005138D5" w:rsidRDefault="006C55A5" w:rsidP="00277FE6">
      <w:pPr>
        <w:rPr>
          <w:sz w:val="22"/>
          <w:u w:val="single"/>
        </w:rPr>
      </w:pPr>
      <w:r w:rsidRPr="005138D5">
        <w:rPr>
          <w:sz w:val="22"/>
          <w:u w:val="single"/>
        </w:rPr>
        <w:t>Zależności farmakokinetyczno-farmakodynamicz</w:t>
      </w:r>
      <w:r w:rsidR="007941AB" w:rsidRPr="005138D5">
        <w:rPr>
          <w:sz w:val="22"/>
          <w:u w:val="single"/>
        </w:rPr>
        <w:t>n</w:t>
      </w:r>
      <w:r w:rsidRPr="005138D5">
        <w:rPr>
          <w:sz w:val="22"/>
          <w:u w:val="single"/>
        </w:rPr>
        <w:t>e</w:t>
      </w:r>
    </w:p>
    <w:p w14:paraId="3CA37C01" w14:textId="77777777" w:rsidR="00D15169" w:rsidRPr="005138D5" w:rsidRDefault="006C55A5" w:rsidP="006C55A5">
      <w:pPr>
        <w:rPr>
          <w:bCs/>
          <w:sz w:val="22"/>
        </w:rPr>
      </w:pPr>
      <w:r w:rsidRPr="005138D5">
        <w:rPr>
          <w:bCs/>
          <w:sz w:val="22"/>
        </w:rPr>
        <w:t xml:space="preserve">W 10 badaniach terapeutycznych, mediana średnich i maksymalnych stężeń w osoczu, </w:t>
      </w:r>
    </w:p>
    <w:p w14:paraId="66D8F8B8" w14:textId="77777777" w:rsidR="00F72B07" w:rsidRPr="005138D5" w:rsidRDefault="006C55A5" w:rsidP="006C55A5">
      <w:pPr>
        <w:rPr>
          <w:bCs/>
          <w:sz w:val="22"/>
        </w:rPr>
      </w:pPr>
      <w:r w:rsidRPr="005138D5">
        <w:rPr>
          <w:bCs/>
          <w:sz w:val="22"/>
        </w:rPr>
        <w:t xml:space="preserve">u poszczególnych uczestników badania wynosiła odpowiednio: 2425 ng/ml (rozstęp kwartylny 1193 do 4380 ng/ml) i 3742 ng/ml (rozstęp kwartylny 2027 do 6302 ng/ml). Nie występował dodatni związek pomiędzy średnim, </w:t>
      </w:r>
      <w:r w:rsidR="008B6F4E" w:rsidRPr="005138D5">
        <w:rPr>
          <w:bCs/>
          <w:sz w:val="22"/>
        </w:rPr>
        <w:t xml:space="preserve">maksymalnym czy </w:t>
      </w:r>
      <w:r w:rsidRPr="005138D5">
        <w:rPr>
          <w:bCs/>
          <w:sz w:val="22"/>
        </w:rPr>
        <w:t xml:space="preserve">minimalnym stężeniem worykonazolu w osoczu, </w:t>
      </w:r>
    </w:p>
    <w:p w14:paraId="2CCA9A30" w14:textId="77777777" w:rsidR="006C55A5" w:rsidRPr="005138D5" w:rsidRDefault="006C55A5" w:rsidP="006C55A5">
      <w:pPr>
        <w:rPr>
          <w:bCs/>
          <w:sz w:val="22"/>
        </w:rPr>
      </w:pPr>
      <w:r w:rsidRPr="005138D5">
        <w:rPr>
          <w:bCs/>
          <w:sz w:val="22"/>
        </w:rPr>
        <w:t>a skutecznością leku.</w:t>
      </w:r>
      <w:r w:rsidR="00C84880" w:rsidRPr="005138D5">
        <w:rPr>
          <w:bCs/>
          <w:sz w:val="22"/>
        </w:rPr>
        <w:t xml:space="preserve"> Zależności te nie były badane w ramach badań dotyczących stosowania profilaktycznego</w:t>
      </w:r>
      <w:r w:rsidR="00C84880" w:rsidRPr="005138D5">
        <w:rPr>
          <w:sz w:val="22"/>
        </w:rPr>
        <w:t>.</w:t>
      </w:r>
    </w:p>
    <w:p w14:paraId="7389FA20" w14:textId="77777777" w:rsidR="006C55A5" w:rsidRPr="005138D5" w:rsidRDefault="006C55A5" w:rsidP="006C55A5">
      <w:pPr>
        <w:rPr>
          <w:bCs/>
          <w:sz w:val="22"/>
        </w:rPr>
      </w:pPr>
    </w:p>
    <w:p w14:paraId="0F4DA3E6" w14:textId="77777777" w:rsidR="00F72B07" w:rsidRPr="005138D5" w:rsidRDefault="006C55A5" w:rsidP="006C55A5">
      <w:pPr>
        <w:rPr>
          <w:bCs/>
          <w:sz w:val="22"/>
        </w:rPr>
      </w:pPr>
      <w:r w:rsidRPr="005138D5">
        <w:rPr>
          <w:bCs/>
          <w:sz w:val="22"/>
        </w:rPr>
        <w:t>Analizy farmakokinetyczno-farmakodynamiczne danych z badań klinicznych wykazały związek pomiędzy stężeniami worykonazolu w osoczu</w:t>
      </w:r>
      <w:r w:rsidR="00F83DB9" w:rsidRPr="005138D5">
        <w:rPr>
          <w:bCs/>
          <w:sz w:val="22"/>
        </w:rPr>
        <w:t>,</w:t>
      </w:r>
      <w:r w:rsidRPr="005138D5">
        <w:rPr>
          <w:bCs/>
          <w:sz w:val="22"/>
        </w:rPr>
        <w:t xml:space="preserve"> a nieprawidłowościami w testach czynności wątroby </w:t>
      </w:r>
    </w:p>
    <w:p w14:paraId="30957537" w14:textId="77777777" w:rsidR="006C55A5" w:rsidRPr="005138D5" w:rsidRDefault="006C55A5" w:rsidP="006C55A5">
      <w:pPr>
        <w:rPr>
          <w:bCs/>
          <w:sz w:val="22"/>
        </w:rPr>
      </w:pPr>
      <w:r w:rsidRPr="005138D5">
        <w:rPr>
          <w:bCs/>
          <w:sz w:val="22"/>
        </w:rPr>
        <w:t>i zaburzeniami widzenia.</w:t>
      </w:r>
      <w:r w:rsidR="00C84880" w:rsidRPr="005138D5">
        <w:rPr>
          <w:bCs/>
          <w:sz w:val="22"/>
        </w:rPr>
        <w:t xml:space="preserve"> W badaniach dotyczących stosowania profilaktycznego</w:t>
      </w:r>
      <w:r w:rsidR="00C84880" w:rsidRPr="005138D5">
        <w:rPr>
          <w:sz w:val="22"/>
        </w:rPr>
        <w:t xml:space="preserve"> </w:t>
      </w:r>
      <w:r w:rsidR="00C84880" w:rsidRPr="005138D5">
        <w:rPr>
          <w:bCs/>
          <w:sz w:val="22"/>
        </w:rPr>
        <w:t>nie badano dostosowywania dawki</w:t>
      </w:r>
      <w:r w:rsidR="00C84880" w:rsidRPr="005138D5">
        <w:rPr>
          <w:sz w:val="22"/>
        </w:rPr>
        <w:t>.</w:t>
      </w:r>
    </w:p>
    <w:p w14:paraId="70BE7D78" w14:textId="77777777" w:rsidR="006C55A5" w:rsidRPr="005138D5" w:rsidRDefault="006C55A5" w:rsidP="006C55A5">
      <w:pPr>
        <w:rPr>
          <w:bCs/>
          <w:sz w:val="22"/>
        </w:rPr>
      </w:pPr>
    </w:p>
    <w:p w14:paraId="56E0512A" w14:textId="77777777" w:rsidR="000864BC" w:rsidRPr="005138D5" w:rsidRDefault="000864BC" w:rsidP="000864BC">
      <w:pPr>
        <w:rPr>
          <w:sz w:val="22"/>
          <w:u w:val="single"/>
        </w:rPr>
      </w:pPr>
      <w:r w:rsidRPr="005138D5">
        <w:rPr>
          <w:bCs/>
          <w:sz w:val="22"/>
          <w:u w:val="single"/>
        </w:rPr>
        <w:t>Skuteczność kliniczna i bezpieczeństwo stosowania</w:t>
      </w:r>
    </w:p>
    <w:p w14:paraId="769699BD" w14:textId="77777777" w:rsidR="00F72B07" w:rsidRPr="005138D5" w:rsidRDefault="00575F5E" w:rsidP="00A41668">
      <w:pPr>
        <w:rPr>
          <w:spacing w:val="-3"/>
          <w:sz w:val="22"/>
        </w:rPr>
      </w:pPr>
      <w:r w:rsidRPr="005138D5">
        <w:rPr>
          <w:i/>
          <w:iCs/>
          <w:spacing w:val="-3"/>
          <w:sz w:val="22"/>
        </w:rPr>
        <w:t>In vitro</w:t>
      </w:r>
      <w:r w:rsidRPr="005138D5">
        <w:rPr>
          <w:spacing w:val="-3"/>
          <w:sz w:val="22"/>
        </w:rPr>
        <w:t xml:space="preserve">, worykonazol wykazuje szerokie spektrum działania przeciwgrzybiczego. Silnie działa na gatunki z rodzaju </w:t>
      </w:r>
      <w:r w:rsidRPr="005138D5">
        <w:rPr>
          <w:i/>
          <w:iCs/>
          <w:spacing w:val="-3"/>
          <w:sz w:val="22"/>
        </w:rPr>
        <w:t>Candida</w:t>
      </w:r>
      <w:r w:rsidRPr="005138D5">
        <w:rPr>
          <w:spacing w:val="-3"/>
          <w:sz w:val="22"/>
        </w:rPr>
        <w:t xml:space="preserve"> (w tym oporne na flukonazol </w:t>
      </w:r>
      <w:r w:rsidRPr="005138D5">
        <w:rPr>
          <w:i/>
          <w:iCs/>
          <w:spacing w:val="-3"/>
          <w:sz w:val="22"/>
        </w:rPr>
        <w:t>C.krusei</w:t>
      </w:r>
      <w:r w:rsidRPr="005138D5">
        <w:rPr>
          <w:spacing w:val="-3"/>
          <w:sz w:val="22"/>
        </w:rPr>
        <w:t xml:space="preserve"> i oporne szczepy </w:t>
      </w:r>
      <w:r w:rsidRPr="005138D5">
        <w:rPr>
          <w:i/>
          <w:iCs/>
          <w:spacing w:val="-3"/>
          <w:sz w:val="22"/>
        </w:rPr>
        <w:t>C. glabrata i C.</w:t>
      </w:r>
      <w:r w:rsidRPr="005138D5">
        <w:rPr>
          <w:spacing w:val="-3"/>
          <w:sz w:val="22"/>
        </w:rPr>
        <w:t xml:space="preserve"> </w:t>
      </w:r>
      <w:r w:rsidRPr="005138D5">
        <w:rPr>
          <w:i/>
          <w:spacing w:val="-3"/>
          <w:sz w:val="22"/>
        </w:rPr>
        <w:t>a</w:t>
      </w:r>
      <w:r w:rsidRPr="005138D5">
        <w:rPr>
          <w:i/>
          <w:iCs/>
          <w:spacing w:val="-3"/>
          <w:sz w:val="22"/>
        </w:rPr>
        <w:t>lbicans</w:t>
      </w:r>
      <w:r w:rsidRPr="005138D5">
        <w:rPr>
          <w:spacing w:val="-3"/>
          <w:sz w:val="22"/>
        </w:rPr>
        <w:t xml:space="preserve">) oraz wykazuje działanie grzybobójcze na szczepy </w:t>
      </w:r>
      <w:r w:rsidRPr="005138D5">
        <w:rPr>
          <w:i/>
          <w:iCs/>
          <w:spacing w:val="-3"/>
          <w:sz w:val="22"/>
        </w:rPr>
        <w:t>Aspergillus.</w:t>
      </w:r>
      <w:r w:rsidRPr="005138D5">
        <w:rPr>
          <w:spacing w:val="-3"/>
          <w:sz w:val="22"/>
        </w:rPr>
        <w:t xml:space="preserve"> Dodatkowo worykonazol wykazuje </w:t>
      </w:r>
      <w:r w:rsidRPr="005138D5">
        <w:rPr>
          <w:i/>
          <w:iCs/>
          <w:spacing w:val="-3"/>
          <w:sz w:val="22"/>
        </w:rPr>
        <w:t>in vitro</w:t>
      </w:r>
      <w:r w:rsidRPr="005138D5">
        <w:rPr>
          <w:spacing w:val="-3"/>
          <w:sz w:val="22"/>
        </w:rPr>
        <w:t xml:space="preserve"> działanie grzybobójcze w stosunku do </w:t>
      </w:r>
      <w:r w:rsidR="00330B94" w:rsidRPr="005138D5">
        <w:rPr>
          <w:spacing w:val="-3"/>
          <w:sz w:val="22"/>
        </w:rPr>
        <w:t xml:space="preserve">pojawiających się </w:t>
      </w:r>
      <w:r w:rsidRPr="005138D5">
        <w:rPr>
          <w:spacing w:val="-3"/>
          <w:sz w:val="22"/>
        </w:rPr>
        <w:t xml:space="preserve">patogenów grzybiczych, </w:t>
      </w:r>
    </w:p>
    <w:p w14:paraId="0A94CD91" w14:textId="77777777" w:rsidR="00575F5E" w:rsidRPr="005138D5" w:rsidRDefault="00575F5E" w:rsidP="00A41668">
      <w:pPr>
        <w:rPr>
          <w:i/>
          <w:iCs/>
          <w:spacing w:val="-3"/>
          <w:sz w:val="22"/>
        </w:rPr>
      </w:pPr>
      <w:r w:rsidRPr="005138D5">
        <w:rPr>
          <w:spacing w:val="-3"/>
          <w:sz w:val="22"/>
        </w:rPr>
        <w:t xml:space="preserve">w tym </w:t>
      </w:r>
      <w:r w:rsidRPr="005138D5">
        <w:rPr>
          <w:i/>
          <w:iCs/>
          <w:spacing w:val="-3"/>
          <w:sz w:val="22"/>
        </w:rPr>
        <w:t>Scedosporium</w:t>
      </w:r>
      <w:r w:rsidRPr="005138D5">
        <w:rPr>
          <w:spacing w:val="-3"/>
          <w:sz w:val="22"/>
        </w:rPr>
        <w:t xml:space="preserve"> i </w:t>
      </w:r>
      <w:r w:rsidRPr="005138D5">
        <w:rPr>
          <w:i/>
          <w:iCs/>
          <w:spacing w:val="-3"/>
          <w:sz w:val="22"/>
        </w:rPr>
        <w:t>Fusarium</w:t>
      </w:r>
      <w:r w:rsidRPr="005138D5">
        <w:rPr>
          <w:spacing w:val="-3"/>
          <w:sz w:val="22"/>
        </w:rPr>
        <w:t xml:space="preserve">, które wykazują ograniczoną wrażliwość na obecnie dostępne leki przeciwgrzybicze. </w:t>
      </w:r>
    </w:p>
    <w:p w14:paraId="099EE85B" w14:textId="77777777" w:rsidR="000864BC" w:rsidRPr="005138D5" w:rsidRDefault="000864BC" w:rsidP="00A41668">
      <w:pPr>
        <w:rPr>
          <w:spacing w:val="-3"/>
          <w:sz w:val="22"/>
        </w:rPr>
      </w:pPr>
    </w:p>
    <w:p w14:paraId="304492C6" w14:textId="77777777" w:rsidR="00F72B07" w:rsidRPr="005138D5" w:rsidRDefault="00575F5E" w:rsidP="00A41668">
      <w:pPr>
        <w:rPr>
          <w:i/>
          <w:iCs/>
          <w:spacing w:val="-3"/>
          <w:sz w:val="22"/>
        </w:rPr>
      </w:pPr>
      <w:r w:rsidRPr="005138D5">
        <w:rPr>
          <w:spacing w:val="-3"/>
          <w:sz w:val="22"/>
        </w:rPr>
        <w:t>Skuteczność kliniczna (</w:t>
      </w:r>
      <w:r w:rsidR="00C84880" w:rsidRPr="005138D5">
        <w:rPr>
          <w:spacing w:val="-3"/>
          <w:sz w:val="22"/>
        </w:rPr>
        <w:t>określana jako</w:t>
      </w:r>
      <w:r w:rsidRPr="005138D5">
        <w:rPr>
          <w:spacing w:val="-3"/>
          <w:sz w:val="22"/>
        </w:rPr>
        <w:t xml:space="preserve"> częściow</w:t>
      </w:r>
      <w:r w:rsidR="00C84880" w:rsidRPr="005138D5">
        <w:rPr>
          <w:spacing w:val="-3"/>
          <w:sz w:val="22"/>
        </w:rPr>
        <w:t>a</w:t>
      </w:r>
      <w:r w:rsidRPr="005138D5">
        <w:rPr>
          <w:spacing w:val="-3"/>
          <w:sz w:val="22"/>
        </w:rPr>
        <w:t xml:space="preserve"> lub całkowit</w:t>
      </w:r>
      <w:r w:rsidR="00C84880" w:rsidRPr="005138D5">
        <w:rPr>
          <w:spacing w:val="-3"/>
          <w:sz w:val="22"/>
        </w:rPr>
        <w:t>a</w:t>
      </w:r>
      <w:r w:rsidRPr="005138D5">
        <w:rPr>
          <w:spacing w:val="-3"/>
          <w:sz w:val="22"/>
        </w:rPr>
        <w:t xml:space="preserve"> odpowied</w:t>
      </w:r>
      <w:r w:rsidR="00C84880" w:rsidRPr="005138D5">
        <w:rPr>
          <w:spacing w:val="-3"/>
          <w:sz w:val="22"/>
        </w:rPr>
        <w:t>ź na leczenie</w:t>
      </w:r>
      <w:r w:rsidRPr="005138D5">
        <w:rPr>
          <w:spacing w:val="-3"/>
          <w:sz w:val="22"/>
        </w:rPr>
        <w:t xml:space="preserve">) została wykazana wobec szczepów </w:t>
      </w:r>
      <w:r w:rsidRPr="005138D5">
        <w:rPr>
          <w:i/>
          <w:iCs/>
          <w:spacing w:val="-3"/>
          <w:sz w:val="22"/>
        </w:rPr>
        <w:t>Aspergillus</w:t>
      </w:r>
      <w:r w:rsidRPr="005138D5">
        <w:rPr>
          <w:spacing w:val="-3"/>
          <w:sz w:val="22"/>
        </w:rPr>
        <w:t xml:space="preserve"> w tym </w:t>
      </w:r>
      <w:r w:rsidRPr="005138D5">
        <w:rPr>
          <w:i/>
          <w:iCs/>
          <w:spacing w:val="-3"/>
          <w:sz w:val="22"/>
        </w:rPr>
        <w:t xml:space="preserve">A. flavus, A. fumigatus, A. terreus, </w:t>
      </w:r>
    </w:p>
    <w:p w14:paraId="51BF73BF" w14:textId="77777777" w:rsidR="00575F5E" w:rsidRPr="005138D5" w:rsidRDefault="00575F5E" w:rsidP="00A41668">
      <w:pPr>
        <w:rPr>
          <w:i/>
          <w:iCs/>
          <w:spacing w:val="-3"/>
          <w:sz w:val="22"/>
        </w:rPr>
      </w:pPr>
      <w:r w:rsidRPr="005138D5">
        <w:rPr>
          <w:i/>
          <w:iCs/>
          <w:spacing w:val="-3"/>
          <w:sz w:val="22"/>
        </w:rPr>
        <w:t xml:space="preserve">A. niger, A. nidulans, </w:t>
      </w:r>
      <w:r w:rsidRPr="005138D5">
        <w:rPr>
          <w:spacing w:val="-3"/>
          <w:sz w:val="22"/>
        </w:rPr>
        <w:t xml:space="preserve">szczepów </w:t>
      </w:r>
      <w:r w:rsidRPr="005138D5">
        <w:rPr>
          <w:i/>
          <w:iCs/>
          <w:spacing w:val="-3"/>
          <w:sz w:val="22"/>
        </w:rPr>
        <w:t>Candida</w:t>
      </w:r>
      <w:r w:rsidRPr="005138D5">
        <w:rPr>
          <w:spacing w:val="-3"/>
          <w:sz w:val="22"/>
        </w:rPr>
        <w:t xml:space="preserve"> w tym </w:t>
      </w:r>
      <w:r w:rsidRPr="005138D5">
        <w:rPr>
          <w:i/>
          <w:iCs/>
          <w:spacing w:val="-3"/>
          <w:sz w:val="22"/>
        </w:rPr>
        <w:t>C. albicans,</w:t>
      </w:r>
      <w:r w:rsidRPr="005138D5">
        <w:rPr>
          <w:spacing w:val="-3"/>
          <w:sz w:val="22"/>
        </w:rPr>
        <w:t xml:space="preserve"> </w:t>
      </w:r>
      <w:r w:rsidRPr="005138D5">
        <w:rPr>
          <w:i/>
          <w:iCs/>
          <w:spacing w:val="-3"/>
          <w:sz w:val="22"/>
        </w:rPr>
        <w:t>C. glabrata, C. krusei,</w:t>
      </w:r>
      <w:r w:rsidRPr="005138D5">
        <w:rPr>
          <w:spacing w:val="-3"/>
          <w:sz w:val="22"/>
        </w:rPr>
        <w:t xml:space="preserve"> </w:t>
      </w:r>
      <w:r w:rsidRPr="005138D5">
        <w:rPr>
          <w:i/>
          <w:iCs/>
          <w:spacing w:val="-3"/>
          <w:sz w:val="22"/>
        </w:rPr>
        <w:t xml:space="preserve">C. parapsilosis i </w:t>
      </w:r>
    </w:p>
    <w:p w14:paraId="38C83A9B" w14:textId="77777777" w:rsidR="00575F5E" w:rsidRPr="005138D5" w:rsidRDefault="00575F5E" w:rsidP="00A41668">
      <w:pPr>
        <w:rPr>
          <w:i/>
          <w:iCs/>
          <w:spacing w:val="-3"/>
          <w:sz w:val="22"/>
        </w:rPr>
      </w:pPr>
      <w:r w:rsidRPr="005138D5">
        <w:rPr>
          <w:i/>
          <w:iCs/>
          <w:spacing w:val="-3"/>
          <w:sz w:val="22"/>
        </w:rPr>
        <w:t xml:space="preserve">C. tropicalis </w:t>
      </w:r>
      <w:r w:rsidRPr="005138D5">
        <w:rPr>
          <w:spacing w:val="-3"/>
          <w:sz w:val="22"/>
        </w:rPr>
        <w:t xml:space="preserve">oraz niektóre szczepy </w:t>
      </w:r>
      <w:r w:rsidRPr="005138D5">
        <w:rPr>
          <w:i/>
          <w:iCs/>
          <w:spacing w:val="-3"/>
          <w:sz w:val="22"/>
        </w:rPr>
        <w:t xml:space="preserve">C. dubliniensis, C. inconspicua, i C. guilliermondii, </w:t>
      </w:r>
      <w:r w:rsidRPr="005138D5">
        <w:rPr>
          <w:iCs/>
          <w:spacing w:val="-3"/>
          <w:sz w:val="22"/>
        </w:rPr>
        <w:t>a także wobec</w:t>
      </w:r>
      <w:r w:rsidRPr="005138D5">
        <w:rPr>
          <w:i/>
          <w:iCs/>
          <w:spacing w:val="-3"/>
          <w:sz w:val="22"/>
        </w:rPr>
        <w:t xml:space="preserve"> </w:t>
      </w:r>
      <w:r w:rsidRPr="005138D5">
        <w:rPr>
          <w:spacing w:val="-3"/>
          <w:sz w:val="22"/>
        </w:rPr>
        <w:t xml:space="preserve">szczepów </w:t>
      </w:r>
      <w:r w:rsidRPr="005138D5">
        <w:rPr>
          <w:i/>
          <w:iCs/>
          <w:spacing w:val="-3"/>
          <w:sz w:val="22"/>
        </w:rPr>
        <w:t xml:space="preserve">Scedosporium </w:t>
      </w:r>
      <w:r w:rsidRPr="005138D5">
        <w:rPr>
          <w:spacing w:val="-3"/>
          <w:sz w:val="22"/>
        </w:rPr>
        <w:t xml:space="preserve">w tym </w:t>
      </w:r>
      <w:r w:rsidRPr="005138D5">
        <w:rPr>
          <w:i/>
          <w:iCs/>
          <w:spacing w:val="-3"/>
          <w:sz w:val="22"/>
        </w:rPr>
        <w:t>S. apiospermum, S. prolificans i s</w:t>
      </w:r>
      <w:r w:rsidRPr="005138D5">
        <w:rPr>
          <w:spacing w:val="-3"/>
          <w:sz w:val="22"/>
        </w:rPr>
        <w:t xml:space="preserve">zczepów </w:t>
      </w:r>
      <w:r w:rsidRPr="005138D5">
        <w:rPr>
          <w:i/>
          <w:iCs/>
          <w:spacing w:val="-3"/>
          <w:sz w:val="22"/>
        </w:rPr>
        <w:t xml:space="preserve">Fusarium.   </w:t>
      </w:r>
    </w:p>
    <w:p w14:paraId="747D2C70" w14:textId="77777777" w:rsidR="00575F5E" w:rsidRPr="005138D5" w:rsidRDefault="00575F5E" w:rsidP="00A41668">
      <w:pPr>
        <w:rPr>
          <w:spacing w:val="-3"/>
          <w:sz w:val="22"/>
        </w:rPr>
      </w:pPr>
    </w:p>
    <w:p w14:paraId="011EC69E" w14:textId="77777777" w:rsidR="00575F5E" w:rsidRPr="005138D5" w:rsidRDefault="00575F5E" w:rsidP="00A41668">
      <w:pPr>
        <w:rPr>
          <w:i/>
          <w:iCs/>
          <w:spacing w:val="-3"/>
          <w:sz w:val="22"/>
        </w:rPr>
      </w:pPr>
      <w:r w:rsidRPr="005138D5">
        <w:rPr>
          <w:spacing w:val="-3"/>
          <w:sz w:val="22"/>
        </w:rPr>
        <w:t xml:space="preserve">Do innych zakażeń grzybiczych leczonych worykonazolem (często </w:t>
      </w:r>
      <w:r w:rsidR="00C84880" w:rsidRPr="005138D5">
        <w:rPr>
          <w:spacing w:val="-3"/>
          <w:sz w:val="22"/>
        </w:rPr>
        <w:t xml:space="preserve">z </w:t>
      </w:r>
      <w:r w:rsidRPr="005138D5">
        <w:rPr>
          <w:spacing w:val="-3"/>
          <w:sz w:val="22"/>
        </w:rPr>
        <w:t xml:space="preserve">całkowitą </w:t>
      </w:r>
      <w:r w:rsidR="00C84880" w:rsidRPr="005138D5">
        <w:rPr>
          <w:spacing w:val="-3"/>
          <w:sz w:val="22"/>
        </w:rPr>
        <w:t>albo z</w:t>
      </w:r>
      <w:r w:rsidRPr="005138D5">
        <w:rPr>
          <w:spacing w:val="-3"/>
          <w:sz w:val="22"/>
        </w:rPr>
        <w:t xml:space="preserve"> częściową odpowiedzią</w:t>
      </w:r>
      <w:r w:rsidR="00C84880" w:rsidRPr="005138D5">
        <w:rPr>
          <w:spacing w:val="-3"/>
          <w:sz w:val="22"/>
        </w:rPr>
        <w:t xml:space="preserve"> na leczenie</w:t>
      </w:r>
      <w:r w:rsidRPr="005138D5">
        <w:rPr>
          <w:spacing w:val="-3"/>
          <w:sz w:val="22"/>
        </w:rPr>
        <w:t xml:space="preserve">) należały pojedyncze przypadki zakażeń szczepami </w:t>
      </w:r>
      <w:r w:rsidRPr="005138D5">
        <w:rPr>
          <w:i/>
          <w:iCs/>
          <w:spacing w:val="-3"/>
          <w:sz w:val="22"/>
        </w:rPr>
        <w:t xml:space="preserve">Alternaria, Blastomyces dermatitidis, Blastoschizomyces capitatus, Cladosporium spp., Coccidioides immitis, Conidiobolus coronatus, Cryptococcus neoformans, Exserohilum rostratum, Exophiala spinifera, Fonsecaea pedrosoi, Madurella mycetomatis, Paecilomyces lilacinus, </w:t>
      </w:r>
      <w:r w:rsidRPr="005138D5">
        <w:rPr>
          <w:spacing w:val="-3"/>
          <w:sz w:val="22"/>
        </w:rPr>
        <w:t>szczepami</w:t>
      </w:r>
      <w:r w:rsidRPr="005138D5">
        <w:rPr>
          <w:i/>
          <w:iCs/>
          <w:spacing w:val="-3"/>
          <w:sz w:val="22"/>
        </w:rPr>
        <w:t xml:space="preserve"> Penicilium </w:t>
      </w:r>
      <w:r w:rsidRPr="005138D5">
        <w:rPr>
          <w:spacing w:val="-3"/>
          <w:sz w:val="22"/>
        </w:rPr>
        <w:t xml:space="preserve">w tym </w:t>
      </w:r>
      <w:r w:rsidRPr="005138D5">
        <w:rPr>
          <w:i/>
          <w:iCs/>
          <w:spacing w:val="-3"/>
          <w:sz w:val="22"/>
        </w:rPr>
        <w:t xml:space="preserve">P. marneffei, Phialophora richardsiae, Scopulariopsis brevicaulis, </w:t>
      </w:r>
      <w:r w:rsidRPr="005138D5">
        <w:rPr>
          <w:spacing w:val="-3"/>
          <w:sz w:val="22"/>
        </w:rPr>
        <w:t>a także szczepami</w:t>
      </w:r>
      <w:r w:rsidRPr="005138D5">
        <w:rPr>
          <w:i/>
          <w:iCs/>
          <w:spacing w:val="-3"/>
          <w:sz w:val="22"/>
        </w:rPr>
        <w:t xml:space="preserve"> Trichosporon </w:t>
      </w:r>
      <w:r w:rsidRPr="005138D5">
        <w:rPr>
          <w:spacing w:val="-3"/>
          <w:sz w:val="22"/>
        </w:rPr>
        <w:t>w tym zakażenia</w:t>
      </w:r>
      <w:r w:rsidRPr="005138D5">
        <w:rPr>
          <w:i/>
          <w:iCs/>
          <w:spacing w:val="-3"/>
          <w:sz w:val="22"/>
        </w:rPr>
        <w:t xml:space="preserve"> T. beigelli.</w:t>
      </w:r>
    </w:p>
    <w:p w14:paraId="14B64DAE" w14:textId="77777777" w:rsidR="00700FDF" w:rsidRPr="005138D5" w:rsidRDefault="00700FDF" w:rsidP="00A41668">
      <w:pPr>
        <w:rPr>
          <w:spacing w:val="-3"/>
          <w:sz w:val="22"/>
        </w:rPr>
      </w:pPr>
    </w:p>
    <w:p w14:paraId="30CEBB1E" w14:textId="77777777" w:rsidR="00575F5E" w:rsidRPr="005138D5" w:rsidRDefault="00575F5E" w:rsidP="00A41668">
      <w:pPr>
        <w:rPr>
          <w:i/>
          <w:iCs/>
          <w:spacing w:val="-3"/>
          <w:sz w:val="22"/>
        </w:rPr>
      </w:pPr>
      <w:r w:rsidRPr="005138D5">
        <w:rPr>
          <w:spacing w:val="-3"/>
          <w:sz w:val="22"/>
        </w:rPr>
        <w:t xml:space="preserve">Badania </w:t>
      </w:r>
      <w:r w:rsidRPr="005138D5">
        <w:rPr>
          <w:i/>
          <w:iCs/>
          <w:spacing w:val="-3"/>
          <w:sz w:val="22"/>
        </w:rPr>
        <w:t>in vitro</w:t>
      </w:r>
      <w:r w:rsidRPr="005138D5">
        <w:rPr>
          <w:spacing w:val="-3"/>
          <w:sz w:val="22"/>
        </w:rPr>
        <w:t xml:space="preserve"> wykazały działanie leku na izolowane klinicznie szczepy </w:t>
      </w:r>
      <w:r w:rsidRPr="005138D5">
        <w:rPr>
          <w:i/>
          <w:iCs/>
          <w:spacing w:val="-3"/>
          <w:sz w:val="22"/>
        </w:rPr>
        <w:t>Acremonium,</w:t>
      </w:r>
      <w:r w:rsidRPr="005138D5">
        <w:rPr>
          <w:spacing w:val="-3"/>
          <w:sz w:val="22"/>
        </w:rPr>
        <w:t xml:space="preserve"> </w:t>
      </w:r>
      <w:r w:rsidRPr="005138D5">
        <w:rPr>
          <w:i/>
          <w:iCs/>
          <w:spacing w:val="-3"/>
          <w:sz w:val="22"/>
        </w:rPr>
        <w:t xml:space="preserve">Alternaria, </w:t>
      </w:r>
    </w:p>
    <w:p w14:paraId="05ED4801" w14:textId="77777777" w:rsidR="00575F5E" w:rsidRPr="005138D5" w:rsidRDefault="00575F5E" w:rsidP="00A41668">
      <w:pPr>
        <w:rPr>
          <w:snapToGrid w:val="0"/>
          <w:sz w:val="22"/>
          <w:lang w:eastAsia="en-US"/>
        </w:rPr>
      </w:pPr>
      <w:r w:rsidRPr="005138D5">
        <w:rPr>
          <w:i/>
          <w:iCs/>
          <w:spacing w:val="-3"/>
          <w:sz w:val="22"/>
        </w:rPr>
        <w:t>Bipolaris spp., Cladophialophora</w:t>
      </w:r>
      <w:r w:rsidR="008E134B" w:rsidRPr="005138D5">
        <w:rPr>
          <w:i/>
          <w:iCs/>
          <w:spacing w:val="-3"/>
          <w:sz w:val="22"/>
        </w:rPr>
        <w:t xml:space="preserve"> </w:t>
      </w:r>
      <w:r w:rsidR="008E134B" w:rsidRPr="005138D5">
        <w:rPr>
          <w:iCs/>
          <w:spacing w:val="-3"/>
          <w:sz w:val="22"/>
        </w:rPr>
        <w:t>i</w:t>
      </w:r>
      <w:r w:rsidRPr="005138D5">
        <w:rPr>
          <w:i/>
          <w:iCs/>
          <w:spacing w:val="-3"/>
          <w:sz w:val="22"/>
        </w:rPr>
        <w:t xml:space="preserve"> Histoplasma capsulatum; </w:t>
      </w:r>
      <w:r w:rsidRPr="005138D5">
        <w:rPr>
          <w:spacing w:val="-3"/>
          <w:sz w:val="22"/>
        </w:rPr>
        <w:t>większość szczepów hamowanych było przez stężenia worykonazolu w zakresie od 0,05 do 2</w:t>
      </w:r>
      <w:r w:rsidR="00086D10" w:rsidRPr="005138D5">
        <w:rPr>
          <w:spacing w:val="-3"/>
          <w:sz w:val="22"/>
        </w:rPr>
        <w:t> </w:t>
      </w:r>
      <w:r w:rsidR="00DB5CD2" w:rsidRPr="005138D5">
        <w:rPr>
          <w:snapToGrid w:val="0"/>
          <w:sz w:val="22"/>
          <w:lang w:eastAsia="en-US"/>
        </w:rPr>
        <w:sym w:font="Symbol" w:char="006D"/>
      </w:r>
      <w:r w:rsidR="00DB5CD2" w:rsidRPr="005138D5">
        <w:rPr>
          <w:snapToGrid w:val="0"/>
          <w:sz w:val="22"/>
          <w:lang w:eastAsia="en-US"/>
        </w:rPr>
        <w:t xml:space="preserve">g </w:t>
      </w:r>
      <w:r w:rsidRPr="005138D5">
        <w:rPr>
          <w:snapToGrid w:val="0"/>
          <w:sz w:val="22"/>
          <w:lang w:eastAsia="en-US"/>
        </w:rPr>
        <w:t xml:space="preserve">/ml. </w:t>
      </w:r>
    </w:p>
    <w:p w14:paraId="7AEFFEE0" w14:textId="77777777" w:rsidR="00575F5E" w:rsidRPr="005138D5" w:rsidRDefault="00575F5E" w:rsidP="00A41668">
      <w:pPr>
        <w:rPr>
          <w:spacing w:val="-3"/>
          <w:sz w:val="22"/>
        </w:rPr>
      </w:pPr>
    </w:p>
    <w:p w14:paraId="6411DBE2" w14:textId="77777777" w:rsidR="00F72B07" w:rsidRPr="005138D5" w:rsidRDefault="00575F5E" w:rsidP="00A41668">
      <w:pPr>
        <w:rPr>
          <w:i/>
          <w:iCs/>
          <w:spacing w:val="-3"/>
          <w:sz w:val="22"/>
        </w:rPr>
      </w:pPr>
      <w:r w:rsidRPr="005138D5">
        <w:rPr>
          <w:spacing w:val="-3"/>
          <w:sz w:val="22"/>
        </w:rPr>
        <w:t xml:space="preserve">W badaniach </w:t>
      </w:r>
      <w:r w:rsidRPr="005138D5">
        <w:rPr>
          <w:i/>
          <w:iCs/>
          <w:spacing w:val="-3"/>
          <w:sz w:val="22"/>
        </w:rPr>
        <w:t>in vitro</w:t>
      </w:r>
      <w:r w:rsidRPr="005138D5">
        <w:rPr>
          <w:spacing w:val="-3"/>
          <w:sz w:val="22"/>
        </w:rPr>
        <w:t xml:space="preserve"> wykazano działanie na następujące patogeny: szczepy </w:t>
      </w:r>
      <w:r w:rsidRPr="005138D5">
        <w:rPr>
          <w:i/>
          <w:iCs/>
          <w:spacing w:val="-3"/>
          <w:sz w:val="22"/>
        </w:rPr>
        <w:t>Curvularia</w:t>
      </w:r>
      <w:r w:rsidRPr="005138D5">
        <w:rPr>
          <w:spacing w:val="-3"/>
          <w:sz w:val="22"/>
        </w:rPr>
        <w:t xml:space="preserve"> i </w:t>
      </w:r>
      <w:r w:rsidRPr="005138D5">
        <w:rPr>
          <w:i/>
          <w:iCs/>
          <w:spacing w:val="-3"/>
          <w:sz w:val="22"/>
        </w:rPr>
        <w:t xml:space="preserve">Sporothrix, </w:t>
      </w:r>
    </w:p>
    <w:p w14:paraId="1C2D631E" w14:textId="77777777" w:rsidR="00575F5E" w:rsidRPr="005138D5" w:rsidRDefault="00575F5E" w:rsidP="00A41668">
      <w:pPr>
        <w:rPr>
          <w:spacing w:val="-3"/>
          <w:sz w:val="22"/>
        </w:rPr>
      </w:pPr>
      <w:r w:rsidRPr="005138D5">
        <w:rPr>
          <w:spacing w:val="-3"/>
          <w:sz w:val="22"/>
        </w:rPr>
        <w:t>ale</w:t>
      </w:r>
      <w:r w:rsidRPr="005138D5">
        <w:rPr>
          <w:i/>
          <w:iCs/>
          <w:spacing w:val="-3"/>
          <w:sz w:val="22"/>
        </w:rPr>
        <w:t xml:space="preserve"> </w:t>
      </w:r>
      <w:r w:rsidRPr="005138D5">
        <w:rPr>
          <w:spacing w:val="-3"/>
          <w:sz w:val="22"/>
        </w:rPr>
        <w:t>znaczenie kliniczne tego nie jest znane.</w:t>
      </w:r>
    </w:p>
    <w:p w14:paraId="14402C99" w14:textId="77777777" w:rsidR="00575F5E" w:rsidRPr="005138D5" w:rsidRDefault="00575F5E" w:rsidP="00A41668">
      <w:pPr>
        <w:rPr>
          <w:spacing w:val="-3"/>
          <w:sz w:val="22"/>
        </w:rPr>
      </w:pPr>
    </w:p>
    <w:p w14:paraId="7CFBB3FC" w14:textId="77777777" w:rsidR="00695FD3" w:rsidRPr="005138D5" w:rsidRDefault="00695FD3" w:rsidP="00A41668">
      <w:pPr>
        <w:rPr>
          <w:spacing w:val="-3"/>
          <w:sz w:val="22"/>
          <w:u w:val="single"/>
        </w:rPr>
      </w:pPr>
      <w:r w:rsidRPr="005138D5">
        <w:rPr>
          <w:spacing w:val="-3"/>
          <w:sz w:val="22"/>
          <w:u w:val="single"/>
        </w:rPr>
        <w:t>Stężenia graniczne</w:t>
      </w:r>
    </w:p>
    <w:p w14:paraId="5F34B28C" w14:textId="77777777" w:rsidR="0097127D" w:rsidRPr="005138D5" w:rsidRDefault="0097127D" w:rsidP="00A41668">
      <w:pPr>
        <w:pStyle w:val="Tekstpodstawowy"/>
        <w:rPr>
          <w:rFonts w:ascii="Times New Roman" w:hAnsi="Times New Roman"/>
          <w:spacing w:val="-3"/>
        </w:rPr>
      </w:pPr>
    </w:p>
    <w:p w14:paraId="03B28333" w14:textId="77777777" w:rsidR="00575F5E" w:rsidRPr="005138D5" w:rsidRDefault="00575F5E" w:rsidP="00A41668">
      <w:pPr>
        <w:pStyle w:val="Tekstpodstawowy"/>
        <w:rPr>
          <w:rFonts w:ascii="Times New Roman" w:hAnsi="Times New Roman"/>
          <w:spacing w:val="-3"/>
        </w:rPr>
      </w:pPr>
      <w:r w:rsidRPr="005138D5">
        <w:rPr>
          <w:rFonts w:ascii="Times New Roman" w:hAnsi="Times New Roman"/>
          <w:spacing w:val="-3"/>
        </w:rPr>
        <w:t>W celu izolacji i identyfikacji drobnoustroju chorobotwórczego należy pobrać materiał na posiew i do innych istotnych badań laboratoryjnych (serologicznych i histopatologicznych) przed rozpoczęciem leczenia. Terapię można wdrożyć przed otrzymaniem wyników posiewu i powyższych badań laboratoryjnych</w:t>
      </w:r>
      <w:r w:rsidR="00C42343" w:rsidRPr="005138D5">
        <w:rPr>
          <w:rFonts w:ascii="Times New Roman" w:hAnsi="Times New Roman"/>
          <w:spacing w:val="-3"/>
        </w:rPr>
        <w:t>,</w:t>
      </w:r>
      <w:r w:rsidRPr="005138D5">
        <w:rPr>
          <w:rFonts w:ascii="Times New Roman" w:hAnsi="Times New Roman"/>
          <w:spacing w:val="-3"/>
        </w:rPr>
        <w:t xml:space="preserve"> a następnie po ich otrzymaniu odpowiednio dostosować leczenie przeciwgrzybicze.</w:t>
      </w:r>
    </w:p>
    <w:p w14:paraId="725FE2F0" w14:textId="77777777" w:rsidR="00575F5E" w:rsidRPr="005138D5" w:rsidRDefault="00575F5E" w:rsidP="00A41668">
      <w:pPr>
        <w:rPr>
          <w:spacing w:val="-3"/>
          <w:sz w:val="22"/>
        </w:rPr>
      </w:pPr>
    </w:p>
    <w:p w14:paraId="6391FFDB" w14:textId="77777777" w:rsidR="00FE15C8" w:rsidRPr="005138D5" w:rsidRDefault="009B2A4B" w:rsidP="00A41668">
      <w:pPr>
        <w:rPr>
          <w:sz w:val="22"/>
        </w:rPr>
      </w:pPr>
      <w:r w:rsidRPr="005138D5">
        <w:rPr>
          <w:spacing w:val="-3"/>
          <w:sz w:val="22"/>
        </w:rPr>
        <w:t xml:space="preserve">Aktywność worykonazolu wobec </w:t>
      </w:r>
      <w:r w:rsidRPr="005138D5">
        <w:rPr>
          <w:bCs/>
          <w:sz w:val="22"/>
        </w:rPr>
        <w:t>s</w:t>
      </w:r>
      <w:r w:rsidR="003A3162" w:rsidRPr="005138D5">
        <w:rPr>
          <w:bCs/>
          <w:sz w:val="22"/>
        </w:rPr>
        <w:t>zczep</w:t>
      </w:r>
      <w:r w:rsidRPr="005138D5">
        <w:rPr>
          <w:bCs/>
          <w:sz w:val="22"/>
        </w:rPr>
        <w:t>ów</w:t>
      </w:r>
      <w:r w:rsidR="003A3162" w:rsidRPr="005138D5">
        <w:rPr>
          <w:bCs/>
          <w:sz w:val="22"/>
        </w:rPr>
        <w:t xml:space="preserve"> najczęściej </w:t>
      </w:r>
      <w:r w:rsidR="0086084F" w:rsidRPr="005138D5">
        <w:rPr>
          <w:bCs/>
          <w:sz w:val="22"/>
        </w:rPr>
        <w:t>powodujących wyst</w:t>
      </w:r>
      <w:r w:rsidR="00C75832" w:rsidRPr="005138D5">
        <w:rPr>
          <w:bCs/>
          <w:sz w:val="22"/>
        </w:rPr>
        <w:t>ę</w:t>
      </w:r>
      <w:r w:rsidR="0086084F" w:rsidRPr="005138D5">
        <w:rPr>
          <w:bCs/>
          <w:sz w:val="22"/>
        </w:rPr>
        <w:t xml:space="preserve">powanie </w:t>
      </w:r>
      <w:r w:rsidR="003A3162" w:rsidRPr="005138D5">
        <w:rPr>
          <w:bCs/>
          <w:sz w:val="22"/>
        </w:rPr>
        <w:t>infekcji u ludzi</w:t>
      </w:r>
      <w:r w:rsidR="00074F91" w:rsidRPr="005138D5">
        <w:rPr>
          <w:bCs/>
          <w:sz w:val="22"/>
        </w:rPr>
        <w:t>,</w:t>
      </w:r>
      <w:r w:rsidR="003A3162" w:rsidRPr="005138D5">
        <w:rPr>
          <w:bCs/>
          <w:sz w:val="22"/>
        </w:rPr>
        <w:t xml:space="preserve"> </w:t>
      </w:r>
      <w:r w:rsidR="009E6202" w:rsidRPr="005138D5">
        <w:rPr>
          <w:bCs/>
          <w:sz w:val="22"/>
        </w:rPr>
        <w:t>taki</w:t>
      </w:r>
      <w:r w:rsidRPr="005138D5">
        <w:rPr>
          <w:bCs/>
          <w:sz w:val="22"/>
        </w:rPr>
        <w:t>ch</w:t>
      </w:r>
      <w:r w:rsidR="009E6202" w:rsidRPr="005138D5">
        <w:rPr>
          <w:bCs/>
          <w:sz w:val="22"/>
        </w:rPr>
        <w:t xml:space="preserve"> jak </w:t>
      </w:r>
      <w:r w:rsidR="003A3162" w:rsidRPr="005138D5">
        <w:rPr>
          <w:i/>
          <w:sz w:val="22"/>
        </w:rPr>
        <w:t xml:space="preserve">C. albicans, C. parapsilosis, C. tropicalis, C. glabrata </w:t>
      </w:r>
      <w:r w:rsidR="003A3162" w:rsidRPr="005138D5">
        <w:rPr>
          <w:sz w:val="22"/>
        </w:rPr>
        <w:t>i</w:t>
      </w:r>
      <w:r w:rsidR="003A3162" w:rsidRPr="005138D5">
        <w:rPr>
          <w:i/>
          <w:sz w:val="22"/>
        </w:rPr>
        <w:t xml:space="preserve"> C. krusei</w:t>
      </w:r>
      <w:r w:rsidR="009E6202" w:rsidRPr="005138D5">
        <w:rPr>
          <w:sz w:val="22"/>
        </w:rPr>
        <w:t>,</w:t>
      </w:r>
      <w:r w:rsidR="00ED79BE" w:rsidRPr="005138D5">
        <w:rPr>
          <w:sz w:val="22"/>
        </w:rPr>
        <w:t xml:space="preserve"> zazwyczaj charakteryzuj</w:t>
      </w:r>
      <w:r w:rsidR="00AA1DA2" w:rsidRPr="005138D5">
        <w:rPr>
          <w:sz w:val="22"/>
        </w:rPr>
        <w:t>e</w:t>
      </w:r>
      <w:r w:rsidR="00ED79BE" w:rsidRPr="005138D5">
        <w:rPr>
          <w:sz w:val="22"/>
        </w:rPr>
        <w:t xml:space="preserve"> się wartością </w:t>
      </w:r>
      <w:r w:rsidR="00EA69D2" w:rsidRPr="005138D5">
        <w:rPr>
          <w:sz w:val="22"/>
        </w:rPr>
        <w:t>minimalnego stężenia hamującego (</w:t>
      </w:r>
      <w:r w:rsidR="00ED79BE" w:rsidRPr="005138D5">
        <w:rPr>
          <w:sz w:val="22"/>
        </w:rPr>
        <w:t>MIC</w:t>
      </w:r>
      <w:r w:rsidR="00EA69D2" w:rsidRPr="005138D5">
        <w:rPr>
          <w:sz w:val="22"/>
        </w:rPr>
        <w:t>)</w:t>
      </w:r>
      <w:r w:rsidR="00ED79BE" w:rsidRPr="005138D5">
        <w:rPr>
          <w:sz w:val="22"/>
        </w:rPr>
        <w:t xml:space="preserve"> </w:t>
      </w:r>
      <w:r w:rsidR="00844F30" w:rsidRPr="005138D5">
        <w:rPr>
          <w:sz w:val="22"/>
        </w:rPr>
        <w:t xml:space="preserve">mniejszą niż </w:t>
      </w:r>
      <w:r w:rsidR="00ED79BE" w:rsidRPr="005138D5">
        <w:rPr>
          <w:sz w:val="22"/>
        </w:rPr>
        <w:t>1</w:t>
      </w:r>
      <w:r w:rsidR="00086D10" w:rsidRPr="005138D5">
        <w:rPr>
          <w:sz w:val="22"/>
        </w:rPr>
        <w:t> mg</w:t>
      </w:r>
      <w:r w:rsidR="00ED79BE" w:rsidRPr="005138D5">
        <w:rPr>
          <w:sz w:val="22"/>
        </w:rPr>
        <w:t>/L.</w:t>
      </w:r>
    </w:p>
    <w:p w14:paraId="73115956" w14:textId="77777777" w:rsidR="00ED79BE" w:rsidRPr="005138D5" w:rsidRDefault="00ED79BE" w:rsidP="00A41668">
      <w:pPr>
        <w:rPr>
          <w:sz w:val="22"/>
        </w:rPr>
      </w:pPr>
    </w:p>
    <w:p w14:paraId="7B9D1DD7" w14:textId="77777777" w:rsidR="00FA6917" w:rsidRPr="005138D5" w:rsidRDefault="00FA6917" w:rsidP="00A41668">
      <w:pPr>
        <w:rPr>
          <w:b/>
          <w:bCs/>
          <w:sz w:val="22"/>
        </w:rPr>
      </w:pPr>
      <w:r w:rsidRPr="005138D5">
        <w:rPr>
          <w:bCs/>
          <w:sz w:val="22"/>
        </w:rPr>
        <w:t xml:space="preserve">Jednakże, aktywność </w:t>
      </w:r>
      <w:r w:rsidRPr="005138D5">
        <w:rPr>
          <w:bCs/>
          <w:i/>
          <w:sz w:val="22"/>
        </w:rPr>
        <w:t>in vitro</w:t>
      </w:r>
      <w:r w:rsidRPr="005138D5">
        <w:rPr>
          <w:bCs/>
          <w:sz w:val="22"/>
        </w:rPr>
        <w:t xml:space="preserve"> worykonazolu przeciw szczepom </w:t>
      </w:r>
      <w:r w:rsidRPr="005138D5">
        <w:rPr>
          <w:bCs/>
          <w:i/>
          <w:sz w:val="22"/>
        </w:rPr>
        <w:t>Candida</w:t>
      </w:r>
      <w:r w:rsidRPr="005138D5">
        <w:rPr>
          <w:bCs/>
          <w:sz w:val="22"/>
        </w:rPr>
        <w:t xml:space="preserve"> nie jest jednorodna. </w:t>
      </w:r>
    </w:p>
    <w:p w14:paraId="558ECCFF" w14:textId="77777777" w:rsidR="0040371C" w:rsidRDefault="0040371C" w:rsidP="00A41668">
      <w:pPr>
        <w:rPr>
          <w:bCs/>
          <w:sz w:val="22"/>
        </w:rPr>
      </w:pPr>
      <w:r w:rsidRPr="005138D5">
        <w:rPr>
          <w:bCs/>
          <w:sz w:val="22"/>
        </w:rPr>
        <w:t xml:space="preserve">Szczególnie dla </w:t>
      </w:r>
      <w:r w:rsidRPr="005138D5">
        <w:rPr>
          <w:bCs/>
          <w:i/>
          <w:sz w:val="22"/>
        </w:rPr>
        <w:t>C. glabrata</w:t>
      </w:r>
      <w:r w:rsidRPr="005138D5">
        <w:rPr>
          <w:bCs/>
          <w:sz w:val="22"/>
        </w:rPr>
        <w:t xml:space="preserve">, wartość MIC worykonazolu </w:t>
      </w:r>
      <w:r w:rsidR="00945943" w:rsidRPr="005138D5">
        <w:rPr>
          <w:bCs/>
          <w:sz w:val="22"/>
        </w:rPr>
        <w:t xml:space="preserve">wobec </w:t>
      </w:r>
      <w:r w:rsidRPr="005138D5">
        <w:rPr>
          <w:bCs/>
          <w:sz w:val="22"/>
        </w:rPr>
        <w:t xml:space="preserve">szczepów opornych na flukonazol </w:t>
      </w:r>
      <w:r w:rsidR="009E6202" w:rsidRPr="005138D5">
        <w:rPr>
          <w:bCs/>
          <w:sz w:val="22"/>
        </w:rPr>
        <w:t>była</w:t>
      </w:r>
      <w:r w:rsidRPr="005138D5">
        <w:rPr>
          <w:bCs/>
          <w:sz w:val="22"/>
        </w:rPr>
        <w:t xml:space="preserve"> proporcjonalnie </w:t>
      </w:r>
      <w:r w:rsidR="00945943" w:rsidRPr="005138D5">
        <w:rPr>
          <w:bCs/>
          <w:sz w:val="22"/>
        </w:rPr>
        <w:t xml:space="preserve">większa </w:t>
      </w:r>
      <w:r w:rsidRPr="005138D5">
        <w:rPr>
          <w:bCs/>
          <w:sz w:val="22"/>
        </w:rPr>
        <w:t xml:space="preserve">niż </w:t>
      </w:r>
      <w:r w:rsidR="00945943" w:rsidRPr="005138D5">
        <w:rPr>
          <w:bCs/>
          <w:sz w:val="22"/>
        </w:rPr>
        <w:t xml:space="preserve">wobec </w:t>
      </w:r>
      <w:r w:rsidRPr="005138D5">
        <w:rPr>
          <w:bCs/>
          <w:sz w:val="22"/>
        </w:rPr>
        <w:t xml:space="preserve">szczepów wrażliwych na flukonazol. Dlatego należy dołożyć wszelkich </w:t>
      </w:r>
      <w:r w:rsidR="009E6202" w:rsidRPr="005138D5">
        <w:rPr>
          <w:bCs/>
          <w:sz w:val="22"/>
        </w:rPr>
        <w:t>starań, aby</w:t>
      </w:r>
      <w:r w:rsidRPr="005138D5">
        <w:rPr>
          <w:bCs/>
          <w:sz w:val="22"/>
        </w:rPr>
        <w:t xml:space="preserve"> zidentyfikować </w:t>
      </w:r>
      <w:r w:rsidR="009E6202" w:rsidRPr="005138D5">
        <w:rPr>
          <w:bCs/>
          <w:sz w:val="22"/>
        </w:rPr>
        <w:t xml:space="preserve">konkretny rodzaj </w:t>
      </w:r>
      <w:r w:rsidRPr="005138D5">
        <w:rPr>
          <w:bCs/>
          <w:sz w:val="22"/>
        </w:rPr>
        <w:t>szczep</w:t>
      </w:r>
      <w:r w:rsidR="009E6202" w:rsidRPr="005138D5">
        <w:rPr>
          <w:bCs/>
          <w:sz w:val="22"/>
        </w:rPr>
        <w:t>u</w:t>
      </w:r>
      <w:r w:rsidRPr="005138D5">
        <w:rPr>
          <w:bCs/>
          <w:sz w:val="22"/>
        </w:rPr>
        <w:t xml:space="preserve"> </w:t>
      </w:r>
      <w:r w:rsidRPr="005138D5">
        <w:rPr>
          <w:bCs/>
          <w:i/>
          <w:sz w:val="22"/>
        </w:rPr>
        <w:t>Candida</w:t>
      </w:r>
      <w:r w:rsidRPr="005138D5">
        <w:rPr>
          <w:bCs/>
          <w:sz w:val="22"/>
        </w:rPr>
        <w:t xml:space="preserve">. Jeśli dostępne są testy </w:t>
      </w:r>
      <w:r w:rsidR="009E6202" w:rsidRPr="005138D5">
        <w:rPr>
          <w:bCs/>
          <w:sz w:val="22"/>
        </w:rPr>
        <w:t>przeciwgrzybicz</w:t>
      </w:r>
      <w:r w:rsidR="000F388D" w:rsidRPr="005138D5">
        <w:rPr>
          <w:bCs/>
          <w:sz w:val="22"/>
        </w:rPr>
        <w:t>e</w:t>
      </w:r>
      <w:r w:rsidR="00451BC3" w:rsidRPr="005138D5">
        <w:rPr>
          <w:bCs/>
          <w:sz w:val="22"/>
        </w:rPr>
        <w:t>, wartość MIC może być zinterpretowana na podstawie kryteriów stężenia granicznego ustalonego przez Europejski Komitet Badania Wrażliwości Drobnoustrojów</w:t>
      </w:r>
      <w:r w:rsidR="00AC45DE" w:rsidRPr="005138D5">
        <w:rPr>
          <w:bCs/>
          <w:sz w:val="22"/>
        </w:rPr>
        <w:t xml:space="preserve"> (EUCAST, ang. </w:t>
      </w:r>
      <w:r w:rsidR="00AC45DE" w:rsidRPr="005138D5">
        <w:rPr>
          <w:sz w:val="22"/>
        </w:rPr>
        <w:t>European Committee on Antimicrobial Susceptibility Testing)</w:t>
      </w:r>
      <w:r w:rsidR="00451BC3" w:rsidRPr="005138D5">
        <w:rPr>
          <w:bCs/>
          <w:sz w:val="22"/>
        </w:rPr>
        <w:t xml:space="preserve">. </w:t>
      </w:r>
    </w:p>
    <w:p w14:paraId="625B3145" w14:textId="77777777" w:rsidR="00277FD8" w:rsidRDefault="00277FD8" w:rsidP="00A41668">
      <w:pPr>
        <w:rPr>
          <w:bCs/>
          <w:sz w:val="22"/>
        </w:rPr>
      </w:pPr>
    </w:p>
    <w:p w14:paraId="5632C8E9" w14:textId="77777777" w:rsidR="009745B5" w:rsidRPr="009745B5" w:rsidRDefault="009745B5" w:rsidP="009745B5">
      <w:pPr>
        <w:rPr>
          <w:bCs/>
          <w:sz w:val="22"/>
        </w:rPr>
      </w:pPr>
      <w:r w:rsidRPr="009745B5">
        <w:rPr>
          <w:bCs/>
          <w:sz w:val="22"/>
        </w:rPr>
        <w:t xml:space="preserve">Wartości graniczne badania wrażliwości </w:t>
      </w:r>
    </w:p>
    <w:p w14:paraId="3447737A" w14:textId="576474A8" w:rsidR="009745B5" w:rsidRPr="005138D5" w:rsidRDefault="009745B5" w:rsidP="009745B5">
      <w:pPr>
        <w:rPr>
          <w:bCs/>
          <w:sz w:val="22"/>
        </w:rPr>
      </w:pPr>
      <w:r w:rsidRPr="009745B5">
        <w:rPr>
          <w:bCs/>
          <w:sz w:val="22"/>
        </w:rPr>
        <w:t xml:space="preserve">Kryteria interpretacyjne MIC (minimalnego stężenia hamującego) dla badania wrażliwości zostały ustanowione przez Europejski Komitet ds. Oceny Wrażliwości na środki przeciwdrobnoustrojowe (EUCAST) dla </w:t>
      </w:r>
      <w:r>
        <w:rPr>
          <w:bCs/>
          <w:sz w:val="22"/>
        </w:rPr>
        <w:t>worykonazolu</w:t>
      </w:r>
      <w:r w:rsidRPr="009745B5">
        <w:rPr>
          <w:bCs/>
          <w:sz w:val="22"/>
        </w:rPr>
        <w:t xml:space="preserve">. Są one wymienione tutaj: &lt;https://www.ema.europa.eu/documents/other/minimum-inhibitory-concentration-mic-breakpoints_en.xlsx&gt;  </w:t>
      </w:r>
    </w:p>
    <w:p w14:paraId="516C9D79" w14:textId="77777777" w:rsidR="00C671E5" w:rsidRPr="005138D5" w:rsidRDefault="00C671E5" w:rsidP="00A41668">
      <w:pPr>
        <w:rPr>
          <w:b/>
          <w:bCs/>
          <w:sz w:val="22"/>
        </w:rPr>
      </w:pPr>
    </w:p>
    <w:p w14:paraId="4EE215E1" w14:textId="77777777" w:rsidR="00575F5E" w:rsidRPr="005138D5" w:rsidRDefault="00575F5E" w:rsidP="00A41668">
      <w:pPr>
        <w:rPr>
          <w:rFonts w:eastAsia="Arial Unicode MS"/>
          <w:bCs/>
          <w:sz w:val="22"/>
          <w:u w:val="single"/>
        </w:rPr>
      </w:pPr>
      <w:r w:rsidRPr="005138D5">
        <w:rPr>
          <w:bCs/>
          <w:sz w:val="22"/>
          <w:u w:val="single"/>
        </w:rPr>
        <w:t>Doświadczenie kliniczne</w:t>
      </w:r>
    </w:p>
    <w:p w14:paraId="526E3A4B" w14:textId="77777777" w:rsidR="00575F5E" w:rsidRPr="005138D5" w:rsidRDefault="00575F5E" w:rsidP="00A41668">
      <w:pPr>
        <w:rPr>
          <w:spacing w:val="-3"/>
          <w:sz w:val="22"/>
        </w:rPr>
      </w:pPr>
      <w:r w:rsidRPr="005138D5">
        <w:rPr>
          <w:spacing w:val="-3"/>
          <w:sz w:val="22"/>
        </w:rPr>
        <w:t>W rozdziale tym za dobry wynik końcowy uznano całkowitą lub częściową odpowiedź na leczenie.</w:t>
      </w:r>
    </w:p>
    <w:p w14:paraId="69BF3C1D" w14:textId="77777777" w:rsidR="00575F5E" w:rsidRDefault="00575F5E" w:rsidP="00A41668">
      <w:pPr>
        <w:rPr>
          <w:spacing w:val="-3"/>
          <w:sz w:val="22"/>
        </w:rPr>
      </w:pPr>
    </w:p>
    <w:p w14:paraId="5CC0F442" w14:textId="77777777" w:rsidR="004700FB" w:rsidRPr="005138D5" w:rsidRDefault="004700FB" w:rsidP="00A41668">
      <w:pPr>
        <w:rPr>
          <w:spacing w:val="-3"/>
          <w:sz w:val="22"/>
        </w:rPr>
      </w:pPr>
    </w:p>
    <w:p w14:paraId="687221D0" w14:textId="77777777" w:rsidR="00575F5E" w:rsidRPr="005138D5" w:rsidRDefault="00575F5E" w:rsidP="00A41668">
      <w:pPr>
        <w:rPr>
          <w:spacing w:val="-3"/>
          <w:sz w:val="22"/>
          <w:u w:val="single"/>
        </w:rPr>
      </w:pPr>
      <w:r w:rsidRPr="005138D5">
        <w:rPr>
          <w:spacing w:val="-3"/>
          <w:sz w:val="22"/>
          <w:u w:val="single"/>
        </w:rPr>
        <w:t xml:space="preserve">Zakażenia </w:t>
      </w:r>
      <w:r w:rsidRPr="005138D5">
        <w:rPr>
          <w:i/>
          <w:iCs/>
          <w:spacing w:val="-3"/>
          <w:sz w:val="22"/>
          <w:u w:val="single"/>
        </w:rPr>
        <w:t>Aspergillus</w:t>
      </w:r>
      <w:r w:rsidRPr="005138D5">
        <w:rPr>
          <w:spacing w:val="-3"/>
          <w:sz w:val="22"/>
          <w:u w:val="single"/>
        </w:rPr>
        <w:t xml:space="preserve"> – skuteczność w leczeniu aspergilozy u pacjentów ze złym rokowaniem</w:t>
      </w:r>
    </w:p>
    <w:p w14:paraId="7D881D5F" w14:textId="77777777" w:rsidR="00F72B07" w:rsidRPr="005138D5" w:rsidRDefault="00575F5E" w:rsidP="00A41668">
      <w:pPr>
        <w:rPr>
          <w:spacing w:val="-3"/>
          <w:sz w:val="22"/>
        </w:rPr>
      </w:pPr>
      <w:r w:rsidRPr="005138D5">
        <w:rPr>
          <w:spacing w:val="-3"/>
          <w:sz w:val="22"/>
        </w:rPr>
        <w:t xml:space="preserve">W badaniach </w:t>
      </w:r>
      <w:r w:rsidRPr="005138D5">
        <w:rPr>
          <w:i/>
          <w:iCs/>
          <w:spacing w:val="-3"/>
          <w:sz w:val="22"/>
        </w:rPr>
        <w:t>in vitro</w:t>
      </w:r>
      <w:r w:rsidRPr="005138D5">
        <w:rPr>
          <w:spacing w:val="-3"/>
          <w:sz w:val="22"/>
        </w:rPr>
        <w:t xml:space="preserve"> worykonazol wykazuje działanie grzybobójcze na szczepy </w:t>
      </w:r>
      <w:r w:rsidRPr="005138D5">
        <w:rPr>
          <w:i/>
          <w:iCs/>
          <w:spacing w:val="-3"/>
          <w:sz w:val="22"/>
        </w:rPr>
        <w:t>Aspergillus spp.</w:t>
      </w:r>
      <w:r w:rsidRPr="005138D5">
        <w:rPr>
          <w:spacing w:val="-3"/>
          <w:sz w:val="22"/>
        </w:rPr>
        <w:t xml:space="preserve"> Skuteczność i wydłużenie życia po worykonazolu, w porównaniu z konwencjonalną amfoterycyną B </w:t>
      </w:r>
    </w:p>
    <w:p w14:paraId="69DBCC88" w14:textId="77777777" w:rsidR="00D72CB5" w:rsidRPr="005138D5" w:rsidRDefault="00575F5E" w:rsidP="00A41668">
      <w:pPr>
        <w:rPr>
          <w:spacing w:val="-3"/>
          <w:sz w:val="22"/>
        </w:rPr>
      </w:pPr>
      <w:r w:rsidRPr="005138D5">
        <w:rPr>
          <w:spacing w:val="-3"/>
          <w:sz w:val="22"/>
        </w:rPr>
        <w:t xml:space="preserve">w leczeniu ostrej inwazyjnej aspergilozy wykazano w otwartym, randomizowanym, wieloośrodkowym badaniu obejmującym 277 pacjentów z upośledzoną odpornością, leczonych przez okres 12 tygodni. </w:t>
      </w:r>
      <w:r w:rsidR="00D72CB5" w:rsidRPr="005138D5">
        <w:rPr>
          <w:spacing w:val="-3"/>
          <w:sz w:val="22"/>
        </w:rPr>
        <w:t>Worykonazol podawan</w:t>
      </w:r>
      <w:r w:rsidR="003747C9" w:rsidRPr="005138D5">
        <w:rPr>
          <w:spacing w:val="-3"/>
          <w:sz w:val="22"/>
        </w:rPr>
        <w:t>o</w:t>
      </w:r>
      <w:r w:rsidR="00CC3F6A" w:rsidRPr="005138D5">
        <w:rPr>
          <w:spacing w:val="-3"/>
          <w:sz w:val="22"/>
        </w:rPr>
        <w:t xml:space="preserve"> </w:t>
      </w:r>
      <w:r w:rsidR="00D72CB5" w:rsidRPr="005138D5">
        <w:rPr>
          <w:spacing w:val="-3"/>
          <w:sz w:val="22"/>
        </w:rPr>
        <w:t>dożyln</w:t>
      </w:r>
      <w:r w:rsidR="00CC3F6A" w:rsidRPr="005138D5">
        <w:rPr>
          <w:spacing w:val="-3"/>
          <w:sz w:val="22"/>
        </w:rPr>
        <w:t>i</w:t>
      </w:r>
      <w:r w:rsidR="002759AF" w:rsidRPr="005138D5">
        <w:rPr>
          <w:spacing w:val="-3"/>
          <w:sz w:val="22"/>
        </w:rPr>
        <w:t>e</w:t>
      </w:r>
      <w:r w:rsidR="00D72CB5" w:rsidRPr="005138D5">
        <w:rPr>
          <w:spacing w:val="-3"/>
          <w:sz w:val="22"/>
        </w:rPr>
        <w:t xml:space="preserve"> w dawce nasycającej wynoszącej 6</w:t>
      </w:r>
      <w:r w:rsidR="00086D10" w:rsidRPr="005138D5">
        <w:rPr>
          <w:spacing w:val="-3"/>
          <w:sz w:val="22"/>
        </w:rPr>
        <w:t> mg</w:t>
      </w:r>
      <w:r w:rsidR="00D72CB5" w:rsidRPr="005138D5">
        <w:rPr>
          <w:spacing w:val="-3"/>
          <w:sz w:val="22"/>
        </w:rPr>
        <w:t xml:space="preserve">/kg </w:t>
      </w:r>
      <w:r w:rsidR="002759AF" w:rsidRPr="005138D5">
        <w:rPr>
          <w:spacing w:val="-3"/>
          <w:sz w:val="22"/>
        </w:rPr>
        <w:t xml:space="preserve">mc. </w:t>
      </w:r>
      <w:r w:rsidR="00D72CB5" w:rsidRPr="005138D5">
        <w:rPr>
          <w:spacing w:val="-3"/>
          <w:sz w:val="22"/>
        </w:rPr>
        <w:t>co 12</w:t>
      </w:r>
      <w:r w:rsidR="00386A06" w:rsidRPr="005138D5">
        <w:rPr>
          <w:spacing w:val="-3"/>
          <w:sz w:val="22"/>
        </w:rPr>
        <w:t> godzin</w:t>
      </w:r>
      <w:r w:rsidR="00D72CB5" w:rsidRPr="005138D5">
        <w:rPr>
          <w:spacing w:val="-3"/>
          <w:sz w:val="22"/>
        </w:rPr>
        <w:t xml:space="preserve"> przez pierwsze 24</w:t>
      </w:r>
      <w:r w:rsidR="00386A06" w:rsidRPr="005138D5">
        <w:rPr>
          <w:spacing w:val="-3"/>
          <w:sz w:val="22"/>
        </w:rPr>
        <w:t> godzin</w:t>
      </w:r>
      <w:r w:rsidR="00F9431F" w:rsidRPr="005138D5">
        <w:rPr>
          <w:spacing w:val="-3"/>
          <w:sz w:val="22"/>
        </w:rPr>
        <w:t>y</w:t>
      </w:r>
      <w:r w:rsidR="00D95902" w:rsidRPr="005138D5">
        <w:rPr>
          <w:spacing w:val="-3"/>
          <w:sz w:val="22"/>
        </w:rPr>
        <w:t>,</w:t>
      </w:r>
      <w:r w:rsidR="007C4884" w:rsidRPr="005138D5">
        <w:rPr>
          <w:spacing w:val="-3"/>
          <w:sz w:val="22"/>
        </w:rPr>
        <w:t xml:space="preserve"> </w:t>
      </w:r>
      <w:r w:rsidR="00D95902" w:rsidRPr="005138D5">
        <w:rPr>
          <w:spacing w:val="-3"/>
          <w:sz w:val="22"/>
        </w:rPr>
        <w:t>następnie</w:t>
      </w:r>
      <w:r w:rsidR="00D72CB5" w:rsidRPr="005138D5">
        <w:rPr>
          <w:spacing w:val="-3"/>
          <w:sz w:val="22"/>
        </w:rPr>
        <w:t xml:space="preserve"> </w:t>
      </w:r>
      <w:r w:rsidR="00CC3F6A" w:rsidRPr="005138D5">
        <w:rPr>
          <w:spacing w:val="-3"/>
          <w:sz w:val="22"/>
        </w:rPr>
        <w:t>leczenie kontynuowano dawką</w:t>
      </w:r>
      <w:r w:rsidR="00D72CB5" w:rsidRPr="005138D5">
        <w:rPr>
          <w:spacing w:val="-3"/>
          <w:sz w:val="22"/>
        </w:rPr>
        <w:t xml:space="preserve"> podtrzymując</w:t>
      </w:r>
      <w:r w:rsidR="00CC3F6A" w:rsidRPr="005138D5">
        <w:rPr>
          <w:spacing w:val="-3"/>
          <w:sz w:val="22"/>
        </w:rPr>
        <w:t>ą</w:t>
      </w:r>
      <w:r w:rsidR="00D72CB5" w:rsidRPr="005138D5">
        <w:rPr>
          <w:spacing w:val="-3"/>
          <w:sz w:val="22"/>
        </w:rPr>
        <w:t xml:space="preserve"> wynosząc</w:t>
      </w:r>
      <w:r w:rsidR="00CC3F6A" w:rsidRPr="005138D5">
        <w:rPr>
          <w:spacing w:val="-3"/>
          <w:sz w:val="22"/>
        </w:rPr>
        <w:t>ą</w:t>
      </w:r>
      <w:r w:rsidR="00D72CB5" w:rsidRPr="005138D5">
        <w:rPr>
          <w:spacing w:val="-3"/>
          <w:sz w:val="22"/>
        </w:rPr>
        <w:t xml:space="preserve"> 4</w:t>
      </w:r>
      <w:r w:rsidR="00086D10" w:rsidRPr="005138D5">
        <w:rPr>
          <w:spacing w:val="-3"/>
          <w:sz w:val="22"/>
        </w:rPr>
        <w:t> mg</w:t>
      </w:r>
      <w:r w:rsidR="00D72CB5" w:rsidRPr="005138D5">
        <w:rPr>
          <w:spacing w:val="-3"/>
          <w:sz w:val="22"/>
        </w:rPr>
        <w:t xml:space="preserve">/kg </w:t>
      </w:r>
      <w:r w:rsidR="00F9431F" w:rsidRPr="005138D5">
        <w:rPr>
          <w:spacing w:val="-3"/>
          <w:sz w:val="22"/>
        </w:rPr>
        <w:t xml:space="preserve">mc. </w:t>
      </w:r>
      <w:r w:rsidR="00D72CB5" w:rsidRPr="005138D5">
        <w:rPr>
          <w:spacing w:val="-3"/>
          <w:sz w:val="22"/>
        </w:rPr>
        <w:t>co 12</w:t>
      </w:r>
      <w:r w:rsidR="00386A06" w:rsidRPr="005138D5">
        <w:rPr>
          <w:spacing w:val="-3"/>
          <w:sz w:val="22"/>
        </w:rPr>
        <w:t> godzin</w:t>
      </w:r>
      <w:r w:rsidR="00D72CB5" w:rsidRPr="005138D5">
        <w:rPr>
          <w:spacing w:val="-3"/>
          <w:sz w:val="22"/>
        </w:rPr>
        <w:t xml:space="preserve"> przez minimum </w:t>
      </w:r>
      <w:r w:rsidR="008E134B" w:rsidRPr="005138D5">
        <w:rPr>
          <w:spacing w:val="-3"/>
          <w:sz w:val="22"/>
        </w:rPr>
        <w:t>7</w:t>
      </w:r>
      <w:r w:rsidR="00D72CB5" w:rsidRPr="005138D5">
        <w:rPr>
          <w:spacing w:val="-3"/>
          <w:sz w:val="22"/>
        </w:rPr>
        <w:t xml:space="preserve"> dni. </w:t>
      </w:r>
      <w:r w:rsidR="00D95902" w:rsidRPr="005138D5">
        <w:rPr>
          <w:spacing w:val="-3"/>
          <w:sz w:val="22"/>
        </w:rPr>
        <w:t xml:space="preserve">Leczenie </w:t>
      </w:r>
      <w:r w:rsidR="00D72CB5" w:rsidRPr="005138D5">
        <w:rPr>
          <w:spacing w:val="-3"/>
          <w:sz w:val="22"/>
        </w:rPr>
        <w:t>mo</w:t>
      </w:r>
      <w:r w:rsidR="00A8255C" w:rsidRPr="005138D5">
        <w:rPr>
          <w:spacing w:val="-3"/>
          <w:sz w:val="22"/>
        </w:rPr>
        <w:t>gło być</w:t>
      </w:r>
      <w:r w:rsidR="00D95902" w:rsidRPr="005138D5">
        <w:rPr>
          <w:spacing w:val="-3"/>
          <w:sz w:val="22"/>
        </w:rPr>
        <w:t xml:space="preserve"> następnie </w:t>
      </w:r>
      <w:r w:rsidR="00EC51BE" w:rsidRPr="005138D5">
        <w:rPr>
          <w:spacing w:val="-3"/>
          <w:sz w:val="22"/>
        </w:rPr>
        <w:t>kontynuowane</w:t>
      </w:r>
      <w:r w:rsidR="00A8255C" w:rsidRPr="005138D5">
        <w:rPr>
          <w:spacing w:val="-3"/>
          <w:sz w:val="22"/>
        </w:rPr>
        <w:t xml:space="preserve"> </w:t>
      </w:r>
      <w:r w:rsidR="00CC3F6A" w:rsidRPr="005138D5">
        <w:rPr>
          <w:spacing w:val="-3"/>
          <w:sz w:val="22"/>
        </w:rPr>
        <w:t>posta</w:t>
      </w:r>
      <w:r w:rsidR="00D95902" w:rsidRPr="005138D5">
        <w:rPr>
          <w:spacing w:val="-3"/>
          <w:sz w:val="22"/>
        </w:rPr>
        <w:t xml:space="preserve">cią </w:t>
      </w:r>
      <w:r w:rsidR="00CC3F6A" w:rsidRPr="005138D5">
        <w:rPr>
          <w:spacing w:val="-3"/>
          <w:sz w:val="22"/>
        </w:rPr>
        <w:t>doustną w da</w:t>
      </w:r>
      <w:r w:rsidR="00EB2112" w:rsidRPr="005138D5">
        <w:rPr>
          <w:spacing w:val="-3"/>
          <w:sz w:val="22"/>
        </w:rPr>
        <w:t>wce 200</w:t>
      </w:r>
      <w:r w:rsidR="00086D10" w:rsidRPr="005138D5">
        <w:rPr>
          <w:spacing w:val="-3"/>
          <w:sz w:val="22"/>
        </w:rPr>
        <w:t> mg</w:t>
      </w:r>
      <w:r w:rsidR="00EB2112" w:rsidRPr="005138D5">
        <w:rPr>
          <w:spacing w:val="-3"/>
          <w:sz w:val="22"/>
        </w:rPr>
        <w:t xml:space="preserve"> co 12</w:t>
      </w:r>
      <w:r w:rsidR="00386A06" w:rsidRPr="005138D5">
        <w:rPr>
          <w:spacing w:val="-3"/>
          <w:sz w:val="22"/>
        </w:rPr>
        <w:t> godzin</w:t>
      </w:r>
      <w:r w:rsidR="00EB2112" w:rsidRPr="005138D5">
        <w:rPr>
          <w:spacing w:val="-3"/>
          <w:sz w:val="22"/>
        </w:rPr>
        <w:t>. Średni czas</w:t>
      </w:r>
      <w:r w:rsidR="00CC3F6A" w:rsidRPr="005138D5">
        <w:rPr>
          <w:spacing w:val="-3"/>
          <w:sz w:val="22"/>
        </w:rPr>
        <w:t xml:space="preserve"> terapi</w:t>
      </w:r>
      <w:r w:rsidR="00EB2112" w:rsidRPr="005138D5">
        <w:rPr>
          <w:spacing w:val="-3"/>
          <w:sz w:val="22"/>
        </w:rPr>
        <w:t>i</w:t>
      </w:r>
      <w:r w:rsidR="00CC3F6A" w:rsidRPr="005138D5">
        <w:rPr>
          <w:spacing w:val="-3"/>
          <w:sz w:val="22"/>
        </w:rPr>
        <w:t xml:space="preserve"> woryko</w:t>
      </w:r>
      <w:r w:rsidR="00F9431F" w:rsidRPr="005138D5">
        <w:rPr>
          <w:spacing w:val="-3"/>
          <w:sz w:val="22"/>
        </w:rPr>
        <w:t>nazolem</w:t>
      </w:r>
      <w:r w:rsidR="00CC3F6A" w:rsidRPr="005138D5">
        <w:rPr>
          <w:spacing w:val="-3"/>
          <w:sz w:val="22"/>
        </w:rPr>
        <w:t xml:space="preserve"> </w:t>
      </w:r>
      <w:r w:rsidR="00F9431F" w:rsidRPr="005138D5">
        <w:rPr>
          <w:spacing w:val="-3"/>
          <w:sz w:val="22"/>
        </w:rPr>
        <w:t xml:space="preserve">w postaci dożylnej </w:t>
      </w:r>
      <w:r w:rsidR="00EB2112" w:rsidRPr="005138D5">
        <w:rPr>
          <w:spacing w:val="-3"/>
          <w:sz w:val="22"/>
        </w:rPr>
        <w:t>wynosił</w:t>
      </w:r>
      <w:r w:rsidR="00CC3F6A" w:rsidRPr="005138D5">
        <w:rPr>
          <w:spacing w:val="-3"/>
          <w:sz w:val="22"/>
        </w:rPr>
        <w:t xml:space="preserve"> 10 dni (</w:t>
      </w:r>
      <w:r w:rsidR="00F9431F" w:rsidRPr="005138D5">
        <w:rPr>
          <w:spacing w:val="-3"/>
          <w:sz w:val="22"/>
        </w:rPr>
        <w:t>przedział</w:t>
      </w:r>
      <w:r w:rsidR="00CC3F6A" w:rsidRPr="005138D5">
        <w:rPr>
          <w:spacing w:val="-3"/>
          <w:sz w:val="22"/>
        </w:rPr>
        <w:t xml:space="preserve"> 2–85 dni). Po leczeniu worykonazolem w postaci dożylnej, średni czas </w:t>
      </w:r>
      <w:r w:rsidR="00F9431F" w:rsidRPr="005138D5">
        <w:rPr>
          <w:spacing w:val="-3"/>
          <w:sz w:val="22"/>
        </w:rPr>
        <w:t xml:space="preserve">trwania </w:t>
      </w:r>
      <w:r w:rsidR="00CC3F6A" w:rsidRPr="005138D5">
        <w:rPr>
          <w:spacing w:val="-3"/>
          <w:sz w:val="22"/>
        </w:rPr>
        <w:t xml:space="preserve">terapii </w:t>
      </w:r>
      <w:r w:rsidR="00F9431F" w:rsidRPr="005138D5">
        <w:rPr>
          <w:spacing w:val="-3"/>
          <w:sz w:val="22"/>
        </w:rPr>
        <w:t xml:space="preserve">worykonazolem w </w:t>
      </w:r>
      <w:r w:rsidR="00CC3F6A" w:rsidRPr="005138D5">
        <w:rPr>
          <w:spacing w:val="-3"/>
          <w:sz w:val="22"/>
        </w:rPr>
        <w:t>postaci do</w:t>
      </w:r>
      <w:r w:rsidR="00EC51BE" w:rsidRPr="005138D5">
        <w:rPr>
          <w:spacing w:val="-3"/>
          <w:sz w:val="22"/>
        </w:rPr>
        <w:t>u</w:t>
      </w:r>
      <w:r w:rsidR="00CC3F6A" w:rsidRPr="005138D5">
        <w:rPr>
          <w:spacing w:val="-3"/>
          <w:sz w:val="22"/>
        </w:rPr>
        <w:t>stn</w:t>
      </w:r>
      <w:r w:rsidR="00F9431F" w:rsidRPr="005138D5">
        <w:rPr>
          <w:spacing w:val="-3"/>
          <w:sz w:val="22"/>
        </w:rPr>
        <w:t>ej</w:t>
      </w:r>
      <w:r w:rsidR="00CC3F6A" w:rsidRPr="005138D5">
        <w:rPr>
          <w:spacing w:val="-3"/>
          <w:sz w:val="22"/>
        </w:rPr>
        <w:t xml:space="preserve"> wynosił 76 dni (przedział 2–232 dni).</w:t>
      </w:r>
    </w:p>
    <w:p w14:paraId="30426389" w14:textId="77777777" w:rsidR="00D72CB5" w:rsidRPr="005138D5" w:rsidRDefault="00D72CB5" w:rsidP="00A41668">
      <w:pPr>
        <w:rPr>
          <w:spacing w:val="-3"/>
          <w:sz w:val="22"/>
        </w:rPr>
      </w:pPr>
    </w:p>
    <w:p w14:paraId="7DF14858" w14:textId="77777777" w:rsidR="00575F5E" w:rsidRPr="005138D5" w:rsidRDefault="00575F5E" w:rsidP="00A41668">
      <w:pPr>
        <w:rPr>
          <w:spacing w:val="-3"/>
          <w:sz w:val="22"/>
        </w:rPr>
      </w:pPr>
      <w:r w:rsidRPr="005138D5">
        <w:rPr>
          <w:spacing w:val="-3"/>
          <w:sz w:val="22"/>
        </w:rPr>
        <w:t xml:space="preserve">Pozytywną, całkowitą odpowiedź na leczenie (całkowita lub częściowa regresja objawów, w tym radiograficznych, bronchoskopowych, obecnych w punkcie wyjściowym) obserwowano u 53 % pacjentów leczonych worykonazolem w porównaniu do 31 % pacjentów leczonych lekiem porównawczym. Wskaźnik 84-dniowy przeżycia pacjentów leczonych worykonazolem był istotnie wyższy niż pacjentów leczonych lekiem porównawczym. Wykazano klinicznie i statystycznie istotną korzyść wynikającą ze stosowania worykonazolu zarówno w ocenie długości czasu do wystąpienia zgonu, jak i okresu do przerwania podawania </w:t>
      </w:r>
      <w:r w:rsidR="00C86FDE" w:rsidRPr="005138D5">
        <w:rPr>
          <w:spacing w:val="-3"/>
          <w:sz w:val="22"/>
        </w:rPr>
        <w:t xml:space="preserve">leku </w:t>
      </w:r>
      <w:r w:rsidRPr="005138D5">
        <w:rPr>
          <w:spacing w:val="-3"/>
          <w:sz w:val="22"/>
        </w:rPr>
        <w:t>z powodu toksyczności.</w:t>
      </w:r>
    </w:p>
    <w:p w14:paraId="2C716669" w14:textId="77777777" w:rsidR="00575F5E" w:rsidRPr="005138D5" w:rsidRDefault="00575F5E" w:rsidP="00A41668">
      <w:pPr>
        <w:rPr>
          <w:spacing w:val="-3"/>
          <w:sz w:val="22"/>
        </w:rPr>
      </w:pPr>
    </w:p>
    <w:p w14:paraId="1572892A" w14:textId="77777777" w:rsidR="00575F5E" w:rsidRPr="005138D5" w:rsidRDefault="00575F5E" w:rsidP="00A41668">
      <w:pPr>
        <w:rPr>
          <w:spacing w:val="-3"/>
          <w:sz w:val="22"/>
        </w:rPr>
      </w:pPr>
      <w:r w:rsidRPr="005138D5">
        <w:rPr>
          <w:spacing w:val="-3"/>
          <w:sz w:val="22"/>
        </w:rPr>
        <w:t>Badanie to potwierdza wyniki uzyskane z poprzednich, prospektywnych badań, w których podczas leczenia obserwowano poprawę u pacjentów z czynnikami ryzyka zwiastującymi złe rokowanie, takimi jak: choroba przeszczep przeciwko gospodarzowi</w:t>
      </w:r>
      <w:r w:rsidR="008B0C7B" w:rsidRPr="005138D5">
        <w:rPr>
          <w:spacing w:val="-3"/>
          <w:sz w:val="22"/>
        </w:rPr>
        <w:t>, a w szczególności</w:t>
      </w:r>
      <w:r w:rsidRPr="005138D5">
        <w:rPr>
          <w:spacing w:val="-3"/>
          <w:sz w:val="22"/>
        </w:rPr>
        <w:t xml:space="preserve">  zakażenia mózgu (zwykle związane z prawie 100 % śmiertelnością).</w:t>
      </w:r>
    </w:p>
    <w:p w14:paraId="6604BA84" w14:textId="77777777" w:rsidR="00575F5E" w:rsidRPr="005138D5" w:rsidRDefault="00575F5E" w:rsidP="00A41668">
      <w:pPr>
        <w:rPr>
          <w:spacing w:val="-3"/>
          <w:sz w:val="22"/>
        </w:rPr>
      </w:pPr>
    </w:p>
    <w:p w14:paraId="5E7444E0" w14:textId="77777777" w:rsidR="00F72B07" w:rsidRPr="005138D5" w:rsidRDefault="00575F5E" w:rsidP="00A41668">
      <w:pPr>
        <w:rPr>
          <w:spacing w:val="-3"/>
          <w:sz w:val="22"/>
        </w:rPr>
      </w:pPr>
      <w:r w:rsidRPr="005138D5">
        <w:rPr>
          <w:spacing w:val="-3"/>
          <w:sz w:val="22"/>
        </w:rPr>
        <w:t xml:space="preserve">Badania te obejmowały przypadki aspergilozy mózgu, zatok, aspergilozy płucnej i rozsianej u pacjentów po przeszczepieniu szpiku i narządów miąższowych, z nowotworami układu krwiotwórczego, rakiem </w:t>
      </w:r>
    </w:p>
    <w:p w14:paraId="2D8326EF" w14:textId="77777777" w:rsidR="00575F5E" w:rsidRPr="005138D5" w:rsidRDefault="00575F5E" w:rsidP="00A41668">
      <w:pPr>
        <w:rPr>
          <w:spacing w:val="-3"/>
          <w:sz w:val="22"/>
        </w:rPr>
      </w:pPr>
      <w:r w:rsidRPr="005138D5">
        <w:rPr>
          <w:spacing w:val="-3"/>
          <w:sz w:val="22"/>
        </w:rPr>
        <w:t>i AIDS.</w:t>
      </w:r>
    </w:p>
    <w:p w14:paraId="1B796556" w14:textId="77777777" w:rsidR="00575F5E" w:rsidRPr="005138D5" w:rsidRDefault="00575F5E" w:rsidP="00A41668">
      <w:pPr>
        <w:rPr>
          <w:spacing w:val="-3"/>
          <w:sz w:val="22"/>
        </w:rPr>
      </w:pPr>
    </w:p>
    <w:p w14:paraId="1B3144CC" w14:textId="77777777" w:rsidR="00575F5E" w:rsidRPr="005138D5" w:rsidRDefault="00575F5E" w:rsidP="00A41668">
      <w:pPr>
        <w:rPr>
          <w:sz w:val="22"/>
          <w:u w:val="single"/>
        </w:rPr>
      </w:pPr>
      <w:r w:rsidRPr="005138D5">
        <w:rPr>
          <w:sz w:val="22"/>
          <w:u w:val="single"/>
        </w:rPr>
        <w:t xml:space="preserve">Zakażenia </w:t>
      </w:r>
      <w:r w:rsidRPr="005138D5">
        <w:rPr>
          <w:i/>
          <w:iCs/>
          <w:sz w:val="22"/>
          <w:u w:val="single"/>
        </w:rPr>
        <w:t>Candida</w:t>
      </w:r>
      <w:r w:rsidRPr="005138D5">
        <w:rPr>
          <w:sz w:val="22"/>
          <w:u w:val="single"/>
        </w:rPr>
        <w:t xml:space="preserve"> u pacjentów bez towarzyszącej neutropenii</w:t>
      </w:r>
    </w:p>
    <w:p w14:paraId="4C29148F" w14:textId="77777777" w:rsidR="00F72B07" w:rsidRPr="005138D5" w:rsidRDefault="00575F5E" w:rsidP="00A41668">
      <w:pPr>
        <w:pStyle w:val="Tekstpodstawowy"/>
        <w:rPr>
          <w:rFonts w:ascii="Times New Roman" w:hAnsi="Times New Roman"/>
        </w:rPr>
      </w:pPr>
      <w:r w:rsidRPr="005138D5">
        <w:rPr>
          <w:rFonts w:ascii="Times New Roman" w:hAnsi="Times New Roman"/>
        </w:rPr>
        <w:t xml:space="preserve">Skuteczność worykonazolu w pierwotnym leczeniu kandydemii wykazano w otwartym badaniu porównawczym ze schematem leczenia </w:t>
      </w:r>
      <w:r w:rsidR="00002D01" w:rsidRPr="005138D5">
        <w:rPr>
          <w:rFonts w:ascii="Times New Roman" w:hAnsi="Times New Roman"/>
        </w:rPr>
        <w:t xml:space="preserve">obejmującym </w:t>
      </w:r>
      <w:r w:rsidRPr="005138D5">
        <w:rPr>
          <w:rFonts w:ascii="Times New Roman" w:hAnsi="Times New Roman"/>
        </w:rPr>
        <w:t>amfoterycynę B, po której podawano flukonazol. Do badania włączono trzystu siedemdziesięciu chorych (powyżej 12</w:t>
      </w:r>
      <w:r w:rsidR="00386A06" w:rsidRPr="005138D5">
        <w:rPr>
          <w:rFonts w:ascii="Times New Roman" w:hAnsi="Times New Roman"/>
        </w:rPr>
        <w:t> lat</w:t>
      </w:r>
      <w:r w:rsidRPr="005138D5">
        <w:rPr>
          <w:rFonts w:ascii="Times New Roman" w:hAnsi="Times New Roman"/>
        </w:rPr>
        <w:t xml:space="preserve">) bez towarzyszącej neutropenii, z udokumentowaną kandydemią, z tego 248 pacjentów było leczonych worykonazolem. Dziewięć osób z grupy leczonych worykonazolem i pięciu z grupy leczonych amfoterycyną B a następnie flukonazolem, miało ponadto udowodnione mykologicznie zakażenie tkanek głęboko położonych. Z badania wykluczono pacjentów z niewydolnością nerek. Średni czas badania wynosił w obydwu grupach 15 dni. W pierwotnej analizie, zgodnie z ustaleniami komitetu opracowującego dane (DRC), którego członkowie nie wiedzieli o zastosowanym leczeniu, za odpowiedź prawidłową uznano ustąpienie/poprawę wszystkich objawów i oznak klinicznych zakażenia - łącznie z eradykacją szczepu </w:t>
      </w:r>
      <w:r w:rsidRPr="005138D5">
        <w:rPr>
          <w:rFonts w:ascii="Times New Roman" w:hAnsi="Times New Roman"/>
          <w:i/>
          <w:iCs/>
        </w:rPr>
        <w:t>Candida</w:t>
      </w:r>
      <w:r w:rsidRPr="005138D5">
        <w:rPr>
          <w:rFonts w:ascii="Times New Roman" w:hAnsi="Times New Roman"/>
        </w:rPr>
        <w:t xml:space="preserve"> z krwi i zakażonych tkanek głęboko położonych </w:t>
      </w:r>
    </w:p>
    <w:p w14:paraId="5F06929B" w14:textId="77777777" w:rsidR="00575F5E" w:rsidRPr="005138D5" w:rsidRDefault="00575F5E" w:rsidP="00A41668">
      <w:pPr>
        <w:pStyle w:val="Tekstpodstawowy"/>
        <w:rPr>
          <w:rFonts w:ascii="Times New Roman" w:hAnsi="Times New Roman"/>
        </w:rPr>
      </w:pPr>
      <w:r w:rsidRPr="005138D5">
        <w:rPr>
          <w:rFonts w:ascii="Times New Roman" w:hAnsi="Times New Roman"/>
        </w:rPr>
        <w:t>- w 12</w:t>
      </w:r>
      <w:r w:rsidR="00002D01" w:rsidRPr="005138D5">
        <w:rPr>
          <w:rFonts w:ascii="Times New Roman" w:hAnsi="Times New Roman"/>
        </w:rPr>
        <w:t>.</w:t>
      </w:r>
      <w:r w:rsidRPr="005138D5">
        <w:rPr>
          <w:rFonts w:ascii="Times New Roman" w:hAnsi="Times New Roman"/>
        </w:rPr>
        <w:t xml:space="preserve"> tygodniu po zakończeniu terapii (ZT). Pacjentów, u których nie dokonano oceny w 12</w:t>
      </w:r>
      <w:r w:rsidR="00002D01" w:rsidRPr="005138D5">
        <w:rPr>
          <w:rFonts w:ascii="Times New Roman" w:hAnsi="Times New Roman"/>
        </w:rPr>
        <w:t>.</w:t>
      </w:r>
      <w:r w:rsidRPr="005138D5">
        <w:rPr>
          <w:rFonts w:ascii="Times New Roman" w:hAnsi="Times New Roman"/>
        </w:rPr>
        <w:t xml:space="preserve"> tygodniu po ZT uznano, że nie odpowiedzieli na zastosowane leczenie. W analizie tej w obu grupach badanych reakcję na leczenie zaobserwowano u 41 % pacjentów.</w:t>
      </w:r>
    </w:p>
    <w:p w14:paraId="1A332A4A" w14:textId="77777777" w:rsidR="00575F5E" w:rsidRPr="005138D5" w:rsidRDefault="00575F5E" w:rsidP="00A41668">
      <w:pPr>
        <w:rPr>
          <w:sz w:val="22"/>
        </w:rPr>
      </w:pPr>
    </w:p>
    <w:p w14:paraId="37EA1487" w14:textId="77777777" w:rsidR="00473BFF" w:rsidRPr="005138D5" w:rsidRDefault="00575F5E" w:rsidP="00277FE6">
      <w:pPr>
        <w:rPr>
          <w:sz w:val="22"/>
        </w:rPr>
      </w:pPr>
      <w:r w:rsidRPr="005138D5">
        <w:rPr>
          <w:sz w:val="22"/>
        </w:rPr>
        <w:t xml:space="preserve">W analizie wtórnej, w której wykorzystano ocenę DRC w ostatnim możliwym punkcie czasowym </w:t>
      </w:r>
      <w:r w:rsidR="00002D01" w:rsidRPr="005138D5">
        <w:rPr>
          <w:sz w:val="22"/>
        </w:rPr>
        <w:br/>
      </w:r>
      <w:r w:rsidRPr="005138D5">
        <w:rPr>
          <w:sz w:val="22"/>
        </w:rPr>
        <w:t>(ZT lub 2, 6 lub 12 tygodni po ZT</w:t>
      </w:r>
      <w:r w:rsidR="00002D01" w:rsidRPr="005138D5">
        <w:rPr>
          <w:sz w:val="22"/>
        </w:rPr>
        <w:t>)</w:t>
      </w:r>
      <w:r w:rsidRPr="005138D5">
        <w:rPr>
          <w:sz w:val="22"/>
        </w:rPr>
        <w:t xml:space="preserve">, odpowiedź na leczenie w grupie leczonej worykonazolem </w:t>
      </w:r>
    </w:p>
    <w:p w14:paraId="2A224900" w14:textId="77777777" w:rsidR="00473BFF" w:rsidRPr="005138D5" w:rsidRDefault="00575F5E" w:rsidP="00277FE6">
      <w:pPr>
        <w:rPr>
          <w:sz w:val="22"/>
        </w:rPr>
      </w:pPr>
      <w:r w:rsidRPr="005138D5">
        <w:rPr>
          <w:sz w:val="22"/>
        </w:rPr>
        <w:t xml:space="preserve">i w grupie leczonej amfoterycyną B, po której podawano flukonazol obserwowano odpowiednio </w:t>
      </w:r>
    </w:p>
    <w:p w14:paraId="00574332" w14:textId="77777777" w:rsidR="00D424DC" w:rsidRPr="005138D5" w:rsidRDefault="00575F5E" w:rsidP="00277FE6">
      <w:pPr>
        <w:rPr>
          <w:sz w:val="22"/>
        </w:rPr>
      </w:pPr>
      <w:r w:rsidRPr="005138D5">
        <w:rPr>
          <w:sz w:val="22"/>
        </w:rPr>
        <w:t xml:space="preserve">u 65 % i 71 % pacjentów. </w:t>
      </w:r>
    </w:p>
    <w:p w14:paraId="2EB97F80" w14:textId="77777777" w:rsidR="00575F5E" w:rsidRPr="005138D5" w:rsidRDefault="00575F5E" w:rsidP="00277FE6">
      <w:pPr>
        <w:rPr>
          <w:sz w:val="22"/>
        </w:rPr>
      </w:pPr>
      <w:r w:rsidRPr="005138D5">
        <w:rPr>
          <w:sz w:val="22"/>
        </w:rPr>
        <w:t>W poniższej tabeli przedstawiono ocenę wyników we wszystkich punktach czasowych.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836"/>
        <w:gridCol w:w="3071"/>
      </w:tblGrid>
      <w:tr w:rsidR="00575F5E" w:rsidRPr="005138D5" w14:paraId="78EB7422" w14:textId="77777777" w:rsidTr="006252CC">
        <w:tc>
          <w:tcPr>
            <w:tcW w:w="1890" w:type="dxa"/>
            <w:vAlign w:val="center"/>
          </w:tcPr>
          <w:p w14:paraId="1D5D1D08" w14:textId="77777777" w:rsidR="00575F5E" w:rsidRPr="005138D5" w:rsidRDefault="00575F5E" w:rsidP="00277FE6">
            <w:pPr>
              <w:rPr>
                <w:b/>
                <w:i/>
                <w:sz w:val="22"/>
              </w:rPr>
            </w:pPr>
            <w:r w:rsidRPr="005138D5">
              <w:rPr>
                <w:b/>
                <w:i/>
                <w:sz w:val="22"/>
              </w:rPr>
              <w:t>Punkt czasowy</w:t>
            </w:r>
          </w:p>
        </w:tc>
        <w:tc>
          <w:tcPr>
            <w:tcW w:w="2836" w:type="dxa"/>
            <w:vAlign w:val="center"/>
          </w:tcPr>
          <w:p w14:paraId="182F815E" w14:textId="77777777" w:rsidR="00575F5E" w:rsidRPr="005138D5" w:rsidRDefault="00575F5E" w:rsidP="00A41668">
            <w:pPr>
              <w:rPr>
                <w:b/>
                <w:i/>
                <w:iCs/>
                <w:sz w:val="22"/>
              </w:rPr>
            </w:pPr>
            <w:r w:rsidRPr="005138D5">
              <w:rPr>
                <w:b/>
                <w:i/>
                <w:iCs/>
                <w:sz w:val="22"/>
              </w:rPr>
              <w:t>Worykonazol</w:t>
            </w:r>
          </w:p>
          <w:p w14:paraId="7182B53C" w14:textId="77777777" w:rsidR="00575F5E" w:rsidRPr="005138D5" w:rsidRDefault="00575F5E" w:rsidP="00A41668">
            <w:pPr>
              <w:rPr>
                <w:b/>
                <w:i/>
                <w:iCs/>
                <w:sz w:val="22"/>
              </w:rPr>
            </w:pPr>
            <w:r w:rsidRPr="005138D5">
              <w:rPr>
                <w:b/>
                <w:i/>
                <w:iCs/>
                <w:sz w:val="22"/>
              </w:rPr>
              <w:t>(N=248)</w:t>
            </w:r>
          </w:p>
        </w:tc>
        <w:tc>
          <w:tcPr>
            <w:tcW w:w="3071" w:type="dxa"/>
            <w:vAlign w:val="center"/>
          </w:tcPr>
          <w:p w14:paraId="3E6FA094" w14:textId="77777777" w:rsidR="00575F5E" w:rsidRPr="005138D5" w:rsidRDefault="00575F5E" w:rsidP="00A41668">
            <w:pPr>
              <w:rPr>
                <w:b/>
                <w:i/>
                <w:iCs/>
                <w:sz w:val="22"/>
              </w:rPr>
            </w:pPr>
            <w:r w:rsidRPr="005138D5">
              <w:rPr>
                <w:b/>
                <w:i/>
                <w:iCs/>
                <w:sz w:val="22"/>
              </w:rPr>
              <w:t>Am</w:t>
            </w:r>
            <w:r w:rsidR="00B65B17" w:rsidRPr="005138D5">
              <w:rPr>
                <w:b/>
                <w:i/>
                <w:iCs/>
                <w:sz w:val="22"/>
              </w:rPr>
              <w:t>f</w:t>
            </w:r>
            <w:r w:rsidRPr="005138D5">
              <w:rPr>
                <w:b/>
                <w:i/>
                <w:iCs/>
                <w:sz w:val="22"/>
              </w:rPr>
              <w:t>oterycyna B</w:t>
            </w:r>
            <w:r w:rsidRPr="005138D5">
              <w:rPr>
                <w:b/>
                <w:i/>
                <w:iCs/>
                <w:sz w:val="22"/>
              </w:rPr>
              <w:sym w:font="Symbol" w:char="F0AE"/>
            </w:r>
            <w:r w:rsidRPr="005138D5">
              <w:rPr>
                <w:b/>
                <w:i/>
                <w:iCs/>
                <w:sz w:val="22"/>
              </w:rPr>
              <w:t xml:space="preserve"> flukonazol</w:t>
            </w:r>
          </w:p>
          <w:p w14:paraId="5B702940" w14:textId="77777777" w:rsidR="00575F5E" w:rsidRPr="005138D5" w:rsidRDefault="00575F5E" w:rsidP="00A41668">
            <w:pPr>
              <w:rPr>
                <w:b/>
                <w:i/>
                <w:iCs/>
                <w:sz w:val="22"/>
              </w:rPr>
            </w:pPr>
            <w:r w:rsidRPr="005138D5">
              <w:rPr>
                <w:b/>
                <w:i/>
                <w:iCs/>
                <w:sz w:val="22"/>
              </w:rPr>
              <w:t>(N=122)</w:t>
            </w:r>
          </w:p>
        </w:tc>
      </w:tr>
      <w:tr w:rsidR="00575F5E" w:rsidRPr="005138D5" w14:paraId="4EB37D47" w14:textId="77777777" w:rsidTr="006252CC">
        <w:tc>
          <w:tcPr>
            <w:tcW w:w="1890" w:type="dxa"/>
            <w:vAlign w:val="center"/>
          </w:tcPr>
          <w:p w14:paraId="7BD32E2A" w14:textId="77777777" w:rsidR="00575F5E" w:rsidRPr="005138D5" w:rsidRDefault="00575F5E" w:rsidP="00A41668">
            <w:pPr>
              <w:rPr>
                <w:b/>
                <w:i/>
                <w:iCs/>
                <w:sz w:val="22"/>
              </w:rPr>
            </w:pPr>
            <w:r w:rsidRPr="005138D5">
              <w:rPr>
                <w:b/>
                <w:i/>
                <w:iCs/>
                <w:sz w:val="22"/>
              </w:rPr>
              <w:t>ZT</w:t>
            </w:r>
          </w:p>
        </w:tc>
        <w:tc>
          <w:tcPr>
            <w:tcW w:w="2836" w:type="dxa"/>
            <w:vAlign w:val="center"/>
          </w:tcPr>
          <w:p w14:paraId="6F9EFE29" w14:textId="77777777" w:rsidR="00575F5E" w:rsidRPr="005138D5" w:rsidRDefault="00575F5E" w:rsidP="00A41668">
            <w:pPr>
              <w:rPr>
                <w:iCs/>
                <w:sz w:val="22"/>
              </w:rPr>
            </w:pPr>
            <w:r w:rsidRPr="005138D5">
              <w:rPr>
                <w:iCs/>
                <w:sz w:val="22"/>
              </w:rPr>
              <w:t>178 (72 %)</w:t>
            </w:r>
          </w:p>
        </w:tc>
        <w:tc>
          <w:tcPr>
            <w:tcW w:w="3071" w:type="dxa"/>
            <w:vAlign w:val="center"/>
          </w:tcPr>
          <w:p w14:paraId="4189634E" w14:textId="77777777" w:rsidR="00575F5E" w:rsidRPr="005138D5" w:rsidRDefault="00575F5E" w:rsidP="00A41668">
            <w:pPr>
              <w:rPr>
                <w:iCs/>
                <w:sz w:val="22"/>
              </w:rPr>
            </w:pPr>
            <w:r w:rsidRPr="005138D5">
              <w:rPr>
                <w:iCs/>
                <w:sz w:val="22"/>
              </w:rPr>
              <w:t>88 (72 %)</w:t>
            </w:r>
          </w:p>
        </w:tc>
      </w:tr>
      <w:tr w:rsidR="00575F5E" w:rsidRPr="005138D5" w14:paraId="354E2040" w14:textId="77777777" w:rsidTr="006252CC">
        <w:tc>
          <w:tcPr>
            <w:tcW w:w="1890" w:type="dxa"/>
            <w:vAlign w:val="center"/>
          </w:tcPr>
          <w:p w14:paraId="56D9F3BE" w14:textId="77777777" w:rsidR="00575F5E" w:rsidRPr="005138D5" w:rsidRDefault="00575F5E" w:rsidP="00A41668">
            <w:pPr>
              <w:rPr>
                <w:iCs/>
                <w:sz w:val="22"/>
              </w:rPr>
            </w:pPr>
            <w:r w:rsidRPr="005138D5">
              <w:rPr>
                <w:iCs/>
                <w:sz w:val="22"/>
              </w:rPr>
              <w:t>2 tygodnie po ZT</w:t>
            </w:r>
          </w:p>
        </w:tc>
        <w:tc>
          <w:tcPr>
            <w:tcW w:w="2836" w:type="dxa"/>
            <w:vAlign w:val="center"/>
          </w:tcPr>
          <w:p w14:paraId="0268AFE5" w14:textId="77777777" w:rsidR="00575F5E" w:rsidRPr="005138D5" w:rsidRDefault="00575F5E" w:rsidP="00A41668">
            <w:pPr>
              <w:rPr>
                <w:iCs/>
                <w:sz w:val="22"/>
              </w:rPr>
            </w:pPr>
            <w:r w:rsidRPr="005138D5">
              <w:rPr>
                <w:iCs/>
                <w:sz w:val="22"/>
              </w:rPr>
              <w:t>125 (50 %)</w:t>
            </w:r>
          </w:p>
        </w:tc>
        <w:tc>
          <w:tcPr>
            <w:tcW w:w="3071" w:type="dxa"/>
            <w:vAlign w:val="center"/>
          </w:tcPr>
          <w:p w14:paraId="05309EF0" w14:textId="77777777" w:rsidR="00575F5E" w:rsidRPr="005138D5" w:rsidRDefault="00575F5E" w:rsidP="00A41668">
            <w:pPr>
              <w:rPr>
                <w:iCs/>
                <w:sz w:val="22"/>
              </w:rPr>
            </w:pPr>
            <w:r w:rsidRPr="005138D5">
              <w:rPr>
                <w:iCs/>
                <w:sz w:val="22"/>
              </w:rPr>
              <w:t>62 (51 %)</w:t>
            </w:r>
          </w:p>
        </w:tc>
      </w:tr>
      <w:tr w:rsidR="00575F5E" w:rsidRPr="005138D5" w14:paraId="7C96BDB2" w14:textId="77777777" w:rsidTr="006252CC">
        <w:tc>
          <w:tcPr>
            <w:tcW w:w="1890" w:type="dxa"/>
            <w:vAlign w:val="center"/>
          </w:tcPr>
          <w:p w14:paraId="11381787" w14:textId="77777777" w:rsidR="00575F5E" w:rsidRPr="005138D5" w:rsidRDefault="00575F5E" w:rsidP="00A41668">
            <w:pPr>
              <w:rPr>
                <w:iCs/>
                <w:sz w:val="22"/>
              </w:rPr>
            </w:pPr>
            <w:r w:rsidRPr="005138D5">
              <w:rPr>
                <w:iCs/>
                <w:sz w:val="22"/>
              </w:rPr>
              <w:t>6 tygodni po ZT</w:t>
            </w:r>
          </w:p>
        </w:tc>
        <w:tc>
          <w:tcPr>
            <w:tcW w:w="2836" w:type="dxa"/>
            <w:vAlign w:val="center"/>
          </w:tcPr>
          <w:p w14:paraId="2FEB49EF" w14:textId="77777777" w:rsidR="00575F5E" w:rsidRPr="005138D5" w:rsidRDefault="00575F5E" w:rsidP="00A41668">
            <w:pPr>
              <w:rPr>
                <w:iCs/>
                <w:sz w:val="22"/>
              </w:rPr>
            </w:pPr>
            <w:r w:rsidRPr="005138D5">
              <w:rPr>
                <w:iCs/>
                <w:sz w:val="22"/>
              </w:rPr>
              <w:t>104 (42 %)</w:t>
            </w:r>
          </w:p>
        </w:tc>
        <w:tc>
          <w:tcPr>
            <w:tcW w:w="3071" w:type="dxa"/>
            <w:vAlign w:val="center"/>
          </w:tcPr>
          <w:p w14:paraId="70801446" w14:textId="77777777" w:rsidR="00575F5E" w:rsidRPr="005138D5" w:rsidRDefault="00575F5E" w:rsidP="00A41668">
            <w:pPr>
              <w:rPr>
                <w:iCs/>
                <w:sz w:val="22"/>
              </w:rPr>
            </w:pPr>
            <w:r w:rsidRPr="005138D5">
              <w:rPr>
                <w:iCs/>
                <w:sz w:val="22"/>
              </w:rPr>
              <w:t>55 (45 %)</w:t>
            </w:r>
          </w:p>
        </w:tc>
      </w:tr>
      <w:tr w:rsidR="00575F5E" w:rsidRPr="005138D5" w14:paraId="0BCD4948" w14:textId="77777777" w:rsidTr="006252CC">
        <w:tc>
          <w:tcPr>
            <w:tcW w:w="1890" w:type="dxa"/>
            <w:vAlign w:val="center"/>
          </w:tcPr>
          <w:p w14:paraId="3DF84C6D" w14:textId="77777777" w:rsidR="00575F5E" w:rsidRPr="005138D5" w:rsidRDefault="00575F5E" w:rsidP="00A41668">
            <w:pPr>
              <w:rPr>
                <w:iCs/>
                <w:sz w:val="22"/>
              </w:rPr>
            </w:pPr>
            <w:r w:rsidRPr="005138D5">
              <w:rPr>
                <w:iCs/>
                <w:sz w:val="22"/>
              </w:rPr>
              <w:t>12 tygodni po ZT</w:t>
            </w:r>
          </w:p>
        </w:tc>
        <w:tc>
          <w:tcPr>
            <w:tcW w:w="2836" w:type="dxa"/>
            <w:vAlign w:val="center"/>
          </w:tcPr>
          <w:p w14:paraId="7998C7B0" w14:textId="77777777" w:rsidR="00575F5E" w:rsidRPr="005138D5" w:rsidRDefault="00575F5E" w:rsidP="00A41668">
            <w:pPr>
              <w:rPr>
                <w:iCs/>
                <w:sz w:val="22"/>
              </w:rPr>
            </w:pPr>
            <w:r w:rsidRPr="005138D5">
              <w:rPr>
                <w:iCs/>
                <w:sz w:val="22"/>
              </w:rPr>
              <w:t>104 (42 %)</w:t>
            </w:r>
          </w:p>
        </w:tc>
        <w:tc>
          <w:tcPr>
            <w:tcW w:w="3071" w:type="dxa"/>
            <w:vAlign w:val="center"/>
          </w:tcPr>
          <w:p w14:paraId="75319FD3" w14:textId="77777777" w:rsidR="00575F5E" w:rsidRPr="005138D5" w:rsidRDefault="00575F5E" w:rsidP="00A41668">
            <w:pPr>
              <w:rPr>
                <w:iCs/>
                <w:sz w:val="22"/>
              </w:rPr>
            </w:pPr>
            <w:r w:rsidRPr="005138D5">
              <w:rPr>
                <w:iCs/>
                <w:sz w:val="22"/>
              </w:rPr>
              <w:t>51 (42 %)</w:t>
            </w:r>
          </w:p>
        </w:tc>
      </w:tr>
    </w:tbl>
    <w:p w14:paraId="5D810AB9" w14:textId="77777777" w:rsidR="00575F5E" w:rsidRPr="005138D5" w:rsidRDefault="00575F5E" w:rsidP="00A41668">
      <w:pPr>
        <w:rPr>
          <w:spacing w:val="-3"/>
          <w:sz w:val="22"/>
        </w:rPr>
      </w:pPr>
    </w:p>
    <w:p w14:paraId="3A85448F" w14:textId="77777777" w:rsidR="00575F5E" w:rsidRPr="005138D5" w:rsidRDefault="00575F5E" w:rsidP="00A41668">
      <w:pPr>
        <w:rPr>
          <w:spacing w:val="-3"/>
          <w:sz w:val="22"/>
          <w:u w:val="single"/>
        </w:rPr>
      </w:pPr>
      <w:r w:rsidRPr="005138D5">
        <w:rPr>
          <w:spacing w:val="-3"/>
          <w:sz w:val="22"/>
          <w:u w:val="single"/>
        </w:rPr>
        <w:t xml:space="preserve">Ciężkie, oporne na leczenie zakażenia </w:t>
      </w:r>
      <w:r w:rsidRPr="005138D5">
        <w:rPr>
          <w:i/>
          <w:iCs/>
          <w:spacing w:val="-3"/>
          <w:sz w:val="22"/>
          <w:u w:val="single"/>
        </w:rPr>
        <w:t>Candid</w:t>
      </w:r>
      <w:r w:rsidRPr="005138D5">
        <w:rPr>
          <w:i/>
          <w:spacing w:val="-3"/>
          <w:sz w:val="22"/>
          <w:u w:val="single"/>
        </w:rPr>
        <w:t>a</w:t>
      </w:r>
    </w:p>
    <w:p w14:paraId="25A3E443" w14:textId="77777777" w:rsidR="00575F5E" w:rsidRPr="005138D5" w:rsidRDefault="00575F5E" w:rsidP="00A41668">
      <w:pPr>
        <w:rPr>
          <w:spacing w:val="-3"/>
          <w:sz w:val="22"/>
        </w:rPr>
      </w:pPr>
      <w:r w:rsidRPr="005138D5">
        <w:rPr>
          <w:spacing w:val="-3"/>
          <w:sz w:val="22"/>
        </w:rPr>
        <w:t xml:space="preserve">Badanie obejmowało 55 pacjentów z ciężkim, uogólnionym, opornym na leczenie zakażeniem </w:t>
      </w:r>
      <w:r w:rsidRPr="005138D5">
        <w:rPr>
          <w:i/>
          <w:iCs/>
          <w:spacing w:val="-3"/>
          <w:sz w:val="22"/>
        </w:rPr>
        <w:t xml:space="preserve">Candida </w:t>
      </w:r>
      <w:r w:rsidRPr="005138D5">
        <w:rPr>
          <w:spacing w:val="-3"/>
          <w:sz w:val="22"/>
        </w:rPr>
        <w:t xml:space="preserve">(w tym kandydemię, rozsiane i inne inwazyjne kandydozy), u których uprzednie leczenie przeciwgrzybicze, szczególnie flukonazolem, nie było skuteczne. Korzystną odpowiedź na leczenie przeciwgrzybicze obserwowano u 24 pacjentów (u 15 całkowitą, u 9 częściową). W opornych na flukonazol zakażeniach szczepami innymi niż </w:t>
      </w:r>
      <w:r w:rsidRPr="005138D5">
        <w:rPr>
          <w:i/>
          <w:iCs/>
          <w:spacing w:val="-3"/>
          <w:sz w:val="22"/>
        </w:rPr>
        <w:t xml:space="preserve">C. albicans </w:t>
      </w:r>
      <w:r w:rsidRPr="005138D5">
        <w:rPr>
          <w:spacing w:val="-3"/>
          <w:sz w:val="22"/>
        </w:rPr>
        <w:t xml:space="preserve">poprawę obserwowano u 3/3 pacjentów zakażonych </w:t>
      </w:r>
      <w:r w:rsidRPr="005138D5">
        <w:rPr>
          <w:i/>
          <w:iCs/>
          <w:spacing w:val="-3"/>
          <w:sz w:val="22"/>
        </w:rPr>
        <w:t>C. krusei</w:t>
      </w:r>
      <w:r w:rsidRPr="005138D5">
        <w:rPr>
          <w:spacing w:val="-3"/>
          <w:sz w:val="22"/>
        </w:rPr>
        <w:t xml:space="preserve"> (całkowita odpowiedź) i 6/8 pacjentów zakażonych </w:t>
      </w:r>
      <w:r w:rsidRPr="005138D5">
        <w:rPr>
          <w:i/>
          <w:iCs/>
          <w:spacing w:val="-3"/>
          <w:sz w:val="22"/>
        </w:rPr>
        <w:t>C. glabrata</w:t>
      </w:r>
      <w:r w:rsidRPr="005138D5">
        <w:rPr>
          <w:spacing w:val="-3"/>
          <w:sz w:val="22"/>
        </w:rPr>
        <w:t xml:space="preserve"> (5 całkowita, 1 częściowa odpowiedź). Dane o skuteczności klinicznej były poparte danymi o ograniczonej wrażliwości ocenionych patogenów.</w:t>
      </w:r>
    </w:p>
    <w:p w14:paraId="1B78AEAA" w14:textId="77777777" w:rsidR="00575F5E" w:rsidRPr="005138D5" w:rsidRDefault="00575F5E" w:rsidP="00A41668">
      <w:pPr>
        <w:rPr>
          <w:spacing w:val="-3"/>
          <w:sz w:val="22"/>
          <w:u w:val="single"/>
        </w:rPr>
      </w:pPr>
    </w:p>
    <w:p w14:paraId="7FD17ECE" w14:textId="77777777" w:rsidR="00575F5E" w:rsidRPr="005138D5" w:rsidRDefault="00575F5E" w:rsidP="00A41668">
      <w:pPr>
        <w:rPr>
          <w:spacing w:val="-3"/>
          <w:sz w:val="22"/>
        </w:rPr>
      </w:pPr>
      <w:r w:rsidRPr="005138D5">
        <w:rPr>
          <w:spacing w:val="-3"/>
          <w:sz w:val="22"/>
          <w:u w:val="single"/>
        </w:rPr>
        <w:t xml:space="preserve">Zakażenia </w:t>
      </w:r>
      <w:r w:rsidRPr="005138D5">
        <w:rPr>
          <w:i/>
          <w:iCs/>
          <w:spacing w:val="-3"/>
          <w:sz w:val="22"/>
          <w:u w:val="single"/>
        </w:rPr>
        <w:t>Scedosporium</w:t>
      </w:r>
      <w:r w:rsidRPr="005138D5">
        <w:rPr>
          <w:spacing w:val="-3"/>
          <w:sz w:val="22"/>
          <w:u w:val="single"/>
        </w:rPr>
        <w:t xml:space="preserve"> i </w:t>
      </w:r>
      <w:r w:rsidRPr="005138D5">
        <w:rPr>
          <w:i/>
          <w:iCs/>
          <w:spacing w:val="-3"/>
          <w:sz w:val="22"/>
          <w:u w:val="single"/>
        </w:rPr>
        <w:t>Fusarium</w:t>
      </w:r>
      <w:r w:rsidRPr="005138D5">
        <w:rPr>
          <w:i/>
          <w:iCs/>
          <w:spacing w:val="-3"/>
          <w:sz w:val="22"/>
          <w:u w:val="single"/>
        </w:rPr>
        <w:br/>
      </w:r>
      <w:r w:rsidRPr="005138D5">
        <w:rPr>
          <w:spacing w:val="-3"/>
          <w:sz w:val="22"/>
        </w:rPr>
        <w:t>Worykonazol okazał się skutecznym lekiem wobec następujących rzadkich patogenów grzybiczych:</w:t>
      </w:r>
    </w:p>
    <w:p w14:paraId="22FA96E1" w14:textId="77777777" w:rsidR="00575F5E" w:rsidRPr="005138D5" w:rsidRDefault="00575F5E" w:rsidP="00A41668">
      <w:pPr>
        <w:rPr>
          <w:spacing w:val="-3"/>
          <w:sz w:val="22"/>
        </w:rPr>
      </w:pPr>
    </w:p>
    <w:p w14:paraId="027AFAE7" w14:textId="77777777" w:rsidR="00575F5E" w:rsidRPr="005138D5" w:rsidRDefault="00575F5E" w:rsidP="00A41668">
      <w:pPr>
        <w:rPr>
          <w:i/>
          <w:iCs/>
          <w:spacing w:val="-3"/>
          <w:sz w:val="22"/>
        </w:rPr>
      </w:pPr>
      <w:r w:rsidRPr="005138D5">
        <w:rPr>
          <w:i/>
          <w:iCs/>
          <w:spacing w:val="-3"/>
          <w:sz w:val="22"/>
        </w:rPr>
        <w:t>Scedosporium spp.</w:t>
      </w:r>
      <w:r w:rsidRPr="005138D5">
        <w:rPr>
          <w:spacing w:val="-3"/>
          <w:sz w:val="22"/>
        </w:rPr>
        <w:t xml:space="preserve">: Korzystną odpowiedź na leczenie worykonazolem obserwowano u 16 (6 całkowitą, 10 częściową) z 28 pacjentów zakażonych </w:t>
      </w:r>
      <w:r w:rsidRPr="005138D5">
        <w:rPr>
          <w:i/>
          <w:iCs/>
          <w:spacing w:val="-3"/>
          <w:sz w:val="22"/>
        </w:rPr>
        <w:t>S. apiospermum</w:t>
      </w:r>
      <w:r w:rsidRPr="005138D5">
        <w:rPr>
          <w:spacing w:val="-3"/>
          <w:sz w:val="22"/>
        </w:rPr>
        <w:t xml:space="preserve"> i u 2 (częściową) z 7 pacjentów zakażonych </w:t>
      </w:r>
      <w:r w:rsidRPr="005138D5">
        <w:rPr>
          <w:i/>
          <w:iCs/>
          <w:spacing w:val="-3"/>
          <w:sz w:val="22"/>
        </w:rPr>
        <w:t>S. prolificans</w:t>
      </w:r>
      <w:r w:rsidRPr="005138D5">
        <w:rPr>
          <w:spacing w:val="-3"/>
          <w:sz w:val="22"/>
        </w:rPr>
        <w:t xml:space="preserve">. Ponadto korzystną odpowiedź na leczenie uzyskano u 1 z 3 pacjentów zakażonych więcej niż jednym drobnoustrojem, w tym </w:t>
      </w:r>
      <w:r w:rsidRPr="005138D5">
        <w:rPr>
          <w:i/>
          <w:iCs/>
          <w:spacing w:val="-3"/>
          <w:sz w:val="22"/>
        </w:rPr>
        <w:t>Scedosporium spp.</w:t>
      </w:r>
    </w:p>
    <w:p w14:paraId="42F81622" w14:textId="77777777" w:rsidR="00575F5E" w:rsidRPr="005138D5" w:rsidRDefault="00575F5E" w:rsidP="00A41668">
      <w:pPr>
        <w:rPr>
          <w:i/>
          <w:iCs/>
          <w:spacing w:val="-3"/>
          <w:sz w:val="22"/>
        </w:rPr>
      </w:pPr>
    </w:p>
    <w:p w14:paraId="4275E242" w14:textId="77777777" w:rsidR="00473BFF" w:rsidRPr="005138D5" w:rsidRDefault="00575F5E" w:rsidP="00473BFF">
      <w:pPr>
        <w:rPr>
          <w:sz w:val="22"/>
        </w:rPr>
      </w:pPr>
      <w:r w:rsidRPr="005138D5">
        <w:rPr>
          <w:i/>
          <w:sz w:val="22"/>
        </w:rPr>
        <w:t>Fusarium spp.</w:t>
      </w:r>
      <w:r w:rsidRPr="005138D5">
        <w:rPr>
          <w:sz w:val="22"/>
        </w:rPr>
        <w:t xml:space="preserve">: 7 z 17 pacjentów było skutecznie leczonych worykonazolem (u 3 uzyskano całkowitą reakcję na leczenie, u 4 - częściową). Z tych siedmiu pacjentów 3 miało zakażenie gałki ocznej, </w:t>
      </w:r>
    </w:p>
    <w:p w14:paraId="3F75C888" w14:textId="77777777" w:rsidR="00473BFF" w:rsidRPr="005138D5" w:rsidRDefault="00575F5E" w:rsidP="00473BFF">
      <w:pPr>
        <w:rPr>
          <w:sz w:val="22"/>
        </w:rPr>
      </w:pPr>
      <w:r w:rsidRPr="005138D5">
        <w:rPr>
          <w:sz w:val="22"/>
        </w:rPr>
        <w:t>1 zatok a</w:t>
      </w:r>
      <w:r w:rsidR="00473BFF" w:rsidRPr="005138D5">
        <w:rPr>
          <w:sz w:val="22"/>
        </w:rPr>
        <w:t xml:space="preserve"> </w:t>
      </w:r>
      <w:r w:rsidRPr="005138D5">
        <w:rPr>
          <w:sz w:val="22"/>
        </w:rPr>
        <w:t xml:space="preserve">3 - uogólnione zakażenie. Dodatkowo worykonazolem leczono 4 pacjentów z fusariozą </w:t>
      </w:r>
    </w:p>
    <w:p w14:paraId="249AD8FB" w14:textId="77777777" w:rsidR="00575F5E" w:rsidRPr="005138D5" w:rsidRDefault="00575F5E" w:rsidP="00473BFF">
      <w:pPr>
        <w:rPr>
          <w:sz w:val="22"/>
        </w:rPr>
      </w:pPr>
      <w:r w:rsidRPr="005138D5">
        <w:rPr>
          <w:sz w:val="22"/>
        </w:rPr>
        <w:t>i innym</w:t>
      </w:r>
      <w:r w:rsidR="00002D01" w:rsidRPr="005138D5">
        <w:rPr>
          <w:sz w:val="22"/>
        </w:rPr>
        <w:t>i</w:t>
      </w:r>
      <w:r w:rsidRPr="005138D5">
        <w:rPr>
          <w:sz w:val="22"/>
        </w:rPr>
        <w:t xml:space="preserve"> współistniejącym</w:t>
      </w:r>
      <w:r w:rsidR="00002D01" w:rsidRPr="005138D5">
        <w:rPr>
          <w:sz w:val="22"/>
        </w:rPr>
        <w:t>i</w:t>
      </w:r>
      <w:r w:rsidRPr="005138D5">
        <w:rPr>
          <w:sz w:val="22"/>
        </w:rPr>
        <w:t xml:space="preserve"> zakażeniami; u </w:t>
      </w:r>
      <w:r w:rsidR="008E134B" w:rsidRPr="005138D5">
        <w:rPr>
          <w:sz w:val="22"/>
        </w:rPr>
        <w:t>2</w:t>
      </w:r>
      <w:r w:rsidRPr="005138D5">
        <w:rPr>
          <w:sz w:val="22"/>
        </w:rPr>
        <w:t xml:space="preserve"> z nich uzyskano korzystną odpowiedź na leczenie.</w:t>
      </w:r>
    </w:p>
    <w:p w14:paraId="6382EB46" w14:textId="77777777" w:rsidR="00575F5E" w:rsidRPr="005138D5" w:rsidRDefault="00575F5E" w:rsidP="00473BFF">
      <w:pPr>
        <w:rPr>
          <w:sz w:val="22"/>
        </w:rPr>
      </w:pPr>
    </w:p>
    <w:p w14:paraId="3088D152" w14:textId="77777777" w:rsidR="00575F5E" w:rsidRPr="005138D5" w:rsidRDefault="00575F5E" w:rsidP="00277FE6">
      <w:pPr>
        <w:rPr>
          <w:sz w:val="22"/>
        </w:rPr>
      </w:pPr>
      <w:r w:rsidRPr="005138D5">
        <w:rPr>
          <w:sz w:val="22"/>
        </w:rPr>
        <w:t>Większość pacjentów leczonych worykonazolem z powodu wyżej wymienionych rzadko spotykanych zakażeń nie tolerowało leczenia przeciwgrzybiczego lub była oporna na wcześniejszą terapię przeciwgrzybiczą.</w:t>
      </w:r>
    </w:p>
    <w:p w14:paraId="0BD2F80E" w14:textId="77777777" w:rsidR="00575F5E" w:rsidRPr="005138D5" w:rsidRDefault="00575F5E" w:rsidP="00277FE6">
      <w:pPr>
        <w:rPr>
          <w:sz w:val="22"/>
        </w:rPr>
      </w:pPr>
    </w:p>
    <w:p w14:paraId="3782EC94" w14:textId="77777777" w:rsidR="008E134B" w:rsidRPr="005138D5" w:rsidRDefault="008E134B" w:rsidP="008E134B">
      <w:pPr>
        <w:rPr>
          <w:bCs/>
          <w:sz w:val="22"/>
          <w:u w:val="single"/>
        </w:rPr>
      </w:pPr>
      <w:r w:rsidRPr="005138D5">
        <w:rPr>
          <w:bCs/>
          <w:sz w:val="22"/>
          <w:u w:val="single"/>
        </w:rPr>
        <w:t xml:space="preserve">Profilaktyka pierwotna inwazyjnych zakażeń grzybiczych - skuteczność w przypadku pacjentów po przeszczepieniu </w:t>
      </w:r>
      <w:r w:rsidRPr="005138D5">
        <w:rPr>
          <w:sz w:val="22"/>
          <w:u w:val="single"/>
        </w:rPr>
        <w:t xml:space="preserve">macierzystych komórek krwiotwórczych bez uprzednio potwierdzonego lub </w:t>
      </w:r>
      <w:r w:rsidRPr="005138D5">
        <w:rPr>
          <w:spacing w:val="-3"/>
          <w:sz w:val="22"/>
          <w:u w:val="single"/>
        </w:rPr>
        <w:t>prawdopodobnego</w:t>
      </w:r>
      <w:r w:rsidRPr="005138D5">
        <w:rPr>
          <w:sz w:val="22"/>
          <w:u w:val="single"/>
        </w:rPr>
        <w:t xml:space="preserve"> inwazyjnego zakażenia grzybiczego</w:t>
      </w:r>
    </w:p>
    <w:p w14:paraId="34BACC26" w14:textId="77777777" w:rsidR="008E134B" w:rsidRPr="005138D5" w:rsidRDefault="008E134B" w:rsidP="008E134B">
      <w:pPr>
        <w:pStyle w:val="Default"/>
        <w:rPr>
          <w:sz w:val="22"/>
          <w:szCs w:val="22"/>
          <w:lang w:val="pl-PL"/>
        </w:rPr>
      </w:pPr>
      <w:r w:rsidRPr="005138D5">
        <w:rPr>
          <w:sz w:val="22"/>
          <w:szCs w:val="22"/>
          <w:lang w:val="pl-PL"/>
        </w:rPr>
        <w:t xml:space="preserve">W otwartym, porównawczym, wieloośrodkowym badaniu z udziałem dorosłych i młodzieży po allogenicznym przeszczepieniu macierzystych komórek krwiotwórczych bez uprzednio potwierdzonego lub </w:t>
      </w:r>
      <w:r w:rsidRPr="005138D5">
        <w:rPr>
          <w:spacing w:val="-3"/>
          <w:sz w:val="22"/>
          <w:szCs w:val="22"/>
          <w:lang w:val="pl-PL"/>
        </w:rPr>
        <w:t>prawdopodobn</w:t>
      </w:r>
      <w:r w:rsidRPr="005138D5">
        <w:rPr>
          <w:sz w:val="22"/>
          <w:szCs w:val="22"/>
          <w:lang w:val="pl-PL"/>
        </w:rPr>
        <w:t xml:space="preserve">ego </w:t>
      </w:r>
      <w:r w:rsidRPr="005138D5">
        <w:rPr>
          <w:bCs/>
          <w:sz w:val="22"/>
          <w:szCs w:val="22"/>
          <w:lang w:val="pl-PL"/>
        </w:rPr>
        <w:t xml:space="preserve">inwazyjnego zakażenia grzybiczego </w:t>
      </w:r>
      <w:r w:rsidRPr="005138D5">
        <w:rPr>
          <w:sz w:val="22"/>
          <w:szCs w:val="22"/>
          <w:lang w:val="pl-PL"/>
        </w:rPr>
        <w:t>porównywano działanie worykonazolu i itrakonazolu, stosowanych w ramach profilaktyki pierwotnej</w:t>
      </w:r>
      <w:r w:rsidRPr="005138D5">
        <w:rPr>
          <w:bCs/>
          <w:sz w:val="22"/>
          <w:szCs w:val="22"/>
          <w:lang w:val="pl-PL"/>
        </w:rPr>
        <w:t>.</w:t>
      </w:r>
      <w:r w:rsidRPr="005138D5">
        <w:rPr>
          <w:sz w:val="22"/>
          <w:szCs w:val="22"/>
          <w:lang w:val="pl-PL"/>
        </w:rPr>
        <w:t xml:space="preserve"> Za sukces uznano możliwość kontynuowania stosowania profilaktycznego badanego leku przez 100 dni po przeszczepieniu macierzystych komórek krwiotwórczych (bez przerw dłuższych niż 14 dni) oraz przeżycie bez potwierdzonego lub </w:t>
      </w:r>
      <w:r w:rsidRPr="005138D5">
        <w:rPr>
          <w:spacing w:val="-3"/>
          <w:sz w:val="22"/>
          <w:szCs w:val="22"/>
          <w:lang w:val="pl-PL"/>
        </w:rPr>
        <w:t>prawdopodobnego</w:t>
      </w:r>
      <w:r w:rsidRPr="005138D5">
        <w:rPr>
          <w:sz w:val="22"/>
          <w:szCs w:val="22"/>
          <w:lang w:val="pl-PL"/>
        </w:rPr>
        <w:t xml:space="preserve"> inwazyjnego zakażenia grzybiczego przez 180 dni po przeszczepieniu. Zmodyfikowana grupa</w:t>
      </w:r>
      <w:r w:rsidR="00C86FDE" w:rsidRPr="005138D5">
        <w:rPr>
          <w:sz w:val="22"/>
          <w:szCs w:val="22"/>
          <w:lang w:val="pl-PL"/>
        </w:rPr>
        <w:t>,</w:t>
      </w:r>
      <w:r w:rsidRPr="005138D5">
        <w:rPr>
          <w:sz w:val="22"/>
          <w:szCs w:val="22"/>
          <w:lang w:val="pl-PL"/>
        </w:rPr>
        <w:t xml:space="preserve"> wyodrębniona zgodnie z zaplanowanym leczeniem (MITT, ang. </w:t>
      </w:r>
      <w:r w:rsidRPr="005138D5">
        <w:rPr>
          <w:i/>
          <w:sz w:val="22"/>
          <w:szCs w:val="22"/>
          <w:lang w:val="pl-PL"/>
        </w:rPr>
        <w:t>Modified intent-to-treat)</w:t>
      </w:r>
      <w:r w:rsidR="00C86FDE" w:rsidRPr="005138D5">
        <w:rPr>
          <w:sz w:val="22"/>
          <w:szCs w:val="22"/>
          <w:lang w:val="pl-PL"/>
        </w:rPr>
        <w:t>,</w:t>
      </w:r>
      <w:r w:rsidRPr="005138D5">
        <w:rPr>
          <w:sz w:val="22"/>
          <w:szCs w:val="22"/>
          <w:lang w:val="pl-PL"/>
        </w:rPr>
        <w:t xml:space="preserve"> obejmowała 465 pacjentów po allogenicznym przeszczepieniu macierzystych komórek krwiotwórczych, wśród których 45% miało ostrą białaczkę szpikową (AML, ang. </w:t>
      </w:r>
      <w:r w:rsidRPr="005138D5">
        <w:rPr>
          <w:i/>
          <w:sz w:val="22"/>
          <w:szCs w:val="22"/>
          <w:lang w:val="pl-PL"/>
        </w:rPr>
        <w:t>Acute Myeloid Leukemia).</w:t>
      </w:r>
      <w:r w:rsidRPr="005138D5">
        <w:rPr>
          <w:sz w:val="22"/>
          <w:szCs w:val="22"/>
          <w:lang w:val="pl-PL"/>
        </w:rPr>
        <w:t xml:space="preserve"> Spośród wszystkich pacjentów 58% poddano kondycjonowaniu mieloablacyjnemu. Stosowanie profilaktyczne badanego leku rozpoczęto niezwłocznie po przeszczepieniu macierzystych komórek krwiotwórczych: 224 pacjentów otrzymywało worykonazol, a 241 pacjentów otrzymywało itrakonazol. Mediana czasu trwania stosowania profilaktycznego badanego leku w grupie MITT wynosiła 96 dni dla worykonazolu i 68 dni dla itrakonazolu.</w:t>
      </w:r>
    </w:p>
    <w:p w14:paraId="7D36943C" w14:textId="77777777" w:rsidR="008E134B" w:rsidRPr="005138D5" w:rsidRDefault="008E134B" w:rsidP="00277FE6">
      <w:pPr>
        <w:rPr>
          <w:sz w:val="22"/>
        </w:rPr>
      </w:pPr>
    </w:p>
    <w:p w14:paraId="31E1B81C" w14:textId="77777777" w:rsidR="008E134B" w:rsidRPr="005138D5" w:rsidRDefault="008E134B" w:rsidP="008E134B">
      <w:pPr>
        <w:pStyle w:val="Default"/>
        <w:keepNext/>
        <w:keepLines/>
        <w:widowControl/>
        <w:rPr>
          <w:sz w:val="22"/>
          <w:szCs w:val="22"/>
          <w:lang w:val="pl-PL"/>
        </w:rPr>
      </w:pPr>
      <w:r w:rsidRPr="005138D5">
        <w:rPr>
          <w:sz w:val="22"/>
          <w:szCs w:val="22"/>
          <w:lang w:val="pl-PL"/>
        </w:rPr>
        <w:t>Współczynniki efektywności i inne drugorzędowe punkty końcowe przedstawiono w tabeli poniżej:</w:t>
      </w:r>
    </w:p>
    <w:p w14:paraId="3B60DCD2" w14:textId="77777777" w:rsidR="008E134B" w:rsidRPr="005138D5" w:rsidRDefault="008E134B" w:rsidP="008E134B">
      <w:pPr>
        <w:pStyle w:val="CM55"/>
        <w:keepNext/>
        <w:keepLines/>
        <w:widowControl/>
        <w:spacing w:after="0"/>
        <w:rPr>
          <w:sz w:val="22"/>
          <w:szCs w:val="22"/>
          <w:u w:val="single"/>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8E134B" w:rsidRPr="005138D5" w14:paraId="6352ADB5" w14:textId="77777777" w:rsidTr="00B32731">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0E04252E" w14:textId="77777777" w:rsidR="008E134B" w:rsidRPr="005138D5" w:rsidRDefault="008E134B" w:rsidP="00B32731">
            <w:pPr>
              <w:pStyle w:val="Default"/>
              <w:keepNext/>
              <w:keepLines/>
              <w:widowControl/>
              <w:rPr>
                <w:b/>
                <w:sz w:val="22"/>
                <w:szCs w:val="22"/>
              </w:rPr>
            </w:pPr>
            <w:proofErr w:type="spellStart"/>
            <w:r w:rsidRPr="005138D5">
              <w:rPr>
                <w:b/>
                <w:sz w:val="22"/>
                <w:szCs w:val="22"/>
              </w:rPr>
              <w:t>Punkty</w:t>
            </w:r>
            <w:proofErr w:type="spellEnd"/>
            <w:r w:rsidRPr="005138D5">
              <w:rPr>
                <w:b/>
                <w:sz w:val="22"/>
                <w:szCs w:val="22"/>
              </w:rPr>
              <w:t xml:space="preserve"> </w:t>
            </w:r>
            <w:proofErr w:type="spellStart"/>
            <w:r w:rsidRPr="005138D5">
              <w:rPr>
                <w:b/>
                <w:sz w:val="22"/>
                <w:szCs w:val="22"/>
              </w:rPr>
              <w:t>końcowe</w:t>
            </w:r>
            <w:proofErr w:type="spellEnd"/>
            <w:r w:rsidRPr="005138D5">
              <w:rPr>
                <w:b/>
                <w:sz w:val="22"/>
                <w:szCs w:val="22"/>
              </w:rPr>
              <w:t xml:space="preserve"> </w:t>
            </w:r>
            <w:proofErr w:type="spellStart"/>
            <w:r w:rsidRPr="005138D5">
              <w:rPr>
                <w:b/>
                <w:sz w:val="22"/>
                <w:szCs w:val="22"/>
              </w:rPr>
              <w:t>badania</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01314BA" w14:textId="77777777" w:rsidR="008E134B" w:rsidRPr="005138D5" w:rsidRDefault="008E134B" w:rsidP="00B32731">
            <w:pPr>
              <w:pStyle w:val="Default"/>
              <w:keepNext/>
              <w:keepLines/>
              <w:widowControl/>
              <w:rPr>
                <w:b/>
                <w:sz w:val="22"/>
                <w:szCs w:val="22"/>
              </w:rPr>
            </w:pPr>
            <w:proofErr w:type="spellStart"/>
            <w:r w:rsidRPr="005138D5">
              <w:rPr>
                <w:b/>
                <w:sz w:val="22"/>
                <w:szCs w:val="22"/>
              </w:rPr>
              <w:t>Worykonazol</w:t>
            </w:r>
            <w:proofErr w:type="spellEnd"/>
            <w:r w:rsidRPr="005138D5">
              <w:rPr>
                <w:b/>
                <w:sz w:val="22"/>
                <w:szCs w:val="22"/>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70EF432" w14:textId="77777777" w:rsidR="008E134B" w:rsidRPr="005138D5" w:rsidRDefault="008E134B" w:rsidP="00B32731">
            <w:pPr>
              <w:pStyle w:val="Default"/>
              <w:keepNext/>
              <w:keepLines/>
              <w:widowControl/>
              <w:rPr>
                <w:b/>
                <w:sz w:val="22"/>
                <w:szCs w:val="22"/>
              </w:rPr>
            </w:pPr>
            <w:proofErr w:type="spellStart"/>
            <w:r w:rsidRPr="005138D5">
              <w:rPr>
                <w:b/>
                <w:sz w:val="22"/>
                <w:szCs w:val="22"/>
              </w:rPr>
              <w:t>Itrakonazol</w:t>
            </w:r>
            <w:proofErr w:type="spellEnd"/>
            <w:r w:rsidRPr="005138D5">
              <w:rPr>
                <w:b/>
                <w:sz w:val="22"/>
                <w:szCs w:val="22"/>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63BAE6B9" w14:textId="77777777" w:rsidR="008E134B" w:rsidRPr="005138D5" w:rsidRDefault="008E134B" w:rsidP="00B32731">
            <w:pPr>
              <w:pStyle w:val="Default"/>
              <w:keepNext/>
              <w:keepLines/>
              <w:widowControl/>
              <w:jc w:val="center"/>
              <w:rPr>
                <w:b/>
                <w:sz w:val="22"/>
                <w:szCs w:val="22"/>
                <w:lang w:val="pl-PL"/>
              </w:rPr>
            </w:pPr>
            <w:r w:rsidRPr="005138D5">
              <w:rPr>
                <w:b/>
                <w:sz w:val="22"/>
                <w:szCs w:val="22"/>
                <w:lang w:val="pl-PL"/>
              </w:rPr>
              <w:t>Różnica w odsetkach i 95% przedział ufności (CI)</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143228C4" w14:textId="77777777" w:rsidR="008E134B" w:rsidRPr="005138D5" w:rsidRDefault="008E134B" w:rsidP="00B32731">
            <w:pPr>
              <w:pStyle w:val="Default"/>
              <w:keepNext/>
              <w:keepLines/>
              <w:widowControl/>
              <w:jc w:val="center"/>
              <w:rPr>
                <w:b/>
                <w:sz w:val="22"/>
                <w:szCs w:val="22"/>
              </w:rPr>
            </w:pPr>
            <w:proofErr w:type="spellStart"/>
            <w:r w:rsidRPr="005138D5">
              <w:rPr>
                <w:b/>
                <w:sz w:val="22"/>
                <w:szCs w:val="22"/>
              </w:rPr>
              <w:t>Wartość</w:t>
            </w:r>
            <w:proofErr w:type="spellEnd"/>
            <w:r w:rsidRPr="005138D5">
              <w:rPr>
                <w:b/>
                <w:sz w:val="22"/>
                <w:szCs w:val="22"/>
              </w:rPr>
              <w:t> P</w:t>
            </w:r>
          </w:p>
        </w:tc>
      </w:tr>
      <w:tr w:rsidR="008E134B" w:rsidRPr="005138D5" w14:paraId="22DA7AAD"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75DEF608" w14:textId="77777777" w:rsidR="008E134B" w:rsidRPr="005138D5" w:rsidRDefault="008E134B" w:rsidP="00B32731">
            <w:pPr>
              <w:pStyle w:val="Default"/>
              <w:keepNext/>
              <w:keepLines/>
              <w:widowControl/>
              <w:rPr>
                <w:sz w:val="22"/>
                <w:szCs w:val="22"/>
              </w:rPr>
            </w:pPr>
            <w:proofErr w:type="spellStart"/>
            <w:r w:rsidRPr="005138D5">
              <w:rPr>
                <w:sz w:val="22"/>
                <w:szCs w:val="22"/>
              </w:rPr>
              <w:t>Sukces</w:t>
            </w:r>
            <w:proofErr w:type="spellEnd"/>
            <w:r w:rsidRPr="005138D5">
              <w:rPr>
                <w:sz w:val="22"/>
                <w:szCs w:val="22"/>
              </w:rPr>
              <w:t xml:space="preserve"> w </w:t>
            </w:r>
            <w:proofErr w:type="spellStart"/>
            <w:r w:rsidRPr="005138D5">
              <w:rPr>
                <w:sz w:val="22"/>
                <w:szCs w:val="22"/>
              </w:rPr>
              <w:t>dniu</w:t>
            </w:r>
            <w:proofErr w:type="spellEnd"/>
            <w:r w:rsidRPr="005138D5">
              <w:rPr>
                <w:sz w:val="22"/>
                <w:szCs w:val="22"/>
              </w:rPr>
              <w:t> 180*</w:t>
            </w:r>
          </w:p>
        </w:tc>
        <w:tc>
          <w:tcPr>
            <w:tcW w:w="1530" w:type="dxa"/>
            <w:tcBorders>
              <w:top w:val="single" w:sz="4" w:space="0" w:color="000000"/>
              <w:left w:val="single" w:sz="4" w:space="0" w:color="000000"/>
              <w:bottom w:val="single" w:sz="4" w:space="0" w:color="000000"/>
              <w:right w:val="single" w:sz="4" w:space="0" w:color="000000"/>
            </w:tcBorders>
          </w:tcPr>
          <w:p w14:paraId="059185B9" w14:textId="77777777" w:rsidR="008E134B" w:rsidRPr="005138D5" w:rsidRDefault="008E134B" w:rsidP="00B32731">
            <w:pPr>
              <w:pStyle w:val="Default"/>
              <w:keepNext/>
              <w:keepLines/>
              <w:widowControl/>
              <w:rPr>
                <w:sz w:val="22"/>
                <w:szCs w:val="22"/>
              </w:rPr>
            </w:pPr>
            <w:r w:rsidRPr="005138D5">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3AC3C494" w14:textId="77777777" w:rsidR="008E134B" w:rsidRPr="005138D5" w:rsidRDefault="008E134B" w:rsidP="00B32731">
            <w:pPr>
              <w:pStyle w:val="Default"/>
              <w:keepNext/>
              <w:keepLines/>
              <w:widowControl/>
              <w:rPr>
                <w:sz w:val="22"/>
                <w:szCs w:val="22"/>
              </w:rPr>
            </w:pPr>
            <w:r w:rsidRPr="005138D5">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0359285A" w14:textId="77777777" w:rsidR="008E134B" w:rsidRPr="005138D5" w:rsidRDefault="008E134B" w:rsidP="00B32731">
            <w:pPr>
              <w:pStyle w:val="Default"/>
              <w:keepNext/>
              <w:keepLines/>
              <w:widowControl/>
              <w:jc w:val="center"/>
              <w:rPr>
                <w:sz w:val="22"/>
                <w:szCs w:val="22"/>
              </w:rPr>
            </w:pPr>
            <w:r w:rsidRPr="005138D5">
              <w:rPr>
                <w:sz w:val="22"/>
                <w:szCs w:val="22"/>
              </w:rPr>
              <w:t>16,4% (7,7%; 25,1%)**</w:t>
            </w:r>
          </w:p>
        </w:tc>
        <w:tc>
          <w:tcPr>
            <w:tcW w:w="1080" w:type="dxa"/>
            <w:tcBorders>
              <w:top w:val="single" w:sz="4" w:space="0" w:color="000000"/>
              <w:left w:val="single" w:sz="4" w:space="0" w:color="000000"/>
              <w:bottom w:val="single" w:sz="4" w:space="0" w:color="000000"/>
              <w:right w:val="single" w:sz="4" w:space="0" w:color="000000"/>
            </w:tcBorders>
          </w:tcPr>
          <w:p w14:paraId="0E6DBC38" w14:textId="77777777" w:rsidR="008E134B" w:rsidRPr="005138D5" w:rsidRDefault="008E134B" w:rsidP="00B32731">
            <w:pPr>
              <w:pStyle w:val="Default"/>
              <w:keepNext/>
              <w:keepLines/>
              <w:widowControl/>
              <w:jc w:val="center"/>
              <w:rPr>
                <w:sz w:val="22"/>
                <w:szCs w:val="22"/>
              </w:rPr>
            </w:pPr>
            <w:r w:rsidRPr="005138D5">
              <w:rPr>
                <w:sz w:val="22"/>
                <w:szCs w:val="22"/>
              </w:rPr>
              <w:t>0,0002**</w:t>
            </w:r>
          </w:p>
        </w:tc>
      </w:tr>
      <w:tr w:rsidR="008E134B" w:rsidRPr="005138D5" w14:paraId="5C1456F0"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32A0F985" w14:textId="77777777" w:rsidR="008E134B" w:rsidRPr="005138D5" w:rsidRDefault="008E134B" w:rsidP="00B32731">
            <w:pPr>
              <w:pStyle w:val="Default"/>
              <w:keepNext/>
              <w:keepLines/>
              <w:widowControl/>
              <w:rPr>
                <w:sz w:val="22"/>
                <w:szCs w:val="22"/>
              </w:rPr>
            </w:pPr>
            <w:proofErr w:type="spellStart"/>
            <w:r w:rsidRPr="005138D5">
              <w:rPr>
                <w:sz w:val="22"/>
                <w:szCs w:val="22"/>
              </w:rPr>
              <w:t>Sukces</w:t>
            </w:r>
            <w:proofErr w:type="spellEnd"/>
            <w:r w:rsidRPr="005138D5">
              <w:rPr>
                <w:sz w:val="22"/>
                <w:szCs w:val="22"/>
              </w:rPr>
              <w:t xml:space="preserve"> w </w:t>
            </w:r>
            <w:proofErr w:type="spellStart"/>
            <w:r w:rsidRPr="005138D5">
              <w:rPr>
                <w:sz w:val="22"/>
                <w:szCs w:val="22"/>
              </w:rPr>
              <w:t>dniu</w:t>
            </w:r>
            <w:proofErr w:type="spellEnd"/>
            <w:r w:rsidRPr="005138D5">
              <w:rPr>
                <w:sz w:val="22"/>
                <w:szCs w:val="22"/>
              </w:rPr>
              <w:t> 100</w:t>
            </w:r>
          </w:p>
        </w:tc>
        <w:tc>
          <w:tcPr>
            <w:tcW w:w="1530" w:type="dxa"/>
            <w:tcBorders>
              <w:top w:val="single" w:sz="4" w:space="0" w:color="000000"/>
              <w:left w:val="single" w:sz="4" w:space="0" w:color="000000"/>
              <w:bottom w:val="single" w:sz="4" w:space="0" w:color="000000"/>
              <w:right w:val="single" w:sz="4" w:space="0" w:color="000000"/>
            </w:tcBorders>
          </w:tcPr>
          <w:p w14:paraId="64911F68" w14:textId="77777777" w:rsidR="008E134B" w:rsidRPr="005138D5" w:rsidRDefault="008E134B" w:rsidP="00B32731">
            <w:pPr>
              <w:pStyle w:val="Default"/>
              <w:keepNext/>
              <w:keepLines/>
              <w:widowControl/>
              <w:rPr>
                <w:sz w:val="22"/>
                <w:szCs w:val="22"/>
              </w:rPr>
            </w:pPr>
            <w:r w:rsidRPr="005138D5">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2E6ECC8C" w14:textId="77777777" w:rsidR="008E134B" w:rsidRPr="005138D5" w:rsidRDefault="008E134B" w:rsidP="00B32731">
            <w:pPr>
              <w:pStyle w:val="Default"/>
              <w:keepNext/>
              <w:keepLines/>
              <w:widowControl/>
              <w:rPr>
                <w:sz w:val="22"/>
                <w:szCs w:val="22"/>
              </w:rPr>
            </w:pPr>
            <w:r w:rsidRPr="005138D5">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6BA9E2AF" w14:textId="77777777" w:rsidR="008E134B" w:rsidRPr="005138D5" w:rsidRDefault="008E134B" w:rsidP="00B32731">
            <w:pPr>
              <w:pStyle w:val="Default"/>
              <w:keepNext/>
              <w:keepLines/>
              <w:widowControl/>
              <w:jc w:val="center"/>
              <w:rPr>
                <w:sz w:val="22"/>
                <w:szCs w:val="22"/>
              </w:rPr>
            </w:pPr>
            <w:r w:rsidRPr="005138D5">
              <w:rPr>
                <w:sz w:val="22"/>
                <w:szCs w:val="22"/>
              </w:rPr>
              <w:t>15,4% (6,6%; 24,2%)**</w:t>
            </w:r>
          </w:p>
        </w:tc>
        <w:tc>
          <w:tcPr>
            <w:tcW w:w="1080" w:type="dxa"/>
            <w:tcBorders>
              <w:top w:val="single" w:sz="4" w:space="0" w:color="000000"/>
              <w:left w:val="single" w:sz="4" w:space="0" w:color="000000"/>
              <w:bottom w:val="single" w:sz="4" w:space="0" w:color="000000"/>
              <w:right w:val="single" w:sz="4" w:space="0" w:color="000000"/>
            </w:tcBorders>
          </w:tcPr>
          <w:p w14:paraId="6F6A4CE1" w14:textId="77777777" w:rsidR="008E134B" w:rsidRPr="005138D5" w:rsidRDefault="008E134B" w:rsidP="00B32731">
            <w:pPr>
              <w:pStyle w:val="Default"/>
              <w:keepNext/>
              <w:keepLines/>
              <w:widowControl/>
              <w:jc w:val="center"/>
              <w:rPr>
                <w:sz w:val="22"/>
                <w:szCs w:val="22"/>
              </w:rPr>
            </w:pPr>
            <w:r w:rsidRPr="005138D5">
              <w:rPr>
                <w:sz w:val="22"/>
                <w:szCs w:val="22"/>
              </w:rPr>
              <w:t>0,0006**</w:t>
            </w:r>
          </w:p>
        </w:tc>
      </w:tr>
      <w:tr w:rsidR="008E134B" w:rsidRPr="005138D5" w14:paraId="59DC53DD"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13581121" w14:textId="77777777" w:rsidR="008E134B" w:rsidRPr="005138D5" w:rsidRDefault="008E134B" w:rsidP="00B32731">
            <w:pPr>
              <w:pStyle w:val="Default"/>
              <w:keepNext/>
              <w:keepLines/>
              <w:widowControl/>
              <w:rPr>
                <w:sz w:val="22"/>
                <w:szCs w:val="22"/>
                <w:lang w:val="pl-PL"/>
              </w:rPr>
            </w:pPr>
            <w:r w:rsidRPr="005138D5">
              <w:rPr>
                <w:sz w:val="22"/>
                <w:szCs w:val="22"/>
                <w:lang w:val="pl-PL"/>
              </w:rPr>
              <w:t>Zakończono co najmniej 100 dni  stosowania profilaktycznego badanego leku</w:t>
            </w:r>
          </w:p>
        </w:tc>
        <w:tc>
          <w:tcPr>
            <w:tcW w:w="1530" w:type="dxa"/>
            <w:tcBorders>
              <w:top w:val="single" w:sz="4" w:space="0" w:color="000000"/>
              <w:left w:val="single" w:sz="4" w:space="0" w:color="000000"/>
              <w:bottom w:val="single" w:sz="4" w:space="0" w:color="000000"/>
              <w:right w:val="single" w:sz="4" w:space="0" w:color="000000"/>
            </w:tcBorders>
          </w:tcPr>
          <w:p w14:paraId="3495CD98" w14:textId="77777777" w:rsidR="008E134B" w:rsidRPr="005138D5" w:rsidRDefault="008E134B" w:rsidP="00B32731">
            <w:pPr>
              <w:pStyle w:val="Default"/>
              <w:keepNext/>
              <w:keepLines/>
              <w:widowControl/>
              <w:rPr>
                <w:sz w:val="22"/>
                <w:szCs w:val="22"/>
              </w:rPr>
            </w:pPr>
            <w:r w:rsidRPr="005138D5">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71FD194E" w14:textId="77777777" w:rsidR="008E134B" w:rsidRPr="005138D5" w:rsidRDefault="008E134B" w:rsidP="00B32731">
            <w:pPr>
              <w:pStyle w:val="Default"/>
              <w:keepNext/>
              <w:keepLines/>
              <w:widowControl/>
              <w:rPr>
                <w:sz w:val="22"/>
                <w:szCs w:val="22"/>
              </w:rPr>
            </w:pPr>
            <w:r w:rsidRPr="005138D5">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15C0C46B" w14:textId="77777777" w:rsidR="008E134B" w:rsidRPr="005138D5" w:rsidRDefault="008E134B" w:rsidP="00B32731">
            <w:pPr>
              <w:pStyle w:val="Default"/>
              <w:keepNext/>
              <w:keepLines/>
              <w:widowControl/>
              <w:jc w:val="center"/>
              <w:rPr>
                <w:sz w:val="22"/>
                <w:szCs w:val="22"/>
              </w:rPr>
            </w:pPr>
            <w:r w:rsidRPr="005138D5">
              <w:rPr>
                <w:sz w:val="22"/>
                <w:szCs w:val="22"/>
              </w:rPr>
              <w:t>14,6% (5,6%; 23,5%)</w:t>
            </w:r>
          </w:p>
        </w:tc>
        <w:tc>
          <w:tcPr>
            <w:tcW w:w="1080" w:type="dxa"/>
            <w:tcBorders>
              <w:top w:val="single" w:sz="4" w:space="0" w:color="000000"/>
              <w:left w:val="single" w:sz="4" w:space="0" w:color="000000"/>
              <w:bottom w:val="single" w:sz="4" w:space="0" w:color="000000"/>
              <w:right w:val="single" w:sz="4" w:space="0" w:color="000000"/>
            </w:tcBorders>
          </w:tcPr>
          <w:p w14:paraId="1F3BF2BF" w14:textId="77777777" w:rsidR="008E134B" w:rsidRPr="005138D5" w:rsidRDefault="008E134B" w:rsidP="00B32731">
            <w:pPr>
              <w:pStyle w:val="Default"/>
              <w:keepNext/>
              <w:keepLines/>
              <w:widowControl/>
              <w:jc w:val="center"/>
              <w:rPr>
                <w:sz w:val="22"/>
                <w:szCs w:val="22"/>
              </w:rPr>
            </w:pPr>
            <w:r w:rsidRPr="005138D5">
              <w:rPr>
                <w:sz w:val="22"/>
                <w:szCs w:val="22"/>
              </w:rPr>
              <w:t>0,0015</w:t>
            </w:r>
          </w:p>
        </w:tc>
      </w:tr>
      <w:tr w:rsidR="008E134B" w:rsidRPr="005138D5" w14:paraId="26C26323"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748A3440" w14:textId="77777777" w:rsidR="008E134B" w:rsidRPr="005138D5" w:rsidRDefault="008E134B" w:rsidP="00B32731">
            <w:pPr>
              <w:pStyle w:val="Default"/>
              <w:keepNext/>
              <w:keepLines/>
              <w:widowControl/>
              <w:rPr>
                <w:sz w:val="22"/>
                <w:szCs w:val="22"/>
              </w:rPr>
            </w:pPr>
            <w:proofErr w:type="spellStart"/>
            <w:r w:rsidRPr="005138D5">
              <w:rPr>
                <w:sz w:val="22"/>
                <w:szCs w:val="22"/>
              </w:rPr>
              <w:t>Przeżycie</w:t>
            </w:r>
            <w:proofErr w:type="spellEnd"/>
            <w:r w:rsidRPr="005138D5">
              <w:rPr>
                <w:sz w:val="22"/>
                <w:szCs w:val="22"/>
              </w:rPr>
              <w:t xml:space="preserve"> do </w:t>
            </w:r>
            <w:proofErr w:type="spellStart"/>
            <w:r w:rsidRPr="005138D5">
              <w:rPr>
                <w:sz w:val="22"/>
                <w:szCs w:val="22"/>
              </w:rPr>
              <w:t>dnia</w:t>
            </w:r>
            <w:proofErr w:type="spellEnd"/>
            <w:r w:rsidRPr="005138D5">
              <w:rPr>
                <w:sz w:val="22"/>
                <w:szCs w:val="22"/>
              </w:rPr>
              <w:t> 180</w:t>
            </w:r>
          </w:p>
        </w:tc>
        <w:tc>
          <w:tcPr>
            <w:tcW w:w="1530" w:type="dxa"/>
            <w:tcBorders>
              <w:top w:val="single" w:sz="4" w:space="0" w:color="000000"/>
              <w:left w:val="single" w:sz="4" w:space="0" w:color="000000"/>
              <w:bottom w:val="single" w:sz="4" w:space="0" w:color="000000"/>
              <w:right w:val="single" w:sz="4" w:space="0" w:color="000000"/>
            </w:tcBorders>
          </w:tcPr>
          <w:p w14:paraId="75037BD3" w14:textId="77777777" w:rsidR="008E134B" w:rsidRPr="005138D5" w:rsidRDefault="008E134B" w:rsidP="00B32731">
            <w:pPr>
              <w:pStyle w:val="Default"/>
              <w:keepNext/>
              <w:keepLines/>
              <w:widowControl/>
              <w:rPr>
                <w:sz w:val="22"/>
                <w:szCs w:val="22"/>
              </w:rPr>
            </w:pPr>
            <w:r w:rsidRPr="005138D5">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21B2422B" w14:textId="77777777" w:rsidR="008E134B" w:rsidRPr="005138D5" w:rsidRDefault="008E134B" w:rsidP="00B32731">
            <w:pPr>
              <w:pStyle w:val="Default"/>
              <w:keepNext/>
              <w:keepLines/>
              <w:widowControl/>
              <w:rPr>
                <w:sz w:val="22"/>
                <w:szCs w:val="22"/>
              </w:rPr>
            </w:pPr>
            <w:r w:rsidRPr="005138D5">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4EA1307B" w14:textId="77777777" w:rsidR="008E134B" w:rsidRPr="005138D5" w:rsidRDefault="008E134B" w:rsidP="00B32731">
            <w:pPr>
              <w:pStyle w:val="Default"/>
              <w:keepNext/>
              <w:keepLines/>
              <w:widowControl/>
              <w:jc w:val="center"/>
              <w:rPr>
                <w:sz w:val="22"/>
                <w:szCs w:val="22"/>
              </w:rPr>
            </w:pPr>
            <w:r w:rsidRPr="005138D5">
              <w:rPr>
                <w:sz w:val="22"/>
                <w:szCs w:val="22"/>
              </w:rPr>
              <w:t>0,4% (-6,6%; 7,4%)</w:t>
            </w:r>
          </w:p>
        </w:tc>
        <w:tc>
          <w:tcPr>
            <w:tcW w:w="1080" w:type="dxa"/>
            <w:tcBorders>
              <w:top w:val="single" w:sz="4" w:space="0" w:color="000000"/>
              <w:left w:val="single" w:sz="4" w:space="0" w:color="000000"/>
              <w:bottom w:val="single" w:sz="4" w:space="0" w:color="000000"/>
              <w:right w:val="single" w:sz="4" w:space="0" w:color="000000"/>
            </w:tcBorders>
          </w:tcPr>
          <w:p w14:paraId="18CDB5C1" w14:textId="77777777" w:rsidR="008E134B" w:rsidRPr="005138D5" w:rsidRDefault="008E134B" w:rsidP="00B32731">
            <w:pPr>
              <w:pStyle w:val="Default"/>
              <w:keepNext/>
              <w:keepLines/>
              <w:widowControl/>
              <w:jc w:val="center"/>
              <w:rPr>
                <w:sz w:val="22"/>
                <w:szCs w:val="22"/>
              </w:rPr>
            </w:pPr>
            <w:r w:rsidRPr="005138D5">
              <w:rPr>
                <w:sz w:val="22"/>
                <w:szCs w:val="22"/>
              </w:rPr>
              <w:t>0,9107</w:t>
            </w:r>
          </w:p>
        </w:tc>
      </w:tr>
      <w:tr w:rsidR="008E134B" w:rsidRPr="005138D5" w14:paraId="1B0A8007"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0A620E22" w14:textId="77777777" w:rsidR="008E134B" w:rsidRPr="005138D5" w:rsidRDefault="008E134B" w:rsidP="00B32731">
            <w:pPr>
              <w:pStyle w:val="Default"/>
              <w:keepNext/>
              <w:keepLines/>
              <w:widowControl/>
              <w:rPr>
                <w:sz w:val="22"/>
                <w:szCs w:val="22"/>
                <w:lang w:val="pl-PL"/>
              </w:rPr>
            </w:pPr>
            <w:r w:rsidRPr="005138D5">
              <w:rPr>
                <w:sz w:val="22"/>
                <w:szCs w:val="22"/>
                <w:lang w:val="pl-PL"/>
              </w:rPr>
              <w:t>Potwierdzone lub prawdopodobne inwazyjne zakażenie grzybicze wystąpiło do dnia 180</w:t>
            </w:r>
          </w:p>
        </w:tc>
        <w:tc>
          <w:tcPr>
            <w:tcW w:w="1530" w:type="dxa"/>
            <w:tcBorders>
              <w:top w:val="single" w:sz="4" w:space="0" w:color="000000"/>
              <w:left w:val="single" w:sz="4" w:space="0" w:color="000000"/>
              <w:bottom w:val="single" w:sz="4" w:space="0" w:color="000000"/>
              <w:right w:val="single" w:sz="4" w:space="0" w:color="000000"/>
            </w:tcBorders>
          </w:tcPr>
          <w:p w14:paraId="6EC4EEB6" w14:textId="77777777" w:rsidR="008E134B" w:rsidRPr="005138D5" w:rsidRDefault="008E134B" w:rsidP="00B32731">
            <w:pPr>
              <w:pStyle w:val="Default"/>
              <w:keepNext/>
              <w:keepLines/>
              <w:widowControl/>
              <w:rPr>
                <w:sz w:val="22"/>
                <w:szCs w:val="22"/>
              </w:rPr>
            </w:pPr>
            <w:r w:rsidRPr="005138D5">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1406BD72" w14:textId="77777777" w:rsidR="008E134B" w:rsidRPr="005138D5" w:rsidRDefault="008E134B" w:rsidP="00B32731">
            <w:pPr>
              <w:pStyle w:val="Default"/>
              <w:keepNext/>
              <w:keepLines/>
              <w:widowControl/>
              <w:rPr>
                <w:sz w:val="22"/>
                <w:szCs w:val="22"/>
              </w:rPr>
            </w:pPr>
            <w:r w:rsidRPr="005138D5">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619E85AB" w14:textId="77777777" w:rsidR="008E134B" w:rsidRPr="005138D5" w:rsidRDefault="008E134B" w:rsidP="00B32731">
            <w:pPr>
              <w:pStyle w:val="Default"/>
              <w:keepNext/>
              <w:keepLines/>
              <w:widowControl/>
              <w:jc w:val="center"/>
              <w:rPr>
                <w:sz w:val="22"/>
                <w:szCs w:val="22"/>
              </w:rPr>
            </w:pPr>
            <w:r w:rsidRPr="005138D5">
              <w:rPr>
                <w:sz w:val="22"/>
                <w:szCs w:val="22"/>
              </w:rPr>
              <w:t>-0,7% (-3,1%; 1,6%)</w:t>
            </w:r>
          </w:p>
        </w:tc>
        <w:tc>
          <w:tcPr>
            <w:tcW w:w="1080" w:type="dxa"/>
            <w:tcBorders>
              <w:top w:val="single" w:sz="4" w:space="0" w:color="000000"/>
              <w:left w:val="single" w:sz="4" w:space="0" w:color="000000"/>
              <w:bottom w:val="single" w:sz="4" w:space="0" w:color="000000"/>
              <w:right w:val="single" w:sz="4" w:space="0" w:color="000000"/>
            </w:tcBorders>
          </w:tcPr>
          <w:p w14:paraId="197AE75C" w14:textId="77777777" w:rsidR="008E134B" w:rsidRPr="005138D5" w:rsidRDefault="008E134B" w:rsidP="00B32731">
            <w:pPr>
              <w:pStyle w:val="Default"/>
              <w:keepNext/>
              <w:keepLines/>
              <w:widowControl/>
              <w:jc w:val="center"/>
              <w:rPr>
                <w:sz w:val="22"/>
                <w:szCs w:val="22"/>
              </w:rPr>
            </w:pPr>
            <w:r w:rsidRPr="005138D5">
              <w:rPr>
                <w:sz w:val="22"/>
                <w:szCs w:val="22"/>
              </w:rPr>
              <w:t>0,5390</w:t>
            </w:r>
          </w:p>
        </w:tc>
      </w:tr>
      <w:tr w:rsidR="008E134B" w:rsidRPr="005138D5" w14:paraId="486C7989"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7CDE4A95" w14:textId="77777777" w:rsidR="008E134B" w:rsidRPr="005138D5" w:rsidRDefault="008E134B" w:rsidP="00B32731">
            <w:pPr>
              <w:pStyle w:val="Default"/>
              <w:keepNext/>
              <w:keepLines/>
              <w:widowControl/>
              <w:rPr>
                <w:sz w:val="22"/>
                <w:szCs w:val="22"/>
                <w:lang w:val="pl-PL"/>
              </w:rPr>
            </w:pPr>
            <w:r w:rsidRPr="005138D5">
              <w:rPr>
                <w:sz w:val="22"/>
                <w:szCs w:val="22"/>
                <w:lang w:val="pl-PL"/>
              </w:rPr>
              <w:t>Potwierdzone lub prawdopodobne inwazyjne zakażenie grzybicze wystąpiło do dnia 100</w:t>
            </w:r>
          </w:p>
        </w:tc>
        <w:tc>
          <w:tcPr>
            <w:tcW w:w="1530" w:type="dxa"/>
            <w:tcBorders>
              <w:top w:val="single" w:sz="4" w:space="0" w:color="000000"/>
              <w:left w:val="single" w:sz="4" w:space="0" w:color="000000"/>
              <w:bottom w:val="single" w:sz="4" w:space="0" w:color="000000"/>
              <w:right w:val="single" w:sz="4" w:space="0" w:color="000000"/>
            </w:tcBorders>
          </w:tcPr>
          <w:p w14:paraId="76E01F40" w14:textId="77777777" w:rsidR="008E134B" w:rsidRPr="005138D5" w:rsidRDefault="008E134B" w:rsidP="00B32731">
            <w:pPr>
              <w:pStyle w:val="Default"/>
              <w:keepNext/>
              <w:keepLines/>
              <w:widowControl/>
              <w:rPr>
                <w:sz w:val="22"/>
                <w:szCs w:val="22"/>
              </w:rPr>
            </w:pPr>
            <w:r w:rsidRPr="005138D5">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0F1BD476" w14:textId="77777777" w:rsidR="008E134B" w:rsidRPr="005138D5" w:rsidRDefault="008E134B" w:rsidP="00B32731">
            <w:pPr>
              <w:pStyle w:val="Default"/>
              <w:keepNext/>
              <w:keepLines/>
              <w:widowControl/>
              <w:rPr>
                <w:sz w:val="22"/>
                <w:szCs w:val="22"/>
              </w:rPr>
            </w:pPr>
            <w:r w:rsidRPr="005138D5">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39B2703C" w14:textId="77777777" w:rsidR="008E134B" w:rsidRPr="005138D5" w:rsidRDefault="008E134B" w:rsidP="00B32731">
            <w:pPr>
              <w:pStyle w:val="Default"/>
              <w:keepNext/>
              <w:keepLines/>
              <w:widowControl/>
              <w:jc w:val="center"/>
              <w:rPr>
                <w:sz w:val="22"/>
                <w:szCs w:val="22"/>
              </w:rPr>
            </w:pPr>
            <w:r w:rsidRPr="005138D5">
              <w:rPr>
                <w:sz w:val="22"/>
                <w:szCs w:val="22"/>
              </w:rPr>
              <w:t>-0,8% (-2,8%; 1,3%)</w:t>
            </w:r>
          </w:p>
        </w:tc>
        <w:tc>
          <w:tcPr>
            <w:tcW w:w="1080" w:type="dxa"/>
            <w:tcBorders>
              <w:top w:val="single" w:sz="4" w:space="0" w:color="000000"/>
              <w:left w:val="single" w:sz="4" w:space="0" w:color="000000"/>
              <w:bottom w:val="single" w:sz="4" w:space="0" w:color="000000"/>
              <w:right w:val="single" w:sz="4" w:space="0" w:color="000000"/>
            </w:tcBorders>
          </w:tcPr>
          <w:p w14:paraId="0D887E93" w14:textId="77777777" w:rsidR="008E134B" w:rsidRPr="005138D5" w:rsidRDefault="008E134B" w:rsidP="00B32731">
            <w:pPr>
              <w:pStyle w:val="Default"/>
              <w:keepNext/>
              <w:keepLines/>
              <w:widowControl/>
              <w:jc w:val="center"/>
              <w:rPr>
                <w:sz w:val="22"/>
                <w:szCs w:val="22"/>
              </w:rPr>
            </w:pPr>
            <w:r w:rsidRPr="005138D5">
              <w:rPr>
                <w:sz w:val="22"/>
                <w:szCs w:val="22"/>
              </w:rPr>
              <w:t>0,4589</w:t>
            </w:r>
          </w:p>
        </w:tc>
      </w:tr>
      <w:tr w:rsidR="008E134B" w:rsidRPr="005138D5" w14:paraId="0A15DF16" w14:textId="77777777" w:rsidTr="00B32731">
        <w:tc>
          <w:tcPr>
            <w:tcW w:w="3240" w:type="dxa"/>
            <w:tcBorders>
              <w:top w:val="single" w:sz="4" w:space="0" w:color="000000"/>
              <w:left w:val="single" w:sz="4" w:space="0" w:color="000000"/>
              <w:bottom w:val="single" w:sz="4" w:space="0" w:color="000000"/>
              <w:right w:val="single" w:sz="4" w:space="0" w:color="000000"/>
            </w:tcBorders>
          </w:tcPr>
          <w:p w14:paraId="047F5617" w14:textId="77777777" w:rsidR="008E134B" w:rsidRPr="005138D5" w:rsidRDefault="008E134B" w:rsidP="00B32731">
            <w:pPr>
              <w:pStyle w:val="Default"/>
              <w:keepNext/>
              <w:keepLines/>
              <w:widowControl/>
              <w:rPr>
                <w:sz w:val="22"/>
                <w:szCs w:val="22"/>
                <w:lang w:val="pl-PL"/>
              </w:rPr>
            </w:pPr>
            <w:r w:rsidRPr="005138D5">
              <w:rPr>
                <w:sz w:val="22"/>
                <w:szCs w:val="22"/>
                <w:lang w:val="pl-PL"/>
              </w:rPr>
              <w:t>Potwierdzone lub prawdopodobne inwazyjne zakażenie grzybicze wystąpiło w trakcie stosowania badanego leku</w:t>
            </w:r>
          </w:p>
        </w:tc>
        <w:tc>
          <w:tcPr>
            <w:tcW w:w="1530" w:type="dxa"/>
            <w:tcBorders>
              <w:top w:val="single" w:sz="4" w:space="0" w:color="000000"/>
              <w:left w:val="single" w:sz="4" w:space="0" w:color="000000"/>
              <w:bottom w:val="single" w:sz="4" w:space="0" w:color="000000"/>
              <w:right w:val="single" w:sz="4" w:space="0" w:color="000000"/>
            </w:tcBorders>
          </w:tcPr>
          <w:p w14:paraId="24165140" w14:textId="77777777" w:rsidR="008E134B" w:rsidRPr="005138D5" w:rsidRDefault="008E134B" w:rsidP="00B32731">
            <w:pPr>
              <w:pStyle w:val="Default"/>
              <w:keepNext/>
              <w:keepLines/>
              <w:widowControl/>
              <w:rPr>
                <w:sz w:val="22"/>
                <w:szCs w:val="22"/>
              </w:rPr>
            </w:pPr>
            <w:r w:rsidRPr="005138D5">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0737D421" w14:textId="77777777" w:rsidR="008E134B" w:rsidRPr="005138D5" w:rsidRDefault="008E134B" w:rsidP="00B32731">
            <w:pPr>
              <w:pStyle w:val="Default"/>
              <w:keepNext/>
              <w:keepLines/>
              <w:widowControl/>
              <w:rPr>
                <w:sz w:val="22"/>
                <w:szCs w:val="22"/>
              </w:rPr>
            </w:pPr>
            <w:r w:rsidRPr="005138D5">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03D19B3B" w14:textId="77777777" w:rsidR="008E134B" w:rsidRPr="005138D5" w:rsidRDefault="008E134B" w:rsidP="00B32731">
            <w:pPr>
              <w:pStyle w:val="Default"/>
              <w:keepNext/>
              <w:keepLines/>
              <w:widowControl/>
              <w:jc w:val="center"/>
              <w:rPr>
                <w:sz w:val="22"/>
                <w:szCs w:val="22"/>
              </w:rPr>
            </w:pPr>
            <w:r w:rsidRPr="005138D5">
              <w:rPr>
                <w:sz w:val="22"/>
                <w:szCs w:val="22"/>
              </w:rPr>
              <w:t>-1,2% (-2,6%; 0,2%)</w:t>
            </w:r>
          </w:p>
        </w:tc>
        <w:tc>
          <w:tcPr>
            <w:tcW w:w="1080" w:type="dxa"/>
            <w:tcBorders>
              <w:top w:val="single" w:sz="4" w:space="0" w:color="000000"/>
              <w:left w:val="single" w:sz="4" w:space="0" w:color="000000"/>
              <w:bottom w:val="single" w:sz="4" w:space="0" w:color="000000"/>
              <w:right w:val="single" w:sz="4" w:space="0" w:color="000000"/>
            </w:tcBorders>
          </w:tcPr>
          <w:p w14:paraId="1B3CE47A" w14:textId="77777777" w:rsidR="008E134B" w:rsidRPr="005138D5" w:rsidRDefault="008E134B" w:rsidP="00B32731">
            <w:pPr>
              <w:pStyle w:val="Default"/>
              <w:keepNext/>
              <w:keepLines/>
              <w:widowControl/>
              <w:jc w:val="center"/>
              <w:rPr>
                <w:sz w:val="22"/>
                <w:szCs w:val="22"/>
              </w:rPr>
            </w:pPr>
            <w:r w:rsidRPr="005138D5">
              <w:rPr>
                <w:sz w:val="22"/>
                <w:szCs w:val="22"/>
              </w:rPr>
              <w:t>0,0813</w:t>
            </w:r>
          </w:p>
        </w:tc>
      </w:tr>
    </w:tbl>
    <w:p w14:paraId="041BFC67" w14:textId="77777777" w:rsidR="008E134B" w:rsidRPr="005138D5" w:rsidRDefault="008E134B" w:rsidP="008E134B">
      <w:pPr>
        <w:pStyle w:val="Default"/>
        <w:rPr>
          <w:sz w:val="22"/>
          <w:szCs w:val="22"/>
        </w:rPr>
      </w:pPr>
      <w:r w:rsidRPr="005138D5">
        <w:rPr>
          <w:sz w:val="22"/>
          <w:szCs w:val="22"/>
        </w:rPr>
        <w:t xml:space="preserve">* </w:t>
      </w:r>
      <w:proofErr w:type="spellStart"/>
      <w:r w:rsidRPr="005138D5">
        <w:rPr>
          <w:sz w:val="22"/>
          <w:szCs w:val="22"/>
        </w:rPr>
        <w:t>Pierwszorzędowy</w:t>
      </w:r>
      <w:proofErr w:type="spellEnd"/>
      <w:r w:rsidRPr="005138D5">
        <w:rPr>
          <w:sz w:val="22"/>
          <w:szCs w:val="22"/>
        </w:rPr>
        <w:t xml:space="preserve"> </w:t>
      </w:r>
      <w:proofErr w:type="spellStart"/>
      <w:r w:rsidRPr="005138D5">
        <w:rPr>
          <w:sz w:val="22"/>
          <w:szCs w:val="22"/>
        </w:rPr>
        <w:t>punkt</w:t>
      </w:r>
      <w:proofErr w:type="spellEnd"/>
      <w:r w:rsidRPr="005138D5">
        <w:rPr>
          <w:sz w:val="22"/>
          <w:szCs w:val="22"/>
        </w:rPr>
        <w:t xml:space="preserve"> </w:t>
      </w:r>
      <w:proofErr w:type="spellStart"/>
      <w:r w:rsidRPr="005138D5">
        <w:rPr>
          <w:sz w:val="22"/>
          <w:szCs w:val="22"/>
        </w:rPr>
        <w:t>końcowy</w:t>
      </w:r>
      <w:proofErr w:type="spellEnd"/>
      <w:r w:rsidRPr="005138D5">
        <w:rPr>
          <w:sz w:val="22"/>
          <w:szCs w:val="22"/>
        </w:rPr>
        <w:t xml:space="preserve"> </w:t>
      </w:r>
      <w:proofErr w:type="spellStart"/>
      <w:r w:rsidRPr="005138D5">
        <w:rPr>
          <w:sz w:val="22"/>
          <w:szCs w:val="22"/>
        </w:rPr>
        <w:t>badania</w:t>
      </w:r>
      <w:proofErr w:type="spellEnd"/>
    </w:p>
    <w:p w14:paraId="40AEB1BE" w14:textId="77777777" w:rsidR="008E134B" w:rsidRPr="005138D5" w:rsidRDefault="008E134B" w:rsidP="008E134B">
      <w:pPr>
        <w:pStyle w:val="Default"/>
        <w:rPr>
          <w:sz w:val="22"/>
          <w:szCs w:val="22"/>
          <w:lang w:val="pl-PL"/>
        </w:rPr>
      </w:pPr>
      <w:r w:rsidRPr="005138D5">
        <w:rPr>
          <w:sz w:val="22"/>
          <w:szCs w:val="22"/>
          <w:lang w:val="pl-PL"/>
        </w:rPr>
        <w:t>** Różnica w odsetkach, 95% przedział ufności (CI) i wartości p uzyskane po dostosowaniu do randomizacji</w:t>
      </w:r>
    </w:p>
    <w:p w14:paraId="08E593F4" w14:textId="77777777" w:rsidR="008E134B" w:rsidRPr="005138D5" w:rsidRDefault="008E134B" w:rsidP="008E134B">
      <w:pPr>
        <w:pStyle w:val="Default"/>
        <w:rPr>
          <w:sz w:val="22"/>
          <w:szCs w:val="22"/>
          <w:lang w:val="pl-PL"/>
        </w:rPr>
      </w:pPr>
    </w:p>
    <w:p w14:paraId="6A69A784" w14:textId="77777777" w:rsidR="008E134B" w:rsidRPr="005138D5" w:rsidRDefault="008E134B" w:rsidP="008E134B">
      <w:pPr>
        <w:pStyle w:val="Default"/>
        <w:rPr>
          <w:sz w:val="22"/>
          <w:szCs w:val="22"/>
          <w:lang w:val="pl-PL"/>
        </w:rPr>
      </w:pPr>
      <w:r w:rsidRPr="005138D5">
        <w:rPr>
          <w:sz w:val="22"/>
          <w:szCs w:val="22"/>
          <w:lang w:val="pl-PL"/>
        </w:rPr>
        <w:t>W tabelach poniżej przedstawiono współczynnik wystąpienia inwazyjnego zakażenia grzybiczego z przełamania do dnia 180 oraz pierwszorzędowy punkt końcowy badania (sukces w dniu 180) odpowiednio dla pacjentów z ostrą białaczką szpikową oraz pacjentów poddanych kondycjonowaniu mieloablacyjnemu:</w:t>
      </w:r>
    </w:p>
    <w:p w14:paraId="724C75C6" w14:textId="77777777" w:rsidR="008E134B" w:rsidRPr="005138D5" w:rsidRDefault="008E134B" w:rsidP="008E134B">
      <w:pPr>
        <w:pStyle w:val="Nagwek2"/>
        <w:rPr>
          <w:rFonts w:ascii="Times New Roman" w:hAnsi="Times New Roman" w:cs="Times New Roman"/>
          <w:b w:val="0"/>
          <w:u w:val="single"/>
        </w:rPr>
      </w:pPr>
    </w:p>
    <w:p w14:paraId="7A4F32AC" w14:textId="77777777" w:rsidR="008E134B" w:rsidRPr="005138D5" w:rsidRDefault="008E134B" w:rsidP="008E134B">
      <w:pPr>
        <w:pStyle w:val="Default"/>
        <w:keepNext/>
        <w:keepLines/>
        <w:rPr>
          <w:b/>
          <w:sz w:val="22"/>
          <w:szCs w:val="22"/>
          <w:u w:val="single"/>
        </w:rPr>
      </w:pPr>
      <w:proofErr w:type="spellStart"/>
      <w:r w:rsidRPr="005138D5">
        <w:rPr>
          <w:b/>
          <w:sz w:val="22"/>
          <w:szCs w:val="22"/>
          <w:u w:val="single"/>
        </w:rPr>
        <w:t>Ostra</w:t>
      </w:r>
      <w:proofErr w:type="spellEnd"/>
      <w:r w:rsidRPr="005138D5">
        <w:rPr>
          <w:b/>
          <w:sz w:val="22"/>
          <w:szCs w:val="22"/>
          <w:u w:val="single"/>
        </w:rPr>
        <w:t xml:space="preserve"> </w:t>
      </w:r>
      <w:proofErr w:type="spellStart"/>
      <w:r w:rsidRPr="005138D5">
        <w:rPr>
          <w:b/>
          <w:sz w:val="22"/>
          <w:szCs w:val="22"/>
          <w:u w:val="single"/>
        </w:rPr>
        <w:t>białaczka</w:t>
      </w:r>
      <w:proofErr w:type="spellEnd"/>
      <w:r w:rsidRPr="005138D5">
        <w:rPr>
          <w:b/>
          <w:sz w:val="22"/>
          <w:szCs w:val="22"/>
          <w:u w:val="single"/>
        </w:rPr>
        <w:t xml:space="preserve"> </w:t>
      </w:r>
      <w:proofErr w:type="spellStart"/>
      <w:r w:rsidRPr="005138D5">
        <w:rPr>
          <w:b/>
          <w:sz w:val="22"/>
          <w:szCs w:val="22"/>
          <w:u w:val="single"/>
        </w:rPr>
        <w:t>szpikowa</w:t>
      </w:r>
      <w:proofErr w:type="spellEnd"/>
    </w:p>
    <w:p w14:paraId="4B57F987" w14:textId="77777777" w:rsidR="008E134B" w:rsidRPr="005138D5" w:rsidRDefault="008E134B" w:rsidP="008E134B">
      <w:pPr>
        <w:pStyle w:val="Default"/>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E134B" w:rsidRPr="005138D5" w14:paraId="5FEAB645" w14:textId="77777777" w:rsidTr="00B32731">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90C926D" w14:textId="77777777" w:rsidR="008E134B" w:rsidRPr="005138D5" w:rsidRDefault="008E134B" w:rsidP="00B32731">
            <w:pPr>
              <w:pStyle w:val="Default"/>
              <w:rPr>
                <w:b/>
                <w:sz w:val="22"/>
                <w:szCs w:val="22"/>
              </w:rPr>
            </w:pPr>
            <w:proofErr w:type="spellStart"/>
            <w:r w:rsidRPr="005138D5">
              <w:rPr>
                <w:b/>
                <w:sz w:val="22"/>
                <w:szCs w:val="22"/>
              </w:rPr>
              <w:t>Punkty</w:t>
            </w:r>
            <w:proofErr w:type="spellEnd"/>
            <w:r w:rsidRPr="005138D5">
              <w:rPr>
                <w:b/>
                <w:sz w:val="22"/>
                <w:szCs w:val="22"/>
              </w:rPr>
              <w:t xml:space="preserve"> </w:t>
            </w:r>
            <w:proofErr w:type="spellStart"/>
            <w:r w:rsidRPr="005138D5">
              <w:rPr>
                <w:b/>
                <w:sz w:val="22"/>
                <w:szCs w:val="22"/>
              </w:rPr>
              <w:t>końcowe</w:t>
            </w:r>
            <w:proofErr w:type="spellEnd"/>
            <w:r w:rsidRPr="005138D5">
              <w:rPr>
                <w:b/>
                <w:sz w:val="22"/>
                <w:szCs w:val="22"/>
              </w:rPr>
              <w:t xml:space="preserve"> </w:t>
            </w:r>
            <w:proofErr w:type="spellStart"/>
            <w:r w:rsidRPr="005138D5">
              <w:rPr>
                <w:b/>
                <w:sz w:val="22"/>
                <w:szCs w:val="22"/>
              </w:rPr>
              <w:t>badania</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25A2608" w14:textId="77777777" w:rsidR="008E134B" w:rsidRPr="005138D5" w:rsidRDefault="008E134B" w:rsidP="00B32731">
            <w:pPr>
              <w:pStyle w:val="Default"/>
              <w:rPr>
                <w:b/>
                <w:sz w:val="22"/>
                <w:szCs w:val="22"/>
              </w:rPr>
            </w:pPr>
            <w:proofErr w:type="spellStart"/>
            <w:r w:rsidRPr="005138D5">
              <w:rPr>
                <w:b/>
                <w:sz w:val="22"/>
                <w:szCs w:val="22"/>
              </w:rPr>
              <w:t>Worykonazol</w:t>
            </w:r>
            <w:proofErr w:type="spellEnd"/>
            <w:r w:rsidRPr="005138D5">
              <w:rPr>
                <w:b/>
                <w:sz w:val="22"/>
                <w:szCs w:val="22"/>
              </w:rPr>
              <w:br/>
              <w:t xml:space="preserve">(N = 98)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1771D0DC" w14:textId="77777777" w:rsidR="008E134B" w:rsidRPr="005138D5" w:rsidRDefault="008E134B" w:rsidP="00B32731">
            <w:pPr>
              <w:pStyle w:val="Default"/>
              <w:rPr>
                <w:b/>
                <w:sz w:val="22"/>
                <w:szCs w:val="22"/>
              </w:rPr>
            </w:pPr>
            <w:proofErr w:type="spellStart"/>
            <w:r w:rsidRPr="005138D5">
              <w:rPr>
                <w:b/>
                <w:sz w:val="22"/>
                <w:szCs w:val="22"/>
              </w:rPr>
              <w:t>Itrakonazol</w:t>
            </w:r>
            <w:proofErr w:type="spellEnd"/>
            <w:r w:rsidRPr="005138D5">
              <w:rPr>
                <w:b/>
                <w:sz w:val="22"/>
                <w:szCs w:val="22"/>
              </w:rPr>
              <w:b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04663422" w14:textId="77777777" w:rsidR="008E134B" w:rsidRPr="005138D5" w:rsidRDefault="008E134B" w:rsidP="00B32731">
            <w:pPr>
              <w:pStyle w:val="Default"/>
              <w:jc w:val="center"/>
              <w:rPr>
                <w:b/>
                <w:sz w:val="22"/>
                <w:szCs w:val="22"/>
                <w:lang w:val="pl-PL"/>
              </w:rPr>
            </w:pPr>
            <w:r w:rsidRPr="005138D5">
              <w:rPr>
                <w:b/>
                <w:sz w:val="22"/>
                <w:szCs w:val="22"/>
                <w:lang w:val="pl-PL"/>
              </w:rPr>
              <w:t>Różnica w odsetkach i 95% przedział ufności (CI)</w:t>
            </w:r>
          </w:p>
        </w:tc>
      </w:tr>
      <w:tr w:rsidR="008E134B" w:rsidRPr="005138D5" w14:paraId="2B32E63A" w14:textId="77777777" w:rsidTr="00B32731">
        <w:tc>
          <w:tcPr>
            <w:tcW w:w="2790" w:type="dxa"/>
            <w:tcBorders>
              <w:top w:val="single" w:sz="4" w:space="0" w:color="000000"/>
              <w:left w:val="single" w:sz="4" w:space="0" w:color="000000"/>
              <w:bottom w:val="single" w:sz="4" w:space="0" w:color="000000"/>
              <w:right w:val="single" w:sz="4" w:space="0" w:color="000000"/>
            </w:tcBorders>
          </w:tcPr>
          <w:p w14:paraId="4A5F5E91" w14:textId="77777777" w:rsidR="008E134B" w:rsidRPr="005138D5" w:rsidRDefault="008E134B" w:rsidP="00B32731">
            <w:pPr>
              <w:pStyle w:val="Default"/>
              <w:rPr>
                <w:sz w:val="22"/>
                <w:szCs w:val="22"/>
                <w:lang w:val="pl-PL"/>
              </w:rPr>
            </w:pPr>
            <w:r w:rsidRPr="005138D5">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47BBB0ED" w14:textId="77777777" w:rsidR="008E134B" w:rsidRPr="005138D5" w:rsidRDefault="008E134B" w:rsidP="00B32731">
            <w:pPr>
              <w:pStyle w:val="Default"/>
              <w:rPr>
                <w:sz w:val="22"/>
                <w:szCs w:val="22"/>
              </w:rPr>
            </w:pPr>
            <w:r w:rsidRPr="005138D5">
              <w:rPr>
                <w:sz w:val="22"/>
                <w:szCs w:val="22"/>
              </w:rPr>
              <w:t>1 (1,0%)</w:t>
            </w:r>
          </w:p>
        </w:tc>
        <w:tc>
          <w:tcPr>
            <w:tcW w:w="1440" w:type="dxa"/>
            <w:tcBorders>
              <w:top w:val="single" w:sz="4" w:space="0" w:color="000000"/>
              <w:left w:val="single" w:sz="4" w:space="0" w:color="000000"/>
              <w:bottom w:val="single" w:sz="4" w:space="0" w:color="000000"/>
              <w:right w:val="single" w:sz="4" w:space="0" w:color="000000"/>
            </w:tcBorders>
          </w:tcPr>
          <w:p w14:paraId="067F3C2F" w14:textId="77777777" w:rsidR="008E134B" w:rsidRPr="005138D5" w:rsidRDefault="008E134B" w:rsidP="00B32731">
            <w:pPr>
              <w:pStyle w:val="Default"/>
              <w:rPr>
                <w:sz w:val="22"/>
                <w:szCs w:val="22"/>
              </w:rPr>
            </w:pPr>
            <w:r w:rsidRPr="005138D5">
              <w:rPr>
                <w:sz w:val="22"/>
                <w:szCs w:val="22"/>
              </w:rPr>
              <w:t>2 (1,8%)</w:t>
            </w:r>
          </w:p>
        </w:tc>
        <w:tc>
          <w:tcPr>
            <w:tcW w:w="3060" w:type="dxa"/>
            <w:tcBorders>
              <w:top w:val="single" w:sz="4" w:space="0" w:color="000000"/>
              <w:left w:val="single" w:sz="4" w:space="0" w:color="000000"/>
              <w:bottom w:val="single" w:sz="4" w:space="0" w:color="000000"/>
              <w:right w:val="single" w:sz="4" w:space="0" w:color="000000"/>
            </w:tcBorders>
          </w:tcPr>
          <w:p w14:paraId="5A348082" w14:textId="77777777" w:rsidR="008E134B" w:rsidRPr="005138D5" w:rsidRDefault="008E134B" w:rsidP="00B32731">
            <w:pPr>
              <w:pStyle w:val="Paragraph"/>
              <w:rPr>
                <w:sz w:val="22"/>
                <w:szCs w:val="22"/>
              </w:rPr>
            </w:pPr>
            <w:r w:rsidRPr="005138D5">
              <w:rPr>
                <w:sz w:val="22"/>
                <w:szCs w:val="22"/>
              </w:rPr>
              <w:t>-0,8% (-4,0%; 2,4%)**</w:t>
            </w:r>
          </w:p>
        </w:tc>
      </w:tr>
      <w:tr w:rsidR="008E134B" w:rsidRPr="005138D5" w14:paraId="15EB8B52" w14:textId="77777777" w:rsidTr="00B32731">
        <w:tc>
          <w:tcPr>
            <w:tcW w:w="2790" w:type="dxa"/>
            <w:tcBorders>
              <w:top w:val="single" w:sz="4" w:space="0" w:color="000000"/>
              <w:left w:val="single" w:sz="4" w:space="0" w:color="000000"/>
              <w:bottom w:val="single" w:sz="4" w:space="0" w:color="000000"/>
              <w:right w:val="single" w:sz="4" w:space="0" w:color="000000"/>
            </w:tcBorders>
          </w:tcPr>
          <w:p w14:paraId="5AB7013B" w14:textId="77777777" w:rsidR="008E134B" w:rsidRPr="005138D5" w:rsidRDefault="008E134B" w:rsidP="00B32731">
            <w:pPr>
              <w:pStyle w:val="Default"/>
              <w:rPr>
                <w:sz w:val="22"/>
                <w:szCs w:val="22"/>
              </w:rPr>
            </w:pPr>
            <w:proofErr w:type="spellStart"/>
            <w:r w:rsidRPr="005138D5">
              <w:rPr>
                <w:sz w:val="22"/>
                <w:szCs w:val="22"/>
              </w:rPr>
              <w:t>Sukces</w:t>
            </w:r>
            <w:proofErr w:type="spellEnd"/>
            <w:r w:rsidRPr="005138D5">
              <w:rPr>
                <w:sz w:val="22"/>
                <w:szCs w:val="22"/>
              </w:rPr>
              <w:t xml:space="preserve"> w </w:t>
            </w:r>
            <w:proofErr w:type="spellStart"/>
            <w:r w:rsidRPr="005138D5">
              <w:rPr>
                <w:sz w:val="22"/>
                <w:szCs w:val="22"/>
              </w:rPr>
              <w:t>dniu</w:t>
            </w:r>
            <w:proofErr w:type="spellEnd"/>
            <w:r w:rsidRPr="005138D5">
              <w:rPr>
                <w:sz w:val="22"/>
                <w:szCs w:val="22"/>
              </w:rPr>
              <w:t> 180*</w:t>
            </w:r>
          </w:p>
        </w:tc>
        <w:tc>
          <w:tcPr>
            <w:tcW w:w="1530" w:type="dxa"/>
            <w:tcBorders>
              <w:top w:val="single" w:sz="4" w:space="0" w:color="000000"/>
              <w:left w:val="single" w:sz="4" w:space="0" w:color="000000"/>
              <w:bottom w:val="single" w:sz="4" w:space="0" w:color="000000"/>
              <w:right w:val="single" w:sz="4" w:space="0" w:color="000000"/>
            </w:tcBorders>
          </w:tcPr>
          <w:p w14:paraId="39B71D2F" w14:textId="77777777" w:rsidR="008E134B" w:rsidRPr="005138D5" w:rsidRDefault="008E134B" w:rsidP="00B32731">
            <w:pPr>
              <w:pStyle w:val="Default"/>
              <w:rPr>
                <w:sz w:val="22"/>
                <w:szCs w:val="22"/>
              </w:rPr>
            </w:pPr>
            <w:r w:rsidRPr="005138D5">
              <w:rPr>
                <w:sz w:val="22"/>
                <w:szCs w:val="22"/>
              </w:rPr>
              <w:t>55 (56,1%)</w:t>
            </w:r>
          </w:p>
        </w:tc>
        <w:tc>
          <w:tcPr>
            <w:tcW w:w="1440" w:type="dxa"/>
            <w:tcBorders>
              <w:top w:val="single" w:sz="4" w:space="0" w:color="000000"/>
              <w:left w:val="single" w:sz="4" w:space="0" w:color="000000"/>
              <w:bottom w:val="single" w:sz="4" w:space="0" w:color="000000"/>
              <w:right w:val="single" w:sz="4" w:space="0" w:color="000000"/>
            </w:tcBorders>
          </w:tcPr>
          <w:p w14:paraId="40E76B5E" w14:textId="77777777" w:rsidR="008E134B" w:rsidRPr="005138D5" w:rsidRDefault="008E134B" w:rsidP="00B32731">
            <w:pPr>
              <w:pStyle w:val="Default"/>
              <w:rPr>
                <w:sz w:val="22"/>
                <w:szCs w:val="22"/>
              </w:rPr>
            </w:pPr>
            <w:r w:rsidRPr="005138D5">
              <w:rPr>
                <w:sz w:val="22"/>
                <w:szCs w:val="22"/>
              </w:rPr>
              <w:t>45 (41,3%)</w:t>
            </w:r>
          </w:p>
        </w:tc>
        <w:tc>
          <w:tcPr>
            <w:tcW w:w="3060" w:type="dxa"/>
            <w:tcBorders>
              <w:top w:val="single" w:sz="4" w:space="0" w:color="000000"/>
              <w:left w:val="single" w:sz="4" w:space="0" w:color="000000"/>
              <w:bottom w:val="single" w:sz="4" w:space="0" w:color="000000"/>
              <w:right w:val="single" w:sz="4" w:space="0" w:color="000000"/>
            </w:tcBorders>
          </w:tcPr>
          <w:p w14:paraId="090EC015" w14:textId="77777777" w:rsidR="008E134B" w:rsidRPr="005138D5" w:rsidRDefault="008E134B" w:rsidP="00B32731">
            <w:pPr>
              <w:pStyle w:val="Paragraph"/>
              <w:widowControl w:val="0"/>
              <w:autoSpaceDE w:val="0"/>
              <w:autoSpaceDN w:val="0"/>
              <w:adjustRightInd w:val="0"/>
              <w:rPr>
                <w:sz w:val="22"/>
                <w:szCs w:val="22"/>
                <w:lang w:val="en-GB"/>
              </w:rPr>
            </w:pPr>
            <w:r w:rsidRPr="005138D5">
              <w:rPr>
                <w:sz w:val="22"/>
                <w:szCs w:val="22"/>
              </w:rPr>
              <w:t>14,7% (1,7%; 27,7%)***</w:t>
            </w:r>
          </w:p>
        </w:tc>
      </w:tr>
    </w:tbl>
    <w:p w14:paraId="084C8A48" w14:textId="77777777" w:rsidR="008E134B" w:rsidRPr="005138D5" w:rsidRDefault="008E134B" w:rsidP="008E134B">
      <w:pPr>
        <w:pStyle w:val="Default"/>
        <w:rPr>
          <w:sz w:val="22"/>
          <w:szCs w:val="22"/>
        </w:rPr>
      </w:pPr>
      <w:r w:rsidRPr="005138D5">
        <w:rPr>
          <w:sz w:val="22"/>
          <w:szCs w:val="22"/>
        </w:rPr>
        <w:t xml:space="preserve">* </w:t>
      </w:r>
      <w:proofErr w:type="spellStart"/>
      <w:r w:rsidRPr="005138D5">
        <w:rPr>
          <w:sz w:val="22"/>
          <w:szCs w:val="22"/>
        </w:rPr>
        <w:t>Pierwszorzędowy</w:t>
      </w:r>
      <w:proofErr w:type="spellEnd"/>
      <w:r w:rsidRPr="005138D5">
        <w:rPr>
          <w:sz w:val="22"/>
          <w:szCs w:val="22"/>
        </w:rPr>
        <w:t xml:space="preserve"> </w:t>
      </w:r>
      <w:proofErr w:type="spellStart"/>
      <w:r w:rsidRPr="005138D5">
        <w:rPr>
          <w:sz w:val="22"/>
          <w:szCs w:val="22"/>
        </w:rPr>
        <w:t>punkt</w:t>
      </w:r>
      <w:proofErr w:type="spellEnd"/>
      <w:r w:rsidRPr="005138D5">
        <w:rPr>
          <w:sz w:val="22"/>
          <w:szCs w:val="22"/>
        </w:rPr>
        <w:t xml:space="preserve"> </w:t>
      </w:r>
      <w:proofErr w:type="spellStart"/>
      <w:r w:rsidRPr="005138D5">
        <w:rPr>
          <w:sz w:val="22"/>
          <w:szCs w:val="22"/>
        </w:rPr>
        <w:t>końcowy</w:t>
      </w:r>
      <w:proofErr w:type="spellEnd"/>
      <w:r w:rsidRPr="005138D5">
        <w:rPr>
          <w:sz w:val="22"/>
          <w:szCs w:val="22"/>
        </w:rPr>
        <w:t xml:space="preserve"> </w:t>
      </w:r>
      <w:proofErr w:type="spellStart"/>
      <w:r w:rsidRPr="005138D5">
        <w:rPr>
          <w:sz w:val="22"/>
          <w:szCs w:val="22"/>
        </w:rPr>
        <w:t>badania</w:t>
      </w:r>
      <w:proofErr w:type="spellEnd"/>
    </w:p>
    <w:p w14:paraId="7B619630" w14:textId="77777777" w:rsidR="008E134B" w:rsidRPr="005138D5" w:rsidRDefault="008E134B" w:rsidP="008E134B">
      <w:pPr>
        <w:pStyle w:val="Default"/>
        <w:rPr>
          <w:sz w:val="22"/>
          <w:szCs w:val="22"/>
          <w:lang w:val="pl-PL"/>
        </w:rPr>
      </w:pPr>
      <w:r w:rsidRPr="005138D5">
        <w:rPr>
          <w:sz w:val="22"/>
          <w:szCs w:val="22"/>
          <w:lang w:val="pl-PL"/>
        </w:rPr>
        <w:t xml:space="preserve">** Wykazano nie mniejszą skuteczność (ang. </w:t>
      </w:r>
      <w:r w:rsidRPr="005138D5">
        <w:rPr>
          <w:i/>
          <w:sz w:val="22"/>
          <w:szCs w:val="22"/>
          <w:lang w:val="pl-PL"/>
        </w:rPr>
        <w:t>non-inferiority</w:t>
      </w:r>
      <w:r w:rsidRPr="005138D5">
        <w:rPr>
          <w:sz w:val="22"/>
          <w:szCs w:val="22"/>
          <w:lang w:val="pl-PL"/>
        </w:rPr>
        <w:t>) z p &lt; 0,05</w:t>
      </w:r>
    </w:p>
    <w:p w14:paraId="69CBABD1" w14:textId="77777777" w:rsidR="008E134B" w:rsidRPr="005138D5" w:rsidRDefault="008E134B" w:rsidP="008E134B">
      <w:pPr>
        <w:pStyle w:val="Default"/>
        <w:rPr>
          <w:sz w:val="22"/>
          <w:szCs w:val="22"/>
          <w:lang w:val="pl-PL"/>
        </w:rPr>
      </w:pPr>
      <w:r w:rsidRPr="005138D5">
        <w:rPr>
          <w:sz w:val="22"/>
          <w:szCs w:val="22"/>
          <w:lang w:val="pl-PL"/>
        </w:rPr>
        <w:t>*** Różnica w odsetkach, 95% przedział ufności (CI) uzyskany po dostosowaniu do randomizacji</w:t>
      </w:r>
    </w:p>
    <w:p w14:paraId="458B5ED8" w14:textId="77777777" w:rsidR="008E134B" w:rsidRPr="005138D5" w:rsidRDefault="008E134B" w:rsidP="008E134B">
      <w:pPr>
        <w:pStyle w:val="CM55"/>
        <w:spacing w:after="0"/>
        <w:rPr>
          <w:sz w:val="22"/>
          <w:szCs w:val="22"/>
          <w:lang w:val="pl-PL"/>
        </w:rPr>
      </w:pPr>
    </w:p>
    <w:p w14:paraId="0EC27038" w14:textId="77777777" w:rsidR="008E134B" w:rsidRPr="005138D5" w:rsidRDefault="008E134B" w:rsidP="008E134B">
      <w:pPr>
        <w:rPr>
          <w:b/>
          <w:sz w:val="22"/>
        </w:rPr>
      </w:pPr>
      <w:r w:rsidRPr="005138D5">
        <w:rPr>
          <w:b/>
          <w:sz w:val="22"/>
        </w:rPr>
        <w:t>Kondycjonowanie mieloablacyjne</w:t>
      </w:r>
    </w:p>
    <w:p w14:paraId="5457CF76" w14:textId="77777777" w:rsidR="008E134B" w:rsidRPr="005138D5" w:rsidRDefault="008E134B" w:rsidP="008E134B">
      <w:pPr>
        <w:rPr>
          <w:b/>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8E134B" w:rsidRPr="005138D5" w14:paraId="64DE929D" w14:textId="77777777" w:rsidTr="00B32731">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47BEC7C5" w14:textId="77777777" w:rsidR="008E134B" w:rsidRPr="005138D5" w:rsidRDefault="008E134B" w:rsidP="00B32731">
            <w:pPr>
              <w:pStyle w:val="Default"/>
              <w:rPr>
                <w:b/>
                <w:sz w:val="22"/>
                <w:szCs w:val="22"/>
              </w:rPr>
            </w:pPr>
            <w:proofErr w:type="spellStart"/>
            <w:r w:rsidRPr="005138D5">
              <w:rPr>
                <w:b/>
                <w:sz w:val="22"/>
                <w:szCs w:val="22"/>
              </w:rPr>
              <w:t>Punkty</w:t>
            </w:r>
            <w:proofErr w:type="spellEnd"/>
            <w:r w:rsidRPr="005138D5">
              <w:rPr>
                <w:b/>
                <w:sz w:val="22"/>
                <w:szCs w:val="22"/>
              </w:rPr>
              <w:t xml:space="preserve"> </w:t>
            </w:r>
            <w:proofErr w:type="spellStart"/>
            <w:r w:rsidRPr="005138D5">
              <w:rPr>
                <w:b/>
                <w:sz w:val="22"/>
                <w:szCs w:val="22"/>
              </w:rPr>
              <w:t>końcowe</w:t>
            </w:r>
            <w:proofErr w:type="spellEnd"/>
            <w:r w:rsidRPr="005138D5">
              <w:rPr>
                <w:b/>
                <w:sz w:val="22"/>
                <w:szCs w:val="22"/>
              </w:rPr>
              <w:t xml:space="preserve"> </w:t>
            </w:r>
            <w:proofErr w:type="spellStart"/>
            <w:r w:rsidRPr="005138D5">
              <w:rPr>
                <w:b/>
                <w:sz w:val="22"/>
                <w:szCs w:val="22"/>
              </w:rPr>
              <w:t>badania</w:t>
            </w:r>
            <w:proofErr w:type="spellEnd"/>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7D02AB9A" w14:textId="77777777" w:rsidR="008E134B" w:rsidRPr="005138D5" w:rsidRDefault="008E134B" w:rsidP="00B32731">
            <w:pPr>
              <w:pStyle w:val="Default"/>
              <w:rPr>
                <w:b/>
                <w:sz w:val="22"/>
                <w:szCs w:val="22"/>
              </w:rPr>
            </w:pPr>
            <w:proofErr w:type="spellStart"/>
            <w:r w:rsidRPr="005138D5">
              <w:rPr>
                <w:b/>
                <w:sz w:val="22"/>
                <w:szCs w:val="22"/>
              </w:rPr>
              <w:t>Worykonazol</w:t>
            </w:r>
            <w:proofErr w:type="spellEnd"/>
            <w:r w:rsidRPr="005138D5">
              <w:rPr>
                <w:b/>
                <w:sz w:val="22"/>
                <w:szCs w:val="22"/>
              </w:rPr>
              <w:br/>
              <w:t xml:space="preserve">(N = 125)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6A7E2762" w14:textId="77777777" w:rsidR="008E134B" w:rsidRPr="005138D5" w:rsidRDefault="008E134B" w:rsidP="00B32731">
            <w:pPr>
              <w:pStyle w:val="Default"/>
              <w:rPr>
                <w:b/>
                <w:sz w:val="22"/>
                <w:szCs w:val="22"/>
              </w:rPr>
            </w:pPr>
            <w:proofErr w:type="spellStart"/>
            <w:r w:rsidRPr="005138D5">
              <w:rPr>
                <w:b/>
                <w:sz w:val="22"/>
                <w:szCs w:val="22"/>
              </w:rPr>
              <w:t>Itrakonazol</w:t>
            </w:r>
            <w:proofErr w:type="spellEnd"/>
            <w:r w:rsidRPr="005138D5">
              <w:rPr>
                <w:b/>
                <w:sz w:val="22"/>
                <w:szCs w:val="22"/>
              </w:rPr>
              <w:b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04B9BEEF" w14:textId="77777777" w:rsidR="008E134B" w:rsidRPr="005138D5" w:rsidRDefault="008E134B" w:rsidP="00B32731">
            <w:pPr>
              <w:pStyle w:val="Default"/>
              <w:jc w:val="center"/>
              <w:rPr>
                <w:b/>
                <w:sz w:val="22"/>
                <w:szCs w:val="22"/>
                <w:lang w:val="pl-PL"/>
              </w:rPr>
            </w:pPr>
            <w:r w:rsidRPr="005138D5">
              <w:rPr>
                <w:b/>
                <w:sz w:val="22"/>
                <w:szCs w:val="22"/>
                <w:lang w:val="pl-PL"/>
              </w:rPr>
              <w:t>Różnica w odsetkach i 95% przedział ufności (CI)</w:t>
            </w:r>
          </w:p>
        </w:tc>
      </w:tr>
      <w:tr w:rsidR="008E134B" w:rsidRPr="005138D5" w14:paraId="1E9F8CE8" w14:textId="77777777" w:rsidTr="00B32731">
        <w:tc>
          <w:tcPr>
            <w:tcW w:w="2790" w:type="dxa"/>
            <w:tcBorders>
              <w:top w:val="single" w:sz="4" w:space="0" w:color="000000"/>
              <w:left w:val="single" w:sz="4" w:space="0" w:color="000000"/>
              <w:bottom w:val="single" w:sz="4" w:space="0" w:color="000000"/>
              <w:right w:val="single" w:sz="4" w:space="0" w:color="000000"/>
            </w:tcBorders>
          </w:tcPr>
          <w:p w14:paraId="49AB8F4A" w14:textId="77777777" w:rsidR="008E134B" w:rsidRPr="005138D5" w:rsidRDefault="008E134B" w:rsidP="00B32731">
            <w:pPr>
              <w:pStyle w:val="Default"/>
              <w:rPr>
                <w:sz w:val="22"/>
                <w:szCs w:val="22"/>
                <w:lang w:val="pl-PL"/>
              </w:rPr>
            </w:pPr>
            <w:r w:rsidRPr="005138D5">
              <w:rPr>
                <w:sz w:val="22"/>
                <w:szCs w:val="22"/>
                <w:lang w:val="pl-PL"/>
              </w:rPr>
              <w:t>Inwazyjne zakażenie grzybicze z przełamania - dzień 180</w:t>
            </w:r>
          </w:p>
        </w:tc>
        <w:tc>
          <w:tcPr>
            <w:tcW w:w="1530" w:type="dxa"/>
            <w:tcBorders>
              <w:top w:val="single" w:sz="4" w:space="0" w:color="000000"/>
              <w:left w:val="single" w:sz="4" w:space="0" w:color="000000"/>
              <w:bottom w:val="single" w:sz="4" w:space="0" w:color="000000"/>
              <w:right w:val="single" w:sz="4" w:space="0" w:color="000000"/>
            </w:tcBorders>
          </w:tcPr>
          <w:p w14:paraId="55A4E632" w14:textId="77777777" w:rsidR="008E134B" w:rsidRPr="005138D5" w:rsidRDefault="008E134B" w:rsidP="00B32731">
            <w:pPr>
              <w:pStyle w:val="Default"/>
              <w:rPr>
                <w:sz w:val="22"/>
                <w:szCs w:val="22"/>
              </w:rPr>
            </w:pPr>
            <w:r w:rsidRPr="005138D5">
              <w:rPr>
                <w:sz w:val="22"/>
                <w:szCs w:val="22"/>
              </w:rPr>
              <w:t>2 (1,6%)</w:t>
            </w:r>
          </w:p>
        </w:tc>
        <w:tc>
          <w:tcPr>
            <w:tcW w:w="1440" w:type="dxa"/>
            <w:tcBorders>
              <w:top w:val="single" w:sz="4" w:space="0" w:color="000000"/>
              <w:left w:val="single" w:sz="4" w:space="0" w:color="000000"/>
              <w:bottom w:val="single" w:sz="4" w:space="0" w:color="000000"/>
              <w:right w:val="single" w:sz="4" w:space="0" w:color="000000"/>
            </w:tcBorders>
          </w:tcPr>
          <w:p w14:paraId="321FDD9D" w14:textId="77777777" w:rsidR="008E134B" w:rsidRPr="005138D5" w:rsidRDefault="008E134B" w:rsidP="00B32731">
            <w:pPr>
              <w:pStyle w:val="Default"/>
              <w:rPr>
                <w:sz w:val="22"/>
                <w:szCs w:val="22"/>
              </w:rPr>
            </w:pPr>
            <w:r w:rsidRPr="005138D5">
              <w:rPr>
                <w:sz w:val="22"/>
                <w:szCs w:val="22"/>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0B859486" w14:textId="77777777" w:rsidR="008E134B" w:rsidRPr="005138D5" w:rsidRDefault="008E134B" w:rsidP="00B32731">
            <w:pPr>
              <w:pStyle w:val="Paragraph"/>
              <w:rPr>
                <w:sz w:val="22"/>
                <w:szCs w:val="22"/>
              </w:rPr>
            </w:pPr>
            <w:r w:rsidRPr="005138D5">
              <w:rPr>
                <w:sz w:val="22"/>
                <w:szCs w:val="22"/>
              </w:rPr>
              <w:t>-0,5% (-3,7%; 2,7%)**</w:t>
            </w:r>
          </w:p>
        </w:tc>
      </w:tr>
      <w:tr w:rsidR="008E134B" w:rsidRPr="005138D5" w14:paraId="212CB31A" w14:textId="77777777" w:rsidTr="00B32731">
        <w:tc>
          <w:tcPr>
            <w:tcW w:w="2790" w:type="dxa"/>
            <w:tcBorders>
              <w:top w:val="single" w:sz="4" w:space="0" w:color="000000"/>
              <w:left w:val="single" w:sz="4" w:space="0" w:color="000000"/>
              <w:bottom w:val="single" w:sz="4" w:space="0" w:color="000000"/>
              <w:right w:val="single" w:sz="4" w:space="0" w:color="000000"/>
            </w:tcBorders>
          </w:tcPr>
          <w:p w14:paraId="69ED6AE8" w14:textId="77777777" w:rsidR="008E134B" w:rsidRPr="005138D5" w:rsidRDefault="008E134B" w:rsidP="00B32731">
            <w:pPr>
              <w:pStyle w:val="Default"/>
              <w:rPr>
                <w:sz w:val="22"/>
                <w:szCs w:val="22"/>
              </w:rPr>
            </w:pPr>
            <w:proofErr w:type="spellStart"/>
            <w:r w:rsidRPr="005138D5">
              <w:rPr>
                <w:sz w:val="22"/>
                <w:szCs w:val="22"/>
              </w:rPr>
              <w:t>Sukces</w:t>
            </w:r>
            <w:proofErr w:type="spellEnd"/>
            <w:r w:rsidRPr="005138D5">
              <w:rPr>
                <w:sz w:val="22"/>
                <w:szCs w:val="22"/>
              </w:rPr>
              <w:t xml:space="preserve"> w </w:t>
            </w:r>
            <w:proofErr w:type="spellStart"/>
            <w:r w:rsidRPr="005138D5">
              <w:rPr>
                <w:sz w:val="22"/>
                <w:szCs w:val="22"/>
              </w:rPr>
              <w:t>dniu</w:t>
            </w:r>
            <w:proofErr w:type="spellEnd"/>
            <w:r w:rsidRPr="005138D5">
              <w:rPr>
                <w:sz w:val="22"/>
                <w:szCs w:val="22"/>
              </w:rPr>
              <w:t> 180*</w:t>
            </w:r>
          </w:p>
        </w:tc>
        <w:tc>
          <w:tcPr>
            <w:tcW w:w="1530" w:type="dxa"/>
            <w:tcBorders>
              <w:top w:val="single" w:sz="4" w:space="0" w:color="000000"/>
              <w:left w:val="single" w:sz="4" w:space="0" w:color="000000"/>
              <w:bottom w:val="single" w:sz="4" w:space="0" w:color="000000"/>
              <w:right w:val="single" w:sz="4" w:space="0" w:color="000000"/>
            </w:tcBorders>
          </w:tcPr>
          <w:p w14:paraId="542B4330" w14:textId="77777777" w:rsidR="008E134B" w:rsidRPr="005138D5" w:rsidRDefault="008E134B" w:rsidP="00B32731">
            <w:pPr>
              <w:pStyle w:val="Default"/>
              <w:rPr>
                <w:sz w:val="22"/>
                <w:szCs w:val="22"/>
              </w:rPr>
            </w:pPr>
            <w:r w:rsidRPr="005138D5">
              <w:rPr>
                <w:sz w:val="22"/>
                <w:szCs w:val="22"/>
              </w:rPr>
              <w:t>70 (56,0%)</w:t>
            </w:r>
          </w:p>
        </w:tc>
        <w:tc>
          <w:tcPr>
            <w:tcW w:w="1440" w:type="dxa"/>
            <w:tcBorders>
              <w:top w:val="single" w:sz="4" w:space="0" w:color="000000"/>
              <w:left w:val="single" w:sz="4" w:space="0" w:color="000000"/>
              <w:bottom w:val="single" w:sz="4" w:space="0" w:color="000000"/>
              <w:right w:val="single" w:sz="4" w:space="0" w:color="000000"/>
            </w:tcBorders>
          </w:tcPr>
          <w:p w14:paraId="1ABD5A69" w14:textId="77777777" w:rsidR="008E134B" w:rsidRPr="005138D5" w:rsidRDefault="008E134B" w:rsidP="00B32731">
            <w:pPr>
              <w:pStyle w:val="Default"/>
              <w:rPr>
                <w:sz w:val="22"/>
                <w:szCs w:val="22"/>
              </w:rPr>
            </w:pPr>
            <w:r w:rsidRPr="005138D5">
              <w:rPr>
                <w:sz w:val="22"/>
                <w:szCs w:val="22"/>
              </w:rPr>
              <w:t>53 (37,1%)</w:t>
            </w:r>
          </w:p>
        </w:tc>
        <w:tc>
          <w:tcPr>
            <w:tcW w:w="3060" w:type="dxa"/>
            <w:tcBorders>
              <w:top w:val="single" w:sz="4" w:space="0" w:color="000000"/>
              <w:left w:val="single" w:sz="4" w:space="0" w:color="000000"/>
              <w:bottom w:val="single" w:sz="4" w:space="0" w:color="000000"/>
              <w:right w:val="single" w:sz="4" w:space="0" w:color="000000"/>
            </w:tcBorders>
          </w:tcPr>
          <w:p w14:paraId="6D423D0B" w14:textId="77777777" w:rsidR="008E134B" w:rsidRPr="005138D5" w:rsidRDefault="008E134B" w:rsidP="00B32731">
            <w:pPr>
              <w:pStyle w:val="Paragraph"/>
              <w:rPr>
                <w:sz w:val="22"/>
                <w:szCs w:val="22"/>
              </w:rPr>
            </w:pPr>
            <w:r w:rsidRPr="005138D5">
              <w:rPr>
                <w:sz w:val="22"/>
                <w:szCs w:val="22"/>
              </w:rPr>
              <w:t>20,1% (8,5%; 31,7%)***</w:t>
            </w:r>
          </w:p>
        </w:tc>
      </w:tr>
    </w:tbl>
    <w:p w14:paraId="4ADFB9B2" w14:textId="77777777" w:rsidR="008E134B" w:rsidRPr="005138D5" w:rsidRDefault="008E134B" w:rsidP="008E134B">
      <w:pPr>
        <w:pStyle w:val="Default"/>
        <w:rPr>
          <w:sz w:val="22"/>
          <w:szCs w:val="22"/>
        </w:rPr>
      </w:pPr>
      <w:r w:rsidRPr="005138D5">
        <w:rPr>
          <w:sz w:val="22"/>
          <w:szCs w:val="22"/>
        </w:rPr>
        <w:t xml:space="preserve">* </w:t>
      </w:r>
      <w:proofErr w:type="spellStart"/>
      <w:r w:rsidRPr="005138D5">
        <w:rPr>
          <w:sz w:val="22"/>
          <w:szCs w:val="22"/>
        </w:rPr>
        <w:t>Pierwszorzędowy</w:t>
      </w:r>
      <w:proofErr w:type="spellEnd"/>
      <w:r w:rsidRPr="005138D5">
        <w:rPr>
          <w:sz w:val="22"/>
          <w:szCs w:val="22"/>
        </w:rPr>
        <w:t xml:space="preserve"> </w:t>
      </w:r>
      <w:proofErr w:type="spellStart"/>
      <w:r w:rsidRPr="005138D5">
        <w:rPr>
          <w:sz w:val="22"/>
          <w:szCs w:val="22"/>
        </w:rPr>
        <w:t>punkt</w:t>
      </w:r>
      <w:proofErr w:type="spellEnd"/>
      <w:r w:rsidRPr="005138D5">
        <w:rPr>
          <w:sz w:val="22"/>
          <w:szCs w:val="22"/>
        </w:rPr>
        <w:t xml:space="preserve"> </w:t>
      </w:r>
      <w:proofErr w:type="spellStart"/>
      <w:r w:rsidRPr="005138D5">
        <w:rPr>
          <w:sz w:val="22"/>
          <w:szCs w:val="22"/>
        </w:rPr>
        <w:t>końcowy</w:t>
      </w:r>
      <w:proofErr w:type="spellEnd"/>
      <w:r w:rsidRPr="005138D5">
        <w:rPr>
          <w:sz w:val="22"/>
          <w:szCs w:val="22"/>
        </w:rPr>
        <w:t xml:space="preserve"> </w:t>
      </w:r>
      <w:proofErr w:type="spellStart"/>
      <w:r w:rsidRPr="005138D5">
        <w:rPr>
          <w:sz w:val="22"/>
          <w:szCs w:val="22"/>
        </w:rPr>
        <w:t>badania</w:t>
      </w:r>
      <w:proofErr w:type="spellEnd"/>
    </w:p>
    <w:p w14:paraId="03E3C5EC" w14:textId="77777777" w:rsidR="008E134B" w:rsidRPr="005138D5" w:rsidRDefault="008E134B" w:rsidP="008E134B">
      <w:pPr>
        <w:pStyle w:val="Default"/>
        <w:rPr>
          <w:sz w:val="22"/>
          <w:szCs w:val="22"/>
          <w:lang w:val="pl-PL"/>
        </w:rPr>
      </w:pPr>
      <w:r w:rsidRPr="005138D5">
        <w:rPr>
          <w:sz w:val="22"/>
          <w:szCs w:val="22"/>
          <w:lang w:val="pl-PL"/>
        </w:rPr>
        <w:t xml:space="preserve">** Wykazano nie mniejszą skuteczność (ang. </w:t>
      </w:r>
      <w:r w:rsidRPr="005138D5">
        <w:rPr>
          <w:i/>
          <w:sz w:val="22"/>
          <w:szCs w:val="22"/>
          <w:lang w:val="pl-PL"/>
        </w:rPr>
        <w:t>non-inferiority</w:t>
      </w:r>
      <w:r w:rsidRPr="005138D5">
        <w:rPr>
          <w:sz w:val="22"/>
          <w:szCs w:val="22"/>
          <w:lang w:val="pl-PL"/>
        </w:rPr>
        <w:t>) z p &lt; 0,05</w:t>
      </w:r>
    </w:p>
    <w:p w14:paraId="542CA38F" w14:textId="77777777" w:rsidR="008E134B" w:rsidRPr="005138D5" w:rsidRDefault="008E134B" w:rsidP="008E134B">
      <w:pPr>
        <w:pStyle w:val="Default"/>
        <w:rPr>
          <w:sz w:val="22"/>
          <w:szCs w:val="22"/>
          <w:lang w:val="pl-PL"/>
        </w:rPr>
      </w:pPr>
      <w:r w:rsidRPr="005138D5">
        <w:rPr>
          <w:sz w:val="22"/>
          <w:szCs w:val="22"/>
          <w:lang w:val="pl-PL"/>
        </w:rPr>
        <w:t>*** Różnica w odsetkach, 95% przedział ufności (CI) uzyskany po dostosowaniu do randomizacji</w:t>
      </w:r>
    </w:p>
    <w:p w14:paraId="4F8B80F6" w14:textId="77777777" w:rsidR="008E134B" w:rsidRPr="005138D5" w:rsidRDefault="008E134B" w:rsidP="008E134B">
      <w:pPr>
        <w:pStyle w:val="Default"/>
        <w:rPr>
          <w:sz w:val="22"/>
          <w:szCs w:val="22"/>
          <w:lang w:val="pl-PL"/>
        </w:rPr>
      </w:pPr>
    </w:p>
    <w:p w14:paraId="35DF394E" w14:textId="77777777" w:rsidR="008E134B" w:rsidRPr="005138D5" w:rsidRDefault="008E134B" w:rsidP="008E134B">
      <w:pPr>
        <w:pStyle w:val="Default"/>
        <w:rPr>
          <w:vanish/>
          <w:sz w:val="22"/>
          <w:szCs w:val="22"/>
          <w:lang w:val="pl-PL"/>
        </w:rPr>
      </w:pPr>
    </w:p>
    <w:p w14:paraId="4FA63A4E" w14:textId="77777777" w:rsidR="008E134B" w:rsidRPr="005138D5" w:rsidRDefault="008E134B" w:rsidP="008E134B">
      <w:pPr>
        <w:rPr>
          <w:bCs/>
          <w:sz w:val="22"/>
          <w:u w:val="single"/>
        </w:rPr>
      </w:pPr>
      <w:r w:rsidRPr="005138D5">
        <w:rPr>
          <w:bCs/>
          <w:sz w:val="22"/>
          <w:u w:val="single"/>
        </w:rPr>
        <w:t xml:space="preserve">Profilaktyka wtórna inwazyjnych zakażeń grzybiczych - skuteczność w przypadku pacjentów po przeszczepieniu </w:t>
      </w:r>
      <w:r w:rsidRPr="005138D5">
        <w:rPr>
          <w:sz w:val="22"/>
          <w:u w:val="single"/>
        </w:rPr>
        <w:t xml:space="preserve">macierzystych komórek krwiotwórczych z uprzednio potwierdzonym lub </w:t>
      </w:r>
      <w:r w:rsidRPr="005138D5">
        <w:rPr>
          <w:spacing w:val="-3"/>
          <w:sz w:val="22"/>
          <w:u w:val="single"/>
        </w:rPr>
        <w:t>prawdopodobnym</w:t>
      </w:r>
      <w:r w:rsidRPr="005138D5">
        <w:rPr>
          <w:sz w:val="22"/>
          <w:u w:val="single"/>
        </w:rPr>
        <w:t xml:space="preserve"> inwazyjnym zakażeniem grzybiczym</w:t>
      </w:r>
    </w:p>
    <w:p w14:paraId="37179B6D" w14:textId="77777777" w:rsidR="008E134B" w:rsidRPr="005138D5" w:rsidRDefault="008E134B" w:rsidP="008E134B">
      <w:pPr>
        <w:pStyle w:val="CM55"/>
        <w:spacing w:after="0"/>
        <w:rPr>
          <w:sz w:val="22"/>
          <w:szCs w:val="22"/>
          <w:lang w:val="pl-PL"/>
        </w:rPr>
      </w:pPr>
      <w:r w:rsidRPr="005138D5">
        <w:rPr>
          <w:sz w:val="22"/>
          <w:szCs w:val="22"/>
          <w:lang w:val="pl-PL"/>
        </w:rPr>
        <w:t>W otwartym, nieporównawczym, wieloośrodkowym badaniu z udziałem dorosłych po allogenicznym przeszczepieniu macierzystych komórek krwiotwórczych</w:t>
      </w:r>
      <w:r w:rsidR="00C86FDE" w:rsidRPr="005138D5">
        <w:rPr>
          <w:sz w:val="22"/>
          <w:szCs w:val="22"/>
          <w:lang w:val="pl-PL"/>
        </w:rPr>
        <w:t>,</w:t>
      </w:r>
      <w:r w:rsidRPr="005138D5">
        <w:rPr>
          <w:sz w:val="22"/>
          <w:szCs w:val="22"/>
          <w:lang w:val="pl-PL"/>
        </w:rPr>
        <w:t xml:space="preserve"> z uprzednio potwierdzonym lub </w:t>
      </w:r>
      <w:r w:rsidRPr="005138D5">
        <w:rPr>
          <w:spacing w:val="-3"/>
          <w:sz w:val="22"/>
          <w:szCs w:val="22"/>
          <w:lang w:val="pl-PL"/>
        </w:rPr>
        <w:t>prawdopodobnym</w:t>
      </w:r>
      <w:r w:rsidRPr="005138D5">
        <w:rPr>
          <w:sz w:val="22"/>
          <w:szCs w:val="22"/>
          <w:lang w:val="pl-PL"/>
        </w:rPr>
        <w:t xml:space="preserve"> inwazyjnym zakażeniem grzybiczym</w:t>
      </w:r>
      <w:r w:rsidR="00C86FDE" w:rsidRPr="005138D5">
        <w:rPr>
          <w:sz w:val="22"/>
          <w:szCs w:val="22"/>
          <w:lang w:val="pl-PL"/>
        </w:rPr>
        <w:t>,</w:t>
      </w:r>
      <w:r w:rsidRPr="005138D5">
        <w:rPr>
          <w:sz w:val="22"/>
          <w:szCs w:val="22"/>
          <w:lang w:val="pl-PL"/>
        </w:rPr>
        <w:t xml:space="preserve"> zbadano działanie worykonazolu stosowanego w ramach profilaktyki wtórnej. Pierwszorzędowym punktem końcowym był współczynnik występowania potwierdzonego lub prawdopodobnego inwazyjnego zakażenia grzybiczego w ciągu pierwszego roku po przeszczepieniu macierzystych komórek krwiotwórczych. Grupa MITT obejmowała 40 pacjentów z uprzednim inwazyjnym zakażeniem grzybiczym, w tym 31 pacjentów z </w:t>
      </w:r>
      <w:r w:rsidRPr="005138D5">
        <w:rPr>
          <w:bCs/>
          <w:sz w:val="22"/>
          <w:szCs w:val="22"/>
          <w:lang w:val="pl-PL"/>
        </w:rPr>
        <w:t>aspergilozą</w:t>
      </w:r>
      <w:r w:rsidRPr="005138D5">
        <w:rPr>
          <w:sz w:val="22"/>
          <w:szCs w:val="22"/>
          <w:lang w:val="pl-PL"/>
        </w:rPr>
        <w:t xml:space="preserve">, 5 pacjentów z </w:t>
      </w:r>
      <w:r w:rsidRPr="005138D5">
        <w:rPr>
          <w:bCs/>
          <w:sz w:val="22"/>
          <w:szCs w:val="22"/>
          <w:lang w:val="pl-PL"/>
        </w:rPr>
        <w:t xml:space="preserve">kandydemią i </w:t>
      </w:r>
      <w:r w:rsidRPr="005138D5">
        <w:rPr>
          <w:sz w:val="22"/>
          <w:szCs w:val="22"/>
          <w:lang w:val="pl-PL"/>
        </w:rPr>
        <w:t>4 pacjentów z innym inwazyjnym zakażeniem grzybiczym. Mediana czasu trwania stosowania profilaktycznego badanego leku w grupie MITT wynosiła 95,5 dnia.</w:t>
      </w:r>
    </w:p>
    <w:p w14:paraId="1FB27D51" w14:textId="77777777" w:rsidR="008E134B" w:rsidRPr="005138D5" w:rsidRDefault="008E134B" w:rsidP="008E134B">
      <w:pPr>
        <w:pStyle w:val="CM55"/>
        <w:spacing w:after="0"/>
        <w:rPr>
          <w:sz w:val="22"/>
          <w:szCs w:val="22"/>
          <w:lang w:val="pl-PL"/>
        </w:rPr>
      </w:pPr>
    </w:p>
    <w:p w14:paraId="1D7E424D" w14:textId="77777777" w:rsidR="008E134B" w:rsidRPr="005138D5" w:rsidRDefault="008E134B" w:rsidP="008E134B">
      <w:pPr>
        <w:pStyle w:val="Default"/>
        <w:rPr>
          <w:sz w:val="22"/>
          <w:szCs w:val="22"/>
          <w:lang w:val="pl-PL"/>
        </w:rPr>
      </w:pPr>
      <w:r w:rsidRPr="005138D5">
        <w:rPr>
          <w:sz w:val="22"/>
          <w:szCs w:val="22"/>
          <w:lang w:val="pl-PL"/>
        </w:rPr>
        <w:t>Potwierdzone lub prawdopodobne inwazyjne zakażenia grzybicze wystąpiły w ciągu pierwszego roku po przeszczepieniu macierzystych komórek krwiotwórczych u 7,5% (3/40) pacjentów, w tym odnotowano jeden przypadek kandydemii, jeden przypadek scedosporiozy (oba były nawrotami uprzedniego inwazyjnego zakażenia grzybiczego) i jeden przypadek zygomikozy. Współczynnik przeżycia w dniu 180 wynosił 80,0% (32/40), a po roku - 70,0% (28/40).</w:t>
      </w:r>
    </w:p>
    <w:p w14:paraId="0FC24E74" w14:textId="77777777" w:rsidR="008E134B" w:rsidRPr="005138D5" w:rsidRDefault="008E134B" w:rsidP="00277FE6">
      <w:pPr>
        <w:rPr>
          <w:sz w:val="22"/>
        </w:rPr>
      </w:pPr>
    </w:p>
    <w:p w14:paraId="2C4880BF" w14:textId="77777777" w:rsidR="00575F5E" w:rsidRPr="005138D5" w:rsidRDefault="00575F5E" w:rsidP="00277FE6">
      <w:pPr>
        <w:rPr>
          <w:rFonts w:eastAsia="Arial Unicode MS"/>
          <w:sz w:val="22"/>
          <w:u w:val="single"/>
        </w:rPr>
      </w:pPr>
      <w:r w:rsidRPr="005138D5">
        <w:rPr>
          <w:sz w:val="22"/>
          <w:u w:val="single"/>
        </w:rPr>
        <w:t>Czas trwania leczenia</w:t>
      </w:r>
    </w:p>
    <w:p w14:paraId="747FF999" w14:textId="77777777" w:rsidR="00575F5E" w:rsidRPr="005138D5" w:rsidRDefault="00575F5E" w:rsidP="00A41668">
      <w:pPr>
        <w:rPr>
          <w:spacing w:val="-3"/>
          <w:sz w:val="22"/>
        </w:rPr>
      </w:pPr>
      <w:r w:rsidRPr="005138D5">
        <w:rPr>
          <w:spacing w:val="-3"/>
          <w:sz w:val="22"/>
        </w:rPr>
        <w:t xml:space="preserve">W badaniach klinicznych </w:t>
      </w:r>
      <w:r w:rsidR="008E134B" w:rsidRPr="005138D5">
        <w:rPr>
          <w:spacing w:val="-3"/>
          <w:sz w:val="22"/>
        </w:rPr>
        <w:t>705</w:t>
      </w:r>
      <w:r w:rsidRPr="005138D5">
        <w:rPr>
          <w:spacing w:val="-3"/>
          <w:sz w:val="22"/>
        </w:rPr>
        <w:t xml:space="preserve"> pacjentów leczono worykonazolem dłużej niż 12 tygodni, z czego </w:t>
      </w:r>
      <w:r w:rsidR="008E134B" w:rsidRPr="005138D5">
        <w:rPr>
          <w:spacing w:val="-3"/>
          <w:sz w:val="22"/>
        </w:rPr>
        <w:t>164</w:t>
      </w:r>
      <w:r w:rsidRPr="005138D5">
        <w:rPr>
          <w:spacing w:val="-3"/>
          <w:sz w:val="22"/>
        </w:rPr>
        <w:t xml:space="preserve"> pacjentów przyjmowało go przez ponad 6 miesięcy.</w:t>
      </w:r>
    </w:p>
    <w:p w14:paraId="6C975718" w14:textId="77777777" w:rsidR="00575F5E" w:rsidRPr="005138D5" w:rsidRDefault="00575F5E" w:rsidP="00A41668">
      <w:pPr>
        <w:rPr>
          <w:spacing w:val="-3"/>
          <w:sz w:val="22"/>
        </w:rPr>
      </w:pPr>
    </w:p>
    <w:p w14:paraId="04F51EF2" w14:textId="77777777" w:rsidR="002F32C0" w:rsidRPr="005138D5" w:rsidRDefault="002F32C0" w:rsidP="00A41668">
      <w:pPr>
        <w:rPr>
          <w:spacing w:val="-3"/>
          <w:sz w:val="22"/>
          <w:u w:val="single"/>
        </w:rPr>
      </w:pPr>
      <w:r w:rsidRPr="005138D5">
        <w:rPr>
          <w:spacing w:val="-3"/>
          <w:sz w:val="22"/>
          <w:u w:val="single"/>
        </w:rPr>
        <w:t>Dzieci i młodzież</w:t>
      </w:r>
    </w:p>
    <w:p w14:paraId="4AB0DAB1" w14:textId="77777777" w:rsidR="00575F5E" w:rsidRPr="005138D5" w:rsidRDefault="008B4F5C" w:rsidP="00A41668">
      <w:pPr>
        <w:rPr>
          <w:spacing w:val="-3"/>
          <w:sz w:val="22"/>
        </w:rPr>
      </w:pPr>
      <w:r w:rsidRPr="005138D5">
        <w:rPr>
          <w:spacing w:val="-3"/>
          <w:sz w:val="22"/>
        </w:rPr>
        <w:t xml:space="preserve">Pięćdziesięcioro troje dzieci w wieku od 2 do &lt;18 lat leczono worykonazolem w ramach dwóch prospektywnych, otwartych, nieporównawczych, wieloośrodkowych badań klinicznych. Do jednego badania włączono 31 pacjentów z możliwą, prawdopodobną lub rozpoznaną inwazyjną aspergilozą (IA, ang. </w:t>
      </w:r>
      <w:r w:rsidRPr="005138D5">
        <w:rPr>
          <w:i/>
          <w:spacing w:val="-3"/>
          <w:sz w:val="22"/>
        </w:rPr>
        <w:t>invasive aspergillosis</w:t>
      </w:r>
      <w:r w:rsidRPr="005138D5">
        <w:rPr>
          <w:spacing w:val="-3"/>
          <w:sz w:val="22"/>
        </w:rPr>
        <w:t xml:space="preserve">), spośród których 14 pacjentów miało rozpoznaną lub prawdopodobną IA i zostało uwzględnionych w analizie skuteczności w grupie MITT. Do drugiego badania włączono 22 pacjentów z inwazyjną kandydozą, w tym kandydemią (ICC, ang. </w:t>
      </w:r>
      <w:r w:rsidRPr="005138D5">
        <w:rPr>
          <w:i/>
          <w:spacing w:val="-3"/>
          <w:sz w:val="22"/>
        </w:rPr>
        <w:t>invasive candidiasis incl. candidaemia</w:t>
      </w:r>
      <w:r w:rsidRPr="005138D5">
        <w:rPr>
          <w:spacing w:val="-3"/>
          <w:sz w:val="22"/>
        </w:rPr>
        <w:t xml:space="preserve">) i kandydozą przełyku (EC, ang. </w:t>
      </w:r>
      <w:r w:rsidRPr="005138D5">
        <w:rPr>
          <w:i/>
          <w:spacing w:val="-3"/>
          <w:sz w:val="22"/>
        </w:rPr>
        <w:t>esophageal candidiasis</w:t>
      </w:r>
      <w:r w:rsidRPr="005138D5">
        <w:rPr>
          <w:spacing w:val="-3"/>
          <w:sz w:val="22"/>
        </w:rPr>
        <w:t xml:space="preserve">), wymagających leczenia pierwszego rzutu lub terapii ratunkowej, spośród których 17 pacjentów zostało uwzględnionych w analizie skuteczności w grupie MITT. U pacjentów z IA odsetek odpowiedzi na leczenie po 6 tygodniach wyniósł 64,3% (9/14), przy czym było to 40% (2/5) u pacjentów w wieku od 2 do &lt;12 lat oraz 77,8% (7/9) u pacjentów w wieku od 12 do &lt;18 lat. U pacjentów z ICC odsetek odpowiedzi na leczenie w momencie zakończenia terapii (EOT, ang. </w:t>
      </w:r>
      <w:r w:rsidRPr="005138D5">
        <w:rPr>
          <w:i/>
          <w:spacing w:val="-3"/>
          <w:sz w:val="22"/>
        </w:rPr>
        <w:t>end of treatment</w:t>
      </w:r>
      <w:r w:rsidRPr="005138D5">
        <w:rPr>
          <w:spacing w:val="-3"/>
          <w:sz w:val="22"/>
        </w:rPr>
        <w:t>) wyniósł 85,7% (6/7) a dla pacjentów z EC było to 70% (7/10). Odsetek odpowiedzi na leczenie dla obu grup (ICC i EC łącznie) wyniósł 88,9% (8/9) u dzieci w wieku od 2 do &lt;12 lat i 62,5% (5/8) u dzieci w wieku od 12 do &lt;18 lat.</w:t>
      </w:r>
    </w:p>
    <w:p w14:paraId="7DC29BA7" w14:textId="77777777" w:rsidR="008B4F5C" w:rsidRPr="005138D5" w:rsidRDefault="008B4F5C" w:rsidP="00A41668">
      <w:pPr>
        <w:rPr>
          <w:spacing w:val="-3"/>
          <w:sz w:val="22"/>
        </w:rPr>
      </w:pPr>
    </w:p>
    <w:p w14:paraId="2DDA5054" w14:textId="77777777" w:rsidR="00575F5E" w:rsidRPr="005138D5" w:rsidRDefault="00575F5E" w:rsidP="00A41668">
      <w:pPr>
        <w:rPr>
          <w:spacing w:val="-3"/>
          <w:sz w:val="22"/>
          <w:u w:val="single"/>
        </w:rPr>
      </w:pPr>
      <w:r w:rsidRPr="005138D5">
        <w:rPr>
          <w:spacing w:val="-3"/>
          <w:sz w:val="22"/>
          <w:u w:val="single"/>
        </w:rPr>
        <w:t>Badania kliniczne dotyczące wpływu na odstęp QT</w:t>
      </w:r>
      <w:r w:rsidR="008E134B" w:rsidRPr="005138D5">
        <w:rPr>
          <w:spacing w:val="-3"/>
          <w:sz w:val="22"/>
          <w:u w:val="single"/>
        </w:rPr>
        <w:t>c</w:t>
      </w:r>
    </w:p>
    <w:p w14:paraId="2B486755" w14:textId="77777777" w:rsidR="00575F5E" w:rsidRPr="005138D5" w:rsidRDefault="00575F5E" w:rsidP="00A41668">
      <w:pPr>
        <w:rPr>
          <w:spacing w:val="-3"/>
          <w:sz w:val="22"/>
        </w:rPr>
      </w:pPr>
      <w:r w:rsidRPr="005138D5">
        <w:rPr>
          <w:spacing w:val="-3"/>
          <w:sz w:val="22"/>
        </w:rPr>
        <w:t>Przeprowadzono kontrolowane placebo, randomizowane badanie z pojedynczą dawką typu crossover oceniające wpływ trzech doustnych dawek worykonazolu i ketokonazolu na odstęp QT</w:t>
      </w:r>
      <w:r w:rsidR="007C45BD" w:rsidRPr="005138D5">
        <w:rPr>
          <w:spacing w:val="-3"/>
          <w:sz w:val="22"/>
        </w:rPr>
        <w:t>c</w:t>
      </w:r>
      <w:r w:rsidRPr="005138D5">
        <w:rPr>
          <w:spacing w:val="-3"/>
          <w:sz w:val="22"/>
        </w:rPr>
        <w:t xml:space="preserve"> u zdrowych ochotników. Średnie, skorygowane względem placebo, wydłużenie odstępu QT</w:t>
      </w:r>
      <w:r w:rsidR="008E134B" w:rsidRPr="005138D5">
        <w:rPr>
          <w:spacing w:val="-3"/>
          <w:sz w:val="22"/>
        </w:rPr>
        <w:t>c</w:t>
      </w:r>
      <w:r w:rsidRPr="005138D5">
        <w:rPr>
          <w:spacing w:val="-3"/>
          <w:sz w:val="22"/>
        </w:rPr>
        <w:t xml:space="preserve"> w stosunku do punktu wyjścia po podaniu 800</w:t>
      </w:r>
      <w:r w:rsidR="00086D10" w:rsidRPr="005138D5">
        <w:rPr>
          <w:spacing w:val="-3"/>
          <w:sz w:val="22"/>
        </w:rPr>
        <w:t> mg</w:t>
      </w:r>
      <w:r w:rsidRPr="005138D5">
        <w:rPr>
          <w:spacing w:val="-3"/>
          <w:sz w:val="22"/>
        </w:rPr>
        <w:t>, 1200</w:t>
      </w:r>
      <w:r w:rsidR="00086D10" w:rsidRPr="005138D5">
        <w:rPr>
          <w:spacing w:val="-3"/>
          <w:sz w:val="22"/>
        </w:rPr>
        <w:t> mg</w:t>
      </w:r>
      <w:r w:rsidRPr="005138D5">
        <w:rPr>
          <w:spacing w:val="-3"/>
          <w:sz w:val="22"/>
        </w:rPr>
        <w:t xml:space="preserve"> i 1600</w:t>
      </w:r>
      <w:r w:rsidR="00086D10" w:rsidRPr="005138D5">
        <w:rPr>
          <w:spacing w:val="-3"/>
          <w:sz w:val="22"/>
        </w:rPr>
        <w:t> mg</w:t>
      </w:r>
      <w:r w:rsidRPr="005138D5">
        <w:rPr>
          <w:spacing w:val="-3"/>
          <w:sz w:val="22"/>
        </w:rPr>
        <w:t xml:space="preserve"> worykonazolu wyniosło odpowiednio 5,1, 4,8 i 8,2 msec, zaś po podaniu 800</w:t>
      </w:r>
      <w:r w:rsidR="00086D10" w:rsidRPr="005138D5">
        <w:rPr>
          <w:spacing w:val="-3"/>
          <w:sz w:val="22"/>
        </w:rPr>
        <w:t> mg</w:t>
      </w:r>
      <w:r w:rsidRPr="005138D5">
        <w:rPr>
          <w:spacing w:val="-3"/>
          <w:sz w:val="22"/>
        </w:rPr>
        <w:t xml:space="preserve"> ketokonazolu 7,0 msec. W żadnym przypadku wydłużenie odstępu QT</w:t>
      </w:r>
      <w:r w:rsidR="008E134B" w:rsidRPr="005138D5">
        <w:rPr>
          <w:spacing w:val="-3"/>
          <w:sz w:val="22"/>
        </w:rPr>
        <w:t>c</w:t>
      </w:r>
      <w:r w:rsidRPr="005138D5">
        <w:rPr>
          <w:spacing w:val="-3"/>
          <w:sz w:val="22"/>
        </w:rPr>
        <w:t xml:space="preserve"> względem punktu wyjścia nie przekroczyło 60 msec. Również u żadnego z uczestników badania wydłużenie odstępu QT</w:t>
      </w:r>
      <w:r w:rsidR="008E134B" w:rsidRPr="005138D5">
        <w:rPr>
          <w:spacing w:val="-3"/>
          <w:sz w:val="22"/>
        </w:rPr>
        <w:t>c</w:t>
      </w:r>
      <w:r w:rsidRPr="005138D5">
        <w:rPr>
          <w:spacing w:val="-3"/>
          <w:sz w:val="22"/>
        </w:rPr>
        <w:t xml:space="preserve"> nie przekroczyło istotnego klinicznie pułapu 500 msec.</w:t>
      </w:r>
    </w:p>
    <w:p w14:paraId="13B0DFEE" w14:textId="77777777" w:rsidR="00575F5E" w:rsidRPr="005138D5" w:rsidRDefault="00575F5E" w:rsidP="00A41668">
      <w:pPr>
        <w:rPr>
          <w:spacing w:val="-3"/>
          <w:sz w:val="22"/>
        </w:rPr>
      </w:pPr>
    </w:p>
    <w:p w14:paraId="038B5BD8" w14:textId="77777777" w:rsidR="00575F5E" w:rsidRPr="005138D5" w:rsidRDefault="00575F5E" w:rsidP="00277FE6">
      <w:pPr>
        <w:rPr>
          <w:b/>
          <w:sz w:val="22"/>
        </w:rPr>
      </w:pPr>
      <w:r w:rsidRPr="005138D5">
        <w:rPr>
          <w:b/>
          <w:sz w:val="22"/>
        </w:rPr>
        <w:t>5.2</w:t>
      </w:r>
      <w:r w:rsidRPr="005138D5">
        <w:rPr>
          <w:b/>
          <w:sz w:val="22"/>
        </w:rPr>
        <w:tab/>
        <w:t>Właściwości farmakokinetyczne</w:t>
      </w:r>
    </w:p>
    <w:p w14:paraId="144F31A8" w14:textId="77777777" w:rsidR="00575F5E" w:rsidRPr="005138D5" w:rsidRDefault="00575F5E" w:rsidP="00277FE6">
      <w:pPr>
        <w:rPr>
          <w:sz w:val="22"/>
        </w:rPr>
      </w:pPr>
    </w:p>
    <w:p w14:paraId="3D30B8BF" w14:textId="77777777" w:rsidR="008E45F8" w:rsidRPr="005138D5" w:rsidRDefault="008E45F8" w:rsidP="00277FE6">
      <w:pPr>
        <w:rPr>
          <w:sz w:val="22"/>
        </w:rPr>
      </w:pPr>
    </w:p>
    <w:p w14:paraId="112C5281" w14:textId="77777777" w:rsidR="008E45F8" w:rsidRPr="005138D5" w:rsidRDefault="008E45F8" w:rsidP="00277FE6">
      <w:pPr>
        <w:rPr>
          <w:sz w:val="22"/>
        </w:rPr>
      </w:pPr>
    </w:p>
    <w:p w14:paraId="6C65CD8B" w14:textId="77777777" w:rsidR="00575F5E" w:rsidRPr="005138D5" w:rsidRDefault="00575F5E" w:rsidP="00277FE6">
      <w:pPr>
        <w:rPr>
          <w:sz w:val="22"/>
          <w:u w:val="single"/>
        </w:rPr>
      </w:pPr>
      <w:r w:rsidRPr="005138D5">
        <w:rPr>
          <w:sz w:val="22"/>
          <w:u w:val="single"/>
        </w:rPr>
        <w:t>Ogólne właściwości farmakokinetyczne</w:t>
      </w:r>
    </w:p>
    <w:p w14:paraId="188B2D8F" w14:textId="77777777" w:rsidR="00A96FB1" w:rsidRPr="005138D5" w:rsidRDefault="00A96FB1" w:rsidP="00277FE6">
      <w:pPr>
        <w:rPr>
          <w:sz w:val="22"/>
          <w:u w:val="single"/>
        </w:rPr>
      </w:pPr>
    </w:p>
    <w:p w14:paraId="2E5F7555" w14:textId="77777777" w:rsidR="00473BFF" w:rsidRPr="005138D5" w:rsidRDefault="00575F5E" w:rsidP="00A41668">
      <w:pPr>
        <w:pStyle w:val="Tekstpodstawowy2"/>
        <w:jc w:val="left"/>
        <w:rPr>
          <w:rFonts w:ascii="Times New Roman" w:hAnsi="Times New Roman"/>
          <w:bCs/>
        </w:rPr>
      </w:pPr>
      <w:r w:rsidRPr="005138D5">
        <w:rPr>
          <w:rFonts w:ascii="Times New Roman" w:hAnsi="Times New Roman"/>
          <w:bCs/>
        </w:rPr>
        <w:t xml:space="preserve">Farmakokinetykę worykonazolu określano u osób zdrowych, w specjalnych populacjach </w:t>
      </w:r>
    </w:p>
    <w:p w14:paraId="1F250211" w14:textId="77777777" w:rsidR="00575F5E" w:rsidRPr="005138D5" w:rsidRDefault="00575F5E" w:rsidP="00A41668">
      <w:pPr>
        <w:pStyle w:val="Tekstpodstawowy2"/>
        <w:jc w:val="left"/>
        <w:rPr>
          <w:rFonts w:ascii="Times New Roman" w:hAnsi="Times New Roman"/>
          <w:bCs/>
        </w:rPr>
      </w:pPr>
      <w:r w:rsidRPr="005138D5">
        <w:rPr>
          <w:rFonts w:ascii="Times New Roman" w:hAnsi="Times New Roman"/>
          <w:bCs/>
        </w:rPr>
        <w:t>i u pacjentów. Podczas podawania doustnego 200</w:t>
      </w:r>
      <w:r w:rsidR="00086D10" w:rsidRPr="005138D5">
        <w:rPr>
          <w:rFonts w:ascii="Times New Roman" w:hAnsi="Times New Roman"/>
          <w:bCs/>
        </w:rPr>
        <w:t> mg</w:t>
      </w:r>
      <w:r w:rsidRPr="005138D5">
        <w:rPr>
          <w:rFonts w:ascii="Times New Roman" w:hAnsi="Times New Roman"/>
          <w:bCs/>
        </w:rPr>
        <w:t xml:space="preserve"> lub 300</w:t>
      </w:r>
      <w:r w:rsidR="00086D10" w:rsidRPr="005138D5">
        <w:rPr>
          <w:rFonts w:ascii="Times New Roman" w:hAnsi="Times New Roman"/>
          <w:bCs/>
        </w:rPr>
        <w:t> mg</w:t>
      </w:r>
      <w:r w:rsidRPr="005138D5">
        <w:rPr>
          <w:rFonts w:ascii="Times New Roman" w:hAnsi="Times New Roman"/>
          <w:bCs/>
        </w:rPr>
        <w:t xml:space="preserve"> worykonazolu przez 14 dni dwa razy na dobę u pacjentów z ryzykiem wystąpienia aspergilozy (głównie z nowotworami złośliwymi układu chłonnego i układu krwiotwórczego) obserwowane właściwości farmakokinetyczne (w postaci szybkiego i całkowitego wchłaniania, kumulacji i nieliniowej farmakokinetyki) były zgodne z właściwościami farmakokinetycznymi leku</w:t>
      </w:r>
      <w:r w:rsidR="00C86FDE" w:rsidRPr="005138D5">
        <w:rPr>
          <w:rFonts w:ascii="Times New Roman" w:hAnsi="Times New Roman"/>
          <w:bCs/>
        </w:rPr>
        <w:t>,</w:t>
      </w:r>
      <w:r w:rsidRPr="005138D5">
        <w:rPr>
          <w:rFonts w:ascii="Times New Roman" w:hAnsi="Times New Roman"/>
          <w:bCs/>
        </w:rPr>
        <w:t xml:space="preserve"> obserwowanymi u osób zdrowych.</w:t>
      </w:r>
    </w:p>
    <w:p w14:paraId="69CD04E3" w14:textId="77777777" w:rsidR="00335884" w:rsidRPr="005138D5" w:rsidRDefault="00335884" w:rsidP="00A41668">
      <w:pPr>
        <w:widowControl/>
        <w:rPr>
          <w:bCs/>
          <w:sz w:val="22"/>
        </w:rPr>
      </w:pPr>
    </w:p>
    <w:p w14:paraId="794179F0" w14:textId="77777777" w:rsidR="00335884" w:rsidRPr="005138D5" w:rsidRDefault="00575F5E" w:rsidP="00A41668">
      <w:pPr>
        <w:widowControl/>
        <w:rPr>
          <w:bCs/>
          <w:sz w:val="22"/>
        </w:rPr>
      </w:pPr>
      <w:r w:rsidRPr="005138D5">
        <w:rPr>
          <w:bCs/>
          <w:sz w:val="22"/>
        </w:rPr>
        <w:t>Farmakokinetyka worykonazolu jest nieliniowa z powodu wysycania się jego metabolizmu. Większe od proporcjonalnego zwiększenie ekspozycji obserwuje się wraz ze zwiększaniem dawki. Ustalono,</w:t>
      </w:r>
    </w:p>
    <w:p w14:paraId="5FEFE798" w14:textId="77777777" w:rsidR="00575F5E" w:rsidRPr="005138D5" w:rsidRDefault="00575F5E" w:rsidP="00A41668">
      <w:pPr>
        <w:widowControl/>
        <w:rPr>
          <w:bCs/>
          <w:sz w:val="22"/>
        </w:rPr>
      </w:pPr>
      <w:r w:rsidRPr="005138D5">
        <w:rPr>
          <w:bCs/>
          <w:sz w:val="22"/>
        </w:rPr>
        <w:t>że średnie zwiększenie dawki doustnej z 200</w:t>
      </w:r>
      <w:r w:rsidR="00086D10" w:rsidRPr="005138D5">
        <w:rPr>
          <w:bCs/>
          <w:sz w:val="22"/>
        </w:rPr>
        <w:t> mg</w:t>
      </w:r>
      <w:r w:rsidRPr="005138D5">
        <w:rPr>
          <w:bCs/>
          <w:sz w:val="22"/>
        </w:rPr>
        <w:t xml:space="preserve"> do 300</w:t>
      </w:r>
      <w:r w:rsidR="00086D10" w:rsidRPr="005138D5">
        <w:rPr>
          <w:bCs/>
          <w:sz w:val="22"/>
        </w:rPr>
        <w:t> mg</w:t>
      </w:r>
      <w:r w:rsidRPr="005138D5">
        <w:rPr>
          <w:bCs/>
          <w:sz w:val="22"/>
        </w:rPr>
        <w:t xml:space="preserve"> dwa razy na dobę prowadzi do </w:t>
      </w:r>
    </w:p>
    <w:p w14:paraId="1194925B" w14:textId="77777777" w:rsidR="00575F5E" w:rsidRPr="005138D5" w:rsidRDefault="00575F5E" w:rsidP="00A41668">
      <w:pPr>
        <w:widowControl/>
        <w:rPr>
          <w:bCs/>
          <w:sz w:val="22"/>
        </w:rPr>
      </w:pPr>
      <w:r w:rsidRPr="005138D5">
        <w:rPr>
          <w:bCs/>
          <w:sz w:val="22"/>
        </w:rPr>
        <w:t>2,5-krotnego zwiększenia ekspozycji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w:t>
      </w:r>
      <w:r w:rsidR="00F85185" w:rsidRPr="005138D5">
        <w:rPr>
          <w:bCs/>
          <w:sz w:val="22"/>
        </w:rPr>
        <w:t>Po podaniu doustnym 200</w:t>
      </w:r>
      <w:r w:rsidR="00086D10" w:rsidRPr="005138D5">
        <w:rPr>
          <w:bCs/>
          <w:sz w:val="22"/>
        </w:rPr>
        <w:t> mg</w:t>
      </w:r>
      <w:r w:rsidR="00F85185" w:rsidRPr="005138D5">
        <w:rPr>
          <w:bCs/>
          <w:sz w:val="22"/>
        </w:rPr>
        <w:t xml:space="preserve"> dawki podtrzymującej (lub 100</w:t>
      </w:r>
      <w:r w:rsidR="00086D10" w:rsidRPr="005138D5">
        <w:rPr>
          <w:bCs/>
          <w:sz w:val="22"/>
        </w:rPr>
        <w:t> mg</w:t>
      </w:r>
      <w:r w:rsidR="00F85185" w:rsidRPr="005138D5">
        <w:rPr>
          <w:bCs/>
          <w:sz w:val="22"/>
        </w:rPr>
        <w:t xml:space="preserve"> dla pacjentów o </w:t>
      </w:r>
      <w:r w:rsidR="00F9431F" w:rsidRPr="005138D5">
        <w:rPr>
          <w:bCs/>
          <w:sz w:val="22"/>
        </w:rPr>
        <w:t>masie ciała poniżej</w:t>
      </w:r>
      <w:r w:rsidR="00F85185" w:rsidRPr="005138D5">
        <w:rPr>
          <w:bCs/>
          <w:sz w:val="22"/>
        </w:rPr>
        <w:t xml:space="preserve"> </w:t>
      </w:r>
      <w:smartTag w:uri="urn:schemas-microsoft-com:office:smarttags" w:element="metricconverter">
        <w:smartTagPr>
          <w:attr w:name="ProductID" w:val="40 kg"/>
        </w:smartTagPr>
        <w:r w:rsidR="00F85185" w:rsidRPr="005138D5">
          <w:rPr>
            <w:bCs/>
            <w:sz w:val="22"/>
          </w:rPr>
          <w:t>40 kg</w:t>
        </w:r>
      </w:smartTag>
      <w:r w:rsidR="00F85185" w:rsidRPr="005138D5">
        <w:rPr>
          <w:bCs/>
          <w:sz w:val="22"/>
        </w:rPr>
        <w:t>) ekspozycja na worykonazol była zbliżon</w:t>
      </w:r>
      <w:r w:rsidR="00EC51BE" w:rsidRPr="005138D5">
        <w:rPr>
          <w:bCs/>
          <w:sz w:val="22"/>
        </w:rPr>
        <w:t>a</w:t>
      </w:r>
      <w:r w:rsidR="00F85185" w:rsidRPr="005138D5">
        <w:rPr>
          <w:bCs/>
          <w:sz w:val="22"/>
        </w:rPr>
        <w:t xml:space="preserve"> do</w:t>
      </w:r>
      <w:r w:rsidR="00904DE0" w:rsidRPr="005138D5">
        <w:rPr>
          <w:bCs/>
          <w:sz w:val="22"/>
        </w:rPr>
        <w:t xml:space="preserve"> ekspozycji </w:t>
      </w:r>
      <w:r w:rsidR="00F85185" w:rsidRPr="005138D5">
        <w:rPr>
          <w:bCs/>
          <w:sz w:val="22"/>
        </w:rPr>
        <w:t xml:space="preserve">osiąganej po zastosowaniu </w:t>
      </w:r>
      <w:r w:rsidR="00F9431F" w:rsidRPr="005138D5">
        <w:rPr>
          <w:bCs/>
          <w:sz w:val="22"/>
        </w:rPr>
        <w:t xml:space="preserve">worykonazolu w </w:t>
      </w:r>
      <w:r w:rsidR="00F85185" w:rsidRPr="005138D5">
        <w:rPr>
          <w:bCs/>
          <w:sz w:val="22"/>
        </w:rPr>
        <w:t>postaci dożylnej w dawce 3</w:t>
      </w:r>
      <w:r w:rsidR="00086D10" w:rsidRPr="005138D5">
        <w:rPr>
          <w:bCs/>
          <w:sz w:val="22"/>
        </w:rPr>
        <w:t> mg</w:t>
      </w:r>
      <w:r w:rsidR="00F85185" w:rsidRPr="005138D5">
        <w:rPr>
          <w:bCs/>
          <w:sz w:val="22"/>
        </w:rPr>
        <w:t>/kg</w:t>
      </w:r>
      <w:r w:rsidR="00F9431F" w:rsidRPr="005138D5">
        <w:rPr>
          <w:bCs/>
          <w:sz w:val="22"/>
        </w:rPr>
        <w:t xml:space="preserve"> mc</w:t>
      </w:r>
      <w:r w:rsidR="00F85185" w:rsidRPr="005138D5">
        <w:rPr>
          <w:bCs/>
          <w:sz w:val="22"/>
        </w:rPr>
        <w:t>. Ekspozycja po podaniu doustnym 300</w:t>
      </w:r>
      <w:r w:rsidR="00086D10" w:rsidRPr="005138D5">
        <w:rPr>
          <w:bCs/>
          <w:sz w:val="22"/>
        </w:rPr>
        <w:t> mg</w:t>
      </w:r>
      <w:r w:rsidR="00F85185" w:rsidRPr="005138D5">
        <w:rPr>
          <w:bCs/>
          <w:sz w:val="22"/>
        </w:rPr>
        <w:t xml:space="preserve"> </w:t>
      </w:r>
      <w:r w:rsidR="00507059" w:rsidRPr="005138D5">
        <w:rPr>
          <w:bCs/>
          <w:sz w:val="22"/>
        </w:rPr>
        <w:t>d</w:t>
      </w:r>
      <w:r w:rsidR="00F85185" w:rsidRPr="005138D5">
        <w:rPr>
          <w:bCs/>
          <w:sz w:val="22"/>
        </w:rPr>
        <w:t>awki podtrzymując</w:t>
      </w:r>
      <w:r w:rsidR="00507059" w:rsidRPr="005138D5">
        <w:rPr>
          <w:bCs/>
          <w:sz w:val="22"/>
        </w:rPr>
        <w:t>ej</w:t>
      </w:r>
      <w:r w:rsidR="00F85185" w:rsidRPr="005138D5">
        <w:rPr>
          <w:bCs/>
          <w:sz w:val="22"/>
        </w:rPr>
        <w:t xml:space="preserve"> (lub 150</w:t>
      </w:r>
      <w:r w:rsidR="00086D10" w:rsidRPr="005138D5">
        <w:rPr>
          <w:bCs/>
          <w:sz w:val="22"/>
        </w:rPr>
        <w:t> mg</w:t>
      </w:r>
      <w:r w:rsidR="00F85185" w:rsidRPr="005138D5">
        <w:rPr>
          <w:bCs/>
          <w:sz w:val="22"/>
        </w:rPr>
        <w:t xml:space="preserve"> dla pacjentów </w:t>
      </w:r>
      <w:r w:rsidR="00F9431F" w:rsidRPr="005138D5">
        <w:rPr>
          <w:bCs/>
          <w:sz w:val="22"/>
        </w:rPr>
        <w:t xml:space="preserve">o masie ciała poniżej </w:t>
      </w:r>
      <w:smartTag w:uri="urn:schemas-microsoft-com:office:smarttags" w:element="metricconverter">
        <w:smartTagPr>
          <w:attr w:name="ProductID" w:val="40 kg"/>
        </w:smartTagPr>
        <w:r w:rsidR="00F85185" w:rsidRPr="005138D5">
          <w:rPr>
            <w:bCs/>
            <w:sz w:val="22"/>
          </w:rPr>
          <w:t>40 kg</w:t>
        </w:r>
      </w:smartTag>
      <w:r w:rsidR="00F85185" w:rsidRPr="005138D5">
        <w:rPr>
          <w:bCs/>
          <w:sz w:val="22"/>
        </w:rPr>
        <w:t>)</w:t>
      </w:r>
      <w:r w:rsidR="00507059" w:rsidRPr="005138D5">
        <w:rPr>
          <w:bCs/>
          <w:sz w:val="22"/>
        </w:rPr>
        <w:t xml:space="preserve"> była zbliżona do osiąganej po zastosowaniu </w:t>
      </w:r>
      <w:r w:rsidR="00F9431F" w:rsidRPr="005138D5">
        <w:rPr>
          <w:bCs/>
          <w:sz w:val="22"/>
        </w:rPr>
        <w:t xml:space="preserve">worykonazolu w </w:t>
      </w:r>
      <w:r w:rsidR="00507059" w:rsidRPr="005138D5">
        <w:rPr>
          <w:bCs/>
          <w:sz w:val="22"/>
        </w:rPr>
        <w:t>postaci dożylnej w dawce 4</w:t>
      </w:r>
      <w:r w:rsidR="00086D10" w:rsidRPr="005138D5">
        <w:rPr>
          <w:bCs/>
          <w:sz w:val="22"/>
        </w:rPr>
        <w:t> mg</w:t>
      </w:r>
      <w:r w:rsidR="00507059" w:rsidRPr="005138D5">
        <w:rPr>
          <w:bCs/>
          <w:sz w:val="22"/>
        </w:rPr>
        <w:t>/kg</w:t>
      </w:r>
      <w:r w:rsidR="00F9431F" w:rsidRPr="005138D5">
        <w:rPr>
          <w:bCs/>
          <w:sz w:val="22"/>
        </w:rPr>
        <w:t xml:space="preserve"> mc</w:t>
      </w:r>
      <w:r w:rsidR="00507059" w:rsidRPr="005138D5">
        <w:rPr>
          <w:bCs/>
          <w:sz w:val="22"/>
        </w:rPr>
        <w:t xml:space="preserve">. </w:t>
      </w:r>
      <w:r w:rsidRPr="005138D5">
        <w:rPr>
          <w:bCs/>
          <w:sz w:val="22"/>
        </w:rPr>
        <w:t>Po podaniu według zalecanych schematów dożylnych lub doustnych dawek nasycających, stężenia zbliżone do stanu stacjonarnego występują w ciągu 24</w:t>
      </w:r>
      <w:r w:rsidR="00386A06" w:rsidRPr="005138D5">
        <w:rPr>
          <w:bCs/>
          <w:sz w:val="22"/>
        </w:rPr>
        <w:t> godzin</w:t>
      </w:r>
      <w:r w:rsidRPr="005138D5">
        <w:rPr>
          <w:bCs/>
          <w:sz w:val="22"/>
        </w:rPr>
        <w:t xml:space="preserve">. W przypadku, gdy nie stosuje się dawki nasycającej, po wielokrotnym podawaniu worykonazolu dwa razy na dobę dochodzi do jego kumulacji i </w:t>
      </w:r>
      <w:r w:rsidR="00C86FDE" w:rsidRPr="005138D5">
        <w:rPr>
          <w:bCs/>
          <w:sz w:val="22"/>
        </w:rPr>
        <w:t xml:space="preserve">osiągnięcia </w:t>
      </w:r>
      <w:r w:rsidRPr="005138D5">
        <w:rPr>
          <w:bCs/>
          <w:sz w:val="22"/>
        </w:rPr>
        <w:t>u większości osób w okresie 6 dni stanu stacjonarn</w:t>
      </w:r>
      <w:r w:rsidR="00C86FDE" w:rsidRPr="005138D5">
        <w:rPr>
          <w:bCs/>
          <w:sz w:val="22"/>
        </w:rPr>
        <w:t>ego</w:t>
      </w:r>
      <w:r w:rsidRPr="005138D5">
        <w:rPr>
          <w:bCs/>
          <w:sz w:val="22"/>
        </w:rPr>
        <w:t xml:space="preserve"> stężeń w osoczu. </w:t>
      </w:r>
    </w:p>
    <w:p w14:paraId="0BBF6243" w14:textId="77777777" w:rsidR="00575F5E" w:rsidRPr="005138D5" w:rsidRDefault="00575F5E" w:rsidP="00A41668">
      <w:pPr>
        <w:widowControl/>
        <w:rPr>
          <w:bCs/>
          <w:sz w:val="22"/>
        </w:rPr>
      </w:pPr>
    </w:p>
    <w:p w14:paraId="48295677" w14:textId="77777777" w:rsidR="00575F5E" w:rsidRPr="005138D5" w:rsidRDefault="00575F5E" w:rsidP="00277FE6">
      <w:pPr>
        <w:rPr>
          <w:sz w:val="22"/>
          <w:u w:val="single"/>
        </w:rPr>
      </w:pPr>
      <w:r w:rsidRPr="005138D5">
        <w:rPr>
          <w:sz w:val="22"/>
          <w:u w:val="single"/>
        </w:rPr>
        <w:t>Wchłanianie</w:t>
      </w:r>
    </w:p>
    <w:p w14:paraId="74E700EC" w14:textId="77777777" w:rsidR="00A96FB1" w:rsidRPr="005138D5" w:rsidRDefault="00A96FB1" w:rsidP="00277FE6">
      <w:pPr>
        <w:rPr>
          <w:sz w:val="22"/>
          <w:u w:val="single"/>
        </w:rPr>
      </w:pPr>
    </w:p>
    <w:p w14:paraId="5D1B5AF0" w14:textId="77777777" w:rsidR="00473BFF" w:rsidRPr="005138D5" w:rsidRDefault="00575F5E" w:rsidP="00A41668">
      <w:pPr>
        <w:widowControl/>
        <w:rPr>
          <w:bCs/>
          <w:sz w:val="22"/>
        </w:rPr>
      </w:pPr>
      <w:r w:rsidRPr="005138D5">
        <w:rPr>
          <w:bCs/>
          <w:sz w:val="22"/>
        </w:rPr>
        <w:t>Worykonazol jest szybko i prawie całkowicie wchłaniany po podaniu doustnym, osiągając maksymalne stężenia w osoczu (C</w:t>
      </w:r>
      <w:r w:rsidRPr="005138D5">
        <w:rPr>
          <w:bCs/>
          <w:sz w:val="22"/>
          <w:vertAlign w:val="subscript"/>
        </w:rPr>
        <w:t>max</w:t>
      </w:r>
      <w:r w:rsidRPr="005138D5">
        <w:rPr>
          <w:bCs/>
          <w:sz w:val="22"/>
        </w:rPr>
        <w:t>) po 1-2</w:t>
      </w:r>
      <w:r w:rsidR="00386A06" w:rsidRPr="005138D5">
        <w:rPr>
          <w:bCs/>
          <w:sz w:val="22"/>
        </w:rPr>
        <w:t> godzin</w:t>
      </w:r>
      <w:r w:rsidRPr="005138D5">
        <w:rPr>
          <w:bCs/>
          <w:sz w:val="22"/>
        </w:rPr>
        <w:t xml:space="preserve">ach. Całkowita biodostępność worykonazolu po podaniu doustnym wynosi 96 %. Jeśli kolejne dawki worykonazolu podawane są </w:t>
      </w:r>
    </w:p>
    <w:p w14:paraId="7D7C971B" w14:textId="77777777" w:rsidR="00575F5E" w:rsidRPr="005138D5" w:rsidRDefault="00575F5E" w:rsidP="00A41668">
      <w:pPr>
        <w:widowControl/>
        <w:rPr>
          <w:bCs/>
          <w:sz w:val="22"/>
        </w:rPr>
      </w:pPr>
      <w:r w:rsidRPr="005138D5">
        <w:rPr>
          <w:bCs/>
          <w:sz w:val="22"/>
        </w:rPr>
        <w:t>z posiłkami wysokotłuszczowymi, to C</w:t>
      </w:r>
      <w:r w:rsidRPr="005138D5">
        <w:rPr>
          <w:bCs/>
          <w:sz w:val="22"/>
          <w:vertAlign w:val="subscript"/>
        </w:rPr>
        <w:t>max</w:t>
      </w:r>
      <w:r w:rsidRPr="005138D5">
        <w:rPr>
          <w:bCs/>
          <w:sz w:val="22"/>
        </w:rPr>
        <w:t xml:space="preserve"> 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są zmniejszone odpowiednio o 34 % i 24 %. Zmiany pH w żołądku nie wpływają na wchłanianie worykonazolu.</w:t>
      </w:r>
    </w:p>
    <w:p w14:paraId="2FBDD28F" w14:textId="77777777" w:rsidR="006252CC" w:rsidRPr="005138D5" w:rsidRDefault="006252CC" w:rsidP="00277FE6">
      <w:pPr>
        <w:rPr>
          <w:sz w:val="22"/>
          <w:u w:val="single"/>
        </w:rPr>
      </w:pPr>
    </w:p>
    <w:p w14:paraId="20437338" w14:textId="77777777" w:rsidR="00575F5E" w:rsidRPr="005138D5" w:rsidRDefault="00575F5E" w:rsidP="00277FE6">
      <w:pPr>
        <w:rPr>
          <w:sz w:val="22"/>
          <w:u w:val="single"/>
        </w:rPr>
      </w:pPr>
      <w:r w:rsidRPr="005138D5">
        <w:rPr>
          <w:sz w:val="22"/>
          <w:u w:val="single"/>
        </w:rPr>
        <w:t>Dystrybucja</w:t>
      </w:r>
    </w:p>
    <w:p w14:paraId="56A7F8D2" w14:textId="77777777" w:rsidR="00A96FB1" w:rsidRPr="005138D5" w:rsidRDefault="00A96FB1" w:rsidP="00277FE6">
      <w:pPr>
        <w:rPr>
          <w:sz w:val="22"/>
          <w:u w:val="single"/>
        </w:rPr>
      </w:pPr>
    </w:p>
    <w:p w14:paraId="05016317" w14:textId="77777777" w:rsidR="00A96FB1" w:rsidRPr="005138D5" w:rsidRDefault="00575F5E" w:rsidP="00A41668">
      <w:pPr>
        <w:pStyle w:val="Tekstpodstawowy"/>
        <w:widowControl/>
        <w:rPr>
          <w:rFonts w:ascii="Times New Roman" w:hAnsi="Times New Roman"/>
          <w:bCs/>
        </w:rPr>
      </w:pPr>
      <w:r w:rsidRPr="005138D5">
        <w:rPr>
          <w:rFonts w:ascii="Times New Roman" w:hAnsi="Times New Roman"/>
          <w:bCs/>
        </w:rPr>
        <w:t>Objętość dystrybucji dla worykonazolu w stanie stacjonarnym wynosi 4,6 l/kg, co wskazuje na dobrą penetrację leku do tkanek. Wiązanie z białkami osocza wynosi 58 %. Badanie płynu mózgowo-rdzeniowego u ośmiu pacjentów, z badania prowadzonego ze względu na istniejące okoliczności losowe wymagające podania leku, wykazało wykrywalne stężenia worykonazolu we wszystkich</w:t>
      </w:r>
    </w:p>
    <w:p w14:paraId="214311D2" w14:textId="77777777" w:rsidR="00575F5E" w:rsidRPr="005138D5" w:rsidRDefault="00575F5E" w:rsidP="00A41668">
      <w:pPr>
        <w:pStyle w:val="Tekstpodstawowy"/>
        <w:widowControl/>
        <w:rPr>
          <w:rFonts w:ascii="Times New Roman" w:hAnsi="Times New Roman"/>
          <w:bCs/>
        </w:rPr>
      </w:pPr>
      <w:r w:rsidRPr="005138D5">
        <w:rPr>
          <w:rFonts w:ascii="Times New Roman" w:hAnsi="Times New Roman"/>
          <w:bCs/>
        </w:rPr>
        <w:t>przypadkach.</w:t>
      </w:r>
    </w:p>
    <w:p w14:paraId="250F5C10" w14:textId="77777777" w:rsidR="00575F5E" w:rsidRPr="005138D5" w:rsidRDefault="00575F5E" w:rsidP="00277FE6">
      <w:pPr>
        <w:rPr>
          <w:sz w:val="22"/>
          <w:u w:val="single"/>
        </w:rPr>
      </w:pPr>
    </w:p>
    <w:p w14:paraId="594BA32F" w14:textId="77777777" w:rsidR="00575F5E" w:rsidRPr="005138D5" w:rsidRDefault="00220BA5" w:rsidP="00277FE6">
      <w:pPr>
        <w:rPr>
          <w:sz w:val="22"/>
          <w:u w:val="single"/>
        </w:rPr>
      </w:pPr>
      <w:r w:rsidRPr="005138D5">
        <w:rPr>
          <w:sz w:val="22"/>
          <w:u w:val="single"/>
        </w:rPr>
        <w:t>Metabolizm</w:t>
      </w:r>
    </w:p>
    <w:p w14:paraId="45C025F4" w14:textId="77777777" w:rsidR="00575F5E" w:rsidRPr="005138D5" w:rsidRDefault="00575F5E" w:rsidP="00A41668">
      <w:pPr>
        <w:widowControl/>
        <w:rPr>
          <w:bCs/>
          <w:sz w:val="22"/>
        </w:rPr>
      </w:pPr>
      <w:r w:rsidRPr="005138D5">
        <w:rPr>
          <w:bCs/>
          <w:sz w:val="22"/>
        </w:rPr>
        <w:t xml:space="preserve">Badania </w:t>
      </w:r>
      <w:r w:rsidRPr="005138D5">
        <w:rPr>
          <w:bCs/>
          <w:i/>
          <w:iCs/>
          <w:sz w:val="22"/>
        </w:rPr>
        <w:t>in vitro</w:t>
      </w:r>
      <w:r w:rsidRPr="005138D5">
        <w:rPr>
          <w:bCs/>
          <w:sz w:val="22"/>
        </w:rPr>
        <w:t xml:space="preserve"> wykazały, że worykonazol jest metabolizowany przez izoenzymy wątrobowego układu cytochromu P450: CYP2C19, CYP2C9 i CYP3A4.</w:t>
      </w:r>
    </w:p>
    <w:p w14:paraId="777CE059" w14:textId="77777777" w:rsidR="00575F5E" w:rsidRPr="005138D5" w:rsidRDefault="00575F5E" w:rsidP="00A41668">
      <w:pPr>
        <w:widowControl/>
        <w:rPr>
          <w:bCs/>
          <w:sz w:val="22"/>
        </w:rPr>
      </w:pPr>
    </w:p>
    <w:p w14:paraId="0CB7A6F4" w14:textId="77777777" w:rsidR="00575F5E" w:rsidRPr="005138D5" w:rsidRDefault="00575F5E" w:rsidP="00A41668">
      <w:pPr>
        <w:widowControl/>
        <w:rPr>
          <w:bCs/>
          <w:sz w:val="22"/>
        </w:rPr>
      </w:pPr>
      <w:r w:rsidRPr="005138D5">
        <w:rPr>
          <w:bCs/>
          <w:sz w:val="22"/>
        </w:rPr>
        <w:t>Międzyosobnicza zmienność farmakokinetyki worykonazolu jest bardzo duża.</w:t>
      </w:r>
    </w:p>
    <w:p w14:paraId="7C8C926A" w14:textId="77777777" w:rsidR="00575F5E" w:rsidRPr="005138D5" w:rsidRDefault="00575F5E" w:rsidP="00A41668">
      <w:pPr>
        <w:widowControl/>
        <w:rPr>
          <w:bCs/>
          <w:sz w:val="22"/>
        </w:rPr>
      </w:pPr>
    </w:p>
    <w:p w14:paraId="37D9DA0E" w14:textId="77777777" w:rsidR="00575F5E" w:rsidRPr="005138D5" w:rsidRDefault="00575F5E" w:rsidP="00A41668">
      <w:pPr>
        <w:widowControl/>
        <w:rPr>
          <w:bCs/>
          <w:sz w:val="22"/>
        </w:rPr>
      </w:pPr>
      <w:r w:rsidRPr="005138D5">
        <w:rPr>
          <w:bCs/>
          <w:sz w:val="22"/>
        </w:rPr>
        <w:t xml:space="preserve">Badania </w:t>
      </w:r>
      <w:r w:rsidRPr="005138D5">
        <w:rPr>
          <w:bCs/>
          <w:i/>
          <w:iCs/>
          <w:sz w:val="22"/>
        </w:rPr>
        <w:t>in vivo</w:t>
      </w:r>
      <w:r w:rsidRPr="005138D5">
        <w:rPr>
          <w:bCs/>
          <w:sz w:val="22"/>
        </w:rPr>
        <w:t xml:space="preserve"> wskazują, że CYP2C19 bierze istotny udział w metabolizmie worykonazolu. Enzym ten wykazuje polimorfizm genetyczny. Na przykład uważa się, że 15-20 % populacji Azji to osobnicy słabo metabolizujący worykonazol. W rasie kaukaskiej i czarnej jest 35 % słabo metabolizujących osobników. Badania przeprowadzone u zdrowych osobników rasy kaukaskiej i Japończyków wykazały, że osobnicy słabo metabolizujący są narażeni na </w:t>
      </w:r>
      <w:r w:rsidR="00E9217C" w:rsidRPr="005138D5">
        <w:rPr>
          <w:bCs/>
          <w:sz w:val="22"/>
        </w:rPr>
        <w:t>4-</w:t>
      </w:r>
      <w:r w:rsidRPr="005138D5">
        <w:rPr>
          <w:bCs/>
          <w:sz w:val="22"/>
        </w:rPr>
        <w:t>krotnie większą ekspozycję na worykonazol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w porównaniu z homozygotycznymi osobnikami szybko metabolizującymi. Szybko metabolizujący heterozygotyczni osobnicy są narażeni na dwukrotnie większą ekspozycję na worykonazol w porównaniu z homozygotycznymi szybko metabolizującymi osobnikami.</w:t>
      </w:r>
    </w:p>
    <w:p w14:paraId="3B8F1424" w14:textId="77777777" w:rsidR="00575F5E" w:rsidRPr="005138D5" w:rsidRDefault="00575F5E" w:rsidP="00A41668">
      <w:pPr>
        <w:pStyle w:val="Tekstpodstawowy"/>
        <w:widowControl/>
        <w:rPr>
          <w:rFonts w:ascii="Times New Roman" w:hAnsi="Times New Roman"/>
          <w:bCs/>
        </w:rPr>
      </w:pPr>
    </w:p>
    <w:p w14:paraId="7B0486BC" w14:textId="77777777" w:rsidR="00473BFF" w:rsidRPr="005138D5" w:rsidRDefault="00575F5E" w:rsidP="00A41668">
      <w:pPr>
        <w:pStyle w:val="Tekstpodstawowy"/>
        <w:widowControl/>
        <w:rPr>
          <w:rFonts w:ascii="Times New Roman" w:hAnsi="Times New Roman"/>
          <w:bCs/>
        </w:rPr>
      </w:pPr>
      <w:r w:rsidRPr="005138D5">
        <w:rPr>
          <w:rFonts w:ascii="Times New Roman" w:hAnsi="Times New Roman"/>
          <w:bCs/>
        </w:rPr>
        <w:t xml:space="preserve">Podstawowym metabolitem worykonazolu jest </w:t>
      </w:r>
      <w:r w:rsidRPr="005138D5">
        <w:rPr>
          <w:rFonts w:ascii="Times New Roman" w:hAnsi="Times New Roman"/>
          <w:bCs/>
          <w:i/>
        </w:rPr>
        <w:t>N</w:t>
      </w:r>
      <w:r w:rsidRPr="005138D5">
        <w:rPr>
          <w:rFonts w:ascii="Times New Roman" w:hAnsi="Times New Roman"/>
          <w:bCs/>
        </w:rPr>
        <w:t xml:space="preserve">-tlenek, który stanowi 72 % krążących, znakowanych metabolitów w osoczu. Wykazuje on tylko śladowe właściwości grzybobójcze i nie ma znaczenia </w:t>
      </w:r>
    </w:p>
    <w:p w14:paraId="77B1DC72" w14:textId="77777777" w:rsidR="00575F5E" w:rsidRPr="005138D5" w:rsidRDefault="00575F5E" w:rsidP="00A41668">
      <w:pPr>
        <w:pStyle w:val="Tekstpodstawowy"/>
        <w:widowControl/>
        <w:rPr>
          <w:rFonts w:ascii="Times New Roman" w:hAnsi="Times New Roman"/>
          <w:bCs/>
        </w:rPr>
      </w:pPr>
      <w:r w:rsidRPr="005138D5">
        <w:rPr>
          <w:rFonts w:ascii="Times New Roman" w:hAnsi="Times New Roman"/>
          <w:bCs/>
        </w:rPr>
        <w:t>w ogólnej skuteczności worykonazolu.</w:t>
      </w:r>
    </w:p>
    <w:p w14:paraId="7D62EEE2" w14:textId="77777777" w:rsidR="00575F5E" w:rsidRPr="005138D5" w:rsidRDefault="00575F5E" w:rsidP="00A41668">
      <w:pPr>
        <w:pStyle w:val="Tekstpodstawowy"/>
        <w:widowControl/>
        <w:rPr>
          <w:rFonts w:ascii="Times New Roman" w:hAnsi="Times New Roman"/>
          <w:bCs/>
        </w:rPr>
      </w:pPr>
    </w:p>
    <w:p w14:paraId="57733C7A" w14:textId="77777777" w:rsidR="00575F5E" w:rsidRPr="005138D5" w:rsidRDefault="00220BA5" w:rsidP="00277FE6">
      <w:pPr>
        <w:rPr>
          <w:sz w:val="22"/>
          <w:u w:val="single"/>
        </w:rPr>
      </w:pPr>
      <w:r w:rsidRPr="005138D5">
        <w:rPr>
          <w:sz w:val="22"/>
          <w:u w:val="single"/>
        </w:rPr>
        <w:t>Eliminacja</w:t>
      </w:r>
    </w:p>
    <w:p w14:paraId="7AE3EF34" w14:textId="77777777" w:rsidR="00575F5E" w:rsidRPr="005138D5" w:rsidRDefault="00575F5E" w:rsidP="00A41668">
      <w:pPr>
        <w:widowControl/>
        <w:rPr>
          <w:bCs/>
          <w:sz w:val="22"/>
        </w:rPr>
      </w:pPr>
      <w:r w:rsidRPr="005138D5">
        <w:rPr>
          <w:bCs/>
          <w:sz w:val="22"/>
        </w:rPr>
        <w:t>Worykonazol jest wydalany na drodze metabolizmu wątrobowego i tylko mniej niż 2 % niezmienionego leku jest wydalane z moczem.</w:t>
      </w:r>
    </w:p>
    <w:p w14:paraId="155CAAC2" w14:textId="77777777" w:rsidR="00575F5E" w:rsidRPr="005138D5" w:rsidRDefault="00575F5E" w:rsidP="00A41668">
      <w:pPr>
        <w:widowControl/>
        <w:rPr>
          <w:bCs/>
          <w:sz w:val="22"/>
        </w:rPr>
      </w:pPr>
    </w:p>
    <w:p w14:paraId="1F0F9A89" w14:textId="77777777" w:rsidR="00473BFF" w:rsidRPr="005138D5" w:rsidRDefault="00575F5E" w:rsidP="00A41668">
      <w:pPr>
        <w:rPr>
          <w:bCs/>
          <w:sz w:val="22"/>
        </w:rPr>
      </w:pPr>
      <w:r w:rsidRPr="005138D5">
        <w:rPr>
          <w:bCs/>
          <w:sz w:val="22"/>
        </w:rPr>
        <w:t xml:space="preserve">Stosując znakowany worykonazol stwierdzono, że około 80 % radioaktywności jest odzyskiwane </w:t>
      </w:r>
    </w:p>
    <w:p w14:paraId="34A84D3E" w14:textId="77777777" w:rsidR="00575F5E" w:rsidRPr="005138D5" w:rsidRDefault="00575F5E" w:rsidP="00A41668">
      <w:pPr>
        <w:rPr>
          <w:bCs/>
          <w:sz w:val="22"/>
        </w:rPr>
      </w:pPr>
      <w:r w:rsidRPr="005138D5">
        <w:rPr>
          <w:bCs/>
          <w:sz w:val="22"/>
        </w:rPr>
        <w:t>w moczu po wielokrotnym podaniu dożylnym i 83 % po wielokrotnym podaniu doustnym. Większość (&gt;94 %) całkowitej radioaktywności jest wydalana w ciągu pierwszych 96</w:t>
      </w:r>
      <w:r w:rsidR="00386A06" w:rsidRPr="005138D5">
        <w:rPr>
          <w:bCs/>
          <w:sz w:val="22"/>
        </w:rPr>
        <w:t> godzin</w:t>
      </w:r>
      <w:r w:rsidR="0001293E" w:rsidRPr="005138D5">
        <w:rPr>
          <w:bCs/>
          <w:sz w:val="22"/>
        </w:rPr>
        <w:t>,</w:t>
      </w:r>
      <w:r w:rsidRPr="005138D5">
        <w:rPr>
          <w:bCs/>
          <w:sz w:val="22"/>
        </w:rPr>
        <w:t xml:space="preserve"> zarówno po podaniu dożylnym jak i doustnym. </w:t>
      </w:r>
    </w:p>
    <w:p w14:paraId="37A80456" w14:textId="77777777" w:rsidR="00575F5E" w:rsidRPr="005138D5" w:rsidRDefault="00575F5E" w:rsidP="00A41668">
      <w:pPr>
        <w:rPr>
          <w:bCs/>
          <w:sz w:val="22"/>
        </w:rPr>
      </w:pPr>
    </w:p>
    <w:p w14:paraId="43BB35A7" w14:textId="77777777" w:rsidR="00473BFF" w:rsidRPr="005138D5" w:rsidRDefault="00575F5E" w:rsidP="00A41668">
      <w:pPr>
        <w:rPr>
          <w:bCs/>
          <w:sz w:val="22"/>
        </w:rPr>
      </w:pPr>
      <w:r w:rsidRPr="005138D5">
        <w:rPr>
          <w:bCs/>
          <w:sz w:val="22"/>
        </w:rPr>
        <w:t>Okres półtrwania worykonazolu w końcowej fazie eliminacji zależy od dawki i wynosi około 6</w:t>
      </w:r>
      <w:r w:rsidR="00386A06" w:rsidRPr="005138D5">
        <w:rPr>
          <w:bCs/>
          <w:sz w:val="22"/>
        </w:rPr>
        <w:t> godzin</w:t>
      </w:r>
      <w:r w:rsidRPr="005138D5">
        <w:rPr>
          <w:bCs/>
          <w:sz w:val="22"/>
        </w:rPr>
        <w:t xml:space="preserve"> po podaniu doustn</w:t>
      </w:r>
      <w:r w:rsidR="00002D01" w:rsidRPr="005138D5">
        <w:rPr>
          <w:bCs/>
          <w:sz w:val="22"/>
        </w:rPr>
        <w:t>ym</w:t>
      </w:r>
      <w:r w:rsidRPr="005138D5">
        <w:rPr>
          <w:bCs/>
          <w:sz w:val="22"/>
        </w:rPr>
        <w:t xml:space="preserve"> 200</w:t>
      </w:r>
      <w:r w:rsidR="00086D10" w:rsidRPr="005138D5">
        <w:rPr>
          <w:bCs/>
          <w:sz w:val="22"/>
        </w:rPr>
        <w:t> mg</w:t>
      </w:r>
      <w:r w:rsidRPr="005138D5">
        <w:rPr>
          <w:bCs/>
          <w:sz w:val="22"/>
        </w:rPr>
        <w:t xml:space="preserve">. Ze względu na nieliniową farmakokinetykę, okres półtrwania w osoczu w końcowej fazie eliminacji nie jest przydatny do przewidywania kumulacji </w:t>
      </w:r>
    </w:p>
    <w:p w14:paraId="00061C6B" w14:textId="77777777" w:rsidR="00575F5E" w:rsidRPr="005138D5" w:rsidRDefault="00575F5E" w:rsidP="00A41668">
      <w:pPr>
        <w:rPr>
          <w:bCs/>
          <w:sz w:val="22"/>
        </w:rPr>
      </w:pPr>
      <w:r w:rsidRPr="005138D5">
        <w:rPr>
          <w:bCs/>
          <w:sz w:val="22"/>
        </w:rPr>
        <w:t>i eliminacji worykonazolu.</w:t>
      </w:r>
    </w:p>
    <w:p w14:paraId="057CD2B2" w14:textId="77777777" w:rsidR="00575F5E" w:rsidRPr="005138D5" w:rsidRDefault="00575F5E" w:rsidP="00A41668">
      <w:pPr>
        <w:rPr>
          <w:bCs/>
          <w:sz w:val="22"/>
        </w:rPr>
      </w:pPr>
    </w:p>
    <w:p w14:paraId="20ABB562" w14:textId="77777777" w:rsidR="00575F5E" w:rsidRPr="005138D5" w:rsidRDefault="00575F5E" w:rsidP="00277FE6">
      <w:pPr>
        <w:rPr>
          <w:sz w:val="22"/>
          <w:u w:val="single"/>
        </w:rPr>
      </w:pPr>
      <w:r w:rsidRPr="005138D5">
        <w:rPr>
          <w:sz w:val="22"/>
          <w:u w:val="single"/>
        </w:rPr>
        <w:t>Farmakokinetyka w specjalnych grupach pacjentów</w:t>
      </w:r>
    </w:p>
    <w:p w14:paraId="765A3301" w14:textId="77777777" w:rsidR="00575F5E" w:rsidRPr="005138D5" w:rsidRDefault="00575F5E" w:rsidP="00277FE6">
      <w:pPr>
        <w:rPr>
          <w:i/>
          <w:sz w:val="22"/>
        </w:rPr>
      </w:pPr>
      <w:r w:rsidRPr="005138D5">
        <w:rPr>
          <w:i/>
          <w:sz w:val="22"/>
        </w:rPr>
        <w:t>Płeć</w:t>
      </w:r>
    </w:p>
    <w:p w14:paraId="7D63A326" w14:textId="77777777" w:rsidR="00575F5E" w:rsidRPr="005138D5" w:rsidRDefault="00575F5E" w:rsidP="00A41668">
      <w:pPr>
        <w:rPr>
          <w:bCs/>
          <w:sz w:val="22"/>
        </w:rPr>
      </w:pPr>
      <w:r w:rsidRPr="005138D5">
        <w:rPr>
          <w:bCs/>
          <w:sz w:val="22"/>
        </w:rPr>
        <w:t>W przypadku wielokrotnego podawania doustnego, wartości C</w:t>
      </w:r>
      <w:r w:rsidRPr="005138D5">
        <w:rPr>
          <w:bCs/>
          <w:sz w:val="22"/>
          <w:vertAlign w:val="subscript"/>
        </w:rPr>
        <w:t>max</w:t>
      </w:r>
      <w:r w:rsidRPr="005138D5">
        <w:rPr>
          <w:bCs/>
          <w:sz w:val="22"/>
        </w:rPr>
        <w:t xml:space="preserve"> 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u zdrowych kobiet były większe odpowiednio o 83 % i 113 % od tych wartości u zdrowych mężczyzn (18-45</w:t>
      </w:r>
      <w:r w:rsidR="00386A06" w:rsidRPr="005138D5">
        <w:rPr>
          <w:bCs/>
          <w:sz w:val="22"/>
        </w:rPr>
        <w:t> lat</w:t>
      </w:r>
      <w:r w:rsidRPr="005138D5">
        <w:rPr>
          <w:bCs/>
          <w:sz w:val="22"/>
        </w:rPr>
        <w:t>). W tym samym badaniu nie zaobserwowano istotnych różnic pomiędzy wartościami C</w:t>
      </w:r>
      <w:r w:rsidRPr="005138D5">
        <w:rPr>
          <w:bCs/>
          <w:sz w:val="22"/>
          <w:vertAlign w:val="subscript"/>
        </w:rPr>
        <w:t>max</w:t>
      </w:r>
      <w:r w:rsidRPr="005138D5">
        <w:rPr>
          <w:bCs/>
          <w:sz w:val="22"/>
        </w:rPr>
        <w:t xml:space="preserve"> 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u zdrowych kobiet w podeszłym wieku i u zdrowych mężczyzn w podeszłym wieku (≥ 65</w:t>
      </w:r>
      <w:r w:rsidR="00386A06" w:rsidRPr="005138D5">
        <w:rPr>
          <w:bCs/>
          <w:sz w:val="22"/>
        </w:rPr>
        <w:t> lat</w:t>
      </w:r>
      <w:r w:rsidRPr="005138D5">
        <w:rPr>
          <w:bCs/>
          <w:sz w:val="22"/>
        </w:rPr>
        <w:t>).</w:t>
      </w:r>
    </w:p>
    <w:p w14:paraId="7276D752" w14:textId="77777777" w:rsidR="00575F5E" w:rsidRPr="005138D5" w:rsidRDefault="00575F5E" w:rsidP="00A41668">
      <w:pPr>
        <w:rPr>
          <w:bCs/>
          <w:sz w:val="22"/>
        </w:rPr>
      </w:pPr>
    </w:p>
    <w:p w14:paraId="542F61FE" w14:textId="77777777" w:rsidR="00575F5E" w:rsidRPr="005138D5" w:rsidRDefault="00575F5E" w:rsidP="00A41668">
      <w:pPr>
        <w:rPr>
          <w:bCs/>
          <w:sz w:val="22"/>
        </w:rPr>
      </w:pPr>
      <w:r w:rsidRPr="005138D5">
        <w:rPr>
          <w:bCs/>
          <w:sz w:val="22"/>
        </w:rPr>
        <w:t>W programie klinicznym nie dostosowywano dawkowania ze względu na płeć. Profil bezpieczeństwa i stężenia worykonazolu w osoczu były podobne u kobiet i mężczyzn. Nie ma więc konieczności dostosowywania dawkowania ze względu na płeć.</w:t>
      </w:r>
    </w:p>
    <w:p w14:paraId="38CF3B32" w14:textId="77777777" w:rsidR="00DC4E1A" w:rsidRPr="005138D5" w:rsidRDefault="00DC4E1A" w:rsidP="00277FE6">
      <w:pPr>
        <w:rPr>
          <w:sz w:val="22"/>
          <w:u w:val="single"/>
        </w:rPr>
      </w:pPr>
    </w:p>
    <w:p w14:paraId="011EB28D" w14:textId="77777777" w:rsidR="00575F5E" w:rsidRPr="005138D5" w:rsidRDefault="00575F5E" w:rsidP="00277FE6">
      <w:pPr>
        <w:rPr>
          <w:i/>
          <w:sz w:val="22"/>
        </w:rPr>
      </w:pPr>
      <w:r w:rsidRPr="005138D5">
        <w:rPr>
          <w:i/>
          <w:sz w:val="22"/>
        </w:rPr>
        <w:t>Osoby w podeszłym wieku</w:t>
      </w:r>
    </w:p>
    <w:p w14:paraId="11B48658" w14:textId="77777777" w:rsidR="00575F5E" w:rsidRPr="005138D5" w:rsidRDefault="00575F5E" w:rsidP="00A41668">
      <w:pPr>
        <w:rPr>
          <w:bCs/>
          <w:sz w:val="22"/>
        </w:rPr>
      </w:pPr>
      <w:r w:rsidRPr="005138D5">
        <w:rPr>
          <w:bCs/>
          <w:sz w:val="22"/>
        </w:rPr>
        <w:t>W badaniu z wielokrotnymi doustnymi dawkami leku, średnie wartości C</w:t>
      </w:r>
      <w:r w:rsidRPr="005138D5">
        <w:rPr>
          <w:bCs/>
          <w:sz w:val="22"/>
          <w:vertAlign w:val="subscript"/>
        </w:rPr>
        <w:t>max</w:t>
      </w:r>
      <w:r w:rsidRPr="005138D5">
        <w:rPr>
          <w:bCs/>
          <w:sz w:val="22"/>
        </w:rPr>
        <w:t xml:space="preserve"> 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u zdrowych mężczyzn w podeszłym wieku (≥ 65</w:t>
      </w:r>
      <w:r w:rsidR="00386A06" w:rsidRPr="005138D5">
        <w:rPr>
          <w:bCs/>
          <w:sz w:val="22"/>
        </w:rPr>
        <w:t> lat</w:t>
      </w:r>
      <w:r w:rsidRPr="005138D5">
        <w:rPr>
          <w:bCs/>
          <w:sz w:val="22"/>
        </w:rPr>
        <w:t>) były większe, odpowiednio o 61 % i 86 %, od wartości C</w:t>
      </w:r>
      <w:r w:rsidRPr="005138D5">
        <w:rPr>
          <w:bCs/>
          <w:sz w:val="22"/>
          <w:vertAlign w:val="subscript"/>
        </w:rPr>
        <w:t>max</w:t>
      </w:r>
      <w:r w:rsidRPr="005138D5">
        <w:rPr>
          <w:bCs/>
          <w:sz w:val="22"/>
        </w:rPr>
        <w:t xml:space="preserve"> 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u zdrowych młodych mężczyzn (18-45</w:t>
      </w:r>
      <w:r w:rsidR="00386A06" w:rsidRPr="005138D5">
        <w:rPr>
          <w:bCs/>
          <w:sz w:val="22"/>
        </w:rPr>
        <w:t> lat</w:t>
      </w:r>
      <w:r w:rsidRPr="005138D5">
        <w:rPr>
          <w:bCs/>
          <w:sz w:val="22"/>
        </w:rPr>
        <w:t>). Nie wykazano istotnych różnic dotyczących C</w:t>
      </w:r>
      <w:r w:rsidRPr="005138D5">
        <w:rPr>
          <w:bCs/>
          <w:sz w:val="22"/>
          <w:vertAlign w:val="subscript"/>
        </w:rPr>
        <w:t>max</w:t>
      </w:r>
      <w:r w:rsidRPr="005138D5">
        <w:rPr>
          <w:bCs/>
          <w:sz w:val="22"/>
        </w:rPr>
        <w:t xml:space="preserve"> i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pomiędzy zdrowymi kobietami w podeszłym wieku (≥ 65</w:t>
      </w:r>
      <w:r w:rsidR="00386A06" w:rsidRPr="005138D5">
        <w:rPr>
          <w:bCs/>
          <w:sz w:val="22"/>
        </w:rPr>
        <w:t> lat</w:t>
      </w:r>
      <w:r w:rsidRPr="005138D5">
        <w:rPr>
          <w:bCs/>
          <w:sz w:val="22"/>
        </w:rPr>
        <w:t>) i zdrowymi młodymi kobietami (18-45</w:t>
      </w:r>
      <w:r w:rsidR="00386A06" w:rsidRPr="005138D5">
        <w:rPr>
          <w:bCs/>
          <w:sz w:val="22"/>
        </w:rPr>
        <w:t> lat</w:t>
      </w:r>
      <w:r w:rsidRPr="005138D5">
        <w:rPr>
          <w:bCs/>
          <w:sz w:val="22"/>
        </w:rPr>
        <w:t>).</w:t>
      </w:r>
    </w:p>
    <w:p w14:paraId="55929D82" w14:textId="77777777" w:rsidR="00575F5E" w:rsidRPr="005138D5" w:rsidRDefault="00575F5E" w:rsidP="00A41668">
      <w:pPr>
        <w:rPr>
          <w:bCs/>
          <w:sz w:val="22"/>
        </w:rPr>
      </w:pPr>
    </w:p>
    <w:p w14:paraId="74B16AC3" w14:textId="77777777" w:rsidR="00A96FB1" w:rsidRPr="005138D5" w:rsidRDefault="00575F5E" w:rsidP="00A41668">
      <w:pPr>
        <w:rPr>
          <w:bCs/>
          <w:sz w:val="22"/>
        </w:rPr>
      </w:pPr>
      <w:r w:rsidRPr="005138D5">
        <w:rPr>
          <w:bCs/>
          <w:sz w:val="22"/>
        </w:rPr>
        <w:t>W badaniach terapeutycznych nie dostosowano dawkowania leku ze względu na wiek. Zaobserwowano zależność pomiędzy stężeniem leku w osoczu a wiekiem. Profil bezpieczeństwa worykonazolu u pacjentów młodych i w podeszłym wieku był podobny</w:t>
      </w:r>
      <w:r w:rsidR="00002D01" w:rsidRPr="005138D5">
        <w:rPr>
          <w:bCs/>
          <w:sz w:val="22"/>
        </w:rPr>
        <w:t>,</w:t>
      </w:r>
      <w:r w:rsidRPr="005138D5">
        <w:rPr>
          <w:bCs/>
          <w:sz w:val="22"/>
        </w:rPr>
        <w:t xml:space="preserve"> i dlatego nie ma konieczności</w:t>
      </w:r>
    </w:p>
    <w:p w14:paraId="5559BDF7" w14:textId="77777777" w:rsidR="00575F5E" w:rsidRPr="005138D5" w:rsidRDefault="00575F5E" w:rsidP="00A41668">
      <w:pPr>
        <w:rPr>
          <w:bCs/>
          <w:sz w:val="22"/>
        </w:rPr>
      </w:pPr>
      <w:r w:rsidRPr="005138D5">
        <w:rPr>
          <w:bCs/>
          <w:sz w:val="22"/>
        </w:rPr>
        <w:t>dostosowania dawkowania u osób w podeszłym wieku (patrz punkt 4.2).</w:t>
      </w:r>
    </w:p>
    <w:p w14:paraId="6ED981C6" w14:textId="77777777" w:rsidR="00057399" w:rsidRPr="005138D5" w:rsidRDefault="00057399" w:rsidP="00A41668">
      <w:pPr>
        <w:rPr>
          <w:bCs/>
          <w:sz w:val="22"/>
        </w:rPr>
      </w:pPr>
    </w:p>
    <w:p w14:paraId="295468FD" w14:textId="77777777" w:rsidR="00575F5E" w:rsidRPr="005138D5" w:rsidRDefault="00575F5E" w:rsidP="00277FE6">
      <w:pPr>
        <w:rPr>
          <w:i/>
          <w:sz w:val="22"/>
        </w:rPr>
      </w:pPr>
      <w:r w:rsidRPr="005138D5">
        <w:rPr>
          <w:i/>
          <w:sz w:val="22"/>
        </w:rPr>
        <w:t>Dzieci</w:t>
      </w:r>
      <w:r w:rsidR="008227B8" w:rsidRPr="005138D5">
        <w:rPr>
          <w:i/>
          <w:sz w:val="22"/>
        </w:rPr>
        <w:t xml:space="preserve"> i młodzież</w:t>
      </w:r>
    </w:p>
    <w:p w14:paraId="264C86A8" w14:textId="77777777" w:rsidR="00473BFF" w:rsidRPr="005138D5" w:rsidRDefault="00575F5E" w:rsidP="00A41668">
      <w:pPr>
        <w:rPr>
          <w:sz w:val="22"/>
        </w:rPr>
      </w:pPr>
      <w:r w:rsidRPr="005138D5">
        <w:rPr>
          <w:sz w:val="22"/>
        </w:rPr>
        <w:t xml:space="preserve">Zalecana dawka u dzieci </w:t>
      </w:r>
      <w:r w:rsidR="00A80854" w:rsidRPr="005138D5">
        <w:rPr>
          <w:sz w:val="22"/>
        </w:rPr>
        <w:t xml:space="preserve">i młodzieży </w:t>
      </w:r>
      <w:r w:rsidRPr="005138D5">
        <w:rPr>
          <w:sz w:val="22"/>
        </w:rPr>
        <w:t xml:space="preserve">została ustalona na podstawie danych uzyskanych </w:t>
      </w:r>
    </w:p>
    <w:p w14:paraId="60D69F37" w14:textId="77777777" w:rsidR="00473BFF" w:rsidRPr="005138D5" w:rsidRDefault="00575F5E" w:rsidP="00A41668">
      <w:pPr>
        <w:rPr>
          <w:sz w:val="22"/>
        </w:rPr>
      </w:pPr>
      <w:r w:rsidRPr="005138D5">
        <w:rPr>
          <w:sz w:val="22"/>
        </w:rPr>
        <w:t xml:space="preserve">w farmakokinetycznej analizie populacji u </w:t>
      </w:r>
      <w:r w:rsidR="00A80854" w:rsidRPr="005138D5">
        <w:rPr>
          <w:sz w:val="22"/>
        </w:rPr>
        <w:t xml:space="preserve">112 </w:t>
      </w:r>
      <w:r w:rsidRPr="005138D5">
        <w:rPr>
          <w:sz w:val="22"/>
        </w:rPr>
        <w:t>dzieci w wieku od 2 do &lt;12</w:t>
      </w:r>
      <w:r w:rsidR="00386A06" w:rsidRPr="005138D5">
        <w:rPr>
          <w:sz w:val="22"/>
        </w:rPr>
        <w:t> lat</w:t>
      </w:r>
      <w:r w:rsidRPr="005138D5">
        <w:rPr>
          <w:sz w:val="22"/>
        </w:rPr>
        <w:t xml:space="preserve"> z niedoborem odporności</w:t>
      </w:r>
      <w:r w:rsidR="00A80854" w:rsidRPr="005138D5">
        <w:rPr>
          <w:sz w:val="22"/>
        </w:rPr>
        <w:t xml:space="preserve"> i 26</w:t>
      </w:r>
      <w:r w:rsidR="007941AB" w:rsidRPr="005138D5">
        <w:rPr>
          <w:sz w:val="22"/>
        </w:rPr>
        <w:t>-</w:t>
      </w:r>
      <w:r w:rsidR="00A80854" w:rsidRPr="005138D5">
        <w:rPr>
          <w:sz w:val="22"/>
        </w:rPr>
        <w:t xml:space="preserve">osobowej </w:t>
      </w:r>
      <w:r w:rsidR="00A1758B" w:rsidRPr="005138D5">
        <w:rPr>
          <w:sz w:val="22"/>
        </w:rPr>
        <w:t xml:space="preserve">grupie </w:t>
      </w:r>
      <w:r w:rsidR="00A80854" w:rsidRPr="005138D5">
        <w:rPr>
          <w:sz w:val="22"/>
        </w:rPr>
        <w:t>młodzieży w wieku od 12 &lt; 17</w:t>
      </w:r>
      <w:r w:rsidR="00386A06" w:rsidRPr="005138D5">
        <w:rPr>
          <w:sz w:val="22"/>
        </w:rPr>
        <w:t> lat</w:t>
      </w:r>
      <w:r w:rsidR="00EB2112" w:rsidRPr="005138D5">
        <w:rPr>
          <w:sz w:val="22"/>
        </w:rPr>
        <w:t xml:space="preserve"> z niedoborem odporności</w:t>
      </w:r>
      <w:r w:rsidR="00A80854" w:rsidRPr="005138D5">
        <w:rPr>
          <w:sz w:val="22"/>
        </w:rPr>
        <w:t xml:space="preserve">. </w:t>
      </w:r>
      <w:r w:rsidR="001F0058" w:rsidRPr="005138D5">
        <w:rPr>
          <w:sz w:val="22"/>
        </w:rPr>
        <w:t>Podczas 3 badań farmakokinetycznych dzieci i młodzieży</w:t>
      </w:r>
      <w:r w:rsidR="00275EEC" w:rsidRPr="005138D5">
        <w:rPr>
          <w:sz w:val="22"/>
        </w:rPr>
        <w:t>,</w:t>
      </w:r>
      <w:r w:rsidR="001F0058" w:rsidRPr="005138D5">
        <w:rPr>
          <w:sz w:val="22"/>
        </w:rPr>
        <w:t xml:space="preserve"> oceniano w</w:t>
      </w:r>
      <w:r w:rsidR="00A80854" w:rsidRPr="005138D5">
        <w:rPr>
          <w:sz w:val="22"/>
        </w:rPr>
        <w:t xml:space="preserve">ielokrotne dawki dożylne </w:t>
      </w:r>
    </w:p>
    <w:p w14:paraId="24A6E610" w14:textId="77777777" w:rsidR="00473BFF" w:rsidRPr="005138D5" w:rsidRDefault="00A80854" w:rsidP="00A41668">
      <w:pPr>
        <w:rPr>
          <w:sz w:val="22"/>
        </w:rPr>
      </w:pPr>
      <w:r w:rsidRPr="005138D5">
        <w:rPr>
          <w:sz w:val="22"/>
        </w:rPr>
        <w:t>3</w:t>
      </w:r>
      <w:r w:rsidR="00086D10" w:rsidRPr="005138D5">
        <w:rPr>
          <w:sz w:val="22"/>
        </w:rPr>
        <w:t> mg</w:t>
      </w:r>
      <w:r w:rsidR="001B1E32" w:rsidRPr="005138D5">
        <w:rPr>
          <w:sz w:val="22"/>
        </w:rPr>
        <w:t>/kg mc.</w:t>
      </w:r>
      <w:r w:rsidRPr="005138D5">
        <w:rPr>
          <w:sz w:val="22"/>
        </w:rPr>
        <w:t>, 4</w:t>
      </w:r>
      <w:r w:rsidR="00086D10" w:rsidRPr="005138D5">
        <w:rPr>
          <w:sz w:val="22"/>
        </w:rPr>
        <w:t> mg</w:t>
      </w:r>
      <w:r w:rsidR="001B1E32" w:rsidRPr="005138D5">
        <w:rPr>
          <w:sz w:val="22"/>
        </w:rPr>
        <w:t>/kg mc.</w:t>
      </w:r>
      <w:r w:rsidRPr="005138D5">
        <w:rPr>
          <w:sz w:val="22"/>
        </w:rPr>
        <w:t xml:space="preserve">, </w:t>
      </w:r>
      <w:r w:rsidR="00AF5EC1" w:rsidRPr="005138D5">
        <w:rPr>
          <w:sz w:val="22"/>
        </w:rPr>
        <w:t>6</w:t>
      </w:r>
      <w:r w:rsidR="00086D10" w:rsidRPr="005138D5">
        <w:rPr>
          <w:sz w:val="22"/>
        </w:rPr>
        <w:t> mg</w:t>
      </w:r>
      <w:r w:rsidR="001B1E32" w:rsidRPr="005138D5">
        <w:rPr>
          <w:sz w:val="22"/>
        </w:rPr>
        <w:t>/kg mc.</w:t>
      </w:r>
      <w:r w:rsidR="00AF5EC1" w:rsidRPr="005138D5">
        <w:rPr>
          <w:sz w:val="22"/>
        </w:rPr>
        <w:t>, 7</w:t>
      </w:r>
      <w:r w:rsidR="00086D10" w:rsidRPr="005138D5">
        <w:rPr>
          <w:sz w:val="22"/>
        </w:rPr>
        <w:t> mg</w:t>
      </w:r>
      <w:r w:rsidR="001B1E32" w:rsidRPr="005138D5">
        <w:rPr>
          <w:sz w:val="22"/>
        </w:rPr>
        <w:t>/kg mc.</w:t>
      </w:r>
      <w:r w:rsidR="00AF5EC1" w:rsidRPr="005138D5">
        <w:rPr>
          <w:sz w:val="22"/>
        </w:rPr>
        <w:t xml:space="preserve"> i 8</w:t>
      </w:r>
      <w:r w:rsidR="00086D10" w:rsidRPr="005138D5">
        <w:rPr>
          <w:sz w:val="22"/>
        </w:rPr>
        <w:t> mg</w:t>
      </w:r>
      <w:r w:rsidR="00AF5EC1" w:rsidRPr="005138D5">
        <w:rPr>
          <w:sz w:val="22"/>
        </w:rPr>
        <w:t>/kg</w:t>
      </w:r>
      <w:r w:rsidR="00B570D5" w:rsidRPr="005138D5">
        <w:rPr>
          <w:sz w:val="22"/>
        </w:rPr>
        <w:t xml:space="preserve"> mc.</w:t>
      </w:r>
      <w:r w:rsidR="00AF5EC1" w:rsidRPr="005138D5">
        <w:rPr>
          <w:sz w:val="22"/>
        </w:rPr>
        <w:t xml:space="preserve"> dwa razy </w:t>
      </w:r>
      <w:r w:rsidRPr="005138D5">
        <w:rPr>
          <w:sz w:val="22"/>
        </w:rPr>
        <w:t xml:space="preserve">na </w:t>
      </w:r>
      <w:r w:rsidR="00464173" w:rsidRPr="005138D5">
        <w:rPr>
          <w:sz w:val="22"/>
        </w:rPr>
        <w:t>dobę</w:t>
      </w:r>
      <w:r w:rsidRPr="005138D5">
        <w:rPr>
          <w:sz w:val="22"/>
        </w:rPr>
        <w:t xml:space="preserve"> oraz wielokrotne dawki doustne</w:t>
      </w:r>
      <w:r w:rsidR="00AF5EC1" w:rsidRPr="005138D5">
        <w:rPr>
          <w:sz w:val="22"/>
        </w:rPr>
        <w:t xml:space="preserve"> (stosując proszek do sporządzania zawiesiny doustnej) </w:t>
      </w:r>
    </w:p>
    <w:p w14:paraId="31D4A890" w14:textId="77777777" w:rsidR="00473BFF" w:rsidRPr="005138D5" w:rsidRDefault="00AF5EC1" w:rsidP="00A41668">
      <w:pPr>
        <w:rPr>
          <w:sz w:val="22"/>
        </w:rPr>
      </w:pPr>
      <w:r w:rsidRPr="005138D5">
        <w:rPr>
          <w:sz w:val="22"/>
        </w:rPr>
        <w:t>4</w:t>
      </w:r>
      <w:r w:rsidR="00086D10" w:rsidRPr="005138D5">
        <w:rPr>
          <w:sz w:val="22"/>
        </w:rPr>
        <w:t> mg</w:t>
      </w:r>
      <w:r w:rsidRPr="005138D5">
        <w:rPr>
          <w:sz w:val="22"/>
        </w:rPr>
        <w:t>/kg</w:t>
      </w:r>
      <w:r w:rsidR="0033475E" w:rsidRPr="005138D5">
        <w:rPr>
          <w:sz w:val="22"/>
        </w:rPr>
        <w:t xml:space="preserve"> mc.</w:t>
      </w:r>
      <w:r w:rsidRPr="005138D5">
        <w:rPr>
          <w:sz w:val="22"/>
        </w:rPr>
        <w:t>, 6</w:t>
      </w:r>
      <w:r w:rsidR="00086D10" w:rsidRPr="005138D5">
        <w:rPr>
          <w:sz w:val="22"/>
        </w:rPr>
        <w:t> mg</w:t>
      </w:r>
      <w:r w:rsidRPr="005138D5">
        <w:rPr>
          <w:sz w:val="22"/>
        </w:rPr>
        <w:t xml:space="preserve">/kg </w:t>
      </w:r>
      <w:r w:rsidR="0033475E" w:rsidRPr="005138D5">
        <w:rPr>
          <w:sz w:val="22"/>
        </w:rPr>
        <w:t xml:space="preserve">mc. </w:t>
      </w:r>
      <w:r w:rsidRPr="005138D5">
        <w:rPr>
          <w:sz w:val="22"/>
        </w:rPr>
        <w:t>oraz 200</w:t>
      </w:r>
      <w:r w:rsidR="00086D10" w:rsidRPr="005138D5">
        <w:rPr>
          <w:sz w:val="22"/>
        </w:rPr>
        <w:t> mg</w:t>
      </w:r>
      <w:r w:rsidRPr="005138D5">
        <w:rPr>
          <w:sz w:val="22"/>
        </w:rPr>
        <w:t xml:space="preserve"> dwa razy na dobę</w:t>
      </w:r>
      <w:r w:rsidR="00385790" w:rsidRPr="005138D5">
        <w:rPr>
          <w:sz w:val="22"/>
        </w:rPr>
        <w:t>.</w:t>
      </w:r>
      <w:r w:rsidR="00123214" w:rsidRPr="005138D5">
        <w:rPr>
          <w:sz w:val="22"/>
        </w:rPr>
        <w:t xml:space="preserve"> W trakcie 1 badania farmakokinetycznego przeprowadzonego u młodzieży</w:t>
      </w:r>
      <w:r w:rsidRPr="005138D5">
        <w:rPr>
          <w:sz w:val="22"/>
        </w:rPr>
        <w:t xml:space="preserve"> </w:t>
      </w:r>
      <w:r w:rsidR="00123214" w:rsidRPr="005138D5">
        <w:rPr>
          <w:sz w:val="22"/>
        </w:rPr>
        <w:t>oceniano d</w:t>
      </w:r>
      <w:r w:rsidRPr="005138D5">
        <w:rPr>
          <w:sz w:val="22"/>
        </w:rPr>
        <w:t xml:space="preserve">ożylną dawkę nasycającą </w:t>
      </w:r>
    </w:p>
    <w:p w14:paraId="4653715B" w14:textId="77777777" w:rsidR="00473BFF" w:rsidRPr="005138D5" w:rsidRDefault="00AF5EC1" w:rsidP="00A41668">
      <w:pPr>
        <w:rPr>
          <w:sz w:val="22"/>
        </w:rPr>
      </w:pPr>
      <w:r w:rsidRPr="005138D5">
        <w:rPr>
          <w:sz w:val="22"/>
        </w:rPr>
        <w:t>6</w:t>
      </w:r>
      <w:r w:rsidR="00086D10" w:rsidRPr="005138D5">
        <w:rPr>
          <w:sz w:val="22"/>
        </w:rPr>
        <w:t> mg</w:t>
      </w:r>
      <w:r w:rsidRPr="005138D5">
        <w:rPr>
          <w:sz w:val="22"/>
        </w:rPr>
        <w:t>/kg</w:t>
      </w:r>
      <w:r w:rsidR="00291306" w:rsidRPr="005138D5">
        <w:rPr>
          <w:sz w:val="22"/>
        </w:rPr>
        <w:t xml:space="preserve"> mc.</w:t>
      </w:r>
      <w:r w:rsidRPr="005138D5">
        <w:rPr>
          <w:sz w:val="22"/>
        </w:rPr>
        <w:t xml:space="preserve"> podawaną dwa razy na dobę w pierwszym dniu</w:t>
      </w:r>
      <w:r w:rsidR="003C790E" w:rsidRPr="005138D5">
        <w:rPr>
          <w:sz w:val="22"/>
        </w:rPr>
        <w:t xml:space="preserve"> i </w:t>
      </w:r>
      <w:r w:rsidR="00464173" w:rsidRPr="005138D5">
        <w:rPr>
          <w:sz w:val="22"/>
        </w:rPr>
        <w:t>następnie</w:t>
      </w:r>
      <w:r w:rsidR="003C790E" w:rsidRPr="005138D5">
        <w:rPr>
          <w:sz w:val="22"/>
        </w:rPr>
        <w:t xml:space="preserve"> podawaną</w:t>
      </w:r>
      <w:r w:rsidRPr="005138D5">
        <w:rPr>
          <w:sz w:val="22"/>
        </w:rPr>
        <w:t xml:space="preserve"> dawk</w:t>
      </w:r>
      <w:r w:rsidR="003C790E" w:rsidRPr="005138D5">
        <w:rPr>
          <w:sz w:val="22"/>
        </w:rPr>
        <w:t>ę</w:t>
      </w:r>
      <w:r w:rsidRPr="005138D5">
        <w:rPr>
          <w:sz w:val="22"/>
        </w:rPr>
        <w:t xml:space="preserve"> dożylną 4</w:t>
      </w:r>
      <w:r w:rsidR="00086D10" w:rsidRPr="005138D5">
        <w:rPr>
          <w:sz w:val="22"/>
        </w:rPr>
        <w:t> mg</w:t>
      </w:r>
      <w:r w:rsidRPr="005138D5">
        <w:rPr>
          <w:sz w:val="22"/>
        </w:rPr>
        <w:t>/kg</w:t>
      </w:r>
      <w:r w:rsidR="00291306" w:rsidRPr="005138D5">
        <w:rPr>
          <w:sz w:val="22"/>
        </w:rPr>
        <w:t xml:space="preserve"> mc.</w:t>
      </w:r>
      <w:r w:rsidRPr="005138D5">
        <w:rPr>
          <w:sz w:val="22"/>
        </w:rPr>
        <w:t xml:space="preserve"> dwa razy na dobę oraz doustną w postaci tabletek 300</w:t>
      </w:r>
      <w:r w:rsidR="00086D10" w:rsidRPr="005138D5">
        <w:rPr>
          <w:sz w:val="22"/>
        </w:rPr>
        <w:t> mg</w:t>
      </w:r>
      <w:r w:rsidRPr="005138D5">
        <w:rPr>
          <w:sz w:val="22"/>
        </w:rPr>
        <w:t xml:space="preserve"> dwa razy na dobę</w:t>
      </w:r>
      <w:r w:rsidR="00123214" w:rsidRPr="005138D5">
        <w:rPr>
          <w:sz w:val="22"/>
        </w:rPr>
        <w:t>.</w:t>
      </w:r>
      <w:r w:rsidRPr="005138D5">
        <w:rPr>
          <w:sz w:val="22"/>
        </w:rPr>
        <w:t xml:space="preserve"> </w:t>
      </w:r>
    </w:p>
    <w:p w14:paraId="0A30901F" w14:textId="77777777" w:rsidR="00A80854" w:rsidRPr="005138D5" w:rsidRDefault="00AF5EC1" w:rsidP="00A41668">
      <w:pPr>
        <w:rPr>
          <w:sz w:val="22"/>
        </w:rPr>
      </w:pPr>
      <w:r w:rsidRPr="005138D5">
        <w:rPr>
          <w:sz w:val="22"/>
        </w:rPr>
        <w:t xml:space="preserve">U dzieci i młodzieży w porównaniu do pacjentów dorosłych zaobserwowano większy stopień zmienności osobniczych. </w:t>
      </w:r>
    </w:p>
    <w:p w14:paraId="0415A37F" w14:textId="77777777" w:rsidR="006102F8" w:rsidRPr="005138D5" w:rsidRDefault="006102F8" w:rsidP="00A41668">
      <w:pPr>
        <w:rPr>
          <w:sz w:val="22"/>
        </w:rPr>
      </w:pPr>
    </w:p>
    <w:p w14:paraId="4D2DF562" w14:textId="77777777" w:rsidR="00473BFF" w:rsidRPr="005138D5" w:rsidRDefault="008227B8" w:rsidP="00A41668">
      <w:pPr>
        <w:rPr>
          <w:sz w:val="22"/>
        </w:rPr>
      </w:pPr>
      <w:r w:rsidRPr="005138D5">
        <w:rPr>
          <w:sz w:val="22"/>
        </w:rPr>
        <w:t>Por</w:t>
      </w:r>
      <w:r w:rsidR="00464173" w:rsidRPr="005138D5">
        <w:rPr>
          <w:sz w:val="22"/>
        </w:rPr>
        <w:t xml:space="preserve">ównanie danych farmakokinetycznych populacji </w:t>
      </w:r>
      <w:r w:rsidR="003C790E" w:rsidRPr="005138D5">
        <w:rPr>
          <w:sz w:val="22"/>
        </w:rPr>
        <w:t xml:space="preserve">dzieci i młodzieży oraz </w:t>
      </w:r>
      <w:r w:rsidR="00464173" w:rsidRPr="005138D5">
        <w:rPr>
          <w:sz w:val="22"/>
        </w:rPr>
        <w:t>pacjentów dorosłych wykazał</w:t>
      </w:r>
      <w:r w:rsidR="00DD406C" w:rsidRPr="005138D5">
        <w:rPr>
          <w:sz w:val="22"/>
        </w:rPr>
        <w:t>o</w:t>
      </w:r>
      <w:r w:rsidR="00464173" w:rsidRPr="005138D5">
        <w:rPr>
          <w:sz w:val="22"/>
        </w:rPr>
        <w:t>, że przewidywan</w:t>
      </w:r>
      <w:r w:rsidR="002A408E" w:rsidRPr="005138D5">
        <w:rPr>
          <w:sz w:val="22"/>
        </w:rPr>
        <w:t>a</w:t>
      </w:r>
      <w:r w:rsidR="00464173" w:rsidRPr="005138D5">
        <w:rPr>
          <w:sz w:val="22"/>
        </w:rPr>
        <w:t xml:space="preserve"> całkowita ekspozycja (AUC</w:t>
      </w:r>
      <w:r w:rsidR="00464173" w:rsidRPr="005138D5">
        <w:rPr>
          <w:sz w:val="22"/>
          <w:vertAlign w:val="subscript"/>
        </w:rPr>
        <w:t>τ</w:t>
      </w:r>
      <w:r w:rsidR="00464173" w:rsidRPr="005138D5">
        <w:rPr>
          <w:sz w:val="22"/>
        </w:rPr>
        <w:t>)</w:t>
      </w:r>
      <w:r w:rsidR="009620D8" w:rsidRPr="005138D5">
        <w:rPr>
          <w:sz w:val="22"/>
        </w:rPr>
        <w:t xml:space="preserve"> u dzieci uzyskiwana w </w:t>
      </w:r>
      <w:r w:rsidR="00464173" w:rsidRPr="005138D5">
        <w:rPr>
          <w:sz w:val="22"/>
        </w:rPr>
        <w:t>następstwie podania dożylnej dawki nasycającej 9</w:t>
      </w:r>
      <w:r w:rsidR="00086D10" w:rsidRPr="005138D5">
        <w:rPr>
          <w:sz w:val="22"/>
        </w:rPr>
        <w:t> mg</w:t>
      </w:r>
      <w:r w:rsidR="00464173" w:rsidRPr="005138D5">
        <w:rPr>
          <w:sz w:val="22"/>
        </w:rPr>
        <w:t>/kg</w:t>
      </w:r>
      <w:r w:rsidR="0074694A" w:rsidRPr="005138D5">
        <w:rPr>
          <w:sz w:val="22"/>
        </w:rPr>
        <w:t xml:space="preserve"> mc.</w:t>
      </w:r>
      <w:r w:rsidR="00464173" w:rsidRPr="005138D5">
        <w:rPr>
          <w:sz w:val="22"/>
        </w:rPr>
        <w:t xml:space="preserve"> była porównywalna do </w:t>
      </w:r>
      <w:r w:rsidR="00480914" w:rsidRPr="005138D5">
        <w:rPr>
          <w:sz w:val="22"/>
        </w:rPr>
        <w:t xml:space="preserve">ekspozycji </w:t>
      </w:r>
      <w:r w:rsidR="00464173" w:rsidRPr="005138D5">
        <w:rPr>
          <w:sz w:val="22"/>
        </w:rPr>
        <w:t xml:space="preserve">uzyskiwanej </w:t>
      </w:r>
    </w:p>
    <w:p w14:paraId="772B9DEB" w14:textId="77777777" w:rsidR="00473BFF" w:rsidRPr="005138D5" w:rsidRDefault="00464173" w:rsidP="00A41668">
      <w:pPr>
        <w:rPr>
          <w:sz w:val="22"/>
        </w:rPr>
      </w:pPr>
      <w:r w:rsidRPr="005138D5">
        <w:rPr>
          <w:sz w:val="22"/>
        </w:rPr>
        <w:t xml:space="preserve">u dorosłych </w:t>
      </w:r>
      <w:r w:rsidR="009620D8" w:rsidRPr="005138D5">
        <w:rPr>
          <w:sz w:val="22"/>
        </w:rPr>
        <w:t xml:space="preserve">po </w:t>
      </w:r>
      <w:r w:rsidRPr="005138D5">
        <w:rPr>
          <w:sz w:val="22"/>
        </w:rPr>
        <w:t>podani</w:t>
      </w:r>
      <w:r w:rsidR="009620D8" w:rsidRPr="005138D5">
        <w:rPr>
          <w:sz w:val="22"/>
        </w:rPr>
        <w:t>u</w:t>
      </w:r>
      <w:r w:rsidRPr="005138D5">
        <w:rPr>
          <w:sz w:val="22"/>
        </w:rPr>
        <w:t xml:space="preserve"> dożylnej dawki nasycającej 6</w:t>
      </w:r>
      <w:r w:rsidR="00086D10" w:rsidRPr="005138D5">
        <w:rPr>
          <w:sz w:val="22"/>
        </w:rPr>
        <w:t> mg</w:t>
      </w:r>
      <w:r w:rsidRPr="005138D5">
        <w:rPr>
          <w:sz w:val="22"/>
        </w:rPr>
        <w:t>/kg</w:t>
      </w:r>
      <w:r w:rsidR="0033475E" w:rsidRPr="005138D5">
        <w:rPr>
          <w:sz w:val="22"/>
        </w:rPr>
        <w:t xml:space="preserve"> mc</w:t>
      </w:r>
      <w:r w:rsidRPr="005138D5">
        <w:rPr>
          <w:sz w:val="22"/>
        </w:rPr>
        <w:t xml:space="preserve">. Przewidywana ekspozycja całkowita </w:t>
      </w:r>
      <w:r w:rsidR="009620D8" w:rsidRPr="005138D5">
        <w:rPr>
          <w:sz w:val="22"/>
        </w:rPr>
        <w:t>u dzieci po podaniu dożylnym dawek podtrzymujących 4</w:t>
      </w:r>
      <w:r w:rsidR="00086D10" w:rsidRPr="005138D5">
        <w:rPr>
          <w:sz w:val="22"/>
        </w:rPr>
        <w:t> mg</w:t>
      </w:r>
      <w:r w:rsidR="006E72D5" w:rsidRPr="005138D5">
        <w:rPr>
          <w:sz w:val="22"/>
        </w:rPr>
        <w:t>/kg mc.</w:t>
      </w:r>
      <w:r w:rsidR="009620D8" w:rsidRPr="005138D5">
        <w:rPr>
          <w:sz w:val="22"/>
        </w:rPr>
        <w:t xml:space="preserve"> i 8</w:t>
      </w:r>
      <w:r w:rsidR="00086D10" w:rsidRPr="005138D5">
        <w:rPr>
          <w:sz w:val="22"/>
        </w:rPr>
        <w:t> mg</w:t>
      </w:r>
      <w:r w:rsidR="009620D8" w:rsidRPr="005138D5">
        <w:rPr>
          <w:sz w:val="22"/>
        </w:rPr>
        <w:t>/kg</w:t>
      </w:r>
      <w:r w:rsidR="006E72D5" w:rsidRPr="005138D5">
        <w:rPr>
          <w:sz w:val="22"/>
        </w:rPr>
        <w:t xml:space="preserve"> mc.</w:t>
      </w:r>
      <w:r w:rsidR="009620D8" w:rsidRPr="005138D5">
        <w:rPr>
          <w:sz w:val="22"/>
        </w:rPr>
        <w:t xml:space="preserve"> dwa razy na dobę była porównywalna do </w:t>
      </w:r>
      <w:r w:rsidR="0003225F" w:rsidRPr="005138D5">
        <w:rPr>
          <w:sz w:val="22"/>
        </w:rPr>
        <w:t xml:space="preserve">ekspozycji </w:t>
      </w:r>
      <w:r w:rsidR="009620D8" w:rsidRPr="005138D5">
        <w:rPr>
          <w:sz w:val="22"/>
        </w:rPr>
        <w:t>uzyskiwanej u dor</w:t>
      </w:r>
      <w:r w:rsidR="002A408E" w:rsidRPr="005138D5">
        <w:rPr>
          <w:sz w:val="22"/>
        </w:rPr>
        <w:t>osłych po dożylnym podaniu odpowiednio dawek 3</w:t>
      </w:r>
      <w:r w:rsidR="00086D10" w:rsidRPr="005138D5">
        <w:rPr>
          <w:sz w:val="22"/>
        </w:rPr>
        <w:t> mg</w:t>
      </w:r>
      <w:r w:rsidR="006E72D5" w:rsidRPr="005138D5">
        <w:rPr>
          <w:sz w:val="22"/>
        </w:rPr>
        <w:t>/kg mc.</w:t>
      </w:r>
      <w:r w:rsidR="002A408E" w:rsidRPr="005138D5">
        <w:rPr>
          <w:sz w:val="22"/>
        </w:rPr>
        <w:t xml:space="preserve"> i 4</w:t>
      </w:r>
      <w:r w:rsidR="00086D10" w:rsidRPr="005138D5">
        <w:rPr>
          <w:sz w:val="22"/>
        </w:rPr>
        <w:t> mg</w:t>
      </w:r>
      <w:r w:rsidR="002A408E" w:rsidRPr="005138D5">
        <w:rPr>
          <w:sz w:val="22"/>
        </w:rPr>
        <w:t>/kg</w:t>
      </w:r>
      <w:r w:rsidR="005F258B" w:rsidRPr="005138D5">
        <w:rPr>
          <w:sz w:val="22"/>
        </w:rPr>
        <w:t xml:space="preserve"> mc.</w:t>
      </w:r>
      <w:r w:rsidR="002A408E" w:rsidRPr="005138D5">
        <w:rPr>
          <w:sz w:val="22"/>
        </w:rPr>
        <w:t xml:space="preserve"> dwa razy na dobę. </w:t>
      </w:r>
      <w:r w:rsidR="005D5197" w:rsidRPr="005138D5">
        <w:rPr>
          <w:sz w:val="22"/>
        </w:rPr>
        <w:t xml:space="preserve">Oczekiwana ekspozycja całkowita u dzieci w następstwie </w:t>
      </w:r>
      <w:r w:rsidR="003B7FB1" w:rsidRPr="005138D5">
        <w:rPr>
          <w:sz w:val="22"/>
        </w:rPr>
        <w:t>zastosowania</w:t>
      </w:r>
      <w:r w:rsidR="005D5197" w:rsidRPr="005138D5">
        <w:rPr>
          <w:sz w:val="22"/>
        </w:rPr>
        <w:t xml:space="preserve"> doustnej dawki podtrzymującej 9</w:t>
      </w:r>
      <w:r w:rsidR="00086D10" w:rsidRPr="005138D5">
        <w:rPr>
          <w:sz w:val="22"/>
        </w:rPr>
        <w:t> mg</w:t>
      </w:r>
      <w:r w:rsidR="005D5197" w:rsidRPr="005138D5">
        <w:rPr>
          <w:sz w:val="22"/>
        </w:rPr>
        <w:t>/kg</w:t>
      </w:r>
      <w:r w:rsidR="00DA4619" w:rsidRPr="005138D5">
        <w:rPr>
          <w:sz w:val="22"/>
        </w:rPr>
        <w:t xml:space="preserve"> mc.</w:t>
      </w:r>
      <w:r w:rsidR="005D5197" w:rsidRPr="005138D5">
        <w:rPr>
          <w:sz w:val="22"/>
        </w:rPr>
        <w:t xml:space="preserve"> (maksymalnie 350</w:t>
      </w:r>
      <w:r w:rsidR="00086D10" w:rsidRPr="005138D5">
        <w:rPr>
          <w:sz w:val="22"/>
        </w:rPr>
        <w:t> mg</w:t>
      </w:r>
      <w:r w:rsidR="005D5197" w:rsidRPr="005138D5">
        <w:rPr>
          <w:sz w:val="22"/>
        </w:rPr>
        <w:t xml:space="preserve">) dwa razy na dobę była porównywalna do </w:t>
      </w:r>
      <w:r w:rsidR="00AF2140" w:rsidRPr="005138D5">
        <w:rPr>
          <w:sz w:val="22"/>
        </w:rPr>
        <w:t xml:space="preserve">ekspozycji </w:t>
      </w:r>
      <w:r w:rsidR="005D5197" w:rsidRPr="005138D5">
        <w:rPr>
          <w:sz w:val="22"/>
        </w:rPr>
        <w:t xml:space="preserve">uzyskiwanej </w:t>
      </w:r>
    </w:p>
    <w:p w14:paraId="5F564119" w14:textId="77777777" w:rsidR="00473BFF" w:rsidRPr="005138D5" w:rsidRDefault="005D5197" w:rsidP="00A41668">
      <w:pPr>
        <w:rPr>
          <w:sz w:val="22"/>
        </w:rPr>
      </w:pPr>
      <w:r w:rsidRPr="005138D5">
        <w:rPr>
          <w:sz w:val="22"/>
        </w:rPr>
        <w:t>u dorosłych w następstwie podania doustnego 200</w:t>
      </w:r>
      <w:r w:rsidR="00086D10" w:rsidRPr="005138D5">
        <w:rPr>
          <w:sz w:val="22"/>
        </w:rPr>
        <w:t> mg</w:t>
      </w:r>
      <w:r w:rsidR="009620D8" w:rsidRPr="005138D5">
        <w:rPr>
          <w:sz w:val="22"/>
        </w:rPr>
        <w:t xml:space="preserve"> </w:t>
      </w:r>
      <w:r w:rsidRPr="005138D5">
        <w:rPr>
          <w:sz w:val="22"/>
        </w:rPr>
        <w:t>dwa razy na dobę. Dawka 8</w:t>
      </w:r>
      <w:r w:rsidR="00086D10" w:rsidRPr="005138D5">
        <w:rPr>
          <w:sz w:val="22"/>
        </w:rPr>
        <w:t> mg</w:t>
      </w:r>
      <w:r w:rsidRPr="005138D5">
        <w:rPr>
          <w:sz w:val="22"/>
        </w:rPr>
        <w:t>/kg</w:t>
      </w:r>
      <w:r w:rsidR="00646324" w:rsidRPr="005138D5">
        <w:rPr>
          <w:sz w:val="22"/>
        </w:rPr>
        <w:t xml:space="preserve"> mc.</w:t>
      </w:r>
      <w:r w:rsidRPr="005138D5">
        <w:rPr>
          <w:sz w:val="22"/>
        </w:rPr>
        <w:t xml:space="preserve"> worykonazolu podana </w:t>
      </w:r>
      <w:r w:rsidR="003B7FB1" w:rsidRPr="005138D5">
        <w:rPr>
          <w:sz w:val="22"/>
        </w:rPr>
        <w:t>dożyln</w:t>
      </w:r>
      <w:r w:rsidR="006B488D" w:rsidRPr="005138D5">
        <w:rPr>
          <w:sz w:val="22"/>
        </w:rPr>
        <w:t>ie</w:t>
      </w:r>
      <w:r w:rsidRPr="005138D5">
        <w:rPr>
          <w:sz w:val="22"/>
        </w:rPr>
        <w:t xml:space="preserve"> zapewnia około </w:t>
      </w:r>
      <w:r w:rsidR="00B9759D" w:rsidRPr="005138D5">
        <w:rPr>
          <w:sz w:val="22"/>
        </w:rPr>
        <w:t>dwu</w:t>
      </w:r>
      <w:r w:rsidRPr="005138D5">
        <w:rPr>
          <w:sz w:val="22"/>
        </w:rPr>
        <w:t xml:space="preserve">krotnie </w:t>
      </w:r>
      <w:r w:rsidR="00B9759D" w:rsidRPr="005138D5">
        <w:rPr>
          <w:sz w:val="22"/>
        </w:rPr>
        <w:t xml:space="preserve">większą </w:t>
      </w:r>
      <w:r w:rsidRPr="005138D5">
        <w:rPr>
          <w:sz w:val="22"/>
        </w:rPr>
        <w:t xml:space="preserve">ekspozycję niż dawka </w:t>
      </w:r>
    </w:p>
    <w:p w14:paraId="0B0C3853" w14:textId="77777777" w:rsidR="006102F8" w:rsidRPr="005138D5" w:rsidRDefault="005D5197" w:rsidP="00A41668">
      <w:pPr>
        <w:rPr>
          <w:sz w:val="22"/>
        </w:rPr>
      </w:pPr>
      <w:r w:rsidRPr="005138D5">
        <w:rPr>
          <w:sz w:val="22"/>
        </w:rPr>
        <w:t>9</w:t>
      </w:r>
      <w:r w:rsidR="00086D10" w:rsidRPr="005138D5">
        <w:rPr>
          <w:sz w:val="22"/>
        </w:rPr>
        <w:t> mg</w:t>
      </w:r>
      <w:r w:rsidRPr="005138D5">
        <w:rPr>
          <w:sz w:val="22"/>
        </w:rPr>
        <w:t>/kg</w:t>
      </w:r>
      <w:r w:rsidR="00B9759D" w:rsidRPr="005138D5">
        <w:rPr>
          <w:sz w:val="22"/>
        </w:rPr>
        <w:t xml:space="preserve"> mc.</w:t>
      </w:r>
      <w:r w:rsidRPr="005138D5">
        <w:rPr>
          <w:sz w:val="22"/>
        </w:rPr>
        <w:t xml:space="preserve"> podana </w:t>
      </w:r>
      <w:r w:rsidR="003B7FB1" w:rsidRPr="005138D5">
        <w:rPr>
          <w:sz w:val="22"/>
        </w:rPr>
        <w:t>doustnie</w:t>
      </w:r>
      <w:r w:rsidRPr="005138D5">
        <w:rPr>
          <w:sz w:val="22"/>
        </w:rPr>
        <w:t>.</w:t>
      </w:r>
    </w:p>
    <w:p w14:paraId="6ED96C44" w14:textId="77777777" w:rsidR="00A80854" w:rsidRPr="005138D5" w:rsidRDefault="00A80854" w:rsidP="00A41668">
      <w:pPr>
        <w:rPr>
          <w:sz w:val="22"/>
        </w:rPr>
      </w:pPr>
    </w:p>
    <w:p w14:paraId="261B5BAD" w14:textId="77777777" w:rsidR="00335884" w:rsidRPr="005138D5" w:rsidRDefault="000271A5" w:rsidP="00A41668">
      <w:pPr>
        <w:rPr>
          <w:sz w:val="22"/>
        </w:rPr>
      </w:pPr>
      <w:r w:rsidRPr="005138D5">
        <w:rPr>
          <w:sz w:val="22"/>
        </w:rPr>
        <w:t xml:space="preserve">Większe dawki podtrzymujące u </w:t>
      </w:r>
      <w:r w:rsidR="00F469FA" w:rsidRPr="005138D5">
        <w:rPr>
          <w:sz w:val="22"/>
        </w:rPr>
        <w:t xml:space="preserve">dzieci i młodzieży </w:t>
      </w:r>
      <w:r w:rsidR="00AE4631" w:rsidRPr="005138D5">
        <w:rPr>
          <w:sz w:val="22"/>
        </w:rPr>
        <w:t xml:space="preserve">niż u dorosłych </w:t>
      </w:r>
      <w:r w:rsidRPr="005138D5">
        <w:rPr>
          <w:sz w:val="22"/>
        </w:rPr>
        <w:t xml:space="preserve">odzwierciedlają zwiększoną zdolność eliminacji </w:t>
      </w:r>
      <w:r w:rsidR="00E2147D" w:rsidRPr="005138D5">
        <w:rPr>
          <w:sz w:val="22"/>
        </w:rPr>
        <w:t xml:space="preserve">leku </w:t>
      </w:r>
      <w:r w:rsidR="00DD406C" w:rsidRPr="005138D5">
        <w:rPr>
          <w:sz w:val="22"/>
        </w:rPr>
        <w:t xml:space="preserve">u </w:t>
      </w:r>
      <w:r w:rsidR="00AE4631" w:rsidRPr="005138D5">
        <w:rPr>
          <w:sz w:val="22"/>
        </w:rPr>
        <w:t xml:space="preserve">dzieci i młodzieży, </w:t>
      </w:r>
      <w:r w:rsidRPr="005138D5">
        <w:rPr>
          <w:sz w:val="22"/>
        </w:rPr>
        <w:t>wynikając</w:t>
      </w:r>
      <w:r w:rsidR="00AE4631" w:rsidRPr="005138D5">
        <w:rPr>
          <w:sz w:val="22"/>
        </w:rPr>
        <w:t>ą</w:t>
      </w:r>
      <w:r w:rsidRPr="005138D5">
        <w:rPr>
          <w:sz w:val="22"/>
        </w:rPr>
        <w:t xml:space="preserve"> z większego stosunku masy wątroby do</w:t>
      </w:r>
    </w:p>
    <w:p w14:paraId="0298AFC7" w14:textId="77777777" w:rsidR="00473BFF" w:rsidRPr="005138D5" w:rsidRDefault="000271A5" w:rsidP="00A41668">
      <w:pPr>
        <w:rPr>
          <w:sz w:val="22"/>
        </w:rPr>
      </w:pPr>
      <w:r w:rsidRPr="005138D5">
        <w:rPr>
          <w:sz w:val="22"/>
        </w:rPr>
        <w:t xml:space="preserve">masy ciała. </w:t>
      </w:r>
      <w:r w:rsidR="00575F5E" w:rsidRPr="005138D5">
        <w:rPr>
          <w:sz w:val="22"/>
        </w:rPr>
        <w:t xml:space="preserve">Jednakże </w:t>
      </w:r>
      <w:r w:rsidR="003B7FB1" w:rsidRPr="005138D5">
        <w:rPr>
          <w:sz w:val="22"/>
        </w:rPr>
        <w:t>biodostępność</w:t>
      </w:r>
      <w:r w:rsidR="00575F5E" w:rsidRPr="005138D5">
        <w:rPr>
          <w:sz w:val="22"/>
        </w:rPr>
        <w:t xml:space="preserve"> po podaniu doustnym może ulegać zmniejszeniu u dzieci </w:t>
      </w:r>
    </w:p>
    <w:p w14:paraId="369C140D" w14:textId="77777777" w:rsidR="00575F5E" w:rsidRPr="005138D5" w:rsidRDefault="00575F5E" w:rsidP="00A41668">
      <w:pPr>
        <w:rPr>
          <w:sz w:val="22"/>
        </w:rPr>
      </w:pPr>
      <w:r w:rsidRPr="005138D5">
        <w:rPr>
          <w:sz w:val="22"/>
        </w:rPr>
        <w:t>z zaburzeniami wchłaniania i bardzo małą masą ciała w stosunku do wieku. W takim przypadku zalecane jest podawanie worykonazolu dożylnie.</w:t>
      </w:r>
    </w:p>
    <w:p w14:paraId="1CB9F764" w14:textId="77777777" w:rsidR="00575F5E" w:rsidRPr="005138D5" w:rsidRDefault="00575F5E" w:rsidP="002B53AF">
      <w:pPr>
        <w:rPr>
          <w:sz w:val="22"/>
        </w:rPr>
      </w:pPr>
    </w:p>
    <w:p w14:paraId="25547871" w14:textId="77777777" w:rsidR="00F31AF2" w:rsidRPr="005138D5" w:rsidRDefault="00BE71D9" w:rsidP="00277FE6">
      <w:pPr>
        <w:rPr>
          <w:sz w:val="22"/>
        </w:rPr>
      </w:pPr>
      <w:r w:rsidRPr="005138D5">
        <w:rPr>
          <w:sz w:val="22"/>
        </w:rPr>
        <w:t xml:space="preserve">Ekspozycja na worykonazol u większości młodzieży była porównywalna do </w:t>
      </w:r>
      <w:r w:rsidR="009C1E5D" w:rsidRPr="005138D5">
        <w:rPr>
          <w:sz w:val="22"/>
        </w:rPr>
        <w:t xml:space="preserve">ekspozycji </w:t>
      </w:r>
      <w:r w:rsidRPr="005138D5">
        <w:rPr>
          <w:sz w:val="22"/>
        </w:rPr>
        <w:t>u pacjentów dorosłych otrzymujących taki sam schemat dawkowani</w:t>
      </w:r>
      <w:r w:rsidR="000D720B" w:rsidRPr="005138D5">
        <w:rPr>
          <w:sz w:val="22"/>
        </w:rPr>
        <w:t>a</w:t>
      </w:r>
      <w:r w:rsidRPr="005138D5">
        <w:rPr>
          <w:sz w:val="22"/>
        </w:rPr>
        <w:t>.</w:t>
      </w:r>
      <w:r w:rsidR="000D720B" w:rsidRPr="005138D5">
        <w:rPr>
          <w:sz w:val="22"/>
        </w:rPr>
        <w:t xml:space="preserve"> Jednakże, </w:t>
      </w:r>
      <w:r w:rsidR="004A7A0E" w:rsidRPr="005138D5">
        <w:rPr>
          <w:sz w:val="22"/>
        </w:rPr>
        <w:t xml:space="preserve">obserwowano </w:t>
      </w:r>
      <w:r w:rsidR="009C1E5D" w:rsidRPr="005138D5">
        <w:rPr>
          <w:sz w:val="22"/>
        </w:rPr>
        <w:t xml:space="preserve">mniejszą </w:t>
      </w:r>
      <w:r w:rsidR="000D720B" w:rsidRPr="005138D5">
        <w:rPr>
          <w:sz w:val="22"/>
        </w:rPr>
        <w:t>ekspozycj</w:t>
      </w:r>
      <w:r w:rsidR="009C1E5D" w:rsidRPr="005138D5">
        <w:rPr>
          <w:sz w:val="22"/>
        </w:rPr>
        <w:t>ę</w:t>
      </w:r>
      <w:r w:rsidR="000D720B" w:rsidRPr="005138D5">
        <w:rPr>
          <w:sz w:val="22"/>
        </w:rPr>
        <w:t xml:space="preserve"> na w</w:t>
      </w:r>
      <w:r w:rsidR="00002D01" w:rsidRPr="005138D5">
        <w:rPr>
          <w:sz w:val="22"/>
        </w:rPr>
        <w:t>o</w:t>
      </w:r>
      <w:r w:rsidR="000D720B" w:rsidRPr="005138D5">
        <w:rPr>
          <w:sz w:val="22"/>
        </w:rPr>
        <w:t>r</w:t>
      </w:r>
      <w:r w:rsidR="00002D01" w:rsidRPr="005138D5">
        <w:rPr>
          <w:sz w:val="22"/>
        </w:rPr>
        <w:t>y</w:t>
      </w:r>
      <w:r w:rsidR="000D720B" w:rsidRPr="005138D5">
        <w:rPr>
          <w:sz w:val="22"/>
        </w:rPr>
        <w:t xml:space="preserve">konazol u młodszej młodzieży o </w:t>
      </w:r>
      <w:r w:rsidR="009C1E5D" w:rsidRPr="005138D5">
        <w:rPr>
          <w:sz w:val="22"/>
        </w:rPr>
        <w:t xml:space="preserve">małej </w:t>
      </w:r>
      <w:r w:rsidR="000D720B" w:rsidRPr="005138D5">
        <w:rPr>
          <w:sz w:val="22"/>
        </w:rPr>
        <w:t>masie ciała w porównaniu do dorosłych. Prawdopodobnie ci pacjenci mogą metabolizować worykonazol w sposób bardziej zbliżony do dzieci niż doro</w:t>
      </w:r>
      <w:r w:rsidR="00F949B8" w:rsidRPr="005138D5">
        <w:rPr>
          <w:sz w:val="22"/>
        </w:rPr>
        <w:t>słych</w:t>
      </w:r>
      <w:r w:rsidR="000D720B" w:rsidRPr="005138D5">
        <w:rPr>
          <w:sz w:val="22"/>
        </w:rPr>
        <w:t xml:space="preserve">. </w:t>
      </w:r>
      <w:r w:rsidR="006F050A" w:rsidRPr="005138D5">
        <w:rPr>
          <w:sz w:val="22"/>
        </w:rPr>
        <w:t xml:space="preserve">Na podstawie analizy </w:t>
      </w:r>
      <w:r w:rsidR="000D720B" w:rsidRPr="005138D5">
        <w:rPr>
          <w:sz w:val="22"/>
        </w:rPr>
        <w:t>farmakokinety</w:t>
      </w:r>
      <w:r w:rsidR="006F050A" w:rsidRPr="005138D5">
        <w:rPr>
          <w:sz w:val="22"/>
        </w:rPr>
        <w:t>ki</w:t>
      </w:r>
      <w:r w:rsidR="000D720B" w:rsidRPr="005138D5">
        <w:rPr>
          <w:sz w:val="22"/>
        </w:rPr>
        <w:t xml:space="preserve"> populacji</w:t>
      </w:r>
      <w:r w:rsidR="00F87406" w:rsidRPr="005138D5">
        <w:rPr>
          <w:sz w:val="22"/>
        </w:rPr>
        <w:t xml:space="preserve"> </w:t>
      </w:r>
      <w:r w:rsidR="000D720B" w:rsidRPr="005138D5">
        <w:rPr>
          <w:sz w:val="22"/>
        </w:rPr>
        <w:t xml:space="preserve">w wieku od </w:t>
      </w:r>
      <w:r w:rsidR="0033475E" w:rsidRPr="005138D5">
        <w:rPr>
          <w:sz w:val="22"/>
        </w:rPr>
        <w:t>1</w:t>
      </w:r>
      <w:r w:rsidR="000D720B" w:rsidRPr="005138D5">
        <w:rPr>
          <w:sz w:val="22"/>
        </w:rPr>
        <w:t>2 do 1</w:t>
      </w:r>
      <w:r w:rsidR="0033475E" w:rsidRPr="005138D5">
        <w:rPr>
          <w:sz w:val="22"/>
        </w:rPr>
        <w:t>4</w:t>
      </w:r>
      <w:r w:rsidR="00386A06" w:rsidRPr="005138D5">
        <w:rPr>
          <w:sz w:val="22"/>
        </w:rPr>
        <w:t> lat</w:t>
      </w:r>
      <w:r w:rsidR="00F87406" w:rsidRPr="005138D5">
        <w:rPr>
          <w:sz w:val="22"/>
        </w:rPr>
        <w:t>,</w:t>
      </w:r>
      <w:r w:rsidR="000D720B" w:rsidRPr="005138D5">
        <w:rPr>
          <w:sz w:val="22"/>
        </w:rPr>
        <w:t xml:space="preserve"> młodzież z masą ciała </w:t>
      </w:r>
      <w:r w:rsidR="00F87406" w:rsidRPr="005138D5">
        <w:rPr>
          <w:sz w:val="22"/>
        </w:rPr>
        <w:t>mni</w:t>
      </w:r>
      <w:r w:rsidR="00E9217C" w:rsidRPr="005138D5">
        <w:rPr>
          <w:sz w:val="22"/>
        </w:rPr>
        <w:t>e</w:t>
      </w:r>
      <w:r w:rsidR="00F87406" w:rsidRPr="005138D5">
        <w:rPr>
          <w:sz w:val="22"/>
        </w:rPr>
        <w:t xml:space="preserve">jszą niż </w:t>
      </w:r>
      <w:smartTag w:uri="urn:schemas-microsoft-com:office:smarttags" w:element="metricconverter">
        <w:smartTagPr>
          <w:attr w:name="ProductID" w:val="50 kg"/>
        </w:smartTagPr>
        <w:r w:rsidR="000D720B" w:rsidRPr="005138D5">
          <w:rPr>
            <w:sz w:val="22"/>
          </w:rPr>
          <w:t>50 kg</w:t>
        </w:r>
      </w:smartTag>
      <w:r w:rsidR="000D720B" w:rsidRPr="005138D5">
        <w:rPr>
          <w:sz w:val="22"/>
        </w:rPr>
        <w:t xml:space="preserve"> powinna </w:t>
      </w:r>
      <w:r w:rsidR="003B7FB1" w:rsidRPr="005138D5">
        <w:rPr>
          <w:sz w:val="22"/>
        </w:rPr>
        <w:t>otrzymywać</w:t>
      </w:r>
      <w:r w:rsidR="000D720B" w:rsidRPr="005138D5">
        <w:rPr>
          <w:sz w:val="22"/>
        </w:rPr>
        <w:t xml:space="preserve"> dawki dla dzieci (patrz punkt 4.2).</w:t>
      </w:r>
    </w:p>
    <w:p w14:paraId="349D5AF9" w14:textId="77777777" w:rsidR="00F31AF2" w:rsidRPr="005138D5" w:rsidRDefault="00F31AF2" w:rsidP="002B53AF">
      <w:pPr>
        <w:rPr>
          <w:sz w:val="22"/>
        </w:rPr>
      </w:pPr>
    </w:p>
    <w:p w14:paraId="13B7C6B8" w14:textId="77777777" w:rsidR="00575F5E" w:rsidRPr="005138D5" w:rsidRDefault="00575F5E" w:rsidP="00277FE6">
      <w:pPr>
        <w:rPr>
          <w:sz w:val="22"/>
          <w:u w:val="single"/>
        </w:rPr>
      </w:pPr>
      <w:r w:rsidRPr="005138D5">
        <w:rPr>
          <w:sz w:val="22"/>
          <w:u w:val="single"/>
        </w:rPr>
        <w:t>Zaburzenia czynności nerek</w:t>
      </w:r>
    </w:p>
    <w:p w14:paraId="0C4F4688" w14:textId="77777777" w:rsidR="00473BFF" w:rsidRPr="005138D5" w:rsidRDefault="00575F5E" w:rsidP="00277FE6">
      <w:pPr>
        <w:rPr>
          <w:sz w:val="22"/>
        </w:rPr>
      </w:pPr>
      <w:r w:rsidRPr="005138D5">
        <w:rPr>
          <w:sz w:val="22"/>
        </w:rPr>
        <w:t>W badaniu z pojedynczą doustną dawką leku (200</w:t>
      </w:r>
      <w:r w:rsidR="00086D10" w:rsidRPr="005138D5">
        <w:rPr>
          <w:sz w:val="22"/>
        </w:rPr>
        <w:t> mg</w:t>
      </w:r>
      <w:r w:rsidRPr="005138D5">
        <w:rPr>
          <w:sz w:val="22"/>
        </w:rPr>
        <w:t>) u pacjentów z prawidłową czynnością nerek</w:t>
      </w:r>
      <w:r w:rsidR="0097127D" w:rsidRPr="005138D5">
        <w:rPr>
          <w:sz w:val="22"/>
        </w:rPr>
        <w:t xml:space="preserve"> i </w:t>
      </w:r>
      <w:r w:rsidRPr="005138D5">
        <w:rPr>
          <w:sz w:val="22"/>
        </w:rPr>
        <w:t xml:space="preserve">łagodnymi (klirens kreatyniny 41-60 ml/min) do ciężkich (klirens kreatyniny &lt;20 ml/min) zaburzeniami czynności nerek, farmakokinetyka worykonazolu nie była znamiennie zmieniona w wyniku tych zaburzeń. Stopień wiązania worykonazolu z białkami osocza był podobny u pacjentów </w:t>
      </w:r>
    </w:p>
    <w:p w14:paraId="58518009" w14:textId="77777777" w:rsidR="00575F5E" w:rsidRPr="005138D5" w:rsidRDefault="00575F5E" w:rsidP="00277FE6">
      <w:pPr>
        <w:rPr>
          <w:sz w:val="22"/>
        </w:rPr>
      </w:pPr>
      <w:r w:rsidRPr="005138D5">
        <w:rPr>
          <w:sz w:val="22"/>
        </w:rPr>
        <w:t>o różnie nasilonych zaburzeniach czynności nerek</w:t>
      </w:r>
      <w:r w:rsidR="00D86516" w:rsidRPr="005138D5">
        <w:rPr>
          <w:sz w:val="22"/>
        </w:rPr>
        <w:t xml:space="preserve"> (patrz punkty</w:t>
      </w:r>
      <w:r w:rsidRPr="005138D5">
        <w:rPr>
          <w:sz w:val="22"/>
        </w:rPr>
        <w:t xml:space="preserve"> 4.2 i 4.4</w:t>
      </w:r>
      <w:r w:rsidR="00D86516" w:rsidRPr="005138D5">
        <w:rPr>
          <w:sz w:val="22"/>
        </w:rPr>
        <w:t>)</w:t>
      </w:r>
      <w:r w:rsidRPr="005138D5">
        <w:rPr>
          <w:sz w:val="22"/>
        </w:rPr>
        <w:t>.</w:t>
      </w:r>
      <w:r w:rsidRPr="005138D5" w:rsidDel="00465C56">
        <w:rPr>
          <w:sz w:val="22"/>
        </w:rPr>
        <w:t xml:space="preserve"> </w:t>
      </w:r>
    </w:p>
    <w:p w14:paraId="49A9AEB0" w14:textId="77777777" w:rsidR="00575F5E" w:rsidRPr="005138D5" w:rsidRDefault="00575F5E" w:rsidP="00A41668">
      <w:pPr>
        <w:rPr>
          <w:sz w:val="22"/>
        </w:rPr>
      </w:pPr>
    </w:p>
    <w:p w14:paraId="0D9F727A" w14:textId="77777777" w:rsidR="00575F5E" w:rsidRPr="005138D5" w:rsidRDefault="00575F5E" w:rsidP="00277FE6">
      <w:pPr>
        <w:rPr>
          <w:sz w:val="22"/>
          <w:u w:val="single"/>
        </w:rPr>
      </w:pPr>
      <w:r w:rsidRPr="005138D5">
        <w:rPr>
          <w:sz w:val="22"/>
          <w:u w:val="single"/>
        </w:rPr>
        <w:t>Zaburzenia czynności wątroby</w:t>
      </w:r>
    </w:p>
    <w:p w14:paraId="38F7724F" w14:textId="77777777" w:rsidR="00473BFF" w:rsidRPr="005138D5" w:rsidRDefault="00575F5E" w:rsidP="00A41668">
      <w:pPr>
        <w:rPr>
          <w:bCs/>
          <w:sz w:val="22"/>
        </w:rPr>
      </w:pPr>
      <w:r w:rsidRPr="005138D5">
        <w:rPr>
          <w:bCs/>
          <w:sz w:val="22"/>
        </w:rPr>
        <w:t>Po doustnym podaniu pojedynczej dawki (200</w:t>
      </w:r>
      <w:r w:rsidR="00086D10" w:rsidRPr="005138D5">
        <w:rPr>
          <w:bCs/>
          <w:sz w:val="22"/>
        </w:rPr>
        <w:t> mg</w:t>
      </w:r>
      <w:r w:rsidRPr="005138D5">
        <w:rPr>
          <w:bCs/>
          <w:sz w:val="22"/>
        </w:rPr>
        <w:t xml:space="preserve">), </w:t>
      </w:r>
      <w:r w:rsidRPr="005138D5">
        <w:rPr>
          <w:snapToGrid w:val="0"/>
          <w:sz w:val="22"/>
          <w:lang w:eastAsia="en-US"/>
        </w:rPr>
        <w:t>AUC</w:t>
      </w:r>
      <w:r w:rsidRPr="005138D5">
        <w:rPr>
          <w:bCs/>
          <w:sz w:val="22"/>
        </w:rPr>
        <w:t xml:space="preserve"> było o </w:t>
      </w:r>
      <w:r w:rsidR="00C51D6B" w:rsidRPr="005138D5">
        <w:rPr>
          <w:bCs/>
          <w:sz w:val="22"/>
        </w:rPr>
        <w:t xml:space="preserve">233 </w:t>
      </w:r>
      <w:r w:rsidRPr="005138D5">
        <w:rPr>
          <w:bCs/>
          <w:sz w:val="22"/>
        </w:rPr>
        <w:t xml:space="preserve">% większe u pacjentów </w:t>
      </w:r>
    </w:p>
    <w:p w14:paraId="07E91F30" w14:textId="77777777" w:rsidR="00473BFF" w:rsidRPr="005138D5" w:rsidRDefault="00575F5E" w:rsidP="00A41668">
      <w:pPr>
        <w:rPr>
          <w:bCs/>
          <w:sz w:val="22"/>
        </w:rPr>
      </w:pPr>
      <w:r w:rsidRPr="005138D5">
        <w:rPr>
          <w:bCs/>
          <w:sz w:val="22"/>
        </w:rPr>
        <w:t xml:space="preserve">z łagodną do umiarkowanej marskością wątroby (Child-Pugh A i B) w porównaniu do pacjentów </w:t>
      </w:r>
    </w:p>
    <w:p w14:paraId="155E29CA" w14:textId="77777777" w:rsidR="00575F5E" w:rsidRPr="005138D5" w:rsidRDefault="00575F5E" w:rsidP="00A41668">
      <w:pPr>
        <w:rPr>
          <w:bCs/>
          <w:sz w:val="22"/>
        </w:rPr>
      </w:pPr>
      <w:r w:rsidRPr="005138D5">
        <w:rPr>
          <w:bCs/>
          <w:sz w:val="22"/>
        </w:rPr>
        <w:t>z prawidłową czynnością wątroby. Stopień wiązania z białkami osocza nie zależał od upośledzenia czynności wątroby.</w:t>
      </w:r>
    </w:p>
    <w:p w14:paraId="5875EA72" w14:textId="77777777" w:rsidR="00575F5E" w:rsidRPr="005138D5" w:rsidRDefault="00575F5E" w:rsidP="00A41668">
      <w:pPr>
        <w:rPr>
          <w:bCs/>
          <w:sz w:val="22"/>
        </w:rPr>
      </w:pPr>
    </w:p>
    <w:p w14:paraId="3EAFFCDE" w14:textId="77777777" w:rsidR="00575F5E" w:rsidRPr="005138D5" w:rsidRDefault="00575F5E" w:rsidP="00A41668">
      <w:pPr>
        <w:rPr>
          <w:bCs/>
          <w:sz w:val="22"/>
        </w:rPr>
      </w:pPr>
      <w:r w:rsidRPr="005138D5">
        <w:rPr>
          <w:bCs/>
          <w:sz w:val="22"/>
        </w:rPr>
        <w:t xml:space="preserve">W badaniu z wielokrotnymi doustnymi dawkami leku, </w:t>
      </w:r>
      <w:r w:rsidRPr="005138D5">
        <w:rPr>
          <w:snapToGrid w:val="0"/>
          <w:sz w:val="22"/>
          <w:lang w:eastAsia="en-US"/>
        </w:rPr>
        <w:t>AUC</w:t>
      </w:r>
      <w:r w:rsidRPr="005138D5">
        <w:rPr>
          <w:snapToGrid w:val="0"/>
          <w:sz w:val="22"/>
          <w:vertAlign w:val="subscript"/>
          <w:lang w:eastAsia="en-US"/>
        </w:rPr>
        <w:sym w:font="Symbol" w:char="0074"/>
      </w:r>
      <w:r w:rsidRPr="005138D5">
        <w:rPr>
          <w:bCs/>
          <w:sz w:val="22"/>
        </w:rPr>
        <w:t xml:space="preserve"> u pacjentów z umiarkowaną marskością wątroby (Child-Pugh B) otrzymujących dawkę podtrzymującą 100</w:t>
      </w:r>
      <w:r w:rsidR="00086D10" w:rsidRPr="005138D5">
        <w:rPr>
          <w:bCs/>
          <w:sz w:val="22"/>
        </w:rPr>
        <w:t> mg</w:t>
      </w:r>
      <w:r w:rsidRPr="005138D5">
        <w:rPr>
          <w:bCs/>
          <w:sz w:val="22"/>
        </w:rPr>
        <w:t xml:space="preserve"> dwa razy na dobę, było podobne jak u pacjentów z prawidłową czynnością wątroby otrzymujących 200</w:t>
      </w:r>
      <w:r w:rsidR="00086D10" w:rsidRPr="005138D5">
        <w:rPr>
          <w:bCs/>
          <w:sz w:val="22"/>
        </w:rPr>
        <w:t> mg</w:t>
      </w:r>
      <w:r w:rsidRPr="005138D5">
        <w:rPr>
          <w:bCs/>
          <w:sz w:val="22"/>
        </w:rPr>
        <w:t xml:space="preserve"> dwa razy na dobę. Nie ma danych farmakokinetycznych dotyczących pacjentów z ciężką marskością wątroby (Child-Pugh C</w:t>
      </w:r>
      <w:r w:rsidR="00C369D3" w:rsidRPr="005138D5">
        <w:rPr>
          <w:bCs/>
          <w:sz w:val="22"/>
        </w:rPr>
        <w:t>) (patrz</w:t>
      </w:r>
      <w:r w:rsidRPr="005138D5">
        <w:rPr>
          <w:bCs/>
          <w:sz w:val="22"/>
        </w:rPr>
        <w:t xml:space="preserve"> punk</w:t>
      </w:r>
      <w:r w:rsidR="001A3B63" w:rsidRPr="005138D5">
        <w:rPr>
          <w:bCs/>
          <w:sz w:val="22"/>
        </w:rPr>
        <w:t>t</w:t>
      </w:r>
      <w:r w:rsidR="0033475E" w:rsidRPr="005138D5">
        <w:rPr>
          <w:bCs/>
          <w:sz w:val="22"/>
        </w:rPr>
        <w:t>y</w:t>
      </w:r>
      <w:r w:rsidRPr="005138D5">
        <w:rPr>
          <w:bCs/>
          <w:sz w:val="22"/>
        </w:rPr>
        <w:t xml:space="preserve"> 4.2 i 4.4</w:t>
      </w:r>
      <w:r w:rsidR="00C369D3" w:rsidRPr="005138D5">
        <w:rPr>
          <w:bCs/>
          <w:sz w:val="22"/>
        </w:rPr>
        <w:t>)</w:t>
      </w:r>
      <w:r w:rsidRPr="005138D5">
        <w:rPr>
          <w:bCs/>
          <w:sz w:val="22"/>
        </w:rPr>
        <w:t>.</w:t>
      </w:r>
    </w:p>
    <w:p w14:paraId="0084A83E" w14:textId="77777777" w:rsidR="00575F5E" w:rsidRPr="005138D5" w:rsidRDefault="00575F5E" w:rsidP="00A41668">
      <w:pPr>
        <w:rPr>
          <w:b/>
          <w:sz w:val="22"/>
        </w:rPr>
      </w:pPr>
    </w:p>
    <w:p w14:paraId="7C3712F5" w14:textId="77777777" w:rsidR="00575F5E" w:rsidRPr="005138D5" w:rsidRDefault="00575F5E" w:rsidP="00277FE6">
      <w:pPr>
        <w:rPr>
          <w:b/>
          <w:sz w:val="22"/>
        </w:rPr>
      </w:pPr>
      <w:r w:rsidRPr="005138D5">
        <w:rPr>
          <w:b/>
          <w:sz w:val="22"/>
        </w:rPr>
        <w:t>5.3</w:t>
      </w:r>
      <w:r w:rsidRPr="005138D5">
        <w:rPr>
          <w:b/>
          <w:sz w:val="22"/>
        </w:rPr>
        <w:tab/>
        <w:t>Przedkliniczne dane o bezpieczeństwie</w:t>
      </w:r>
    </w:p>
    <w:p w14:paraId="67DF494C" w14:textId="77777777" w:rsidR="00575F5E" w:rsidRPr="005138D5" w:rsidRDefault="00575F5E" w:rsidP="00277FE6">
      <w:pPr>
        <w:rPr>
          <w:sz w:val="22"/>
        </w:rPr>
      </w:pPr>
    </w:p>
    <w:p w14:paraId="7C0BDD92" w14:textId="77777777" w:rsidR="00575F5E" w:rsidRPr="005138D5" w:rsidRDefault="00575F5E" w:rsidP="00277FE6">
      <w:pPr>
        <w:rPr>
          <w:bCs/>
          <w:sz w:val="22"/>
        </w:rPr>
      </w:pPr>
      <w:r w:rsidRPr="005138D5">
        <w:rPr>
          <w:sz w:val="22"/>
        </w:rPr>
        <w:t>Badania toksyczności po wielokrotnym podaniu worykonazolu wykazały, że tarczowym narządem jest wątroba</w:t>
      </w:r>
      <w:r w:rsidRPr="005138D5">
        <w:rPr>
          <w:bCs/>
          <w:sz w:val="22"/>
        </w:rPr>
        <w:t xml:space="preserve">. Hepatotoksyczność występowała, podobnie jak w przypadku innych leków przeciwgrzybiczych, już przy ekspozycjach w osoczu podobnych do tych, jakie uzyskiwano u ludzi po podaniu dawek terapeutycznych. U szczurów, myszy i psów worykonazol wywoływał także minimalne zmiany w nadnerczach. Konwencjonalne badania farmakologiczne dotyczące bezpieczeństwa stosowania, genotoksyczności </w:t>
      </w:r>
      <w:r w:rsidR="00220BA5" w:rsidRPr="005138D5">
        <w:rPr>
          <w:bCs/>
          <w:sz w:val="22"/>
        </w:rPr>
        <w:t>lub</w:t>
      </w:r>
      <w:r w:rsidRPr="005138D5">
        <w:rPr>
          <w:bCs/>
          <w:sz w:val="22"/>
        </w:rPr>
        <w:t xml:space="preserve"> potencjalnego działania rakotwórczego nie ujawniły występowania szczególnego zagrożenia dla ludzi.</w:t>
      </w:r>
    </w:p>
    <w:p w14:paraId="6E4018A1" w14:textId="77777777" w:rsidR="00575F5E" w:rsidRPr="005138D5" w:rsidRDefault="00575F5E" w:rsidP="00A41668">
      <w:pPr>
        <w:rPr>
          <w:bCs/>
          <w:sz w:val="22"/>
        </w:rPr>
      </w:pPr>
    </w:p>
    <w:p w14:paraId="2BFDDC97" w14:textId="77777777" w:rsidR="00473BFF" w:rsidRPr="005138D5" w:rsidRDefault="00575F5E" w:rsidP="00F31677">
      <w:pPr>
        <w:widowControl/>
        <w:rPr>
          <w:bCs/>
          <w:sz w:val="22"/>
        </w:rPr>
      </w:pPr>
      <w:r w:rsidRPr="005138D5">
        <w:rPr>
          <w:bCs/>
          <w:sz w:val="22"/>
        </w:rPr>
        <w:t xml:space="preserve">W badaniach wpływu na reprodukcję wykazano, że worykonazol był teratogenny dla szczurów </w:t>
      </w:r>
    </w:p>
    <w:p w14:paraId="45044953" w14:textId="77777777" w:rsidR="00473BFF" w:rsidRPr="005138D5" w:rsidRDefault="00575F5E" w:rsidP="00F31677">
      <w:pPr>
        <w:widowControl/>
        <w:rPr>
          <w:bCs/>
          <w:sz w:val="22"/>
        </w:rPr>
      </w:pPr>
      <w:r w:rsidRPr="005138D5">
        <w:rPr>
          <w:bCs/>
          <w:sz w:val="22"/>
        </w:rPr>
        <w:t>i działał embriotoksycznie u królików, po ekspozycjach układowych równych tym</w:t>
      </w:r>
      <w:r w:rsidR="00002D01" w:rsidRPr="005138D5">
        <w:rPr>
          <w:bCs/>
          <w:sz w:val="22"/>
        </w:rPr>
        <w:t>,</w:t>
      </w:r>
      <w:r w:rsidRPr="005138D5">
        <w:rPr>
          <w:bCs/>
          <w:sz w:val="22"/>
        </w:rPr>
        <w:t xml:space="preserve"> jakie uzyskiwano u ludzi po podaniu dawek terapeutycznych. W przeprowadzonym na szczurach badaniu wpływu na rozwój przed- i pourodzeniowy, po ekspozycjach mniejszych niż te, jakie uzyskiwano u ludzi po podaniu dawek terapeutycznych, worykonazol powodował wydłużenie czasu trwania ciąży oraz porodu, a także dystocję. W wyniku tego zwiększała się umieralność matek i zmniejszało przeżycie młodych w okresie okołoporodowym. Wpływ na przebieg porodu jest prawdopodobnie zależny od mechanizmu swoistego dla gatunku i może być związany ze zmniejszonym stężeniem estradiolu. </w:t>
      </w:r>
    </w:p>
    <w:p w14:paraId="507DBF08" w14:textId="77777777" w:rsidR="00473BFF" w:rsidRPr="005138D5" w:rsidRDefault="00575F5E" w:rsidP="00F31677">
      <w:pPr>
        <w:widowControl/>
        <w:rPr>
          <w:bCs/>
          <w:sz w:val="22"/>
        </w:rPr>
      </w:pPr>
      <w:r w:rsidRPr="005138D5">
        <w:rPr>
          <w:bCs/>
          <w:sz w:val="22"/>
        </w:rPr>
        <w:t xml:space="preserve">Jest to zgodne z tym, co obserwowano w przypadku stosowania innych leków przeciwgrzybiczych </w:t>
      </w:r>
    </w:p>
    <w:p w14:paraId="0316737F" w14:textId="77777777" w:rsidR="00F31677" w:rsidRPr="005138D5" w:rsidRDefault="00575F5E" w:rsidP="00F31677">
      <w:pPr>
        <w:widowControl/>
        <w:rPr>
          <w:sz w:val="22"/>
        </w:rPr>
      </w:pPr>
      <w:r w:rsidRPr="005138D5">
        <w:rPr>
          <w:bCs/>
          <w:sz w:val="22"/>
        </w:rPr>
        <w:t>z grupy azoli.</w:t>
      </w:r>
      <w:r w:rsidR="00F31677" w:rsidRPr="005138D5">
        <w:rPr>
          <w:bCs/>
          <w:sz w:val="22"/>
        </w:rPr>
        <w:t xml:space="preserve"> Stosowanie worykonazolu </w:t>
      </w:r>
      <w:r w:rsidR="00F31677" w:rsidRPr="005138D5">
        <w:rPr>
          <w:sz w:val="22"/>
        </w:rPr>
        <w:t xml:space="preserve">u </w:t>
      </w:r>
      <w:r w:rsidR="0061523C" w:rsidRPr="005138D5">
        <w:rPr>
          <w:sz w:val="22"/>
        </w:rPr>
        <w:t>samc</w:t>
      </w:r>
      <w:r w:rsidR="003C1D55" w:rsidRPr="005138D5">
        <w:rPr>
          <w:sz w:val="22"/>
        </w:rPr>
        <w:t>ó</w:t>
      </w:r>
      <w:r w:rsidR="0061523C" w:rsidRPr="005138D5">
        <w:rPr>
          <w:sz w:val="22"/>
        </w:rPr>
        <w:t xml:space="preserve">w i samic </w:t>
      </w:r>
      <w:r w:rsidR="00F31677" w:rsidRPr="005138D5">
        <w:rPr>
          <w:sz w:val="22"/>
        </w:rPr>
        <w:t>szczurów w dawkach zbliżonych do dawek terapeutycznych stosowanych u ludzi</w:t>
      </w:r>
      <w:r w:rsidR="0061523C" w:rsidRPr="005138D5">
        <w:rPr>
          <w:sz w:val="22"/>
        </w:rPr>
        <w:t>,</w:t>
      </w:r>
      <w:r w:rsidR="00F31677" w:rsidRPr="005138D5">
        <w:rPr>
          <w:sz w:val="22"/>
        </w:rPr>
        <w:t xml:space="preserve"> </w:t>
      </w:r>
      <w:r w:rsidR="00F31677" w:rsidRPr="005138D5">
        <w:rPr>
          <w:bCs/>
          <w:sz w:val="22"/>
        </w:rPr>
        <w:t xml:space="preserve">nie wywierało szkodliwego wpływu na </w:t>
      </w:r>
      <w:r w:rsidR="001A34EC" w:rsidRPr="005138D5">
        <w:rPr>
          <w:sz w:val="22"/>
        </w:rPr>
        <w:t>płodność</w:t>
      </w:r>
      <w:r w:rsidR="00F31677" w:rsidRPr="005138D5">
        <w:rPr>
          <w:bCs/>
          <w:sz w:val="22"/>
        </w:rPr>
        <w:t>.</w:t>
      </w:r>
    </w:p>
    <w:p w14:paraId="0F597D98" w14:textId="77777777" w:rsidR="00F31677" w:rsidRPr="005138D5" w:rsidRDefault="00F31677" w:rsidP="00F31677">
      <w:pPr>
        <w:widowControl/>
        <w:rPr>
          <w:b/>
          <w:sz w:val="22"/>
        </w:rPr>
      </w:pPr>
    </w:p>
    <w:p w14:paraId="7733FB5F" w14:textId="77777777" w:rsidR="001267B6" w:rsidRPr="005138D5" w:rsidRDefault="001267B6" w:rsidP="00A41668">
      <w:pPr>
        <w:widowControl/>
        <w:rPr>
          <w:b/>
          <w:sz w:val="22"/>
        </w:rPr>
      </w:pPr>
    </w:p>
    <w:p w14:paraId="203F6379" w14:textId="77777777" w:rsidR="00575F5E" w:rsidRPr="005138D5" w:rsidRDefault="00575F5E" w:rsidP="00277FE6">
      <w:pPr>
        <w:rPr>
          <w:b/>
          <w:sz w:val="22"/>
        </w:rPr>
      </w:pPr>
      <w:r w:rsidRPr="005138D5">
        <w:rPr>
          <w:b/>
          <w:sz w:val="22"/>
        </w:rPr>
        <w:t>6.</w:t>
      </w:r>
      <w:r w:rsidRPr="005138D5">
        <w:rPr>
          <w:b/>
          <w:sz w:val="22"/>
        </w:rPr>
        <w:tab/>
        <w:t>DANE FARMACEUTYCZNE</w:t>
      </w:r>
    </w:p>
    <w:p w14:paraId="3AD7EB74" w14:textId="77777777" w:rsidR="00335884" w:rsidRPr="005138D5" w:rsidRDefault="00335884" w:rsidP="00277FE6">
      <w:pPr>
        <w:rPr>
          <w:b/>
          <w:sz w:val="22"/>
        </w:rPr>
      </w:pPr>
    </w:p>
    <w:p w14:paraId="08709A75" w14:textId="77777777" w:rsidR="00575F5E" w:rsidRPr="005138D5" w:rsidRDefault="00575F5E" w:rsidP="00277FE6">
      <w:pPr>
        <w:rPr>
          <w:b/>
          <w:sz w:val="22"/>
        </w:rPr>
      </w:pPr>
      <w:r w:rsidRPr="005138D5">
        <w:rPr>
          <w:b/>
          <w:sz w:val="22"/>
        </w:rPr>
        <w:t>6.1</w:t>
      </w:r>
      <w:r w:rsidRPr="005138D5">
        <w:rPr>
          <w:b/>
          <w:sz w:val="22"/>
        </w:rPr>
        <w:tab/>
        <w:t>Wykaz substancji pomocniczych:</w:t>
      </w:r>
    </w:p>
    <w:p w14:paraId="62E241C2" w14:textId="77777777" w:rsidR="00575F5E" w:rsidRPr="005138D5" w:rsidRDefault="00575F5E" w:rsidP="00277FE6">
      <w:pPr>
        <w:rPr>
          <w:sz w:val="22"/>
        </w:rPr>
      </w:pPr>
    </w:p>
    <w:p w14:paraId="1D01A5B7" w14:textId="77777777" w:rsidR="001A3982" w:rsidRPr="005138D5" w:rsidRDefault="00575F5E" w:rsidP="00277FE6">
      <w:pPr>
        <w:rPr>
          <w:sz w:val="22"/>
          <w:u w:val="single"/>
        </w:rPr>
      </w:pPr>
      <w:r w:rsidRPr="005138D5">
        <w:rPr>
          <w:sz w:val="22"/>
          <w:u w:val="single"/>
        </w:rPr>
        <w:t>Rdzeń tabletki</w:t>
      </w:r>
    </w:p>
    <w:p w14:paraId="633F2915" w14:textId="77777777" w:rsidR="001A3982" w:rsidRPr="005138D5" w:rsidRDefault="001A3982" w:rsidP="00277FE6">
      <w:pPr>
        <w:rPr>
          <w:sz w:val="22"/>
        </w:rPr>
      </w:pPr>
      <w:r w:rsidRPr="005138D5">
        <w:rPr>
          <w:sz w:val="22"/>
        </w:rPr>
        <w:t>L</w:t>
      </w:r>
      <w:r w:rsidR="00575F5E" w:rsidRPr="005138D5">
        <w:rPr>
          <w:sz w:val="22"/>
        </w:rPr>
        <w:t>aktoza jednowodna</w:t>
      </w:r>
    </w:p>
    <w:p w14:paraId="0917EF09" w14:textId="77777777" w:rsidR="001A3982" w:rsidRPr="005138D5" w:rsidRDefault="001A3982" w:rsidP="00277FE6">
      <w:pPr>
        <w:rPr>
          <w:sz w:val="22"/>
        </w:rPr>
      </w:pPr>
      <w:r w:rsidRPr="005138D5">
        <w:rPr>
          <w:sz w:val="22"/>
        </w:rPr>
        <w:t>S</w:t>
      </w:r>
      <w:r w:rsidR="00575F5E" w:rsidRPr="005138D5">
        <w:rPr>
          <w:sz w:val="22"/>
        </w:rPr>
        <w:t>krobia żelowana</w:t>
      </w:r>
      <w:r w:rsidRPr="005138D5">
        <w:rPr>
          <w:sz w:val="22"/>
        </w:rPr>
        <w:t xml:space="preserve"> </w:t>
      </w:r>
    </w:p>
    <w:p w14:paraId="7639EF07" w14:textId="77777777" w:rsidR="001A3982" w:rsidRPr="005138D5" w:rsidRDefault="001A3982" w:rsidP="00277FE6">
      <w:pPr>
        <w:rPr>
          <w:sz w:val="22"/>
        </w:rPr>
      </w:pPr>
      <w:r w:rsidRPr="005138D5">
        <w:rPr>
          <w:sz w:val="22"/>
        </w:rPr>
        <w:t>K</w:t>
      </w:r>
      <w:r w:rsidR="00575F5E" w:rsidRPr="005138D5">
        <w:rPr>
          <w:sz w:val="22"/>
        </w:rPr>
        <w:t>roskarmeloza sodowa</w:t>
      </w:r>
      <w:r w:rsidRPr="005138D5">
        <w:rPr>
          <w:sz w:val="22"/>
        </w:rPr>
        <w:t xml:space="preserve"> </w:t>
      </w:r>
    </w:p>
    <w:p w14:paraId="2793D9AE" w14:textId="77777777" w:rsidR="001A3982" w:rsidRPr="005138D5" w:rsidRDefault="001A3982" w:rsidP="00277FE6">
      <w:pPr>
        <w:rPr>
          <w:sz w:val="22"/>
        </w:rPr>
      </w:pPr>
      <w:r w:rsidRPr="005138D5">
        <w:rPr>
          <w:sz w:val="22"/>
        </w:rPr>
        <w:t>P</w:t>
      </w:r>
      <w:r w:rsidR="00575F5E" w:rsidRPr="005138D5">
        <w:rPr>
          <w:sz w:val="22"/>
        </w:rPr>
        <w:t xml:space="preserve">owidon </w:t>
      </w:r>
    </w:p>
    <w:p w14:paraId="6E129EAE" w14:textId="77777777" w:rsidR="00575F5E" w:rsidRPr="005138D5" w:rsidRDefault="001A3982" w:rsidP="00277FE6">
      <w:pPr>
        <w:rPr>
          <w:sz w:val="22"/>
        </w:rPr>
      </w:pPr>
      <w:r w:rsidRPr="005138D5">
        <w:rPr>
          <w:sz w:val="22"/>
        </w:rPr>
        <w:t>M</w:t>
      </w:r>
      <w:r w:rsidR="00575F5E" w:rsidRPr="005138D5">
        <w:rPr>
          <w:sz w:val="22"/>
        </w:rPr>
        <w:t xml:space="preserve">agnezu stearynian </w:t>
      </w:r>
    </w:p>
    <w:p w14:paraId="5B5E7B6F" w14:textId="77777777" w:rsidR="00366E10" w:rsidRPr="005138D5" w:rsidRDefault="00366E10" w:rsidP="00A41668">
      <w:pPr>
        <w:pStyle w:val="Tekstpodstawowy2"/>
        <w:jc w:val="left"/>
        <w:rPr>
          <w:rFonts w:ascii="Times New Roman" w:hAnsi="Times New Roman"/>
        </w:rPr>
      </w:pPr>
    </w:p>
    <w:p w14:paraId="52B245D6" w14:textId="77777777" w:rsidR="00FA64EF" w:rsidRPr="005138D5" w:rsidRDefault="00575F5E" w:rsidP="00A41668">
      <w:pPr>
        <w:pStyle w:val="Tekstpodstawowy2"/>
        <w:jc w:val="left"/>
        <w:rPr>
          <w:rFonts w:ascii="Times New Roman" w:hAnsi="Times New Roman"/>
          <w:u w:val="single"/>
        </w:rPr>
      </w:pPr>
      <w:r w:rsidRPr="005138D5">
        <w:rPr>
          <w:rFonts w:ascii="Times New Roman" w:hAnsi="Times New Roman"/>
          <w:u w:val="single"/>
        </w:rPr>
        <w:t>Otoczka tabletki</w:t>
      </w:r>
    </w:p>
    <w:p w14:paraId="1C2E0DE4" w14:textId="77777777" w:rsidR="00FA64EF" w:rsidRPr="005138D5" w:rsidRDefault="00FA64EF" w:rsidP="00A41668">
      <w:pPr>
        <w:pStyle w:val="Tekstpodstawowy2"/>
        <w:jc w:val="left"/>
        <w:rPr>
          <w:rFonts w:ascii="Times New Roman" w:hAnsi="Times New Roman"/>
        </w:rPr>
      </w:pPr>
      <w:r w:rsidRPr="005138D5">
        <w:rPr>
          <w:rFonts w:ascii="Times New Roman" w:hAnsi="Times New Roman"/>
        </w:rPr>
        <w:t>H</w:t>
      </w:r>
      <w:r w:rsidR="00575F5E" w:rsidRPr="005138D5">
        <w:rPr>
          <w:rFonts w:ascii="Times New Roman" w:hAnsi="Times New Roman"/>
        </w:rPr>
        <w:t>ypromeloza</w:t>
      </w:r>
    </w:p>
    <w:p w14:paraId="2DD7B3EE" w14:textId="77777777" w:rsidR="00FA64EF" w:rsidRPr="005138D5" w:rsidRDefault="00FA64EF" w:rsidP="00A41668">
      <w:pPr>
        <w:pStyle w:val="Tekstpodstawowy2"/>
        <w:jc w:val="left"/>
        <w:rPr>
          <w:rFonts w:ascii="Times New Roman" w:hAnsi="Times New Roman"/>
        </w:rPr>
      </w:pPr>
      <w:r w:rsidRPr="005138D5">
        <w:rPr>
          <w:rFonts w:ascii="Times New Roman" w:hAnsi="Times New Roman"/>
        </w:rPr>
        <w:t>T</w:t>
      </w:r>
      <w:r w:rsidR="00575F5E" w:rsidRPr="005138D5">
        <w:rPr>
          <w:rFonts w:ascii="Times New Roman" w:hAnsi="Times New Roman"/>
        </w:rPr>
        <w:t>ytanu dwutlenek</w:t>
      </w:r>
      <w:r w:rsidR="00B66913">
        <w:rPr>
          <w:rFonts w:ascii="Times New Roman" w:hAnsi="Times New Roman"/>
        </w:rPr>
        <w:t xml:space="preserve"> (E171)</w:t>
      </w:r>
    </w:p>
    <w:p w14:paraId="471E6B9B" w14:textId="77777777" w:rsidR="00FA64EF" w:rsidRPr="005138D5" w:rsidRDefault="00FA64EF" w:rsidP="00A41668">
      <w:pPr>
        <w:pStyle w:val="Tekstpodstawowy2"/>
        <w:jc w:val="left"/>
        <w:rPr>
          <w:rFonts w:ascii="Times New Roman" w:hAnsi="Times New Roman"/>
        </w:rPr>
      </w:pPr>
      <w:r w:rsidRPr="005138D5">
        <w:rPr>
          <w:rFonts w:ascii="Times New Roman" w:hAnsi="Times New Roman"/>
        </w:rPr>
        <w:t>L</w:t>
      </w:r>
      <w:r w:rsidR="00575F5E" w:rsidRPr="005138D5">
        <w:rPr>
          <w:rFonts w:ascii="Times New Roman" w:hAnsi="Times New Roman"/>
        </w:rPr>
        <w:t>aktoza jednowodna</w:t>
      </w:r>
    </w:p>
    <w:p w14:paraId="7512F159" w14:textId="77777777" w:rsidR="00575F5E" w:rsidRPr="005138D5" w:rsidRDefault="00266146" w:rsidP="00A41668">
      <w:pPr>
        <w:widowControl/>
        <w:rPr>
          <w:bCs/>
          <w:sz w:val="22"/>
        </w:rPr>
      </w:pPr>
      <w:r w:rsidRPr="005138D5">
        <w:rPr>
          <w:bCs/>
          <w:sz w:val="22"/>
        </w:rPr>
        <w:t>Triacetyna</w:t>
      </w:r>
    </w:p>
    <w:p w14:paraId="72C1CD94" w14:textId="77777777" w:rsidR="00266146" w:rsidRPr="005138D5" w:rsidRDefault="00266146" w:rsidP="00A41668">
      <w:pPr>
        <w:widowControl/>
        <w:rPr>
          <w:bCs/>
          <w:sz w:val="22"/>
        </w:rPr>
      </w:pPr>
    </w:p>
    <w:p w14:paraId="0FF8967D" w14:textId="77777777" w:rsidR="00575F5E" w:rsidRPr="005138D5" w:rsidRDefault="00575F5E" w:rsidP="00277FE6">
      <w:pPr>
        <w:rPr>
          <w:b/>
          <w:sz w:val="22"/>
        </w:rPr>
      </w:pPr>
      <w:r w:rsidRPr="005138D5">
        <w:rPr>
          <w:b/>
          <w:sz w:val="22"/>
        </w:rPr>
        <w:t>6.2</w:t>
      </w:r>
      <w:r w:rsidRPr="005138D5">
        <w:rPr>
          <w:b/>
          <w:sz w:val="22"/>
        </w:rPr>
        <w:tab/>
        <w:t>Niezgodności farmaceutyczne</w:t>
      </w:r>
    </w:p>
    <w:p w14:paraId="4EB1E64B" w14:textId="77777777" w:rsidR="00575F5E" w:rsidRPr="005138D5" w:rsidRDefault="00575F5E" w:rsidP="00277FE6">
      <w:pPr>
        <w:rPr>
          <w:sz w:val="22"/>
        </w:rPr>
      </w:pPr>
    </w:p>
    <w:p w14:paraId="19DC9D85" w14:textId="77777777" w:rsidR="00575F5E" w:rsidRPr="005138D5" w:rsidRDefault="00575F5E" w:rsidP="00277FE6">
      <w:pPr>
        <w:rPr>
          <w:sz w:val="22"/>
        </w:rPr>
      </w:pPr>
      <w:r w:rsidRPr="005138D5">
        <w:rPr>
          <w:sz w:val="22"/>
        </w:rPr>
        <w:t xml:space="preserve">Nie </w:t>
      </w:r>
      <w:r w:rsidR="00220BA5" w:rsidRPr="005138D5">
        <w:rPr>
          <w:sz w:val="22"/>
        </w:rPr>
        <w:t>dotyczy</w:t>
      </w:r>
      <w:r w:rsidRPr="005138D5">
        <w:rPr>
          <w:sz w:val="22"/>
        </w:rPr>
        <w:t>.</w:t>
      </w:r>
    </w:p>
    <w:p w14:paraId="3F93BBBA" w14:textId="77777777" w:rsidR="00575F5E" w:rsidRPr="005138D5" w:rsidRDefault="00575F5E" w:rsidP="00277FE6">
      <w:pPr>
        <w:rPr>
          <w:sz w:val="22"/>
        </w:rPr>
      </w:pPr>
    </w:p>
    <w:p w14:paraId="2195A231" w14:textId="77777777" w:rsidR="00575F5E" w:rsidRPr="005138D5" w:rsidRDefault="00575F5E" w:rsidP="00277FE6">
      <w:pPr>
        <w:rPr>
          <w:b/>
          <w:sz w:val="22"/>
        </w:rPr>
      </w:pPr>
      <w:r w:rsidRPr="005138D5">
        <w:rPr>
          <w:b/>
          <w:sz w:val="22"/>
        </w:rPr>
        <w:t>6.3</w:t>
      </w:r>
      <w:r w:rsidRPr="005138D5">
        <w:rPr>
          <w:b/>
          <w:sz w:val="22"/>
        </w:rPr>
        <w:tab/>
        <w:t xml:space="preserve">Okres trwałości </w:t>
      </w:r>
    </w:p>
    <w:p w14:paraId="047C008E" w14:textId="77777777" w:rsidR="00575F5E" w:rsidRPr="005138D5" w:rsidRDefault="00575F5E" w:rsidP="00277FE6">
      <w:pPr>
        <w:rPr>
          <w:sz w:val="22"/>
        </w:rPr>
      </w:pPr>
    </w:p>
    <w:p w14:paraId="242DF764" w14:textId="77777777" w:rsidR="00575F5E" w:rsidRPr="005138D5" w:rsidRDefault="002C506F" w:rsidP="00277FE6">
      <w:pPr>
        <w:rPr>
          <w:sz w:val="22"/>
        </w:rPr>
      </w:pPr>
      <w:r w:rsidRPr="005138D5">
        <w:rPr>
          <w:sz w:val="22"/>
        </w:rPr>
        <w:t>4</w:t>
      </w:r>
      <w:r w:rsidR="00386A06" w:rsidRPr="005138D5">
        <w:rPr>
          <w:sz w:val="22"/>
        </w:rPr>
        <w:t> lat</w:t>
      </w:r>
      <w:r w:rsidR="00575F5E" w:rsidRPr="005138D5">
        <w:rPr>
          <w:sz w:val="22"/>
        </w:rPr>
        <w:t>a.</w:t>
      </w:r>
    </w:p>
    <w:p w14:paraId="12788CD3" w14:textId="77777777" w:rsidR="00575F5E" w:rsidRPr="005138D5" w:rsidRDefault="00575F5E" w:rsidP="00277FE6">
      <w:pPr>
        <w:rPr>
          <w:sz w:val="22"/>
        </w:rPr>
      </w:pPr>
    </w:p>
    <w:p w14:paraId="35BF37CB" w14:textId="77777777" w:rsidR="00575F5E" w:rsidRPr="005138D5" w:rsidRDefault="00575F5E" w:rsidP="00277FE6">
      <w:pPr>
        <w:rPr>
          <w:b/>
          <w:sz w:val="22"/>
        </w:rPr>
      </w:pPr>
      <w:r w:rsidRPr="005138D5">
        <w:rPr>
          <w:b/>
          <w:sz w:val="22"/>
        </w:rPr>
        <w:t>6.4</w:t>
      </w:r>
      <w:r w:rsidRPr="005138D5">
        <w:rPr>
          <w:b/>
          <w:sz w:val="22"/>
        </w:rPr>
        <w:tab/>
        <w:t xml:space="preserve">Specjalne środki ostrożności </w:t>
      </w:r>
      <w:r w:rsidR="000E7567" w:rsidRPr="005138D5">
        <w:rPr>
          <w:b/>
          <w:sz w:val="22"/>
        </w:rPr>
        <w:t xml:space="preserve">podczas </w:t>
      </w:r>
      <w:r w:rsidRPr="005138D5">
        <w:rPr>
          <w:b/>
          <w:sz w:val="22"/>
        </w:rPr>
        <w:t>przechowywani</w:t>
      </w:r>
      <w:r w:rsidR="000E7567" w:rsidRPr="005138D5">
        <w:rPr>
          <w:b/>
          <w:sz w:val="22"/>
        </w:rPr>
        <w:t>a</w:t>
      </w:r>
    </w:p>
    <w:p w14:paraId="03CC48FB" w14:textId="77777777" w:rsidR="00575F5E" w:rsidRPr="005138D5" w:rsidRDefault="00575F5E" w:rsidP="00277FE6">
      <w:pPr>
        <w:rPr>
          <w:sz w:val="22"/>
        </w:rPr>
      </w:pPr>
    </w:p>
    <w:p w14:paraId="4F187DAE" w14:textId="77777777" w:rsidR="00575F5E" w:rsidRPr="005138D5" w:rsidRDefault="00575F5E" w:rsidP="00A41668">
      <w:pPr>
        <w:widowControl/>
        <w:rPr>
          <w:b/>
          <w:sz w:val="22"/>
        </w:rPr>
      </w:pPr>
      <w:r w:rsidRPr="005138D5">
        <w:rPr>
          <w:noProof/>
          <w:sz w:val="22"/>
        </w:rPr>
        <w:t>Brak szczególnych środków ostrożności dotyczących przechowywania</w:t>
      </w:r>
      <w:r w:rsidR="001A4960" w:rsidRPr="005138D5">
        <w:rPr>
          <w:noProof/>
          <w:sz w:val="22"/>
        </w:rPr>
        <w:t xml:space="preserve"> produktu leczniczego</w:t>
      </w:r>
      <w:r w:rsidRPr="005138D5">
        <w:rPr>
          <w:noProof/>
          <w:sz w:val="22"/>
        </w:rPr>
        <w:t>.</w:t>
      </w:r>
    </w:p>
    <w:p w14:paraId="799A5466" w14:textId="77777777" w:rsidR="00F949B8" w:rsidRPr="005138D5" w:rsidRDefault="00F949B8" w:rsidP="00A41668">
      <w:pPr>
        <w:widowControl/>
        <w:rPr>
          <w:b/>
          <w:sz w:val="22"/>
        </w:rPr>
      </w:pPr>
    </w:p>
    <w:p w14:paraId="30A4C53E" w14:textId="77777777" w:rsidR="00575F5E" w:rsidRPr="005138D5" w:rsidRDefault="00575F5E" w:rsidP="00A41668">
      <w:pPr>
        <w:widowControl/>
        <w:rPr>
          <w:b/>
          <w:sz w:val="22"/>
        </w:rPr>
      </w:pPr>
      <w:r w:rsidRPr="005138D5">
        <w:rPr>
          <w:b/>
          <w:sz w:val="22"/>
        </w:rPr>
        <w:t>6.5</w:t>
      </w:r>
      <w:r w:rsidRPr="005138D5">
        <w:rPr>
          <w:b/>
          <w:sz w:val="22"/>
        </w:rPr>
        <w:tab/>
        <w:t>Rodzaj i zawartość opakowania</w:t>
      </w:r>
    </w:p>
    <w:p w14:paraId="3C2F9C7D" w14:textId="77777777" w:rsidR="00575F5E" w:rsidRPr="005138D5" w:rsidRDefault="00575F5E" w:rsidP="00A41668">
      <w:pPr>
        <w:widowControl/>
        <w:rPr>
          <w:sz w:val="22"/>
        </w:rPr>
      </w:pPr>
    </w:p>
    <w:p w14:paraId="09932D66" w14:textId="77777777" w:rsidR="00DA6B44" w:rsidRPr="005138D5" w:rsidRDefault="00575F5E" w:rsidP="00A41668">
      <w:pPr>
        <w:pStyle w:val="Tekstpodstawowy2"/>
        <w:jc w:val="left"/>
        <w:rPr>
          <w:rFonts w:ascii="Times New Roman" w:hAnsi="Times New Roman"/>
          <w:bCs/>
        </w:rPr>
      </w:pPr>
      <w:r w:rsidRPr="005138D5">
        <w:rPr>
          <w:rFonts w:ascii="Times New Roman" w:hAnsi="Times New Roman"/>
          <w:bCs/>
        </w:rPr>
        <w:t>Blistry PVC/Al</w:t>
      </w:r>
      <w:r w:rsidR="00772095" w:rsidRPr="005138D5">
        <w:rPr>
          <w:rFonts w:ascii="Times New Roman" w:hAnsi="Times New Roman"/>
          <w:bCs/>
        </w:rPr>
        <w:t>uminium</w:t>
      </w:r>
      <w:r w:rsidRPr="005138D5">
        <w:rPr>
          <w:rFonts w:ascii="Times New Roman" w:hAnsi="Times New Roman"/>
          <w:bCs/>
        </w:rPr>
        <w:t xml:space="preserve"> w kartonowym pudełku zawierające 2, 10, 14, 20, 28, 30, 50, 56 lub 100 tabletek</w:t>
      </w:r>
      <w:r w:rsidR="00DA6B44" w:rsidRPr="005138D5">
        <w:rPr>
          <w:rFonts w:ascii="Times New Roman" w:hAnsi="Times New Roman"/>
          <w:bCs/>
        </w:rPr>
        <w:t xml:space="preserve"> powlekanych</w:t>
      </w:r>
      <w:r w:rsidR="00B57AB3" w:rsidRPr="005138D5">
        <w:rPr>
          <w:rFonts w:ascii="Times New Roman" w:hAnsi="Times New Roman"/>
          <w:bCs/>
        </w:rPr>
        <w:t xml:space="preserve"> lub blistry jednodawkowe PVC/Aluminium w opakowaniach po 10</w:t>
      </w:r>
      <w:r w:rsidR="0072192D" w:rsidRPr="005138D5">
        <w:rPr>
          <w:rFonts w:ascii="Times New Roman" w:hAnsi="Times New Roman"/>
          <w:bCs/>
        </w:rPr>
        <w:t xml:space="preserve"> </w:t>
      </w:r>
      <w:r w:rsidR="00B57AB3" w:rsidRPr="005138D5">
        <w:rPr>
          <w:rFonts w:ascii="Times New Roman" w:hAnsi="Times New Roman"/>
          <w:bCs/>
        </w:rPr>
        <w:t>x</w:t>
      </w:r>
      <w:r w:rsidR="0072192D" w:rsidRPr="005138D5">
        <w:rPr>
          <w:rFonts w:ascii="Times New Roman" w:hAnsi="Times New Roman"/>
          <w:bCs/>
        </w:rPr>
        <w:t xml:space="preserve"> </w:t>
      </w:r>
      <w:r w:rsidR="00B57AB3" w:rsidRPr="005138D5">
        <w:rPr>
          <w:rFonts w:ascii="Times New Roman" w:hAnsi="Times New Roman"/>
          <w:bCs/>
        </w:rPr>
        <w:t>1, 14</w:t>
      </w:r>
      <w:r w:rsidR="0072192D" w:rsidRPr="005138D5">
        <w:rPr>
          <w:rFonts w:ascii="Times New Roman" w:hAnsi="Times New Roman"/>
          <w:bCs/>
        </w:rPr>
        <w:t xml:space="preserve"> </w:t>
      </w:r>
      <w:r w:rsidR="00B57AB3" w:rsidRPr="005138D5">
        <w:rPr>
          <w:rFonts w:ascii="Times New Roman" w:hAnsi="Times New Roman"/>
          <w:bCs/>
        </w:rPr>
        <w:t>x</w:t>
      </w:r>
      <w:r w:rsidR="0072192D" w:rsidRPr="005138D5">
        <w:rPr>
          <w:rFonts w:ascii="Times New Roman" w:hAnsi="Times New Roman"/>
          <w:bCs/>
        </w:rPr>
        <w:t xml:space="preserve"> </w:t>
      </w:r>
      <w:r w:rsidR="00B57AB3" w:rsidRPr="005138D5">
        <w:rPr>
          <w:rFonts w:ascii="Times New Roman" w:hAnsi="Times New Roman"/>
          <w:bCs/>
        </w:rPr>
        <w:t>1, 28</w:t>
      </w:r>
      <w:r w:rsidR="0072192D" w:rsidRPr="005138D5">
        <w:rPr>
          <w:rFonts w:ascii="Times New Roman" w:hAnsi="Times New Roman"/>
          <w:bCs/>
        </w:rPr>
        <w:t xml:space="preserve"> </w:t>
      </w:r>
      <w:r w:rsidR="00B57AB3" w:rsidRPr="005138D5">
        <w:rPr>
          <w:rFonts w:ascii="Times New Roman" w:hAnsi="Times New Roman"/>
          <w:bCs/>
        </w:rPr>
        <w:t>x</w:t>
      </w:r>
      <w:r w:rsidR="0072192D" w:rsidRPr="005138D5">
        <w:rPr>
          <w:rFonts w:ascii="Times New Roman" w:hAnsi="Times New Roman"/>
          <w:bCs/>
        </w:rPr>
        <w:t xml:space="preserve"> </w:t>
      </w:r>
      <w:r w:rsidR="00B57AB3" w:rsidRPr="005138D5">
        <w:rPr>
          <w:rFonts w:ascii="Times New Roman" w:hAnsi="Times New Roman"/>
          <w:bCs/>
        </w:rPr>
        <w:t>1, 30</w:t>
      </w:r>
      <w:r w:rsidR="0072192D" w:rsidRPr="005138D5">
        <w:rPr>
          <w:rFonts w:ascii="Times New Roman" w:hAnsi="Times New Roman"/>
          <w:bCs/>
        </w:rPr>
        <w:t xml:space="preserve"> </w:t>
      </w:r>
      <w:r w:rsidR="00B57AB3" w:rsidRPr="005138D5">
        <w:rPr>
          <w:rFonts w:ascii="Times New Roman" w:hAnsi="Times New Roman"/>
          <w:bCs/>
        </w:rPr>
        <w:t>x</w:t>
      </w:r>
      <w:r w:rsidR="0072192D" w:rsidRPr="005138D5">
        <w:rPr>
          <w:rFonts w:ascii="Times New Roman" w:hAnsi="Times New Roman"/>
          <w:bCs/>
        </w:rPr>
        <w:t xml:space="preserve"> </w:t>
      </w:r>
      <w:r w:rsidR="00B57AB3" w:rsidRPr="005138D5">
        <w:rPr>
          <w:rFonts w:ascii="Times New Roman" w:hAnsi="Times New Roman"/>
          <w:bCs/>
        </w:rPr>
        <w:t>1, 56</w:t>
      </w:r>
      <w:r w:rsidR="0072192D" w:rsidRPr="005138D5">
        <w:rPr>
          <w:rFonts w:ascii="Times New Roman" w:hAnsi="Times New Roman"/>
          <w:bCs/>
        </w:rPr>
        <w:t xml:space="preserve"> </w:t>
      </w:r>
      <w:r w:rsidR="00B57AB3" w:rsidRPr="005138D5">
        <w:rPr>
          <w:rFonts w:ascii="Times New Roman" w:hAnsi="Times New Roman"/>
          <w:bCs/>
        </w:rPr>
        <w:t>x</w:t>
      </w:r>
      <w:r w:rsidR="0072192D" w:rsidRPr="005138D5">
        <w:rPr>
          <w:rFonts w:ascii="Times New Roman" w:hAnsi="Times New Roman"/>
          <w:bCs/>
        </w:rPr>
        <w:t xml:space="preserve"> </w:t>
      </w:r>
      <w:r w:rsidR="00B57AB3" w:rsidRPr="005138D5">
        <w:rPr>
          <w:rFonts w:ascii="Times New Roman" w:hAnsi="Times New Roman"/>
          <w:bCs/>
        </w:rPr>
        <w:t>1 lub 100</w:t>
      </w:r>
      <w:r w:rsidR="0072192D" w:rsidRPr="005138D5">
        <w:rPr>
          <w:rFonts w:ascii="Times New Roman" w:hAnsi="Times New Roman"/>
          <w:bCs/>
        </w:rPr>
        <w:t xml:space="preserve"> </w:t>
      </w:r>
      <w:r w:rsidR="00B57AB3" w:rsidRPr="005138D5">
        <w:rPr>
          <w:rFonts w:ascii="Times New Roman" w:hAnsi="Times New Roman"/>
          <w:bCs/>
        </w:rPr>
        <w:t>x</w:t>
      </w:r>
      <w:r w:rsidR="0072192D" w:rsidRPr="005138D5">
        <w:rPr>
          <w:rFonts w:ascii="Times New Roman" w:hAnsi="Times New Roman"/>
          <w:bCs/>
        </w:rPr>
        <w:t xml:space="preserve"> </w:t>
      </w:r>
      <w:r w:rsidR="00B57AB3" w:rsidRPr="005138D5">
        <w:rPr>
          <w:rFonts w:ascii="Times New Roman" w:hAnsi="Times New Roman"/>
          <w:bCs/>
        </w:rPr>
        <w:t>1</w:t>
      </w:r>
      <w:r w:rsidR="0072192D" w:rsidRPr="005138D5">
        <w:rPr>
          <w:rFonts w:ascii="Times New Roman" w:hAnsi="Times New Roman"/>
          <w:bCs/>
        </w:rPr>
        <w:t xml:space="preserve"> tabletek powlekanych</w:t>
      </w:r>
      <w:r w:rsidR="00A31C89">
        <w:rPr>
          <w:rFonts w:ascii="Times New Roman" w:hAnsi="Times New Roman"/>
          <w:bCs/>
        </w:rPr>
        <w:t>.</w:t>
      </w:r>
      <w:r w:rsidRPr="005138D5">
        <w:rPr>
          <w:rFonts w:ascii="Times New Roman" w:hAnsi="Times New Roman"/>
          <w:bCs/>
        </w:rPr>
        <w:t xml:space="preserve"> </w:t>
      </w:r>
    </w:p>
    <w:p w14:paraId="6E414831" w14:textId="77777777" w:rsidR="00DA6B44" w:rsidRPr="005138D5" w:rsidRDefault="00DA6B44" w:rsidP="00A41668">
      <w:pPr>
        <w:pStyle w:val="Tekstpodstawowy2"/>
        <w:jc w:val="left"/>
        <w:rPr>
          <w:rFonts w:ascii="Times New Roman" w:hAnsi="Times New Roman"/>
          <w:bCs/>
        </w:rPr>
      </w:pPr>
    </w:p>
    <w:p w14:paraId="597B6B19" w14:textId="77777777" w:rsidR="00575F5E" w:rsidRPr="005138D5" w:rsidRDefault="00575F5E" w:rsidP="00A41668">
      <w:pPr>
        <w:pStyle w:val="Tekstpodstawowy2"/>
        <w:jc w:val="left"/>
        <w:rPr>
          <w:rFonts w:ascii="Times New Roman" w:hAnsi="Times New Roman"/>
          <w:bCs/>
        </w:rPr>
      </w:pPr>
      <w:r w:rsidRPr="005138D5">
        <w:rPr>
          <w:rFonts w:ascii="Times New Roman" w:hAnsi="Times New Roman"/>
          <w:bCs/>
        </w:rPr>
        <w:t xml:space="preserve">Nie wszystkie wielkości opakowań </w:t>
      </w:r>
      <w:r w:rsidRPr="005138D5">
        <w:rPr>
          <w:rFonts w:ascii="Times New Roman" w:hAnsi="Times New Roman"/>
          <w:noProof/>
        </w:rPr>
        <w:t>muszą znajdować się w obrocie.</w:t>
      </w:r>
    </w:p>
    <w:p w14:paraId="6EC87C1D" w14:textId="77777777" w:rsidR="00575F5E" w:rsidRPr="005138D5" w:rsidRDefault="00575F5E" w:rsidP="00A41668">
      <w:pPr>
        <w:pStyle w:val="Tekstpodstawowy2"/>
        <w:jc w:val="left"/>
        <w:rPr>
          <w:rFonts w:ascii="Times New Roman" w:hAnsi="Times New Roman"/>
          <w:bCs/>
        </w:rPr>
      </w:pPr>
    </w:p>
    <w:p w14:paraId="1C4E632B" w14:textId="77777777" w:rsidR="00575F5E" w:rsidRPr="005138D5" w:rsidRDefault="00575F5E" w:rsidP="00A41668">
      <w:pPr>
        <w:rPr>
          <w:b/>
          <w:sz w:val="22"/>
        </w:rPr>
      </w:pPr>
      <w:r w:rsidRPr="005138D5">
        <w:rPr>
          <w:b/>
          <w:sz w:val="22"/>
        </w:rPr>
        <w:t>6.6</w:t>
      </w:r>
      <w:r w:rsidRPr="005138D5">
        <w:rPr>
          <w:b/>
          <w:sz w:val="22"/>
        </w:rPr>
        <w:tab/>
      </w:r>
      <w:r w:rsidR="00220BA5" w:rsidRPr="005138D5">
        <w:rPr>
          <w:b/>
          <w:sz w:val="22"/>
        </w:rPr>
        <w:t xml:space="preserve">Specjalne środki ostrożności </w:t>
      </w:r>
      <w:r w:rsidRPr="005138D5">
        <w:rPr>
          <w:b/>
          <w:sz w:val="22"/>
        </w:rPr>
        <w:t xml:space="preserve">dotyczące usuwania </w:t>
      </w:r>
    </w:p>
    <w:p w14:paraId="063F1B34" w14:textId="77777777" w:rsidR="00575F5E" w:rsidRPr="005138D5" w:rsidRDefault="00575F5E" w:rsidP="00A41668">
      <w:pPr>
        <w:rPr>
          <w:bCs/>
          <w:sz w:val="22"/>
        </w:rPr>
      </w:pPr>
    </w:p>
    <w:p w14:paraId="3E033E4E" w14:textId="77777777" w:rsidR="00575F5E" w:rsidRPr="005138D5" w:rsidRDefault="008B4F5C" w:rsidP="00A41668">
      <w:pPr>
        <w:rPr>
          <w:bCs/>
          <w:sz w:val="22"/>
        </w:rPr>
      </w:pPr>
      <w:r w:rsidRPr="005138D5">
        <w:rPr>
          <w:noProof/>
          <w:sz w:val="22"/>
        </w:rPr>
        <w:t>Wszelkie niewykorzystane resztki produktu leczniczego lub jego odpady należy usunąć zgodnie z lokalnymi przepisami.</w:t>
      </w:r>
    </w:p>
    <w:p w14:paraId="1D7A1AD1" w14:textId="77777777" w:rsidR="00575F5E" w:rsidRDefault="00575F5E" w:rsidP="002B53AF">
      <w:pPr>
        <w:rPr>
          <w:sz w:val="22"/>
        </w:rPr>
      </w:pPr>
    </w:p>
    <w:p w14:paraId="70638DA7" w14:textId="77777777" w:rsidR="00B658C5" w:rsidRPr="005138D5" w:rsidRDefault="00B658C5" w:rsidP="002B53AF">
      <w:pPr>
        <w:rPr>
          <w:sz w:val="22"/>
        </w:rPr>
      </w:pPr>
    </w:p>
    <w:p w14:paraId="363E35AE" w14:textId="77777777" w:rsidR="00575F5E" w:rsidRPr="005138D5" w:rsidRDefault="00575F5E" w:rsidP="006252CC">
      <w:pPr>
        <w:ind w:left="720" w:hanging="720"/>
        <w:rPr>
          <w:b/>
          <w:sz w:val="22"/>
        </w:rPr>
      </w:pPr>
      <w:r w:rsidRPr="005138D5">
        <w:rPr>
          <w:b/>
          <w:sz w:val="22"/>
        </w:rPr>
        <w:t>7.</w:t>
      </w:r>
      <w:r w:rsidRPr="005138D5">
        <w:rPr>
          <w:b/>
          <w:sz w:val="22"/>
        </w:rPr>
        <w:tab/>
        <w:t xml:space="preserve">PODMIOT ODPOWIEDZIALNY POSIADAJĄCY POZWOLENIE NA </w:t>
      </w:r>
      <w:r w:rsidR="006252CC" w:rsidRPr="005138D5">
        <w:rPr>
          <w:b/>
          <w:sz w:val="22"/>
        </w:rPr>
        <w:t xml:space="preserve">   </w:t>
      </w:r>
      <w:r w:rsidRPr="005138D5">
        <w:rPr>
          <w:b/>
          <w:sz w:val="22"/>
        </w:rPr>
        <w:t>DOPUSZCZENIE DO OBROTU</w:t>
      </w:r>
    </w:p>
    <w:p w14:paraId="0B9E315A" w14:textId="77777777" w:rsidR="00575F5E" w:rsidRPr="005138D5" w:rsidRDefault="00575F5E" w:rsidP="00277FE6">
      <w:pPr>
        <w:rPr>
          <w:sz w:val="22"/>
        </w:rPr>
      </w:pPr>
    </w:p>
    <w:p w14:paraId="4ED7F4B4" w14:textId="77777777" w:rsidR="006B6E71" w:rsidRPr="00043258" w:rsidRDefault="006B6E71" w:rsidP="006B6E71">
      <w:pPr>
        <w:rPr>
          <w:sz w:val="22"/>
          <w:lang w:val="en-US"/>
        </w:rPr>
      </w:pPr>
      <w:r w:rsidRPr="00043258">
        <w:rPr>
          <w:sz w:val="22"/>
          <w:lang w:val="en-US"/>
        </w:rPr>
        <w:t xml:space="preserve">Accord Healthcare S.L.U. </w:t>
      </w:r>
    </w:p>
    <w:p w14:paraId="4DD38145" w14:textId="77777777" w:rsidR="006B6E71" w:rsidRPr="00043258" w:rsidRDefault="006B6E71" w:rsidP="006B6E71">
      <w:pPr>
        <w:rPr>
          <w:sz w:val="22"/>
          <w:lang w:val="en-US"/>
        </w:rPr>
      </w:pPr>
      <w:r w:rsidRPr="00043258">
        <w:rPr>
          <w:sz w:val="22"/>
          <w:lang w:val="en-US"/>
        </w:rPr>
        <w:t xml:space="preserve">World Trade Center, Moll de Barcelona, s/n, </w:t>
      </w:r>
    </w:p>
    <w:p w14:paraId="461312C7" w14:textId="77777777" w:rsidR="006B6E71" w:rsidRPr="006B6E71" w:rsidRDefault="006B6E71" w:rsidP="006B6E71">
      <w:pPr>
        <w:rPr>
          <w:sz w:val="22"/>
        </w:rPr>
      </w:pPr>
      <w:r w:rsidRPr="006B6E71">
        <w:rPr>
          <w:sz w:val="22"/>
        </w:rPr>
        <w:t xml:space="preserve">Edifici Est 6ª planta, </w:t>
      </w:r>
    </w:p>
    <w:p w14:paraId="64C4268C" w14:textId="77777777" w:rsidR="006B6E71" w:rsidRPr="006B6E71" w:rsidRDefault="006B6E71" w:rsidP="006B6E71">
      <w:pPr>
        <w:rPr>
          <w:sz w:val="22"/>
        </w:rPr>
      </w:pPr>
      <w:r w:rsidRPr="006B6E71">
        <w:rPr>
          <w:sz w:val="22"/>
        </w:rPr>
        <w:t xml:space="preserve">08039 Barcelona, </w:t>
      </w:r>
    </w:p>
    <w:p w14:paraId="5407A2EC" w14:textId="77777777" w:rsidR="00575F5E" w:rsidRPr="005138D5" w:rsidRDefault="006B6E71" w:rsidP="00A41668">
      <w:pPr>
        <w:widowControl/>
        <w:rPr>
          <w:b/>
          <w:sz w:val="22"/>
        </w:rPr>
      </w:pPr>
      <w:r w:rsidRPr="00043258">
        <w:rPr>
          <w:sz w:val="22"/>
        </w:rPr>
        <w:t>Hiszpania</w:t>
      </w:r>
    </w:p>
    <w:p w14:paraId="44021E50" w14:textId="77777777" w:rsidR="008B1F4D" w:rsidRPr="005138D5" w:rsidRDefault="008B1F4D" w:rsidP="00277FE6">
      <w:pPr>
        <w:rPr>
          <w:sz w:val="22"/>
        </w:rPr>
      </w:pPr>
    </w:p>
    <w:p w14:paraId="2051B017" w14:textId="77777777" w:rsidR="00575F5E" w:rsidRPr="005138D5" w:rsidRDefault="00575F5E" w:rsidP="00277FE6">
      <w:pPr>
        <w:rPr>
          <w:b/>
          <w:sz w:val="22"/>
        </w:rPr>
      </w:pPr>
      <w:r w:rsidRPr="005138D5">
        <w:rPr>
          <w:b/>
          <w:sz w:val="22"/>
        </w:rPr>
        <w:t>8.</w:t>
      </w:r>
      <w:r w:rsidRPr="005138D5">
        <w:rPr>
          <w:b/>
          <w:sz w:val="22"/>
        </w:rPr>
        <w:tab/>
        <w:t>NUMER</w:t>
      </w:r>
      <w:r w:rsidR="000F6BF1" w:rsidRPr="005138D5">
        <w:rPr>
          <w:b/>
          <w:sz w:val="22"/>
        </w:rPr>
        <w:t>Y</w:t>
      </w:r>
      <w:r w:rsidRPr="005138D5">
        <w:rPr>
          <w:b/>
          <w:sz w:val="22"/>
        </w:rPr>
        <w:t xml:space="preserve"> POZWOLE</w:t>
      </w:r>
      <w:r w:rsidR="000F6BF1" w:rsidRPr="005138D5">
        <w:rPr>
          <w:b/>
          <w:sz w:val="22"/>
        </w:rPr>
        <w:t>Ń</w:t>
      </w:r>
      <w:r w:rsidRPr="005138D5">
        <w:rPr>
          <w:b/>
          <w:sz w:val="22"/>
        </w:rPr>
        <w:t xml:space="preserve"> NA DOPUSZCZENIE DO OBROTU</w:t>
      </w:r>
    </w:p>
    <w:p w14:paraId="78DD31B4" w14:textId="77777777" w:rsidR="006252CC" w:rsidRPr="005138D5" w:rsidRDefault="006252CC" w:rsidP="00277FE6">
      <w:pPr>
        <w:rPr>
          <w:sz w:val="22"/>
        </w:rPr>
      </w:pPr>
    </w:p>
    <w:p w14:paraId="58C8ADF1" w14:textId="77777777" w:rsidR="008B4F5C" w:rsidRPr="00622D94" w:rsidRDefault="008B4F5C" w:rsidP="00277FE6">
      <w:pPr>
        <w:rPr>
          <w:sz w:val="22"/>
          <w:u w:val="single"/>
          <w:lang w:val="en-GB"/>
        </w:rPr>
      </w:pPr>
      <w:r w:rsidRPr="00622D94">
        <w:rPr>
          <w:sz w:val="22"/>
          <w:u w:val="single"/>
          <w:lang w:val="en-GB"/>
        </w:rPr>
        <w:t xml:space="preserve">Voriconazole </w:t>
      </w:r>
      <w:r w:rsidR="00AF6DE8" w:rsidRPr="00622D94">
        <w:rPr>
          <w:sz w:val="22"/>
          <w:u w:val="single"/>
          <w:lang w:val="en-GB"/>
        </w:rPr>
        <w:t xml:space="preserve">Accord </w:t>
      </w:r>
      <w:r w:rsidRPr="00622D94">
        <w:rPr>
          <w:sz w:val="22"/>
          <w:u w:val="single"/>
          <w:lang w:val="en-GB"/>
        </w:rPr>
        <w:t xml:space="preserve">50 mg </w:t>
      </w:r>
      <w:proofErr w:type="spellStart"/>
      <w:r w:rsidRPr="00622D94">
        <w:rPr>
          <w:sz w:val="22"/>
          <w:u w:val="single"/>
          <w:lang w:val="en-GB"/>
        </w:rPr>
        <w:t>tabletki</w:t>
      </w:r>
      <w:proofErr w:type="spellEnd"/>
      <w:r w:rsidRPr="00622D94">
        <w:rPr>
          <w:sz w:val="22"/>
          <w:u w:val="single"/>
          <w:lang w:val="en-GB"/>
        </w:rPr>
        <w:t xml:space="preserve"> </w:t>
      </w:r>
      <w:proofErr w:type="spellStart"/>
      <w:r w:rsidRPr="00622D94">
        <w:rPr>
          <w:sz w:val="22"/>
          <w:u w:val="single"/>
          <w:lang w:val="en-GB"/>
        </w:rPr>
        <w:t>powlekane</w:t>
      </w:r>
      <w:proofErr w:type="spellEnd"/>
    </w:p>
    <w:p w14:paraId="25C5D197" w14:textId="77777777" w:rsidR="00575F5E" w:rsidRPr="005138D5" w:rsidRDefault="0004770E" w:rsidP="00277FE6">
      <w:pPr>
        <w:rPr>
          <w:sz w:val="22"/>
          <w:lang w:val="en-GB"/>
        </w:rPr>
      </w:pPr>
      <w:r w:rsidRPr="005138D5">
        <w:rPr>
          <w:sz w:val="22"/>
          <w:lang w:val="en-GB"/>
        </w:rPr>
        <w:t>EU/1/13/835/001-009</w:t>
      </w:r>
      <w:r w:rsidR="00B57AB3" w:rsidRPr="005138D5">
        <w:rPr>
          <w:sz w:val="22"/>
          <w:lang w:val="en-GB"/>
        </w:rPr>
        <w:t>,</w:t>
      </w:r>
    </w:p>
    <w:p w14:paraId="31065BEF" w14:textId="77777777" w:rsidR="008B1F4D" w:rsidRPr="005138D5" w:rsidRDefault="00B57AB3" w:rsidP="00277FE6">
      <w:pPr>
        <w:rPr>
          <w:sz w:val="22"/>
          <w:lang w:val="en-GB"/>
        </w:rPr>
      </w:pPr>
      <w:r w:rsidRPr="005138D5">
        <w:rPr>
          <w:sz w:val="22"/>
          <w:lang w:val="en-GB"/>
        </w:rPr>
        <w:t>EU/1/13/835/019-024</w:t>
      </w:r>
    </w:p>
    <w:p w14:paraId="5C019DA4" w14:textId="77777777" w:rsidR="008B4F5C" w:rsidRPr="005138D5" w:rsidRDefault="008B4F5C" w:rsidP="00277FE6">
      <w:pPr>
        <w:rPr>
          <w:sz w:val="22"/>
          <w:lang w:val="en-GB"/>
        </w:rPr>
      </w:pPr>
    </w:p>
    <w:p w14:paraId="450970CC" w14:textId="77777777" w:rsidR="008B4F5C" w:rsidRPr="00622D94" w:rsidRDefault="008B4F5C" w:rsidP="00277FE6">
      <w:pPr>
        <w:rPr>
          <w:sz w:val="22"/>
          <w:u w:val="single"/>
          <w:lang w:val="en-GB"/>
        </w:rPr>
      </w:pPr>
      <w:r w:rsidRPr="00622D94">
        <w:rPr>
          <w:sz w:val="22"/>
          <w:u w:val="single"/>
          <w:lang w:val="en-GB"/>
        </w:rPr>
        <w:t xml:space="preserve">Voriconazole </w:t>
      </w:r>
      <w:r w:rsidR="00AF6DE8" w:rsidRPr="00622D94">
        <w:rPr>
          <w:sz w:val="22"/>
          <w:u w:val="single"/>
          <w:lang w:val="en-GB"/>
        </w:rPr>
        <w:t xml:space="preserve">Accord </w:t>
      </w:r>
      <w:r w:rsidRPr="00622D94">
        <w:rPr>
          <w:sz w:val="22"/>
          <w:u w:val="single"/>
          <w:lang w:val="en-GB"/>
        </w:rPr>
        <w:t xml:space="preserve">200 mg </w:t>
      </w:r>
      <w:proofErr w:type="spellStart"/>
      <w:r w:rsidRPr="00622D94">
        <w:rPr>
          <w:sz w:val="22"/>
          <w:u w:val="single"/>
          <w:lang w:val="en-GB"/>
        </w:rPr>
        <w:t>tabletki</w:t>
      </w:r>
      <w:proofErr w:type="spellEnd"/>
      <w:r w:rsidRPr="00622D94">
        <w:rPr>
          <w:sz w:val="22"/>
          <w:u w:val="single"/>
          <w:lang w:val="en-GB"/>
        </w:rPr>
        <w:t xml:space="preserve"> </w:t>
      </w:r>
      <w:proofErr w:type="spellStart"/>
      <w:r w:rsidRPr="00622D94">
        <w:rPr>
          <w:sz w:val="22"/>
          <w:u w:val="single"/>
          <w:lang w:val="en-GB"/>
        </w:rPr>
        <w:t>powlekane</w:t>
      </w:r>
      <w:proofErr w:type="spellEnd"/>
    </w:p>
    <w:p w14:paraId="1639223F" w14:textId="77777777" w:rsidR="008B4F5C" w:rsidRPr="005138D5" w:rsidRDefault="008B4F5C" w:rsidP="008B4F5C">
      <w:pPr>
        <w:rPr>
          <w:sz w:val="22"/>
        </w:rPr>
      </w:pPr>
      <w:r w:rsidRPr="005138D5">
        <w:rPr>
          <w:sz w:val="22"/>
        </w:rPr>
        <w:t>EU/1/13/835/010-018,</w:t>
      </w:r>
    </w:p>
    <w:p w14:paraId="28E38016" w14:textId="77777777" w:rsidR="008B4F5C" w:rsidRPr="005138D5" w:rsidRDefault="008B4F5C" w:rsidP="008B4F5C">
      <w:pPr>
        <w:rPr>
          <w:sz w:val="22"/>
        </w:rPr>
      </w:pPr>
      <w:r w:rsidRPr="005138D5">
        <w:rPr>
          <w:sz w:val="22"/>
        </w:rPr>
        <w:t>EU/1/13/835/025-030</w:t>
      </w:r>
    </w:p>
    <w:p w14:paraId="3AB5A47C" w14:textId="77777777" w:rsidR="006252CC" w:rsidRDefault="006252CC" w:rsidP="00277FE6">
      <w:pPr>
        <w:rPr>
          <w:sz w:val="22"/>
        </w:rPr>
      </w:pPr>
    </w:p>
    <w:p w14:paraId="6573F060" w14:textId="77777777" w:rsidR="00B66913" w:rsidRPr="005138D5" w:rsidRDefault="00B66913" w:rsidP="00277FE6">
      <w:pPr>
        <w:rPr>
          <w:sz w:val="22"/>
        </w:rPr>
      </w:pPr>
    </w:p>
    <w:p w14:paraId="2BD99015" w14:textId="77777777" w:rsidR="00575F5E" w:rsidRPr="005138D5" w:rsidRDefault="00575F5E" w:rsidP="006252CC">
      <w:pPr>
        <w:ind w:left="720" w:hanging="720"/>
        <w:rPr>
          <w:b/>
          <w:sz w:val="22"/>
        </w:rPr>
      </w:pPr>
      <w:r w:rsidRPr="005138D5">
        <w:rPr>
          <w:b/>
          <w:sz w:val="22"/>
        </w:rPr>
        <w:t>9.</w:t>
      </w:r>
      <w:r w:rsidRPr="005138D5">
        <w:rPr>
          <w:b/>
          <w:sz w:val="22"/>
        </w:rPr>
        <w:tab/>
        <w:t>DATA WYDANIA PIERWSZEGO POZWOLENIA NA DOPUSZCZENIE DO OBROTU</w:t>
      </w:r>
      <w:r w:rsidR="000F6BF1" w:rsidRPr="005138D5">
        <w:rPr>
          <w:b/>
          <w:sz w:val="22"/>
        </w:rPr>
        <w:t xml:space="preserve"> I </w:t>
      </w:r>
      <w:r w:rsidRPr="005138D5">
        <w:rPr>
          <w:b/>
          <w:sz w:val="22"/>
        </w:rPr>
        <w:t>DATA PRZEDŁUŻENIA POZWOLENIA</w:t>
      </w:r>
    </w:p>
    <w:p w14:paraId="54793D1C" w14:textId="77777777" w:rsidR="00A96FB1" w:rsidRPr="005138D5" w:rsidRDefault="00A96FB1" w:rsidP="006252CC">
      <w:pPr>
        <w:ind w:left="720" w:hanging="720"/>
        <w:rPr>
          <w:b/>
          <w:sz w:val="22"/>
        </w:rPr>
      </w:pPr>
    </w:p>
    <w:p w14:paraId="4A2A3FF3" w14:textId="77777777" w:rsidR="00A96FB1" w:rsidRDefault="00B66913" w:rsidP="006252CC">
      <w:pPr>
        <w:ind w:left="720" w:hanging="720"/>
        <w:rPr>
          <w:sz w:val="22"/>
        </w:rPr>
      </w:pPr>
      <w:r w:rsidRPr="00B66913">
        <w:rPr>
          <w:sz w:val="22"/>
          <w:lang w:bidi="pl-PL"/>
        </w:rPr>
        <w:t>Data wydania pierwszego pozwolenia na dopuszczenie do obrotu</w:t>
      </w:r>
      <w:r>
        <w:rPr>
          <w:sz w:val="22"/>
          <w:lang w:bidi="pl-PL"/>
        </w:rPr>
        <w:t>:</w:t>
      </w:r>
      <w:r w:rsidRPr="00B66913">
        <w:rPr>
          <w:sz w:val="22"/>
        </w:rPr>
        <w:t xml:space="preserve"> </w:t>
      </w:r>
      <w:r w:rsidR="0004376E" w:rsidRPr="005138D5">
        <w:rPr>
          <w:sz w:val="22"/>
        </w:rPr>
        <w:t>16</w:t>
      </w:r>
      <w:r>
        <w:rPr>
          <w:sz w:val="22"/>
        </w:rPr>
        <w:t xml:space="preserve"> maja </w:t>
      </w:r>
      <w:r w:rsidR="0004376E" w:rsidRPr="005138D5">
        <w:rPr>
          <w:sz w:val="22"/>
        </w:rPr>
        <w:t>2013</w:t>
      </w:r>
    </w:p>
    <w:p w14:paraId="51E432E1" w14:textId="77777777" w:rsidR="00B66913" w:rsidRPr="00043258" w:rsidRDefault="00B66913" w:rsidP="00DB3973">
      <w:pPr>
        <w:ind w:left="720" w:hanging="720"/>
        <w:rPr>
          <w:sz w:val="22"/>
          <w:lang w:bidi="pl-PL"/>
        </w:rPr>
      </w:pPr>
      <w:r w:rsidRPr="00B66913">
        <w:rPr>
          <w:sz w:val="22"/>
          <w:lang w:bidi="pl-PL"/>
        </w:rPr>
        <w:t>Data ostatniego przedłużenia pozwolenia:</w:t>
      </w:r>
      <w:r w:rsidR="00DB3973">
        <w:rPr>
          <w:sz w:val="22"/>
          <w:lang w:bidi="pl-PL"/>
        </w:rPr>
        <w:t xml:space="preserve"> </w:t>
      </w:r>
      <w:r w:rsidR="00D7090B">
        <w:rPr>
          <w:sz w:val="22"/>
          <w:lang w:bidi="pl-PL"/>
        </w:rPr>
        <w:t>8</w:t>
      </w:r>
      <w:r w:rsidR="00DB3973" w:rsidRPr="00DB3973">
        <w:rPr>
          <w:sz w:val="22"/>
          <w:lang w:bidi="pl-PL"/>
        </w:rPr>
        <w:t xml:space="preserve"> lutego 2018 r</w:t>
      </w:r>
    </w:p>
    <w:p w14:paraId="3A80C744" w14:textId="77777777" w:rsidR="00B66913" w:rsidRPr="005138D5" w:rsidRDefault="00B66913" w:rsidP="006252CC">
      <w:pPr>
        <w:ind w:left="720" w:hanging="720"/>
        <w:rPr>
          <w:sz w:val="22"/>
        </w:rPr>
      </w:pPr>
    </w:p>
    <w:p w14:paraId="79695A42" w14:textId="77777777" w:rsidR="0004376E" w:rsidRPr="005138D5" w:rsidRDefault="0004376E" w:rsidP="006252CC">
      <w:pPr>
        <w:ind w:left="720" w:hanging="720"/>
        <w:rPr>
          <w:b/>
          <w:sz w:val="22"/>
        </w:rPr>
      </w:pPr>
    </w:p>
    <w:p w14:paraId="59B89F05" w14:textId="77777777" w:rsidR="00575F5E" w:rsidRPr="005138D5" w:rsidRDefault="00575F5E" w:rsidP="00A41668">
      <w:pPr>
        <w:widowControl/>
        <w:ind w:left="709" w:hanging="709"/>
        <w:rPr>
          <w:b/>
          <w:sz w:val="22"/>
        </w:rPr>
      </w:pPr>
      <w:r w:rsidRPr="005138D5">
        <w:rPr>
          <w:b/>
          <w:sz w:val="22"/>
        </w:rPr>
        <w:t>10.</w:t>
      </w:r>
      <w:r w:rsidRPr="005138D5">
        <w:rPr>
          <w:b/>
          <w:sz w:val="22"/>
        </w:rPr>
        <w:tab/>
        <w:t xml:space="preserve">DATA ZATWIERDZENIA LUB CZĘŚCIOWEJ ZMIANY TEKSTU CHARAKTERYSTYKI PRODUKTU LECZNICZEGO </w:t>
      </w:r>
    </w:p>
    <w:p w14:paraId="1AB96533" w14:textId="77777777" w:rsidR="00575F5E" w:rsidRPr="005138D5" w:rsidRDefault="00575F5E" w:rsidP="00A41668">
      <w:pPr>
        <w:widowControl/>
        <w:rPr>
          <w:sz w:val="22"/>
        </w:rPr>
      </w:pPr>
    </w:p>
    <w:p w14:paraId="556C1BF5" w14:textId="77777777" w:rsidR="00F5327B" w:rsidRPr="005138D5" w:rsidRDefault="00575F5E" w:rsidP="00CB29F1">
      <w:pPr>
        <w:rPr>
          <w:sz w:val="22"/>
        </w:rPr>
      </w:pPr>
      <w:r w:rsidRPr="005138D5">
        <w:rPr>
          <w:noProof/>
          <w:sz w:val="22"/>
        </w:rPr>
        <w:t>Szczegółow</w:t>
      </w:r>
      <w:r w:rsidR="00220BA5" w:rsidRPr="005138D5">
        <w:rPr>
          <w:noProof/>
          <w:sz w:val="22"/>
        </w:rPr>
        <w:t>e</w:t>
      </w:r>
      <w:r w:rsidRPr="005138D5">
        <w:rPr>
          <w:noProof/>
          <w:sz w:val="22"/>
        </w:rPr>
        <w:t xml:space="preserve"> informacj</w:t>
      </w:r>
      <w:r w:rsidR="00220BA5" w:rsidRPr="005138D5">
        <w:rPr>
          <w:noProof/>
          <w:sz w:val="22"/>
        </w:rPr>
        <w:t>e</w:t>
      </w:r>
      <w:r w:rsidRPr="005138D5">
        <w:rPr>
          <w:noProof/>
          <w:sz w:val="22"/>
        </w:rPr>
        <w:t xml:space="preserve"> o tym produkcie </w:t>
      </w:r>
      <w:r w:rsidR="00220BA5" w:rsidRPr="005138D5">
        <w:rPr>
          <w:noProof/>
          <w:sz w:val="22"/>
        </w:rPr>
        <w:t>leczniczym są</w:t>
      </w:r>
      <w:r w:rsidRPr="005138D5">
        <w:rPr>
          <w:noProof/>
          <w:sz w:val="22"/>
        </w:rPr>
        <w:t xml:space="preserve"> dostępn</w:t>
      </w:r>
      <w:r w:rsidR="00220BA5" w:rsidRPr="005138D5">
        <w:rPr>
          <w:noProof/>
          <w:sz w:val="22"/>
        </w:rPr>
        <w:t>e</w:t>
      </w:r>
      <w:r w:rsidRPr="005138D5">
        <w:rPr>
          <w:noProof/>
          <w:sz w:val="22"/>
        </w:rPr>
        <w:t xml:space="preserve"> na stronie internetowej Europejskiej Agencji </w:t>
      </w:r>
      <w:r w:rsidR="00A87223" w:rsidRPr="005138D5">
        <w:rPr>
          <w:noProof/>
          <w:sz w:val="22"/>
        </w:rPr>
        <w:t>Leków</w:t>
      </w:r>
      <w:r w:rsidRPr="005138D5">
        <w:rPr>
          <w:noProof/>
          <w:sz w:val="22"/>
        </w:rPr>
        <w:t xml:space="preserve"> </w:t>
      </w:r>
      <w:r w:rsidR="000C469C" w:rsidRPr="005138D5">
        <w:rPr>
          <w:noProof/>
          <w:sz w:val="22"/>
        </w:rPr>
        <w:t>http://www.ema.europa.eu/</w:t>
      </w:r>
      <w:r w:rsidRPr="005138D5">
        <w:rPr>
          <w:sz w:val="22"/>
        </w:rPr>
        <w:br w:type="page"/>
      </w:r>
    </w:p>
    <w:p w14:paraId="2F797C51" w14:textId="77777777" w:rsidR="00F5327B" w:rsidRPr="005138D5" w:rsidRDefault="00F5327B" w:rsidP="008843C5">
      <w:pPr>
        <w:jc w:val="center"/>
        <w:rPr>
          <w:sz w:val="22"/>
        </w:rPr>
      </w:pPr>
    </w:p>
    <w:p w14:paraId="62A301FF" w14:textId="77777777" w:rsidR="00F5327B" w:rsidRPr="005138D5" w:rsidRDefault="00F5327B" w:rsidP="008843C5">
      <w:pPr>
        <w:jc w:val="center"/>
        <w:rPr>
          <w:sz w:val="22"/>
        </w:rPr>
      </w:pPr>
    </w:p>
    <w:p w14:paraId="229073EC" w14:textId="77777777" w:rsidR="00F5327B" w:rsidRPr="005138D5" w:rsidRDefault="00F5327B" w:rsidP="008843C5">
      <w:pPr>
        <w:jc w:val="center"/>
        <w:rPr>
          <w:sz w:val="22"/>
        </w:rPr>
      </w:pPr>
    </w:p>
    <w:p w14:paraId="1ABBE7DF" w14:textId="77777777" w:rsidR="00F5327B" w:rsidRPr="005138D5" w:rsidRDefault="00F5327B" w:rsidP="008843C5">
      <w:pPr>
        <w:jc w:val="center"/>
        <w:rPr>
          <w:sz w:val="22"/>
        </w:rPr>
      </w:pPr>
    </w:p>
    <w:p w14:paraId="35BB2643" w14:textId="77777777" w:rsidR="00F5327B" w:rsidRPr="005138D5" w:rsidRDefault="00F5327B" w:rsidP="008843C5">
      <w:pPr>
        <w:jc w:val="center"/>
        <w:rPr>
          <w:sz w:val="22"/>
        </w:rPr>
      </w:pPr>
    </w:p>
    <w:p w14:paraId="67B7A06B" w14:textId="77777777" w:rsidR="00F5327B" w:rsidRPr="005138D5" w:rsidRDefault="00F5327B" w:rsidP="008843C5">
      <w:pPr>
        <w:jc w:val="center"/>
        <w:rPr>
          <w:sz w:val="22"/>
        </w:rPr>
      </w:pPr>
    </w:p>
    <w:p w14:paraId="0A921F09" w14:textId="77777777" w:rsidR="00F5327B" w:rsidRPr="005138D5" w:rsidRDefault="00F5327B" w:rsidP="008843C5">
      <w:pPr>
        <w:jc w:val="center"/>
        <w:rPr>
          <w:sz w:val="22"/>
        </w:rPr>
      </w:pPr>
    </w:p>
    <w:p w14:paraId="22BD60E8" w14:textId="77777777" w:rsidR="00F5327B" w:rsidRPr="005138D5" w:rsidRDefault="00F5327B" w:rsidP="008843C5">
      <w:pPr>
        <w:jc w:val="center"/>
        <w:rPr>
          <w:sz w:val="22"/>
        </w:rPr>
      </w:pPr>
    </w:p>
    <w:p w14:paraId="563B6671" w14:textId="77777777" w:rsidR="00F5327B" w:rsidRPr="005138D5" w:rsidRDefault="00F5327B" w:rsidP="008843C5">
      <w:pPr>
        <w:jc w:val="center"/>
        <w:rPr>
          <w:sz w:val="22"/>
        </w:rPr>
      </w:pPr>
    </w:p>
    <w:p w14:paraId="3FD5E5CD" w14:textId="77777777" w:rsidR="00F5327B" w:rsidRPr="005138D5" w:rsidRDefault="00F5327B" w:rsidP="008843C5">
      <w:pPr>
        <w:jc w:val="center"/>
        <w:rPr>
          <w:sz w:val="22"/>
        </w:rPr>
      </w:pPr>
    </w:p>
    <w:p w14:paraId="0BDDC0C5" w14:textId="77777777" w:rsidR="00F5327B" w:rsidRPr="005138D5" w:rsidRDefault="00F5327B" w:rsidP="008843C5">
      <w:pPr>
        <w:jc w:val="center"/>
        <w:rPr>
          <w:sz w:val="22"/>
        </w:rPr>
      </w:pPr>
    </w:p>
    <w:p w14:paraId="5538EA21" w14:textId="77777777" w:rsidR="00F5327B" w:rsidRPr="005138D5" w:rsidRDefault="00F5327B" w:rsidP="008843C5">
      <w:pPr>
        <w:jc w:val="center"/>
        <w:rPr>
          <w:sz w:val="22"/>
        </w:rPr>
      </w:pPr>
    </w:p>
    <w:p w14:paraId="037AE668" w14:textId="77777777" w:rsidR="00F5327B" w:rsidRPr="005138D5" w:rsidRDefault="00F5327B" w:rsidP="008843C5">
      <w:pPr>
        <w:jc w:val="center"/>
        <w:rPr>
          <w:sz w:val="22"/>
        </w:rPr>
      </w:pPr>
    </w:p>
    <w:p w14:paraId="1CE5E545" w14:textId="77777777" w:rsidR="00F5327B" w:rsidRPr="005138D5" w:rsidRDefault="00F5327B" w:rsidP="008843C5">
      <w:pPr>
        <w:jc w:val="center"/>
        <w:rPr>
          <w:sz w:val="22"/>
        </w:rPr>
      </w:pPr>
    </w:p>
    <w:p w14:paraId="3A995877" w14:textId="77777777" w:rsidR="00F5327B" w:rsidRPr="005138D5" w:rsidRDefault="00F5327B" w:rsidP="008843C5">
      <w:pPr>
        <w:jc w:val="center"/>
        <w:rPr>
          <w:sz w:val="22"/>
        </w:rPr>
      </w:pPr>
    </w:p>
    <w:p w14:paraId="27E3A340" w14:textId="77777777" w:rsidR="00F5327B" w:rsidRPr="005138D5" w:rsidRDefault="00F5327B" w:rsidP="008843C5">
      <w:pPr>
        <w:jc w:val="center"/>
        <w:rPr>
          <w:sz w:val="22"/>
        </w:rPr>
      </w:pPr>
    </w:p>
    <w:p w14:paraId="62FA95CE" w14:textId="77777777" w:rsidR="005614B9" w:rsidRPr="005138D5" w:rsidRDefault="005614B9" w:rsidP="008843C5">
      <w:pPr>
        <w:jc w:val="center"/>
        <w:rPr>
          <w:sz w:val="22"/>
        </w:rPr>
      </w:pPr>
    </w:p>
    <w:p w14:paraId="4251EB95" w14:textId="77777777" w:rsidR="005614B9" w:rsidRPr="005138D5" w:rsidRDefault="005614B9" w:rsidP="008843C5">
      <w:pPr>
        <w:jc w:val="center"/>
        <w:rPr>
          <w:sz w:val="22"/>
        </w:rPr>
      </w:pPr>
    </w:p>
    <w:p w14:paraId="5BC7949C" w14:textId="77777777" w:rsidR="005614B9" w:rsidRPr="005138D5" w:rsidRDefault="005614B9" w:rsidP="008843C5">
      <w:pPr>
        <w:jc w:val="center"/>
        <w:rPr>
          <w:sz w:val="22"/>
        </w:rPr>
      </w:pPr>
    </w:p>
    <w:p w14:paraId="129D0A94" w14:textId="77777777" w:rsidR="008843C5" w:rsidRPr="005138D5" w:rsidRDefault="008843C5" w:rsidP="008843C5">
      <w:pPr>
        <w:jc w:val="center"/>
        <w:rPr>
          <w:b/>
          <w:sz w:val="22"/>
        </w:rPr>
      </w:pPr>
      <w:r w:rsidRPr="005138D5">
        <w:rPr>
          <w:b/>
          <w:sz w:val="22"/>
        </w:rPr>
        <w:t>ANEKS II</w:t>
      </w:r>
    </w:p>
    <w:p w14:paraId="2DAB8471" w14:textId="77777777" w:rsidR="008843C5" w:rsidRPr="005138D5" w:rsidRDefault="008843C5" w:rsidP="008843C5">
      <w:pPr>
        <w:jc w:val="center"/>
        <w:rPr>
          <w:b/>
          <w:sz w:val="22"/>
        </w:rPr>
      </w:pPr>
    </w:p>
    <w:p w14:paraId="2804B121" w14:textId="77777777" w:rsidR="008843C5" w:rsidRPr="005138D5" w:rsidRDefault="008843C5" w:rsidP="002B5E0C">
      <w:pPr>
        <w:numPr>
          <w:ilvl w:val="0"/>
          <w:numId w:val="71"/>
        </w:numPr>
        <w:spacing w:after="240"/>
        <w:ind w:left="2127"/>
        <w:rPr>
          <w:b/>
          <w:sz w:val="22"/>
        </w:rPr>
      </w:pPr>
      <w:r w:rsidRPr="005138D5">
        <w:rPr>
          <w:b/>
          <w:sz w:val="22"/>
        </w:rPr>
        <w:t>WYTWÓRCY ODPOWIEDZIALNI ZA ZWOLNIENIE SERII</w:t>
      </w:r>
    </w:p>
    <w:p w14:paraId="570BFCCE" w14:textId="77777777" w:rsidR="008843C5" w:rsidRPr="005138D5" w:rsidRDefault="008843C5" w:rsidP="002B5E0C">
      <w:pPr>
        <w:numPr>
          <w:ilvl w:val="0"/>
          <w:numId w:val="71"/>
        </w:numPr>
        <w:spacing w:after="240"/>
        <w:ind w:left="2127"/>
        <w:rPr>
          <w:b/>
          <w:sz w:val="22"/>
        </w:rPr>
      </w:pPr>
      <w:r w:rsidRPr="005138D5">
        <w:rPr>
          <w:b/>
          <w:sz w:val="22"/>
        </w:rPr>
        <w:t>WARUNKI LUB OGRANICZENIA DOTYCZĄCE ZAOPATRZENIA I STOSOWANIA</w:t>
      </w:r>
    </w:p>
    <w:p w14:paraId="01EE3F0F" w14:textId="77777777" w:rsidR="008843C5" w:rsidRPr="005138D5" w:rsidRDefault="008843C5" w:rsidP="002B5E0C">
      <w:pPr>
        <w:numPr>
          <w:ilvl w:val="0"/>
          <w:numId w:val="71"/>
        </w:numPr>
        <w:spacing w:after="240"/>
        <w:ind w:left="2127"/>
        <w:rPr>
          <w:b/>
          <w:sz w:val="22"/>
        </w:rPr>
      </w:pPr>
      <w:r w:rsidRPr="005138D5">
        <w:rPr>
          <w:b/>
          <w:sz w:val="22"/>
        </w:rPr>
        <w:t>INNE WARUNKI I WYMAGANIA DOTYCZĄCE DOPUSZCZENIA DO OBROTU</w:t>
      </w:r>
    </w:p>
    <w:p w14:paraId="2BF5DC38" w14:textId="77777777" w:rsidR="008843C5" w:rsidRPr="005138D5" w:rsidRDefault="008843C5" w:rsidP="002B5E0C">
      <w:pPr>
        <w:numPr>
          <w:ilvl w:val="0"/>
          <w:numId w:val="71"/>
        </w:numPr>
        <w:spacing w:after="240"/>
        <w:ind w:left="2127"/>
        <w:rPr>
          <w:b/>
          <w:sz w:val="22"/>
        </w:rPr>
      </w:pPr>
      <w:r w:rsidRPr="005138D5">
        <w:rPr>
          <w:b/>
          <w:sz w:val="22"/>
        </w:rPr>
        <w:t xml:space="preserve">WARUNKI LUB OGRANICZENIA DOTYCZĄCE BEZPIECZNEGO I </w:t>
      </w:r>
      <w:r w:rsidR="00431A41" w:rsidRPr="005138D5">
        <w:rPr>
          <w:b/>
          <w:sz w:val="22"/>
        </w:rPr>
        <w:t xml:space="preserve">   </w:t>
      </w:r>
      <w:r w:rsidRPr="005138D5">
        <w:rPr>
          <w:b/>
          <w:sz w:val="22"/>
        </w:rPr>
        <w:t>SKUTECZNEGO STOSOWANIA PRODUKTU LECZNICZEGO</w:t>
      </w:r>
    </w:p>
    <w:p w14:paraId="120E2BE9" w14:textId="77777777" w:rsidR="008843C5" w:rsidRPr="005138D5" w:rsidRDefault="008843C5" w:rsidP="002B5E0C">
      <w:pPr>
        <w:autoSpaceDE w:val="0"/>
        <w:autoSpaceDN w:val="0"/>
        <w:adjustRightInd w:val="0"/>
        <w:spacing w:after="240" w:line="276" w:lineRule="auto"/>
        <w:ind w:left="127" w:right="120"/>
        <w:rPr>
          <w:color w:val="000000"/>
          <w:sz w:val="22"/>
        </w:rPr>
      </w:pPr>
    </w:p>
    <w:p w14:paraId="44B752C6" w14:textId="77777777" w:rsidR="008843C5" w:rsidRPr="005138D5" w:rsidRDefault="008843C5" w:rsidP="00454903">
      <w:pPr>
        <w:pStyle w:val="12"/>
      </w:pPr>
      <w:r w:rsidRPr="005138D5">
        <w:br w:type="page"/>
        <w:t>A.</w:t>
      </w:r>
      <w:r w:rsidRPr="005138D5">
        <w:tab/>
        <w:t>WYTWÓRCY ODPOWIEDZIALNI ZA ZWOLNIENIE SERII</w:t>
      </w:r>
    </w:p>
    <w:p w14:paraId="47EF5A8F" w14:textId="77777777" w:rsidR="00B658C5" w:rsidRDefault="00B658C5" w:rsidP="005614B9">
      <w:pPr>
        <w:rPr>
          <w:sz w:val="22"/>
          <w:u w:val="single"/>
        </w:rPr>
      </w:pPr>
    </w:p>
    <w:p w14:paraId="4471F79E" w14:textId="77777777" w:rsidR="008843C5" w:rsidRPr="005138D5" w:rsidRDefault="008843C5" w:rsidP="005614B9">
      <w:pPr>
        <w:rPr>
          <w:sz w:val="22"/>
          <w:u w:val="single"/>
        </w:rPr>
      </w:pPr>
      <w:r w:rsidRPr="005138D5">
        <w:rPr>
          <w:sz w:val="22"/>
          <w:u w:val="single"/>
        </w:rPr>
        <w:t>Nazwa i adres wytwórów odpowiedzialnych za zwolnienie serii</w:t>
      </w:r>
    </w:p>
    <w:p w14:paraId="63352FCE" w14:textId="77777777" w:rsidR="005614B9" w:rsidRPr="00043258" w:rsidRDefault="005614B9" w:rsidP="00A31C89">
      <w:pPr>
        <w:rPr>
          <w:sz w:val="22"/>
        </w:rPr>
      </w:pPr>
      <w:bookmarkStart w:id="0" w:name="page_total_master7"/>
      <w:bookmarkStart w:id="1" w:name="page_total"/>
      <w:bookmarkEnd w:id="0"/>
      <w:bookmarkEnd w:id="1"/>
    </w:p>
    <w:p w14:paraId="0A77CFA6" w14:textId="77777777" w:rsidR="00193B9C" w:rsidRPr="00C8744C" w:rsidRDefault="00193B9C" w:rsidP="00193B9C">
      <w:pPr>
        <w:autoSpaceDE w:val="0"/>
        <w:autoSpaceDN w:val="0"/>
        <w:adjustRightInd w:val="0"/>
        <w:rPr>
          <w:sz w:val="22"/>
          <w:lang w:val="en-US" w:eastAsia="en-US"/>
        </w:rPr>
      </w:pPr>
      <w:proofErr w:type="spellStart"/>
      <w:r w:rsidRPr="00C8744C">
        <w:rPr>
          <w:sz w:val="22"/>
          <w:lang w:val="en-US" w:eastAsia="en-US"/>
        </w:rPr>
        <w:t>Pharmadox</w:t>
      </w:r>
      <w:proofErr w:type="spellEnd"/>
      <w:r w:rsidRPr="00C8744C">
        <w:rPr>
          <w:sz w:val="22"/>
          <w:lang w:val="en-US" w:eastAsia="en-US"/>
        </w:rPr>
        <w:t xml:space="preserve"> Healthcare Ltd.</w:t>
      </w:r>
    </w:p>
    <w:p w14:paraId="3165D6AB" w14:textId="77777777" w:rsidR="00193B9C" w:rsidRPr="00043258" w:rsidRDefault="00193B9C" w:rsidP="00193B9C">
      <w:pPr>
        <w:autoSpaceDE w:val="0"/>
        <w:autoSpaceDN w:val="0"/>
        <w:adjustRightInd w:val="0"/>
        <w:rPr>
          <w:sz w:val="22"/>
          <w:lang w:val="en-US" w:eastAsia="en-US"/>
        </w:rPr>
      </w:pPr>
      <w:r w:rsidRPr="00043258">
        <w:rPr>
          <w:sz w:val="22"/>
          <w:lang w:val="en-US" w:eastAsia="en-US"/>
        </w:rPr>
        <w:t>KW20A Kordin Industrial Park,</w:t>
      </w:r>
    </w:p>
    <w:p w14:paraId="2AE91CEA" w14:textId="77777777" w:rsidR="00193B9C" w:rsidRPr="00043258" w:rsidRDefault="00193B9C" w:rsidP="00C32FD6">
      <w:pPr>
        <w:pStyle w:val="Kolorowalistaakcent11"/>
        <w:autoSpaceDE w:val="0"/>
        <w:autoSpaceDN w:val="0"/>
        <w:adjustRightInd w:val="0"/>
        <w:spacing w:after="0" w:line="240" w:lineRule="auto"/>
        <w:ind w:left="0"/>
        <w:rPr>
          <w:rFonts w:ascii="Times New Roman" w:hAnsi="Times New Roman"/>
        </w:rPr>
      </w:pPr>
      <w:r w:rsidRPr="00193B9C">
        <w:rPr>
          <w:rFonts w:ascii="Times New Roman" w:hAnsi="Times New Roman"/>
        </w:rPr>
        <w:t>Paola, PLA 3000</w:t>
      </w:r>
      <w:r w:rsidR="005614B9" w:rsidRPr="00043258">
        <w:rPr>
          <w:rFonts w:ascii="Times New Roman" w:hAnsi="Times New Roman"/>
        </w:rPr>
        <w:t xml:space="preserve"> </w:t>
      </w:r>
    </w:p>
    <w:p w14:paraId="4C06F8BA" w14:textId="77777777" w:rsidR="005614B9" w:rsidRPr="00043258" w:rsidRDefault="005614B9" w:rsidP="00C32FD6">
      <w:pPr>
        <w:pStyle w:val="Kolorowalistaakcent11"/>
        <w:autoSpaceDE w:val="0"/>
        <w:autoSpaceDN w:val="0"/>
        <w:adjustRightInd w:val="0"/>
        <w:spacing w:after="0" w:line="240" w:lineRule="auto"/>
        <w:ind w:left="0"/>
        <w:rPr>
          <w:rFonts w:ascii="Times New Roman" w:hAnsi="Times New Roman"/>
        </w:rPr>
      </w:pPr>
      <w:r w:rsidRPr="00043258">
        <w:rPr>
          <w:rFonts w:ascii="Times New Roman" w:hAnsi="Times New Roman"/>
        </w:rPr>
        <w:t>Malta</w:t>
      </w:r>
    </w:p>
    <w:p w14:paraId="4280C87E" w14:textId="77777777" w:rsidR="00193B9C" w:rsidRPr="00043258" w:rsidRDefault="00193B9C" w:rsidP="00C32FD6">
      <w:pPr>
        <w:pStyle w:val="Kolorowalistaakcent11"/>
        <w:autoSpaceDE w:val="0"/>
        <w:autoSpaceDN w:val="0"/>
        <w:adjustRightInd w:val="0"/>
        <w:spacing w:after="0" w:line="240" w:lineRule="auto"/>
        <w:ind w:left="0"/>
        <w:rPr>
          <w:rFonts w:ascii="Times New Roman" w:hAnsi="Times New Roman"/>
        </w:rPr>
      </w:pPr>
    </w:p>
    <w:p w14:paraId="61986A34" w14:textId="77777777" w:rsidR="00193B9C" w:rsidRPr="00043258" w:rsidRDefault="00193B9C" w:rsidP="00193B9C">
      <w:pPr>
        <w:rPr>
          <w:sz w:val="22"/>
          <w:lang w:val="en-US"/>
        </w:rPr>
      </w:pPr>
      <w:r w:rsidRPr="00043258">
        <w:rPr>
          <w:sz w:val="22"/>
          <w:lang w:val="en-US"/>
        </w:rPr>
        <w:t xml:space="preserve">Accord Healthcare Polska </w:t>
      </w:r>
      <w:proofErr w:type="spellStart"/>
      <w:r w:rsidRPr="00043258">
        <w:rPr>
          <w:sz w:val="22"/>
          <w:lang w:val="en-US"/>
        </w:rPr>
        <w:t>Sp.z</w:t>
      </w:r>
      <w:proofErr w:type="spellEnd"/>
      <w:r w:rsidRPr="00043258">
        <w:rPr>
          <w:sz w:val="22"/>
          <w:lang w:val="en-US"/>
        </w:rPr>
        <w:t xml:space="preserve"> </w:t>
      </w:r>
      <w:proofErr w:type="spellStart"/>
      <w:r w:rsidRPr="00043258">
        <w:rPr>
          <w:sz w:val="22"/>
          <w:lang w:val="en-US"/>
        </w:rPr>
        <w:t>o.o.</w:t>
      </w:r>
      <w:proofErr w:type="spellEnd"/>
      <w:r w:rsidRPr="00043258">
        <w:rPr>
          <w:sz w:val="22"/>
          <w:lang w:val="en-US"/>
        </w:rPr>
        <w:t>,</w:t>
      </w:r>
    </w:p>
    <w:p w14:paraId="2F2F4454" w14:textId="77777777" w:rsidR="00193B9C" w:rsidRPr="00043258" w:rsidRDefault="00193B9C" w:rsidP="00193B9C">
      <w:pPr>
        <w:pStyle w:val="Kolorowalistaakcent11"/>
        <w:autoSpaceDE w:val="0"/>
        <w:autoSpaceDN w:val="0"/>
        <w:adjustRightInd w:val="0"/>
        <w:spacing w:after="0" w:line="240" w:lineRule="auto"/>
        <w:ind w:left="0"/>
        <w:rPr>
          <w:rFonts w:ascii="Times New Roman" w:hAnsi="Times New Roman"/>
          <w:color w:val="000000"/>
          <w:lang w:val="pl-PL"/>
        </w:rPr>
      </w:pPr>
      <w:r w:rsidRPr="00043258">
        <w:rPr>
          <w:rFonts w:ascii="Times New Roman" w:hAnsi="Times New Roman"/>
          <w:lang w:val="pl-PL"/>
        </w:rPr>
        <w:t xml:space="preserve">ul. Lutomierska 50,95-200 Pabianice, </w:t>
      </w:r>
      <w:r w:rsidRPr="00043258">
        <w:rPr>
          <w:rFonts w:ascii="Times New Roman" w:hAnsi="Times New Roman"/>
          <w:color w:val="000000"/>
          <w:lang w:val="pl-PL"/>
        </w:rPr>
        <w:t>Polska</w:t>
      </w:r>
    </w:p>
    <w:p w14:paraId="435D1286" w14:textId="77777777" w:rsidR="006A00DF" w:rsidRPr="00043258" w:rsidRDefault="006A00DF" w:rsidP="00193B9C">
      <w:pPr>
        <w:pStyle w:val="Kolorowalistaakcent11"/>
        <w:autoSpaceDE w:val="0"/>
        <w:autoSpaceDN w:val="0"/>
        <w:adjustRightInd w:val="0"/>
        <w:spacing w:after="0" w:line="240" w:lineRule="auto"/>
        <w:ind w:left="0"/>
        <w:rPr>
          <w:rFonts w:ascii="Times New Roman" w:hAnsi="Times New Roman"/>
          <w:color w:val="000000"/>
          <w:lang w:val="pl-PL"/>
        </w:rPr>
      </w:pPr>
    </w:p>
    <w:p w14:paraId="649C6782" w14:textId="77777777" w:rsidR="006A00DF" w:rsidRPr="00030077" w:rsidRDefault="006A00DF" w:rsidP="006A00DF">
      <w:pPr>
        <w:rPr>
          <w:sz w:val="22"/>
        </w:rPr>
      </w:pPr>
      <w:r w:rsidRPr="00030077">
        <w:rPr>
          <w:sz w:val="22"/>
        </w:rPr>
        <w:t xml:space="preserve">Accord Healthcare B.V., </w:t>
      </w:r>
    </w:p>
    <w:p w14:paraId="5F3BD558" w14:textId="77777777" w:rsidR="006A00DF" w:rsidRPr="00030077" w:rsidRDefault="006A00DF" w:rsidP="00030077">
      <w:pPr>
        <w:rPr>
          <w:sz w:val="22"/>
        </w:rPr>
      </w:pPr>
      <w:r w:rsidRPr="00030077">
        <w:rPr>
          <w:sz w:val="22"/>
        </w:rPr>
        <w:t xml:space="preserve">Winthontlaan 200, </w:t>
      </w:r>
    </w:p>
    <w:p w14:paraId="1574791F" w14:textId="77777777" w:rsidR="006A00DF" w:rsidRPr="00030077" w:rsidRDefault="006A00DF" w:rsidP="00030077">
      <w:pPr>
        <w:rPr>
          <w:sz w:val="22"/>
        </w:rPr>
      </w:pPr>
      <w:r w:rsidRPr="00030077">
        <w:rPr>
          <w:sz w:val="22"/>
        </w:rPr>
        <w:t>3526 KV Utrecht,</w:t>
      </w:r>
    </w:p>
    <w:p w14:paraId="3057602C" w14:textId="77777777" w:rsidR="006A00DF" w:rsidRDefault="006A00DF" w:rsidP="00030077">
      <w:pPr>
        <w:rPr>
          <w:ins w:id="2" w:author="ABB" w:date="2025-07-08T13:38:00Z" w16du:dateUtc="2025-07-08T11:38:00Z"/>
          <w:sz w:val="22"/>
        </w:rPr>
      </w:pPr>
      <w:r w:rsidRPr="00030077">
        <w:rPr>
          <w:sz w:val="22"/>
        </w:rPr>
        <w:t>Holandia</w:t>
      </w:r>
    </w:p>
    <w:p w14:paraId="698E829B" w14:textId="77777777" w:rsidR="004700FB" w:rsidRDefault="004700FB" w:rsidP="00030077">
      <w:pPr>
        <w:rPr>
          <w:ins w:id="3" w:author="ABB" w:date="2025-07-08T13:38:00Z" w16du:dateUtc="2025-07-08T11:38:00Z"/>
          <w:sz w:val="22"/>
        </w:rPr>
      </w:pPr>
    </w:p>
    <w:p w14:paraId="23FDD516" w14:textId="77777777" w:rsidR="004700FB" w:rsidRPr="005769C5" w:rsidRDefault="004700FB" w:rsidP="004700FB">
      <w:pPr>
        <w:pStyle w:val="Default"/>
        <w:rPr>
          <w:ins w:id="4" w:author="ABB" w:date="2025-07-08T13:38:00Z" w16du:dateUtc="2025-07-08T11:38:00Z"/>
          <w:sz w:val="22"/>
          <w:szCs w:val="22"/>
        </w:rPr>
      </w:pPr>
      <w:ins w:id="5" w:author="ABB" w:date="2025-07-08T13:38:00Z" w16du:dateUtc="2025-07-08T11:38:00Z">
        <w:r w:rsidRPr="005769C5">
          <w:rPr>
            <w:sz w:val="22"/>
            <w:szCs w:val="22"/>
          </w:rPr>
          <w:t xml:space="preserve">Accord Healthcare single member S.A. </w:t>
        </w:r>
      </w:ins>
    </w:p>
    <w:p w14:paraId="6A12C2C3" w14:textId="77777777" w:rsidR="004700FB" w:rsidRDefault="004700FB" w:rsidP="004700FB">
      <w:pPr>
        <w:pStyle w:val="Default"/>
        <w:rPr>
          <w:ins w:id="6" w:author="ABB" w:date="2025-07-08T13:41:00Z" w16du:dateUtc="2025-07-08T11:41:00Z"/>
          <w:sz w:val="22"/>
          <w:szCs w:val="22"/>
        </w:rPr>
      </w:pPr>
      <w:ins w:id="7" w:author="ABB" w:date="2025-07-08T13:38:00Z" w16du:dateUtc="2025-07-08T11:38:00Z">
        <w:r w:rsidRPr="005769C5">
          <w:rPr>
            <w:sz w:val="22"/>
            <w:szCs w:val="22"/>
          </w:rPr>
          <w:t>64th Km National Road Athens</w:t>
        </w:r>
      </w:ins>
      <w:ins w:id="8" w:author="ABB" w:date="2025-07-08T13:41:00Z" w16du:dateUtc="2025-07-08T11:41:00Z">
        <w:r>
          <w:rPr>
            <w:sz w:val="22"/>
            <w:szCs w:val="22"/>
          </w:rPr>
          <w:t>,</w:t>
        </w:r>
      </w:ins>
    </w:p>
    <w:p w14:paraId="6380CB53" w14:textId="29A204B0" w:rsidR="004700FB" w:rsidRPr="005769C5" w:rsidRDefault="004700FB" w:rsidP="004700FB">
      <w:pPr>
        <w:pStyle w:val="Default"/>
        <w:rPr>
          <w:ins w:id="9" w:author="ABB" w:date="2025-07-08T13:38:00Z" w16du:dateUtc="2025-07-08T11:38:00Z"/>
          <w:sz w:val="22"/>
          <w:szCs w:val="22"/>
        </w:rPr>
      </w:pPr>
      <w:ins w:id="10" w:author="ABB" w:date="2025-07-08T13:38:00Z" w16du:dateUtc="2025-07-08T11:38:00Z">
        <w:r w:rsidRPr="005769C5">
          <w:rPr>
            <w:sz w:val="22"/>
            <w:szCs w:val="22"/>
          </w:rPr>
          <w:t>Lamia,</w:t>
        </w:r>
      </w:ins>
      <w:ins w:id="11" w:author="ABB" w:date="2025-07-08T13:41:00Z" w16du:dateUtc="2025-07-08T11:41:00Z">
        <w:r>
          <w:rPr>
            <w:sz w:val="22"/>
            <w:szCs w:val="22"/>
          </w:rPr>
          <w:t xml:space="preserve"> </w:t>
        </w:r>
      </w:ins>
      <w:proofErr w:type="spellStart"/>
      <w:ins w:id="12" w:author="ABB" w:date="2025-07-08T13:38:00Z" w16du:dateUtc="2025-07-08T11:38:00Z">
        <w:r w:rsidRPr="005769C5">
          <w:rPr>
            <w:sz w:val="22"/>
            <w:szCs w:val="22"/>
          </w:rPr>
          <w:t>Schimatari</w:t>
        </w:r>
        <w:proofErr w:type="spellEnd"/>
        <w:r w:rsidRPr="005769C5">
          <w:rPr>
            <w:sz w:val="22"/>
            <w:szCs w:val="22"/>
          </w:rPr>
          <w:t xml:space="preserve">, 32009, </w:t>
        </w:r>
      </w:ins>
    </w:p>
    <w:p w14:paraId="5F051773" w14:textId="77777777" w:rsidR="004700FB" w:rsidRPr="00F0339C" w:rsidRDefault="004700FB" w:rsidP="004700FB">
      <w:pPr>
        <w:pStyle w:val="Default"/>
        <w:rPr>
          <w:ins w:id="13" w:author="ABB" w:date="2025-07-08T13:38:00Z" w16du:dateUtc="2025-07-08T11:38:00Z"/>
          <w:sz w:val="22"/>
          <w:szCs w:val="22"/>
        </w:rPr>
      </w:pPr>
      <w:proofErr w:type="spellStart"/>
      <w:ins w:id="14" w:author="ABB" w:date="2025-07-08T13:38:00Z" w16du:dateUtc="2025-07-08T11:38:00Z">
        <w:r w:rsidRPr="005769C5">
          <w:rPr>
            <w:sz w:val="22"/>
            <w:szCs w:val="22"/>
          </w:rPr>
          <w:t>Grecja</w:t>
        </w:r>
        <w:proofErr w:type="spellEnd"/>
      </w:ins>
    </w:p>
    <w:p w14:paraId="303B3191" w14:textId="527EA734" w:rsidR="004700FB" w:rsidRPr="00030077" w:rsidDel="004700FB" w:rsidRDefault="004700FB" w:rsidP="00030077">
      <w:pPr>
        <w:rPr>
          <w:del w:id="15" w:author="ABB" w:date="2025-07-08T13:38:00Z" w16du:dateUtc="2025-07-08T11:38:00Z"/>
          <w:sz w:val="22"/>
        </w:rPr>
      </w:pPr>
    </w:p>
    <w:p w14:paraId="23113D85" w14:textId="77777777" w:rsidR="005614B9" w:rsidRPr="005138D5" w:rsidRDefault="005614B9" w:rsidP="00C32FD6">
      <w:pPr>
        <w:rPr>
          <w:sz w:val="22"/>
        </w:rPr>
      </w:pPr>
    </w:p>
    <w:p w14:paraId="6771E05F" w14:textId="77777777" w:rsidR="005614B9" w:rsidRPr="005138D5" w:rsidRDefault="005614B9" w:rsidP="00C32FD6">
      <w:pPr>
        <w:rPr>
          <w:sz w:val="22"/>
        </w:rPr>
      </w:pPr>
      <w:r w:rsidRPr="005138D5">
        <w:rPr>
          <w:noProof/>
          <w:sz w:val="22"/>
        </w:rPr>
        <w:t>Wydrukowana ulotka dla pacjenta musi zawierać nazwę i adres wytwórcy odpowiedzialnego za  zwolnienie danej serii produktu leczniczego.</w:t>
      </w:r>
    </w:p>
    <w:p w14:paraId="16B97A2D" w14:textId="77777777" w:rsidR="005870BE" w:rsidRPr="005138D5" w:rsidRDefault="005870BE" w:rsidP="00C32FD6">
      <w:pPr>
        <w:rPr>
          <w:sz w:val="22"/>
        </w:rPr>
      </w:pPr>
    </w:p>
    <w:p w14:paraId="6490C5C5" w14:textId="77777777" w:rsidR="008843C5" w:rsidRPr="005138D5" w:rsidRDefault="008843C5" w:rsidP="00C32FD6">
      <w:pPr>
        <w:pStyle w:val="13"/>
        <w:ind w:left="567" w:hanging="567"/>
      </w:pPr>
      <w:r w:rsidRPr="005138D5">
        <w:t>B.</w:t>
      </w:r>
      <w:r w:rsidRPr="005138D5">
        <w:tab/>
        <w:t xml:space="preserve">WARUNKI LUB OGRANICZENIA DOTYCZĄCE ZAOPATRZENIA I </w:t>
      </w:r>
      <w:r w:rsidR="00431A41" w:rsidRPr="005138D5">
        <w:t xml:space="preserve"> </w:t>
      </w:r>
      <w:r w:rsidRPr="005138D5">
        <w:t>STOSOWANIA</w:t>
      </w:r>
    </w:p>
    <w:p w14:paraId="210003F7" w14:textId="77777777" w:rsidR="008843C5" w:rsidRPr="005138D5" w:rsidRDefault="00E97BF2" w:rsidP="008843C5">
      <w:pPr>
        <w:autoSpaceDE w:val="0"/>
        <w:autoSpaceDN w:val="0"/>
        <w:adjustRightInd w:val="0"/>
        <w:spacing w:after="140" w:line="280" w:lineRule="atLeast"/>
        <w:ind w:left="127" w:right="120"/>
        <w:rPr>
          <w:sz w:val="22"/>
        </w:rPr>
      </w:pPr>
      <w:r w:rsidRPr="005138D5">
        <w:rPr>
          <w:sz w:val="22"/>
        </w:rPr>
        <w:t>Produkt leczniczy wydawany na receptę.</w:t>
      </w:r>
    </w:p>
    <w:p w14:paraId="18A4D5B4" w14:textId="77777777" w:rsidR="009552F4" w:rsidRPr="005138D5" w:rsidRDefault="009552F4" w:rsidP="008843C5">
      <w:pPr>
        <w:autoSpaceDE w:val="0"/>
        <w:autoSpaceDN w:val="0"/>
        <w:adjustRightInd w:val="0"/>
        <w:spacing w:after="140" w:line="280" w:lineRule="atLeast"/>
        <w:ind w:left="127" w:right="120"/>
        <w:rPr>
          <w:color w:val="000000"/>
          <w:sz w:val="22"/>
        </w:rPr>
      </w:pPr>
    </w:p>
    <w:p w14:paraId="06A70BFF" w14:textId="77777777" w:rsidR="008843C5" w:rsidRDefault="008843C5" w:rsidP="00C32FD6">
      <w:pPr>
        <w:pStyle w:val="14"/>
        <w:spacing w:after="0"/>
        <w:ind w:left="0"/>
      </w:pPr>
      <w:r w:rsidRPr="00A31C89">
        <w:t>C.</w:t>
      </w:r>
      <w:r w:rsidRPr="00A31C89">
        <w:tab/>
        <w:t>INNE WARUNKI I WYMAGANIA DOTYCZĄCE DOPUSZCZENIA DO OBROTU</w:t>
      </w:r>
    </w:p>
    <w:p w14:paraId="5183F28D" w14:textId="77777777" w:rsidR="00B66913" w:rsidRPr="00A31C89" w:rsidRDefault="00B66913" w:rsidP="00C32FD6">
      <w:pPr>
        <w:pStyle w:val="14"/>
        <w:spacing w:after="0"/>
        <w:ind w:left="0"/>
      </w:pPr>
    </w:p>
    <w:p w14:paraId="4DFCFEE9" w14:textId="77777777" w:rsidR="00043258" w:rsidRPr="00043258" w:rsidRDefault="008843C5" w:rsidP="00043258">
      <w:pPr>
        <w:numPr>
          <w:ilvl w:val="0"/>
          <w:numId w:val="65"/>
        </w:numPr>
        <w:autoSpaceDE w:val="0"/>
        <w:autoSpaceDN w:val="0"/>
        <w:adjustRightInd w:val="0"/>
        <w:spacing w:afterAutospacing="1" w:line="276" w:lineRule="auto"/>
        <w:rPr>
          <w:b/>
          <w:bCs/>
          <w:color w:val="000000"/>
          <w:sz w:val="22"/>
        </w:rPr>
      </w:pPr>
      <w:r w:rsidRPr="00A31C89">
        <w:rPr>
          <w:b/>
          <w:bCs/>
          <w:color w:val="000000"/>
          <w:sz w:val="22"/>
        </w:rPr>
        <w:t>Okresowy raport o bezpieczeństwie stosowania</w:t>
      </w:r>
      <w:r w:rsidR="00043258">
        <w:rPr>
          <w:b/>
          <w:bCs/>
          <w:color w:val="000000"/>
          <w:sz w:val="22"/>
        </w:rPr>
        <w:t xml:space="preserve"> </w:t>
      </w:r>
      <w:r w:rsidR="00043258" w:rsidRPr="00043258">
        <w:rPr>
          <w:b/>
          <w:bCs/>
          <w:color w:val="000000"/>
          <w:sz w:val="22"/>
        </w:rPr>
        <w:t>(ang. Periodic safety update report,</w:t>
      </w:r>
    </w:p>
    <w:p w14:paraId="7DCC1BDD" w14:textId="77777777" w:rsidR="008843C5" w:rsidRPr="00A31C89" w:rsidRDefault="00043258" w:rsidP="00043258">
      <w:pPr>
        <w:autoSpaceDE w:val="0"/>
        <w:autoSpaceDN w:val="0"/>
        <w:adjustRightInd w:val="0"/>
        <w:spacing w:afterAutospacing="1" w:line="276" w:lineRule="auto"/>
        <w:ind w:left="1004"/>
        <w:rPr>
          <w:color w:val="000000"/>
          <w:sz w:val="22"/>
        </w:rPr>
      </w:pPr>
      <w:r w:rsidRPr="00043258">
        <w:rPr>
          <w:b/>
          <w:bCs/>
          <w:color w:val="000000"/>
          <w:sz w:val="22"/>
        </w:rPr>
        <w:t>PSUR</w:t>
      </w:r>
      <w:r>
        <w:rPr>
          <w:b/>
          <w:bCs/>
          <w:color w:val="000000"/>
          <w:sz w:val="22"/>
        </w:rPr>
        <w:t>)</w:t>
      </w:r>
    </w:p>
    <w:p w14:paraId="1A55EAB8" w14:textId="77777777" w:rsidR="00B66913" w:rsidRDefault="00B66913" w:rsidP="00C32FD6">
      <w:pPr>
        <w:autoSpaceDE w:val="0"/>
        <w:autoSpaceDN w:val="0"/>
        <w:adjustRightInd w:val="0"/>
        <w:spacing w:afterAutospacing="1" w:line="280" w:lineRule="atLeast"/>
        <w:ind w:right="120"/>
        <w:rPr>
          <w:color w:val="000000"/>
          <w:sz w:val="22"/>
        </w:rPr>
      </w:pPr>
    </w:p>
    <w:p w14:paraId="6D1A4B04" w14:textId="77777777" w:rsidR="008843C5" w:rsidRPr="00A31C89" w:rsidRDefault="00A83A3D" w:rsidP="00C32FD6">
      <w:pPr>
        <w:autoSpaceDE w:val="0"/>
        <w:autoSpaceDN w:val="0"/>
        <w:adjustRightInd w:val="0"/>
        <w:spacing w:afterAutospacing="1" w:line="280" w:lineRule="atLeast"/>
        <w:ind w:right="120"/>
        <w:rPr>
          <w:color w:val="000000"/>
          <w:sz w:val="22"/>
        </w:rPr>
      </w:pPr>
      <w:r w:rsidRPr="00A31C89">
        <w:rPr>
          <w:color w:val="000000"/>
          <w:sz w:val="22"/>
        </w:rPr>
        <w:t xml:space="preserve">Wymagania do przedłożenia okresowych raportów o bezpieczeństwie stosowania tych produktów są określone w wykazie unijnych dat referencyjnych </w:t>
      </w:r>
      <w:r w:rsidRPr="00A31C89">
        <w:rPr>
          <w:iCs/>
          <w:color w:val="000000"/>
          <w:sz w:val="22"/>
        </w:rPr>
        <w:t>(wykaz</w:t>
      </w:r>
      <w:r w:rsidRPr="00A31C89">
        <w:rPr>
          <w:color w:val="000000"/>
          <w:sz w:val="22"/>
        </w:rPr>
        <w:t xml:space="preserve"> EURD</w:t>
      </w:r>
      <w:r w:rsidRPr="00A31C89">
        <w:rPr>
          <w:iCs/>
          <w:color w:val="000000"/>
          <w:sz w:val="22"/>
        </w:rPr>
        <w:t>)</w:t>
      </w:r>
      <w:r w:rsidRPr="00A31C89">
        <w:rPr>
          <w:color w:val="000000"/>
          <w:sz w:val="22"/>
        </w:rPr>
        <w:t>, o którym mowa w art. 107c ust. 7 dyrektywy 2001/83/WE i jego kolejnych aktualizacjach ogłaszanych na europejskiej stronie internetowej dotyczącej leków</w:t>
      </w:r>
      <w:r w:rsidRPr="00A31C89">
        <w:rPr>
          <w:i/>
          <w:color w:val="000000"/>
          <w:sz w:val="22"/>
        </w:rPr>
        <w:t>.</w:t>
      </w:r>
    </w:p>
    <w:p w14:paraId="24BCBECF" w14:textId="77777777" w:rsidR="00B66913" w:rsidRDefault="00B66913" w:rsidP="00C32FD6">
      <w:pPr>
        <w:pStyle w:val="15"/>
        <w:spacing w:before="0" w:after="0"/>
        <w:ind w:left="567" w:hanging="567"/>
      </w:pPr>
    </w:p>
    <w:p w14:paraId="77F0C378" w14:textId="77777777" w:rsidR="00B66913" w:rsidRDefault="00B66913" w:rsidP="00C32FD6">
      <w:pPr>
        <w:pStyle w:val="15"/>
        <w:spacing w:before="0" w:after="0"/>
        <w:ind w:left="567" w:hanging="567"/>
      </w:pPr>
    </w:p>
    <w:p w14:paraId="6A87BC3E" w14:textId="77777777" w:rsidR="008843C5" w:rsidRDefault="008843C5" w:rsidP="00C32FD6">
      <w:pPr>
        <w:pStyle w:val="15"/>
        <w:spacing w:before="0" w:after="0"/>
        <w:ind w:left="567" w:hanging="567"/>
      </w:pPr>
      <w:r w:rsidRPr="00A31C89">
        <w:t>D.</w:t>
      </w:r>
      <w:r w:rsidRPr="00A31C89">
        <w:tab/>
        <w:t>WARUNKI I OGRANICZENIA DOTYCZĄCE BEZPIECZNEGO I SKUTECZNEGO STOSOWANIA PRODUKTU LECZNICZEGO</w:t>
      </w:r>
    </w:p>
    <w:p w14:paraId="744D74DB" w14:textId="77777777" w:rsidR="00B66913" w:rsidRPr="00A31C89" w:rsidRDefault="00B66913" w:rsidP="00C32FD6">
      <w:pPr>
        <w:pStyle w:val="15"/>
        <w:spacing w:before="0" w:after="0"/>
        <w:ind w:left="567" w:hanging="567"/>
      </w:pPr>
    </w:p>
    <w:p w14:paraId="5A88E9B2" w14:textId="77777777" w:rsidR="008843C5" w:rsidRPr="00C32FD6" w:rsidRDefault="008843C5" w:rsidP="00C32FD6">
      <w:pPr>
        <w:numPr>
          <w:ilvl w:val="0"/>
          <w:numId w:val="62"/>
        </w:numPr>
        <w:autoSpaceDE w:val="0"/>
        <w:autoSpaceDN w:val="0"/>
        <w:adjustRightInd w:val="0"/>
        <w:spacing w:afterAutospacing="1" w:line="280" w:lineRule="atLeast"/>
        <w:ind w:left="567" w:right="120" w:hanging="567"/>
        <w:rPr>
          <w:b/>
          <w:bCs/>
          <w:color w:val="000000"/>
          <w:sz w:val="22"/>
        </w:rPr>
      </w:pPr>
      <w:r w:rsidRPr="00C32FD6">
        <w:rPr>
          <w:b/>
          <w:bCs/>
          <w:color w:val="000000"/>
          <w:sz w:val="22"/>
        </w:rPr>
        <w:t>Plan zarządzania ryzykiem (ang. Risk Management Plan, RMP)</w:t>
      </w:r>
    </w:p>
    <w:p w14:paraId="517A407B" w14:textId="77777777" w:rsidR="00B66913" w:rsidRDefault="00B66913" w:rsidP="00A31C89">
      <w:pPr>
        <w:ind w:right="-142"/>
        <w:rPr>
          <w:noProof/>
          <w:sz w:val="22"/>
        </w:rPr>
      </w:pPr>
    </w:p>
    <w:p w14:paraId="5A08A153" w14:textId="77777777" w:rsidR="00A83A3D" w:rsidRPr="00A31C89" w:rsidRDefault="00A83A3D" w:rsidP="00A31C89">
      <w:pPr>
        <w:ind w:right="-142"/>
        <w:rPr>
          <w:sz w:val="22"/>
        </w:rPr>
      </w:pPr>
      <w:r w:rsidRPr="00A31C89">
        <w:rPr>
          <w:noProof/>
          <w:sz w:val="22"/>
        </w:rPr>
        <w:t xml:space="preserve">Podmiot odpowiedzialny podejmie wymagane działania i interwencje </w:t>
      </w:r>
      <w:r w:rsidRPr="00A31C89">
        <w:rPr>
          <w:sz w:val="22"/>
        </w:rPr>
        <w:t xml:space="preserve">z zakresu nadzoru nad bezpieczeństwem farmakoterapii </w:t>
      </w:r>
      <w:r w:rsidRPr="00A31C89">
        <w:rPr>
          <w:noProof/>
          <w:sz w:val="22"/>
        </w:rPr>
        <w:t>wyszczególnione w RMP, przedstawionym w module 1.8.2 dokumentacji do pozwolenia na dopuszczenie do obrotu, i wszelkich jego kolejnych aktualizacjach.</w:t>
      </w:r>
    </w:p>
    <w:p w14:paraId="1821C38C" w14:textId="77777777" w:rsidR="00A83A3D" w:rsidRPr="00A31C89" w:rsidRDefault="00A83A3D" w:rsidP="00A31C89">
      <w:pPr>
        <w:ind w:right="-1"/>
        <w:rPr>
          <w:sz w:val="22"/>
        </w:rPr>
      </w:pPr>
    </w:p>
    <w:p w14:paraId="625795E4" w14:textId="77777777" w:rsidR="00A83A3D" w:rsidRPr="00A31C89" w:rsidRDefault="00A83A3D" w:rsidP="00A31C89">
      <w:pPr>
        <w:ind w:right="-1"/>
        <w:rPr>
          <w:sz w:val="22"/>
        </w:rPr>
      </w:pPr>
      <w:r w:rsidRPr="00A31C89">
        <w:rPr>
          <w:noProof/>
          <w:sz w:val="22"/>
        </w:rPr>
        <w:t>U</w:t>
      </w:r>
      <w:r w:rsidRPr="00A31C89">
        <w:rPr>
          <w:sz w:val="22"/>
        </w:rPr>
        <w:t>aktualniony RMP należy przedstawiać:</w:t>
      </w:r>
    </w:p>
    <w:p w14:paraId="551E4955" w14:textId="77777777" w:rsidR="00A83A3D" w:rsidRPr="00A31C89" w:rsidRDefault="00A83A3D" w:rsidP="00A31C89">
      <w:pPr>
        <w:widowControl/>
        <w:numPr>
          <w:ilvl w:val="0"/>
          <w:numId w:val="76"/>
        </w:numPr>
        <w:tabs>
          <w:tab w:val="num" w:pos="540"/>
        </w:tabs>
        <w:ind w:left="540" w:right="-1" w:hanging="540"/>
        <w:rPr>
          <w:noProof/>
          <w:sz w:val="22"/>
        </w:rPr>
      </w:pPr>
      <w:r w:rsidRPr="00A31C89">
        <w:rPr>
          <w:noProof/>
          <w:sz w:val="22"/>
        </w:rPr>
        <w:t xml:space="preserve">na żądanie </w:t>
      </w:r>
      <w:r w:rsidRPr="00A31C89">
        <w:rPr>
          <w:sz w:val="22"/>
        </w:rPr>
        <w:t>Europejskiej Agencji Leków;</w:t>
      </w:r>
    </w:p>
    <w:p w14:paraId="05F0253D" w14:textId="77777777" w:rsidR="00A83A3D" w:rsidRPr="00A31C89" w:rsidRDefault="00A83A3D" w:rsidP="00A31C89">
      <w:pPr>
        <w:widowControl/>
        <w:numPr>
          <w:ilvl w:val="0"/>
          <w:numId w:val="76"/>
        </w:numPr>
        <w:tabs>
          <w:tab w:val="num" w:pos="540"/>
        </w:tabs>
        <w:ind w:left="540" w:right="-1" w:hanging="540"/>
        <w:rPr>
          <w:noProof/>
          <w:sz w:val="22"/>
        </w:rPr>
      </w:pPr>
      <w:r w:rsidRPr="00A31C89">
        <w:rPr>
          <w:noProof/>
          <w:sz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8D14317" w14:textId="77777777" w:rsidR="00A83A3D" w:rsidRPr="00A31C89" w:rsidRDefault="00A83A3D" w:rsidP="00A31C89">
      <w:pPr>
        <w:ind w:right="-1"/>
        <w:rPr>
          <w:iCs/>
          <w:noProof/>
          <w:sz w:val="22"/>
        </w:rPr>
      </w:pPr>
    </w:p>
    <w:p w14:paraId="3F07B075" w14:textId="77777777" w:rsidR="00A83A3D" w:rsidRPr="00A31C89" w:rsidRDefault="00A83A3D" w:rsidP="00A31C89">
      <w:pPr>
        <w:keepNext/>
        <w:numPr>
          <w:ilvl w:val="0"/>
          <w:numId w:val="77"/>
        </w:numPr>
        <w:autoSpaceDE w:val="0"/>
        <w:autoSpaceDN w:val="0"/>
        <w:adjustRightInd w:val="0"/>
        <w:ind w:hanging="720"/>
        <w:rPr>
          <w:b/>
          <w:bCs/>
          <w:sz w:val="22"/>
          <w:lang w:eastAsia="en-GB"/>
        </w:rPr>
      </w:pPr>
      <w:r w:rsidRPr="00A31C89">
        <w:rPr>
          <w:b/>
          <w:bCs/>
          <w:sz w:val="22"/>
          <w:lang w:eastAsia="en-GB"/>
        </w:rPr>
        <w:t>Dodatkowe działania w celu minimalizacji ryzyka</w:t>
      </w:r>
    </w:p>
    <w:p w14:paraId="25094FF2" w14:textId="77777777" w:rsidR="00A83A3D" w:rsidRPr="00A31C89" w:rsidRDefault="00A83A3D" w:rsidP="00A31C89">
      <w:pPr>
        <w:keepNext/>
        <w:autoSpaceDE w:val="0"/>
        <w:autoSpaceDN w:val="0"/>
        <w:adjustRightInd w:val="0"/>
        <w:rPr>
          <w:sz w:val="22"/>
          <w:lang w:eastAsia="en-GB"/>
        </w:rPr>
      </w:pPr>
    </w:p>
    <w:p w14:paraId="0C0BC0A0" w14:textId="77777777" w:rsidR="00A83A3D" w:rsidRPr="00A31C89" w:rsidRDefault="00A83A3D" w:rsidP="00A31C89">
      <w:pPr>
        <w:widowControl/>
        <w:tabs>
          <w:tab w:val="left" w:pos="0"/>
          <w:tab w:val="left" w:pos="720"/>
        </w:tabs>
        <w:autoSpaceDE w:val="0"/>
        <w:autoSpaceDN w:val="0"/>
        <w:rPr>
          <w:bCs/>
          <w:sz w:val="22"/>
          <w:lang w:eastAsia="en-US"/>
        </w:rPr>
      </w:pPr>
    </w:p>
    <w:p w14:paraId="39E96DC0" w14:textId="77777777" w:rsidR="00A83A3D" w:rsidRPr="00A31C89" w:rsidRDefault="00A83A3D" w:rsidP="00A31C89">
      <w:pPr>
        <w:widowControl/>
        <w:numPr>
          <w:ilvl w:val="0"/>
          <w:numId w:val="78"/>
        </w:numPr>
        <w:tabs>
          <w:tab w:val="left" w:pos="720"/>
        </w:tabs>
        <w:autoSpaceDE w:val="0"/>
        <w:autoSpaceDN w:val="0"/>
        <w:rPr>
          <w:bCs/>
          <w:sz w:val="22"/>
          <w:lang w:eastAsia="en-GB"/>
        </w:rPr>
      </w:pPr>
      <w:r w:rsidRPr="00A31C89">
        <w:rPr>
          <w:bCs/>
          <w:iCs/>
          <w:sz w:val="22"/>
          <w:lang w:eastAsia="en-US"/>
        </w:rPr>
        <w:t>Karta ostrzeżeń dla pacjenta dotycząca fototoksyczności i raka kolczystokomórkowego skóry:</w:t>
      </w:r>
    </w:p>
    <w:p w14:paraId="4B243E5C" w14:textId="0F7D01FD" w:rsidR="00A83A3D" w:rsidRPr="00A31C89" w:rsidRDefault="00A83A3D" w:rsidP="00A31C89">
      <w:pPr>
        <w:widowControl/>
        <w:numPr>
          <w:ilvl w:val="0"/>
          <w:numId w:val="81"/>
        </w:numPr>
        <w:autoSpaceDE w:val="0"/>
        <w:autoSpaceDN w:val="0"/>
        <w:rPr>
          <w:sz w:val="22"/>
          <w:lang w:eastAsia="en-US"/>
        </w:rPr>
      </w:pPr>
      <w:r w:rsidRPr="00A31C89">
        <w:rPr>
          <w:sz w:val="22"/>
          <w:lang w:eastAsia="en-US"/>
        </w:rPr>
        <w:t xml:space="preserve">Przypomina pacjentom o ryzyku wystąpienia fototoksyczności i </w:t>
      </w:r>
      <w:r w:rsidRPr="00A31C89">
        <w:rPr>
          <w:iCs/>
          <w:sz w:val="22"/>
          <w:lang w:eastAsia="en-US"/>
        </w:rPr>
        <w:t>raka kolczystokomórkowego skóry</w:t>
      </w:r>
      <w:r w:rsidR="003A3EE1">
        <w:rPr>
          <w:iCs/>
          <w:sz w:val="22"/>
          <w:lang w:eastAsia="en-US"/>
        </w:rPr>
        <w:t xml:space="preserve"> podczas leczenia worykonazolem</w:t>
      </w:r>
      <w:r w:rsidRPr="00A31C89">
        <w:rPr>
          <w:sz w:val="22"/>
          <w:lang w:eastAsia="en-US"/>
        </w:rPr>
        <w:t>.</w:t>
      </w:r>
    </w:p>
    <w:p w14:paraId="48792092" w14:textId="77777777" w:rsidR="00A83A3D" w:rsidRPr="00A31C89" w:rsidRDefault="00A83A3D" w:rsidP="00A31C89">
      <w:pPr>
        <w:widowControl/>
        <w:numPr>
          <w:ilvl w:val="0"/>
          <w:numId w:val="81"/>
        </w:numPr>
        <w:autoSpaceDE w:val="0"/>
        <w:autoSpaceDN w:val="0"/>
        <w:rPr>
          <w:sz w:val="22"/>
          <w:lang w:eastAsia="en-US"/>
        </w:rPr>
      </w:pPr>
      <w:r w:rsidRPr="00A31C89">
        <w:rPr>
          <w:sz w:val="22"/>
          <w:lang w:eastAsia="en-US"/>
        </w:rPr>
        <w:t xml:space="preserve">Przypomina pacjentom o tym, kiedy i w jaki sposób zgłaszać istotne objawy przedmiotowe i podmiotowe fototoksyczności i </w:t>
      </w:r>
      <w:r w:rsidRPr="00A31C89">
        <w:rPr>
          <w:iCs/>
          <w:sz w:val="22"/>
          <w:lang w:eastAsia="en-US"/>
        </w:rPr>
        <w:t>raka skóry</w:t>
      </w:r>
      <w:r w:rsidRPr="00A31C89">
        <w:rPr>
          <w:sz w:val="22"/>
          <w:lang w:eastAsia="en-US"/>
        </w:rPr>
        <w:t>.</w:t>
      </w:r>
    </w:p>
    <w:p w14:paraId="69E35003" w14:textId="663E9001" w:rsidR="008843C5" w:rsidRPr="00A31C89" w:rsidRDefault="00A83A3D" w:rsidP="00C32FD6">
      <w:pPr>
        <w:tabs>
          <w:tab w:val="left" w:pos="709"/>
        </w:tabs>
        <w:autoSpaceDE w:val="0"/>
        <w:autoSpaceDN w:val="0"/>
        <w:adjustRightInd w:val="0"/>
        <w:spacing w:line="280" w:lineRule="atLeast"/>
        <w:ind w:left="1134" w:hanging="850"/>
        <w:rPr>
          <w:color w:val="000000"/>
          <w:sz w:val="22"/>
        </w:rPr>
      </w:pPr>
      <w:r w:rsidRPr="00C32FD6">
        <w:rPr>
          <w:sz w:val="22"/>
        </w:rPr>
        <w:tab/>
        <w:t xml:space="preserve">-     Przypomina pacjentom o podejmowaniu działań w celu zminimalizowania ryzyka wystąpienia reakcji skórnych i </w:t>
      </w:r>
      <w:r w:rsidRPr="00C32FD6">
        <w:rPr>
          <w:iCs/>
          <w:sz w:val="22"/>
        </w:rPr>
        <w:t xml:space="preserve">raka kolczystokomórkowego skóry </w:t>
      </w:r>
      <w:r w:rsidRPr="00C32FD6">
        <w:rPr>
          <w:sz w:val="22"/>
        </w:rPr>
        <w:t>(poprzez unikanie ekspozycji na światło słoneczne</w:t>
      </w:r>
      <w:r w:rsidR="003A3EE1">
        <w:rPr>
          <w:sz w:val="22"/>
        </w:rPr>
        <w:t xml:space="preserve">, </w:t>
      </w:r>
      <w:r w:rsidR="003A3EE1" w:rsidRPr="003A3EE1">
        <w:rPr>
          <w:sz w:val="22"/>
        </w:rPr>
        <w:t>stosowanie preparatów z filtrem przeciwsłonecznym</w:t>
      </w:r>
      <w:r w:rsidRPr="00C32FD6">
        <w:rPr>
          <w:sz w:val="22"/>
        </w:rPr>
        <w:t xml:space="preserve"> oraz noszenie odzieży chroniącej przed </w:t>
      </w:r>
      <w:r w:rsidR="003A3EE1">
        <w:rPr>
          <w:sz w:val="22"/>
        </w:rPr>
        <w:t>słońcem) podczas leczenia worykonazolem</w:t>
      </w:r>
      <w:r w:rsidRPr="00C32FD6">
        <w:rPr>
          <w:sz w:val="22"/>
        </w:rPr>
        <w:t xml:space="preserve"> oraz o informowaniu </w:t>
      </w:r>
      <w:r w:rsidR="003A3EE1">
        <w:rPr>
          <w:iCs/>
          <w:sz w:val="22"/>
        </w:rPr>
        <w:t>fachowego personelu medycznego</w:t>
      </w:r>
      <w:r w:rsidRPr="00C32FD6">
        <w:rPr>
          <w:iCs/>
          <w:sz w:val="22"/>
        </w:rPr>
        <w:t xml:space="preserve"> o wystąpieniu </w:t>
      </w:r>
      <w:r w:rsidR="003A3EE1">
        <w:rPr>
          <w:sz w:val="22"/>
        </w:rPr>
        <w:t>odnośnych</w:t>
      </w:r>
      <w:r w:rsidRPr="00C32FD6">
        <w:rPr>
          <w:sz w:val="22"/>
        </w:rPr>
        <w:t xml:space="preserve"> zmian skórnych.</w:t>
      </w:r>
    </w:p>
    <w:p w14:paraId="50816E29" w14:textId="77777777" w:rsidR="00575F5E" w:rsidRPr="005138D5" w:rsidRDefault="00575F5E" w:rsidP="00277FE6">
      <w:pPr>
        <w:jc w:val="center"/>
        <w:rPr>
          <w:b/>
          <w:bCs/>
          <w:sz w:val="22"/>
        </w:rPr>
      </w:pPr>
      <w:r w:rsidRPr="005138D5">
        <w:rPr>
          <w:b/>
          <w:bCs/>
          <w:sz w:val="22"/>
        </w:rPr>
        <w:br w:type="page"/>
      </w:r>
    </w:p>
    <w:p w14:paraId="106C0A64" w14:textId="77777777" w:rsidR="00575F5E" w:rsidRPr="005138D5" w:rsidRDefault="00575F5E" w:rsidP="00277FE6">
      <w:pPr>
        <w:jc w:val="center"/>
        <w:rPr>
          <w:b/>
          <w:bCs/>
          <w:sz w:val="22"/>
        </w:rPr>
      </w:pPr>
    </w:p>
    <w:p w14:paraId="1BD75C99" w14:textId="77777777" w:rsidR="00575F5E" w:rsidRPr="005138D5" w:rsidRDefault="00575F5E" w:rsidP="00277FE6">
      <w:pPr>
        <w:jc w:val="center"/>
        <w:rPr>
          <w:b/>
          <w:bCs/>
          <w:sz w:val="22"/>
        </w:rPr>
      </w:pPr>
    </w:p>
    <w:p w14:paraId="30080AE3" w14:textId="77777777" w:rsidR="00575F5E" w:rsidRPr="005138D5" w:rsidRDefault="00575F5E" w:rsidP="00277FE6">
      <w:pPr>
        <w:jc w:val="center"/>
        <w:rPr>
          <w:b/>
          <w:bCs/>
          <w:sz w:val="22"/>
        </w:rPr>
      </w:pPr>
    </w:p>
    <w:p w14:paraId="3F966DDF" w14:textId="77777777" w:rsidR="00575F5E" w:rsidRPr="005138D5" w:rsidRDefault="00575F5E" w:rsidP="00277FE6">
      <w:pPr>
        <w:jc w:val="center"/>
        <w:rPr>
          <w:b/>
          <w:bCs/>
          <w:sz w:val="22"/>
        </w:rPr>
      </w:pPr>
    </w:p>
    <w:p w14:paraId="0901E1D3" w14:textId="77777777" w:rsidR="00575F5E" w:rsidRPr="005138D5" w:rsidRDefault="00575F5E" w:rsidP="00277FE6">
      <w:pPr>
        <w:jc w:val="center"/>
        <w:rPr>
          <w:b/>
          <w:bCs/>
          <w:sz w:val="22"/>
        </w:rPr>
      </w:pPr>
    </w:p>
    <w:p w14:paraId="28411F04" w14:textId="77777777" w:rsidR="00575F5E" w:rsidRPr="005138D5" w:rsidRDefault="00575F5E" w:rsidP="00277FE6">
      <w:pPr>
        <w:jc w:val="center"/>
        <w:rPr>
          <w:b/>
          <w:bCs/>
          <w:sz w:val="22"/>
        </w:rPr>
      </w:pPr>
    </w:p>
    <w:p w14:paraId="654F9B3E" w14:textId="77777777" w:rsidR="00575F5E" w:rsidRPr="005138D5" w:rsidRDefault="00575F5E" w:rsidP="00277FE6">
      <w:pPr>
        <w:jc w:val="center"/>
        <w:rPr>
          <w:b/>
          <w:bCs/>
          <w:sz w:val="22"/>
        </w:rPr>
      </w:pPr>
    </w:p>
    <w:p w14:paraId="3A037B9B" w14:textId="77777777" w:rsidR="00575F5E" w:rsidRPr="005138D5" w:rsidRDefault="00575F5E" w:rsidP="00277FE6">
      <w:pPr>
        <w:jc w:val="center"/>
        <w:rPr>
          <w:b/>
          <w:bCs/>
          <w:sz w:val="22"/>
        </w:rPr>
      </w:pPr>
    </w:p>
    <w:p w14:paraId="32A9BA3B" w14:textId="77777777" w:rsidR="00575F5E" w:rsidRPr="005138D5" w:rsidRDefault="00575F5E" w:rsidP="00277FE6">
      <w:pPr>
        <w:jc w:val="center"/>
        <w:rPr>
          <w:b/>
          <w:bCs/>
          <w:sz w:val="22"/>
        </w:rPr>
      </w:pPr>
    </w:p>
    <w:p w14:paraId="345A49DE" w14:textId="77777777" w:rsidR="00575F5E" w:rsidRPr="005138D5" w:rsidRDefault="00575F5E" w:rsidP="00277FE6">
      <w:pPr>
        <w:jc w:val="center"/>
        <w:rPr>
          <w:b/>
          <w:bCs/>
          <w:sz w:val="22"/>
        </w:rPr>
      </w:pPr>
    </w:p>
    <w:p w14:paraId="06D09ABA" w14:textId="77777777" w:rsidR="00575F5E" w:rsidRPr="005138D5" w:rsidRDefault="00575F5E" w:rsidP="00277FE6">
      <w:pPr>
        <w:jc w:val="center"/>
        <w:rPr>
          <w:b/>
          <w:bCs/>
          <w:sz w:val="22"/>
        </w:rPr>
      </w:pPr>
    </w:p>
    <w:p w14:paraId="0BCC7337" w14:textId="77777777" w:rsidR="00575F5E" w:rsidRPr="005138D5" w:rsidRDefault="00575F5E" w:rsidP="00277FE6">
      <w:pPr>
        <w:jc w:val="center"/>
        <w:rPr>
          <w:b/>
          <w:bCs/>
          <w:sz w:val="22"/>
        </w:rPr>
      </w:pPr>
    </w:p>
    <w:p w14:paraId="3D6CCDD0" w14:textId="77777777" w:rsidR="00575F5E" w:rsidRPr="005138D5" w:rsidRDefault="00575F5E" w:rsidP="00277FE6">
      <w:pPr>
        <w:jc w:val="center"/>
        <w:rPr>
          <w:b/>
          <w:bCs/>
          <w:sz w:val="22"/>
        </w:rPr>
      </w:pPr>
    </w:p>
    <w:p w14:paraId="12206D52" w14:textId="77777777" w:rsidR="00575F5E" w:rsidRPr="005138D5" w:rsidRDefault="00575F5E" w:rsidP="00277FE6">
      <w:pPr>
        <w:jc w:val="center"/>
        <w:rPr>
          <w:b/>
          <w:bCs/>
          <w:sz w:val="22"/>
        </w:rPr>
      </w:pPr>
    </w:p>
    <w:p w14:paraId="010EA495" w14:textId="77777777" w:rsidR="00575F5E" w:rsidRPr="005138D5" w:rsidRDefault="00575F5E" w:rsidP="00277FE6">
      <w:pPr>
        <w:jc w:val="center"/>
        <w:rPr>
          <w:b/>
          <w:bCs/>
          <w:sz w:val="22"/>
        </w:rPr>
      </w:pPr>
    </w:p>
    <w:p w14:paraId="29CC87AD" w14:textId="77777777" w:rsidR="00575F5E" w:rsidRPr="005138D5" w:rsidRDefault="00575F5E" w:rsidP="00277FE6">
      <w:pPr>
        <w:jc w:val="center"/>
        <w:rPr>
          <w:b/>
          <w:bCs/>
          <w:sz w:val="22"/>
        </w:rPr>
      </w:pPr>
    </w:p>
    <w:p w14:paraId="267DBD62" w14:textId="77777777" w:rsidR="00575F5E" w:rsidRPr="005138D5" w:rsidRDefault="00575F5E" w:rsidP="00277FE6">
      <w:pPr>
        <w:jc w:val="center"/>
        <w:rPr>
          <w:b/>
          <w:bCs/>
          <w:sz w:val="22"/>
        </w:rPr>
      </w:pPr>
    </w:p>
    <w:p w14:paraId="40D72D29" w14:textId="77777777" w:rsidR="00575F5E" w:rsidRPr="005138D5" w:rsidRDefault="00575F5E" w:rsidP="00277FE6">
      <w:pPr>
        <w:jc w:val="center"/>
        <w:rPr>
          <w:b/>
          <w:bCs/>
          <w:sz w:val="22"/>
        </w:rPr>
      </w:pPr>
    </w:p>
    <w:p w14:paraId="19EC43D8" w14:textId="77777777" w:rsidR="006C67A2" w:rsidRPr="005138D5" w:rsidRDefault="006C67A2" w:rsidP="00277FE6">
      <w:pPr>
        <w:jc w:val="center"/>
        <w:rPr>
          <w:b/>
          <w:bCs/>
          <w:sz w:val="22"/>
        </w:rPr>
      </w:pPr>
    </w:p>
    <w:p w14:paraId="17F36B45" w14:textId="77777777" w:rsidR="006C67A2" w:rsidRPr="005138D5" w:rsidRDefault="006C67A2" w:rsidP="00277FE6">
      <w:pPr>
        <w:jc w:val="center"/>
        <w:rPr>
          <w:b/>
          <w:bCs/>
          <w:sz w:val="22"/>
        </w:rPr>
      </w:pPr>
    </w:p>
    <w:p w14:paraId="7066F993" w14:textId="77777777" w:rsidR="006C67A2" w:rsidRPr="005138D5" w:rsidRDefault="006C67A2" w:rsidP="00277FE6">
      <w:pPr>
        <w:jc w:val="center"/>
        <w:rPr>
          <w:b/>
          <w:bCs/>
          <w:sz w:val="22"/>
        </w:rPr>
      </w:pPr>
    </w:p>
    <w:p w14:paraId="39816F7E" w14:textId="77777777" w:rsidR="00575F5E" w:rsidRPr="005138D5" w:rsidRDefault="00575F5E" w:rsidP="00277FE6">
      <w:pPr>
        <w:jc w:val="center"/>
        <w:rPr>
          <w:b/>
          <w:sz w:val="22"/>
        </w:rPr>
      </w:pPr>
    </w:p>
    <w:p w14:paraId="359F0E9D" w14:textId="77777777" w:rsidR="00575F5E" w:rsidRPr="005138D5" w:rsidRDefault="00575F5E" w:rsidP="00FD76B3">
      <w:pPr>
        <w:jc w:val="center"/>
        <w:rPr>
          <w:b/>
          <w:sz w:val="22"/>
        </w:rPr>
      </w:pPr>
      <w:r w:rsidRPr="005138D5">
        <w:rPr>
          <w:b/>
          <w:sz w:val="22"/>
        </w:rPr>
        <w:t>ANEKS III</w:t>
      </w:r>
    </w:p>
    <w:p w14:paraId="32006EB5" w14:textId="77777777" w:rsidR="00575F5E" w:rsidRPr="005138D5" w:rsidRDefault="00575F5E" w:rsidP="00FD76B3">
      <w:pPr>
        <w:jc w:val="center"/>
        <w:rPr>
          <w:b/>
          <w:sz w:val="22"/>
        </w:rPr>
      </w:pPr>
    </w:p>
    <w:p w14:paraId="55A3EF24" w14:textId="77777777" w:rsidR="00575F5E" w:rsidRPr="005138D5" w:rsidRDefault="00575F5E" w:rsidP="00FD76B3">
      <w:pPr>
        <w:jc w:val="center"/>
        <w:rPr>
          <w:b/>
          <w:sz w:val="22"/>
        </w:rPr>
      </w:pPr>
      <w:r w:rsidRPr="005138D5">
        <w:rPr>
          <w:b/>
          <w:sz w:val="22"/>
        </w:rPr>
        <w:t>OZNAKOWANIE OPAKOWAŃ I ULOTKA DLA PACJENTA</w:t>
      </w:r>
    </w:p>
    <w:p w14:paraId="0D1A2CAC" w14:textId="77777777" w:rsidR="00575F5E" w:rsidRPr="005138D5" w:rsidRDefault="00575F5E" w:rsidP="00277FE6">
      <w:pPr>
        <w:jc w:val="center"/>
        <w:rPr>
          <w:b/>
          <w:bCs/>
          <w:sz w:val="22"/>
        </w:rPr>
      </w:pPr>
    </w:p>
    <w:p w14:paraId="403067E0" w14:textId="77777777" w:rsidR="00575F5E" w:rsidRPr="005138D5" w:rsidRDefault="00575F5E" w:rsidP="00277FE6">
      <w:pPr>
        <w:jc w:val="center"/>
        <w:rPr>
          <w:b/>
          <w:bCs/>
          <w:sz w:val="22"/>
        </w:rPr>
      </w:pPr>
    </w:p>
    <w:p w14:paraId="1C0DC85B" w14:textId="77777777" w:rsidR="00575F5E" w:rsidRPr="005138D5" w:rsidRDefault="00575F5E" w:rsidP="00277FE6">
      <w:pPr>
        <w:jc w:val="center"/>
        <w:rPr>
          <w:b/>
          <w:bCs/>
          <w:sz w:val="22"/>
        </w:rPr>
      </w:pPr>
    </w:p>
    <w:p w14:paraId="57CC0594" w14:textId="77777777" w:rsidR="00575F5E" w:rsidRPr="005138D5" w:rsidRDefault="00575F5E" w:rsidP="00277FE6">
      <w:pPr>
        <w:jc w:val="center"/>
        <w:rPr>
          <w:b/>
          <w:bCs/>
          <w:sz w:val="22"/>
        </w:rPr>
      </w:pPr>
    </w:p>
    <w:p w14:paraId="48FED349" w14:textId="77777777" w:rsidR="00575F5E" w:rsidRPr="005138D5" w:rsidRDefault="00575F5E" w:rsidP="00277FE6">
      <w:pPr>
        <w:jc w:val="center"/>
        <w:rPr>
          <w:b/>
          <w:bCs/>
          <w:sz w:val="22"/>
        </w:rPr>
      </w:pPr>
    </w:p>
    <w:p w14:paraId="72FC6D29" w14:textId="77777777" w:rsidR="00575F5E" w:rsidRPr="005138D5" w:rsidRDefault="00575F5E" w:rsidP="00277FE6">
      <w:pPr>
        <w:jc w:val="center"/>
        <w:rPr>
          <w:b/>
          <w:bCs/>
          <w:sz w:val="22"/>
        </w:rPr>
      </w:pPr>
    </w:p>
    <w:p w14:paraId="58F4AF56" w14:textId="77777777" w:rsidR="00575F5E" w:rsidRPr="005138D5" w:rsidRDefault="00575F5E" w:rsidP="00277FE6">
      <w:pPr>
        <w:jc w:val="center"/>
        <w:rPr>
          <w:b/>
          <w:bCs/>
          <w:sz w:val="22"/>
        </w:rPr>
      </w:pPr>
    </w:p>
    <w:p w14:paraId="3DF75062" w14:textId="77777777" w:rsidR="00575F5E" w:rsidRPr="005138D5" w:rsidRDefault="00575F5E" w:rsidP="00277FE6">
      <w:pPr>
        <w:jc w:val="center"/>
        <w:rPr>
          <w:b/>
          <w:bCs/>
          <w:sz w:val="22"/>
        </w:rPr>
      </w:pPr>
    </w:p>
    <w:p w14:paraId="53D386C8" w14:textId="77777777" w:rsidR="00575F5E" w:rsidRPr="005138D5" w:rsidRDefault="00575F5E" w:rsidP="00277FE6">
      <w:pPr>
        <w:jc w:val="center"/>
        <w:rPr>
          <w:b/>
          <w:bCs/>
          <w:sz w:val="22"/>
        </w:rPr>
      </w:pPr>
    </w:p>
    <w:p w14:paraId="74E695EC" w14:textId="77777777" w:rsidR="00575F5E" w:rsidRPr="005138D5" w:rsidRDefault="00575F5E" w:rsidP="00277FE6">
      <w:pPr>
        <w:jc w:val="center"/>
        <w:rPr>
          <w:b/>
          <w:bCs/>
          <w:sz w:val="22"/>
        </w:rPr>
      </w:pPr>
    </w:p>
    <w:p w14:paraId="4D1274D2" w14:textId="77777777" w:rsidR="00575F5E" w:rsidRPr="005138D5" w:rsidRDefault="00575F5E" w:rsidP="00277FE6">
      <w:pPr>
        <w:jc w:val="center"/>
        <w:rPr>
          <w:b/>
          <w:bCs/>
          <w:sz w:val="22"/>
        </w:rPr>
      </w:pPr>
    </w:p>
    <w:p w14:paraId="58188051" w14:textId="77777777" w:rsidR="00575F5E" w:rsidRPr="005138D5" w:rsidRDefault="00575F5E" w:rsidP="00277FE6">
      <w:pPr>
        <w:jc w:val="center"/>
        <w:rPr>
          <w:b/>
          <w:bCs/>
          <w:sz w:val="22"/>
        </w:rPr>
      </w:pPr>
    </w:p>
    <w:p w14:paraId="3EFF9012" w14:textId="77777777" w:rsidR="00575F5E" w:rsidRPr="005138D5" w:rsidRDefault="00575F5E" w:rsidP="00277FE6">
      <w:pPr>
        <w:jc w:val="center"/>
        <w:rPr>
          <w:b/>
          <w:bCs/>
          <w:sz w:val="22"/>
        </w:rPr>
      </w:pPr>
    </w:p>
    <w:p w14:paraId="6D46EAE9" w14:textId="77777777" w:rsidR="00575F5E" w:rsidRPr="005138D5" w:rsidRDefault="00575F5E" w:rsidP="00277FE6">
      <w:pPr>
        <w:jc w:val="center"/>
        <w:rPr>
          <w:b/>
          <w:bCs/>
          <w:sz w:val="22"/>
        </w:rPr>
      </w:pPr>
    </w:p>
    <w:p w14:paraId="54AEEDD2" w14:textId="77777777" w:rsidR="00575F5E" w:rsidRPr="005138D5" w:rsidRDefault="00575F5E" w:rsidP="00277FE6">
      <w:pPr>
        <w:jc w:val="center"/>
        <w:rPr>
          <w:b/>
          <w:bCs/>
          <w:sz w:val="22"/>
        </w:rPr>
      </w:pPr>
    </w:p>
    <w:p w14:paraId="55E670D2" w14:textId="77777777" w:rsidR="00575F5E" w:rsidRPr="005138D5" w:rsidRDefault="00575F5E" w:rsidP="00277FE6">
      <w:pPr>
        <w:jc w:val="center"/>
        <w:rPr>
          <w:b/>
          <w:sz w:val="22"/>
        </w:rPr>
      </w:pPr>
    </w:p>
    <w:p w14:paraId="048318D6" w14:textId="77777777" w:rsidR="00575F5E" w:rsidRPr="005138D5" w:rsidRDefault="00575F5E" w:rsidP="00277FE6">
      <w:pPr>
        <w:jc w:val="center"/>
        <w:rPr>
          <w:b/>
          <w:sz w:val="22"/>
        </w:rPr>
      </w:pPr>
    </w:p>
    <w:p w14:paraId="345C767A" w14:textId="77777777" w:rsidR="00575F5E" w:rsidRPr="005138D5" w:rsidRDefault="00575F5E" w:rsidP="00277FE6">
      <w:pPr>
        <w:jc w:val="center"/>
        <w:rPr>
          <w:b/>
          <w:sz w:val="22"/>
        </w:rPr>
      </w:pPr>
    </w:p>
    <w:p w14:paraId="5A39EAA7" w14:textId="77777777" w:rsidR="00575F5E" w:rsidRPr="005138D5" w:rsidRDefault="00575F5E" w:rsidP="00277FE6">
      <w:pPr>
        <w:jc w:val="center"/>
        <w:rPr>
          <w:b/>
          <w:sz w:val="22"/>
        </w:rPr>
      </w:pPr>
    </w:p>
    <w:p w14:paraId="7AEBFBAE" w14:textId="77777777" w:rsidR="00575F5E" w:rsidRPr="005138D5" w:rsidRDefault="00575F5E" w:rsidP="00277FE6">
      <w:pPr>
        <w:jc w:val="center"/>
        <w:rPr>
          <w:b/>
          <w:sz w:val="22"/>
        </w:rPr>
      </w:pPr>
    </w:p>
    <w:p w14:paraId="4A233B72" w14:textId="77777777" w:rsidR="00575F5E" w:rsidRPr="005138D5" w:rsidRDefault="00575F5E" w:rsidP="00277FE6">
      <w:pPr>
        <w:jc w:val="center"/>
        <w:rPr>
          <w:b/>
          <w:sz w:val="22"/>
        </w:rPr>
      </w:pPr>
    </w:p>
    <w:p w14:paraId="44AC5A5B" w14:textId="77777777" w:rsidR="00575F5E" w:rsidRPr="005138D5" w:rsidRDefault="00575F5E" w:rsidP="00277FE6">
      <w:pPr>
        <w:jc w:val="center"/>
        <w:rPr>
          <w:b/>
          <w:sz w:val="22"/>
        </w:rPr>
      </w:pPr>
    </w:p>
    <w:p w14:paraId="23133C03" w14:textId="77777777" w:rsidR="00DF39CB" w:rsidRPr="005138D5" w:rsidRDefault="00575F5E" w:rsidP="00DF39CB">
      <w:pPr>
        <w:jc w:val="center"/>
        <w:rPr>
          <w:b/>
          <w:bCs/>
          <w:sz w:val="22"/>
        </w:rPr>
      </w:pPr>
      <w:r w:rsidRPr="005138D5">
        <w:rPr>
          <w:b/>
          <w:sz w:val="22"/>
        </w:rPr>
        <w:br w:type="page"/>
      </w:r>
    </w:p>
    <w:p w14:paraId="33F20898" w14:textId="77777777" w:rsidR="00DF39CB" w:rsidRPr="005138D5" w:rsidRDefault="00DF39CB" w:rsidP="00DF39CB">
      <w:pPr>
        <w:jc w:val="center"/>
        <w:rPr>
          <w:b/>
          <w:bCs/>
          <w:sz w:val="22"/>
        </w:rPr>
      </w:pPr>
    </w:p>
    <w:p w14:paraId="67409053" w14:textId="77777777" w:rsidR="00DF39CB" w:rsidRPr="005138D5" w:rsidRDefault="00DF39CB" w:rsidP="00DF39CB">
      <w:pPr>
        <w:jc w:val="center"/>
        <w:rPr>
          <w:b/>
          <w:bCs/>
          <w:sz w:val="22"/>
        </w:rPr>
      </w:pPr>
    </w:p>
    <w:p w14:paraId="32EDA994" w14:textId="77777777" w:rsidR="00DF39CB" w:rsidRPr="005138D5" w:rsidRDefault="00DF39CB" w:rsidP="00DF39CB">
      <w:pPr>
        <w:jc w:val="center"/>
        <w:rPr>
          <w:b/>
          <w:bCs/>
          <w:sz w:val="22"/>
        </w:rPr>
      </w:pPr>
    </w:p>
    <w:p w14:paraId="628F5C0B" w14:textId="77777777" w:rsidR="00431A41" w:rsidRPr="005138D5" w:rsidRDefault="00431A41" w:rsidP="00DF39CB">
      <w:pPr>
        <w:jc w:val="center"/>
        <w:rPr>
          <w:b/>
          <w:bCs/>
          <w:sz w:val="22"/>
        </w:rPr>
      </w:pPr>
    </w:p>
    <w:p w14:paraId="30CB0490" w14:textId="77777777" w:rsidR="00DF39CB" w:rsidRPr="005138D5" w:rsidRDefault="00DF39CB" w:rsidP="00DF39CB">
      <w:pPr>
        <w:jc w:val="center"/>
        <w:rPr>
          <w:b/>
          <w:bCs/>
          <w:sz w:val="22"/>
        </w:rPr>
      </w:pPr>
    </w:p>
    <w:p w14:paraId="777AD7BC" w14:textId="77777777" w:rsidR="00DF39CB" w:rsidRPr="005138D5" w:rsidRDefault="00DF39CB" w:rsidP="00DF39CB">
      <w:pPr>
        <w:jc w:val="center"/>
        <w:rPr>
          <w:b/>
          <w:bCs/>
          <w:sz w:val="22"/>
        </w:rPr>
      </w:pPr>
    </w:p>
    <w:p w14:paraId="3EB335D1" w14:textId="77777777" w:rsidR="00DF39CB" w:rsidRPr="005138D5" w:rsidRDefault="00DF39CB" w:rsidP="00DF39CB">
      <w:pPr>
        <w:jc w:val="center"/>
        <w:rPr>
          <w:b/>
          <w:bCs/>
          <w:sz w:val="22"/>
        </w:rPr>
      </w:pPr>
    </w:p>
    <w:p w14:paraId="7C2469C4" w14:textId="77777777" w:rsidR="00DF39CB" w:rsidRPr="005138D5" w:rsidRDefault="00DF39CB" w:rsidP="00DF39CB">
      <w:pPr>
        <w:jc w:val="center"/>
        <w:rPr>
          <w:b/>
          <w:bCs/>
          <w:sz w:val="22"/>
        </w:rPr>
      </w:pPr>
    </w:p>
    <w:p w14:paraId="1BFA720D" w14:textId="77777777" w:rsidR="00DF39CB" w:rsidRPr="005138D5" w:rsidRDefault="00DF39CB" w:rsidP="00DF39CB">
      <w:pPr>
        <w:jc w:val="center"/>
        <w:rPr>
          <w:b/>
          <w:bCs/>
          <w:sz w:val="22"/>
        </w:rPr>
      </w:pPr>
    </w:p>
    <w:p w14:paraId="71F61B49" w14:textId="77777777" w:rsidR="00DF39CB" w:rsidRPr="005138D5" w:rsidRDefault="00DF39CB" w:rsidP="00DF39CB">
      <w:pPr>
        <w:jc w:val="center"/>
        <w:rPr>
          <w:b/>
          <w:bCs/>
          <w:sz w:val="22"/>
        </w:rPr>
      </w:pPr>
    </w:p>
    <w:p w14:paraId="0981B310" w14:textId="77777777" w:rsidR="00DF39CB" w:rsidRPr="005138D5" w:rsidRDefault="00DF39CB" w:rsidP="00DF39CB">
      <w:pPr>
        <w:jc w:val="center"/>
        <w:rPr>
          <w:b/>
          <w:bCs/>
          <w:sz w:val="22"/>
        </w:rPr>
      </w:pPr>
    </w:p>
    <w:p w14:paraId="4FBF23E2" w14:textId="77777777" w:rsidR="00DF39CB" w:rsidRPr="005138D5" w:rsidRDefault="00DF39CB" w:rsidP="00DF39CB">
      <w:pPr>
        <w:jc w:val="center"/>
        <w:rPr>
          <w:b/>
          <w:bCs/>
          <w:sz w:val="22"/>
        </w:rPr>
      </w:pPr>
    </w:p>
    <w:p w14:paraId="72D08258" w14:textId="77777777" w:rsidR="00DF39CB" w:rsidRPr="005138D5" w:rsidRDefault="00DF39CB" w:rsidP="00DF39CB">
      <w:pPr>
        <w:jc w:val="center"/>
        <w:rPr>
          <w:b/>
          <w:bCs/>
          <w:sz w:val="22"/>
        </w:rPr>
      </w:pPr>
    </w:p>
    <w:p w14:paraId="442563BA" w14:textId="77777777" w:rsidR="00DF39CB" w:rsidRPr="005138D5" w:rsidRDefault="00DF39CB" w:rsidP="00DF39CB">
      <w:pPr>
        <w:jc w:val="center"/>
        <w:rPr>
          <w:b/>
          <w:bCs/>
          <w:sz w:val="22"/>
        </w:rPr>
      </w:pPr>
    </w:p>
    <w:p w14:paraId="696FB6DA" w14:textId="77777777" w:rsidR="00DF39CB" w:rsidRPr="005138D5" w:rsidRDefault="00DF39CB" w:rsidP="00DF39CB">
      <w:pPr>
        <w:jc w:val="center"/>
        <w:rPr>
          <w:b/>
          <w:bCs/>
          <w:sz w:val="22"/>
        </w:rPr>
      </w:pPr>
    </w:p>
    <w:p w14:paraId="7DC6B2B1" w14:textId="77777777" w:rsidR="00DF39CB" w:rsidRPr="005138D5" w:rsidRDefault="00DF39CB" w:rsidP="00DF39CB">
      <w:pPr>
        <w:jc w:val="center"/>
        <w:rPr>
          <w:b/>
          <w:bCs/>
          <w:sz w:val="22"/>
        </w:rPr>
      </w:pPr>
    </w:p>
    <w:p w14:paraId="4AC226E9" w14:textId="77777777" w:rsidR="00DF39CB" w:rsidRPr="005138D5" w:rsidRDefault="00DF39CB" w:rsidP="00DF39CB">
      <w:pPr>
        <w:jc w:val="center"/>
        <w:rPr>
          <w:b/>
          <w:bCs/>
          <w:sz w:val="22"/>
        </w:rPr>
      </w:pPr>
    </w:p>
    <w:p w14:paraId="155BA72B" w14:textId="77777777" w:rsidR="00DF39CB" w:rsidRPr="005138D5" w:rsidRDefault="00DF39CB" w:rsidP="00DF39CB">
      <w:pPr>
        <w:jc w:val="center"/>
        <w:rPr>
          <w:b/>
          <w:bCs/>
          <w:sz w:val="22"/>
        </w:rPr>
      </w:pPr>
    </w:p>
    <w:p w14:paraId="7828CD06" w14:textId="77777777" w:rsidR="00DF39CB" w:rsidRPr="005138D5" w:rsidRDefault="00DF39CB" w:rsidP="00DF39CB">
      <w:pPr>
        <w:jc w:val="center"/>
        <w:rPr>
          <w:b/>
          <w:bCs/>
          <w:sz w:val="22"/>
        </w:rPr>
      </w:pPr>
    </w:p>
    <w:p w14:paraId="504E460E" w14:textId="77777777" w:rsidR="00DF39CB" w:rsidRPr="005138D5" w:rsidRDefault="00DF39CB" w:rsidP="00DF39CB">
      <w:pPr>
        <w:jc w:val="center"/>
        <w:rPr>
          <w:b/>
          <w:bCs/>
          <w:sz w:val="22"/>
        </w:rPr>
      </w:pPr>
    </w:p>
    <w:p w14:paraId="65E2700F" w14:textId="77777777" w:rsidR="00DF39CB" w:rsidRPr="005138D5" w:rsidRDefault="00DF39CB" w:rsidP="00DF39CB">
      <w:pPr>
        <w:jc w:val="center"/>
        <w:rPr>
          <w:b/>
          <w:bCs/>
          <w:sz w:val="22"/>
        </w:rPr>
      </w:pPr>
    </w:p>
    <w:p w14:paraId="3AF1DBA5" w14:textId="77777777" w:rsidR="00DF39CB" w:rsidRPr="005138D5" w:rsidRDefault="00DF39CB" w:rsidP="00DF39CB">
      <w:pPr>
        <w:jc w:val="center"/>
        <w:rPr>
          <w:b/>
          <w:bCs/>
          <w:sz w:val="22"/>
        </w:rPr>
      </w:pPr>
    </w:p>
    <w:p w14:paraId="6B842DDE" w14:textId="77777777" w:rsidR="00575F5E" w:rsidRPr="005138D5" w:rsidRDefault="00575F5E" w:rsidP="00454903">
      <w:pPr>
        <w:pStyle w:val="16"/>
      </w:pPr>
      <w:r w:rsidRPr="005138D5">
        <w:t>A. OZNAKOWANIE OPAKOWAŃ</w:t>
      </w:r>
    </w:p>
    <w:p w14:paraId="48E09130" w14:textId="77777777" w:rsidR="00575F5E" w:rsidRPr="005138D5" w:rsidRDefault="00575F5E" w:rsidP="00277FE6">
      <w:pPr>
        <w:jc w:val="center"/>
        <w:rPr>
          <w:b/>
          <w:bCs/>
          <w:sz w:val="22"/>
        </w:rPr>
      </w:pPr>
    </w:p>
    <w:p w14:paraId="6A2EBBDF" w14:textId="77777777" w:rsidR="007D1157"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br w:type="page"/>
        <w:t>INFORMACJE ZAMIESZCZANE NA OPAKOWANIACH ZEWNĘTRZNYCH</w:t>
      </w:r>
    </w:p>
    <w:p w14:paraId="1DEA4742"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p>
    <w:p w14:paraId="3FBC825F" w14:textId="77777777" w:rsidR="00575F5E" w:rsidRPr="005138D5" w:rsidRDefault="007D1157"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PUDEŁKO KARTONOWE </w:t>
      </w:r>
      <w:r w:rsidR="00575F5E" w:rsidRPr="005138D5">
        <w:rPr>
          <w:b/>
          <w:sz w:val="22"/>
        </w:rPr>
        <w:t>(</w:t>
      </w:r>
      <w:r w:rsidR="009E35F6" w:rsidRPr="005138D5">
        <w:rPr>
          <w:b/>
          <w:sz w:val="22"/>
        </w:rPr>
        <w:t xml:space="preserve">na </w:t>
      </w:r>
      <w:r w:rsidR="000F6BF1" w:rsidRPr="005138D5">
        <w:rPr>
          <w:b/>
          <w:sz w:val="22"/>
        </w:rPr>
        <w:t>o</w:t>
      </w:r>
      <w:r w:rsidRPr="005138D5">
        <w:rPr>
          <w:b/>
          <w:sz w:val="22"/>
        </w:rPr>
        <w:t>pakowani</w:t>
      </w:r>
      <w:r w:rsidR="00B62C46" w:rsidRPr="005138D5">
        <w:rPr>
          <w:b/>
          <w:sz w:val="22"/>
        </w:rPr>
        <w:t>a</w:t>
      </w:r>
      <w:r w:rsidRPr="005138D5">
        <w:rPr>
          <w:b/>
          <w:sz w:val="22"/>
        </w:rPr>
        <w:t xml:space="preserve"> </w:t>
      </w:r>
      <w:r w:rsidR="00575F5E" w:rsidRPr="005138D5">
        <w:rPr>
          <w:b/>
          <w:sz w:val="22"/>
        </w:rPr>
        <w:t>blistr</w:t>
      </w:r>
      <w:r w:rsidRPr="005138D5">
        <w:rPr>
          <w:b/>
          <w:sz w:val="22"/>
        </w:rPr>
        <w:t xml:space="preserve">owe </w:t>
      </w:r>
      <w:r w:rsidR="00575F5E" w:rsidRPr="005138D5">
        <w:rPr>
          <w:b/>
          <w:sz w:val="22"/>
        </w:rPr>
        <w:t>dla tabletek powlekanych 50</w:t>
      </w:r>
      <w:r w:rsidR="00086D10" w:rsidRPr="005138D5">
        <w:rPr>
          <w:b/>
          <w:sz w:val="22"/>
        </w:rPr>
        <w:t> mg</w:t>
      </w:r>
      <w:r w:rsidR="00575F5E" w:rsidRPr="005138D5">
        <w:rPr>
          <w:b/>
          <w:sz w:val="22"/>
        </w:rPr>
        <w:t xml:space="preserve"> –</w:t>
      </w:r>
      <w:r w:rsidRPr="005138D5">
        <w:rPr>
          <w:b/>
          <w:sz w:val="22"/>
        </w:rPr>
        <w:t xml:space="preserve"> opakowania zawierające po </w:t>
      </w:r>
      <w:r w:rsidR="00575F5E" w:rsidRPr="005138D5">
        <w:rPr>
          <w:b/>
          <w:sz w:val="22"/>
        </w:rPr>
        <w:t>2, 10, 14, 20, 28, 30, 50, 56, 100 tabletek</w:t>
      </w:r>
      <w:r w:rsidRPr="005138D5">
        <w:rPr>
          <w:b/>
          <w:sz w:val="22"/>
        </w:rPr>
        <w:t>)</w:t>
      </w:r>
    </w:p>
    <w:p w14:paraId="3DE256B8" w14:textId="77777777" w:rsidR="00575F5E" w:rsidRPr="005138D5" w:rsidRDefault="00575F5E" w:rsidP="00A41668">
      <w:pPr>
        <w:rPr>
          <w:b/>
          <w:sz w:val="22"/>
        </w:rPr>
      </w:pPr>
    </w:p>
    <w:p w14:paraId="2F25B360" w14:textId="77777777" w:rsidR="00575F5E" w:rsidRPr="005138D5" w:rsidRDefault="00575F5E" w:rsidP="00A41668">
      <w:pPr>
        <w:rPr>
          <w:b/>
          <w:i/>
          <w:sz w:val="22"/>
        </w:rPr>
      </w:pPr>
    </w:p>
    <w:p w14:paraId="545F3E3E"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 </w:t>
      </w:r>
      <w:r w:rsidRPr="005138D5">
        <w:rPr>
          <w:b/>
          <w:sz w:val="22"/>
        </w:rPr>
        <w:tab/>
        <w:t>NAZWA PRODUKTU LECZNICZEGO</w:t>
      </w:r>
    </w:p>
    <w:p w14:paraId="64E3BE97" w14:textId="77777777" w:rsidR="00575F5E" w:rsidRPr="005138D5" w:rsidRDefault="00575F5E" w:rsidP="00A41668">
      <w:pPr>
        <w:rPr>
          <w:sz w:val="22"/>
        </w:rPr>
      </w:pPr>
    </w:p>
    <w:p w14:paraId="1013A08B" w14:textId="77777777" w:rsidR="00575F5E" w:rsidRPr="005138D5" w:rsidRDefault="007D1157" w:rsidP="00A41668">
      <w:pPr>
        <w:rPr>
          <w:sz w:val="22"/>
        </w:rPr>
      </w:pPr>
      <w:r w:rsidRPr="005138D5">
        <w:rPr>
          <w:sz w:val="22"/>
        </w:rPr>
        <w:t>Voriconazole Accord</w:t>
      </w:r>
      <w:r w:rsidRPr="005138D5" w:rsidDel="007D1157">
        <w:rPr>
          <w:sz w:val="22"/>
        </w:rPr>
        <w:t xml:space="preserve"> </w:t>
      </w:r>
      <w:r w:rsidR="00575F5E" w:rsidRPr="005138D5">
        <w:rPr>
          <w:sz w:val="22"/>
        </w:rPr>
        <w:t>50</w:t>
      </w:r>
      <w:r w:rsidR="00086D10" w:rsidRPr="005138D5">
        <w:rPr>
          <w:sz w:val="22"/>
        </w:rPr>
        <w:t> mg</w:t>
      </w:r>
      <w:r w:rsidR="00575F5E" w:rsidRPr="005138D5">
        <w:rPr>
          <w:sz w:val="22"/>
        </w:rPr>
        <w:t xml:space="preserve"> tabletki powlekane</w:t>
      </w:r>
    </w:p>
    <w:p w14:paraId="5C02A75F" w14:textId="77777777" w:rsidR="00575F5E" w:rsidRPr="005138D5" w:rsidRDefault="00575F5E" w:rsidP="00A41668">
      <w:pPr>
        <w:rPr>
          <w:sz w:val="22"/>
        </w:rPr>
      </w:pPr>
      <w:r w:rsidRPr="005138D5">
        <w:rPr>
          <w:sz w:val="22"/>
        </w:rPr>
        <w:t>Worykonazol</w:t>
      </w:r>
    </w:p>
    <w:p w14:paraId="6CDBCE29" w14:textId="77777777" w:rsidR="00575F5E" w:rsidRPr="005138D5" w:rsidRDefault="00575F5E" w:rsidP="00A41668">
      <w:pPr>
        <w:rPr>
          <w:sz w:val="22"/>
        </w:rPr>
      </w:pPr>
    </w:p>
    <w:p w14:paraId="4780F541" w14:textId="77777777" w:rsidR="00575F5E" w:rsidRPr="005138D5" w:rsidRDefault="00575F5E" w:rsidP="00A41668">
      <w:pPr>
        <w:rPr>
          <w:sz w:val="22"/>
        </w:rPr>
      </w:pPr>
    </w:p>
    <w:p w14:paraId="394D89EB"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2. </w:t>
      </w:r>
      <w:r w:rsidRPr="005138D5">
        <w:rPr>
          <w:b/>
          <w:sz w:val="22"/>
        </w:rPr>
        <w:tab/>
        <w:t>ZAWARTOŚĆ SUBSTANCJI CZYNNEJ</w:t>
      </w:r>
      <w:r w:rsidR="007D1157" w:rsidRPr="005138D5">
        <w:rPr>
          <w:b/>
          <w:sz w:val="22"/>
        </w:rPr>
        <w:t>(YCH)</w:t>
      </w:r>
    </w:p>
    <w:p w14:paraId="6EB0C4E6" w14:textId="77777777" w:rsidR="00575F5E" w:rsidRPr="005138D5" w:rsidRDefault="00575F5E" w:rsidP="00A41668">
      <w:pPr>
        <w:rPr>
          <w:iCs/>
          <w:sz w:val="22"/>
        </w:rPr>
      </w:pPr>
    </w:p>
    <w:p w14:paraId="0E7EA52B" w14:textId="77777777" w:rsidR="00575F5E" w:rsidRPr="005138D5" w:rsidRDefault="00575F5E" w:rsidP="00A41668">
      <w:pPr>
        <w:rPr>
          <w:iCs/>
          <w:sz w:val="22"/>
        </w:rPr>
      </w:pPr>
      <w:r w:rsidRPr="005138D5">
        <w:rPr>
          <w:iCs/>
          <w:sz w:val="22"/>
        </w:rPr>
        <w:t>Każda tabletka zawiera 50</w:t>
      </w:r>
      <w:r w:rsidR="00086D10" w:rsidRPr="005138D5">
        <w:rPr>
          <w:iCs/>
          <w:sz w:val="22"/>
        </w:rPr>
        <w:t> mg</w:t>
      </w:r>
      <w:r w:rsidRPr="005138D5">
        <w:rPr>
          <w:iCs/>
          <w:sz w:val="22"/>
        </w:rPr>
        <w:t xml:space="preserve"> worykonazolu.</w:t>
      </w:r>
    </w:p>
    <w:p w14:paraId="2B930E9B" w14:textId="77777777" w:rsidR="00575F5E" w:rsidRPr="005138D5" w:rsidRDefault="00575F5E" w:rsidP="00A41668">
      <w:pPr>
        <w:rPr>
          <w:iCs/>
          <w:sz w:val="22"/>
        </w:rPr>
      </w:pPr>
    </w:p>
    <w:p w14:paraId="43A41BB0" w14:textId="77777777" w:rsidR="00575F5E" w:rsidRPr="005138D5" w:rsidRDefault="00575F5E" w:rsidP="00A41668">
      <w:pPr>
        <w:rPr>
          <w:iCs/>
          <w:sz w:val="22"/>
        </w:rPr>
      </w:pPr>
    </w:p>
    <w:p w14:paraId="09C6FE71"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3. </w:t>
      </w:r>
      <w:r w:rsidRPr="005138D5">
        <w:rPr>
          <w:b/>
          <w:sz w:val="22"/>
        </w:rPr>
        <w:tab/>
        <w:t>WYKAZ SUBSTANCJI POMOCNICZYCH</w:t>
      </w:r>
    </w:p>
    <w:p w14:paraId="321BDDD0" w14:textId="77777777" w:rsidR="00575F5E" w:rsidRPr="005138D5" w:rsidRDefault="00575F5E" w:rsidP="00A41668">
      <w:pPr>
        <w:rPr>
          <w:sz w:val="22"/>
        </w:rPr>
      </w:pPr>
    </w:p>
    <w:p w14:paraId="72194735" w14:textId="77777777" w:rsidR="00575F5E" w:rsidRPr="005138D5" w:rsidRDefault="00575F5E" w:rsidP="00A41668">
      <w:pPr>
        <w:rPr>
          <w:sz w:val="22"/>
        </w:rPr>
      </w:pPr>
      <w:r w:rsidRPr="005138D5">
        <w:rPr>
          <w:sz w:val="22"/>
        </w:rPr>
        <w:t>Lek zawiera laktozę jednowodną</w:t>
      </w:r>
      <w:r w:rsidR="00870DEA" w:rsidRPr="005138D5">
        <w:rPr>
          <w:sz w:val="22"/>
        </w:rPr>
        <w:t xml:space="preserve"> – </w:t>
      </w:r>
      <w:r w:rsidR="00721DB2" w:rsidRPr="005138D5">
        <w:rPr>
          <w:sz w:val="22"/>
        </w:rPr>
        <w:t>więcej informacji znajduje się w ulotce</w:t>
      </w:r>
      <w:r w:rsidR="00870DEA" w:rsidRPr="005138D5">
        <w:rPr>
          <w:sz w:val="22"/>
        </w:rPr>
        <w:t>.</w:t>
      </w:r>
    </w:p>
    <w:p w14:paraId="4ECDA381" w14:textId="77777777" w:rsidR="00575F5E" w:rsidRPr="005138D5" w:rsidRDefault="00575F5E" w:rsidP="00A41668">
      <w:pPr>
        <w:rPr>
          <w:sz w:val="22"/>
        </w:rPr>
      </w:pPr>
    </w:p>
    <w:p w14:paraId="42067164" w14:textId="77777777" w:rsidR="00575F5E" w:rsidRPr="005138D5" w:rsidRDefault="00575F5E" w:rsidP="00A41668">
      <w:pPr>
        <w:rPr>
          <w:sz w:val="22"/>
        </w:rPr>
      </w:pPr>
    </w:p>
    <w:p w14:paraId="0C38E7E4"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4.</w:t>
      </w:r>
      <w:r w:rsidRPr="005138D5">
        <w:rPr>
          <w:b/>
          <w:sz w:val="22"/>
        </w:rPr>
        <w:tab/>
        <w:t xml:space="preserve"> POSTAĆ FARMACEUTYCZNA I ZAWARTOŚĆ OPAKOWANIA</w:t>
      </w:r>
    </w:p>
    <w:p w14:paraId="7E24D224" w14:textId="77777777" w:rsidR="00575F5E" w:rsidRPr="005138D5" w:rsidRDefault="00575F5E" w:rsidP="00A41668">
      <w:pPr>
        <w:rPr>
          <w:sz w:val="22"/>
        </w:rPr>
      </w:pPr>
    </w:p>
    <w:p w14:paraId="659EB7BF" w14:textId="77777777" w:rsidR="003764D0" w:rsidRPr="005138D5" w:rsidRDefault="00575F5E" w:rsidP="003764D0">
      <w:pPr>
        <w:rPr>
          <w:sz w:val="22"/>
        </w:rPr>
      </w:pPr>
      <w:r w:rsidRPr="005138D5">
        <w:rPr>
          <w:sz w:val="22"/>
        </w:rPr>
        <w:t>2</w:t>
      </w:r>
      <w:r w:rsidR="003764D0" w:rsidRPr="005138D5">
        <w:rPr>
          <w:sz w:val="22"/>
        </w:rPr>
        <w:t xml:space="preserve"> tabletki powlekane</w:t>
      </w:r>
    </w:p>
    <w:p w14:paraId="14FC0038" w14:textId="77777777" w:rsidR="003764D0" w:rsidRPr="005138D5" w:rsidRDefault="00575F5E" w:rsidP="003764D0">
      <w:pPr>
        <w:rPr>
          <w:sz w:val="22"/>
          <w:highlight w:val="lightGray"/>
        </w:rPr>
      </w:pPr>
      <w:r w:rsidRPr="005138D5">
        <w:rPr>
          <w:sz w:val="22"/>
          <w:highlight w:val="lightGray"/>
        </w:rPr>
        <w:t>10</w:t>
      </w:r>
      <w:r w:rsidR="003764D0" w:rsidRPr="005138D5">
        <w:rPr>
          <w:sz w:val="22"/>
          <w:highlight w:val="lightGray"/>
        </w:rPr>
        <w:t xml:space="preserve"> tabletek powlekanych</w:t>
      </w:r>
    </w:p>
    <w:p w14:paraId="22A1120D" w14:textId="77777777" w:rsidR="003764D0" w:rsidRPr="005138D5" w:rsidRDefault="00575F5E" w:rsidP="003764D0">
      <w:pPr>
        <w:rPr>
          <w:sz w:val="22"/>
          <w:highlight w:val="lightGray"/>
        </w:rPr>
      </w:pPr>
      <w:r w:rsidRPr="005138D5">
        <w:rPr>
          <w:sz w:val="22"/>
          <w:highlight w:val="lightGray"/>
        </w:rPr>
        <w:t>14</w:t>
      </w:r>
      <w:r w:rsidR="003764D0" w:rsidRPr="005138D5">
        <w:rPr>
          <w:sz w:val="22"/>
          <w:highlight w:val="lightGray"/>
        </w:rPr>
        <w:t xml:space="preserve"> tabletek powlekanych</w:t>
      </w:r>
    </w:p>
    <w:p w14:paraId="183E4EEC" w14:textId="77777777" w:rsidR="003764D0" w:rsidRPr="005138D5" w:rsidRDefault="00575F5E" w:rsidP="003764D0">
      <w:pPr>
        <w:rPr>
          <w:sz w:val="22"/>
          <w:highlight w:val="lightGray"/>
        </w:rPr>
      </w:pPr>
      <w:r w:rsidRPr="005138D5">
        <w:rPr>
          <w:sz w:val="22"/>
          <w:highlight w:val="lightGray"/>
        </w:rPr>
        <w:t>20</w:t>
      </w:r>
      <w:r w:rsidR="003764D0" w:rsidRPr="005138D5">
        <w:rPr>
          <w:sz w:val="22"/>
          <w:highlight w:val="lightGray"/>
        </w:rPr>
        <w:t xml:space="preserve"> tabletek powlekanych</w:t>
      </w:r>
    </w:p>
    <w:p w14:paraId="2966712D" w14:textId="77777777" w:rsidR="003764D0" w:rsidRPr="005138D5" w:rsidRDefault="00575F5E" w:rsidP="003764D0">
      <w:pPr>
        <w:rPr>
          <w:sz w:val="22"/>
          <w:highlight w:val="lightGray"/>
        </w:rPr>
      </w:pPr>
      <w:r w:rsidRPr="005138D5">
        <w:rPr>
          <w:sz w:val="22"/>
          <w:highlight w:val="lightGray"/>
        </w:rPr>
        <w:t>28</w:t>
      </w:r>
      <w:r w:rsidR="003764D0" w:rsidRPr="005138D5">
        <w:rPr>
          <w:sz w:val="22"/>
          <w:highlight w:val="lightGray"/>
        </w:rPr>
        <w:t xml:space="preserve"> tabletek powlekanych</w:t>
      </w:r>
    </w:p>
    <w:p w14:paraId="5A10A316" w14:textId="77777777" w:rsidR="003764D0" w:rsidRPr="005138D5" w:rsidRDefault="00575F5E" w:rsidP="003764D0">
      <w:pPr>
        <w:rPr>
          <w:sz w:val="22"/>
          <w:highlight w:val="lightGray"/>
        </w:rPr>
      </w:pPr>
      <w:r w:rsidRPr="005138D5">
        <w:rPr>
          <w:sz w:val="22"/>
          <w:highlight w:val="lightGray"/>
        </w:rPr>
        <w:t>30</w:t>
      </w:r>
      <w:r w:rsidR="003764D0" w:rsidRPr="005138D5">
        <w:rPr>
          <w:sz w:val="22"/>
          <w:highlight w:val="lightGray"/>
        </w:rPr>
        <w:t xml:space="preserve"> tabletek powlekanych</w:t>
      </w:r>
    </w:p>
    <w:p w14:paraId="4B4D77BB" w14:textId="77777777" w:rsidR="003764D0" w:rsidRPr="005138D5" w:rsidRDefault="00575F5E" w:rsidP="003764D0">
      <w:pPr>
        <w:rPr>
          <w:sz w:val="22"/>
          <w:highlight w:val="lightGray"/>
        </w:rPr>
      </w:pPr>
      <w:r w:rsidRPr="005138D5">
        <w:rPr>
          <w:sz w:val="22"/>
          <w:highlight w:val="lightGray"/>
        </w:rPr>
        <w:t>50</w:t>
      </w:r>
      <w:r w:rsidR="003764D0" w:rsidRPr="005138D5">
        <w:rPr>
          <w:sz w:val="22"/>
          <w:highlight w:val="lightGray"/>
        </w:rPr>
        <w:t xml:space="preserve"> tabletek powlekanych</w:t>
      </w:r>
    </w:p>
    <w:p w14:paraId="75F71A9F" w14:textId="77777777" w:rsidR="003764D0" w:rsidRPr="005138D5" w:rsidRDefault="00575F5E" w:rsidP="003764D0">
      <w:pPr>
        <w:rPr>
          <w:sz w:val="22"/>
          <w:highlight w:val="lightGray"/>
        </w:rPr>
      </w:pPr>
      <w:r w:rsidRPr="005138D5">
        <w:rPr>
          <w:sz w:val="22"/>
          <w:highlight w:val="lightGray"/>
        </w:rPr>
        <w:t>56</w:t>
      </w:r>
      <w:r w:rsidR="00FD76B3" w:rsidRPr="005138D5">
        <w:rPr>
          <w:sz w:val="22"/>
          <w:highlight w:val="lightGray"/>
        </w:rPr>
        <w:t xml:space="preserve"> </w:t>
      </w:r>
      <w:r w:rsidR="003764D0" w:rsidRPr="005138D5">
        <w:rPr>
          <w:sz w:val="22"/>
          <w:highlight w:val="lightGray"/>
        </w:rPr>
        <w:t>tabletek powlekanych</w:t>
      </w:r>
    </w:p>
    <w:p w14:paraId="23C52FDD" w14:textId="77777777" w:rsidR="00575F5E" w:rsidRPr="005138D5" w:rsidRDefault="00575F5E" w:rsidP="00A41668">
      <w:pPr>
        <w:rPr>
          <w:sz w:val="22"/>
        </w:rPr>
      </w:pPr>
      <w:r w:rsidRPr="005138D5">
        <w:rPr>
          <w:sz w:val="22"/>
          <w:highlight w:val="lightGray"/>
        </w:rPr>
        <w:t>100 tabletek powlekanych</w:t>
      </w:r>
    </w:p>
    <w:p w14:paraId="5EC9EC8D" w14:textId="77777777" w:rsidR="00B06B30" w:rsidRPr="00A31C89" w:rsidRDefault="00B06B30" w:rsidP="00A41668">
      <w:pPr>
        <w:rPr>
          <w:sz w:val="22"/>
          <w:highlight w:val="lightGray"/>
        </w:rPr>
      </w:pPr>
      <w:r w:rsidRPr="00A31C89">
        <w:rPr>
          <w:sz w:val="22"/>
          <w:highlight w:val="lightGray"/>
        </w:rPr>
        <w:t>10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0384D111" w14:textId="77777777" w:rsidR="00B06B30" w:rsidRPr="00A31C89" w:rsidRDefault="00B06B30" w:rsidP="00A41668">
      <w:pPr>
        <w:rPr>
          <w:sz w:val="22"/>
          <w:highlight w:val="lightGray"/>
        </w:rPr>
      </w:pPr>
      <w:r w:rsidRPr="00A31C89">
        <w:rPr>
          <w:sz w:val="22"/>
          <w:highlight w:val="lightGray"/>
        </w:rPr>
        <w:t>14</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1955259C" w14:textId="77777777" w:rsidR="00B06B30" w:rsidRPr="00A31C89" w:rsidRDefault="00B06B30" w:rsidP="00A41668">
      <w:pPr>
        <w:rPr>
          <w:sz w:val="22"/>
          <w:highlight w:val="lightGray"/>
        </w:rPr>
      </w:pPr>
      <w:r w:rsidRPr="00A31C89">
        <w:rPr>
          <w:sz w:val="22"/>
          <w:highlight w:val="lightGray"/>
        </w:rPr>
        <w:t>28</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7290A07E" w14:textId="77777777" w:rsidR="00B06B30" w:rsidRPr="00A31C89" w:rsidRDefault="00B06B30" w:rsidP="00A41668">
      <w:pPr>
        <w:rPr>
          <w:sz w:val="22"/>
          <w:highlight w:val="lightGray"/>
        </w:rPr>
      </w:pPr>
      <w:r w:rsidRPr="00A31C89">
        <w:rPr>
          <w:sz w:val="22"/>
          <w:highlight w:val="lightGray"/>
        </w:rPr>
        <w:t>30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316A0546" w14:textId="77777777" w:rsidR="00B06B30" w:rsidRPr="00A31C89" w:rsidRDefault="00B06B30" w:rsidP="00A41668">
      <w:pPr>
        <w:rPr>
          <w:sz w:val="22"/>
          <w:highlight w:val="lightGray"/>
        </w:rPr>
      </w:pPr>
      <w:r w:rsidRPr="00A31C89">
        <w:rPr>
          <w:sz w:val="22"/>
          <w:highlight w:val="lightGray"/>
        </w:rPr>
        <w:t>56</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4B591FE0" w14:textId="77777777" w:rsidR="00B06B30" w:rsidRPr="005138D5" w:rsidRDefault="00B06B30" w:rsidP="00A41668">
      <w:pPr>
        <w:rPr>
          <w:sz w:val="22"/>
        </w:rPr>
      </w:pPr>
      <w:r w:rsidRPr="00A31C89">
        <w:rPr>
          <w:sz w:val="22"/>
          <w:highlight w:val="lightGray"/>
        </w:rPr>
        <w:t>100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3528BF39" w14:textId="77777777" w:rsidR="00575F5E" w:rsidRPr="005138D5" w:rsidRDefault="00575F5E" w:rsidP="00A41668">
      <w:pPr>
        <w:rPr>
          <w:sz w:val="22"/>
        </w:rPr>
      </w:pPr>
    </w:p>
    <w:p w14:paraId="773CC84B" w14:textId="77777777" w:rsidR="00575F5E" w:rsidRPr="005138D5" w:rsidRDefault="00575F5E" w:rsidP="00A41668">
      <w:pPr>
        <w:rPr>
          <w:sz w:val="22"/>
        </w:rPr>
      </w:pPr>
    </w:p>
    <w:p w14:paraId="71DCD63C"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5.</w:t>
      </w:r>
      <w:r w:rsidRPr="005138D5">
        <w:rPr>
          <w:b/>
          <w:sz w:val="22"/>
        </w:rPr>
        <w:tab/>
        <w:t>SPOSÓB I DROGA</w:t>
      </w:r>
      <w:r w:rsidR="007D1157" w:rsidRPr="005138D5">
        <w:rPr>
          <w:b/>
          <w:sz w:val="22"/>
        </w:rPr>
        <w:t>(I)</w:t>
      </w:r>
      <w:r w:rsidRPr="005138D5">
        <w:rPr>
          <w:b/>
          <w:sz w:val="22"/>
        </w:rPr>
        <w:t xml:space="preserve"> PODANIA</w:t>
      </w:r>
    </w:p>
    <w:p w14:paraId="4013B8B4" w14:textId="77777777" w:rsidR="00575F5E" w:rsidRPr="005138D5" w:rsidRDefault="00575F5E" w:rsidP="00A41668">
      <w:pPr>
        <w:rPr>
          <w:sz w:val="22"/>
        </w:rPr>
      </w:pPr>
    </w:p>
    <w:p w14:paraId="4FA1A370" w14:textId="77777777" w:rsidR="003764D0" w:rsidRPr="005138D5" w:rsidRDefault="003764D0" w:rsidP="003764D0">
      <w:pPr>
        <w:rPr>
          <w:noProof/>
          <w:sz w:val="22"/>
        </w:rPr>
      </w:pPr>
      <w:r w:rsidRPr="005138D5">
        <w:rPr>
          <w:noProof/>
          <w:sz w:val="22"/>
        </w:rPr>
        <w:t>Należy zapoznać się z treścią ulotki przed zastosowaniem leku.</w:t>
      </w:r>
    </w:p>
    <w:p w14:paraId="0707D58F" w14:textId="77777777" w:rsidR="00575F5E" w:rsidRPr="005138D5" w:rsidRDefault="00575F5E" w:rsidP="00A41668">
      <w:pPr>
        <w:rPr>
          <w:sz w:val="22"/>
        </w:rPr>
      </w:pPr>
      <w:r w:rsidRPr="005138D5">
        <w:rPr>
          <w:sz w:val="22"/>
        </w:rPr>
        <w:t>Podanie doustne</w:t>
      </w:r>
    </w:p>
    <w:p w14:paraId="52988891" w14:textId="77777777" w:rsidR="003764D0" w:rsidRPr="005138D5" w:rsidRDefault="003764D0" w:rsidP="00A41668">
      <w:pPr>
        <w:rPr>
          <w:sz w:val="22"/>
        </w:rPr>
      </w:pPr>
    </w:p>
    <w:p w14:paraId="40BC16AA" w14:textId="77777777" w:rsidR="00575F5E" w:rsidRPr="005138D5" w:rsidRDefault="00575F5E" w:rsidP="00A41668">
      <w:pPr>
        <w:rPr>
          <w:sz w:val="22"/>
        </w:rPr>
      </w:pPr>
    </w:p>
    <w:p w14:paraId="0ABE587E" w14:textId="77777777" w:rsidR="00575F5E" w:rsidRPr="005138D5" w:rsidRDefault="00575F5E" w:rsidP="00A41668">
      <w:pPr>
        <w:pBdr>
          <w:top w:val="single" w:sz="4" w:space="1" w:color="auto"/>
          <w:left w:val="single" w:sz="4" w:space="4" w:color="auto"/>
          <w:bottom w:val="single" w:sz="4" w:space="1" w:color="auto"/>
          <w:right w:val="single" w:sz="4" w:space="4" w:color="auto"/>
        </w:pBdr>
        <w:ind w:left="709" w:hanging="709"/>
        <w:rPr>
          <w:b/>
          <w:sz w:val="22"/>
        </w:rPr>
      </w:pPr>
      <w:r w:rsidRPr="005138D5">
        <w:rPr>
          <w:b/>
          <w:sz w:val="22"/>
        </w:rPr>
        <w:t xml:space="preserve">6. </w:t>
      </w:r>
      <w:r w:rsidRPr="005138D5">
        <w:rPr>
          <w:b/>
          <w:sz w:val="22"/>
        </w:rPr>
        <w:tab/>
        <w:t>OSTRZEŻENIE DOTYCZĄCE PRZECHOWYWANIA PRODUKTU LECZNICZEGO  W MIEJSCU</w:t>
      </w:r>
      <w:r w:rsidR="003764D0" w:rsidRPr="005138D5">
        <w:rPr>
          <w:b/>
          <w:sz w:val="22"/>
        </w:rPr>
        <w:t xml:space="preserve"> NIEWIDOCZNYM I</w:t>
      </w:r>
      <w:r w:rsidRPr="005138D5">
        <w:rPr>
          <w:b/>
          <w:sz w:val="22"/>
        </w:rPr>
        <w:t xml:space="preserve"> NIEDOSTĘPNYM DLA DZIECI</w:t>
      </w:r>
    </w:p>
    <w:p w14:paraId="4355A05B" w14:textId="77777777" w:rsidR="00575F5E" w:rsidRPr="005138D5" w:rsidRDefault="00575F5E" w:rsidP="00A41668">
      <w:pPr>
        <w:rPr>
          <w:sz w:val="22"/>
        </w:rPr>
      </w:pPr>
    </w:p>
    <w:p w14:paraId="46F5A0F2" w14:textId="77777777" w:rsidR="00575F5E" w:rsidRPr="005138D5" w:rsidRDefault="00575F5E" w:rsidP="00A41668">
      <w:pPr>
        <w:rPr>
          <w:sz w:val="22"/>
        </w:rPr>
      </w:pPr>
      <w:r w:rsidRPr="005138D5">
        <w:rPr>
          <w:sz w:val="22"/>
        </w:rPr>
        <w:t xml:space="preserve">Lek przechowywać w miejscu </w:t>
      </w:r>
      <w:r w:rsidR="003764D0" w:rsidRPr="005138D5">
        <w:rPr>
          <w:sz w:val="22"/>
        </w:rPr>
        <w:t xml:space="preserve">niewidocznym i </w:t>
      </w:r>
      <w:r w:rsidRPr="005138D5">
        <w:rPr>
          <w:sz w:val="22"/>
        </w:rPr>
        <w:t>niedostępnym dla dzieci.</w:t>
      </w:r>
    </w:p>
    <w:p w14:paraId="582C2E3E" w14:textId="77777777" w:rsidR="00575F5E" w:rsidRPr="005138D5" w:rsidRDefault="00575F5E" w:rsidP="00A41668">
      <w:pPr>
        <w:rPr>
          <w:sz w:val="22"/>
        </w:rPr>
      </w:pPr>
    </w:p>
    <w:p w14:paraId="31F6E18F" w14:textId="77777777" w:rsidR="00575F5E" w:rsidRPr="005138D5" w:rsidRDefault="00575F5E" w:rsidP="00A41668">
      <w:pPr>
        <w:rPr>
          <w:sz w:val="22"/>
        </w:rPr>
      </w:pPr>
    </w:p>
    <w:p w14:paraId="6737E70A"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7. </w:t>
      </w:r>
      <w:r w:rsidRPr="005138D5">
        <w:rPr>
          <w:b/>
          <w:sz w:val="22"/>
        </w:rPr>
        <w:tab/>
        <w:t>INNE OSTRZEŻENIA SPECJALNE, JEŚLI KONIECZNE</w:t>
      </w:r>
    </w:p>
    <w:p w14:paraId="66A75E65" w14:textId="77777777" w:rsidR="00575F5E" w:rsidRPr="005138D5" w:rsidRDefault="00575F5E" w:rsidP="00A41668">
      <w:pPr>
        <w:rPr>
          <w:sz w:val="22"/>
        </w:rPr>
      </w:pPr>
    </w:p>
    <w:p w14:paraId="3DDD3AE2" w14:textId="77777777" w:rsidR="00B66913" w:rsidRDefault="00B66913" w:rsidP="00A41668">
      <w:pPr>
        <w:rPr>
          <w:sz w:val="22"/>
        </w:rPr>
      </w:pPr>
    </w:p>
    <w:p w14:paraId="6B28C30B" w14:textId="77777777" w:rsidR="00B66913" w:rsidRPr="005138D5" w:rsidRDefault="00B66913" w:rsidP="00B66913">
      <w:pPr>
        <w:pBdr>
          <w:top w:val="single" w:sz="4" w:space="1" w:color="auto"/>
          <w:left w:val="single" w:sz="4" w:space="4" w:color="auto"/>
          <w:bottom w:val="single" w:sz="4" w:space="1" w:color="auto"/>
          <w:right w:val="single" w:sz="4" w:space="4" w:color="auto"/>
        </w:pBdr>
        <w:rPr>
          <w:b/>
          <w:sz w:val="22"/>
        </w:rPr>
      </w:pPr>
      <w:r w:rsidRPr="005138D5">
        <w:rPr>
          <w:b/>
          <w:sz w:val="22"/>
        </w:rPr>
        <w:t xml:space="preserve">8. </w:t>
      </w:r>
      <w:r w:rsidRPr="005138D5">
        <w:rPr>
          <w:b/>
          <w:sz w:val="22"/>
        </w:rPr>
        <w:tab/>
        <w:t>TERMIN WAŻNOŚCI</w:t>
      </w:r>
    </w:p>
    <w:p w14:paraId="15CF8020" w14:textId="77777777" w:rsidR="00B66913" w:rsidRDefault="00B66913" w:rsidP="00A41668">
      <w:pPr>
        <w:rPr>
          <w:sz w:val="22"/>
        </w:rPr>
      </w:pPr>
    </w:p>
    <w:p w14:paraId="5472FA4E" w14:textId="77777777" w:rsidR="00575F5E" w:rsidRPr="005138D5" w:rsidRDefault="00575F5E" w:rsidP="00A41668">
      <w:pPr>
        <w:rPr>
          <w:sz w:val="22"/>
        </w:rPr>
      </w:pPr>
      <w:r w:rsidRPr="005138D5">
        <w:rPr>
          <w:sz w:val="22"/>
        </w:rPr>
        <w:t>Termin ważności</w:t>
      </w:r>
      <w:r w:rsidR="00721DB2" w:rsidRPr="005138D5">
        <w:rPr>
          <w:sz w:val="22"/>
        </w:rPr>
        <w:t xml:space="preserve"> (EXP)</w:t>
      </w:r>
      <w:r w:rsidRPr="005138D5">
        <w:rPr>
          <w:sz w:val="22"/>
        </w:rPr>
        <w:t>:</w:t>
      </w:r>
    </w:p>
    <w:p w14:paraId="59F96265" w14:textId="77777777" w:rsidR="00575F5E" w:rsidRDefault="00575F5E" w:rsidP="00A41668">
      <w:pPr>
        <w:rPr>
          <w:sz w:val="22"/>
        </w:rPr>
      </w:pPr>
    </w:p>
    <w:p w14:paraId="4F409149" w14:textId="77777777" w:rsidR="00B66913" w:rsidRPr="005138D5" w:rsidRDefault="00B66913" w:rsidP="00A41668">
      <w:pPr>
        <w:rPr>
          <w:sz w:val="22"/>
        </w:rPr>
      </w:pPr>
    </w:p>
    <w:p w14:paraId="7B127A21"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9. </w:t>
      </w:r>
      <w:r w:rsidRPr="005138D5">
        <w:rPr>
          <w:b/>
          <w:sz w:val="22"/>
        </w:rPr>
        <w:tab/>
        <w:t>WARUNKI PRZECHOWYWANIA</w:t>
      </w:r>
    </w:p>
    <w:p w14:paraId="0EE43150" w14:textId="77777777" w:rsidR="00575F5E" w:rsidRPr="005138D5" w:rsidRDefault="00575F5E" w:rsidP="00A41668">
      <w:pPr>
        <w:rPr>
          <w:sz w:val="22"/>
        </w:rPr>
      </w:pPr>
    </w:p>
    <w:p w14:paraId="63447E23" w14:textId="77777777" w:rsidR="00CA4824" w:rsidRPr="005138D5" w:rsidRDefault="00CA4824" w:rsidP="00A41668">
      <w:pPr>
        <w:rPr>
          <w:sz w:val="22"/>
        </w:rPr>
      </w:pPr>
    </w:p>
    <w:p w14:paraId="55A7E7C5" w14:textId="77777777" w:rsidR="00575F5E" w:rsidRPr="005138D5" w:rsidRDefault="00575F5E" w:rsidP="00CA4824">
      <w:pPr>
        <w:keepNext/>
        <w:pBdr>
          <w:top w:val="single" w:sz="4" w:space="1" w:color="auto"/>
          <w:left w:val="single" w:sz="4" w:space="4" w:color="auto"/>
          <w:bottom w:val="single" w:sz="4" w:space="1" w:color="auto"/>
          <w:right w:val="single" w:sz="4" w:space="4" w:color="auto"/>
        </w:pBdr>
        <w:ind w:left="709" w:hanging="709"/>
        <w:rPr>
          <w:b/>
          <w:sz w:val="22"/>
        </w:rPr>
      </w:pPr>
      <w:r w:rsidRPr="005138D5">
        <w:rPr>
          <w:b/>
          <w:sz w:val="22"/>
        </w:rPr>
        <w:t xml:space="preserve">10. </w:t>
      </w:r>
      <w:r w:rsidRPr="005138D5">
        <w:rPr>
          <w:b/>
          <w:sz w:val="22"/>
        </w:rPr>
        <w:tab/>
        <w:t>SPECJALNE ŚRODKI OSTROŻNOŚCI DOTYCZĄCE USUWANIA NIEZUŻYTEGO PRODUKTU LECZNICZEGO LUB POCHODZĄCYCH Z NIEGO ODPADÓW, JEŚLI WŁAŚCIWE</w:t>
      </w:r>
    </w:p>
    <w:p w14:paraId="25734F5A" w14:textId="77777777" w:rsidR="00575F5E" w:rsidRPr="005138D5" w:rsidRDefault="00575F5E" w:rsidP="00CA4824">
      <w:pPr>
        <w:keepNext/>
        <w:rPr>
          <w:sz w:val="22"/>
        </w:rPr>
      </w:pPr>
    </w:p>
    <w:p w14:paraId="53B800EB" w14:textId="77777777" w:rsidR="00575F5E" w:rsidRPr="005138D5" w:rsidRDefault="00575F5E" w:rsidP="00A41668">
      <w:pPr>
        <w:rPr>
          <w:sz w:val="22"/>
        </w:rPr>
      </w:pPr>
    </w:p>
    <w:p w14:paraId="55080D50"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11. </w:t>
      </w:r>
      <w:r w:rsidRPr="005138D5">
        <w:rPr>
          <w:b/>
          <w:sz w:val="22"/>
        </w:rPr>
        <w:tab/>
        <w:t>NAZWA I ADRES PODMIOTU ODPOWIEDZIALNEGO</w:t>
      </w:r>
    </w:p>
    <w:p w14:paraId="30F39D04" w14:textId="77777777" w:rsidR="00DF39CB" w:rsidRPr="005138D5" w:rsidRDefault="00DF39CB" w:rsidP="00A41668">
      <w:pPr>
        <w:rPr>
          <w:sz w:val="22"/>
        </w:rPr>
      </w:pPr>
    </w:p>
    <w:p w14:paraId="0CDB6BF6" w14:textId="77777777" w:rsidR="006B6E71" w:rsidRPr="00C8744C" w:rsidRDefault="006B6E71" w:rsidP="006B6E71">
      <w:pPr>
        <w:rPr>
          <w:sz w:val="22"/>
        </w:rPr>
      </w:pPr>
      <w:r w:rsidRPr="00C8744C">
        <w:rPr>
          <w:sz w:val="22"/>
        </w:rPr>
        <w:t xml:space="preserve">Accord Healthcare S.L.U. </w:t>
      </w:r>
    </w:p>
    <w:p w14:paraId="58C9771C" w14:textId="77777777" w:rsidR="006B6E71" w:rsidRPr="00DE50AD" w:rsidRDefault="006B6E71" w:rsidP="006B6E71">
      <w:pPr>
        <w:rPr>
          <w:sz w:val="22"/>
          <w:lang w:val="en-US"/>
        </w:rPr>
      </w:pPr>
      <w:r w:rsidRPr="00DE50AD">
        <w:rPr>
          <w:sz w:val="22"/>
          <w:lang w:val="en-US"/>
        </w:rPr>
        <w:t xml:space="preserve">World Trade Center, Moll de Barcelona, s/n, </w:t>
      </w:r>
    </w:p>
    <w:p w14:paraId="43EB5699" w14:textId="77777777" w:rsidR="006B6E71" w:rsidRPr="006B6E71" w:rsidRDefault="006B6E71" w:rsidP="006B6E71">
      <w:pPr>
        <w:rPr>
          <w:sz w:val="22"/>
        </w:rPr>
      </w:pPr>
      <w:r w:rsidRPr="006B6E71">
        <w:rPr>
          <w:sz w:val="22"/>
        </w:rPr>
        <w:t xml:space="preserve">Edifici Est 6ª planta, </w:t>
      </w:r>
    </w:p>
    <w:p w14:paraId="3665F4DD" w14:textId="77777777" w:rsidR="006B6E71" w:rsidRPr="006B6E71" w:rsidRDefault="006B6E71" w:rsidP="006B6E71">
      <w:pPr>
        <w:rPr>
          <w:sz w:val="22"/>
        </w:rPr>
      </w:pPr>
      <w:r w:rsidRPr="006B6E71">
        <w:rPr>
          <w:sz w:val="22"/>
        </w:rPr>
        <w:t xml:space="preserve">08039 Barcelona, </w:t>
      </w:r>
    </w:p>
    <w:p w14:paraId="006F8E7E" w14:textId="77777777" w:rsidR="00575F5E" w:rsidRPr="005138D5" w:rsidRDefault="006B6E71" w:rsidP="00A41668">
      <w:pPr>
        <w:rPr>
          <w:sz w:val="22"/>
        </w:rPr>
      </w:pPr>
      <w:r w:rsidRPr="00DE50AD">
        <w:rPr>
          <w:sz w:val="22"/>
        </w:rPr>
        <w:t>Hiszpania</w:t>
      </w:r>
    </w:p>
    <w:p w14:paraId="52BA20D5" w14:textId="77777777" w:rsidR="00575F5E" w:rsidRPr="005138D5" w:rsidRDefault="00575F5E" w:rsidP="00A41668">
      <w:pPr>
        <w:rPr>
          <w:sz w:val="22"/>
        </w:rPr>
      </w:pPr>
    </w:p>
    <w:p w14:paraId="498A79E6"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12. </w:t>
      </w:r>
      <w:r w:rsidRPr="005138D5">
        <w:rPr>
          <w:b/>
          <w:sz w:val="22"/>
        </w:rPr>
        <w:tab/>
        <w:t>NUMER</w:t>
      </w:r>
      <w:r w:rsidR="007D1157" w:rsidRPr="005138D5">
        <w:rPr>
          <w:b/>
          <w:sz w:val="22"/>
        </w:rPr>
        <w:t>(Y)</w:t>
      </w:r>
      <w:r w:rsidRPr="005138D5">
        <w:rPr>
          <w:b/>
          <w:sz w:val="22"/>
        </w:rPr>
        <w:t xml:space="preserve"> POZWOLENIA</w:t>
      </w:r>
      <w:r w:rsidR="007D1157" w:rsidRPr="005138D5">
        <w:rPr>
          <w:b/>
          <w:sz w:val="22"/>
        </w:rPr>
        <w:t>(Ń)</w:t>
      </w:r>
      <w:r w:rsidRPr="005138D5">
        <w:rPr>
          <w:b/>
          <w:sz w:val="22"/>
        </w:rPr>
        <w:t xml:space="preserve"> NA DOPUSZCZENIE DO OBROTU</w:t>
      </w:r>
    </w:p>
    <w:p w14:paraId="60734EC9" w14:textId="77777777" w:rsidR="00575F5E" w:rsidRPr="005138D5" w:rsidRDefault="00575F5E" w:rsidP="00A41668">
      <w:pPr>
        <w:rPr>
          <w:sz w:val="22"/>
        </w:rPr>
      </w:pPr>
    </w:p>
    <w:p w14:paraId="42A253E1" w14:textId="77777777" w:rsidR="00575F5E" w:rsidRPr="005138D5" w:rsidRDefault="0004770E" w:rsidP="00A41668">
      <w:pPr>
        <w:rPr>
          <w:sz w:val="22"/>
        </w:rPr>
      </w:pPr>
      <w:r w:rsidRPr="005138D5">
        <w:rPr>
          <w:sz w:val="22"/>
        </w:rPr>
        <w:t xml:space="preserve">EU/1/13/835/001 </w:t>
      </w:r>
      <w:r w:rsidR="00F23F10" w:rsidRPr="002B5E0C">
        <w:rPr>
          <w:sz w:val="22"/>
        </w:rPr>
        <w:t>2 tabletki powlekane</w:t>
      </w:r>
    </w:p>
    <w:p w14:paraId="6878B6ED" w14:textId="77777777" w:rsidR="00F23F10" w:rsidRPr="005138D5" w:rsidRDefault="00F23F10" w:rsidP="00A41668">
      <w:pPr>
        <w:rPr>
          <w:sz w:val="22"/>
          <w:highlight w:val="lightGray"/>
        </w:rPr>
      </w:pPr>
      <w:r w:rsidRPr="005138D5">
        <w:rPr>
          <w:sz w:val="22"/>
          <w:highlight w:val="lightGray"/>
        </w:rPr>
        <w:t>EU/1/13/835/002 10 tabletek powlekanych</w:t>
      </w:r>
    </w:p>
    <w:p w14:paraId="7A0E9A48" w14:textId="77777777" w:rsidR="00F23F10" w:rsidRPr="005138D5" w:rsidRDefault="00881E6B" w:rsidP="00F23F10">
      <w:pPr>
        <w:rPr>
          <w:sz w:val="22"/>
          <w:highlight w:val="lightGray"/>
        </w:rPr>
      </w:pPr>
      <w:r w:rsidRPr="005138D5">
        <w:rPr>
          <w:sz w:val="22"/>
          <w:highlight w:val="lightGray"/>
        </w:rPr>
        <w:t>EU/1/13/835/003</w:t>
      </w:r>
      <w:r w:rsidR="00F23F10" w:rsidRPr="005138D5">
        <w:rPr>
          <w:sz w:val="22"/>
          <w:highlight w:val="lightGray"/>
        </w:rPr>
        <w:t xml:space="preserve"> 14 tabletek powlekanych</w:t>
      </w:r>
    </w:p>
    <w:p w14:paraId="1D41A37C" w14:textId="77777777" w:rsidR="00F23F10" w:rsidRPr="005138D5" w:rsidRDefault="00881E6B" w:rsidP="00F23F10">
      <w:pPr>
        <w:rPr>
          <w:sz w:val="22"/>
          <w:highlight w:val="lightGray"/>
        </w:rPr>
      </w:pPr>
      <w:r w:rsidRPr="005138D5">
        <w:rPr>
          <w:sz w:val="22"/>
          <w:highlight w:val="lightGray"/>
        </w:rPr>
        <w:t>EU/1/13/835/004</w:t>
      </w:r>
      <w:r w:rsidR="00F23F10" w:rsidRPr="005138D5">
        <w:rPr>
          <w:sz w:val="22"/>
          <w:highlight w:val="lightGray"/>
        </w:rPr>
        <w:t xml:space="preserve"> 20 tabletek powlekanych</w:t>
      </w:r>
    </w:p>
    <w:p w14:paraId="7A29921A" w14:textId="77777777" w:rsidR="00F23F10" w:rsidRPr="005138D5" w:rsidRDefault="00881E6B" w:rsidP="00F23F10">
      <w:pPr>
        <w:rPr>
          <w:sz w:val="22"/>
          <w:highlight w:val="lightGray"/>
        </w:rPr>
      </w:pPr>
      <w:r w:rsidRPr="005138D5">
        <w:rPr>
          <w:sz w:val="22"/>
          <w:highlight w:val="lightGray"/>
        </w:rPr>
        <w:t>EU/1/13/835/005</w:t>
      </w:r>
      <w:r w:rsidR="00F23F10" w:rsidRPr="005138D5">
        <w:rPr>
          <w:sz w:val="22"/>
          <w:highlight w:val="lightGray"/>
        </w:rPr>
        <w:t xml:space="preserve"> 28 tabletek powlekanych</w:t>
      </w:r>
    </w:p>
    <w:p w14:paraId="27D6E948" w14:textId="77777777" w:rsidR="00F23F10" w:rsidRPr="005138D5" w:rsidRDefault="00881E6B" w:rsidP="00F23F10">
      <w:pPr>
        <w:rPr>
          <w:sz w:val="22"/>
          <w:highlight w:val="lightGray"/>
        </w:rPr>
      </w:pPr>
      <w:r w:rsidRPr="005138D5">
        <w:rPr>
          <w:sz w:val="22"/>
          <w:highlight w:val="lightGray"/>
        </w:rPr>
        <w:t>EU/1/13/835/006</w:t>
      </w:r>
      <w:r w:rsidR="00F23F10" w:rsidRPr="005138D5">
        <w:rPr>
          <w:sz w:val="22"/>
          <w:highlight w:val="lightGray"/>
        </w:rPr>
        <w:t xml:space="preserve"> 30 tabletek powlekanych</w:t>
      </w:r>
    </w:p>
    <w:p w14:paraId="7AC0301E" w14:textId="77777777" w:rsidR="00F23F10" w:rsidRPr="005138D5" w:rsidRDefault="00881E6B" w:rsidP="00F23F10">
      <w:pPr>
        <w:rPr>
          <w:sz w:val="22"/>
          <w:highlight w:val="lightGray"/>
        </w:rPr>
      </w:pPr>
      <w:r w:rsidRPr="005138D5">
        <w:rPr>
          <w:sz w:val="22"/>
          <w:highlight w:val="lightGray"/>
        </w:rPr>
        <w:t>EU/1/13/835/007 5</w:t>
      </w:r>
      <w:r w:rsidR="00F23F10" w:rsidRPr="005138D5">
        <w:rPr>
          <w:sz w:val="22"/>
          <w:highlight w:val="lightGray"/>
        </w:rPr>
        <w:t>0 tabletek powlekanych</w:t>
      </w:r>
    </w:p>
    <w:p w14:paraId="3A02DB3F" w14:textId="77777777" w:rsidR="00F23F10" w:rsidRPr="005138D5" w:rsidRDefault="00881E6B" w:rsidP="00F23F10">
      <w:pPr>
        <w:rPr>
          <w:sz w:val="22"/>
          <w:highlight w:val="lightGray"/>
        </w:rPr>
      </w:pPr>
      <w:r w:rsidRPr="005138D5">
        <w:rPr>
          <w:sz w:val="22"/>
          <w:highlight w:val="lightGray"/>
        </w:rPr>
        <w:t>EU/1/13/835/008 56</w:t>
      </w:r>
      <w:r w:rsidR="00F23F10" w:rsidRPr="005138D5">
        <w:rPr>
          <w:sz w:val="22"/>
          <w:highlight w:val="lightGray"/>
        </w:rPr>
        <w:t xml:space="preserve"> tabletek powlekanych</w:t>
      </w:r>
    </w:p>
    <w:p w14:paraId="1AA1CC8A" w14:textId="77777777" w:rsidR="00F23F10" w:rsidRPr="005138D5" w:rsidRDefault="00881E6B" w:rsidP="00F23F10">
      <w:pPr>
        <w:rPr>
          <w:sz w:val="22"/>
          <w:highlight w:val="lightGray"/>
        </w:rPr>
      </w:pPr>
      <w:r w:rsidRPr="005138D5">
        <w:rPr>
          <w:sz w:val="22"/>
          <w:highlight w:val="lightGray"/>
        </w:rPr>
        <w:t>EU/1/13/835/009</w:t>
      </w:r>
      <w:r w:rsidR="00F23F10" w:rsidRPr="005138D5">
        <w:rPr>
          <w:sz w:val="22"/>
          <w:highlight w:val="lightGray"/>
        </w:rPr>
        <w:t xml:space="preserve"> 1</w:t>
      </w:r>
      <w:r w:rsidRPr="005138D5">
        <w:rPr>
          <w:sz w:val="22"/>
          <w:highlight w:val="lightGray"/>
        </w:rPr>
        <w:t>0</w:t>
      </w:r>
      <w:r w:rsidR="00F23F10" w:rsidRPr="005138D5">
        <w:rPr>
          <w:sz w:val="22"/>
          <w:highlight w:val="lightGray"/>
        </w:rPr>
        <w:t>0 tabletek powlekanych</w:t>
      </w:r>
    </w:p>
    <w:p w14:paraId="4C309D01" w14:textId="77777777" w:rsidR="00B06B30" w:rsidRPr="00A31C89" w:rsidRDefault="00B06B30" w:rsidP="00B06B30">
      <w:pPr>
        <w:rPr>
          <w:sz w:val="22"/>
          <w:highlight w:val="lightGray"/>
        </w:rPr>
      </w:pPr>
      <w:r w:rsidRPr="00A31C89">
        <w:rPr>
          <w:sz w:val="22"/>
          <w:highlight w:val="lightGray"/>
        </w:rPr>
        <w:t>EU/1/13/835/019 10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00040529" w14:textId="77777777" w:rsidR="00B06B30" w:rsidRPr="00A31C89" w:rsidRDefault="00B06B30" w:rsidP="00B06B30">
      <w:pPr>
        <w:rPr>
          <w:sz w:val="22"/>
          <w:highlight w:val="lightGray"/>
        </w:rPr>
      </w:pPr>
      <w:r w:rsidRPr="00A31C89">
        <w:rPr>
          <w:sz w:val="22"/>
          <w:highlight w:val="lightGray"/>
        </w:rPr>
        <w:t>EU/1/13/835/020 14</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3546A88C" w14:textId="77777777" w:rsidR="00B06B30" w:rsidRPr="00A31C89" w:rsidRDefault="00B06B30" w:rsidP="00B06B30">
      <w:pPr>
        <w:rPr>
          <w:sz w:val="22"/>
          <w:highlight w:val="lightGray"/>
        </w:rPr>
      </w:pPr>
      <w:r w:rsidRPr="00A31C89">
        <w:rPr>
          <w:sz w:val="22"/>
          <w:highlight w:val="lightGray"/>
        </w:rPr>
        <w:t>EU/1/13/835/021 28</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72BCD49B" w14:textId="77777777" w:rsidR="00B06B30" w:rsidRPr="00A31C89" w:rsidRDefault="00B06B30" w:rsidP="00B06B30">
      <w:pPr>
        <w:rPr>
          <w:sz w:val="22"/>
          <w:highlight w:val="lightGray"/>
        </w:rPr>
      </w:pPr>
      <w:r w:rsidRPr="00A31C89">
        <w:rPr>
          <w:sz w:val="22"/>
          <w:highlight w:val="lightGray"/>
        </w:rPr>
        <w:t>EU/1/13/835/022 30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51352C7D" w14:textId="77777777" w:rsidR="00B06B30" w:rsidRPr="00A31C89" w:rsidRDefault="00B06B30" w:rsidP="00B06B30">
      <w:pPr>
        <w:rPr>
          <w:sz w:val="22"/>
          <w:highlight w:val="lightGray"/>
        </w:rPr>
      </w:pPr>
      <w:r w:rsidRPr="00A31C89">
        <w:rPr>
          <w:sz w:val="22"/>
          <w:highlight w:val="lightGray"/>
        </w:rPr>
        <w:t>EU/1/13/835/023 56</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7FF8A879" w14:textId="77777777" w:rsidR="00B06B30" w:rsidRPr="00A31C89" w:rsidRDefault="00B06B30" w:rsidP="00B06B30">
      <w:pPr>
        <w:rPr>
          <w:sz w:val="22"/>
          <w:highlight w:val="lightGray"/>
        </w:rPr>
      </w:pPr>
      <w:r w:rsidRPr="00A31C89">
        <w:rPr>
          <w:sz w:val="22"/>
          <w:highlight w:val="lightGray"/>
        </w:rPr>
        <w:t>EU/1/13/835/024 100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01642DD6" w14:textId="77777777" w:rsidR="00F23F10" w:rsidRPr="005138D5" w:rsidRDefault="00F23F10" w:rsidP="00A41668">
      <w:pPr>
        <w:rPr>
          <w:sz w:val="22"/>
          <w:highlight w:val="lightGray"/>
        </w:rPr>
      </w:pPr>
    </w:p>
    <w:p w14:paraId="7B3F123A" w14:textId="77777777" w:rsidR="00575F5E" w:rsidRPr="005138D5" w:rsidRDefault="00575F5E" w:rsidP="00A41668">
      <w:pPr>
        <w:rPr>
          <w:sz w:val="22"/>
        </w:rPr>
      </w:pPr>
    </w:p>
    <w:p w14:paraId="3DAB30B6" w14:textId="77777777" w:rsidR="00575F5E" w:rsidRPr="005138D5" w:rsidRDefault="00575F5E" w:rsidP="00A41668">
      <w:pPr>
        <w:pBdr>
          <w:top w:val="single" w:sz="4" w:space="0" w:color="auto"/>
          <w:left w:val="single" w:sz="4" w:space="4" w:color="auto"/>
          <w:bottom w:val="single" w:sz="4" w:space="1" w:color="auto"/>
          <w:right w:val="single" w:sz="4" w:space="4" w:color="auto"/>
        </w:pBdr>
        <w:rPr>
          <w:b/>
          <w:sz w:val="22"/>
        </w:rPr>
      </w:pPr>
      <w:r w:rsidRPr="005138D5">
        <w:rPr>
          <w:b/>
          <w:sz w:val="22"/>
        </w:rPr>
        <w:t xml:space="preserve">13. </w:t>
      </w:r>
      <w:r w:rsidRPr="005138D5">
        <w:rPr>
          <w:b/>
          <w:sz w:val="22"/>
        </w:rPr>
        <w:tab/>
        <w:t>NUMER SERII</w:t>
      </w:r>
    </w:p>
    <w:p w14:paraId="6B787BE0" w14:textId="77777777" w:rsidR="0097301F" w:rsidRPr="005138D5" w:rsidRDefault="0097301F" w:rsidP="00A41668">
      <w:pPr>
        <w:rPr>
          <w:sz w:val="22"/>
        </w:rPr>
      </w:pPr>
    </w:p>
    <w:p w14:paraId="08351E57" w14:textId="77777777" w:rsidR="00575F5E" w:rsidRPr="005138D5" w:rsidRDefault="00575F5E" w:rsidP="00A41668">
      <w:pPr>
        <w:rPr>
          <w:sz w:val="22"/>
        </w:rPr>
      </w:pPr>
      <w:r w:rsidRPr="005138D5">
        <w:rPr>
          <w:sz w:val="22"/>
        </w:rPr>
        <w:t>Nr serii</w:t>
      </w:r>
      <w:r w:rsidR="00721DB2" w:rsidRPr="005138D5">
        <w:rPr>
          <w:sz w:val="22"/>
        </w:rPr>
        <w:t xml:space="preserve"> (Lot)</w:t>
      </w:r>
      <w:r w:rsidRPr="005138D5">
        <w:rPr>
          <w:sz w:val="22"/>
        </w:rPr>
        <w:t>:</w:t>
      </w:r>
    </w:p>
    <w:p w14:paraId="78D99AB0" w14:textId="77777777" w:rsidR="00575F5E" w:rsidRPr="005138D5" w:rsidRDefault="00575F5E" w:rsidP="00A41668">
      <w:pPr>
        <w:rPr>
          <w:sz w:val="22"/>
        </w:rPr>
      </w:pPr>
    </w:p>
    <w:p w14:paraId="4F103CC9" w14:textId="77777777" w:rsidR="00575F5E" w:rsidRPr="005138D5" w:rsidRDefault="00575F5E" w:rsidP="00A41668">
      <w:pPr>
        <w:rPr>
          <w:sz w:val="22"/>
        </w:rPr>
      </w:pPr>
    </w:p>
    <w:p w14:paraId="3CF8C5C2"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14. </w:t>
      </w:r>
      <w:r w:rsidRPr="005138D5">
        <w:rPr>
          <w:b/>
          <w:sz w:val="22"/>
        </w:rPr>
        <w:tab/>
      </w:r>
      <w:r w:rsidR="007D1157" w:rsidRPr="005138D5">
        <w:rPr>
          <w:b/>
          <w:sz w:val="22"/>
        </w:rPr>
        <w:t xml:space="preserve">OGÓLNA </w:t>
      </w:r>
      <w:r w:rsidRPr="005138D5">
        <w:rPr>
          <w:b/>
          <w:sz w:val="22"/>
        </w:rPr>
        <w:t>KATEGORIA DOSTĘPNOŚCI</w:t>
      </w:r>
    </w:p>
    <w:p w14:paraId="2EC77C0B" w14:textId="77777777" w:rsidR="00575F5E" w:rsidRPr="005138D5" w:rsidRDefault="00575F5E" w:rsidP="00A41668">
      <w:pPr>
        <w:rPr>
          <w:sz w:val="22"/>
        </w:rPr>
      </w:pPr>
    </w:p>
    <w:p w14:paraId="35EE804C" w14:textId="77777777" w:rsidR="00575F5E" w:rsidRPr="00CF52EF" w:rsidRDefault="00575F5E" w:rsidP="00A41668">
      <w:pPr>
        <w:rPr>
          <w:sz w:val="2"/>
        </w:rPr>
      </w:pPr>
    </w:p>
    <w:p w14:paraId="19BCB655" w14:textId="77777777" w:rsidR="00575F5E" w:rsidRPr="005138D5" w:rsidRDefault="00575F5E" w:rsidP="00A41668">
      <w:pPr>
        <w:rPr>
          <w:sz w:val="22"/>
        </w:rPr>
      </w:pPr>
    </w:p>
    <w:p w14:paraId="77ABA2BB"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15. </w:t>
      </w:r>
      <w:r w:rsidRPr="005138D5">
        <w:rPr>
          <w:b/>
          <w:sz w:val="22"/>
        </w:rPr>
        <w:tab/>
        <w:t>INSTRUKCJA UŻYCIA</w:t>
      </w:r>
    </w:p>
    <w:p w14:paraId="0E8EE78F" w14:textId="77777777" w:rsidR="00575F5E" w:rsidRPr="005138D5" w:rsidRDefault="00575F5E" w:rsidP="00A41668">
      <w:pPr>
        <w:rPr>
          <w:sz w:val="22"/>
        </w:rPr>
      </w:pPr>
    </w:p>
    <w:p w14:paraId="1B5603BC" w14:textId="77777777" w:rsidR="00575F5E" w:rsidRPr="005138D5" w:rsidRDefault="00575F5E" w:rsidP="00A41668">
      <w:pPr>
        <w:rPr>
          <w:sz w:val="22"/>
        </w:rPr>
      </w:pPr>
    </w:p>
    <w:p w14:paraId="4DDA1245" w14:textId="77777777" w:rsidR="00575F5E" w:rsidRPr="005138D5" w:rsidRDefault="00575F5E" w:rsidP="00A41668">
      <w:pPr>
        <w:pBdr>
          <w:top w:val="single" w:sz="4" w:space="1" w:color="auto"/>
          <w:left w:val="single" w:sz="4" w:space="4" w:color="auto"/>
          <w:bottom w:val="single" w:sz="4" w:space="1" w:color="auto"/>
          <w:right w:val="single" w:sz="4" w:space="4" w:color="auto"/>
        </w:pBdr>
        <w:tabs>
          <w:tab w:val="left" w:pos="720"/>
        </w:tabs>
        <w:rPr>
          <w:noProof/>
          <w:sz w:val="22"/>
        </w:rPr>
      </w:pPr>
      <w:r w:rsidRPr="005138D5">
        <w:rPr>
          <w:b/>
          <w:noProof/>
          <w:sz w:val="22"/>
        </w:rPr>
        <w:t>16.</w:t>
      </w:r>
      <w:r w:rsidRPr="005138D5">
        <w:rPr>
          <w:b/>
          <w:noProof/>
          <w:sz w:val="22"/>
        </w:rPr>
        <w:tab/>
        <w:t xml:space="preserve">INFORMACJA PODANA </w:t>
      </w:r>
      <w:r w:rsidR="007D1157" w:rsidRPr="005138D5">
        <w:rPr>
          <w:b/>
          <w:noProof/>
          <w:sz w:val="22"/>
        </w:rPr>
        <w:t>SYSTEMEM BRAILLE’A</w:t>
      </w:r>
    </w:p>
    <w:p w14:paraId="41FBCC24" w14:textId="77777777" w:rsidR="00575F5E" w:rsidRPr="005138D5" w:rsidRDefault="00575F5E" w:rsidP="00A41668">
      <w:pPr>
        <w:rPr>
          <w:sz w:val="22"/>
        </w:rPr>
      </w:pPr>
    </w:p>
    <w:p w14:paraId="73D34A35" w14:textId="77777777" w:rsidR="00575F5E" w:rsidRDefault="007D1157" w:rsidP="00A41668">
      <w:pPr>
        <w:rPr>
          <w:sz w:val="22"/>
        </w:rPr>
      </w:pPr>
      <w:r w:rsidRPr="005138D5">
        <w:rPr>
          <w:sz w:val="22"/>
        </w:rPr>
        <w:t>Voriconazole Accord</w:t>
      </w:r>
      <w:r w:rsidRPr="005138D5" w:rsidDel="007D1157">
        <w:rPr>
          <w:sz w:val="22"/>
        </w:rPr>
        <w:t xml:space="preserve"> </w:t>
      </w:r>
      <w:r w:rsidR="00575F5E" w:rsidRPr="005138D5">
        <w:rPr>
          <w:sz w:val="22"/>
        </w:rPr>
        <w:t>50</w:t>
      </w:r>
      <w:r w:rsidR="00086D10" w:rsidRPr="005138D5">
        <w:rPr>
          <w:sz w:val="22"/>
        </w:rPr>
        <w:t> mg</w:t>
      </w:r>
    </w:p>
    <w:p w14:paraId="0BD2B7E3" w14:textId="77777777" w:rsidR="00E47B30" w:rsidRDefault="00E47B30" w:rsidP="00A41668">
      <w:pPr>
        <w:rPr>
          <w:sz w:val="22"/>
        </w:rPr>
      </w:pPr>
    </w:p>
    <w:p w14:paraId="2DE530D8" w14:textId="77777777" w:rsidR="00E47B30" w:rsidRPr="00D64A6E" w:rsidRDefault="00E47B30" w:rsidP="00E47B30"/>
    <w:p w14:paraId="4C8F9CD8" w14:textId="77777777" w:rsidR="00E47B30" w:rsidRPr="00C32FD6" w:rsidRDefault="00E47B30" w:rsidP="00B66913">
      <w:pPr>
        <w:pBdr>
          <w:top w:val="single" w:sz="4" w:space="1" w:color="auto"/>
          <w:left w:val="single" w:sz="4" w:space="4" w:color="auto"/>
          <w:bottom w:val="single" w:sz="4" w:space="1" w:color="auto"/>
          <w:right w:val="single" w:sz="4" w:space="4" w:color="auto"/>
        </w:pBdr>
        <w:tabs>
          <w:tab w:val="left" w:pos="567"/>
        </w:tabs>
        <w:spacing w:line="260" w:lineRule="exact"/>
        <w:rPr>
          <w:i/>
          <w:sz w:val="22"/>
          <w:lang w:bidi="pl-PL"/>
        </w:rPr>
      </w:pPr>
      <w:r w:rsidRPr="00C32FD6">
        <w:rPr>
          <w:b/>
          <w:sz w:val="22"/>
          <w:lang w:bidi="pl-PL"/>
        </w:rPr>
        <w:t>17.</w:t>
      </w:r>
      <w:r w:rsidRPr="00C32FD6">
        <w:rPr>
          <w:b/>
          <w:sz w:val="22"/>
          <w:lang w:bidi="pl-PL"/>
        </w:rPr>
        <w:tab/>
        <w:t>NIEPOWTARZALNY IDENTYFIKATOR – KOD 2D</w:t>
      </w:r>
    </w:p>
    <w:p w14:paraId="3C80E429" w14:textId="77777777" w:rsidR="00E47B30" w:rsidRPr="00C32FD6" w:rsidRDefault="00E47B30" w:rsidP="00B66913">
      <w:pPr>
        <w:rPr>
          <w:sz w:val="22"/>
          <w:lang w:bidi="pl-PL"/>
        </w:rPr>
      </w:pPr>
    </w:p>
    <w:p w14:paraId="37BDBCA1" w14:textId="77777777" w:rsidR="00E47B30" w:rsidRPr="00C32FD6" w:rsidRDefault="00E47B30" w:rsidP="00B66913">
      <w:pPr>
        <w:rPr>
          <w:sz w:val="22"/>
          <w:highlight w:val="lightGray"/>
          <w:lang w:bidi="pl-PL"/>
        </w:rPr>
      </w:pPr>
      <w:r w:rsidRPr="00C32FD6">
        <w:rPr>
          <w:sz w:val="22"/>
          <w:highlight w:val="lightGray"/>
        </w:rPr>
        <w:t>Obejmuje kod 2D będący nośnikiem niepowtarzalnego identyfikatora.</w:t>
      </w:r>
    </w:p>
    <w:p w14:paraId="04FA4E20" w14:textId="77777777" w:rsidR="00E47B30" w:rsidRPr="00C32FD6" w:rsidRDefault="00E47B30" w:rsidP="00B66913">
      <w:pPr>
        <w:rPr>
          <w:sz w:val="22"/>
          <w:lang w:bidi="pl-PL"/>
        </w:rPr>
      </w:pPr>
    </w:p>
    <w:p w14:paraId="1193C8BE" w14:textId="77777777" w:rsidR="00E47B30" w:rsidRPr="00C32FD6" w:rsidRDefault="00E47B30" w:rsidP="00B66913">
      <w:pPr>
        <w:rPr>
          <w:sz w:val="22"/>
          <w:lang w:bidi="pl-PL"/>
        </w:rPr>
      </w:pPr>
    </w:p>
    <w:p w14:paraId="6D88CD74" w14:textId="77777777" w:rsidR="00E47B30" w:rsidRPr="00C32FD6" w:rsidRDefault="00E47B30" w:rsidP="00B66913">
      <w:pPr>
        <w:pBdr>
          <w:top w:val="single" w:sz="4" w:space="1" w:color="auto"/>
          <w:left w:val="single" w:sz="4" w:space="4" w:color="auto"/>
          <w:bottom w:val="single" w:sz="4" w:space="1" w:color="auto"/>
          <w:right w:val="single" w:sz="4" w:space="4" w:color="auto"/>
        </w:pBdr>
        <w:tabs>
          <w:tab w:val="left" w:pos="567"/>
        </w:tabs>
        <w:spacing w:line="260" w:lineRule="exact"/>
        <w:rPr>
          <w:b/>
          <w:sz w:val="22"/>
          <w:lang w:bidi="pl-PL"/>
        </w:rPr>
      </w:pPr>
      <w:r w:rsidRPr="00C32FD6">
        <w:rPr>
          <w:b/>
          <w:sz w:val="22"/>
          <w:lang w:bidi="pl-PL"/>
        </w:rPr>
        <w:t>18.</w:t>
      </w:r>
      <w:r w:rsidRPr="00C32FD6">
        <w:rPr>
          <w:b/>
          <w:sz w:val="22"/>
          <w:lang w:bidi="pl-PL"/>
        </w:rPr>
        <w:tab/>
        <w:t>NIEPOWTARZALNY IDENTYFIKATOR – DANE CZYTELNE DLA CZŁOWIEKA</w:t>
      </w:r>
    </w:p>
    <w:p w14:paraId="343ED054" w14:textId="77777777" w:rsidR="00E47B30" w:rsidRPr="00C32FD6" w:rsidRDefault="00E47B30" w:rsidP="00B66913">
      <w:pPr>
        <w:rPr>
          <w:vanish/>
          <w:sz w:val="22"/>
          <w:lang w:bidi="pl-PL"/>
        </w:rPr>
      </w:pPr>
    </w:p>
    <w:p w14:paraId="68CB03A6" w14:textId="77777777" w:rsidR="00E47B30" w:rsidRPr="00C32FD6" w:rsidRDefault="00E47B30" w:rsidP="00B66913">
      <w:pPr>
        <w:tabs>
          <w:tab w:val="left" w:pos="567"/>
        </w:tabs>
        <w:spacing w:line="260" w:lineRule="exact"/>
        <w:rPr>
          <w:sz w:val="22"/>
          <w:lang w:bidi="pl-PL"/>
        </w:rPr>
      </w:pPr>
      <w:r w:rsidRPr="00C32FD6">
        <w:rPr>
          <w:sz w:val="22"/>
          <w:lang w:bidi="pl-PL"/>
        </w:rPr>
        <w:t>PC:</w:t>
      </w:r>
    </w:p>
    <w:p w14:paraId="4F57EF0A" w14:textId="77777777" w:rsidR="00E47B30" w:rsidRPr="00C32FD6" w:rsidRDefault="00E47B30" w:rsidP="00B66913">
      <w:pPr>
        <w:tabs>
          <w:tab w:val="left" w:pos="567"/>
        </w:tabs>
        <w:rPr>
          <w:sz w:val="22"/>
          <w:lang w:bidi="pl-PL"/>
        </w:rPr>
      </w:pPr>
      <w:r w:rsidRPr="00C32FD6">
        <w:rPr>
          <w:sz w:val="22"/>
          <w:lang w:bidi="pl-PL"/>
        </w:rPr>
        <w:t>SN:</w:t>
      </w:r>
    </w:p>
    <w:p w14:paraId="7B7A3682" w14:textId="77777777" w:rsidR="00E47B30" w:rsidRPr="00C32FD6" w:rsidRDefault="00E47B30" w:rsidP="00B66913">
      <w:pPr>
        <w:tabs>
          <w:tab w:val="left" w:pos="567"/>
        </w:tabs>
        <w:rPr>
          <w:sz w:val="22"/>
          <w:shd w:val="clear" w:color="auto" w:fill="CCCCCC"/>
          <w:lang w:bidi="pl-PL"/>
        </w:rPr>
      </w:pPr>
      <w:r w:rsidRPr="00C32FD6">
        <w:rPr>
          <w:sz w:val="22"/>
          <w:lang w:bidi="pl-PL"/>
        </w:rPr>
        <w:t>NN:</w:t>
      </w:r>
    </w:p>
    <w:p w14:paraId="1A8A1E4D" w14:textId="77777777" w:rsidR="00E47B30" w:rsidRDefault="00E47B30" w:rsidP="00E47B30">
      <w:pPr>
        <w:tabs>
          <w:tab w:val="left" w:pos="720"/>
        </w:tabs>
      </w:pPr>
    </w:p>
    <w:p w14:paraId="3FB93A3A" w14:textId="77777777" w:rsidR="00E47B30" w:rsidRDefault="00E47B30" w:rsidP="00E47B30">
      <w:pPr>
        <w:tabs>
          <w:tab w:val="left" w:pos="720"/>
        </w:tabs>
        <w:rPr>
          <w:color w:val="000000"/>
        </w:rPr>
      </w:pPr>
    </w:p>
    <w:p w14:paraId="3FFB9D22" w14:textId="77777777" w:rsidR="00E47B30" w:rsidRDefault="00E47B30" w:rsidP="00A41668">
      <w:pPr>
        <w:rPr>
          <w:sz w:val="22"/>
        </w:rPr>
      </w:pPr>
    </w:p>
    <w:p w14:paraId="32C807EE" w14:textId="77777777" w:rsidR="00E47B30" w:rsidRDefault="00E47B30" w:rsidP="00A41668">
      <w:pPr>
        <w:rPr>
          <w:sz w:val="22"/>
        </w:rPr>
      </w:pPr>
    </w:p>
    <w:p w14:paraId="3EE5027D" w14:textId="77777777" w:rsidR="00E47B30" w:rsidRPr="005138D5" w:rsidRDefault="00E47B30" w:rsidP="00A41668">
      <w:pPr>
        <w:rPr>
          <w:sz w:val="22"/>
        </w:rPr>
      </w:pPr>
    </w:p>
    <w:p w14:paraId="729D44C2" w14:textId="77777777" w:rsidR="00575F5E"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br w:type="page"/>
        <w:t>MINIMUM INFORMACJI ZAMIESZCZANYCH NA BLISTRACH LUB OPAKOWANIACH FOLIOWYCH</w:t>
      </w:r>
    </w:p>
    <w:p w14:paraId="1663AE08" w14:textId="77777777" w:rsidR="00B66913" w:rsidRPr="005138D5" w:rsidRDefault="00B66913" w:rsidP="00A41668">
      <w:pPr>
        <w:pBdr>
          <w:top w:val="single" w:sz="4" w:space="1" w:color="auto"/>
          <w:left w:val="single" w:sz="4" w:space="4" w:color="auto"/>
          <w:bottom w:val="single" w:sz="4" w:space="1" w:color="auto"/>
          <w:right w:val="single" w:sz="4" w:space="4" w:color="auto"/>
        </w:pBdr>
        <w:rPr>
          <w:b/>
          <w:sz w:val="22"/>
        </w:rPr>
      </w:pPr>
    </w:p>
    <w:p w14:paraId="09181D96"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Blister </w:t>
      </w:r>
      <w:r w:rsidR="000E43D0" w:rsidRPr="005138D5">
        <w:rPr>
          <w:b/>
          <w:sz w:val="22"/>
        </w:rPr>
        <w:t>(</w:t>
      </w:r>
      <w:r w:rsidR="003E71FF" w:rsidRPr="005138D5">
        <w:rPr>
          <w:b/>
          <w:sz w:val="22"/>
        </w:rPr>
        <w:t xml:space="preserve">blister z folii </w:t>
      </w:r>
      <w:r w:rsidR="000E43D0" w:rsidRPr="005138D5">
        <w:rPr>
          <w:b/>
          <w:sz w:val="22"/>
        </w:rPr>
        <w:t xml:space="preserve">dla tabletek powlekanych </w:t>
      </w:r>
      <w:r w:rsidRPr="005138D5">
        <w:rPr>
          <w:b/>
          <w:sz w:val="22"/>
        </w:rPr>
        <w:t>50</w:t>
      </w:r>
      <w:r w:rsidR="00086D10" w:rsidRPr="005138D5">
        <w:rPr>
          <w:b/>
          <w:sz w:val="22"/>
        </w:rPr>
        <w:t> mg</w:t>
      </w:r>
      <w:r w:rsidRPr="005138D5">
        <w:rPr>
          <w:b/>
          <w:sz w:val="22"/>
        </w:rPr>
        <w:t xml:space="preserve"> – (wszystkie opakowania</w:t>
      </w:r>
      <w:r w:rsidR="000E43D0" w:rsidRPr="005138D5">
        <w:rPr>
          <w:b/>
          <w:sz w:val="22"/>
        </w:rPr>
        <w:t xml:space="preserve"> blistrowe</w:t>
      </w:r>
      <w:r w:rsidRPr="005138D5">
        <w:rPr>
          <w:b/>
          <w:sz w:val="22"/>
        </w:rPr>
        <w:t>)</w:t>
      </w:r>
      <w:r w:rsidR="003366A7" w:rsidRPr="005138D5">
        <w:rPr>
          <w:b/>
          <w:sz w:val="22"/>
        </w:rPr>
        <w:t>)</w:t>
      </w:r>
    </w:p>
    <w:p w14:paraId="7D33AB33" w14:textId="77777777" w:rsidR="00575F5E" w:rsidRPr="005138D5" w:rsidRDefault="00575F5E" w:rsidP="00DF39CB">
      <w:pPr>
        <w:rPr>
          <w:sz w:val="22"/>
        </w:rPr>
      </w:pPr>
    </w:p>
    <w:p w14:paraId="423BCE12" w14:textId="77777777" w:rsidR="00575F5E" w:rsidRPr="005138D5" w:rsidRDefault="00575F5E" w:rsidP="00DF39CB">
      <w:pPr>
        <w:rPr>
          <w:sz w:val="22"/>
        </w:rPr>
      </w:pPr>
    </w:p>
    <w:p w14:paraId="0B5D5CD6"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 </w:t>
      </w:r>
      <w:r w:rsidRPr="005138D5">
        <w:rPr>
          <w:b/>
          <w:sz w:val="22"/>
        </w:rPr>
        <w:tab/>
        <w:t>NAZWA PRODUKTU LECZNICZEGO</w:t>
      </w:r>
    </w:p>
    <w:p w14:paraId="17BF3E7C" w14:textId="77777777" w:rsidR="00575F5E" w:rsidRPr="005138D5" w:rsidRDefault="00575F5E" w:rsidP="00A41668">
      <w:pPr>
        <w:rPr>
          <w:sz w:val="22"/>
        </w:rPr>
      </w:pPr>
    </w:p>
    <w:p w14:paraId="1ECCCC21" w14:textId="77777777" w:rsidR="00575F5E" w:rsidRPr="005138D5" w:rsidRDefault="000E43D0" w:rsidP="00A41668">
      <w:pPr>
        <w:rPr>
          <w:sz w:val="22"/>
        </w:rPr>
      </w:pPr>
      <w:r w:rsidRPr="005138D5">
        <w:rPr>
          <w:sz w:val="22"/>
        </w:rPr>
        <w:t>Voriconazole Accord</w:t>
      </w:r>
      <w:r w:rsidRPr="005138D5" w:rsidDel="000E43D0">
        <w:rPr>
          <w:sz w:val="22"/>
        </w:rPr>
        <w:t xml:space="preserve"> </w:t>
      </w:r>
      <w:r w:rsidR="00575F5E" w:rsidRPr="005138D5">
        <w:rPr>
          <w:sz w:val="22"/>
        </w:rPr>
        <w:t>50</w:t>
      </w:r>
      <w:r w:rsidR="00086D10" w:rsidRPr="005138D5">
        <w:rPr>
          <w:sz w:val="22"/>
        </w:rPr>
        <w:t> mg</w:t>
      </w:r>
      <w:r w:rsidR="00575F5E" w:rsidRPr="005138D5">
        <w:rPr>
          <w:sz w:val="22"/>
        </w:rPr>
        <w:t xml:space="preserve"> tabletki powlekane</w:t>
      </w:r>
    </w:p>
    <w:p w14:paraId="31BFC07E" w14:textId="77777777" w:rsidR="00575F5E" w:rsidRPr="005138D5" w:rsidRDefault="00575F5E" w:rsidP="00A41668">
      <w:pPr>
        <w:rPr>
          <w:sz w:val="22"/>
        </w:rPr>
      </w:pPr>
      <w:r w:rsidRPr="005138D5">
        <w:rPr>
          <w:sz w:val="22"/>
        </w:rPr>
        <w:t>Worykonazol</w:t>
      </w:r>
    </w:p>
    <w:p w14:paraId="24486596" w14:textId="77777777" w:rsidR="00575F5E" w:rsidRPr="005138D5" w:rsidRDefault="00575F5E" w:rsidP="00A41668">
      <w:pPr>
        <w:rPr>
          <w:sz w:val="22"/>
        </w:rPr>
      </w:pPr>
    </w:p>
    <w:p w14:paraId="086DEDBC" w14:textId="77777777" w:rsidR="00575F5E" w:rsidRPr="005138D5" w:rsidRDefault="00575F5E" w:rsidP="00A41668">
      <w:pPr>
        <w:rPr>
          <w:sz w:val="22"/>
        </w:rPr>
      </w:pPr>
    </w:p>
    <w:p w14:paraId="7C45E849"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2. </w:t>
      </w:r>
      <w:r w:rsidRPr="005138D5">
        <w:rPr>
          <w:b/>
          <w:sz w:val="22"/>
        </w:rPr>
        <w:tab/>
        <w:t>NAZWA PODMIOTU ODPOWIEDZIALNEGO</w:t>
      </w:r>
    </w:p>
    <w:p w14:paraId="20ED320E" w14:textId="77777777" w:rsidR="00575F5E" w:rsidRPr="005138D5" w:rsidRDefault="00575F5E" w:rsidP="00A41668">
      <w:pPr>
        <w:rPr>
          <w:iCs/>
          <w:sz w:val="22"/>
        </w:rPr>
      </w:pPr>
    </w:p>
    <w:p w14:paraId="46A60E8A" w14:textId="77777777" w:rsidR="00575F5E" w:rsidRPr="005138D5" w:rsidRDefault="004C5457" w:rsidP="00A41668">
      <w:pPr>
        <w:rPr>
          <w:iCs/>
          <w:sz w:val="22"/>
        </w:rPr>
      </w:pPr>
      <w:r w:rsidRPr="005138D5">
        <w:rPr>
          <w:iCs/>
          <w:sz w:val="22"/>
        </w:rPr>
        <w:t>Accord</w:t>
      </w:r>
      <w:r w:rsidR="00B26438" w:rsidRPr="005138D5">
        <w:rPr>
          <w:iCs/>
          <w:sz w:val="22"/>
        </w:rPr>
        <w:t xml:space="preserve"> {logo}</w:t>
      </w:r>
    </w:p>
    <w:p w14:paraId="6B889A99" w14:textId="77777777" w:rsidR="00575F5E" w:rsidRPr="005138D5" w:rsidRDefault="00575F5E" w:rsidP="00A41668">
      <w:pPr>
        <w:rPr>
          <w:iCs/>
          <w:sz w:val="22"/>
        </w:rPr>
      </w:pPr>
    </w:p>
    <w:p w14:paraId="729FD0F2" w14:textId="77777777" w:rsidR="00575F5E" w:rsidRPr="005138D5" w:rsidRDefault="00575F5E" w:rsidP="00A41668">
      <w:pPr>
        <w:rPr>
          <w:iCs/>
          <w:sz w:val="22"/>
        </w:rPr>
      </w:pPr>
    </w:p>
    <w:p w14:paraId="781FCD5F"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3. </w:t>
      </w:r>
      <w:r w:rsidRPr="005138D5">
        <w:rPr>
          <w:b/>
          <w:sz w:val="22"/>
        </w:rPr>
        <w:tab/>
        <w:t>TERMIN WAŻNOŚCI</w:t>
      </w:r>
    </w:p>
    <w:p w14:paraId="7716A048" w14:textId="77777777" w:rsidR="00575F5E" w:rsidRPr="005138D5" w:rsidRDefault="00575F5E" w:rsidP="00A41668">
      <w:pPr>
        <w:rPr>
          <w:sz w:val="22"/>
        </w:rPr>
      </w:pPr>
    </w:p>
    <w:p w14:paraId="3A0FE437" w14:textId="77777777" w:rsidR="00575F5E" w:rsidRPr="005138D5" w:rsidRDefault="00721DB2" w:rsidP="00A41668">
      <w:pPr>
        <w:rPr>
          <w:sz w:val="22"/>
        </w:rPr>
      </w:pPr>
      <w:r w:rsidRPr="005138D5">
        <w:rPr>
          <w:sz w:val="22"/>
        </w:rPr>
        <w:t>EXP</w:t>
      </w:r>
      <w:r w:rsidR="00575F5E" w:rsidRPr="005138D5">
        <w:rPr>
          <w:sz w:val="22"/>
        </w:rPr>
        <w:t>:</w:t>
      </w:r>
    </w:p>
    <w:p w14:paraId="0EB2E7C7" w14:textId="77777777" w:rsidR="00575F5E" w:rsidRPr="005138D5" w:rsidRDefault="00575F5E" w:rsidP="00A41668">
      <w:pPr>
        <w:rPr>
          <w:sz w:val="22"/>
        </w:rPr>
      </w:pPr>
    </w:p>
    <w:p w14:paraId="00726FF3" w14:textId="77777777" w:rsidR="00575F5E" w:rsidRPr="005138D5" w:rsidRDefault="00575F5E" w:rsidP="00A41668">
      <w:pPr>
        <w:rPr>
          <w:sz w:val="22"/>
        </w:rPr>
      </w:pPr>
    </w:p>
    <w:p w14:paraId="413D68A9"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4. </w:t>
      </w:r>
      <w:r w:rsidRPr="005138D5">
        <w:rPr>
          <w:b/>
          <w:sz w:val="22"/>
        </w:rPr>
        <w:tab/>
        <w:t>NUMER SERII</w:t>
      </w:r>
    </w:p>
    <w:p w14:paraId="6BE4FBC0" w14:textId="77777777" w:rsidR="00575F5E" w:rsidRPr="005138D5" w:rsidRDefault="00575F5E" w:rsidP="00A41668">
      <w:pPr>
        <w:rPr>
          <w:sz w:val="22"/>
        </w:rPr>
      </w:pPr>
    </w:p>
    <w:p w14:paraId="4A9AF0AE" w14:textId="77777777" w:rsidR="00575F5E" w:rsidRPr="005138D5" w:rsidRDefault="00721DB2" w:rsidP="00A41668">
      <w:pPr>
        <w:rPr>
          <w:sz w:val="22"/>
        </w:rPr>
      </w:pPr>
      <w:r w:rsidRPr="005138D5">
        <w:rPr>
          <w:sz w:val="22"/>
        </w:rPr>
        <w:t>Lot</w:t>
      </w:r>
      <w:r w:rsidR="00575F5E" w:rsidRPr="005138D5">
        <w:rPr>
          <w:sz w:val="22"/>
        </w:rPr>
        <w:t>:</w:t>
      </w:r>
    </w:p>
    <w:p w14:paraId="35102DD6" w14:textId="77777777" w:rsidR="00575F5E" w:rsidRPr="005138D5" w:rsidRDefault="00575F5E" w:rsidP="00A41668">
      <w:pPr>
        <w:rPr>
          <w:sz w:val="22"/>
        </w:rPr>
      </w:pPr>
    </w:p>
    <w:p w14:paraId="48BB306D" w14:textId="77777777" w:rsidR="00575F5E" w:rsidRPr="005138D5" w:rsidRDefault="00575F5E" w:rsidP="00A41668">
      <w:pPr>
        <w:rPr>
          <w:sz w:val="22"/>
        </w:rPr>
      </w:pPr>
    </w:p>
    <w:p w14:paraId="503D9C97" w14:textId="77777777" w:rsidR="00575F5E" w:rsidRPr="005138D5" w:rsidRDefault="00575F5E" w:rsidP="00A41668">
      <w:pPr>
        <w:pBdr>
          <w:top w:val="single" w:sz="4" w:space="1" w:color="auto"/>
          <w:left w:val="single" w:sz="4" w:space="4" w:color="auto"/>
          <w:bottom w:val="single" w:sz="4" w:space="1" w:color="auto"/>
          <w:right w:val="single" w:sz="4" w:space="4" w:color="auto"/>
        </w:pBdr>
        <w:tabs>
          <w:tab w:val="left" w:pos="720"/>
        </w:tabs>
        <w:rPr>
          <w:noProof/>
          <w:sz w:val="22"/>
        </w:rPr>
      </w:pPr>
      <w:r w:rsidRPr="005138D5">
        <w:rPr>
          <w:b/>
          <w:noProof/>
          <w:sz w:val="22"/>
        </w:rPr>
        <w:t>5.</w:t>
      </w:r>
      <w:r w:rsidRPr="005138D5">
        <w:rPr>
          <w:b/>
          <w:noProof/>
          <w:sz w:val="22"/>
        </w:rPr>
        <w:tab/>
        <w:t>INNE</w:t>
      </w:r>
    </w:p>
    <w:p w14:paraId="66AD2246" w14:textId="77777777" w:rsidR="00575F5E" w:rsidRPr="005138D5" w:rsidRDefault="00575F5E" w:rsidP="00A41668">
      <w:pPr>
        <w:rPr>
          <w:sz w:val="22"/>
        </w:rPr>
      </w:pPr>
    </w:p>
    <w:p w14:paraId="1B08B3F8" w14:textId="77777777" w:rsidR="004C5457"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Cs/>
          <w:sz w:val="22"/>
        </w:rPr>
        <w:br w:type="page"/>
      </w:r>
      <w:r w:rsidRPr="005138D5">
        <w:rPr>
          <w:b/>
          <w:sz w:val="22"/>
        </w:rPr>
        <w:t>INFORMACJE ZAMI</w:t>
      </w:r>
      <w:r w:rsidR="00AD7A75" w:rsidRPr="005138D5">
        <w:rPr>
          <w:b/>
          <w:sz w:val="22"/>
        </w:rPr>
        <w:t>E</w:t>
      </w:r>
      <w:r w:rsidRPr="005138D5">
        <w:rPr>
          <w:b/>
          <w:sz w:val="22"/>
        </w:rPr>
        <w:t>SZC</w:t>
      </w:r>
      <w:r w:rsidR="00AD7A75" w:rsidRPr="005138D5">
        <w:rPr>
          <w:b/>
          <w:sz w:val="22"/>
        </w:rPr>
        <w:t>Z</w:t>
      </w:r>
      <w:r w:rsidRPr="005138D5">
        <w:rPr>
          <w:b/>
          <w:sz w:val="22"/>
        </w:rPr>
        <w:t>ANE NA OPAKOWANIACH ZEWNĘTRZNYCH</w:t>
      </w:r>
    </w:p>
    <w:p w14:paraId="37ECF115"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p>
    <w:p w14:paraId="17E9911E" w14:textId="77777777" w:rsidR="00575F5E" w:rsidRPr="005138D5" w:rsidRDefault="003366A7"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Pudełko kartonowe </w:t>
      </w:r>
      <w:r w:rsidR="00575F5E" w:rsidRPr="005138D5">
        <w:rPr>
          <w:b/>
          <w:sz w:val="22"/>
        </w:rPr>
        <w:t>(</w:t>
      </w:r>
      <w:r w:rsidR="00B62C46" w:rsidRPr="005138D5">
        <w:rPr>
          <w:b/>
          <w:sz w:val="22"/>
        </w:rPr>
        <w:t>na o</w:t>
      </w:r>
      <w:r w:rsidR="004C5457" w:rsidRPr="005138D5">
        <w:rPr>
          <w:b/>
          <w:sz w:val="22"/>
        </w:rPr>
        <w:t>pakownia blistrowe dla tabletek powlekanych 200</w:t>
      </w:r>
      <w:r w:rsidR="00086D10" w:rsidRPr="005138D5">
        <w:rPr>
          <w:b/>
          <w:sz w:val="22"/>
        </w:rPr>
        <w:t> mg</w:t>
      </w:r>
      <w:r w:rsidR="007D7DDA" w:rsidRPr="005138D5">
        <w:rPr>
          <w:b/>
          <w:sz w:val="22"/>
        </w:rPr>
        <w:t xml:space="preserve"> </w:t>
      </w:r>
      <w:r w:rsidR="00575F5E" w:rsidRPr="005138D5">
        <w:rPr>
          <w:b/>
          <w:sz w:val="22"/>
        </w:rPr>
        <w:t xml:space="preserve">– </w:t>
      </w:r>
      <w:r w:rsidR="004C5457" w:rsidRPr="005138D5">
        <w:rPr>
          <w:b/>
          <w:sz w:val="22"/>
        </w:rPr>
        <w:t xml:space="preserve">opakowania zawierające po </w:t>
      </w:r>
      <w:r w:rsidR="00575F5E" w:rsidRPr="005138D5">
        <w:rPr>
          <w:b/>
          <w:sz w:val="22"/>
        </w:rPr>
        <w:t xml:space="preserve">2, </w:t>
      </w:r>
      <w:r w:rsidR="004C5457" w:rsidRPr="005138D5">
        <w:rPr>
          <w:b/>
          <w:sz w:val="22"/>
        </w:rPr>
        <w:t xml:space="preserve">10, 14, 20, 28, </w:t>
      </w:r>
      <w:r w:rsidR="00575F5E" w:rsidRPr="005138D5">
        <w:rPr>
          <w:b/>
          <w:sz w:val="22"/>
        </w:rPr>
        <w:t xml:space="preserve">30, </w:t>
      </w:r>
      <w:r w:rsidR="004C5457" w:rsidRPr="005138D5">
        <w:rPr>
          <w:b/>
          <w:sz w:val="22"/>
        </w:rPr>
        <w:t xml:space="preserve">50, 56, </w:t>
      </w:r>
      <w:r w:rsidR="00575F5E" w:rsidRPr="005138D5">
        <w:rPr>
          <w:b/>
          <w:sz w:val="22"/>
        </w:rPr>
        <w:t>100 tabletek</w:t>
      </w:r>
      <w:r w:rsidR="004C5457" w:rsidRPr="005138D5">
        <w:rPr>
          <w:b/>
          <w:sz w:val="22"/>
        </w:rPr>
        <w:t>)</w:t>
      </w:r>
    </w:p>
    <w:p w14:paraId="7670E13F" w14:textId="77777777" w:rsidR="00575F5E" w:rsidRPr="005138D5" w:rsidRDefault="00575F5E" w:rsidP="00A41668">
      <w:pPr>
        <w:rPr>
          <w:b/>
          <w:sz w:val="22"/>
        </w:rPr>
      </w:pPr>
    </w:p>
    <w:p w14:paraId="637E1450" w14:textId="77777777" w:rsidR="00575F5E" w:rsidRPr="005138D5" w:rsidRDefault="00575F5E" w:rsidP="00A41668">
      <w:pPr>
        <w:rPr>
          <w:b/>
          <w:i/>
          <w:sz w:val="22"/>
        </w:rPr>
      </w:pPr>
    </w:p>
    <w:p w14:paraId="76DE2696"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 </w:t>
      </w:r>
      <w:r w:rsidRPr="005138D5">
        <w:rPr>
          <w:b/>
          <w:sz w:val="22"/>
        </w:rPr>
        <w:tab/>
        <w:t>NAZWA PRODUKTU LECZNICZEGO</w:t>
      </w:r>
    </w:p>
    <w:p w14:paraId="437B4D6A" w14:textId="77777777" w:rsidR="00575F5E" w:rsidRPr="005138D5" w:rsidRDefault="00575F5E" w:rsidP="00A41668">
      <w:pPr>
        <w:rPr>
          <w:sz w:val="22"/>
        </w:rPr>
      </w:pPr>
    </w:p>
    <w:p w14:paraId="6C55BE56" w14:textId="77777777" w:rsidR="00575F5E" w:rsidRPr="005138D5" w:rsidRDefault="004C5457" w:rsidP="00A41668">
      <w:pPr>
        <w:rPr>
          <w:sz w:val="22"/>
        </w:rPr>
      </w:pPr>
      <w:r w:rsidRPr="005138D5">
        <w:rPr>
          <w:sz w:val="22"/>
        </w:rPr>
        <w:t>Voriconazole Accord 20</w:t>
      </w:r>
      <w:r w:rsidR="00575F5E" w:rsidRPr="005138D5">
        <w:rPr>
          <w:sz w:val="22"/>
        </w:rPr>
        <w:t>0</w:t>
      </w:r>
      <w:r w:rsidR="00086D10" w:rsidRPr="005138D5">
        <w:rPr>
          <w:sz w:val="22"/>
        </w:rPr>
        <w:t> mg</w:t>
      </w:r>
      <w:r w:rsidR="00575F5E" w:rsidRPr="005138D5">
        <w:rPr>
          <w:sz w:val="22"/>
        </w:rPr>
        <w:t xml:space="preserve"> tabletki powlekane</w:t>
      </w:r>
    </w:p>
    <w:p w14:paraId="3073D97C" w14:textId="77777777" w:rsidR="00575F5E" w:rsidRPr="005138D5" w:rsidRDefault="00575F5E" w:rsidP="00A41668">
      <w:pPr>
        <w:rPr>
          <w:sz w:val="22"/>
        </w:rPr>
      </w:pPr>
      <w:r w:rsidRPr="005138D5">
        <w:rPr>
          <w:sz w:val="22"/>
        </w:rPr>
        <w:t>Worykonazol</w:t>
      </w:r>
    </w:p>
    <w:p w14:paraId="676B47C8" w14:textId="77777777" w:rsidR="00575F5E" w:rsidRPr="005138D5" w:rsidRDefault="00575F5E" w:rsidP="00A41668">
      <w:pPr>
        <w:rPr>
          <w:sz w:val="22"/>
        </w:rPr>
      </w:pPr>
    </w:p>
    <w:p w14:paraId="19ADA66A" w14:textId="77777777" w:rsidR="00575F5E" w:rsidRPr="005138D5" w:rsidRDefault="00575F5E" w:rsidP="00A41668">
      <w:pPr>
        <w:rPr>
          <w:sz w:val="22"/>
        </w:rPr>
      </w:pPr>
    </w:p>
    <w:p w14:paraId="35D5F36B"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2. </w:t>
      </w:r>
      <w:r w:rsidRPr="005138D5">
        <w:rPr>
          <w:b/>
          <w:sz w:val="22"/>
        </w:rPr>
        <w:tab/>
        <w:t>ZAWARTOŚĆ SUBSTANCJI CZYNNEJ</w:t>
      </w:r>
      <w:r w:rsidR="003366A7" w:rsidRPr="005138D5">
        <w:rPr>
          <w:b/>
          <w:sz w:val="22"/>
        </w:rPr>
        <w:t>(YCH)</w:t>
      </w:r>
    </w:p>
    <w:p w14:paraId="6BE83193" w14:textId="77777777" w:rsidR="00575F5E" w:rsidRPr="005138D5" w:rsidRDefault="00575F5E" w:rsidP="00A41668">
      <w:pPr>
        <w:rPr>
          <w:iCs/>
          <w:sz w:val="22"/>
        </w:rPr>
      </w:pPr>
    </w:p>
    <w:p w14:paraId="45C2CF36" w14:textId="77777777" w:rsidR="00575F5E" w:rsidRPr="005138D5" w:rsidRDefault="00575F5E" w:rsidP="00A41668">
      <w:pPr>
        <w:rPr>
          <w:iCs/>
          <w:sz w:val="22"/>
        </w:rPr>
      </w:pPr>
      <w:r w:rsidRPr="005138D5">
        <w:rPr>
          <w:iCs/>
          <w:sz w:val="22"/>
        </w:rPr>
        <w:t xml:space="preserve">Każda tabletka zawiera </w:t>
      </w:r>
      <w:r w:rsidR="004C5457" w:rsidRPr="005138D5">
        <w:rPr>
          <w:iCs/>
          <w:sz w:val="22"/>
        </w:rPr>
        <w:t>200</w:t>
      </w:r>
      <w:r w:rsidR="00086D10" w:rsidRPr="005138D5">
        <w:rPr>
          <w:iCs/>
          <w:sz w:val="22"/>
        </w:rPr>
        <w:t> mg</w:t>
      </w:r>
      <w:r w:rsidRPr="005138D5">
        <w:rPr>
          <w:iCs/>
          <w:sz w:val="22"/>
        </w:rPr>
        <w:t xml:space="preserve"> worykonazolu. </w:t>
      </w:r>
    </w:p>
    <w:p w14:paraId="5D94195E" w14:textId="77777777" w:rsidR="00575F5E" w:rsidRPr="005138D5" w:rsidRDefault="00575F5E" w:rsidP="00A41668">
      <w:pPr>
        <w:rPr>
          <w:iCs/>
          <w:sz w:val="22"/>
        </w:rPr>
      </w:pPr>
    </w:p>
    <w:p w14:paraId="159E0152" w14:textId="77777777" w:rsidR="00575F5E" w:rsidRPr="005138D5" w:rsidRDefault="00575F5E" w:rsidP="00A41668">
      <w:pPr>
        <w:rPr>
          <w:iCs/>
          <w:sz w:val="22"/>
        </w:rPr>
      </w:pPr>
    </w:p>
    <w:p w14:paraId="69A555EB"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3. </w:t>
      </w:r>
      <w:r w:rsidRPr="005138D5">
        <w:rPr>
          <w:b/>
          <w:sz w:val="22"/>
        </w:rPr>
        <w:tab/>
        <w:t>WYKAZ SUBSTANCJI POMOCNICZYCH</w:t>
      </w:r>
    </w:p>
    <w:p w14:paraId="06DDFBE1" w14:textId="77777777" w:rsidR="00575F5E" w:rsidRPr="005138D5" w:rsidRDefault="00575F5E" w:rsidP="00A41668">
      <w:pPr>
        <w:rPr>
          <w:sz w:val="22"/>
        </w:rPr>
      </w:pPr>
    </w:p>
    <w:p w14:paraId="0D14A29C" w14:textId="77777777" w:rsidR="00575F5E" w:rsidRPr="005138D5" w:rsidRDefault="00575F5E" w:rsidP="00A41668">
      <w:pPr>
        <w:rPr>
          <w:sz w:val="22"/>
        </w:rPr>
      </w:pPr>
      <w:r w:rsidRPr="005138D5">
        <w:rPr>
          <w:sz w:val="22"/>
        </w:rPr>
        <w:t>Lek zawiera laktozę jednowodną</w:t>
      </w:r>
      <w:r w:rsidR="00870DEA" w:rsidRPr="005138D5">
        <w:rPr>
          <w:sz w:val="22"/>
        </w:rPr>
        <w:t xml:space="preserve"> – </w:t>
      </w:r>
      <w:r w:rsidR="00721DB2" w:rsidRPr="005138D5">
        <w:rPr>
          <w:sz w:val="22"/>
        </w:rPr>
        <w:t>więcej informacji znajduje się w ulotce</w:t>
      </w:r>
      <w:r w:rsidR="00B26438" w:rsidRPr="005138D5">
        <w:rPr>
          <w:sz w:val="22"/>
        </w:rPr>
        <w:t>.</w:t>
      </w:r>
    </w:p>
    <w:p w14:paraId="6BAEF32A" w14:textId="77777777" w:rsidR="00575F5E" w:rsidRPr="005138D5" w:rsidRDefault="00575F5E" w:rsidP="00A41668">
      <w:pPr>
        <w:rPr>
          <w:sz w:val="22"/>
        </w:rPr>
      </w:pPr>
    </w:p>
    <w:p w14:paraId="31B390D0" w14:textId="77777777" w:rsidR="00EC1B5B" w:rsidRPr="005138D5" w:rsidRDefault="00EC1B5B" w:rsidP="00A41668">
      <w:pPr>
        <w:rPr>
          <w:sz w:val="22"/>
        </w:rPr>
      </w:pPr>
    </w:p>
    <w:p w14:paraId="50C74D75"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4. </w:t>
      </w:r>
      <w:r w:rsidRPr="005138D5">
        <w:rPr>
          <w:b/>
          <w:sz w:val="22"/>
        </w:rPr>
        <w:tab/>
        <w:t>POSTAĆ FARMACEUTYCZNA I ZAWARTOŚĆ OPAKOWANIA</w:t>
      </w:r>
    </w:p>
    <w:p w14:paraId="08F36FCD" w14:textId="77777777" w:rsidR="00575F5E" w:rsidRPr="005138D5" w:rsidRDefault="00575F5E" w:rsidP="00A41668">
      <w:pPr>
        <w:rPr>
          <w:sz w:val="22"/>
        </w:rPr>
      </w:pPr>
    </w:p>
    <w:p w14:paraId="7E14CD55" w14:textId="77777777" w:rsidR="00AE3A2C" w:rsidRPr="005138D5" w:rsidRDefault="00575F5E" w:rsidP="00A41668">
      <w:pPr>
        <w:rPr>
          <w:sz w:val="22"/>
        </w:rPr>
      </w:pPr>
      <w:r w:rsidRPr="005138D5">
        <w:rPr>
          <w:sz w:val="22"/>
        </w:rPr>
        <w:t>2</w:t>
      </w:r>
      <w:r w:rsidR="00AE3A2C" w:rsidRPr="005138D5">
        <w:rPr>
          <w:sz w:val="22"/>
        </w:rPr>
        <w:t xml:space="preserve"> tabletki powlekane</w:t>
      </w:r>
    </w:p>
    <w:p w14:paraId="7F16291D" w14:textId="77777777" w:rsidR="004C5457" w:rsidRPr="005138D5" w:rsidRDefault="004C5457" w:rsidP="00A41668">
      <w:pPr>
        <w:rPr>
          <w:sz w:val="22"/>
          <w:highlight w:val="lightGray"/>
        </w:rPr>
      </w:pPr>
      <w:r w:rsidRPr="005138D5">
        <w:rPr>
          <w:sz w:val="22"/>
          <w:highlight w:val="lightGray"/>
        </w:rPr>
        <w:t>10 tabletek powlekanych</w:t>
      </w:r>
    </w:p>
    <w:p w14:paraId="10344BD4" w14:textId="77777777" w:rsidR="004C5457" w:rsidRPr="005138D5" w:rsidRDefault="004C5457" w:rsidP="00A41668">
      <w:pPr>
        <w:rPr>
          <w:sz w:val="22"/>
          <w:highlight w:val="lightGray"/>
        </w:rPr>
      </w:pPr>
      <w:r w:rsidRPr="005138D5">
        <w:rPr>
          <w:sz w:val="22"/>
          <w:highlight w:val="lightGray"/>
        </w:rPr>
        <w:t>14 tabletek powlekanych</w:t>
      </w:r>
    </w:p>
    <w:p w14:paraId="414DB518" w14:textId="77777777" w:rsidR="004C5457" w:rsidRPr="005138D5" w:rsidRDefault="004C5457" w:rsidP="00A41668">
      <w:pPr>
        <w:rPr>
          <w:sz w:val="22"/>
          <w:highlight w:val="lightGray"/>
        </w:rPr>
      </w:pPr>
      <w:r w:rsidRPr="005138D5">
        <w:rPr>
          <w:sz w:val="22"/>
          <w:highlight w:val="lightGray"/>
        </w:rPr>
        <w:t>20 tabletek powlekanych</w:t>
      </w:r>
    </w:p>
    <w:p w14:paraId="5D293295" w14:textId="77777777" w:rsidR="004C5457" w:rsidRPr="005138D5" w:rsidRDefault="004C5457" w:rsidP="00A41668">
      <w:pPr>
        <w:rPr>
          <w:sz w:val="22"/>
          <w:highlight w:val="lightGray"/>
        </w:rPr>
      </w:pPr>
      <w:r w:rsidRPr="005138D5">
        <w:rPr>
          <w:sz w:val="22"/>
          <w:highlight w:val="lightGray"/>
        </w:rPr>
        <w:t>28 tabletek powlekanych</w:t>
      </w:r>
    </w:p>
    <w:p w14:paraId="1086684E" w14:textId="77777777" w:rsidR="004C5457" w:rsidRPr="005138D5" w:rsidRDefault="004C5457" w:rsidP="00A41668">
      <w:pPr>
        <w:rPr>
          <w:sz w:val="22"/>
          <w:highlight w:val="lightGray"/>
        </w:rPr>
      </w:pPr>
      <w:r w:rsidRPr="005138D5">
        <w:rPr>
          <w:sz w:val="22"/>
          <w:highlight w:val="lightGray"/>
        </w:rPr>
        <w:t>30 tabletek powlekanych</w:t>
      </w:r>
    </w:p>
    <w:p w14:paraId="0F5C3A93" w14:textId="77777777" w:rsidR="004C5457" w:rsidRPr="005138D5" w:rsidRDefault="004C5457" w:rsidP="00A41668">
      <w:pPr>
        <w:rPr>
          <w:sz w:val="22"/>
          <w:highlight w:val="lightGray"/>
        </w:rPr>
      </w:pPr>
      <w:r w:rsidRPr="005138D5">
        <w:rPr>
          <w:sz w:val="22"/>
          <w:highlight w:val="lightGray"/>
        </w:rPr>
        <w:t>50  tabletek powlekanych</w:t>
      </w:r>
    </w:p>
    <w:p w14:paraId="603FE2C1" w14:textId="77777777" w:rsidR="004C5457" w:rsidRPr="005138D5" w:rsidRDefault="004C5457" w:rsidP="00A41668">
      <w:pPr>
        <w:rPr>
          <w:sz w:val="22"/>
          <w:highlight w:val="lightGray"/>
        </w:rPr>
      </w:pPr>
      <w:r w:rsidRPr="005138D5">
        <w:rPr>
          <w:sz w:val="22"/>
          <w:highlight w:val="lightGray"/>
        </w:rPr>
        <w:t>56 tabletek powlekanych</w:t>
      </w:r>
    </w:p>
    <w:p w14:paraId="0DEAFFA6" w14:textId="77777777" w:rsidR="00575F5E" w:rsidRPr="005138D5" w:rsidRDefault="00AE3A2C" w:rsidP="00A41668">
      <w:pPr>
        <w:rPr>
          <w:sz w:val="22"/>
        </w:rPr>
      </w:pPr>
      <w:r w:rsidRPr="005138D5">
        <w:rPr>
          <w:sz w:val="22"/>
          <w:highlight w:val="lightGray"/>
        </w:rPr>
        <w:t>1</w:t>
      </w:r>
      <w:r w:rsidR="00575F5E" w:rsidRPr="005138D5">
        <w:rPr>
          <w:sz w:val="22"/>
          <w:highlight w:val="lightGray"/>
        </w:rPr>
        <w:t>00 tabletek powlekanych</w:t>
      </w:r>
    </w:p>
    <w:p w14:paraId="0B5E4E9C" w14:textId="77777777" w:rsidR="00B06B30" w:rsidRPr="00A31C89" w:rsidRDefault="00B06B30" w:rsidP="00B06B30">
      <w:pPr>
        <w:rPr>
          <w:sz w:val="22"/>
          <w:highlight w:val="lightGray"/>
        </w:rPr>
      </w:pPr>
      <w:r w:rsidRPr="00A31C89">
        <w:rPr>
          <w:sz w:val="22"/>
          <w:highlight w:val="lightGray"/>
        </w:rPr>
        <w:t>10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3BFA7F34" w14:textId="77777777" w:rsidR="00B06B30" w:rsidRPr="00A31C89" w:rsidRDefault="00B06B30" w:rsidP="00B06B30">
      <w:pPr>
        <w:rPr>
          <w:sz w:val="22"/>
          <w:highlight w:val="lightGray"/>
        </w:rPr>
      </w:pPr>
      <w:r w:rsidRPr="00A31C89">
        <w:rPr>
          <w:sz w:val="22"/>
          <w:highlight w:val="lightGray"/>
        </w:rPr>
        <w:t>14</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13EEC124" w14:textId="77777777" w:rsidR="00B06B30" w:rsidRPr="00A31C89" w:rsidRDefault="00B06B30" w:rsidP="00B06B30">
      <w:pPr>
        <w:rPr>
          <w:sz w:val="22"/>
          <w:highlight w:val="lightGray"/>
        </w:rPr>
      </w:pPr>
      <w:r w:rsidRPr="00A31C89">
        <w:rPr>
          <w:sz w:val="22"/>
          <w:highlight w:val="lightGray"/>
        </w:rPr>
        <w:t>28</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49742DFC" w14:textId="77777777" w:rsidR="00B06B30" w:rsidRPr="00A31C89" w:rsidRDefault="00B06B30" w:rsidP="00B06B30">
      <w:pPr>
        <w:rPr>
          <w:sz w:val="22"/>
          <w:highlight w:val="lightGray"/>
        </w:rPr>
      </w:pPr>
      <w:r w:rsidRPr="00A31C89">
        <w:rPr>
          <w:sz w:val="22"/>
          <w:highlight w:val="lightGray"/>
        </w:rPr>
        <w:t>30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09150753" w14:textId="77777777" w:rsidR="00B06B30" w:rsidRPr="00A31C89" w:rsidRDefault="00B06B30" w:rsidP="00B06B30">
      <w:pPr>
        <w:rPr>
          <w:sz w:val="22"/>
          <w:highlight w:val="lightGray"/>
        </w:rPr>
      </w:pPr>
      <w:r w:rsidRPr="00A31C89">
        <w:rPr>
          <w:sz w:val="22"/>
          <w:highlight w:val="lightGray"/>
        </w:rPr>
        <w:t>56</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06C6A86A" w14:textId="77777777" w:rsidR="00575F5E" w:rsidRPr="005138D5" w:rsidRDefault="00B06B30" w:rsidP="00B06B30">
      <w:pPr>
        <w:rPr>
          <w:sz w:val="22"/>
        </w:rPr>
      </w:pPr>
      <w:r w:rsidRPr="00A31C89">
        <w:rPr>
          <w:sz w:val="22"/>
          <w:highlight w:val="lightGray"/>
        </w:rPr>
        <w:t>100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0E3792E6" w14:textId="77777777" w:rsidR="00575F5E" w:rsidRDefault="00575F5E" w:rsidP="00A41668">
      <w:pPr>
        <w:rPr>
          <w:sz w:val="22"/>
        </w:rPr>
      </w:pPr>
    </w:p>
    <w:p w14:paraId="050B315D" w14:textId="77777777" w:rsidR="000002AD" w:rsidRPr="005138D5" w:rsidRDefault="000002AD" w:rsidP="00A41668">
      <w:pPr>
        <w:rPr>
          <w:sz w:val="22"/>
        </w:rPr>
      </w:pPr>
    </w:p>
    <w:p w14:paraId="19716BEB"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5. </w:t>
      </w:r>
      <w:r w:rsidRPr="005138D5">
        <w:rPr>
          <w:b/>
          <w:sz w:val="22"/>
        </w:rPr>
        <w:tab/>
        <w:t>SPOSÓB I DROGA</w:t>
      </w:r>
      <w:r w:rsidR="003366A7" w:rsidRPr="005138D5">
        <w:rPr>
          <w:b/>
          <w:sz w:val="22"/>
        </w:rPr>
        <w:t>(I)</w:t>
      </w:r>
      <w:r w:rsidRPr="005138D5">
        <w:rPr>
          <w:b/>
          <w:sz w:val="22"/>
        </w:rPr>
        <w:t xml:space="preserve"> PODAWANIA</w:t>
      </w:r>
    </w:p>
    <w:p w14:paraId="2F45D384" w14:textId="77777777" w:rsidR="00575F5E" w:rsidRPr="005138D5" w:rsidRDefault="00575F5E" w:rsidP="00A41668">
      <w:pPr>
        <w:rPr>
          <w:sz w:val="22"/>
        </w:rPr>
      </w:pPr>
    </w:p>
    <w:p w14:paraId="24D02AD3" w14:textId="77777777" w:rsidR="00AE3A2C" w:rsidRPr="005138D5" w:rsidRDefault="00AE3A2C" w:rsidP="00AE3A2C">
      <w:pPr>
        <w:rPr>
          <w:noProof/>
          <w:sz w:val="22"/>
        </w:rPr>
      </w:pPr>
      <w:r w:rsidRPr="005138D5">
        <w:rPr>
          <w:noProof/>
          <w:sz w:val="22"/>
        </w:rPr>
        <w:t>Należy zapoznać się z treścią ulotki przed zastosowaniem leku.</w:t>
      </w:r>
    </w:p>
    <w:p w14:paraId="61079926" w14:textId="77777777" w:rsidR="00575F5E" w:rsidRPr="005138D5" w:rsidRDefault="00575F5E" w:rsidP="00A41668">
      <w:pPr>
        <w:rPr>
          <w:sz w:val="22"/>
        </w:rPr>
      </w:pPr>
      <w:r w:rsidRPr="005138D5">
        <w:rPr>
          <w:sz w:val="22"/>
        </w:rPr>
        <w:t>Podanie doustne.</w:t>
      </w:r>
    </w:p>
    <w:p w14:paraId="7B8B1EFE" w14:textId="77777777" w:rsidR="00575F5E" w:rsidRPr="005138D5" w:rsidRDefault="00575F5E" w:rsidP="00A41668">
      <w:pPr>
        <w:rPr>
          <w:sz w:val="22"/>
        </w:rPr>
      </w:pPr>
    </w:p>
    <w:p w14:paraId="2330EE76" w14:textId="77777777" w:rsidR="00575F5E" w:rsidRPr="005138D5" w:rsidRDefault="00575F5E" w:rsidP="00A41668">
      <w:pPr>
        <w:rPr>
          <w:sz w:val="22"/>
        </w:rPr>
      </w:pPr>
    </w:p>
    <w:p w14:paraId="2738E5D5" w14:textId="77777777" w:rsidR="00575F5E" w:rsidRPr="005138D5" w:rsidRDefault="00575F5E" w:rsidP="00A41668">
      <w:pPr>
        <w:pBdr>
          <w:top w:val="single" w:sz="4" w:space="1" w:color="auto"/>
          <w:left w:val="single" w:sz="4" w:space="4" w:color="auto"/>
          <w:bottom w:val="single" w:sz="4" w:space="1" w:color="auto"/>
          <w:right w:val="single" w:sz="4" w:space="4" w:color="auto"/>
        </w:pBdr>
        <w:tabs>
          <w:tab w:val="left" w:pos="142"/>
        </w:tabs>
        <w:ind w:left="709" w:hanging="709"/>
        <w:rPr>
          <w:b/>
          <w:noProof/>
          <w:sz w:val="22"/>
        </w:rPr>
      </w:pPr>
      <w:r w:rsidRPr="005138D5">
        <w:rPr>
          <w:b/>
          <w:noProof/>
          <w:sz w:val="22"/>
          <w:lang w:eastAsia="en-US"/>
        </w:rPr>
        <w:t>6.</w:t>
      </w:r>
      <w:r w:rsidRPr="005138D5">
        <w:rPr>
          <w:b/>
          <w:noProof/>
          <w:sz w:val="22"/>
          <w:lang w:eastAsia="en-US"/>
        </w:rPr>
        <w:tab/>
        <w:t xml:space="preserve">OSTRZEŻENIE DOTYCZĄCE PRZECHOWYWANIA PRODUKTU LECZNICZEGO W MIEJSCU </w:t>
      </w:r>
      <w:r w:rsidR="00721DB2" w:rsidRPr="005138D5">
        <w:rPr>
          <w:b/>
          <w:noProof/>
          <w:sz w:val="22"/>
        </w:rPr>
        <w:t>NIEWIDOCZNYM</w:t>
      </w:r>
      <w:r w:rsidR="00721DB2" w:rsidRPr="005138D5">
        <w:rPr>
          <w:b/>
          <w:noProof/>
          <w:sz w:val="22"/>
          <w:lang w:eastAsia="en-US"/>
        </w:rPr>
        <w:t xml:space="preserve"> I </w:t>
      </w:r>
      <w:r w:rsidRPr="005138D5">
        <w:rPr>
          <w:b/>
          <w:noProof/>
          <w:sz w:val="22"/>
          <w:lang w:eastAsia="en-US"/>
        </w:rPr>
        <w:t>NIEDOSTĘPNYM</w:t>
      </w:r>
      <w:r w:rsidRPr="005138D5">
        <w:rPr>
          <w:b/>
          <w:noProof/>
          <w:sz w:val="22"/>
        </w:rPr>
        <w:t xml:space="preserve"> DLA DZIECI</w:t>
      </w:r>
    </w:p>
    <w:p w14:paraId="4CD5E25D" w14:textId="77777777" w:rsidR="00575F5E" w:rsidRPr="005138D5" w:rsidRDefault="00575F5E" w:rsidP="00A41668">
      <w:pPr>
        <w:rPr>
          <w:sz w:val="22"/>
        </w:rPr>
      </w:pPr>
    </w:p>
    <w:p w14:paraId="4459D649" w14:textId="77777777" w:rsidR="00575F5E" w:rsidRPr="005138D5" w:rsidRDefault="00575F5E" w:rsidP="00A41668">
      <w:pPr>
        <w:rPr>
          <w:sz w:val="22"/>
        </w:rPr>
      </w:pPr>
      <w:r w:rsidRPr="005138D5">
        <w:rPr>
          <w:sz w:val="22"/>
        </w:rPr>
        <w:t xml:space="preserve">Lek przechowywać w miejscu </w:t>
      </w:r>
      <w:r w:rsidR="00AE3A2C" w:rsidRPr="005138D5">
        <w:rPr>
          <w:sz w:val="22"/>
        </w:rPr>
        <w:t xml:space="preserve">niewidocznym i </w:t>
      </w:r>
      <w:r w:rsidRPr="005138D5">
        <w:rPr>
          <w:sz w:val="22"/>
        </w:rPr>
        <w:t>niedostępnym dla dzieci.</w:t>
      </w:r>
    </w:p>
    <w:p w14:paraId="457E99D1" w14:textId="77777777" w:rsidR="00575F5E" w:rsidRPr="005138D5" w:rsidRDefault="00575F5E" w:rsidP="00A41668">
      <w:pPr>
        <w:rPr>
          <w:sz w:val="22"/>
        </w:rPr>
      </w:pPr>
    </w:p>
    <w:p w14:paraId="24DFC4F6" w14:textId="77777777" w:rsidR="00575F5E" w:rsidRPr="005138D5" w:rsidRDefault="00575F5E" w:rsidP="00A41668">
      <w:pPr>
        <w:rPr>
          <w:sz w:val="22"/>
        </w:rPr>
      </w:pPr>
    </w:p>
    <w:p w14:paraId="3793E9A2"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7. </w:t>
      </w:r>
      <w:r w:rsidRPr="005138D5">
        <w:rPr>
          <w:b/>
          <w:sz w:val="22"/>
        </w:rPr>
        <w:tab/>
        <w:t>INNE OSTRZEŻENIA SPECJALNE, JEŚLI KONIECZNE</w:t>
      </w:r>
    </w:p>
    <w:p w14:paraId="4076C4A4" w14:textId="77777777" w:rsidR="00575F5E" w:rsidRPr="005138D5" w:rsidRDefault="00575F5E" w:rsidP="00A41668">
      <w:pPr>
        <w:rPr>
          <w:sz w:val="22"/>
        </w:rPr>
      </w:pPr>
    </w:p>
    <w:p w14:paraId="2762AAC9" w14:textId="77777777" w:rsidR="00575F5E" w:rsidRPr="005138D5" w:rsidRDefault="00575F5E" w:rsidP="00A41668">
      <w:pPr>
        <w:rPr>
          <w:sz w:val="22"/>
        </w:rPr>
      </w:pPr>
    </w:p>
    <w:p w14:paraId="0F3EA761"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8. </w:t>
      </w:r>
      <w:r w:rsidRPr="005138D5">
        <w:rPr>
          <w:b/>
          <w:sz w:val="22"/>
        </w:rPr>
        <w:tab/>
        <w:t>TERMIN WAŻNOŚCI</w:t>
      </w:r>
    </w:p>
    <w:p w14:paraId="71A7FD37" w14:textId="77777777" w:rsidR="00575F5E" w:rsidRPr="005138D5" w:rsidRDefault="00575F5E" w:rsidP="00A41668">
      <w:pPr>
        <w:rPr>
          <w:sz w:val="22"/>
        </w:rPr>
      </w:pPr>
    </w:p>
    <w:p w14:paraId="54AA2409" w14:textId="77777777" w:rsidR="00575F5E" w:rsidRPr="005138D5" w:rsidRDefault="00575F5E" w:rsidP="00A41668">
      <w:pPr>
        <w:rPr>
          <w:sz w:val="22"/>
        </w:rPr>
      </w:pPr>
      <w:r w:rsidRPr="005138D5">
        <w:rPr>
          <w:sz w:val="22"/>
        </w:rPr>
        <w:t>Termin ważności</w:t>
      </w:r>
      <w:r w:rsidR="00721DB2" w:rsidRPr="005138D5">
        <w:rPr>
          <w:sz w:val="22"/>
        </w:rPr>
        <w:t xml:space="preserve"> (EXP)</w:t>
      </w:r>
      <w:r w:rsidRPr="005138D5">
        <w:rPr>
          <w:sz w:val="22"/>
        </w:rPr>
        <w:t>:</w:t>
      </w:r>
    </w:p>
    <w:p w14:paraId="1E354D41" w14:textId="77777777" w:rsidR="00575F5E" w:rsidRPr="005138D5" w:rsidRDefault="00575F5E" w:rsidP="00A41668">
      <w:pPr>
        <w:rPr>
          <w:sz w:val="22"/>
        </w:rPr>
      </w:pPr>
    </w:p>
    <w:p w14:paraId="7DE1843C"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9. </w:t>
      </w:r>
      <w:r w:rsidRPr="005138D5">
        <w:rPr>
          <w:b/>
          <w:sz w:val="22"/>
        </w:rPr>
        <w:tab/>
        <w:t>WARUNKI PRZECHOWYWANIA</w:t>
      </w:r>
    </w:p>
    <w:p w14:paraId="4F9AF8E4" w14:textId="77777777" w:rsidR="0020256B" w:rsidRPr="005138D5" w:rsidRDefault="0020256B" w:rsidP="00A41668">
      <w:pPr>
        <w:rPr>
          <w:sz w:val="22"/>
        </w:rPr>
      </w:pPr>
    </w:p>
    <w:p w14:paraId="074B2FDA" w14:textId="77777777" w:rsidR="0020256B" w:rsidRPr="005138D5" w:rsidRDefault="0020256B" w:rsidP="00A41668">
      <w:pPr>
        <w:rPr>
          <w:sz w:val="22"/>
        </w:rPr>
      </w:pPr>
    </w:p>
    <w:p w14:paraId="6A777CAF" w14:textId="77777777" w:rsidR="00575F5E" w:rsidRPr="005138D5" w:rsidRDefault="00575F5E" w:rsidP="00A41668">
      <w:pPr>
        <w:pBdr>
          <w:top w:val="single" w:sz="4" w:space="1" w:color="auto"/>
          <w:left w:val="single" w:sz="4" w:space="4" w:color="auto"/>
          <w:bottom w:val="single" w:sz="4" w:space="1" w:color="auto"/>
          <w:right w:val="single" w:sz="4" w:space="4" w:color="auto"/>
        </w:pBdr>
        <w:ind w:left="720" w:hanging="720"/>
        <w:rPr>
          <w:b/>
          <w:sz w:val="22"/>
        </w:rPr>
      </w:pPr>
      <w:r w:rsidRPr="005138D5">
        <w:rPr>
          <w:b/>
          <w:sz w:val="22"/>
        </w:rPr>
        <w:t xml:space="preserve">10. </w:t>
      </w:r>
      <w:r w:rsidRPr="005138D5">
        <w:rPr>
          <w:b/>
          <w:sz w:val="22"/>
        </w:rPr>
        <w:tab/>
        <w:t>SPECJALNE ŚRODKI OSTROŻNOŚCI DOTYCZĄCE USUWANIA NIEZUŻYTEGO PRODUKTU LECZNICZEGO LUB POCHODZĄCYCH Z NIEGO ODPADÓW, JEŚLI WŁAŚCIWE</w:t>
      </w:r>
    </w:p>
    <w:p w14:paraId="04F73226" w14:textId="77777777" w:rsidR="00575F5E" w:rsidRPr="005138D5" w:rsidRDefault="00575F5E" w:rsidP="00A41668">
      <w:pPr>
        <w:rPr>
          <w:sz w:val="22"/>
        </w:rPr>
      </w:pPr>
    </w:p>
    <w:p w14:paraId="1A4B96DA" w14:textId="77777777" w:rsidR="00575F5E" w:rsidRPr="005138D5" w:rsidRDefault="00575F5E" w:rsidP="00A41668">
      <w:pPr>
        <w:rPr>
          <w:sz w:val="22"/>
        </w:rPr>
      </w:pPr>
    </w:p>
    <w:p w14:paraId="60E6E1C4"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11. </w:t>
      </w:r>
      <w:r w:rsidRPr="005138D5">
        <w:rPr>
          <w:b/>
          <w:sz w:val="22"/>
        </w:rPr>
        <w:tab/>
        <w:t>NAZWA I ADRES PODMIOTU ODPOWIEDZIALNEGO</w:t>
      </w:r>
    </w:p>
    <w:p w14:paraId="146FFB5D" w14:textId="77777777" w:rsidR="00575F5E" w:rsidRPr="005138D5" w:rsidRDefault="00575F5E" w:rsidP="00A41668">
      <w:pPr>
        <w:rPr>
          <w:sz w:val="22"/>
        </w:rPr>
      </w:pPr>
    </w:p>
    <w:p w14:paraId="270AEC7D" w14:textId="77777777" w:rsidR="006B6E71" w:rsidRPr="00C8744C" w:rsidRDefault="006B6E71" w:rsidP="006B6E71">
      <w:pPr>
        <w:rPr>
          <w:sz w:val="22"/>
        </w:rPr>
      </w:pPr>
      <w:r w:rsidRPr="00C8744C">
        <w:rPr>
          <w:sz w:val="22"/>
        </w:rPr>
        <w:t xml:space="preserve">Accord Healthcare S.L.U. </w:t>
      </w:r>
    </w:p>
    <w:p w14:paraId="691F38BF" w14:textId="77777777" w:rsidR="006B6E71" w:rsidRPr="00043258" w:rsidRDefault="006B6E71" w:rsidP="006B6E71">
      <w:pPr>
        <w:rPr>
          <w:sz w:val="22"/>
          <w:lang w:val="en-US"/>
        </w:rPr>
      </w:pPr>
      <w:r w:rsidRPr="00043258">
        <w:rPr>
          <w:sz w:val="22"/>
          <w:lang w:val="en-US"/>
        </w:rPr>
        <w:t xml:space="preserve">World Trade Center, Moll de Barcelona, s/n, </w:t>
      </w:r>
    </w:p>
    <w:p w14:paraId="6DD0E035" w14:textId="77777777" w:rsidR="006B6E71" w:rsidRPr="006B6E71" w:rsidRDefault="006B6E71" w:rsidP="006B6E71">
      <w:pPr>
        <w:rPr>
          <w:sz w:val="22"/>
        </w:rPr>
      </w:pPr>
      <w:r w:rsidRPr="006B6E71">
        <w:rPr>
          <w:sz w:val="22"/>
        </w:rPr>
        <w:t xml:space="preserve">Edifici Est 6ª planta, </w:t>
      </w:r>
    </w:p>
    <w:p w14:paraId="013655E2" w14:textId="77777777" w:rsidR="006B6E71" w:rsidRPr="006B6E71" w:rsidRDefault="006B6E71" w:rsidP="006B6E71">
      <w:pPr>
        <w:rPr>
          <w:sz w:val="22"/>
        </w:rPr>
      </w:pPr>
      <w:r w:rsidRPr="006B6E71">
        <w:rPr>
          <w:sz w:val="22"/>
        </w:rPr>
        <w:t xml:space="preserve">08039 Barcelona, </w:t>
      </w:r>
    </w:p>
    <w:p w14:paraId="1C895FB3" w14:textId="77777777" w:rsidR="00575F5E" w:rsidRPr="00EA33D1" w:rsidRDefault="006B6E71" w:rsidP="00A41668">
      <w:pPr>
        <w:rPr>
          <w:sz w:val="22"/>
        </w:rPr>
      </w:pPr>
      <w:r w:rsidRPr="00043258">
        <w:rPr>
          <w:sz w:val="22"/>
        </w:rPr>
        <w:t>Hiszpania</w:t>
      </w:r>
    </w:p>
    <w:p w14:paraId="5D290A07" w14:textId="77777777" w:rsidR="00575F5E" w:rsidRPr="005138D5" w:rsidRDefault="00575F5E" w:rsidP="00A41668">
      <w:pPr>
        <w:rPr>
          <w:sz w:val="22"/>
        </w:rPr>
      </w:pPr>
    </w:p>
    <w:p w14:paraId="0A729623"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12. </w:t>
      </w:r>
      <w:r w:rsidRPr="005138D5">
        <w:rPr>
          <w:b/>
          <w:sz w:val="22"/>
        </w:rPr>
        <w:tab/>
        <w:t>NUMER</w:t>
      </w:r>
      <w:r w:rsidR="003366A7" w:rsidRPr="005138D5">
        <w:rPr>
          <w:b/>
          <w:sz w:val="22"/>
        </w:rPr>
        <w:t>(Y)</w:t>
      </w:r>
      <w:r w:rsidRPr="005138D5">
        <w:rPr>
          <w:b/>
          <w:sz w:val="22"/>
        </w:rPr>
        <w:t xml:space="preserve"> POZWOLENIA NA DOPUSZCZENIE DO OBROTU</w:t>
      </w:r>
    </w:p>
    <w:p w14:paraId="68F66194" w14:textId="77777777" w:rsidR="004C5457" w:rsidRPr="005138D5" w:rsidRDefault="004C5457" w:rsidP="00A41668">
      <w:pPr>
        <w:rPr>
          <w:sz w:val="22"/>
        </w:rPr>
      </w:pPr>
    </w:p>
    <w:p w14:paraId="4F0A52B1" w14:textId="77777777" w:rsidR="00881E6B" w:rsidRPr="005138D5" w:rsidRDefault="00881E6B" w:rsidP="00881E6B">
      <w:pPr>
        <w:rPr>
          <w:sz w:val="22"/>
        </w:rPr>
      </w:pPr>
      <w:r w:rsidRPr="005138D5">
        <w:rPr>
          <w:sz w:val="22"/>
        </w:rPr>
        <w:t xml:space="preserve">EU/1/13/835/010 </w:t>
      </w:r>
      <w:r w:rsidRPr="002B5E0C">
        <w:rPr>
          <w:sz w:val="22"/>
        </w:rPr>
        <w:t>2 tabletki powlekane</w:t>
      </w:r>
    </w:p>
    <w:p w14:paraId="5A1327AA" w14:textId="77777777" w:rsidR="00881E6B" w:rsidRPr="005138D5" w:rsidRDefault="00881E6B" w:rsidP="00881E6B">
      <w:pPr>
        <w:rPr>
          <w:sz w:val="22"/>
          <w:highlight w:val="lightGray"/>
        </w:rPr>
      </w:pPr>
      <w:r w:rsidRPr="005138D5">
        <w:rPr>
          <w:sz w:val="22"/>
          <w:highlight w:val="lightGray"/>
        </w:rPr>
        <w:t>EU/1/13/835/011 10 tabletek powlekanych</w:t>
      </w:r>
    </w:p>
    <w:p w14:paraId="2BE59D05" w14:textId="77777777" w:rsidR="00881E6B" w:rsidRPr="005138D5" w:rsidRDefault="00881E6B" w:rsidP="00881E6B">
      <w:pPr>
        <w:rPr>
          <w:sz w:val="22"/>
          <w:highlight w:val="lightGray"/>
        </w:rPr>
      </w:pPr>
      <w:r w:rsidRPr="005138D5">
        <w:rPr>
          <w:sz w:val="22"/>
          <w:highlight w:val="lightGray"/>
        </w:rPr>
        <w:t>EU/1/13/835/012 14 tabletek powlekanych</w:t>
      </w:r>
    </w:p>
    <w:p w14:paraId="22C590C0" w14:textId="77777777" w:rsidR="00881E6B" w:rsidRPr="005138D5" w:rsidRDefault="00881E6B" w:rsidP="00881E6B">
      <w:pPr>
        <w:rPr>
          <w:sz w:val="22"/>
          <w:highlight w:val="lightGray"/>
        </w:rPr>
      </w:pPr>
      <w:r w:rsidRPr="005138D5">
        <w:rPr>
          <w:sz w:val="22"/>
          <w:highlight w:val="lightGray"/>
        </w:rPr>
        <w:t>EU/1/13/835/013 20 tabletek powlekanych</w:t>
      </w:r>
    </w:p>
    <w:p w14:paraId="104ED79D" w14:textId="77777777" w:rsidR="00881E6B" w:rsidRPr="005138D5" w:rsidRDefault="00881E6B" w:rsidP="00881E6B">
      <w:pPr>
        <w:rPr>
          <w:sz w:val="22"/>
          <w:highlight w:val="lightGray"/>
        </w:rPr>
      </w:pPr>
      <w:r w:rsidRPr="005138D5">
        <w:rPr>
          <w:sz w:val="22"/>
          <w:highlight w:val="lightGray"/>
        </w:rPr>
        <w:t>EU/1/13/835/014 28 tabletek powlekanych</w:t>
      </w:r>
    </w:p>
    <w:p w14:paraId="3BB26EEA" w14:textId="77777777" w:rsidR="00881E6B" w:rsidRPr="005138D5" w:rsidRDefault="00881E6B" w:rsidP="00881E6B">
      <w:pPr>
        <w:rPr>
          <w:sz w:val="22"/>
          <w:highlight w:val="lightGray"/>
        </w:rPr>
      </w:pPr>
      <w:r w:rsidRPr="005138D5">
        <w:rPr>
          <w:sz w:val="22"/>
          <w:highlight w:val="lightGray"/>
        </w:rPr>
        <w:t>EU/1/13/835/015 30 tabletek powlekanych</w:t>
      </w:r>
    </w:p>
    <w:p w14:paraId="4755C86C" w14:textId="77777777" w:rsidR="00881E6B" w:rsidRPr="005138D5" w:rsidRDefault="00881E6B" w:rsidP="00881E6B">
      <w:pPr>
        <w:rPr>
          <w:sz w:val="22"/>
          <w:highlight w:val="lightGray"/>
        </w:rPr>
      </w:pPr>
      <w:r w:rsidRPr="005138D5">
        <w:rPr>
          <w:sz w:val="22"/>
          <w:highlight w:val="lightGray"/>
        </w:rPr>
        <w:t>EU/1/13/835/016 50 tabletek powlekanych</w:t>
      </w:r>
    </w:p>
    <w:p w14:paraId="40F6A0AA" w14:textId="77777777" w:rsidR="00881E6B" w:rsidRPr="005138D5" w:rsidRDefault="00881E6B" w:rsidP="00881E6B">
      <w:pPr>
        <w:rPr>
          <w:sz w:val="22"/>
          <w:highlight w:val="lightGray"/>
        </w:rPr>
      </w:pPr>
      <w:r w:rsidRPr="005138D5">
        <w:rPr>
          <w:sz w:val="22"/>
          <w:highlight w:val="lightGray"/>
        </w:rPr>
        <w:t>EU/1/13/835/017 56 tabletek powlekanych</w:t>
      </w:r>
    </w:p>
    <w:p w14:paraId="507E73E5" w14:textId="77777777" w:rsidR="00881E6B" w:rsidRPr="005138D5" w:rsidRDefault="00881E6B" w:rsidP="00881E6B">
      <w:pPr>
        <w:rPr>
          <w:sz w:val="22"/>
          <w:highlight w:val="lightGray"/>
        </w:rPr>
      </w:pPr>
      <w:r w:rsidRPr="005138D5">
        <w:rPr>
          <w:sz w:val="22"/>
          <w:highlight w:val="lightGray"/>
        </w:rPr>
        <w:t>EU/1/13/835/018 100 tabletek powlekanych</w:t>
      </w:r>
    </w:p>
    <w:p w14:paraId="1E3105BD" w14:textId="77777777" w:rsidR="00B06B30" w:rsidRPr="00A31C89" w:rsidRDefault="00B06B30" w:rsidP="00B06B30">
      <w:pPr>
        <w:rPr>
          <w:sz w:val="22"/>
          <w:highlight w:val="lightGray"/>
        </w:rPr>
      </w:pPr>
      <w:r w:rsidRPr="00A31C89">
        <w:rPr>
          <w:sz w:val="22"/>
          <w:highlight w:val="lightGray"/>
        </w:rPr>
        <w:t>EU/1/13/835/025 10</w:t>
      </w:r>
      <w:r w:rsidR="0072192D" w:rsidRPr="00A31C89">
        <w:rPr>
          <w:sz w:val="22"/>
          <w:highlight w:val="lightGray"/>
        </w:rPr>
        <w:t xml:space="preserve"> </w:t>
      </w:r>
      <w:r w:rsidRPr="00A31C89">
        <w:rPr>
          <w:sz w:val="22"/>
          <w:highlight w:val="lightGray"/>
        </w:rPr>
        <w:t>x1 tabletek powlekanych</w:t>
      </w:r>
    </w:p>
    <w:p w14:paraId="59B5EC90" w14:textId="77777777" w:rsidR="00B06B30" w:rsidRPr="00A31C89" w:rsidRDefault="00B06B30" w:rsidP="00B06B30">
      <w:pPr>
        <w:rPr>
          <w:sz w:val="22"/>
          <w:highlight w:val="lightGray"/>
        </w:rPr>
      </w:pPr>
      <w:r w:rsidRPr="00A31C89">
        <w:rPr>
          <w:sz w:val="22"/>
          <w:highlight w:val="lightGray"/>
        </w:rPr>
        <w:t>EU/1/13/835/026 14x</w:t>
      </w:r>
      <w:r w:rsidR="0072192D" w:rsidRPr="00A31C89">
        <w:rPr>
          <w:sz w:val="22"/>
          <w:highlight w:val="lightGray"/>
        </w:rPr>
        <w:t xml:space="preserve"> </w:t>
      </w:r>
      <w:r w:rsidRPr="00A31C89">
        <w:rPr>
          <w:sz w:val="22"/>
          <w:highlight w:val="lightGray"/>
        </w:rPr>
        <w:t>1 tabletek powlekanych</w:t>
      </w:r>
    </w:p>
    <w:p w14:paraId="33414667" w14:textId="77777777" w:rsidR="00B06B30" w:rsidRPr="00A31C89" w:rsidRDefault="00B06B30" w:rsidP="00B06B30">
      <w:pPr>
        <w:rPr>
          <w:sz w:val="22"/>
          <w:highlight w:val="lightGray"/>
        </w:rPr>
      </w:pPr>
      <w:r w:rsidRPr="00A31C89">
        <w:rPr>
          <w:sz w:val="22"/>
          <w:highlight w:val="lightGray"/>
        </w:rPr>
        <w:t>EU/1/13/835/027 28</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6A369B15" w14:textId="77777777" w:rsidR="00B06B30" w:rsidRPr="00A31C89" w:rsidRDefault="00B06B30" w:rsidP="00B06B30">
      <w:pPr>
        <w:rPr>
          <w:sz w:val="22"/>
          <w:highlight w:val="lightGray"/>
        </w:rPr>
      </w:pPr>
      <w:r w:rsidRPr="00A31C89">
        <w:rPr>
          <w:sz w:val="22"/>
          <w:highlight w:val="lightGray"/>
        </w:rPr>
        <w:t>EU/1/13/835/028 30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4BE86146" w14:textId="77777777" w:rsidR="00B06B30" w:rsidRPr="00A31C89" w:rsidRDefault="00B06B30" w:rsidP="00B06B30">
      <w:pPr>
        <w:rPr>
          <w:sz w:val="22"/>
          <w:highlight w:val="lightGray"/>
        </w:rPr>
      </w:pPr>
      <w:r w:rsidRPr="00A31C89">
        <w:rPr>
          <w:sz w:val="22"/>
          <w:highlight w:val="lightGray"/>
        </w:rPr>
        <w:t>EU/1/13/835/029 56</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2CE8A2CE" w14:textId="77777777" w:rsidR="00575F5E" w:rsidRPr="005138D5" w:rsidRDefault="00B06B30" w:rsidP="00B06B30">
      <w:pPr>
        <w:rPr>
          <w:sz w:val="22"/>
        </w:rPr>
      </w:pPr>
      <w:r w:rsidRPr="00A31C89">
        <w:rPr>
          <w:sz w:val="22"/>
          <w:highlight w:val="lightGray"/>
        </w:rPr>
        <w:t>EU/1/13/835/030 100</w:t>
      </w:r>
      <w:r w:rsidR="0072192D" w:rsidRPr="00A31C89">
        <w:rPr>
          <w:sz w:val="22"/>
          <w:highlight w:val="lightGray"/>
        </w:rPr>
        <w:t xml:space="preserve"> </w:t>
      </w:r>
      <w:r w:rsidRPr="00A31C89">
        <w:rPr>
          <w:sz w:val="22"/>
          <w:highlight w:val="lightGray"/>
        </w:rPr>
        <w:t>x</w:t>
      </w:r>
      <w:r w:rsidR="0072192D" w:rsidRPr="00A31C89">
        <w:rPr>
          <w:sz w:val="22"/>
          <w:highlight w:val="lightGray"/>
        </w:rPr>
        <w:t xml:space="preserve"> </w:t>
      </w:r>
      <w:r w:rsidRPr="00A31C89">
        <w:rPr>
          <w:sz w:val="22"/>
          <w:highlight w:val="lightGray"/>
        </w:rPr>
        <w:t>1 tabletek powlekanych</w:t>
      </w:r>
    </w:p>
    <w:p w14:paraId="73BA93A5" w14:textId="77777777" w:rsidR="00431A41" w:rsidRPr="005138D5" w:rsidRDefault="00431A41" w:rsidP="00A41668">
      <w:pPr>
        <w:rPr>
          <w:sz w:val="22"/>
        </w:rPr>
      </w:pPr>
    </w:p>
    <w:p w14:paraId="57BF26D6" w14:textId="77777777" w:rsidR="00575F5E" w:rsidRPr="005138D5" w:rsidRDefault="00575F5E" w:rsidP="00A41668">
      <w:pPr>
        <w:pBdr>
          <w:top w:val="single" w:sz="4" w:space="0" w:color="auto"/>
          <w:left w:val="single" w:sz="4" w:space="4" w:color="auto"/>
          <w:bottom w:val="single" w:sz="4" w:space="1" w:color="auto"/>
          <w:right w:val="single" w:sz="4" w:space="4" w:color="auto"/>
        </w:pBdr>
        <w:rPr>
          <w:b/>
          <w:sz w:val="22"/>
        </w:rPr>
      </w:pPr>
      <w:r w:rsidRPr="005138D5">
        <w:rPr>
          <w:b/>
          <w:sz w:val="22"/>
        </w:rPr>
        <w:t xml:space="preserve">13. </w:t>
      </w:r>
      <w:r w:rsidRPr="005138D5">
        <w:rPr>
          <w:b/>
          <w:sz w:val="22"/>
        </w:rPr>
        <w:tab/>
        <w:t>NUMER SERII</w:t>
      </w:r>
    </w:p>
    <w:p w14:paraId="5B41D05C" w14:textId="77777777" w:rsidR="00575F5E" w:rsidRPr="005138D5" w:rsidRDefault="00575F5E" w:rsidP="00A41668">
      <w:pPr>
        <w:rPr>
          <w:sz w:val="22"/>
        </w:rPr>
      </w:pPr>
    </w:p>
    <w:p w14:paraId="06E3337D" w14:textId="77777777" w:rsidR="00575F5E" w:rsidRPr="005138D5" w:rsidRDefault="00575F5E" w:rsidP="00A41668">
      <w:pPr>
        <w:rPr>
          <w:sz w:val="22"/>
        </w:rPr>
      </w:pPr>
      <w:r w:rsidRPr="005138D5">
        <w:rPr>
          <w:sz w:val="22"/>
        </w:rPr>
        <w:t>Nr serii</w:t>
      </w:r>
      <w:r w:rsidR="00721DB2" w:rsidRPr="005138D5">
        <w:rPr>
          <w:sz w:val="22"/>
        </w:rPr>
        <w:t xml:space="preserve"> (Lot)</w:t>
      </w:r>
      <w:r w:rsidRPr="005138D5">
        <w:rPr>
          <w:sz w:val="22"/>
        </w:rPr>
        <w:t>:</w:t>
      </w:r>
    </w:p>
    <w:p w14:paraId="553B029F" w14:textId="77777777" w:rsidR="00575F5E" w:rsidRPr="000002AD" w:rsidRDefault="00575F5E" w:rsidP="00A41668">
      <w:pPr>
        <w:rPr>
          <w:sz w:val="22"/>
        </w:rPr>
      </w:pPr>
    </w:p>
    <w:p w14:paraId="53E08127" w14:textId="77777777" w:rsidR="00575F5E" w:rsidRPr="005138D5" w:rsidRDefault="00575F5E" w:rsidP="00A41668">
      <w:pPr>
        <w:rPr>
          <w:sz w:val="22"/>
        </w:rPr>
      </w:pPr>
    </w:p>
    <w:p w14:paraId="66C78484"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14. </w:t>
      </w:r>
      <w:r w:rsidRPr="005138D5">
        <w:rPr>
          <w:b/>
          <w:sz w:val="22"/>
        </w:rPr>
        <w:tab/>
      </w:r>
      <w:r w:rsidR="00DF39CB" w:rsidRPr="005138D5">
        <w:rPr>
          <w:b/>
          <w:sz w:val="22"/>
        </w:rPr>
        <w:t xml:space="preserve">OGÓLNA </w:t>
      </w:r>
      <w:r w:rsidRPr="005138D5">
        <w:rPr>
          <w:b/>
          <w:sz w:val="22"/>
        </w:rPr>
        <w:t>KATEGORIA DOSTĘPNOŚCI</w:t>
      </w:r>
    </w:p>
    <w:p w14:paraId="0F33A382" w14:textId="77777777" w:rsidR="00575F5E" w:rsidRPr="005138D5" w:rsidRDefault="00575F5E" w:rsidP="00A41668">
      <w:pPr>
        <w:rPr>
          <w:sz w:val="22"/>
        </w:rPr>
      </w:pPr>
    </w:p>
    <w:p w14:paraId="4B1466C0" w14:textId="77777777" w:rsidR="00575F5E" w:rsidRPr="005138D5" w:rsidRDefault="00575F5E" w:rsidP="00A41668">
      <w:pPr>
        <w:rPr>
          <w:sz w:val="22"/>
        </w:rPr>
      </w:pPr>
    </w:p>
    <w:p w14:paraId="68B6BA40" w14:textId="77777777" w:rsidR="00575F5E" w:rsidRPr="005138D5" w:rsidRDefault="00575F5E" w:rsidP="00A41668">
      <w:pPr>
        <w:pBdr>
          <w:top w:val="single" w:sz="4" w:space="1" w:color="auto"/>
          <w:left w:val="single" w:sz="4" w:space="4" w:color="auto"/>
          <w:bottom w:val="single" w:sz="4" w:space="1" w:color="auto"/>
          <w:right w:val="single" w:sz="4" w:space="4" w:color="auto"/>
        </w:pBdr>
        <w:rPr>
          <w:sz w:val="22"/>
        </w:rPr>
      </w:pPr>
      <w:r w:rsidRPr="005138D5">
        <w:rPr>
          <w:b/>
          <w:sz w:val="22"/>
        </w:rPr>
        <w:t xml:space="preserve">15. </w:t>
      </w:r>
      <w:r w:rsidRPr="005138D5">
        <w:rPr>
          <w:b/>
          <w:sz w:val="22"/>
        </w:rPr>
        <w:tab/>
        <w:t>INSTRUKCJA UŻYCIA</w:t>
      </w:r>
    </w:p>
    <w:p w14:paraId="451415AC" w14:textId="77777777" w:rsidR="00575F5E" w:rsidRPr="005138D5" w:rsidRDefault="00575F5E" w:rsidP="00A41668">
      <w:pPr>
        <w:rPr>
          <w:sz w:val="22"/>
        </w:rPr>
      </w:pPr>
    </w:p>
    <w:p w14:paraId="2E903AF5" w14:textId="77777777" w:rsidR="00575F5E" w:rsidRPr="005138D5" w:rsidRDefault="00575F5E" w:rsidP="00A41668">
      <w:pPr>
        <w:rPr>
          <w:sz w:val="22"/>
        </w:rPr>
      </w:pPr>
    </w:p>
    <w:p w14:paraId="6E3289D0" w14:textId="77777777" w:rsidR="00575F5E" w:rsidRPr="005138D5" w:rsidRDefault="00575F5E" w:rsidP="00A41668">
      <w:pPr>
        <w:pBdr>
          <w:top w:val="single" w:sz="4" w:space="1" w:color="auto"/>
          <w:left w:val="single" w:sz="4" w:space="4" w:color="auto"/>
          <w:bottom w:val="single" w:sz="4" w:space="1" w:color="auto"/>
          <w:right w:val="single" w:sz="4" w:space="4" w:color="auto"/>
        </w:pBdr>
        <w:tabs>
          <w:tab w:val="left" w:pos="720"/>
        </w:tabs>
        <w:rPr>
          <w:noProof/>
          <w:sz w:val="22"/>
        </w:rPr>
      </w:pPr>
      <w:r w:rsidRPr="005138D5">
        <w:rPr>
          <w:b/>
          <w:noProof/>
          <w:sz w:val="22"/>
        </w:rPr>
        <w:t>16.</w:t>
      </w:r>
      <w:r w:rsidRPr="005138D5">
        <w:rPr>
          <w:b/>
          <w:noProof/>
          <w:sz w:val="22"/>
        </w:rPr>
        <w:tab/>
        <w:t xml:space="preserve">INFORMACJA PODANA </w:t>
      </w:r>
      <w:r w:rsidR="0097301F" w:rsidRPr="005138D5">
        <w:rPr>
          <w:b/>
          <w:noProof/>
          <w:sz w:val="22"/>
        </w:rPr>
        <w:t xml:space="preserve">SYSTEMEM </w:t>
      </w:r>
      <w:r w:rsidRPr="005138D5">
        <w:rPr>
          <w:b/>
          <w:noProof/>
          <w:sz w:val="22"/>
        </w:rPr>
        <w:t>BRA</w:t>
      </w:r>
      <w:r w:rsidR="0097301F" w:rsidRPr="005138D5">
        <w:rPr>
          <w:b/>
          <w:noProof/>
          <w:sz w:val="22"/>
        </w:rPr>
        <w:t>ILL</w:t>
      </w:r>
      <w:r w:rsidRPr="005138D5">
        <w:rPr>
          <w:b/>
          <w:noProof/>
          <w:sz w:val="22"/>
        </w:rPr>
        <w:t>E</w:t>
      </w:r>
      <w:r w:rsidR="0097301F" w:rsidRPr="005138D5">
        <w:rPr>
          <w:b/>
          <w:noProof/>
          <w:sz w:val="22"/>
        </w:rPr>
        <w:t>’A</w:t>
      </w:r>
    </w:p>
    <w:p w14:paraId="23DDF556" w14:textId="77777777" w:rsidR="00575F5E" w:rsidRPr="005138D5" w:rsidRDefault="00575F5E" w:rsidP="00A41668">
      <w:pPr>
        <w:rPr>
          <w:sz w:val="22"/>
        </w:rPr>
      </w:pPr>
    </w:p>
    <w:p w14:paraId="1519B8FD" w14:textId="77777777" w:rsidR="00575F5E" w:rsidRDefault="004C5457" w:rsidP="00A41668">
      <w:pPr>
        <w:rPr>
          <w:sz w:val="22"/>
        </w:rPr>
      </w:pPr>
      <w:r w:rsidRPr="005138D5">
        <w:rPr>
          <w:sz w:val="22"/>
        </w:rPr>
        <w:t>Voriconazole Accord</w:t>
      </w:r>
      <w:r w:rsidRPr="005138D5" w:rsidDel="004C5457">
        <w:rPr>
          <w:sz w:val="22"/>
        </w:rPr>
        <w:t xml:space="preserve"> </w:t>
      </w:r>
      <w:r w:rsidRPr="005138D5">
        <w:rPr>
          <w:sz w:val="22"/>
        </w:rPr>
        <w:t>20</w:t>
      </w:r>
      <w:r w:rsidR="00575F5E" w:rsidRPr="005138D5">
        <w:rPr>
          <w:sz w:val="22"/>
        </w:rPr>
        <w:t>0</w:t>
      </w:r>
      <w:r w:rsidR="00086D10" w:rsidRPr="005138D5">
        <w:rPr>
          <w:sz w:val="22"/>
        </w:rPr>
        <w:t> mg</w:t>
      </w:r>
    </w:p>
    <w:p w14:paraId="16DA8619" w14:textId="77777777" w:rsidR="00E47B30" w:rsidRDefault="00E47B30" w:rsidP="00A41668">
      <w:pPr>
        <w:rPr>
          <w:sz w:val="22"/>
        </w:rPr>
      </w:pPr>
    </w:p>
    <w:p w14:paraId="58572BCC" w14:textId="77777777" w:rsidR="00E47B30" w:rsidRPr="00D64A6E" w:rsidRDefault="00E47B30" w:rsidP="00E47B30"/>
    <w:p w14:paraId="23380C39" w14:textId="77777777" w:rsidR="00E47B30" w:rsidRPr="00C32FD6" w:rsidRDefault="00E47B30" w:rsidP="00B66913">
      <w:pPr>
        <w:pBdr>
          <w:top w:val="single" w:sz="4" w:space="1" w:color="auto"/>
          <w:left w:val="single" w:sz="4" w:space="4" w:color="auto"/>
          <w:bottom w:val="single" w:sz="4" w:space="1" w:color="auto"/>
          <w:right w:val="single" w:sz="4" w:space="4" w:color="auto"/>
        </w:pBdr>
        <w:tabs>
          <w:tab w:val="left" w:pos="567"/>
        </w:tabs>
        <w:spacing w:line="260" w:lineRule="exact"/>
        <w:rPr>
          <w:i/>
          <w:sz w:val="22"/>
          <w:lang w:bidi="pl-PL"/>
        </w:rPr>
      </w:pPr>
      <w:r w:rsidRPr="00C32FD6">
        <w:rPr>
          <w:b/>
          <w:sz w:val="22"/>
          <w:lang w:bidi="pl-PL"/>
        </w:rPr>
        <w:t>17.</w:t>
      </w:r>
      <w:r w:rsidRPr="00C32FD6">
        <w:rPr>
          <w:b/>
          <w:sz w:val="22"/>
          <w:lang w:bidi="pl-PL"/>
        </w:rPr>
        <w:tab/>
        <w:t>NIEPOWTARZALNY IDENTYFIKATOR – KOD 2D</w:t>
      </w:r>
    </w:p>
    <w:p w14:paraId="3839BBC0" w14:textId="77777777" w:rsidR="00E47B30" w:rsidRDefault="00E47B30" w:rsidP="00B66913">
      <w:pPr>
        <w:rPr>
          <w:sz w:val="22"/>
          <w:lang w:bidi="pl-PL"/>
        </w:rPr>
      </w:pPr>
    </w:p>
    <w:p w14:paraId="19E494D0" w14:textId="77777777" w:rsidR="00A31C89" w:rsidRPr="00C32FD6" w:rsidRDefault="00A31C89" w:rsidP="00B66913">
      <w:pPr>
        <w:rPr>
          <w:vanish/>
          <w:sz w:val="22"/>
          <w:lang w:bidi="pl-PL"/>
        </w:rPr>
      </w:pPr>
    </w:p>
    <w:p w14:paraId="712D9DCA" w14:textId="77777777" w:rsidR="00E47B30" w:rsidRPr="00C32FD6" w:rsidRDefault="00E47B30" w:rsidP="00B66913">
      <w:pPr>
        <w:rPr>
          <w:sz w:val="22"/>
          <w:highlight w:val="lightGray"/>
          <w:lang w:bidi="pl-PL"/>
        </w:rPr>
      </w:pPr>
      <w:r w:rsidRPr="00C32FD6">
        <w:rPr>
          <w:sz w:val="22"/>
          <w:highlight w:val="lightGray"/>
        </w:rPr>
        <w:t>Obejmuje kod 2D będący nośnikiem niepowtarzalnego identyfikatora.</w:t>
      </w:r>
    </w:p>
    <w:p w14:paraId="7E0B515B" w14:textId="77777777" w:rsidR="00E47B30" w:rsidRPr="00C32FD6" w:rsidRDefault="00E47B30" w:rsidP="00B66913">
      <w:pPr>
        <w:rPr>
          <w:sz w:val="22"/>
          <w:lang w:bidi="pl-PL"/>
        </w:rPr>
      </w:pPr>
    </w:p>
    <w:p w14:paraId="133CFD62" w14:textId="77777777" w:rsidR="00E47B30" w:rsidRPr="00C32FD6" w:rsidRDefault="00E47B30" w:rsidP="00B66913">
      <w:pPr>
        <w:rPr>
          <w:sz w:val="22"/>
          <w:lang w:bidi="pl-PL"/>
        </w:rPr>
      </w:pPr>
    </w:p>
    <w:p w14:paraId="25D14CAE" w14:textId="77777777" w:rsidR="00E47B30" w:rsidRPr="00C32FD6" w:rsidRDefault="00E47B30" w:rsidP="00B66913">
      <w:pPr>
        <w:pBdr>
          <w:top w:val="single" w:sz="4" w:space="1" w:color="auto"/>
          <w:left w:val="single" w:sz="4" w:space="4" w:color="auto"/>
          <w:bottom w:val="single" w:sz="4" w:space="1" w:color="auto"/>
          <w:right w:val="single" w:sz="4" w:space="4" w:color="auto"/>
        </w:pBdr>
        <w:tabs>
          <w:tab w:val="left" w:pos="567"/>
        </w:tabs>
        <w:spacing w:line="260" w:lineRule="exact"/>
        <w:rPr>
          <w:b/>
          <w:sz w:val="22"/>
          <w:lang w:bidi="pl-PL"/>
        </w:rPr>
      </w:pPr>
      <w:r w:rsidRPr="00C32FD6">
        <w:rPr>
          <w:b/>
          <w:sz w:val="22"/>
          <w:lang w:bidi="pl-PL"/>
        </w:rPr>
        <w:t>18.</w:t>
      </w:r>
      <w:r w:rsidRPr="00C32FD6">
        <w:rPr>
          <w:b/>
          <w:sz w:val="22"/>
          <w:lang w:bidi="pl-PL"/>
        </w:rPr>
        <w:tab/>
        <w:t>NIEPOWTARZALNY IDENTYFIKATOR – DANE CZYTELNE DLA CZŁOWIEKA</w:t>
      </w:r>
    </w:p>
    <w:p w14:paraId="69776BE7" w14:textId="77777777" w:rsidR="00E47B30" w:rsidRDefault="00E47B30" w:rsidP="00B66913">
      <w:pPr>
        <w:rPr>
          <w:sz w:val="22"/>
          <w:lang w:bidi="pl-PL"/>
        </w:rPr>
      </w:pPr>
    </w:p>
    <w:p w14:paraId="25735BB4" w14:textId="77777777" w:rsidR="00A31C89" w:rsidRPr="00C32FD6" w:rsidRDefault="00A31C89" w:rsidP="00B66913">
      <w:pPr>
        <w:rPr>
          <w:vanish/>
          <w:sz w:val="22"/>
          <w:lang w:bidi="pl-PL"/>
        </w:rPr>
      </w:pPr>
    </w:p>
    <w:p w14:paraId="5591D99D" w14:textId="77777777" w:rsidR="00E47B30" w:rsidRPr="00C32FD6" w:rsidRDefault="00E47B30" w:rsidP="00B66913">
      <w:pPr>
        <w:tabs>
          <w:tab w:val="left" w:pos="567"/>
        </w:tabs>
        <w:spacing w:line="260" w:lineRule="exact"/>
        <w:rPr>
          <w:sz w:val="22"/>
          <w:lang w:bidi="pl-PL"/>
        </w:rPr>
      </w:pPr>
      <w:r w:rsidRPr="00C32FD6">
        <w:rPr>
          <w:sz w:val="22"/>
          <w:lang w:bidi="pl-PL"/>
        </w:rPr>
        <w:t>PC:</w:t>
      </w:r>
    </w:p>
    <w:p w14:paraId="575631FA" w14:textId="77777777" w:rsidR="00E47B30" w:rsidRPr="00C32FD6" w:rsidRDefault="00E47B30" w:rsidP="00B66913">
      <w:pPr>
        <w:tabs>
          <w:tab w:val="left" w:pos="567"/>
        </w:tabs>
        <w:rPr>
          <w:sz w:val="22"/>
          <w:lang w:bidi="pl-PL"/>
        </w:rPr>
      </w:pPr>
      <w:r w:rsidRPr="00C32FD6">
        <w:rPr>
          <w:sz w:val="22"/>
          <w:lang w:bidi="pl-PL"/>
        </w:rPr>
        <w:t>SN:</w:t>
      </w:r>
    </w:p>
    <w:p w14:paraId="20C82AC6" w14:textId="77777777" w:rsidR="00E47B30" w:rsidRPr="00C32FD6" w:rsidRDefault="00E47B30" w:rsidP="00B66913">
      <w:pPr>
        <w:tabs>
          <w:tab w:val="left" w:pos="567"/>
        </w:tabs>
        <w:rPr>
          <w:sz w:val="22"/>
          <w:shd w:val="clear" w:color="auto" w:fill="CCCCCC"/>
          <w:lang w:bidi="pl-PL"/>
        </w:rPr>
      </w:pPr>
      <w:r w:rsidRPr="00C32FD6">
        <w:rPr>
          <w:sz w:val="22"/>
          <w:lang w:bidi="pl-PL"/>
        </w:rPr>
        <w:t>NN:</w:t>
      </w:r>
    </w:p>
    <w:p w14:paraId="3A1DB76F" w14:textId="77777777" w:rsidR="00E47B30" w:rsidRDefault="00E47B30" w:rsidP="00E47B30">
      <w:pPr>
        <w:tabs>
          <w:tab w:val="left" w:pos="720"/>
        </w:tabs>
      </w:pPr>
    </w:p>
    <w:p w14:paraId="2112FE6F" w14:textId="77777777" w:rsidR="00E47B30" w:rsidRDefault="00E47B30" w:rsidP="00E47B30">
      <w:pPr>
        <w:tabs>
          <w:tab w:val="left" w:pos="720"/>
        </w:tabs>
        <w:rPr>
          <w:color w:val="000000"/>
        </w:rPr>
      </w:pPr>
    </w:p>
    <w:p w14:paraId="70B7AB62" w14:textId="77777777" w:rsidR="00E47B30" w:rsidRDefault="00E47B30" w:rsidP="00A41668">
      <w:pPr>
        <w:rPr>
          <w:sz w:val="22"/>
        </w:rPr>
      </w:pPr>
    </w:p>
    <w:p w14:paraId="5136BE3E" w14:textId="77777777" w:rsidR="00E47B30" w:rsidRPr="005138D5" w:rsidRDefault="00E47B30" w:rsidP="00A41668">
      <w:pPr>
        <w:rPr>
          <w:sz w:val="22"/>
        </w:rPr>
      </w:pPr>
    </w:p>
    <w:p w14:paraId="3C2D433D" w14:textId="77777777" w:rsidR="00575F5E" w:rsidRPr="005138D5" w:rsidRDefault="00BE5DC6" w:rsidP="004C5457">
      <w:pPr>
        <w:pBdr>
          <w:top w:val="single" w:sz="4" w:space="1" w:color="auto"/>
          <w:left w:val="single" w:sz="4" w:space="4" w:color="auto"/>
          <w:bottom w:val="single" w:sz="4" w:space="1" w:color="auto"/>
          <w:right w:val="single" w:sz="4" w:space="4" w:color="auto"/>
        </w:pBdr>
        <w:rPr>
          <w:b/>
          <w:sz w:val="22"/>
        </w:rPr>
      </w:pPr>
      <w:r w:rsidRPr="005138D5">
        <w:rPr>
          <w:sz w:val="22"/>
        </w:rPr>
        <w:br w:type="page"/>
      </w:r>
      <w:r w:rsidR="004C5457" w:rsidRPr="005138D5" w:rsidDel="004C5457">
        <w:rPr>
          <w:b/>
          <w:sz w:val="22"/>
        </w:rPr>
        <w:t xml:space="preserve"> </w:t>
      </w:r>
      <w:r w:rsidR="00575F5E" w:rsidRPr="005138D5">
        <w:rPr>
          <w:b/>
          <w:sz w:val="22"/>
        </w:rPr>
        <w:t>MINIMUM INFORMACJI ZAMIESZCZANYCH NA BLISTRACH LUB OPAKOWANIACH FOLIOWYCH</w:t>
      </w:r>
    </w:p>
    <w:p w14:paraId="2F795886"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Blister</w:t>
      </w:r>
      <w:r w:rsidR="004C5457" w:rsidRPr="005138D5">
        <w:rPr>
          <w:b/>
          <w:sz w:val="22"/>
        </w:rPr>
        <w:t xml:space="preserve"> (</w:t>
      </w:r>
      <w:r w:rsidR="005A2C69" w:rsidRPr="005138D5">
        <w:rPr>
          <w:b/>
          <w:sz w:val="22"/>
        </w:rPr>
        <w:t xml:space="preserve">blister z folii </w:t>
      </w:r>
      <w:r w:rsidR="004C5457" w:rsidRPr="005138D5">
        <w:rPr>
          <w:b/>
          <w:sz w:val="22"/>
        </w:rPr>
        <w:t xml:space="preserve">dla tabletek powlekannych </w:t>
      </w:r>
      <w:r w:rsidRPr="005138D5">
        <w:rPr>
          <w:b/>
          <w:sz w:val="22"/>
        </w:rPr>
        <w:t>200</w:t>
      </w:r>
      <w:r w:rsidR="00086D10" w:rsidRPr="005138D5">
        <w:rPr>
          <w:b/>
          <w:sz w:val="22"/>
        </w:rPr>
        <w:t> mg</w:t>
      </w:r>
      <w:r w:rsidRPr="005138D5">
        <w:rPr>
          <w:b/>
          <w:sz w:val="22"/>
        </w:rPr>
        <w:t xml:space="preserve"> – (wszystkie opakowania</w:t>
      </w:r>
      <w:r w:rsidR="000931FB" w:rsidRPr="005138D5">
        <w:rPr>
          <w:b/>
          <w:sz w:val="22"/>
        </w:rPr>
        <w:t xml:space="preserve"> blistrowe</w:t>
      </w:r>
      <w:r w:rsidRPr="005138D5">
        <w:rPr>
          <w:b/>
          <w:sz w:val="22"/>
        </w:rPr>
        <w:t>)</w:t>
      </w:r>
      <w:r w:rsidR="004C5457" w:rsidRPr="005138D5">
        <w:rPr>
          <w:b/>
          <w:sz w:val="22"/>
        </w:rPr>
        <w:t>)</w:t>
      </w:r>
    </w:p>
    <w:p w14:paraId="5D45CC98" w14:textId="77777777" w:rsidR="00575F5E" w:rsidRPr="005138D5" w:rsidRDefault="00575F5E" w:rsidP="00A41668">
      <w:pPr>
        <w:rPr>
          <w:b/>
          <w:sz w:val="22"/>
        </w:rPr>
      </w:pPr>
    </w:p>
    <w:p w14:paraId="59C6BABC" w14:textId="77777777" w:rsidR="00575F5E" w:rsidRPr="005138D5" w:rsidRDefault="00575F5E" w:rsidP="00A41668">
      <w:pPr>
        <w:rPr>
          <w:b/>
          <w:i/>
          <w:sz w:val="22"/>
        </w:rPr>
      </w:pPr>
    </w:p>
    <w:p w14:paraId="37F69E22"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1. </w:t>
      </w:r>
      <w:r w:rsidRPr="005138D5">
        <w:rPr>
          <w:b/>
          <w:sz w:val="22"/>
        </w:rPr>
        <w:tab/>
        <w:t>NAZWA PRODUKTU LECZNICZEGO</w:t>
      </w:r>
    </w:p>
    <w:p w14:paraId="0B1D3E0B" w14:textId="77777777" w:rsidR="00575F5E" w:rsidRPr="005138D5" w:rsidRDefault="00575F5E" w:rsidP="00A41668">
      <w:pPr>
        <w:rPr>
          <w:sz w:val="22"/>
        </w:rPr>
      </w:pPr>
    </w:p>
    <w:p w14:paraId="7BE1EE9B" w14:textId="77777777" w:rsidR="00575F5E" w:rsidRPr="005138D5" w:rsidRDefault="00261874" w:rsidP="00A41668">
      <w:pPr>
        <w:rPr>
          <w:sz w:val="22"/>
        </w:rPr>
      </w:pPr>
      <w:r w:rsidRPr="005138D5">
        <w:rPr>
          <w:sz w:val="22"/>
        </w:rPr>
        <w:t>Voriconazole Accord</w:t>
      </w:r>
      <w:r w:rsidRPr="005138D5" w:rsidDel="00261874">
        <w:rPr>
          <w:sz w:val="22"/>
        </w:rPr>
        <w:t xml:space="preserve"> </w:t>
      </w:r>
      <w:r w:rsidR="00575F5E" w:rsidRPr="005138D5">
        <w:rPr>
          <w:sz w:val="22"/>
        </w:rPr>
        <w:t>200</w:t>
      </w:r>
      <w:r w:rsidR="00086D10" w:rsidRPr="005138D5">
        <w:rPr>
          <w:sz w:val="22"/>
        </w:rPr>
        <w:t> mg</w:t>
      </w:r>
      <w:r w:rsidR="00575F5E" w:rsidRPr="005138D5">
        <w:rPr>
          <w:sz w:val="22"/>
        </w:rPr>
        <w:t xml:space="preserve"> tabletki powlekane</w:t>
      </w:r>
    </w:p>
    <w:p w14:paraId="258B9C82" w14:textId="77777777" w:rsidR="00575F5E" w:rsidRPr="005138D5" w:rsidRDefault="00575F5E" w:rsidP="00A41668">
      <w:pPr>
        <w:rPr>
          <w:sz w:val="22"/>
        </w:rPr>
      </w:pPr>
      <w:r w:rsidRPr="005138D5">
        <w:rPr>
          <w:sz w:val="22"/>
        </w:rPr>
        <w:t>Worykonazol</w:t>
      </w:r>
    </w:p>
    <w:p w14:paraId="77FFE5CA" w14:textId="77777777" w:rsidR="00575F5E" w:rsidRPr="005138D5" w:rsidRDefault="00575F5E" w:rsidP="00A41668">
      <w:pPr>
        <w:rPr>
          <w:sz w:val="22"/>
        </w:rPr>
      </w:pPr>
    </w:p>
    <w:p w14:paraId="2F1F69EC" w14:textId="77777777" w:rsidR="00575F5E" w:rsidRPr="005138D5" w:rsidRDefault="00575F5E" w:rsidP="00A41668">
      <w:pPr>
        <w:rPr>
          <w:sz w:val="22"/>
        </w:rPr>
      </w:pPr>
    </w:p>
    <w:p w14:paraId="632F602B"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2. </w:t>
      </w:r>
      <w:r w:rsidRPr="005138D5">
        <w:rPr>
          <w:b/>
          <w:sz w:val="22"/>
        </w:rPr>
        <w:tab/>
        <w:t>NAZWA PODMIOTU ODPOWIEDZIALNEGO</w:t>
      </w:r>
    </w:p>
    <w:p w14:paraId="2B893EDE" w14:textId="77777777" w:rsidR="00575F5E" w:rsidRPr="005138D5" w:rsidRDefault="00575F5E" w:rsidP="00A41668">
      <w:pPr>
        <w:rPr>
          <w:iCs/>
          <w:sz w:val="22"/>
        </w:rPr>
      </w:pPr>
    </w:p>
    <w:p w14:paraId="4B3D9E0B" w14:textId="77777777" w:rsidR="00575F5E" w:rsidRPr="005138D5" w:rsidRDefault="00261874" w:rsidP="00A41668">
      <w:pPr>
        <w:rPr>
          <w:iCs/>
          <w:sz w:val="22"/>
        </w:rPr>
      </w:pPr>
      <w:r w:rsidRPr="005138D5">
        <w:rPr>
          <w:iCs/>
          <w:sz w:val="22"/>
        </w:rPr>
        <w:t>Accord</w:t>
      </w:r>
      <w:r w:rsidR="00B26438" w:rsidRPr="005138D5">
        <w:rPr>
          <w:iCs/>
          <w:sz w:val="22"/>
        </w:rPr>
        <w:t xml:space="preserve"> {logo}</w:t>
      </w:r>
    </w:p>
    <w:p w14:paraId="15E4EC35" w14:textId="77777777" w:rsidR="00575F5E" w:rsidRPr="005138D5" w:rsidRDefault="00575F5E" w:rsidP="00A41668">
      <w:pPr>
        <w:rPr>
          <w:iCs/>
          <w:sz w:val="22"/>
        </w:rPr>
      </w:pPr>
    </w:p>
    <w:p w14:paraId="0A46696D" w14:textId="77777777" w:rsidR="00575F5E" w:rsidRPr="005138D5" w:rsidRDefault="00575F5E" w:rsidP="00A41668">
      <w:pPr>
        <w:rPr>
          <w:iCs/>
          <w:sz w:val="22"/>
        </w:rPr>
      </w:pPr>
    </w:p>
    <w:p w14:paraId="4A47289A"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3. </w:t>
      </w:r>
      <w:r w:rsidRPr="005138D5">
        <w:rPr>
          <w:b/>
          <w:sz w:val="22"/>
        </w:rPr>
        <w:tab/>
        <w:t>TERMIN WAŻNOŚCI</w:t>
      </w:r>
    </w:p>
    <w:p w14:paraId="26ED8A04" w14:textId="77777777" w:rsidR="00575F5E" w:rsidRPr="005138D5" w:rsidRDefault="00575F5E" w:rsidP="00A41668">
      <w:pPr>
        <w:rPr>
          <w:sz w:val="22"/>
        </w:rPr>
      </w:pPr>
    </w:p>
    <w:p w14:paraId="01D48EC7" w14:textId="77777777" w:rsidR="00575F5E" w:rsidRPr="005138D5" w:rsidRDefault="003E22AE" w:rsidP="00A41668">
      <w:pPr>
        <w:rPr>
          <w:sz w:val="22"/>
        </w:rPr>
      </w:pPr>
      <w:r w:rsidRPr="005138D5">
        <w:rPr>
          <w:sz w:val="22"/>
        </w:rPr>
        <w:t>EXP:</w:t>
      </w:r>
    </w:p>
    <w:p w14:paraId="52761B2B" w14:textId="77777777" w:rsidR="00575F5E" w:rsidRPr="005138D5" w:rsidRDefault="00575F5E" w:rsidP="00A41668">
      <w:pPr>
        <w:rPr>
          <w:sz w:val="22"/>
        </w:rPr>
      </w:pPr>
    </w:p>
    <w:p w14:paraId="17FD2747" w14:textId="77777777" w:rsidR="00575F5E" w:rsidRPr="005138D5" w:rsidRDefault="00575F5E" w:rsidP="00A41668">
      <w:pPr>
        <w:rPr>
          <w:sz w:val="22"/>
        </w:rPr>
      </w:pPr>
    </w:p>
    <w:p w14:paraId="65D8936D" w14:textId="77777777" w:rsidR="00575F5E" w:rsidRPr="005138D5" w:rsidRDefault="00575F5E" w:rsidP="00A41668">
      <w:pPr>
        <w:pBdr>
          <w:top w:val="single" w:sz="4" w:space="1" w:color="auto"/>
          <w:left w:val="single" w:sz="4" w:space="4" w:color="auto"/>
          <w:bottom w:val="single" w:sz="4" w:space="1" w:color="auto"/>
          <w:right w:val="single" w:sz="4" w:space="4" w:color="auto"/>
        </w:pBdr>
        <w:rPr>
          <w:b/>
          <w:sz w:val="22"/>
        </w:rPr>
      </w:pPr>
      <w:r w:rsidRPr="005138D5">
        <w:rPr>
          <w:b/>
          <w:sz w:val="22"/>
        </w:rPr>
        <w:t xml:space="preserve">4. </w:t>
      </w:r>
      <w:r w:rsidRPr="005138D5">
        <w:rPr>
          <w:b/>
          <w:sz w:val="22"/>
        </w:rPr>
        <w:tab/>
        <w:t>NUMER SERII</w:t>
      </w:r>
    </w:p>
    <w:p w14:paraId="409CA51F" w14:textId="77777777" w:rsidR="00575F5E" w:rsidRPr="005138D5" w:rsidRDefault="00575F5E" w:rsidP="00A41668">
      <w:pPr>
        <w:rPr>
          <w:sz w:val="22"/>
        </w:rPr>
      </w:pPr>
    </w:p>
    <w:p w14:paraId="54777F03" w14:textId="77777777" w:rsidR="00575F5E" w:rsidRPr="005138D5" w:rsidRDefault="003E22AE" w:rsidP="00A41668">
      <w:pPr>
        <w:rPr>
          <w:sz w:val="22"/>
        </w:rPr>
      </w:pPr>
      <w:r w:rsidRPr="005138D5">
        <w:rPr>
          <w:sz w:val="22"/>
        </w:rPr>
        <w:t>Lot:</w:t>
      </w:r>
    </w:p>
    <w:p w14:paraId="07506D63" w14:textId="77777777" w:rsidR="00575F5E" w:rsidRPr="005138D5" w:rsidRDefault="00575F5E" w:rsidP="00A41668">
      <w:pPr>
        <w:rPr>
          <w:sz w:val="22"/>
        </w:rPr>
      </w:pPr>
    </w:p>
    <w:p w14:paraId="33811388" w14:textId="77777777" w:rsidR="00575F5E" w:rsidRPr="005138D5" w:rsidRDefault="00575F5E" w:rsidP="00A41668">
      <w:pPr>
        <w:rPr>
          <w:sz w:val="22"/>
        </w:rPr>
      </w:pPr>
    </w:p>
    <w:p w14:paraId="79D71475" w14:textId="77777777" w:rsidR="00575F5E" w:rsidRPr="005138D5" w:rsidRDefault="00575F5E" w:rsidP="00A41668">
      <w:pPr>
        <w:pBdr>
          <w:top w:val="single" w:sz="4" w:space="1" w:color="auto"/>
          <w:left w:val="single" w:sz="4" w:space="4" w:color="auto"/>
          <w:bottom w:val="single" w:sz="4" w:space="1" w:color="auto"/>
          <w:right w:val="single" w:sz="4" w:space="4" w:color="auto"/>
        </w:pBdr>
        <w:tabs>
          <w:tab w:val="left" w:pos="720"/>
        </w:tabs>
        <w:rPr>
          <w:noProof/>
          <w:sz w:val="22"/>
        </w:rPr>
      </w:pPr>
      <w:r w:rsidRPr="005138D5">
        <w:rPr>
          <w:b/>
          <w:noProof/>
          <w:sz w:val="22"/>
        </w:rPr>
        <w:t>5.</w:t>
      </w:r>
      <w:r w:rsidRPr="005138D5">
        <w:rPr>
          <w:b/>
          <w:noProof/>
          <w:sz w:val="22"/>
        </w:rPr>
        <w:tab/>
        <w:t>INNE</w:t>
      </w:r>
    </w:p>
    <w:p w14:paraId="4B38B45B" w14:textId="77777777" w:rsidR="00261874" w:rsidRPr="005138D5" w:rsidRDefault="00261874" w:rsidP="00A41668">
      <w:pPr>
        <w:rPr>
          <w:sz w:val="22"/>
        </w:rPr>
      </w:pPr>
    </w:p>
    <w:p w14:paraId="596BD79B" w14:textId="77777777" w:rsidR="00261874" w:rsidRPr="005138D5" w:rsidRDefault="00261874" w:rsidP="00A41668">
      <w:pPr>
        <w:rPr>
          <w:sz w:val="22"/>
        </w:rPr>
      </w:pPr>
    </w:p>
    <w:p w14:paraId="193B3944" w14:textId="77777777" w:rsidR="00261874" w:rsidRPr="005138D5" w:rsidRDefault="00261874" w:rsidP="00A41668">
      <w:pPr>
        <w:rPr>
          <w:sz w:val="22"/>
        </w:rPr>
      </w:pPr>
    </w:p>
    <w:p w14:paraId="1010A505" w14:textId="77777777" w:rsidR="00261874" w:rsidRPr="005138D5" w:rsidRDefault="00261874" w:rsidP="00A41668">
      <w:pPr>
        <w:rPr>
          <w:sz w:val="22"/>
        </w:rPr>
      </w:pPr>
    </w:p>
    <w:p w14:paraId="699776F2" w14:textId="77777777" w:rsidR="00261874" w:rsidRPr="005138D5" w:rsidRDefault="00261874" w:rsidP="00A41668">
      <w:pPr>
        <w:rPr>
          <w:sz w:val="22"/>
        </w:rPr>
      </w:pPr>
    </w:p>
    <w:p w14:paraId="72BB22B7" w14:textId="77777777" w:rsidR="00261874" w:rsidRPr="005138D5" w:rsidRDefault="00261874" w:rsidP="00A41668">
      <w:pPr>
        <w:rPr>
          <w:sz w:val="22"/>
        </w:rPr>
      </w:pPr>
    </w:p>
    <w:p w14:paraId="102FA98A" w14:textId="77777777" w:rsidR="00261874" w:rsidRPr="005138D5" w:rsidRDefault="00261874" w:rsidP="00A41668">
      <w:pPr>
        <w:rPr>
          <w:sz w:val="22"/>
        </w:rPr>
      </w:pPr>
    </w:p>
    <w:p w14:paraId="0F87CBB5" w14:textId="77777777" w:rsidR="00261874" w:rsidRPr="005138D5" w:rsidRDefault="00261874" w:rsidP="00A41668">
      <w:pPr>
        <w:rPr>
          <w:sz w:val="22"/>
        </w:rPr>
      </w:pPr>
    </w:p>
    <w:p w14:paraId="679E978C" w14:textId="77777777" w:rsidR="00261874" w:rsidRPr="005138D5" w:rsidRDefault="00261874" w:rsidP="00A41668">
      <w:pPr>
        <w:rPr>
          <w:sz w:val="22"/>
        </w:rPr>
      </w:pPr>
    </w:p>
    <w:p w14:paraId="4A28C9EC" w14:textId="77777777" w:rsidR="00261874" w:rsidRPr="005138D5" w:rsidRDefault="00261874" w:rsidP="00A41668">
      <w:pPr>
        <w:rPr>
          <w:sz w:val="22"/>
        </w:rPr>
      </w:pPr>
    </w:p>
    <w:p w14:paraId="19D74A70" w14:textId="77777777" w:rsidR="00261874" w:rsidRPr="005138D5" w:rsidRDefault="00261874" w:rsidP="00A41668">
      <w:pPr>
        <w:rPr>
          <w:sz w:val="22"/>
        </w:rPr>
      </w:pPr>
    </w:p>
    <w:p w14:paraId="734F6D25" w14:textId="77777777" w:rsidR="00575F5E" w:rsidRPr="005138D5" w:rsidRDefault="00575F5E" w:rsidP="00A41668">
      <w:pPr>
        <w:rPr>
          <w:b/>
          <w:bCs/>
          <w:sz w:val="22"/>
        </w:rPr>
      </w:pPr>
    </w:p>
    <w:p w14:paraId="491B2910" w14:textId="77777777" w:rsidR="00575F5E" w:rsidRPr="005138D5" w:rsidRDefault="00575F5E" w:rsidP="00A41668">
      <w:pPr>
        <w:rPr>
          <w:b/>
          <w:bCs/>
          <w:sz w:val="22"/>
        </w:rPr>
      </w:pPr>
    </w:p>
    <w:p w14:paraId="32033822" w14:textId="77777777" w:rsidR="00575F5E" w:rsidRPr="005138D5" w:rsidRDefault="00575F5E" w:rsidP="00A41668">
      <w:pPr>
        <w:rPr>
          <w:b/>
          <w:bCs/>
          <w:sz w:val="22"/>
        </w:rPr>
      </w:pPr>
    </w:p>
    <w:p w14:paraId="408D4AB7" w14:textId="77777777" w:rsidR="00575F5E" w:rsidRPr="005138D5" w:rsidRDefault="00575F5E" w:rsidP="00A41668">
      <w:pPr>
        <w:rPr>
          <w:b/>
          <w:bCs/>
          <w:sz w:val="22"/>
        </w:rPr>
      </w:pPr>
    </w:p>
    <w:p w14:paraId="07782A92" w14:textId="77777777" w:rsidR="00575F5E" w:rsidRPr="005138D5" w:rsidRDefault="00575F5E" w:rsidP="00A41668">
      <w:pPr>
        <w:rPr>
          <w:b/>
          <w:bCs/>
          <w:sz w:val="22"/>
        </w:rPr>
      </w:pPr>
    </w:p>
    <w:p w14:paraId="2805DF95" w14:textId="77777777" w:rsidR="00575F5E" w:rsidRPr="005138D5" w:rsidRDefault="00575F5E" w:rsidP="00A41668">
      <w:pPr>
        <w:rPr>
          <w:b/>
          <w:bCs/>
          <w:sz w:val="22"/>
        </w:rPr>
      </w:pPr>
    </w:p>
    <w:p w14:paraId="045F27FB" w14:textId="77777777" w:rsidR="00575F5E" w:rsidRPr="005138D5" w:rsidRDefault="00575F5E" w:rsidP="00A41668">
      <w:pPr>
        <w:rPr>
          <w:b/>
          <w:bCs/>
          <w:sz w:val="22"/>
        </w:rPr>
      </w:pPr>
    </w:p>
    <w:p w14:paraId="518D7B49" w14:textId="77777777" w:rsidR="00575F5E" w:rsidRPr="005138D5" w:rsidRDefault="00575F5E" w:rsidP="00A41668">
      <w:pPr>
        <w:rPr>
          <w:b/>
          <w:bCs/>
          <w:sz w:val="22"/>
        </w:rPr>
      </w:pPr>
    </w:p>
    <w:p w14:paraId="3BBF74B7" w14:textId="77777777" w:rsidR="00575F5E" w:rsidRPr="005138D5" w:rsidRDefault="00575F5E" w:rsidP="00A41668">
      <w:pPr>
        <w:rPr>
          <w:b/>
          <w:bCs/>
          <w:sz w:val="22"/>
        </w:rPr>
      </w:pPr>
    </w:p>
    <w:p w14:paraId="3AED581D" w14:textId="77777777" w:rsidR="00575F5E" w:rsidRPr="005138D5" w:rsidRDefault="00575F5E" w:rsidP="00A41668">
      <w:pPr>
        <w:rPr>
          <w:b/>
          <w:bCs/>
          <w:sz w:val="22"/>
        </w:rPr>
      </w:pPr>
    </w:p>
    <w:p w14:paraId="3E5A1CE3" w14:textId="77777777" w:rsidR="00575F5E" w:rsidRPr="005138D5" w:rsidRDefault="00575F5E" w:rsidP="00A41668">
      <w:pPr>
        <w:rPr>
          <w:b/>
          <w:bCs/>
          <w:sz w:val="22"/>
        </w:rPr>
      </w:pPr>
    </w:p>
    <w:p w14:paraId="22130DD4" w14:textId="77777777" w:rsidR="00575F5E" w:rsidRPr="005138D5" w:rsidRDefault="00575F5E" w:rsidP="00A41668">
      <w:pPr>
        <w:rPr>
          <w:b/>
          <w:bCs/>
          <w:sz w:val="22"/>
        </w:rPr>
      </w:pPr>
    </w:p>
    <w:p w14:paraId="50063DEE" w14:textId="77777777" w:rsidR="00575F5E" w:rsidRPr="005138D5" w:rsidRDefault="00575F5E" w:rsidP="00A41668">
      <w:pPr>
        <w:rPr>
          <w:b/>
          <w:bCs/>
          <w:sz w:val="22"/>
        </w:rPr>
      </w:pPr>
    </w:p>
    <w:p w14:paraId="1A82AAFB" w14:textId="77777777" w:rsidR="00575F5E" w:rsidRPr="005138D5" w:rsidRDefault="00575F5E" w:rsidP="00A41668">
      <w:pPr>
        <w:rPr>
          <w:b/>
          <w:bCs/>
          <w:sz w:val="22"/>
        </w:rPr>
      </w:pPr>
    </w:p>
    <w:p w14:paraId="21E618A8" w14:textId="77777777" w:rsidR="00575F5E" w:rsidRPr="005138D5" w:rsidRDefault="00575F5E" w:rsidP="00A41668">
      <w:pPr>
        <w:rPr>
          <w:b/>
          <w:bCs/>
          <w:sz w:val="22"/>
        </w:rPr>
      </w:pPr>
    </w:p>
    <w:p w14:paraId="134CA4B9" w14:textId="77777777" w:rsidR="00575F5E" w:rsidRPr="005138D5" w:rsidRDefault="00575F5E" w:rsidP="00A41668">
      <w:pPr>
        <w:rPr>
          <w:b/>
          <w:bCs/>
          <w:sz w:val="22"/>
        </w:rPr>
      </w:pPr>
    </w:p>
    <w:p w14:paraId="7E580FD1" w14:textId="77777777" w:rsidR="00DF39CB" w:rsidRPr="005138D5" w:rsidRDefault="00DF39CB" w:rsidP="00DF39CB">
      <w:pPr>
        <w:jc w:val="center"/>
        <w:rPr>
          <w:b/>
          <w:bCs/>
          <w:sz w:val="22"/>
        </w:rPr>
      </w:pPr>
    </w:p>
    <w:p w14:paraId="1363B120" w14:textId="77777777" w:rsidR="00DF39CB" w:rsidRPr="005138D5" w:rsidRDefault="00DF39CB" w:rsidP="00DF39CB">
      <w:pPr>
        <w:jc w:val="center"/>
        <w:rPr>
          <w:b/>
          <w:bCs/>
          <w:sz w:val="22"/>
        </w:rPr>
      </w:pPr>
    </w:p>
    <w:p w14:paraId="728ED730" w14:textId="77777777" w:rsidR="00DF39CB" w:rsidRPr="005138D5" w:rsidRDefault="00DF39CB" w:rsidP="00DF39CB">
      <w:pPr>
        <w:jc w:val="center"/>
        <w:rPr>
          <w:b/>
          <w:bCs/>
          <w:sz w:val="22"/>
        </w:rPr>
      </w:pPr>
    </w:p>
    <w:p w14:paraId="6CE23FF9" w14:textId="77777777" w:rsidR="00DF39CB" w:rsidRPr="005138D5" w:rsidRDefault="00DF39CB" w:rsidP="00DF39CB">
      <w:pPr>
        <w:jc w:val="center"/>
        <w:rPr>
          <w:b/>
          <w:bCs/>
          <w:sz w:val="22"/>
        </w:rPr>
      </w:pPr>
    </w:p>
    <w:p w14:paraId="3EBD3742" w14:textId="77777777" w:rsidR="00DF39CB" w:rsidRPr="005138D5" w:rsidRDefault="00DF39CB" w:rsidP="00DF39CB">
      <w:pPr>
        <w:jc w:val="center"/>
        <w:rPr>
          <w:b/>
          <w:bCs/>
          <w:sz w:val="22"/>
        </w:rPr>
      </w:pPr>
    </w:p>
    <w:p w14:paraId="7BFDA5EE" w14:textId="77777777" w:rsidR="00DF39CB" w:rsidRPr="005138D5" w:rsidRDefault="00DF39CB" w:rsidP="00DF39CB">
      <w:pPr>
        <w:jc w:val="center"/>
        <w:rPr>
          <w:b/>
          <w:bCs/>
          <w:sz w:val="22"/>
        </w:rPr>
      </w:pPr>
    </w:p>
    <w:p w14:paraId="4CD39C30" w14:textId="77777777" w:rsidR="00DF39CB" w:rsidRPr="005138D5" w:rsidRDefault="00DF39CB" w:rsidP="00DF39CB">
      <w:pPr>
        <w:jc w:val="center"/>
        <w:rPr>
          <w:b/>
          <w:bCs/>
          <w:sz w:val="22"/>
        </w:rPr>
      </w:pPr>
    </w:p>
    <w:p w14:paraId="6D1BB9AC" w14:textId="77777777" w:rsidR="00DF39CB" w:rsidRPr="005138D5" w:rsidRDefault="00DF39CB" w:rsidP="00DF39CB">
      <w:pPr>
        <w:jc w:val="center"/>
        <w:rPr>
          <w:b/>
          <w:bCs/>
          <w:sz w:val="22"/>
        </w:rPr>
      </w:pPr>
    </w:p>
    <w:p w14:paraId="5BAEEC53" w14:textId="77777777" w:rsidR="00DF39CB" w:rsidRPr="005138D5" w:rsidRDefault="00DF39CB" w:rsidP="00DF39CB">
      <w:pPr>
        <w:jc w:val="center"/>
        <w:rPr>
          <w:b/>
          <w:bCs/>
          <w:sz w:val="22"/>
        </w:rPr>
      </w:pPr>
    </w:p>
    <w:p w14:paraId="60AD1B45" w14:textId="77777777" w:rsidR="00DF39CB" w:rsidRPr="005138D5" w:rsidRDefault="00DF39CB" w:rsidP="00DF39CB">
      <w:pPr>
        <w:jc w:val="center"/>
        <w:rPr>
          <w:b/>
          <w:bCs/>
          <w:sz w:val="22"/>
        </w:rPr>
      </w:pPr>
    </w:p>
    <w:p w14:paraId="6BFC0E37" w14:textId="77777777" w:rsidR="00DF39CB" w:rsidRPr="005138D5" w:rsidRDefault="00DF39CB" w:rsidP="00DF39CB">
      <w:pPr>
        <w:jc w:val="center"/>
        <w:rPr>
          <w:b/>
          <w:bCs/>
          <w:sz w:val="22"/>
        </w:rPr>
      </w:pPr>
    </w:p>
    <w:p w14:paraId="3FBA4041" w14:textId="77777777" w:rsidR="00DF39CB" w:rsidRPr="005138D5" w:rsidRDefault="00DF39CB" w:rsidP="00DF39CB">
      <w:pPr>
        <w:jc w:val="center"/>
        <w:rPr>
          <w:b/>
          <w:bCs/>
          <w:sz w:val="22"/>
        </w:rPr>
      </w:pPr>
    </w:p>
    <w:p w14:paraId="673FC338" w14:textId="77777777" w:rsidR="00DF39CB" w:rsidRPr="005138D5" w:rsidRDefault="00DF39CB" w:rsidP="00DF39CB">
      <w:pPr>
        <w:jc w:val="center"/>
        <w:rPr>
          <w:b/>
          <w:bCs/>
          <w:sz w:val="22"/>
        </w:rPr>
      </w:pPr>
    </w:p>
    <w:p w14:paraId="143131BC" w14:textId="77777777" w:rsidR="00DF39CB" w:rsidRPr="005138D5" w:rsidRDefault="00DF39CB" w:rsidP="00DF39CB">
      <w:pPr>
        <w:jc w:val="center"/>
        <w:rPr>
          <w:b/>
          <w:bCs/>
          <w:sz w:val="22"/>
        </w:rPr>
      </w:pPr>
    </w:p>
    <w:p w14:paraId="3E4DAC79" w14:textId="77777777" w:rsidR="00DF39CB" w:rsidRPr="005138D5" w:rsidRDefault="00DF39CB" w:rsidP="00DF39CB">
      <w:pPr>
        <w:jc w:val="center"/>
        <w:rPr>
          <w:b/>
          <w:bCs/>
          <w:sz w:val="22"/>
        </w:rPr>
      </w:pPr>
    </w:p>
    <w:p w14:paraId="44DE7A1E" w14:textId="77777777" w:rsidR="00DF39CB" w:rsidRPr="005138D5" w:rsidRDefault="00DF39CB" w:rsidP="00DF39CB">
      <w:pPr>
        <w:jc w:val="center"/>
        <w:rPr>
          <w:b/>
          <w:bCs/>
          <w:sz w:val="22"/>
        </w:rPr>
      </w:pPr>
    </w:p>
    <w:p w14:paraId="25FFBAC6" w14:textId="77777777" w:rsidR="00DF39CB" w:rsidRPr="005138D5" w:rsidRDefault="00DF39CB" w:rsidP="00DF39CB">
      <w:pPr>
        <w:jc w:val="center"/>
        <w:rPr>
          <w:b/>
          <w:bCs/>
          <w:sz w:val="22"/>
        </w:rPr>
      </w:pPr>
    </w:p>
    <w:p w14:paraId="5EAD0AA8" w14:textId="77777777" w:rsidR="00DF39CB" w:rsidRPr="005138D5" w:rsidRDefault="00DF39CB" w:rsidP="00DF39CB">
      <w:pPr>
        <w:jc w:val="center"/>
        <w:rPr>
          <w:b/>
          <w:bCs/>
          <w:sz w:val="22"/>
        </w:rPr>
      </w:pPr>
    </w:p>
    <w:p w14:paraId="2F7EA8DF" w14:textId="77777777" w:rsidR="00DF39CB" w:rsidRPr="005138D5" w:rsidRDefault="00DF39CB" w:rsidP="00DF39CB">
      <w:pPr>
        <w:jc w:val="center"/>
        <w:rPr>
          <w:b/>
          <w:bCs/>
          <w:sz w:val="22"/>
        </w:rPr>
      </w:pPr>
    </w:p>
    <w:p w14:paraId="292144AF" w14:textId="77777777" w:rsidR="00DF39CB" w:rsidRPr="005138D5" w:rsidRDefault="00DF39CB" w:rsidP="00DF39CB">
      <w:pPr>
        <w:jc w:val="center"/>
        <w:rPr>
          <w:b/>
          <w:bCs/>
          <w:sz w:val="22"/>
        </w:rPr>
      </w:pPr>
    </w:p>
    <w:p w14:paraId="7C54C6F6" w14:textId="77777777" w:rsidR="00DF39CB" w:rsidRPr="005138D5" w:rsidRDefault="00DF39CB" w:rsidP="00DF39CB">
      <w:pPr>
        <w:jc w:val="center"/>
        <w:rPr>
          <w:b/>
          <w:bCs/>
          <w:sz w:val="22"/>
        </w:rPr>
      </w:pPr>
    </w:p>
    <w:p w14:paraId="5B61BFF4" w14:textId="77777777" w:rsidR="00DF39CB" w:rsidRPr="005138D5" w:rsidRDefault="00DF39CB" w:rsidP="00DF39CB">
      <w:pPr>
        <w:jc w:val="center"/>
        <w:rPr>
          <w:b/>
          <w:bCs/>
          <w:sz w:val="22"/>
        </w:rPr>
      </w:pPr>
    </w:p>
    <w:p w14:paraId="500DE5C1" w14:textId="77777777" w:rsidR="00DF39CB" w:rsidRPr="005138D5" w:rsidRDefault="00DF39CB" w:rsidP="00DF39CB">
      <w:pPr>
        <w:jc w:val="center"/>
        <w:rPr>
          <w:b/>
          <w:sz w:val="22"/>
        </w:rPr>
      </w:pPr>
    </w:p>
    <w:p w14:paraId="40340F74" w14:textId="77777777" w:rsidR="00575F5E" w:rsidRPr="005138D5" w:rsidRDefault="00575F5E" w:rsidP="00454903">
      <w:pPr>
        <w:pStyle w:val="17"/>
      </w:pPr>
      <w:r w:rsidRPr="005138D5">
        <w:t>B. ULOTKA DLA PACJENTA</w:t>
      </w:r>
    </w:p>
    <w:p w14:paraId="2841B606" w14:textId="77777777" w:rsidR="00EA33D1" w:rsidRDefault="00575F5E" w:rsidP="00A34468">
      <w:pPr>
        <w:jc w:val="center"/>
        <w:rPr>
          <w:bCs/>
          <w:sz w:val="22"/>
        </w:rPr>
      </w:pPr>
      <w:r w:rsidRPr="005138D5">
        <w:rPr>
          <w:bCs/>
          <w:sz w:val="22"/>
        </w:rPr>
        <w:br w:type="page"/>
      </w:r>
    </w:p>
    <w:p w14:paraId="7BF0D8B2" w14:textId="77777777" w:rsidR="00575F5E" w:rsidRPr="005138D5" w:rsidRDefault="00575F5E" w:rsidP="00A34468">
      <w:pPr>
        <w:jc w:val="center"/>
        <w:rPr>
          <w:b/>
          <w:bCs/>
          <w:sz w:val="22"/>
        </w:rPr>
      </w:pPr>
      <w:r w:rsidRPr="005138D5">
        <w:rPr>
          <w:b/>
          <w:noProof/>
          <w:sz w:val="22"/>
        </w:rPr>
        <w:t>U</w:t>
      </w:r>
      <w:r w:rsidR="00B22683" w:rsidRPr="005138D5">
        <w:rPr>
          <w:b/>
          <w:noProof/>
          <w:sz w:val="22"/>
        </w:rPr>
        <w:t>lotka dołączona do opakowania: informacja dla pacjenta</w:t>
      </w:r>
    </w:p>
    <w:p w14:paraId="61B620AB" w14:textId="77777777" w:rsidR="00575F5E" w:rsidRPr="005138D5" w:rsidRDefault="00575F5E" w:rsidP="00A34468">
      <w:pPr>
        <w:jc w:val="center"/>
        <w:rPr>
          <w:b/>
          <w:bCs/>
          <w:sz w:val="22"/>
        </w:rPr>
      </w:pPr>
    </w:p>
    <w:p w14:paraId="231031A4" w14:textId="77777777" w:rsidR="00575F5E" w:rsidRPr="005138D5" w:rsidRDefault="00261874" w:rsidP="00A34468">
      <w:pPr>
        <w:jc w:val="center"/>
        <w:rPr>
          <w:b/>
          <w:sz w:val="22"/>
          <w:lang w:val="en-US"/>
        </w:rPr>
      </w:pPr>
      <w:r w:rsidRPr="005138D5">
        <w:rPr>
          <w:b/>
          <w:sz w:val="22"/>
          <w:lang w:val="en-US"/>
        </w:rPr>
        <w:t>Voriconazole Accord</w:t>
      </w:r>
      <w:r w:rsidRPr="005138D5" w:rsidDel="00261874">
        <w:rPr>
          <w:b/>
          <w:sz w:val="22"/>
          <w:lang w:val="en-US"/>
        </w:rPr>
        <w:t xml:space="preserve"> </w:t>
      </w:r>
      <w:r w:rsidR="00575F5E" w:rsidRPr="005138D5">
        <w:rPr>
          <w:b/>
          <w:sz w:val="22"/>
          <w:lang w:val="en-US"/>
        </w:rPr>
        <w:t>50</w:t>
      </w:r>
      <w:r w:rsidR="00086D10" w:rsidRPr="005138D5">
        <w:rPr>
          <w:b/>
          <w:sz w:val="22"/>
          <w:lang w:val="en-US"/>
        </w:rPr>
        <w:t> mg</w:t>
      </w:r>
      <w:r w:rsidR="00575F5E" w:rsidRPr="005138D5">
        <w:rPr>
          <w:b/>
          <w:sz w:val="22"/>
          <w:lang w:val="en-US"/>
        </w:rPr>
        <w:t xml:space="preserve"> </w:t>
      </w:r>
      <w:proofErr w:type="spellStart"/>
      <w:r w:rsidR="00575F5E" w:rsidRPr="005138D5">
        <w:rPr>
          <w:b/>
          <w:sz w:val="22"/>
          <w:lang w:val="en-US"/>
        </w:rPr>
        <w:t>tabletki</w:t>
      </w:r>
      <w:proofErr w:type="spellEnd"/>
      <w:r w:rsidR="00575F5E" w:rsidRPr="005138D5">
        <w:rPr>
          <w:b/>
          <w:sz w:val="22"/>
          <w:lang w:val="en-US"/>
        </w:rPr>
        <w:t xml:space="preserve"> </w:t>
      </w:r>
      <w:proofErr w:type="spellStart"/>
      <w:r w:rsidR="00575F5E" w:rsidRPr="005138D5">
        <w:rPr>
          <w:b/>
          <w:sz w:val="22"/>
          <w:lang w:val="en-US"/>
        </w:rPr>
        <w:t>powlekane</w:t>
      </w:r>
      <w:proofErr w:type="spellEnd"/>
    </w:p>
    <w:p w14:paraId="3F4D1B2C" w14:textId="77777777" w:rsidR="00575F5E" w:rsidRPr="005138D5" w:rsidRDefault="00261874" w:rsidP="00A34468">
      <w:pPr>
        <w:jc w:val="center"/>
        <w:rPr>
          <w:b/>
          <w:sz w:val="22"/>
          <w:lang w:val="en-US"/>
        </w:rPr>
      </w:pPr>
      <w:r w:rsidRPr="005138D5">
        <w:rPr>
          <w:b/>
          <w:sz w:val="22"/>
          <w:lang w:val="en-US"/>
        </w:rPr>
        <w:t>Voriconazole Accord</w:t>
      </w:r>
      <w:r w:rsidRPr="005138D5" w:rsidDel="00261874">
        <w:rPr>
          <w:b/>
          <w:sz w:val="22"/>
          <w:lang w:val="en-US"/>
        </w:rPr>
        <w:t xml:space="preserve"> </w:t>
      </w:r>
      <w:r w:rsidR="00575F5E" w:rsidRPr="005138D5">
        <w:rPr>
          <w:b/>
          <w:sz w:val="22"/>
          <w:lang w:val="en-US"/>
        </w:rPr>
        <w:t>200</w:t>
      </w:r>
      <w:r w:rsidR="00086D10" w:rsidRPr="005138D5">
        <w:rPr>
          <w:b/>
          <w:sz w:val="22"/>
          <w:lang w:val="en-US"/>
        </w:rPr>
        <w:t> mg</w:t>
      </w:r>
      <w:r w:rsidR="00575F5E" w:rsidRPr="005138D5">
        <w:rPr>
          <w:b/>
          <w:sz w:val="22"/>
          <w:lang w:val="en-US"/>
        </w:rPr>
        <w:t xml:space="preserve"> </w:t>
      </w:r>
      <w:proofErr w:type="spellStart"/>
      <w:r w:rsidR="00575F5E" w:rsidRPr="005138D5">
        <w:rPr>
          <w:b/>
          <w:sz w:val="22"/>
          <w:lang w:val="en-US"/>
        </w:rPr>
        <w:t>tabletki</w:t>
      </w:r>
      <w:proofErr w:type="spellEnd"/>
      <w:r w:rsidR="00575F5E" w:rsidRPr="005138D5">
        <w:rPr>
          <w:b/>
          <w:sz w:val="22"/>
          <w:lang w:val="en-US"/>
        </w:rPr>
        <w:t xml:space="preserve"> </w:t>
      </w:r>
      <w:proofErr w:type="spellStart"/>
      <w:r w:rsidR="00575F5E" w:rsidRPr="005138D5">
        <w:rPr>
          <w:b/>
          <w:sz w:val="22"/>
          <w:lang w:val="en-US"/>
        </w:rPr>
        <w:t>powlekane</w:t>
      </w:r>
      <w:proofErr w:type="spellEnd"/>
    </w:p>
    <w:p w14:paraId="0C18427A" w14:textId="77777777" w:rsidR="00575F5E" w:rsidRPr="005138D5" w:rsidRDefault="00575F5E" w:rsidP="00A34468">
      <w:pPr>
        <w:jc w:val="center"/>
        <w:rPr>
          <w:sz w:val="22"/>
        </w:rPr>
      </w:pPr>
      <w:r w:rsidRPr="005138D5">
        <w:rPr>
          <w:sz w:val="22"/>
        </w:rPr>
        <w:t>Worykonazol</w:t>
      </w:r>
    </w:p>
    <w:p w14:paraId="19BAED7B" w14:textId="77777777" w:rsidR="00575F5E" w:rsidRPr="005138D5" w:rsidRDefault="00575F5E" w:rsidP="00A41668">
      <w:pPr>
        <w:rPr>
          <w:b/>
          <w:bCs/>
          <w:sz w:val="22"/>
        </w:rPr>
      </w:pPr>
    </w:p>
    <w:p w14:paraId="33355323" w14:textId="77777777" w:rsidR="00575F5E" w:rsidRPr="005138D5" w:rsidRDefault="00575F5E" w:rsidP="00A41668">
      <w:pPr>
        <w:rPr>
          <w:b/>
          <w:sz w:val="22"/>
        </w:rPr>
      </w:pPr>
      <w:r w:rsidRPr="005138D5">
        <w:rPr>
          <w:b/>
          <w:sz w:val="22"/>
        </w:rPr>
        <w:t xml:space="preserve">Należy </w:t>
      </w:r>
      <w:r w:rsidR="00B22683" w:rsidRPr="005138D5">
        <w:rPr>
          <w:b/>
          <w:sz w:val="22"/>
        </w:rPr>
        <w:t xml:space="preserve">uważnie </w:t>
      </w:r>
      <w:r w:rsidRPr="005138D5">
        <w:rPr>
          <w:b/>
          <w:sz w:val="22"/>
        </w:rPr>
        <w:t>zapoznać się z treścią ulotki przed zastosowaniem leku</w:t>
      </w:r>
      <w:r w:rsidR="008B72E4" w:rsidRPr="005138D5">
        <w:rPr>
          <w:b/>
          <w:sz w:val="22"/>
        </w:rPr>
        <w:t>, ponieważ zawiera ona informacje ważne dla pacjenta</w:t>
      </w:r>
      <w:r w:rsidRPr="005138D5">
        <w:rPr>
          <w:b/>
          <w:sz w:val="22"/>
        </w:rPr>
        <w:t>.</w:t>
      </w:r>
    </w:p>
    <w:p w14:paraId="1FC33C2F" w14:textId="77777777" w:rsidR="00575F5E" w:rsidRPr="005138D5" w:rsidRDefault="00575F5E" w:rsidP="00A41668">
      <w:pPr>
        <w:numPr>
          <w:ilvl w:val="0"/>
          <w:numId w:val="3"/>
        </w:numPr>
        <w:rPr>
          <w:sz w:val="22"/>
        </w:rPr>
      </w:pPr>
      <w:r w:rsidRPr="005138D5">
        <w:rPr>
          <w:sz w:val="22"/>
        </w:rPr>
        <w:t>Należy zachować</w:t>
      </w:r>
      <w:r w:rsidR="0097301F" w:rsidRPr="005138D5">
        <w:rPr>
          <w:sz w:val="22"/>
        </w:rPr>
        <w:t xml:space="preserve"> tę</w:t>
      </w:r>
      <w:r w:rsidRPr="005138D5">
        <w:rPr>
          <w:sz w:val="22"/>
        </w:rPr>
        <w:t xml:space="preserve"> ulotkę, aby w razie potrzeby móc ją ponownie przeczytać.</w:t>
      </w:r>
    </w:p>
    <w:p w14:paraId="1FE8A214" w14:textId="77777777" w:rsidR="00575F5E" w:rsidRPr="005138D5" w:rsidRDefault="0097301F" w:rsidP="00A41668">
      <w:pPr>
        <w:numPr>
          <w:ilvl w:val="0"/>
          <w:numId w:val="3"/>
        </w:numPr>
        <w:rPr>
          <w:sz w:val="22"/>
        </w:rPr>
      </w:pPr>
      <w:r w:rsidRPr="005138D5">
        <w:rPr>
          <w:sz w:val="22"/>
        </w:rPr>
        <w:t>W razie jakichkolwiek wątpliwości n</w:t>
      </w:r>
      <w:r w:rsidR="00575F5E" w:rsidRPr="005138D5">
        <w:rPr>
          <w:sz w:val="22"/>
        </w:rPr>
        <w:t>ależy zwrócić się do lekarza</w:t>
      </w:r>
      <w:r w:rsidR="00BB48E2" w:rsidRPr="005138D5">
        <w:rPr>
          <w:sz w:val="22"/>
        </w:rPr>
        <w:t xml:space="preserve">, </w:t>
      </w:r>
      <w:r w:rsidR="00575F5E" w:rsidRPr="005138D5">
        <w:rPr>
          <w:sz w:val="22"/>
        </w:rPr>
        <w:t>farmaceuty</w:t>
      </w:r>
      <w:r w:rsidR="00BB48E2" w:rsidRPr="005138D5">
        <w:rPr>
          <w:sz w:val="22"/>
        </w:rPr>
        <w:t xml:space="preserve"> lub pielęgniarki</w:t>
      </w:r>
      <w:r w:rsidRPr="005138D5">
        <w:rPr>
          <w:sz w:val="22"/>
        </w:rPr>
        <w:t>.</w:t>
      </w:r>
    </w:p>
    <w:p w14:paraId="3A9EAC49" w14:textId="77777777" w:rsidR="00575F5E" w:rsidRPr="005138D5" w:rsidRDefault="00575F5E" w:rsidP="00A41668">
      <w:pPr>
        <w:numPr>
          <w:ilvl w:val="0"/>
          <w:numId w:val="3"/>
        </w:numPr>
        <w:rPr>
          <w:sz w:val="22"/>
        </w:rPr>
      </w:pPr>
      <w:r w:rsidRPr="005138D5">
        <w:rPr>
          <w:sz w:val="22"/>
        </w:rPr>
        <w:t>Lek ten został przepisany ściśle określonej osobie</w:t>
      </w:r>
      <w:r w:rsidR="00324FB9" w:rsidRPr="005138D5">
        <w:rPr>
          <w:sz w:val="22"/>
        </w:rPr>
        <w:t>.</w:t>
      </w:r>
      <w:r w:rsidRPr="005138D5">
        <w:rPr>
          <w:sz w:val="22"/>
        </w:rPr>
        <w:t xml:space="preserve"> </w:t>
      </w:r>
      <w:r w:rsidR="00324FB9" w:rsidRPr="005138D5">
        <w:rPr>
          <w:noProof/>
          <w:sz w:val="22"/>
        </w:rPr>
        <w:t>Nie należy go przekazywać innym. Lek może zaszkodzić innej osobie, nawet jeśli objawy jej choroby są takie same.</w:t>
      </w:r>
    </w:p>
    <w:p w14:paraId="7444503F" w14:textId="77777777" w:rsidR="00575F5E" w:rsidRPr="005138D5" w:rsidRDefault="00575F5E" w:rsidP="00A41668">
      <w:pPr>
        <w:numPr>
          <w:ilvl w:val="0"/>
          <w:numId w:val="3"/>
        </w:numPr>
        <w:rPr>
          <w:sz w:val="22"/>
        </w:rPr>
      </w:pPr>
      <w:r w:rsidRPr="005138D5">
        <w:rPr>
          <w:noProof/>
          <w:sz w:val="22"/>
        </w:rPr>
        <w:t>Jeśli</w:t>
      </w:r>
      <w:r w:rsidR="008B72E4" w:rsidRPr="005138D5">
        <w:rPr>
          <w:noProof/>
          <w:sz w:val="22"/>
        </w:rPr>
        <w:t xml:space="preserve"> </w:t>
      </w:r>
      <w:r w:rsidR="0097301F" w:rsidRPr="005138D5">
        <w:rPr>
          <w:noProof/>
          <w:sz w:val="22"/>
        </w:rPr>
        <w:t xml:space="preserve">u pacjenta </w:t>
      </w:r>
      <w:r w:rsidR="008B72E4" w:rsidRPr="005138D5">
        <w:rPr>
          <w:noProof/>
          <w:sz w:val="22"/>
        </w:rPr>
        <w:t>wystąpią jakiekolwiek</w:t>
      </w:r>
      <w:r w:rsidRPr="005138D5">
        <w:rPr>
          <w:noProof/>
          <w:sz w:val="22"/>
        </w:rPr>
        <w:t xml:space="preserve"> objaw</w:t>
      </w:r>
      <w:r w:rsidR="008B72E4" w:rsidRPr="005138D5">
        <w:rPr>
          <w:noProof/>
          <w:sz w:val="22"/>
        </w:rPr>
        <w:t>y</w:t>
      </w:r>
      <w:r w:rsidRPr="005138D5">
        <w:rPr>
          <w:noProof/>
          <w:sz w:val="22"/>
        </w:rPr>
        <w:t xml:space="preserve"> niepożądan</w:t>
      </w:r>
      <w:r w:rsidR="008B72E4" w:rsidRPr="005138D5">
        <w:rPr>
          <w:noProof/>
          <w:sz w:val="22"/>
        </w:rPr>
        <w:t xml:space="preserve">e, w tym wszelkie objawy niepożądane </w:t>
      </w:r>
      <w:r w:rsidRPr="005138D5">
        <w:rPr>
          <w:noProof/>
          <w:sz w:val="22"/>
        </w:rPr>
        <w:t xml:space="preserve">niewymienione w </w:t>
      </w:r>
      <w:r w:rsidR="0097301F" w:rsidRPr="005138D5">
        <w:rPr>
          <w:noProof/>
          <w:sz w:val="22"/>
        </w:rPr>
        <w:t xml:space="preserve">tej </w:t>
      </w:r>
      <w:r w:rsidRPr="005138D5">
        <w:rPr>
          <w:noProof/>
          <w:sz w:val="22"/>
        </w:rPr>
        <w:t>ulotce, należy pow</w:t>
      </w:r>
      <w:r w:rsidR="008B72E4" w:rsidRPr="005138D5">
        <w:rPr>
          <w:noProof/>
          <w:sz w:val="22"/>
        </w:rPr>
        <w:t>iedzieć o tym l</w:t>
      </w:r>
      <w:r w:rsidRPr="005138D5">
        <w:rPr>
          <w:noProof/>
          <w:sz w:val="22"/>
        </w:rPr>
        <w:t>ekarz</w:t>
      </w:r>
      <w:r w:rsidR="008B72E4" w:rsidRPr="005138D5">
        <w:rPr>
          <w:noProof/>
          <w:sz w:val="22"/>
        </w:rPr>
        <w:t>owi</w:t>
      </w:r>
      <w:r w:rsidR="00BB48E2" w:rsidRPr="005138D5">
        <w:rPr>
          <w:noProof/>
          <w:sz w:val="22"/>
        </w:rPr>
        <w:t xml:space="preserve">, </w:t>
      </w:r>
      <w:r w:rsidRPr="005138D5">
        <w:rPr>
          <w:noProof/>
          <w:sz w:val="22"/>
        </w:rPr>
        <w:t>farmaceu</w:t>
      </w:r>
      <w:r w:rsidR="008B72E4" w:rsidRPr="005138D5">
        <w:rPr>
          <w:noProof/>
          <w:sz w:val="22"/>
        </w:rPr>
        <w:t>cie</w:t>
      </w:r>
      <w:r w:rsidR="00BB48E2" w:rsidRPr="005138D5">
        <w:rPr>
          <w:sz w:val="22"/>
        </w:rPr>
        <w:t xml:space="preserve"> lub pielęgniarce</w:t>
      </w:r>
      <w:r w:rsidRPr="005138D5">
        <w:rPr>
          <w:noProof/>
          <w:sz w:val="22"/>
        </w:rPr>
        <w:t>.</w:t>
      </w:r>
      <w:r w:rsidR="00BB48E2" w:rsidRPr="005138D5">
        <w:rPr>
          <w:noProof/>
          <w:sz w:val="22"/>
        </w:rPr>
        <w:t xml:space="preserve"> Patrz punkt 4.</w:t>
      </w:r>
    </w:p>
    <w:p w14:paraId="7BC77805" w14:textId="77777777" w:rsidR="00575F5E" w:rsidRPr="005138D5" w:rsidRDefault="00575F5E" w:rsidP="00277FE6">
      <w:pPr>
        <w:rPr>
          <w:sz w:val="22"/>
        </w:rPr>
      </w:pPr>
    </w:p>
    <w:p w14:paraId="2E5450D4" w14:textId="77777777" w:rsidR="00575F5E" w:rsidRPr="005138D5" w:rsidRDefault="00575F5E" w:rsidP="00277FE6">
      <w:pPr>
        <w:rPr>
          <w:b/>
          <w:sz w:val="22"/>
        </w:rPr>
      </w:pPr>
      <w:r w:rsidRPr="005138D5">
        <w:rPr>
          <w:b/>
          <w:sz w:val="22"/>
        </w:rPr>
        <w:t>Spis treści ulotki:</w:t>
      </w:r>
    </w:p>
    <w:p w14:paraId="73AD95FA" w14:textId="77777777" w:rsidR="00575F5E" w:rsidRPr="005138D5" w:rsidRDefault="00575F5E" w:rsidP="00A41668">
      <w:pPr>
        <w:rPr>
          <w:sz w:val="22"/>
        </w:rPr>
      </w:pPr>
    </w:p>
    <w:p w14:paraId="655F842A" w14:textId="77777777" w:rsidR="00575F5E" w:rsidRPr="005138D5" w:rsidRDefault="00575F5E" w:rsidP="00A41668">
      <w:pPr>
        <w:numPr>
          <w:ilvl w:val="1"/>
          <w:numId w:val="3"/>
        </w:numPr>
        <w:tabs>
          <w:tab w:val="clear" w:pos="1080"/>
          <w:tab w:val="num" w:pos="426"/>
        </w:tabs>
        <w:ind w:left="567" w:hanging="567"/>
        <w:rPr>
          <w:bCs/>
          <w:iCs/>
          <w:sz w:val="22"/>
        </w:rPr>
      </w:pPr>
      <w:r w:rsidRPr="005138D5">
        <w:rPr>
          <w:bCs/>
          <w:iCs/>
          <w:sz w:val="22"/>
        </w:rPr>
        <w:t xml:space="preserve">Co to jest lek </w:t>
      </w:r>
      <w:r w:rsidR="00261874" w:rsidRPr="005138D5">
        <w:rPr>
          <w:bCs/>
          <w:iCs/>
          <w:sz w:val="22"/>
        </w:rPr>
        <w:t>Voriconazole Accord</w:t>
      </w:r>
      <w:r w:rsidR="00261874" w:rsidRPr="005138D5" w:rsidDel="00261874">
        <w:rPr>
          <w:bCs/>
          <w:iCs/>
          <w:sz w:val="22"/>
        </w:rPr>
        <w:t xml:space="preserve"> </w:t>
      </w:r>
      <w:r w:rsidRPr="005138D5">
        <w:rPr>
          <w:bCs/>
          <w:iCs/>
          <w:sz w:val="22"/>
        </w:rPr>
        <w:t>i w jakim celu się go stosuje</w:t>
      </w:r>
    </w:p>
    <w:p w14:paraId="1C5E3246" w14:textId="77777777" w:rsidR="00575F5E" w:rsidRPr="005138D5" w:rsidRDefault="00575F5E" w:rsidP="00A41668">
      <w:pPr>
        <w:numPr>
          <w:ilvl w:val="1"/>
          <w:numId w:val="3"/>
        </w:numPr>
        <w:tabs>
          <w:tab w:val="clear" w:pos="1080"/>
          <w:tab w:val="num" w:pos="426"/>
        </w:tabs>
        <w:ind w:left="567" w:hanging="567"/>
        <w:rPr>
          <w:bCs/>
          <w:iCs/>
          <w:sz w:val="22"/>
        </w:rPr>
      </w:pPr>
      <w:r w:rsidRPr="005138D5">
        <w:rPr>
          <w:bCs/>
          <w:iCs/>
          <w:sz w:val="22"/>
        </w:rPr>
        <w:t xml:space="preserve">Informacje ważne przed zastosowaniem leku </w:t>
      </w:r>
      <w:r w:rsidR="00261874" w:rsidRPr="005138D5">
        <w:rPr>
          <w:bCs/>
          <w:iCs/>
          <w:sz w:val="22"/>
        </w:rPr>
        <w:t>Voriconazole Accord</w:t>
      </w:r>
    </w:p>
    <w:p w14:paraId="64BB7A4C" w14:textId="77777777" w:rsidR="00575F5E" w:rsidRPr="005138D5" w:rsidRDefault="00575F5E" w:rsidP="00A41668">
      <w:pPr>
        <w:numPr>
          <w:ilvl w:val="1"/>
          <w:numId w:val="3"/>
        </w:numPr>
        <w:tabs>
          <w:tab w:val="clear" w:pos="1080"/>
          <w:tab w:val="num" w:pos="426"/>
        </w:tabs>
        <w:ind w:left="567" w:hanging="567"/>
        <w:rPr>
          <w:bCs/>
          <w:iCs/>
          <w:sz w:val="22"/>
        </w:rPr>
      </w:pPr>
      <w:r w:rsidRPr="005138D5">
        <w:rPr>
          <w:bCs/>
          <w:iCs/>
          <w:sz w:val="22"/>
        </w:rPr>
        <w:t xml:space="preserve">Jak stosować lek </w:t>
      </w:r>
      <w:r w:rsidR="00261874" w:rsidRPr="005138D5">
        <w:rPr>
          <w:bCs/>
          <w:iCs/>
          <w:sz w:val="22"/>
        </w:rPr>
        <w:t>Voriconazole Accord</w:t>
      </w:r>
    </w:p>
    <w:p w14:paraId="074FB1C5" w14:textId="77777777" w:rsidR="00575F5E" w:rsidRPr="005138D5" w:rsidRDefault="00575F5E" w:rsidP="00A41668">
      <w:pPr>
        <w:numPr>
          <w:ilvl w:val="1"/>
          <w:numId w:val="3"/>
        </w:numPr>
        <w:tabs>
          <w:tab w:val="clear" w:pos="1080"/>
          <w:tab w:val="num" w:pos="426"/>
        </w:tabs>
        <w:ind w:left="567" w:hanging="567"/>
        <w:rPr>
          <w:bCs/>
          <w:iCs/>
          <w:sz w:val="22"/>
        </w:rPr>
      </w:pPr>
      <w:r w:rsidRPr="005138D5">
        <w:rPr>
          <w:bCs/>
          <w:iCs/>
          <w:sz w:val="22"/>
        </w:rPr>
        <w:t>Możliwe działania niepożądane</w:t>
      </w:r>
    </w:p>
    <w:p w14:paraId="17638539" w14:textId="77777777" w:rsidR="00575F5E" w:rsidRPr="005138D5" w:rsidRDefault="00575F5E" w:rsidP="00A41668">
      <w:pPr>
        <w:numPr>
          <w:ilvl w:val="1"/>
          <w:numId w:val="3"/>
        </w:numPr>
        <w:tabs>
          <w:tab w:val="clear" w:pos="1080"/>
          <w:tab w:val="num" w:pos="426"/>
        </w:tabs>
        <w:ind w:left="567" w:hanging="567"/>
        <w:rPr>
          <w:bCs/>
          <w:iCs/>
          <w:sz w:val="22"/>
        </w:rPr>
      </w:pPr>
      <w:r w:rsidRPr="005138D5">
        <w:rPr>
          <w:bCs/>
          <w:iCs/>
          <w:sz w:val="22"/>
        </w:rPr>
        <w:t xml:space="preserve">Jak przechowywać lek </w:t>
      </w:r>
      <w:r w:rsidR="00261874" w:rsidRPr="005138D5">
        <w:rPr>
          <w:bCs/>
          <w:iCs/>
          <w:sz w:val="22"/>
        </w:rPr>
        <w:t>Voriconazole Accord</w:t>
      </w:r>
    </w:p>
    <w:p w14:paraId="5FFA8717" w14:textId="77777777" w:rsidR="00575F5E" w:rsidRPr="005138D5" w:rsidRDefault="008B72E4" w:rsidP="00A41668">
      <w:pPr>
        <w:numPr>
          <w:ilvl w:val="1"/>
          <w:numId w:val="3"/>
        </w:numPr>
        <w:tabs>
          <w:tab w:val="clear" w:pos="1080"/>
          <w:tab w:val="num" w:pos="426"/>
        </w:tabs>
        <w:ind w:left="567" w:hanging="567"/>
        <w:rPr>
          <w:bCs/>
          <w:iCs/>
          <w:sz w:val="22"/>
        </w:rPr>
      </w:pPr>
      <w:r w:rsidRPr="005138D5">
        <w:rPr>
          <w:bCs/>
          <w:iCs/>
          <w:sz w:val="22"/>
        </w:rPr>
        <w:t>Zawartość opakowania i i</w:t>
      </w:r>
      <w:r w:rsidR="00575F5E" w:rsidRPr="005138D5">
        <w:rPr>
          <w:bCs/>
          <w:iCs/>
          <w:sz w:val="22"/>
        </w:rPr>
        <w:t>nne informacje</w:t>
      </w:r>
    </w:p>
    <w:p w14:paraId="291D5DB7" w14:textId="77777777" w:rsidR="00575F5E" w:rsidRPr="005138D5" w:rsidRDefault="00575F5E" w:rsidP="00277FE6">
      <w:pPr>
        <w:rPr>
          <w:sz w:val="22"/>
        </w:rPr>
      </w:pPr>
    </w:p>
    <w:p w14:paraId="66A0FF95" w14:textId="77777777" w:rsidR="00575F5E" w:rsidRPr="005138D5" w:rsidRDefault="00575F5E" w:rsidP="00277FE6">
      <w:pPr>
        <w:rPr>
          <w:sz w:val="22"/>
        </w:rPr>
      </w:pPr>
    </w:p>
    <w:p w14:paraId="4979E99E" w14:textId="77777777" w:rsidR="00575F5E" w:rsidRPr="005138D5" w:rsidRDefault="00575F5E" w:rsidP="00A41668">
      <w:pPr>
        <w:pStyle w:val="Tekstpodstawowy3"/>
        <w:rPr>
          <w:rFonts w:ascii="Times New Roman" w:hAnsi="Times New Roman" w:cs="Times New Roman"/>
          <w:i w:val="0"/>
          <w:u w:val="none"/>
        </w:rPr>
      </w:pPr>
      <w:r w:rsidRPr="005138D5">
        <w:rPr>
          <w:rFonts w:ascii="Times New Roman" w:hAnsi="Times New Roman" w:cs="Times New Roman"/>
          <w:b/>
          <w:i w:val="0"/>
          <w:u w:val="none"/>
        </w:rPr>
        <w:t>1.</w:t>
      </w:r>
      <w:r w:rsidRPr="005138D5">
        <w:rPr>
          <w:rFonts w:ascii="Times New Roman" w:hAnsi="Times New Roman" w:cs="Times New Roman"/>
          <w:b/>
          <w:i w:val="0"/>
          <w:u w:val="none"/>
        </w:rPr>
        <w:tab/>
        <w:t>C</w:t>
      </w:r>
      <w:r w:rsidR="008B72E4" w:rsidRPr="005138D5">
        <w:rPr>
          <w:rFonts w:ascii="Times New Roman" w:hAnsi="Times New Roman" w:cs="Times New Roman"/>
          <w:b/>
          <w:i w:val="0"/>
          <w:u w:val="none"/>
        </w:rPr>
        <w:t xml:space="preserve">o to jest lek </w:t>
      </w:r>
      <w:r w:rsidR="00261874" w:rsidRPr="005138D5">
        <w:rPr>
          <w:rFonts w:ascii="Times New Roman" w:hAnsi="Times New Roman" w:cs="Times New Roman"/>
          <w:b/>
          <w:i w:val="0"/>
          <w:u w:val="none"/>
        </w:rPr>
        <w:t>Voriconazole Accord</w:t>
      </w:r>
      <w:r w:rsidR="00261874" w:rsidRPr="005138D5" w:rsidDel="00261874">
        <w:rPr>
          <w:rFonts w:ascii="Times New Roman" w:hAnsi="Times New Roman" w:cs="Times New Roman"/>
          <w:b/>
          <w:i w:val="0"/>
          <w:u w:val="none"/>
        </w:rPr>
        <w:t xml:space="preserve"> </w:t>
      </w:r>
      <w:r w:rsidR="008B72E4" w:rsidRPr="005138D5">
        <w:rPr>
          <w:rFonts w:ascii="Times New Roman" w:hAnsi="Times New Roman" w:cs="Times New Roman"/>
          <w:b/>
          <w:i w:val="0"/>
          <w:u w:val="none"/>
        </w:rPr>
        <w:t>i w jakim celu się go stosuje</w:t>
      </w:r>
      <w:r w:rsidRPr="005138D5">
        <w:rPr>
          <w:rFonts w:ascii="Times New Roman" w:hAnsi="Times New Roman" w:cs="Times New Roman"/>
          <w:i w:val="0"/>
          <w:u w:val="none"/>
        </w:rPr>
        <w:t xml:space="preserve"> </w:t>
      </w:r>
    </w:p>
    <w:p w14:paraId="65044137" w14:textId="77777777" w:rsidR="00575F5E" w:rsidRPr="005138D5" w:rsidRDefault="00575F5E" w:rsidP="00A41668">
      <w:pPr>
        <w:rPr>
          <w:b/>
          <w:sz w:val="22"/>
          <w:u w:val="single"/>
        </w:rPr>
      </w:pPr>
    </w:p>
    <w:p w14:paraId="6F46CD9E" w14:textId="77777777" w:rsidR="00575F5E" w:rsidRPr="005138D5" w:rsidRDefault="00261874" w:rsidP="00A41668">
      <w:pPr>
        <w:rPr>
          <w:sz w:val="22"/>
        </w:rPr>
      </w:pPr>
      <w:r w:rsidRPr="005138D5">
        <w:rPr>
          <w:sz w:val="22"/>
        </w:rPr>
        <w:t>Voriconazole Accord</w:t>
      </w:r>
      <w:r w:rsidRPr="005138D5" w:rsidDel="00261874">
        <w:rPr>
          <w:sz w:val="22"/>
        </w:rPr>
        <w:t xml:space="preserve"> </w:t>
      </w:r>
      <w:r w:rsidR="00644008" w:rsidRPr="005138D5">
        <w:rPr>
          <w:sz w:val="22"/>
        </w:rPr>
        <w:t xml:space="preserve">zawiera substancję czynną worykonazol. </w:t>
      </w:r>
      <w:r w:rsidRPr="005138D5">
        <w:rPr>
          <w:sz w:val="22"/>
        </w:rPr>
        <w:t>Voriconazole Accord</w:t>
      </w:r>
      <w:r w:rsidRPr="005138D5" w:rsidDel="00261874">
        <w:rPr>
          <w:sz w:val="22"/>
        </w:rPr>
        <w:t xml:space="preserve"> </w:t>
      </w:r>
      <w:r w:rsidR="00644008" w:rsidRPr="005138D5">
        <w:rPr>
          <w:sz w:val="22"/>
        </w:rPr>
        <w:t>jest lekiem przeciwgrzybiczym. Działa</w:t>
      </w:r>
      <w:r w:rsidR="00952560" w:rsidRPr="005138D5">
        <w:rPr>
          <w:sz w:val="22"/>
        </w:rPr>
        <w:t xml:space="preserve"> on</w:t>
      </w:r>
      <w:r w:rsidR="00644008" w:rsidRPr="005138D5">
        <w:rPr>
          <w:sz w:val="22"/>
        </w:rPr>
        <w:t xml:space="preserve"> </w:t>
      </w:r>
      <w:r w:rsidR="00575F5E" w:rsidRPr="005138D5">
        <w:rPr>
          <w:sz w:val="22"/>
        </w:rPr>
        <w:t>zabija</w:t>
      </w:r>
      <w:r w:rsidR="00644008" w:rsidRPr="005138D5">
        <w:rPr>
          <w:sz w:val="22"/>
        </w:rPr>
        <w:t xml:space="preserve">jąc </w:t>
      </w:r>
      <w:r w:rsidR="00575F5E" w:rsidRPr="005138D5">
        <w:rPr>
          <w:sz w:val="22"/>
        </w:rPr>
        <w:t>grzyby wywołujące zakażenia lub hamuj</w:t>
      </w:r>
      <w:r w:rsidR="00644008" w:rsidRPr="005138D5">
        <w:rPr>
          <w:sz w:val="22"/>
        </w:rPr>
        <w:t>ąc</w:t>
      </w:r>
      <w:r w:rsidR="00575F5E" w:rsidRPr="005138D5">
        <w:rPr>
          <w:sz w:val="22"/>
        </w:rPr>
        <w:t xml:space="preserve"> ich wzrost.</w:t>
      </w:r>
    </w:p>
    <w:p w14:paraId="0A4B2328" w14:textId="77777777" w:rsidR="00575F5E" w:rsidRPr="005138D5" w:rsidRDefault="00575F5E" w:rsidP="00A41668">
      <w:pPr>
        <w:rPr>
          <w:sz w:val="22"/>
          <w:u w:val="single"/>
        </w:rPr>
      </w:pPr>
    </w:p>
    <w:p w14:paraId="7F9079A3" w14:textId="77777777" w:rsidR="00644008" w:rsidRPr="005138D5" w:rsidRDefault="007B29AF" w:rsidP="00A41668">
      <w:pPr>
        <w:rPr>
          <w:sz w:val="22"/>
        </w:rPr>
      </w:pPr>
      <w:r w:rsidRPr="005138D5">
        <w:rPr>
          <w:sz w:val="22"/>
        </w:rPr>
        <w:t>Lek jest s</w:t>
      </w:r>
      <w:r w:rsidR="00644008" w:rsidRPr="005138D5">
        <w:rPr>
          <w:sz w:val="22"/>
        </w:rPr>
        <w:t>tosowany w leczeniu pacjentów (dorosłych i dzieci w wieku powyżej 2</w:t>
      </w:r>
      <w:r w:rsidR="00386A06" w:rsidRPr="005138D5">
        <w:rPr>
          <w:sz w:val="22"/>
        </w:rPr>
        <w:t> lat</w:t>
      </w:r>
      <w:r w:rsidR="00644008" w:rsidRPr="005138D5">
        <w:rPr>
          <w:sz w:val="22"/>
        </w:rPr>
        <w:t>) z:</w:t>
      </w:r>
    </w:p>
    <w:p w14:paraId="649766B0" w14:textId="77777777" w:rsidR="00644008" w:rsidRPr="005138D5" w:rsidRDefault="00644008" w:rsidP="00277FE6">
      <w:pPr>
        <w:numPr>
          <w:ilvl w:val="0"/>
          <w:numId w:val="54"/>
        </w:numPr>
        <w:ind w:hanging="720"/>
        <w:rPr>
          <w:sz w:val="22"/>
        </w:rPr>
      </w:pPr>
      <w:r w:rsidRPr="005138D5">
        <w:rPr>
          <w:sz w:val="22"/>
        </w:rPr>
        <w:t xml:space="preserve">inwazyjną aspergilozą (rodzaj </w:t>
      </w:r>
      <w:r w:rsidR="00576D62" w:rsidRPr="005138D5">
        <w:rPr>
          <w:sz w:val="22"/>
        </w:rPr>
        <w:t xml:space="preserve">zakażenia grzybiczego </w:t>
      </w:r>
      <w:r w:rsidRPr="005138D5">
        <w:rPr>
          <w:sz w:val="22"/>
        </w:rPr>
        <w:t>wy</w:t>
      </w:r>
      <w:r w:rsidR="00952560" w:rsidRPr="005138D5">
        <w:rPr>
          <w:sz w:val="22"/>
        </w:rPr>
        <w:t>wo</w:t>
      </w:r>
      <w:r w:rsidRPr="005138D5">
        <w:rPr>
          <w:sz w:val="22"/>
        </w:rPr>
        <w:t>łane</w:t>
      </w:r>
      <w:r w:rsidR="00576D62" w:rsidRPr="005138D5">
        <w:rPr>
          <w:sz w:val="22"/>
        </w:rPr>
        <w:t>go</w:t>
      </w:r>
      <w:r w:rsidRPr="005138D5">
        <w:rPr>
          <w:sz w:val="22"/>
        </w:rPr>
        <w:t xml:space="preserve"> przez </w:t>
      </w:r>
      <w:r w:rsidR="00924440" w:rsidRPr="005138D5">
        <w:rPr>
          <w:sz w:val="22"/>
        </w:rPr>
        <w:t xml:space="preserve">grzyby z rodzaju </w:t>
      </w:r>
      <w:r w:rsidRPr="005138D5">
        <w:rPr>
          <w:sz w:val="22"/>
        </w:rPr>
        <w:t>Aspergillus),</w:t>
      </w:r>
    </w:p>
    <w:p w14:paraId="1F4B4D2C" w14:textId="77777777" w:rsidR="00644008" w:rsidRPr="005138D5" w:rsidRDefault="00644008" w:rsidP="00277FE6">
      <w:pPr>
        <w:numPr>
          <w:ilvl w:val="0"/>
          <w:numId w:val="54"/>
        </w:numPr>
        <w:ind w:hanging="720"/>
        <w:rPr>
          <w:sz w:val="22"/>
        </w:rPr>
      </w:pPr>
      <w:r w:rsidRPr="005138D5">
        <w:rPr>
          <w:sz w:val="22"/>
        </w:rPr>
        <w:t xml:space="preserve">kandydemią (inny rodzaj </w:t>
      </w:r>
      <w:r w:rsidR="00375141" w:rsidRPr="005138D5">
        <w:rPr>
          <w:sz w:val="22"/>
        </w:rPr>
        <w:t xml:space="preserve">zakażenia </w:t>
      </w:r>
      <w:r w:rsidRPr="005138D5">
        <w:rPr>
          <w:sz w:val="22"/>
        </w:rPr>
        <w:t>grzybicze</w:t>
      </w:r>
      <w:r w:rsidR="00375141" w:rsidRPr="005138D5">
        <w:rPr>
          <w:sz w:val="22"/>
        </w:rPr>
        <w:t>go</w:t>
      </w:r>
      <w:r w:rsidRPr="005138D5">
        <w:rPr>
          <w:sz w:val="22"/>
        </w:rPr>
        <w:t xml:space="preserve"> wywołane</w:t>
      </w:r>
      <w:r w:rsidR="00375141" w:rsidRPr="005138D5">
        <w:rPr>
          <w:sz w:val="22"/>
        </w:rPr>
        <w:t>go</w:t>
      </w:r>
      <w:r w:rsidRPr="005138D5">
        <w:rPr>
          <w:sz w:val="22"/>
        </w:rPr>
        <w:t xml:space="preserve"> przez</w:t>
      </w:r>
      <w:r w:rsidR="00AA015D" w:rsidRPr="005138D5">
        <w:rPr>
          <w:sz w:val="22"/>
        </w:rPr>
        <w:t xml:space="preserve"> grzyby z rodzaju</w:t>
      </w:r>
      <w:r w:rsidRPr="005138D5">
        <w:rPr>
          <w:sz w:val="22"/>
        </w:rPr>
        <w:t xml:space="preserve"> Candida) u pacjentów bez towarzyszącej neutropenii (pacjenci niemający zmniejszonej liczby białych krwinek),</w:t>
      </w:r>
    </w:p>
    <w:p w14:paraId="26DC65A8" w14:textId="77777777" w:rsidR="00644008" w:rsidRPr="005138D5" w:rsidRDefault="00644008" w:rsidP="00277FE6">
      <w:pPr>
        <w:numPr>
          <w:ilvl w:val="0"/>
          <w:numId w:val="54"/>
        </w:numPr>
        <w:ind w:hanging="720"/>
        <w:rPr>
          <w:sz w:val="22"/>
        </w:rPr>
      </w:pPr>
      <w:r w:rsidRPr="005138D5">
        <w:rPr>
          <w:sz w:val="22"/>
        </w:rPr>
        <w:t>ciężkimi, inwazyjnymi zakażeniami</w:t>
      </w:r>
      <w:r w:rsidR="00924440" w:rsidRPr="005138D5">
        <w:rPr>
          <w:sz w:val="22"/>
        </w:rPr>
        <w:t xml:space="preserve"> </w:t>
      </w:r>
      <w:r w:rsidR="00584BDD" w:rsidRPr="005138D5">
        <w:rPr>
          <w:sz w:val="22"/>
        </w:rPr>
        <w:t xml:space="preserve">grzybiczymi, wywołanymi przez </w:t>
      </w:r>
      <w:r w:rsidR="00924440" w:rsidRPr="005138D5">
        <w:rPr>
          <w:sz w:val="22"/>
        </w:rPr>
        <w:t>grzyb</w:t>
      </w:r>
      <w:r w:rsidR="00584BDD" w:rsidRPr="005138D5">
        <w:rPr>
          <w:sz w:val="22"/>
        </w:rPr>
        <w:t>y</w:t>
      </w:r>
      <w:r w:rsidR="00924440" w:rsidRPr="005138D5">
        <w:rPr>
          <w:sz w:val="22"/>
        </w:rPr>
        <w:t xml:space="preserve"> z rodzaju</w:t>
      </w:r>
      <w:r w:rsidRPr="005138D5">
        <w:rPr>
          <w:sz w:val="22"/>
        </w:rPr>
        <w:t xml:space="preserve"> Candida</w:t>
      </w:r>
      <w:r w:rsidR="00044A92" w:rsidRPr="005138D5">
        <w:rPr>
          <w:sz w:val="22"/>
        </w:rPr>
        <w:t xml:space="preserve"> </w:t>
      </w:r>
      <w:r w:rsidRPr="005138D5">
        <w:rPr>
          <w:sz w:val="22"/>
        </w:rPr>
        <w:t>opornymi na flukonazol (</w:t>
      </w:r>
      <w:r w:rsidR="00044A92" w:rsidRPr="005138D5">
        <w:rPr>
          <w:sz w:val="22"/>
        </w:rPr>
        <w:t>inny lek przeciwgrzybiczy),</w:t>
      </w:r>
    </w:p>
    <w:p w14:paraId="70349B3F" w14:textId="77777777" w:rsidR="00644008" w:rsidRPr="005138D5" w:rsidRDefault="00644008" w:rsidP="00277FE6">
      <w:pPr>
        <w:numPr>
          <w:ilvl w:val="0"/>
          <w:numId w:val="54"/>
        </w:numPr>
        <w:ind w:hanging="720"/>
        <w:rPr>
          <w:sz w:val="22"/>
        </w:rPr>
      </w:pPr>
      <w:r w:rsidRPr="005138D5">
        <w:rPr>
          <w:sz w:val="22"/>
        </w:rPr>
        <w:t>ciężki</w:t>
      </w:r>
      <w:r w:rsidR="00044A92" w:rsidRPr="005138D5">
        <w:rPr>
          <w:sz w:val="22"/>
        </w:rPr>
        <w:t>mi</w:t>
      </w:r>
      <w:r w:rsidRPr="005138D5">
        <w:rPr>
          <w:sz w:val="22"/>
        </w:rPr>
        <w:t xml:space="preserve"> zakaże</w:t>
      </w:r>
      <w:r w:rsidR="00044A92" w:rsidRPr="005138D5">
        <w:rPr>
          <w:sz w:val="22"/>
        </w:rPr>
        <w:t xml:space="preserve">niami </w:t>
      </w:r>
      <w:r w:rsidR="00584BDD" w:rsidRPr="005138D5">
        <w:rPr>
          <w:sz w:val="22"/>
        </w:rPr>
        <w:t xml:space="preserve">grzybiczymi </w:t>
      </w:r>
      <w:r w:rsidRPr="005138D5">
        <w:rPr>
          <w:sz w:val="22"/>
        </w:rPr>
        <w:t>wywołany</w:t>
      </w:r>
      <w:r w:rsidR="005D67D9" w:rsidRPr="005138D5">
        <w:rPr>
          <w:sz w:val="22"/>
        </w:rPr>
        <w:t>mi</w:t>
      </w:r>
      <w:r w:rsidRPr="005138D5">
        <w:rPr>
          <w:sz w:val="22"/>
        </w:rPr>
        <w:t xml:space="preserve"> przez</w:t>
      </w:r>
      <w:r w:rsidR="00924440" w:rsidRPr="005138D5">
        <w:rPr>
          <w:sz w:val="22"/>
        </w:rPr>
        <w:t xml:space="preserve"> grzyby z rodzaju</w:t>
      </w:r>
      <w:r w:rsidRPr="005138D5">
        <w:rPr>
          <w:sz w:val="22"/>
        </w:rPr>
        <w:t xml:space="preserve"> Scedosporium </w:t>
      </w:r>
      <w:r w:rsidR="00B26438" w:rsidRPr="005138D5">
        <w:rPr>
          <w:sz w:val="22"/>
        </w:rPr>
        <w:t>i </w:t>
      </w:r>
      <w:r w:rsidRPr="005138D5">
        <w:rPr>
          <w:sz w:val="22"/>
        </w:rPr>
        <w:t>Fusarium</w:t>
      </w:r>
      <w:r w:rsidR="00044A92" w:rsidRPr="005138D5">
        <w:rPr>
          <w:sz w:val="22"/>
        </w:rPr>
        <w:t xml:space="preserve"> (dwa </w:t>
      </w:r>
      <w:r w:rsidR="00576D62" w:rsidRPr="005138D5">
        <w:rPr>
          <w:sz w:val="22"/>
        </w:rPr>
        <w:t xml:space="preserve">różne </w:t>
      </w:r>
      <w:r w:rsidR="00044A92" w:rsidRPr="005138D5">
        <w:rPr>
          <w:sz w:val="22"/>
        </w:rPr>
        <w:t>rodzaje grzybów).</w:t>
      </w:r>
    </w:p>
    <w:p w14:paraId="2D34A916" w14:textId="77777777" w:rsidR="00644008" w:rsidRPr="005138D5" w:rsidRDefault="00644008" w:rsidP="00644008">
      <w:pPr>
        <w:widowControl/>
        <w:rPr>
          <w:bCs/>
          <w:sz w:val="22"/>
        </w:rPr>
      </w:pPr>
    </w:p>
    <w:p w14:paraId="58478BBB" w14:textId="77777777" w:rsidR="00644008" w:rsidRPr="005138D5" w:rsidRDefault="00261874" w:rsidP="00644008">
      <w:pPr>
        <w:widowControl/>
        <w:rPr>
          <w:bCs/>
          <w:sz w:val="22"/>
        </w:rPr>
      </w:pPr>
      <w:r w:rsidRPr="005138D5">
        <w:rPr>
          <w:bCs/>
          <w:sz w:val="22"/>
        </w:rPr>
        <w:t>Voriconazole Accord</w:t>
      </w:r>
      <w:r w:rsidRPr="005138D5" w:rsidDel="00261874">
        <w:rPr>
          <w:bCs/>
          <w:sz w:val="22"/>
        </w:rPr>
        <w:t xml:space="preserve"> </w:t>
      </w:r>
      <w:r w:rsidR="00044A92" w:rsidRPr="005138D5">
        <w:rPr>
          <w:bCs/>
          <w:sz w:val="22"/>
        </w:rPr>
        <w:t xml:space="preserve">jest przeznaczony dla pacjentów </w:t>
      </w:r>
      <w:r w:rsidR="00644008" w:rsidRPr="005138D5">
        <w:rPr>
          <w:bCs/>
          <w:sz w:val="22"/>
        </w:rPr>
        <w:t>z postępującymi, mogącymi zagrażać życiu zakażeniami</w:t>
      </w:r>
      <w:r w:rsidR="008722D7" w:rsidRPr="005138D5">
        <w:rPr>
          <w:bCs/>
          <w:sz w:val="22"/>
        </w:rPr>
        <w:t xml:space="preserve"> grzybiczymi</w:t>
      </w:r>
      <w:r w:rsidR="00644008" w:rsidRPr="005138D5">
        <w:rPr>
          <w:bCs/>
          <w:sz w:val="22"/>
        </w:rPr>
        <w:t>.</w:t>
      </w:r>
    </w:p>
    <w:p w14:paraId="4BC85D80" w14:textId="77777777" w:rsidR="00BB48E2" w:rsidRPr="005138D5" w:rsidRDefault="00BB48E2" w:rsidP="00BB48E2">
      <w:pPr>
        <w:widowControl/>
        <w:rPr>
          <w:bCs/>
          <w:sz w:val="22"/>
        </w:rPr>
      </w:pPr>
    </w:p>
    <w:p w14:paraId="60B7C5CC" w14:textId="77777777" w:rsidR="00BB48E2" w:rsidRPr="005138D5" w:rsidRDefault="00BB48E2" w:rsidP="00644008">
      <w:pPr>
        <w:widowControl/>
        <w:rPr>
          <w:bCs/>
          <w:sz w:val="22"/>
        </w:rPr>
      </w:pPr>
      <w:r w:rsidRPr="005138D5">
        <w:rPr>
          <w:bCs/>
          <w:sz w:val="22"/>
        </w:rPr>
        <w:t>Lek jest przeznaczony do zapobiegania zakażeniom grzybiczym u pacjentów wysokiego ryzyka po przeszczepieniu szpiku kostnego.</w:t>
      </w:r>
    </w:p>
    <w:p w14:paraId="052C1C33" w14:textId="77777777" w:rsidR="00644008" w:rsidRPr="005138D5" w:rsidRDefault="00644008" w:rsidP="00A41668">
      <w:pPr>
        <w:rPr>
          <w:sz w:val="22"/>
          <w:u w:val="single"/>
        </w:rPr>
      </w:pPr>
    </w:p>
    <w:p w14:paraId="08427206" w14:textId="77777777" w:rsidR="00575F5E" w:rsidRPr="005138D5" w:rsidRDefault="00044A92" w:rsidP="00044A92">
      <w:pPr>
        <w:rPr>
          <w:bCs/>
          <w:sz w:val="22"/>
        </w:rPr>
      </w:pPr>
      <w:r w:rsidRPr="005138D5">
        <w:rPr>
          <w:sz w:val="22"/>
        </w:rPr>
        <w:t xml:space="preserve">Ten produkt </w:t>
      </w:r>
      <w:r w:rsidR="000D360D" w:rsidRPr="005138D5">
        <w:rPr>
          <w:sz w:val="22"/>
        </w:rPr>
        <w:t xml:space="preserve">należy stosować </w:t>
      </w:r>
      <w:r w:rsidRPr="005138D5">
        <w:rPr>
          <w:sz w:val="22"/>
        </w:rPr>
        <w:t xml:space="preserve">jedynie pod nadzorem lekarza. </w:t>
      </w:r>
    </w:p>
    <w:p w14:paraId="781D0B12" w14:textId="77777777" w:rsidR="00575F5E" w:rsidRPr="005138D5" w:rsidRDefault="00575F5E" w:rsidP="00A41668">
      <w:pPr>
        <w:rPr>
          <w:bCs/>
          <w:sz w:val="22"/>
        </w:rPr>
      </w:pPr>
    </w:p>
    <w:p w14:paraId="0D3EA8E7" w14:textId="77777777" w:rsidR="00044A92" w:rsidRPr="005138D5" w:rsidRDefault="00044A92" w:rsidP="00A41668">
      <w:pPr>
        <w:rPr>
          <w:bCs/>
          <w:sz w:val="22"/>
        </w:rPr>
      </w:pPr>
    </w:p>
    <w:p w14:paraId="37E26708" w14:textId="77777777" w:rsidR="00575F5E" w:rsidRPr="005138D5" w:rsidRDefault="00575F5E" w:rsidP="00A41668">
      <w:pPr>
        <w:ind w:left="709" w:hanging="709"/>
        <w:rPr>
          <w:b/>
          <w:sz w:val="22"/>
        </w:rPr>
      </w:pPr>
      <w:r w:rsidRPr="005138D5">
        <w:rPr>
          <w:b/>
          <w:sz w:val="22"/>
        </w:rPr>
        <w:t>2.</w:t>
      </w:r>
      <w:r w:rsidRPr="005138D5">
        <w:rPr>
          <w:b/>
          <w:sz w:val="22"/>
        </w:rPr>
        <w:tab/>
        <w:t>I</w:t>
      </w:r>
      <w:r w:rsidR="008B72E4" w:rsidRPr="005138D5">
        <w:rPr>
          <w:b/>
          <w:sz w:val="22"/>
        </w:rPr>
        <w:t xml:space="preserve">nformacje ważne przed zastosowaniem leku </w:t>
      </w:r>
      <w:r w:rsidR="00261874" w:rsidRPr="005138D5">
        <w:rPr>
          <w:b/>
          <w:sz w:val="22"/>
        </w:rPr>
        <w:t>Voriconazole Accord</w:t>
      </w:r>
    </w:p>
    <w:p w14:paraId="039771D4" w14:textId="77777777" w:rsidR="00575F5E" w:rsidRPr="005138D5" w:rsidRDefault="00575F5E" w:rsidP="00A41668">
      <w:pPr>
        <w:rPr>
          <w:b/>
          <w:bCs/>
          <w:sz w:val="22"/>
        </w:rPr>
      </w:pPr>
    </w:p>
    <w:p w14:paraId="63F69646" w14:textId="77777777" w:rsidR="00575F5E" w:rsidRPr="005138D5" w:rsidRDefault="00575F5E" w:rsidP="00A41668">
      <w:pPr>
        <w:rPr>
          <w:b/>
          <w:bCs/>
          <w:sz w:val="22"/>
        </w:rPr>
      </w:pPr>
      <w:r w:rsidRPr="005138D5">
        <w:rPr>
          <w:b/>
          <w:bCs/>
          <w:sz w:val="22"/>
        </w:rPr>
        <w:t xml:space="preserve">Kiedy nie stosować leku </w:t>
      </w:r>
      <w:r w:rsidR="00261874" w:rsidRPr="005138D5">
        <w:rPr>
          <w:b/>
          <w:bCs/>
          <w:sz w:val="22"/>
        </w:rPr>
        <w:t>Voriconazole Accord</w:t>
      </w:r>
    </w:p>
    <w:p w14:paraId="05EFE77B" w14:textId="77777777" w:rsidR="00575F5E" w:rsidRPr="005138D5" w:rsidRDefault="00F96F64" w:rsidP="00F96F64">
      <w:pPr>
        <w:pStyle w:val="Tekstpodstawowy"/>
        <w:numPr>
          <w:ilvl w:val="0"/>
          <w:numId w:val="41"/>
        </w:numPr>
        <w:rPr>
          <w:rFonts w:ascii="Times New Roman" w:hAnsi="Times New Roman"/>
          <w:spacing w:val="-3"/>
        </w:rPr>
      </w:pPr>
      <w:r w:rsidRPr="005138D5">
        <w:rPr>
          <w:rFonts w:ascii="Times New Roman" w:hAnsi="Times New Roman"/>
          <w:spacing w:val="-3"/>
        </w:rPr>
        <w:t xml:space="preserve">jeśli pacjent ma uczulenie na worykonazol lub którykolwiek z pozostałych składników </w:t>
      </w:r>
      <w:r w:rsidR="005060A8" w:rsidRPr="005138D5">
        <w:rPr>
          <w:rFonts w:ascii="Times New Roman" w:hAnsi="Times New Roman"/>
          <w:spacing w:val="-3"/>
        </w:rPr>
        <w:t xml:space="preserve">tego </w:t>
      </w:r>
      <w:r w:rsidRPr="005138D5">
        <w:rPr>
          <w:rFonts w:ascii="Times New Roman" w:hAnsi="Times New Roman"/>
          <w:spacing w:val="-3"/>
        </w:rPr>
        <w:t xml:space="preserve">leku </w:t>
      </w:r>
      <w:r w:rsidR="008B72E4" w:rsidRPr="005138D5">
        <w:rPr>
          <w:rFonts w:ascii="Times New Roman" w:hAnsi="Times New Roman"/>
          <w:spacing w:val="-3"/>
        </w:rPr>
        <w:t>(</w:t>
      </w:r>
      <w:r w:rsidR="0097301F" w:rsidRPr="005138D5">
        <w:rPr>
          <w:rFonts w:ascii="Times New Roman" w:hAnsi="Times New Roman"/>
          <w:spacing w:val="-3"/>
        </w:rPr>
        <w:t xml:space="preserve">wymienionych </w:t>
      </w:r>
      <w:r w:rsidR="008B72E4" w:rsidRPr="005138D5">
        <w:rPr>
          <w:rFonts w:ascii="Times New Roman" w:hAnsi="Times New Roman"/>
          <w:spacing w:val="-3"/>
        </w:rPr>
        <w:t>w punkcie 6).</w:t>
      </w:r>
    </w:p>
    <w:p w14:paraId="5F900A4F" w14:textId="77777777" w:rsidR="00575F5E" w:rsidRPr="005138D5" w:rsidRDefault="00575F5E" w:rsidP="00A41668">
      <w:pPr>
        <w:rPr>
          <w:spacing w:val="-3"/>
          <w:sz w:val="22"/>
        </w:rPr>
      </w:pPr>
    </w:p>
    <w:p w14:paraId="33E8747B" w14:textId="77777777" w:rsidR="00B83FB5" w:rsidRPr="005138D5" w:rsidRDefault="00575F5E" w:rsidP="00A41668">
      <w:pPr>
        <w:rPr>
          <w:spacing w:val="-3"/>
          <w:sz w:val="22"/>
        </w:rPr>
      </w:pPr>
      <w:r w:rsidRPr="005138D5">
        <w:rPr>
          <w:spacing w:val="-3"/>
          <w:sz w:val="22"/>
        </w:rPr>
        <w:t>Bardzo ważne jest, aby poinformować lekarza lub farmaceutę o wszystkich obecnie lub ostatnio przyjmowanych lekach, nawet tych, które wydawane są bez recepty</w:t>
      </w:r>
      <w:r w:rsidR="00B83FB5" w:rsidRPr="005138D5">
        <w:rPr>
          <w:spacing w:val="-3"/>
          <w:sz w:val="22"/>
        </w:rPr>
        <w:t xml:space="preserve"> lub lekach roślinnych</w:t>
      </w:r>
      <w:r w:rsidRPr="005138D5">
        <w:rPr>
          <w:spacing w:val="-3"/>
          <w:sz w:val="22"/>
        </w:rPr>
        <w:t xml:space="preserve">. </w:t>
      </w:r>
    </w:p>
    <w:p w14:paraId="77C96F38" w14:textId="77777777" w:rsidR="00575F5E" w:rsidRPr="005138D5" w:rsidRDefault="00575F5E" w:rsidP="00A41668">
      <w:pPr>
        <w:rPr>
          <w:spacing w:val="-3"/>
          <w:sz w:val="22"/>
        </w:rPr>
      </w:pPr>
      <w:r w:rsidRPr="005138D5">
        <w:rPr>
          <w:spacing w:val="-3"/>
          <w:sz w:val="22"/>
        </w:rPr>
        <w:t xml:space="preserve">Nie wolno przyjmować leku </w:t>
      </w:r>
      <w:r w:rsidR="00261874" w:rsidRPr="005138D5">
        <w:rPr>
          <w:spacing w:val="-3"/>
          <w:sz w:val="22"/>
        </w:rPr>
        <w:t>Voriconazole Accord</w:t>
      </w:r>
      <w:r w:rsidR="00261874" w:rsidRPr="005138D5" w:rsidDel="00261874">
        <w:rPr>
          <w:spacing w:val="-3"/>
          <w:sz w:val="22"/>
        </w:rPr>
        <w:t xml:space="preserve"> </w:t>
      </w:r>
      <w:r w:rsidRPr="005138D5">
        <w:rPr>
          <w:spacing w:val="-3"/>
          <w:sz w:val="22"/>
        </w:rPr>
        <w:t xml:space="preserve">jednocześnie z: </w:t>
      </w:r>
    </w:p>
    <w:p w14:paraId="05BC9DB3" w14:textId="77777777" w:rsidR="00575F5E" w:rsidRPr="005138D5" w:rsidRDefault="00575F5E" w:rsidP="00A41668">
      <w:pPr>
        <w:rPr>
          <w:spacing w:val="-3"/>
          <w:sz w:val="22"/>
        </w:rPr>
      </w:pPr>
    </w:p>
    <w:p w14:paraId="2FFA944D" w14:textId="77777777" w:rsidR="00575F5E" w:rsidRPr="005138D5" w:rsidRDefault="00575F5E" w:rsidP="00277FE6">
      <w:pPr>
        <w:numPr>
          <w:ilvl w:val="0"/>
          <w:numId w:val="56"/>
        </w:numPr>
        <w:ind w:left="567" w:hanging="567"/>
        <w:rPr>
          <w:sz w:val="22"/>
        </w:rPr>
      </w:pPr>
      <w:r w:rsidRPr="005138D5">
        <w:rPr>
          <w:sz w:val="22"/>
        </w:rPr>
        <w:t>terfenadyną (stosowaną w leczeniu alergii),</w:t>
      </w:r>
    </w:p>
    <w:p w14:paraId="3B181142" w14:textId="77777777" w:rsidR="00575F5E" w:rsidRPr="005138D5" w:rsidRDefault="00575F5E" w:rsidP="00277FE6">
      <w:pPr>
        <w:numPr>
          <w:ilvl w:val="0"/>
          <w:numId w:val="56"/>
        </w:numPr>
        <w:ind w:left="567" w:hanging="567"/>
        <w:rPr>
          <w:sz w:val="22"/>
        </w:rPr>
      </w:pPr>
      <w:r w:rsidRPr="005138D5">
        <w:rPr>
          <w:sz w:val="22"/>
        </w:rPr>
        <w:t>astemizolem (stosowanym w leczeniu alergii),</w:t>
      </w:r>
    </w:p>
    <w:p w14:paraId="255AEF2A" w14:textId="77777777" w:rsidR="00B83FB5" w:rsidRPr="005138D5" w:rsidRDefault="00B83FB5" w:rsidP="00277FE6">
      <w:pPr>
        <w:numPr>
          <w:ilvl w:val="0"/>
          <w:numId w:val="56"/>
        </w:numPr>
        <w:ind w:left="567" w:hanging="567"/>
        <w:rPr>
          <w:sz w:val="22"/>
        </w:rPr>
      </w:pPr>
      <w:r w:rsidRPr="005138D5">
        <w:rPr>
          <w:sz w:val="22"/>
        </w:rPr>
        <w:t>cyzaprydem (stosowanym w zaburzeniach żołądkowych),</w:t>
      </w:r>
    </w:p>
    <w:p w14:paraId="2C95DE19" w14:textId="77777777" w:rsidR="00575F5E" w:rsidRPr="005138D5" w:rsidRDefault="00575F5E" w:rsidP="00277FE6">
      <w:pPr>
        <w:numPr>
          <w:ilvl w:val="0"/>
          <w:numId w:val="56"/>
        </w:numPr>
        <w:ind w:left="567" w:hanging="567"/>
        <w:rPr>
          <w:sz w:val="22"/>
        </w:rPr>
      </w:pPr>
      <w:r w:rsidRPr="005138D5">
        <w:rPr>
          <w:sz w:val="22"/>
        </w:rPr>
        <w:t>pimozydem (stosowanym w psychiatrii),</w:t>
      </w:r>
    </w:p>
    <w:p w14:paraId="0C7635A2" w14:textId="77777777" w:rsidR="00575F5E" w:rsidRDefault="00575F5E" w:rsidP="00277FE6">
      <w:pPr>
        <w:numPr>
          <w:ilvl w:val="0"/>
          <w:numId w:val="56"/>
        </w:numPr>
        <w:ind w:left="567" w:hanging="567"/>
        <w:rPr>
          <w:sz w:val="22"/>
        </w:rPr>
      </w:pPr>
      <w:r w:rsidRPr="005138D5">
        <w:rPr>
          <w:sz w:val="22"/>
        </w:rPr>
        <w:t>chinidyną (stosowaną w zaburzeniach rytmu serca),</w:t>
      </w:r>
    </w:p>
    <w:p w14:paraId="2DF44572" w14:textId="77777777" w:rsidR="00043258" w:rsidRPr="005138D5" w:rsidRDefault="00043258" w:rsidP="00277FE6">
      <w:pPr>
        <w:numPr>
          <w:ilvl w:val="0"/>
          <w:numId w:val="56"/>
        </w:numPr>
        <w:ind w:left="567" w:hanging="567"/>
        <w:rPr>
          <w:sz w:val="22"/>
        </w:rPr>
      </w:pPr>
      <w:r w:rsidRPr="00043258">
        <w:rPr>
          <w:sz w:val="22"/>
        </w:rPr>
        <w:t>iwabradyną (stosowaną w leczeniu objawów przewlekłej niewydolności serca),</w:t>
      </w:r>
    </w:p>
    <w:p w14:paraId="0F18E5BB" w14:textId="77777777" w:rsidR="00575F5E" w:rsidRPr="005138D5" w:rsidRDefault="00575F5E" w:rsidP="00277FE6">
      <w:pPr>
        <w:numPr>
          <w:ilvl w:val="0"/>
          <w:numId w:val="56"/>
        </w:numPr>
        <w:ind w:left="567" w:hanging="567"/>
        <w:rPr>
          <w:sz w:val="22"/>
        </w:rPr>
      </w:pPr>
      <w:r w:rsidRPr="005138D5">
        <w:rPr>
          <w:sz w:val="22"/>
        </w:rPr>
        <w:t>ryfampicyną (stosowaną w leczeniu gruźlicy),</w:t>
      </w:r>
    </w:p>
    <w:p w14:paraId="4931FD11" w14:textId="77777777" w:rsidR="000B0315" w:rsidRPr="005138D5" w:rsidRDefault="000B0315" w:rsidP="00277FE6">
      <w:pPr>
        <w:numPr>
          <w:ilvl w:val="0"/>
          <w:numId w:val="56"/>
        </w:numPr>
        <w:ind w:left="567" w:hanging="567"/>
        <w:rPr>
          <w:sz w:val="22"/>
        </w:rPr>
      </w:pPr>
      <w:r w:rsidRPr="005138D5">
        <w:rPr>
          <w:sz w:val="22"/>
        </w:rPr>
        <w:t>efawirenzem (stosowanym w leczeniu zakażeń wirusem HIV) w dawkach 400</w:t>
      </w:r>
      <w:r w:rsidR="00086D10" w:rsidRPr="005138D5">
        <w:rPr>
          <w:sz w:val="22"/>
        </w:rPr>
        <w:t> mg</w:t>
      </w:r>
      <w:r w:rsidRPr="005138D5">
        <w:rPr>
          <w:sz w:val="22"/>
        </w:rPr>
        <w:t xml:space="preserve"> i </w:t>
      </w:r>
      <w:r w:rsidR="003956B2" w:rsidRPr="005138D5">
        <w:rPr>
          <w:sz w:val="22"/>
        </w:rPr>
        <w:t>większych</w:t>
      </w:r>
      <w:r w:rsidR="000E3315" w:rsidRPr="005138D5">
        <w:rPr>
          <w:sz w:val="22"/>
        </w:rPr>
        <w:t xml:space="preserve"> raz na dobę</w:t>
      </w:r>
      <w:r w:rsidR="0081626E" w:rsidRPr="005138D5">
        <w:rPr>
          <w:sz w:val="22"/>
        </w:rPr>
        <w:t>,</w:t>
      </w:r>
    </w:p>
    <w:p w14:paraId="1DC64F9E" w14:textId="77777777" w:rsidR="00B83FB5" w:rsidRPr="005138D5" w:rsidRDefault="00B83FB5" w:rsidP="00277FE6">
      <w:pPr>
        <w:numPr>
          <w:ilvl w:val="0"/>
          <w:numId w:val="56"/>
        </w:numPr>
        <w:ind w:left="567" w:hanging="567"/>
        <w:rPr>
          <w:sz w:val="22"/>
        </w:rPr>
      </w:pPr>
      <w:r w:rsidRPr="005138D5">
        <w:rPr>
          <w:sz w:val="22"/>
        </w:rPr>
        <w:t>karbamazepiną (stosowaną w leczeniu padaczki),</w:t>
      </w:r>
    </w:p>
    <w:p w14:paraId="5BE91D17" w14:textId="77777777" w:rsidR="00575F5E" w:rsidRPr="005138D5" w:rsidRDefault="00575F5E" w:rsidP="00277FE6">
      <w:pPr>
        <w:numPr>
          <w:ilvl w:val="0"/>
          <w:numId w:val="56"/>
        </w:numPr>
        <w:ind w:left="567" w:hanging="567"/>
        <w:rPr>
          <w:sz w:val="22"/>
        </w:rPr>
      </w:pPr>
      <w:r w:rsidRPr="005138D5">
        <w:rPr>
          <w:sz w:val="22"/>
        </w:rPr>
        <w:t>fenobarbitalem (stosowanym w bezsenności i leczeniu padaczki),</w:t>
      </w:r>
    </w:p>
    <w:p w14:paraId="190DDA24" w14:textId="77777777" w:rsidR="00575F5E" w:rsidRPr="005138D5" w:rsidRDefault="00575F5E" w:rsidP="00277FE6">
      <w:pPr>
        <w:numPr>
          <w:ilvl w:val="0"/>
          <w:numId w:val="56"/>
        </w:numPr>
        <w:ind w:left="567" w:hanging="567"/>
        <w:rPr>
          <w:sz w:val="22"/>
        </w:rPr>
      </w:pPr>
      <w:r w:rsidRPr="005138D5">
        <w:rPr>
          <w:sz w:val="22"/>
        </w:rPr>
        <w:t>alkaloidami sporyszu (np. ergotaminą, dihydroergotaminą stosowanymi w migrenie),</w:t>
      </w:r>
    </w:p>
    <w:p w14:paraId="4376684D" w14:textId="77777777" w:rsidR="00575F5E" w:rsidRPr="005138D5" w:rsidRDefault="00575F5E" w:rsidP="00277FE6">
      <w:pPr>
        <w:numPr>
          <w:ilvl w:val="0"/>
          <w:numId w:val="56"/>
        </w:numPr>
        <w:ind w:left="567" w:hanging="567"/>
        <w:rPr>
          <w:sz w:val="22"/>
        </w:rPr>
      </w:pPr>
      <w:r w:rsidRPr="005138D5">
        <w:rPr>
          <w:sz w:val="22"/>
        </w:rPr>
        <w:t>syrolimusem (stosowanym w transplantologii),</w:t>
      </w:r>
    </w:p>
    <w:p w14:paraId="308C27EB" w14:textId="77777777" w:rsidR="00575F5E" w:rsidRPr="005138D5" w:rsidRDefault="00575F5E" w:rsidP="00277FE6">
      <w:pPr>
        <w:numPr>
          <w:ilvl w:val="0"/>
          <w:numId w:val="56"/>
        </w:numPr>
        <w:ind w:left="567" w:hanging="567"/>
        <w:rPr>
          <w:sz w:val="22"/>
        </w:rPr>
      </w:pPr>
      <w:r w:rsidRPr="005138D5">
        <w:rPr>
          <w:sz w:val="22"/>
        </w:rPr>
        <w:t>rytonawirem (stosowanym w leczeniu zakażeń wirusem HIV) w dawkach 400</w:t>
      </w:r>
      <w:r w:rsidR="00086D10" w:rsidRPr="005138D5">
        <w:rPr>
          <w:sz w:val="22"/>
        </w:rPr>
        <w:t> mg</w:t>
      </w:r>
      <w:r w:rsidRPr="005138D5">
        <w:rPr>
          <w:sz w:val="22"/>
        </w:rPr>
        <w:t xml:space="preserve"> i większych dwa razy na dobę,</w:t>
      </w:r>
    </w:p>
    <w:p w14:paraId="0BE422F6" w14:textId="77777777" w:rsidR="00575F5E" w:rsidRDefault="00575F5E" w:rsidP="00277FE6">
      <w:pPr>
        <w:numPr>
          <w:ilvl w:val="0"/>
          <w:numId w:val="56"/>
        </w:numPr>
        <w:ind w:left="567" w:hanging="567"/>
        <w:rPr>
          <w:sz w:val="22"/>
        </w:rPr>
      </w:pPr>
      <w:r w:rsidRPr="005138D5">
        <w:rPr>
          <w:sz w:val="22"/>
        </w:rPr>
        <w:t>zielem dziurawca (preparat ziołowy)</w:t>
      </w:r>
      <w:r w:rsidR="00C40463">
        <w:rPr>
          <w:sz w:val="22"/>
        </w:rPr>
        <w:t>,</w:t>
      </w:r>
    </w:p>
    <w:p w14:paraId="4A1E00DF" w14:textId="77777777" w:rsidR="00C44C86" w:rsidRPr="00C40463" w:rsidRDefault="00C44C86" w:rsidP="00C44C86">
      <w:pPr>
        <w:numPr>
          <w:ilvl w:val="0"/>
          <w:numId w:val="58"/>
        </w:numPr>
        <w:ind w:left="567" w:hanging="567"/>
        <w:rPr>
          <w:sz w:val="22"/>
        </w:rPr>
      </w:pPr>
      <w:r w:rsidRPr="00C40463">
        <w:rPr>
          <w:sz w:val="22"/>
        </w:rPr>
        <w:t>naloksegol</w:t>
      </w:r>
      <w:r>
        <w:rPr>
          <w:sz w:val="22"/>
        </w:rPr>
        <w:t>em</w:t>
      </w:r>
      <w:r w:rsidRPr="00C40463">
        <w:rPr>
          <w:sz w:val="22"/>
        </w:rPr>
        <w:t>: stosowany</w:t>
      </w:r>
      <w:r>
        <w:rPr>
          <w:sz w:val="22"/>
        </w:rPr>
        <w:t>m</w:t>
      </w:r>
      <w:r w:rsidRPr="00C40463">
        <w:rPr>
          <w:sz w:val="22"/>
        </w:rPr>
        <w:t xml:space="preserve"> w leczeniu zaparć spowodowanych przez leki przeciwbólowe z grupy opioidów (np. morfinę, oksykodon, fentanyl, tramadol, kodeinę),</w:t>
      </w:r>
    </w:p>
    <w:p w14:paraId="7C144C1E" w14:textId="77777777" w:rsidR="00C44C86" w:rsidRDefault="00C44C86" w:rsidP="00277FE6">
      <w:pPr>
        <w:numPr>
          <w:ilvl w:val="0"/>
          <w:numId w:val="56"/>
        </w:numPr>
        <w:ind w:left="567" w:hanging="567"/>
        <w:rPr>
          <w:sz w:val="22"/>
        </w:rPr>
      </w:pPr>
      <w:r w:rsidRPr="00C44C86">
        <w:rPr>
          <w:sz w:val="22"/>
        </w:rPr>
        <w:t xml:space="preserve">tolwaptanem </w:t>
      </w:r>
      <w:r>
        <w:rPr>
          <w:sz w:val="22"/>
        </w:rPr>
        <w:t>(</w:t>
      </w:r>
      <w:r w:rsidRPr="00C44C86">
        <w:rPr>
          <w:sz w:val="22"/>
        </w:rPr>
        <w:t>stosowanym w leczeniu hiponatremii (stanu niskiego stężenia sodu we krwi) lub w celu spowolnienia pogarszania się czynności nerek u pacjentów z wielotorbielowatością nerek</w:t>
      </w:r>
      <w:r>
        <w:rPr>
          <w:sz w:val="22"/>
        </w:rPr>
        <w:t>)</w:t>
      </w:r>
      <w:r w:rsidRPr="00C44C86">
        <w:rPr>
          <w:sz w:val="22"/>
        </w:rPr>
        <w:t>,</w:t>
      </w:r>
    </w:p>
    <w:p w14:paraId="31B90453" w14:textId="77777777" w:rsidR="00C44C86" w:rsidRPr="00C44C86" w:rsidRDefault="00C44C86" w:rsidP="00277FE6">
      <w:pPr>
        <w:numPr>
          <w:ilvl w:val="0"/>
          <w:numId w:val="56"/>
        </w:numPr>
        <w:ind w:left="567" w:hanging="567"/>
        <w:rPr>
          <w:sz w:val="22"/>
        </w:rPr>
      </w:pPr>
      <w:r w:rsidRPr="00C44C86">
        <w:rPr>
          <w:sz w:val="22"/>
        </w:rPr>
        <w:t>lurazydonem (stosowanym w leczeniu depresji),</w:t>
      </w:r>
    </w:p>
    <w:p w14:paraId="21E7AD82" w14:textId="77777777" w:rsidR="00C40463" w:rsidRPr="00C40463" w:rsidRDefault="00C40463" w:rsidP="00277FE6">
      <w:pPr>
        <w:numPr>
          <w:ilvl w:val="0"/>
          <w:numId w:val="56"/>
        </w:numPr>
        <w:ind w:left="567" w:hanging="567"/>
        <w:rPr>
          <w:sz w:val="22"/>
        </w:rPr>
      </w:pPr>
      <w:r w:rsidRPr="00C40463">
        <w:rPr>
          <w:sz w:val="22"/>
        </w:rPr>
        <w:t xml:space="preserve">wenetoklaksem [stosowanym w leczeniu pacjentów z przewlekłą białaczką limfocytową, (CLL, ang. </w:t>
      </w:r>
      <w:r w:rsidRPr="00C40463">
        <w:rPr>
          <w:i/>
          <w:iCs/>
          <w:sz w:val="22"/>
        </w:rPr>
        <w:t>chronic lymphocytic leukaemia</w:t>
      </w:r>
      <w:r w:rsidRPr="00C40463">
        <w:rPr>
          <w:sz w:val="22"/>
        </w:rPr>
        <w:t>)].</w:t>
      </w:r>
    </w:p>
    <w:p w14:paraId="4FF82765" w14:textId="77777777" w:rsidR="00575F5E" w:rsidRPr="005138D5" w:rsidRDefault="00575F5E" w:rsidP="00A41668">
      <w:pPr>
        <w:rPr>
          <w:spacing w:val="-3"/>
          <w:sz w:val="22"/>
        </w:rPr>
      </w:pPr>
    </w:p>
    <w:p w14:paraId="7E0C3F5B" w14:textId="77777777" w:rsidR="00575F5E" w:rsidRPr="005138D5" w:rsidRDefault="008B72E4" w:rsidP="00277FE6">
      <w:pPr>
        <w:rPr>
          <w:b/>
          <w:sz w:val="22"/>
        </w:rPr>
      </w:pPr>
      <w:r w:rsidRPr="005138D5">
        <w:rPr>
          <w:b/>
          <w:sz w:val="22"/>
        </w:rPr>
        <w:t>Ostrzeżenia i środki ostrożności</w:t>
      </w:r>
    </w:p>
    <w:p w14:paraId="36E774F4" w14:textId="77777777" w:rsidR="00E122AA" w:rsidRPr="005138D5" w:rsidRDefault="00E122AA" w:rsidP="00E122AA">
      <w:pPr>
        <w:rPr>
          <w:bCs/>
          <w:sz w:val="22"/>
        </w:rPr>
      </w:pPr>
      <w:r w:rsidRPr="005138D5">
        <w:rPr>
          <w:bCs/>
          <w:sz w:val="22"/>
        </w:rPr>
        <w:t xml:space="preserve">Przed rozpoczęciem </w:t>
      </w:r>
      <w:r w:rsidR="0097301F" w:rsidRPr="005138D5">
        <w:rPr>
          <w:bCs/>
          <w:sz w:val="22"/>
        </w:rPr>
        <w:t>stosowania leku V</w:t>
      </w:r>
      <w:r w:rsidR="00261874" w:rsidRPr="005138D5">
        <w:rPr>
          <w:bCs/>
          <w:sz w:val="22"/>
        </w:rPr>
        <w:t>oriconazole Accord</w:t>
      </w:r>
      <w:r w:rsidR="00261874" w:rsidRPr="005138D5" w:rsidDel="00261874">
        <w:rPr>
          <w:bCs/>
          <w:sz w:val="22"/>
        </w:rPr>
        <w:t xml:space="preserve"> </w:t>
      </w:r>
      <w:r w:rsidRPr="005138D5">
        <w:rPr>
          <w:bCs/>
          <w:sz w:val="22"/>
        </w:rPr>
        <w:t xml:space="preserve">należy </w:t>
      </w:r>
      <w:r w:rsidR="0097301F" w:rsidRPr="005138D5">
        <w:rPr>
          <w:bCs/>
          <w:sz w:val="22"/>
        </w:rPr>
        <w:t xml:space="preserve">omówić z </w:t>
      </w:r>
      <w:r w:rsidRPr="005138D5">
        <w:rPr>
          <w:bCs/>
          <w:sz w:val="22"/>
        </w:rPr>
        <w:t>lekarz</w:t>
      </w:r>
      <w:r w:rsidR="0097301F" w:rsidRPr="005138D5">
        <w:rPr>
          <w:bCs/>
          <w:sz w:val="22"/>
        </w:rPr>
        <w:t>em</w:t>
      </w:r>
      <w:r w:rsidR="00BB48E2" w:rsidRPr="005138D5">
        <w:rPr>
          <w:bCs/>
          <w:sz w:val="22"/>
        </w:rPr>
        <w:t>, farmaceutą lub pielęgniarką</w:t>
      </w:r>
      <w:r w:rsidRPr="005138D5">
        <w:rPr>
          <w:bCs/>
          <w:sz w:val="22"/>
        </w:rPr>
        <w:t>:</w:t>
      </w:r>
    </w:p>
    <w:p w14:paraId="687E87E2" w14:textId="77777777" w:rsidR="00E122AA" w:rsidRPr="005138D5" w:rsidRDefault="0097301F" w:rsidP="00277FE6">
      <w:pPr>
        <w:numPr>
          <w:ilvl w:val="0"/>
          <w:numId w:val="60"/>
        </w:numPr>
        <w:ind w:left="567" w:hanging="567"/>
        <w:rPr>
          <w:sz w:val="22"/>
        </w:rPr>
      </w:pPr>
      <w:r w:rsidRPr="005138D5">
        <w:rPr>
          <w:sz w:val="22"/>
        </w:rPr>
        <w:t xml:space="preserve">jeśli u pacjenta stwierdzono nadwrażliwość </w:t>
      </w:r>
      <w:r w:rsidR="00E122AA" w:rsidRPr="005138D5">
        <w:rPr>
          <w:sz w:val="22"/>
        </w:rPr>
        <w:t>na inne azole.</w:t>
      </w:r>
    </w:p>
    <w:p w14:paraId="592FE1BC" w14:textId="77777777" w:rsidR="00940A4F" w:rsidRPr="005138D5" w:rsidRDefault="0097301F" w:rsidP="00277FE6">
      <w:pPr>
        <w:numPr>
          <w:ilvl w:val="0"/>
          <w:numId w:val="60"/>
        </w:numPr>
        <w:ind w:left="567" w:hanging="567"/>
        <w:rPr>
          <w:sz w:val="22"/>
        </w:rPr>
      </w:pPr>
      <w:r w:rsidRPr="005138D5">
        <w:rPr>
          <w:sz w:val="22"/>
        </w:rPr>
        <w:t>jeśli u pacjenta występuje</w:t>
      </w:r>
      <w:r w:rsidR="00411809" w:rsidRPr="005138D5">
        <w:rPr>
          <w:sz w:val="22"/>
        </w:rPr>
        <w:t xml:space="preserve"> </w:t>
      </w:r>
      <w:r w:rsidRPr="005138D5">
        <w:rPr>
          <w:sz w:val="22"/>
        </w:rPr>
        <w:t xml:space="preserve">choroba </w:t>
      </w:r>
      <w:r w:rsidR="00E122AA" w:rsidRPr="005138D5">
        <w:rPr>
          <w:sz w:val="22"/>
        </w:rPr>
        <w:t>wątroby</w:t>
      </w:r>
      <w:r w:rsidR="00411809" w:rsidRPr="005138D5">
        <w:rPr>
          <w:sz w:val="22"/>
        </w:rPr>
        <w:t>, również gdy wystąpiła w przeszłości</w:t>
      </w:r>
      <w:r w:rsidR="00E122AA" w:rsidRPr="005138D5">
        <w:rPr>
          <w:sz w:val="22"/>
        </w:rPr>
        <w:t xml:space="preserve">. </w:t>
      </w:r>
      <w:r w:rsidR="00B26438" w:rsidRPr="005138D5">
        <w:rPr>
          <w:sz w:val="22"/>
        </w:rPr>
        <w:t>–</w:t>
      </w:r>
      <w:r w:rsidR="00E122AA" w:rsidRPr="005138D5">
        <w:rPr>
          <w:sz w:val="22"/>
        </w:rPr>
        <w:t xml:space="preserve">W przypadku choroby wątroby lekarz może przepisać mniejszą dawkę leku </w:t>
      </w:r>
      <w:r w:rsidR="00261874" w:rsidRPr="005138D5">
        <w:rPr>
          <w:sz w:val="22"/>
        </w:rPr>
        <w:t>Voriconazole Accord</w:t>
      </w:r>
      <w:r w:rsidR="00E122AA" w:rsidRPr="005138D5">
        <w:rPr>
          <w:sz w:val="22"/>
        </w:rPr>
        <w:t xml:space="preserve">. Lekarz powinien także podczas stosowania leku </w:t>
      </w:r>
      <w:r w:rsidR="00261874" w:rsidRPr="005138D5">
        <w:rPr>
          <w:sz w:val="22"/>
        </w:rPr>
        <w:t>Voriconazole Accord</w:t>
      </w:r>
      <w:r w:rsidR="00261874" w:rsidRPr="005138D5" w:rsidDel="00261874">
        <w:rPr>
          <w:sz w:val="22"/>
        </w:rPr>
        <w:t xml:space="preserve"> </w:t>
      </w:r>
      <w:r w:rsidR="00E122AA" w:rsidRPr="005138D5">
        <w:rPr>
          <w:sz w:val="22"/>
        </w:rPr>
        <w:t>monitorować czynność wątroby pacjenta, zlecając wykonanie odpowiednich badań krwi.</w:t>
      </w:r>
    </w:p>
    <w:p w14:paraId="1CF3D412" w14:textId="77777777" w:rsidR="00F55E2B" w:rsidRPr="005138D5" w:rsidRDefault="0097301F" w:rsidP="00277FE6">
      <w:pPr>
        <w:numPr>
          <w:ilvl w:val="0"/>
          <w:numId w:val="60"/>
        </w:numPr>
        <w:ind w:left="567" w:hanging="567"/>
        <w:rPr>
          <w:sz w:val="22"/>
        </w:rPr>
      </w:pPr>
      <w:r w:rsidRPr="005138D5">
        <w:rPr>
          <w:sz w:val="22"/>
        </w:rPr>
        <w:t>u pacjenta</w:t>
      </w:r>
      <w:r w:rsidR="00F55E2B" w:rsidRPr="005138D5">
        <w:rPr>
          <w:sz w:val="22"/>
        </w:rPr>
        <w:t xml:space="preserve"> rozpoznan</w:t>
      </w:r>
      <w:r w:rsidRPr="005138D5">
        <w:rPr>
          <w:sz w:val="22"/>
        </w:rPr>
        <w:t>o</w:t>
      </w:r>
      <w:r w:rsidR="00F55E2B" w:rsidRPr="005138D5">
        <w:rPr>
          <w:sz w:val="22"/>
        </w:rPr>
        <w:t xml:space="preserve"> kardiomiopati</w:t>
      </w:r>
      <w:r w:rsidRPr="005138D5">
        <w:rPr>
          <w:sz w:val="22"/>
        </w:rPr>
        <w:t>ę</w:t>
      </w:r>
      <w:r w:rsidR="00F55E2B" w:rsidRPr="005138D5">
        <w:rPr>
          <w:sz w:val="22"/>
        </w:rPr>
        <w:t xml:space="preserve">, </w:t>
      </w:r>
      <w:r w:rsidRPr="005138D5">
        <w:rPr>
          <w:sz w:val="22"/>
        </w:rPr>
        <w:t xml:space="preserve">zaburzenia </w:t>
      </w:r>
      <w:r w:rsidR="00F55E2B" w:rsidRPr="005138D5">
        <w:rPr>
          <w:sz w:val="22"/>
        </w:rPr>
        <w:t xml:space="preserve">rytmu serca, </w:t>
      </w:r>
      <w:r w:rsidRPr="005138D5">
        <w:rPr>
          <w:sz w:val="22"/>
        </w:rPr>
        <w:t xml:space="preserve">wolną częstość </w:t>
      </w:r>
      <w:r w:rsidR="00214846" w:rsidRPr="005138D5">
        <w:rPr>
          <w:sz w:val="22"/>
        </w:rPr>
        <w:t xml:space="preserve">czynności </w:t>
      </w:r>
      <w:r w:rsidR="00F55E2B" w:rsidRPr="005138D5">
        <w:rPr>
          <w:sz w:val="22"/>
        </w:rPr>
        <w:t>serca lub w przypadku zmian w zapisie elektrokardiogramu (EKG), nazywanych „zespołem wydłużonego odstępu QT</w:t>
      </w:r>
      <w:r w:rsidR="00BB48E2" w:rsidRPr="005138D5">
        <w:rPr>
          <w:sz w:val="22"/>
        </w:rPr>
        <w:t>c</w:t>
      </w:r>
      <w:r w:rsidR="00F55E2B" w:rsidRPr="005138D5">
        <w:rPr>
          <w:sz w:val="22"/>
        </w:rPr>
        <w:t>”.</w:t>
      </w:r>
    </w:p>
    <w:p w14:paraId="511B8A29" w14:textId="77777777" w:rsidR="00E122AA" w:rsidRPr="005138D5" w:rsidRDefault="00E122AA" w:rsidP="00E122AA">
      <w:pPr>
        <w:rPr>
          <w:sz w:val="22"/>
        </w:rPr>
      </w:pPr>
    </w:p>
    <w:p w14:paraId="289015A5" w14:textId="3F61680C" w:rsidR="001479BE" w:rsidRPr="005138D5" w:rsidRDefault="00F55E2B" w:rsidP="001479BE">
      <w:pPr>
        <w:rPr>
          <w:sz w:val="22"/>
        </w:rPr>
      </w:pPr>
      <w:r w:rsidRPr="005138D5">
        <w:rPr>
          <w:sz w:val="22"/>
        </w:rPr>
        <w:t>N</w:t>
      </w:r>
      <w:r w:rsidR="00CA5AE5" w:rsidRPr="005138D5">
        <w:rPr>
          <w:sz w:val="22"/>
        </w:rPr>
        <w:t xml:space="preserve">ależy unikać </w:t>
      </w:r>
      <w:r w:rsidR="00BB48E2" w:rsidRPr="005138D5">
        <w:rPr>
          <w:sz w:val="22"/>
        </w:rPr>
        <w:t xml:space="preserve">jakiejkolwiek </w:t>
      </w:r>
      <w:r w:rsidR="00CA5AE5" w:rsidRPr="005138D5">
        <w:rPr>
          <w:sz w:val="22"/>
        </w:rPr>
        <w:t>ekspozycji na światło słoneczne</w:t>
      </w:r>
      <w:r w:rsidR="00793793" w:rsidRPr="005138D5">
        <w:rPr>
          <w:sz w:val="22"/>
        </w:rPr>
        <w:t xml:space="preserve"> podczas leczenia</w:t>
      </w:r>
      <w:r w:rsidR="00820C07" w:rsidRPr="005138D5">
        <w:rPr>
          <w:bCs/>
          <w:sz w:val="22"/>
        </w:rPr>
        <w:t xml:space="preserve">. Ważne jest </w:t>
      </w:r>
      <w:r w:rsidR="00B849A7" w:rsidRPr="005138D5">
        <w:rPr>
          <w:bCs/>
          <w:sz w:val="22"/>
        </w:rPr>
        <w:t xml:space="preserve">noszenie </w:t>
      </w:r>
      <w:r w:rsidR="00820C07" w:rsidRPr="005138D5">
        <w:rPr>
          <w:bCs/>
          <w:sz w:val="22"/>
        </w:rPr>
        <w:t>odzieży ch</w:t>
      </w:r>
      <w:r w:rsidR="00A06964" w:rsidRPr="005138D5">
        <w:rPr>
          <w:bCs/>
          <w:sz w:val="22"/>
        </w:rPr>
        <w:t>ro</w:t>
      </w:r>
      <w:r w:rsidR="00820C07" w:rsidRPr="005138D5">
        <w:rPr>
          <w:bCs/>
          <w:sz w:val="22"/>
        </w:rPr>
        <w:t xml:space="preserve">niącej przed ekspozycją na światło </w:t>
      </w:r>
      <w:r w:rsidR="008D78E4" w:rsidRPr="005138D5">
        <w:rPr>
          <w:bCs/>
          <w:sz w:val="22"/>
        </w:rPr>
        <w:t xml:space="preserve">słoneczne </w:t>
      </w:r>
      <w:r w:rsidR="00820C07" w:rsidRPr="005138D5">
        <w:rPr>
          <w:bCs/>
          <w:sz w:val="22"/>
        </w:rPr>
        <w:t>oraz</w:t>
      </w:r>
      <w:r w:rsidR="001B393C" w:rsidRPr="005138D5">
        <w:rPr>
          <w:bCs/>
          <w:sz w:val="22"/>
        </w:rPr>
        <w:t xml:space="preserve"> stosowanie</w:t>
      </w:r>
      <w:r w:rsidR="00820C07" w:rsidRPr="005138D5">
        <w:rPr>
          <w:bCs/>
          <w:sz w:val="22"/>
        </w:rPr>
        <w:t xml:space="preserve"> </w:t>
      </w:r>
      <w:r w:rsidR="00B52E26" w:rsidRPr="005138D5">
        <w:rPr>
          <w:bCs/>
          <w:sz w:val="22"/>
        </w:rPr>
        <w:t>preparatów</w:t>
      </w:r>
      <w:r w:rsidR="00820C07" w:rsidRPr="005138D5">
        <w:rPr>
          <w:bCs/>
          <w:sz w:val="22"/>
        </w:rPr>
        <w:t xml:space="preserve"> z</w:t>
      </w:r>
      <w:r w:rsidR="00820C07" w:rsidRPr="005138D5">
        <w:rPr>
          <w:color w:val="000000"/>
          <w:sz w:val="22"/>
        </w:rPr>
        <w:t xml:space="preserve"> filtrem chroniącym przed promieniowaniem słonecznym (UV)</w:t>
      </w:r>
      <w:r w:rsidR="001479BE" w:rsidRPr="005138D5">
        <w:rPr>
          <w:color w:val="000000"/>
          <w:sz w:val="22"/>
        </w:rPr>
        <w:t xml:space="preserve"> </w:t>
      </w:r>
      <w:r w:rsidR="001479BE" w:rsidRPr="005138D5">
        <w:rPr>
          <w:bCs/>
          <w:sz w:val="22"/>
        </w:rPr>
        <w:t>o dużym współczynniku ochrony (SPF)</w:t>
      </w:r>
      <w:r w:rsidR="00945C85" w:rsidRPr="005138D5">
        <w:rPr>
          <w:color w:val="000000"/>
          <w:sz w:val="22"/>
        </w:rPr>
        <w:t xml:space="preserve">, gdyż mogą </w:t>
      </w:r>
      <w:r w:rsidR="00FA35B0" w:rsidRPr="005138D5">
        <w:rPr>
          <w:color w:val="000000"/>
          <w:sz w:val="22"/>
        </w:rPr>
        <w:t xml:space="preserve">wystąpić </w:t>
      </w:r>
      <w:r w:rsidR="00945C85" w:rsidRPr="005138D5">
        <w:rPr>
          <w:color w:val="000000"/>
          <w:sz w:val="22"/>
        </w:rPr>
        <w:t>objawy nadwrażliwości na promieniowanie słoneczne (UV)</w:t>
      </w:r>
      <w:r w:rsidR="00820C07" w:rsidRPr="005138D5">
        <w:rPr>
          <w:color w:val="000000"/>
          <w:sz w:val="22"/>
        </w:rPr>
        <w:t>.</w:t>
      </w:r>
      <w:r w:rsidR="001479BE" w:rsidRPr="005138D5">
        <w:rPr>
          <w:color w:val="000000"/>
          <w:sz w:val="22"/>
        </w:rPr>
        <w:t xml:space="preserve"> </w:t>
      </w:r>
      <w:r w:rsidR="003A3EE1" w:rsidRPr="003A3EE1">
        <w:rPr>
          <w:color w:val="000000"/>
          <w:sz w:val="22"/>
        </w:rPr>
        <w:t>Może to być dodatkowo zwiększone przez inne leki uwrażliwiające skórę na światło słoneczne, takie jak metotreksat</w:t>
      </w:r>
      <w:r w:rsidR="003A3EE1">
        <w:rPr>
          <w:color w:val="000000"/>
          <w:sz w:val="22"/>
        </w:rPr>
        <w:t xml:space="preserve">. </w:t>
      </w:r>
      <w:r w:rsidR="001479BE" w:rsidRPr="005138D5">
        <w:rPr>
          <w:color w:val="000000"/>
          <w:sz w:val="22"/>
        </w:rPr>
        <w:t>Te środki ostrożności dotyczą także dzieci.</w:t>
      </w:r>
    </w:p>
    <w:p w14:paraId="3A9B311C" w14:textId="77777777" w:rsidR="00F55E2B" w:rsidRPr="005138D5" w:rsidRDefault="00F55E2B" w:rsidP="00A41668">
      <w:pPr>
        <w:rPr>
          <w:sz w:val="22"/>
        </w:rPr>
      </w:pPr>
    </w:p>
    <w:p w14:paraId="6EB7D4AA" w14:textId="77777777" w:rsidR="00F55E2B" w:rsidRPr="005138D5" w:rsidRDefault="00F55E2B" w:rsidP="00F55E2B">
      <w:pPr>
        <w:rPr>
          <w:bCs/>
          <w:sz w:val="22"/>
        </w:rPr>
      </w:pPr>
      <w:r w:rsidRPr="005138D5">
        <w:rPr>
          <w:bCs/>
          <w:sz w:val="22"/>
        </w:rPr>
        <w:t xml:space="preserve">W czasie terapii lekiem </w:t>
      </w:r>
      <w:r w:rsidR="00261874" w:rsidRPr="005138D5">
        <w:rPr>
          <w:bCs/>
          <w:sz w:val="22"/>
        </w:rPr>
        <w:t>Voriconazole Accord</w:t>
      </w:r>
      <w:r w:rsidRPr="005138D5">
        <w:rPr>
          <w:bCs/>
          <w:sz w:val="22"/>
        </w:rPr>
        <w:t>:</w:t>
      </w:r>
    </w:p>
    <w:p w14:paraId="1D666144" w14:textId="77777777" w:rsidR="00340A12" w:rsidRPr="005138D5" w:rsidRDefault="00340A12" w:rsidP="00340A12">
      <w:pPr>
        <w:pStyle w:val="CM55"/>
        <w:numPr>
          <w:ilvl w:val="0"/>
          <w:numId w:val="66"/>
        </w:numPr>
        <w:spacing w:after="0"/>
        <w:rPr>
          <w:sz w:val="22"/>
          <w:szCs w:val="22"/>
          <w:lang w:val="pl-PL"/>
        </w:rPr>
      </w:pPr>
      <w:r w:rsidRPr="005138D5">
        <w:rPr>
          <w:sz w:val="22"/>
          <w:szCs w:val="22"/>
          <w:lang w:val="pl-PL"/>
        </w:rPr>
        <w:t>należy natychmiast poinformować lekarza, jeśli wystąpi</w:t>
      </w:r>
    </w:p>
    <w:p w14:paraId="7BAE2991" w14:textId="77777777" w:rsidR="00340A12" w:rsidRPr="005138D5" w:rsidRDefault="00340A12" w:rsidP="00340A12">
      <w:pPr>
        <w:pStyle w:val="CM55"/>
        <w:numPr>
          <w:ilvl w:val="0"/>
          <w:numId w:val="66"/>
        </w:numPr>
        <w:tabs>
          <w:tab w:val="clear" w:pos="567"/>
          <w:tab w:val="num" w:pos="1134"/>
        </w:tabs>
        <w:spacing w:after="0"/>
        <w:ind w:left="1134"/>
        <w:rPr>
          <w:sz w:val="22"/>
          <w:szCs w:val="22"/>
        </w:rPr>
      </w:pPr>
      <w:proofErr w:type="spellStart"/>
      <w:r w:rsidRPr="005138D5">
        <w:rPr>
          <w:sz w:val="22"/>
          <w:szCs w:val="22"/>
        </w:rPr>
        <w:t>oparzenie</w:t>
      </w:r>
      <w:proofErr w:type="spellEnd"/>
      <w:r w:rsidRPr="005138D5">
        <w:rPr>
          <w:sz w:val="22"/>
          <w:szCs w:val="22"/>
        </w:rPr>
        <w:t xml:space="preserve"> </w:t>
      </w:r>
      <w:proofErr w:type="spellStart"/>
      <w:r w:rsidRPr="005138D5">
        <w:rPr>
          <w:sz w:val="22"/>
          <w:szCs w:val="22"/>
        </w:rPr>
        <w:t>słoneczne</w:t>
      </w:r>
      <w:proofErr w:type="spellEnd"/>
    </w:p>
    <w:p w14:paraId="637DA4E5" w14:textId="77777777" w:rsidR="00340A12" w:rsidRPr="005138D5" w:rsidRDefault="00340A12" w:rsidP="00340A12">
      <w:pPr>
        <w:pStyle w:val="CM55"/>
        <w:numPr>
          <w:ilvl w:val="0"/>
          <w:numId w:val="66"/>
        </w:numPr>
        <w:tabs>
          <w:tab w:val="clear" w:pos="567"/>
          <w:tab w:val="num" w:pos="1134"/>
        </w:tabs>
        <w:spacing w:after="0"/>
        <w:ind w:left="1134"/>
        <w:rPr>
          <w:sz w:val="22"/>
          <w:szCs w:val="22"/>
          <w:lang w:val="pl-PL"/>
        </w:rPr>
      </w:pPr>
      <w:r w:rsidRPr="005138D5">
        <w:rPr>
          <w:sz w:val="22"/>
          <w:szCs w:val="22"/>
          <w:lang w:val="pl-PL"/>
        </w:rPr>
        <w:t xml:space="preserve">wysypka skórna o ciężkim przebiegu lub pęcherze </w:t>
      </w:r>
    </w:p>
    <w:p w14:paraId="662BE3E5" w14:textId="77777777" w:rsidR="00340A12" w:rsidRPr="005138D5" w:rsidRDefault="00340A12" w:rsidP="00340A12">
      <w:pPr>
        <w:pStyle w:val="CM55"/>
        <w:numPr>
          <w:ilvl w:val="0"/>
          <w:numId w:val="66"/>
        </w:numPr>
        <w:tabs>
          <w:tab w:val="clear" w:pos="567"/>
          <w:tab w:val="num" w:pos="1134"/>
        </w:tabs>
        <w:spacing w:after="0"/>
        <w:ind w:left="1134"/>
        <w:rPr>
          <w:sz w:val="22"/>
          <w:szCs w:val="22"/>
          <w:lang w:val="pl-PL"/>
        </w:rPr>
      </w:pPr>
      <w:r w:rsidRPr="005138D5">
        <w:rPr>
          <w:sz w:val="22"/>
          <w:szCs w:val="22"/>
          <w:lang w:val="pl-PL"/>
        </w:rPr>
        <w:t xml:space="preserve">ból kości </w:t>
      </w:r>
    </w:p>
    <w:p w14:paraId="3CD2A7F3" w14:textId="77777777" w:rsidR="001479BE" w:rsidRPr="005138D5" w:rsidRDefault="001479BE" w:rsidP="001479BE">
      <w:pPr>
        <w:ind w:left="567"/>
        <w:rPr>
          <w:sz w:val="22"/>
        </w:rPr>
      </w:pPr>
    </w:p>
    <w:p w14:paraId="7881F45C" w14:textId="77777777" w:rsidR="001479BE" w:rsidRPr="005138D5" w:rsidRDefault="001479BE" w:rsidP="001479BE">
      <w:pPr>
        <w:numPr>
          <w:ilvl w:val="0"/>
          <w:numId w:val="67"/>
        </w:numPr>
        <w:ind w:hanging="502"/>
        <w:rPr>
          <w:sz w:val="22"/>
        </w:rPr>
      </w:pPr>
      <w:r w:rsidRPr="005138D5">
        <w:rPr>
          <w:sz w:val="22"/>
        </w:rPr>
        <w:t>Jeżeli wystąpią opisane wyżej zaburzenia skóry, lekarz może skierować pacjenta do dermatologa, który po konsultacji może podjąć decyzję o konieczności regularnych wizyt. Istnieje niewielkie ryzyko, że długotrwałe stosowanie leku Voriconazole Accord może spowodować raka skóry.</w:t>
      </w:r>
    </w:p>
    <w:p w14:paraId="2C885A85" w14:textId="77777777" w:rsidR="001479BE" w:rsidRPr="005138D5" w:rsidRDefault="001479BE" w:rsidP="001479BE">
      <w:pPr>
        <w:rPr>
          <w:sz w:val="22"/>
        </w:rPr>
      </w:pPr>
    </w:p>
    <w:p w14:paraId="060565C7" w14:textId="77777777" w:rsidR="00C40463" w:rsidRPr="00C40463" w:rsidRDefault="00C40463" w:rsidP="00C40463">
      <w:pPr>
        <w:rPr>
          <w:sz w:val="22"/>
        </w:rPr>
      </w:pPr>
      <w:r w:rsidRPr="00C40463">
        <w:rPr>
          <w:sz w:val="22"/>
        </w:rPr>
        <w:t>Jeśli u pacjenta wystąpią objawy „niedoczynności nadnerczy”; w przypadku której nadnercza nie</w:t>
      </w:r>
    </w:p>
    <w:p w14:paraId="181E4562" w14:textId="77777777" w:rsidR="00C40463" w:rsidRPr="00C40463" w:rsidRDefault="00C40463" w:rsidP="00C40463">
      <w:pPr>
        <w:rPr>
          <w:sz w:val="22"/>
        </w:rPr>
      </w:pPr>
      <w:r w:rsidRPr="00C40463">
        <w:rPr>
          <w:sz w:val="22"/>
        </w:rPr>
        <w:t>wytwarzają wystarczających ilości niektórych hormonów steroidowych, na przykład kortyzolu; do</w:t>
      </w:r>
    </w:p>
    <w:p w14:paraId="5C587C05" w14:textId="77777777" w:rsidR="00C40463" w:rsidRPr="00C40463" w:rsidRDefault="00C40463" w:rsidP="00C40463">
      <w:pPr>
        <w:rPr>
          <w:sz w:val="22"/>
        </w:rPr>
      </w:pPr>
      <w:r w:rsidRPr="00C40463">
        <w:rPr>
          <w:sz w:val="22"/>
        </w:rPr>
        <w:t>których należą: przewlekłe lub długotrwałe zmęczenie, osłabienie mięśni, utrata apetytu, utrata masy</w:t>
      </w:r>
    </w:p>
    <w:p w14:paraId="499AA73B" w14:textId="77777777" w:rsidR="00C40463" w:rsidRDefault="00C40463" w:rsidP="00C40463">
      <w:pPr>
        <w:rPr>
          <w:sz w:val="22"/>
        </w:rPr>
      </w:pPr>
      <w:r w:rsidRPr="00C40463">
        <w:rPr>
          <w:sz w:val="22"/>
        </w:rPr>
        <w:t>ciała, ból brzucha, należy powiedzieć o tym lekarzowi.</w:t>
      </w:r>
    </w:p>
    <w:p w14:paraId="4D0E4CFD" w14:textId="77777777" w:rsidR="00C44C86" w:rsidRDefault="00C44C86" w:rsidP="00C40463">
      <w:pPr>
        <w:rPr>
          <w:sz w:val="22"/>
        </w:rPr>
      </w:pPr>
    </w:p>
    <w:p w14:paraId="38AC557C" w14:textId="77777777" w:rsidR="00C44C86" w:rsidRPr="00C44C86" w:rsidRDefault="00C44C86" w:rsidP="00C40463">
      <w:pPr>
        <w:rPr>
          <w:sz w:val="22"/>
        </w:rPr>
      </w:pPr>
      <w:r w:rsidRPr="00C44C86">
        <w:rPr>
          <w:sz w:val="22"/>
        </w:rPr>
        <w:t>Jeśli u pacjenta wystąpią objawy „zespołu Cushinga”, w przebiegu którego organizm wytwarza zbyt dużo hormonu o nazwie kortyzol, co może prowadzić do takich objawów, jak: przyrost masy ciała, pojawienie się garbu tłuszczowego między łopatkami, zaokrąglenie twarzy, ściemnienie skóry na brzuchu, udach, klatce piersiowej i rękach, ścieńczenie skóry, zwiększona skłonność do tworzenia się siniaków, zwiększone stężenie cukru we krwi, nadmierny porost włosów, nadmierne pocenie się, należy poinformować o tym lekarza.</w:t>
      </w:r>
    </w:p>
    <w:p w14:paraId="46584C24" w14:textId="77777777" w:rsidR="00C40463" w:rsidRDefault="00C40463" w:rsidP="001479BE">
      <w:pPr>
        <w:rPr>
          <w:sz w:val="22"/>
        </w:rPr>
      </w:pPr>
    </w:p>
    <w:p w14:paraId="446DCF9A" w14:textId="77777777" w:rsidR="00F55E2B" w:rsidRPr="005138D5" w:rsidRDefault="001479BE" w:rsidP="001479BE">
      <w:pPr>
        <w:rPr>
          <w:sz w:val="22"/>
        </w:rPr>
      </w:pPr>
      <w:r w:rsidRPr="005138D5">
        <w:rPr>
          <w:sz w:val="22"/>
        </w:rPr>
        <w:t>L</w:t>
      </w:r>
      <w:r w:rsidR="00F55E2B" w:rsidRPr="005138D5">
        <w:rPr>
          <w:sz w:val="22"/>
        </w:rPr>
        <w:t>ekarz powinien regularnie kontrolować czynność wątroby i nerek pacjenta za pomocą badań krwi.</w:t>
      </w:r>
    </w:p>
    <w:p w14:paraId="43C22E92" w14:textId="77777777" w:rsidR="00F55E2B" w:rsidRPr="005138D5" w:rsidRDefault="00F55E2B" w:rsidP="00A41668">
      <w:pPr>
        <w:rPr>
          <w:sz w:val="22"/>
        </w:rPr>
      </w:pPr>
    </w:p>
    <w:p w14:paraId="0B8178E6" w14:textId="77777777" w:rsidR="00CC2B93" w:rsidRPr="005138D5" w:rsidRDefault="00CC2B93" w:rsidP="00A41668">
      <w:pPr>
        <w:rPr>
          <w:b/>
          <w:sz w:val="22"/>
        </w:rPr>
      </w:pPr>
      <w:r w:rsidRPr="005138D5">
        <w:rPr>
          <w:b/>
          <w:sz w:val="22"/>
        </w:rPr>
        <w:t xml:space="preserve">Dzieci i młodzież </w:t>
      </w:r>
    </w:p>
    <w:p w14:paraId="0107CB94" w14:textId="77777777" w:rsidR="00CC2B93" w:rsidRPr="005138D5" w:rsidRDefault="00646C63" w:rsidP="00A41668">
      <w:pPr>
        <w:rPr>
          <w:b/>
          <w:bCs/>
          <w:sz w:val="22"/>
        </w:rPr>
      </w:pPr>
      <w:r w:rsidRPr="005138D5">
        <w:rPr>
          <w:sz w:val="22"/>
        </w:rPr>
        <w:t>Leku</w:t>
      </w:r>
      <w:r w:rsidR="00CC2B93" w:rsidRPr="005138D5">
        <w:rPr>
          <w:sz w:val="22"/>
        </w:rPr>
        <w:t xml:space="preserve"> </w:t>
      </w:r>
      <w:r w:rsidR="00261874" w:rsidRPr="005138D5">
        <w:rPr>
          <w:sz w:val="22"/>
        </w:rPr>
        <w:t>Voriconazole Accord</w:t>
      </w:r>
      <w:r w:rsidR="00261874" w:rsidRPr="005138D5" w:rsidDel="00261874">
        <w:rPr>
          <w:sz w:val="22"/>
        </w:rPr>
        <w:t xml:space="preserve"> </w:t>
      </w:r>
      <w:r w:rsidR="00CC2B93" w:rsidRPr="005138D5">
        <w:rPr>
          <w:sz w:val="22"/>
        </w:rPr>
        <w:t>nie należy stosować u dzieci w wieku poniżej 2</w:t>
      </w:r>
      <w:r w:rsidR="00386A06" w:rsidRPr="005138D5">
        <w:rPr>
          <w:sz w:val="22"/>
        </w:rPr>
        <w:t> lat</w:t>
      </w:r>
      <w:r w:rsidR="00CC2B93" w:rsidRPr="005138D5">
        <w:rPr>
          <w:sz w:val="22"/>
        </w:rPr>
        <w:t>.</w:t>
      </w:r>
    </w:p>
    <w:p w14:paraId="23198CD6" w14:textId="77777777" w:rsidR="00CC2B93" w:rsidRPr="005138D5" w:rsidRDefault="00CC2B93" w:rsidP="00A41668">
      <w:pPr>
        <w:rPr>
          <w:b/>
          <w:bCs/>
          <w:sz w:val="22"/>
        </w:rPr>
      </w:pPr>
    </w:p>
    <w:p w14:paraId="263CBDB2" w14:textId="77777777" w:rsidR="00575F5E" w:rsidRPr="005138D5" w:rsidRDefault="0097301F" w:rsidP="00C32FD6">
      <w:pPr>
        <w:keepNext/>
        <w:keepLines/>
        <w:widowControl/>
        <w:rPr>
          <w:b/>
          <w:bCs/>
          <w:sz w:val="22"/>
        </w:rPr>
      </w:pPr>
      <w:r w:rsidRPr="005138D5">
        <w:rPr>
          <w:b/>
          <w:bCs/>
          <w:sz w:val="22"/>
        </w:rPr>
        <w:t>Lek</w:t>
      </w:r>
      <w:r w:rsidR="008B72E4" w:rsidRPr="005138D5">
        <w:rPr>
          <w:b/>
          <w:bCs/>
          <w:sz w:val="22"/>
        </w:rPr>
        <w:t xml:space="preserve"> </w:t>
      </w:r>
      <w:r w:rsidR="00261874" w:rsidRPr="005138D5">
        <w:rPr>
          <w:b/>
          <w:bCs/>
          <w:sz w:val="22"/>
        </w:rPr>
        <w:t>Voriconazole Accord</w:t>
      </w:r>
      <w:r w:rsidRPr="005138D5">
        <w:rPr>
          <w:b/>
          <w:bCs/>
          <w:sz w:val="22"/>
        </w:rPr>
        <w:t xml:space="preserve"> a inne leki</w:t>
      </w:r>
    </w:p>
    <w:p w14:paraId="03460D61" w14:textId="77777777" w:rsidR="00575F5E" w:rsidRPr="005138D5" w:rsidRDefault="00575F5E" w:rsidP="00C32FD6">
      <w:pPr>
        <w:keepNext/>
        <w:keepLines/>
        <w:widowControl/>
        <w:rPr>
          <w:sz w:val="22"/>
        </w:rPr>
      </w:pPr>
      <w:r w:rsidRPr="005138D5">
        <w:rPr>
          <w:noProof/>
          <w:sz w:val="22"/>
        </w:rPr>
        <w:t xml:space="preserve">Należy powiedzieć lekarzowi </w:t>
      </w:r>
      <w:r w:rsidR="0001293E" w:rsidRPr="005138D5">
        <w:rPr>
          <w:noProof/>
          <w:sz w:val="22"/>
        </w:rPr>
        <w:t xml:space="preserve">lub farmaceucie </w:t>
      </w:r>
      <w:r w:rsidRPr="005138D5">
        <w:rPr>
          <w:noProof/>
          <w:sz w:val="22"/>
        </w:rPr>
        <w:t>o wszystkich lekach</w:t>
      </w:r>
      <w:r w:rsidR="003F6ECB" w:rsidRPr="005138D5">
        <w:rPr>
          <w:noProof/>
          <w:sz w:val="22"/>
        </w:rPr>
        <w:t xml:space="preserve"> przyjmowanych </w:t>
      </w:r>
      <w:r w:rsidR="0097301F" w:rsidRPr="005138D5">
        <w:rPr>
          <w:noProof/>
          <w:sz w:val="22"/>
        </w:rPr>
        <w:t xml:space="preserve">przez pacjenta </w:t>
      </w:r>
      <w:r w:rsidR="003F6ECB" w:rsidRPr="005138D5">
        <w:rPr>
          <w:noProof/>
          <w:sz w:val="22"/>
        </w:rPr>
        <w:t>obecnie lub ostatnio,</w:t>
      </w:r>
      <w:r w:rsidR="00BB48E2" w:rsidRPr="005138D5">
        <w:rPr>
          <w:noProof/>
          <w:sz w:val="22"/>
        </w:rPr>
        <w:t xml:space="preserve"> a także o lekach, które pacjent planuje przyjmować, w tym lekach wydawanych</w:t>
      </w:r>
      <w:r w:rsidR="003F6ECB" w:rsidRPr="005138D5">
        <w:rPr>
          <w:noProof/>
          <w:sz w:val="22"/>
        </w:rPr>
        <w:t xml:space="preserve"> bez recepty.</w:t>
      </w:r>
    </w:p>
    <w:p w14:paraId="317BE472" w14:textId="77777777" w:rsidR="00575F5E" w:rsidRPr="005138D5" w:rsidRDefault="00575F5E" w:rsidP="00A41668">
      <w:pPr>
        <w:rPr>
          <w:sz w:val="22"/>
        </w:rPr>
      </w:pPr>
    </w:p>
    <w:p w14:paraId="78F7ACF6" w14:textId="77777777" w:rsidR="003F6ECB" w:rsidRPr="005138D5" w:rsidRDefault="00575F5E" w:rsidP="00A41668">
      <w:pPr>
        <w:rPr>
          <w:sz w:val="22"/>
        </w:rPr>
      </w:pPr>
      <w:r w:rsidRPr="005138D5">
        <w:rPr>
          <w:sz w:val="22"/>
        </w:rPr>
        <w:t xml:space="preserve">Niektóre leki przyjmowane jednocześnie z lekiem </w:t>
      </w:r>
      <w:r w:rsidR="00261874" w:rsidRPr="005138D5">
        <w:rPr>
          <w:sz w:val="22"/>
        </w:rPr>
        <w:t>Voriconazole Accord</w:t>
      </w:r>
      <w:r w:rsidR="00261874" w:rsidRPr="005138D5" w:rsidDel="00261874">
        <w:rPr>
          <w:sz w:val="22"/>
        </w:rPr>
        <w:t xml:space="preserve"> </w:t>
      </w:r>
      <w:r w:rsidRPr="005138D5">
        <w:rPr>
          <w:sz w:val="22"/>
        </w:rPr>
        <w:t xml:space="preserve">mogą zmieniać jego działanie, jak również </w:t>
      </w:r>
      <w:r w:rsidR="00261874" w:rsidRPr="005138D5">
        <w:rPr>
          <w:sz w:val="22"/>
        </w:rPr>
        <w:t>Voriconazole Accord</w:t>
      </w:r>
      <w:r w:rsidR="00261874" w:rsidRPr="005138D5" w:rsidDel="00261874">
        <w:rPr>
          <w:sz w:val="22"/>
        </w:rPr>
        <w:t xml:space="preserve"> </w:t>
      </w:r>
      <w:r w:rsidRPr="005138D5">
        <w:rPr>
          <w:sz w:val="22"/>
        </w:rPr>
        <w:t xml:space="preserve">może wpływać na działanie innych leków. </w:t>
      </w:r>
    </w:p>
    <w:p w14:paraId="50B353C3" w14:textId="77777777" w:rsidR="003F6ECB" w:rsidRPr="005138D5" w:rsidRDefault="003F6ECB" w:rsidP="00A41668">
      <w:pPr>
        <w:rPr>
          <w:sz w:val="22"/>
        </w:rPr>
      </w:pPr>
    </w:p>
    <w:p w14:paraId="0AA141C6" w14:textId="77777777" w:rsidR="00575F5E" w:rsidRPr="005138D5" w:rsidRDefault="00575F5E" w:rsidP="00A41668">
      <w:pPr>
        <w:rPr>
          <w:sz w:val="22"/>
        </w:rPr>
      </w:pPr>
      <w:r w:rsidRPr="005138D5">
        <w:rPr>
          <w:sz w:val="22"/>
        </w:rPr>
        <w:t xml:space="preserve">Należy poinformować lekarza o przyjmowaniu niżej podanego leku, ponieważ w miarę możliwości należy unikać jego jednoczesnego stosowania z lekiem </w:t>
      </w:r>
      <w:r w:rsidR="00261874" w:rsidRPr="005138D5">
        <w:rPr>
          <w:sz w:val="22"/>
        </w:rPr>
        <w:t>Voriconazole Accord</w:t>
      </w:r>
      <w:r w:rsidRPr="005138D5">
        <w:rPr>
          <w:sz w:val="22"/>
        </w:rPr>
        <w:t>:</w:t>
      </w:r>
    </w:p>
    <w:p w14:paraId="67650BEA" w14:textId="77777777" w:rsidR="003F6ECB" w:rsidRPr="005138D5" w:rsidRDefault="003F6ECB" w:rsidP="00A41668">
      <w:pPr>
        <w:rPr>
          <w:sz w:val="22"/>
        </w:rPr>
      </w:pPr>
    </w:p>
    <w:p w14:paraId="2A86F8AF" w14:textId="77777777" w:rsidR="00575F5E" w:rsidRDefault="00C93574" w:rsidP="00277FE6">
      <w:pPr>
        <w:numPr>
          <w:ilvl w:val="0"/>
          <w:numId w:val="57"/>
        </w:numPr>
        <w:ind w:left="567" w:hanging="567"/>
        <w:rPr>
          <w:sz w:val="22"/>
        </w:rPr>
      </w:pPr>
      <w:r w:rsidRPr="005138D5">
        <w:rPr>
          <w:sz w:val="22"/>
        </w:rPr>
        <w:t xml:space="preserve">Rytonawir </w:t>
      </w:r>
      <w:r w:rsidR="00575F5E" w:rsidRPr="005138D5">
        <w:rPr>
          <w:sz w:val="22"/>
        </w:rPr>
        <w:t>(stosowany w leczeniu zakażeń wirusem HIV) w dawkach 100</w:t>
      </w:r>
      <w:r w:rsidR="00086D10" w:rsidRPr="005138D5">
        <w:rPr>
          <w:sz w:val="22"/>
        </w:rPr>
        <w:t> mg</w:t>
      </w:r>
      <w:r w:rsidR="00575F5E" w:rsidRPr="005138D5">
        <w:rPr>
          <w:sz w:val="22"/>
        </w:rPr>
        <w:t xml:space="preserve"> dwa razy na dobę.</w:t>
      </w:r>
    </w:p>
    <w:p w14:paraId="16FF21E6" w14:textId="77777777" w:rsidR="00C44C86" w:rsidRPr="00C44C86" w:rsidRDefault="00C44C86" w:rsidP="00277FE6">
      <w:pPr>
        <w:numPr>
          <w:ilvl w:val="0"/>
          <w:numId w:val="57"/>
        </w:numPr>
        <w:ind w:left="567" w:hanging="567"/>
        <w:rPr>
          <w:sz w:val="22"/>
        </w:rPr>
      </w:pPr>
      <w:r w:rsidRPr="00C44C86">
        <w:rPr>
          <w:sz w:val="22"/>
        </w:rPr>
        <w:t>Glasdegib (stosowany w leczeniu nowotworów) — jeśli konieczne jest stosowanie obu leków, lekarz zleci częste monitorowanie rytmu serca.</w:t>
      </w:r>
    </w:p>
    <w:p w14:paraId="54C4439A" w14:textId="77777777" w:rsidR="00C44C86" w:rsidRPr="005138D5" w:rsidRDefault="00C44C86" w:rsidP="00C44C86">
      <w:pPr>
        <w:ind w:left="567"/>
        <w:rPr>
          <w:sz w:val="22"/>
        </w:rPr>
      </w:pPr>
    </w:p>
    <w:p w14:paraId="08625CFD" w14:textId="77777777" w:rsidR="00575F5E" w:rsidRPr="005138D5" w:rsidRDefault="00575F5E" w:rsidP="00917000">
      <w:pPr>
        <w:rPr>
          <w:sz w:val="22"/>
        </w:rPr>
      </w:pPr>
      <w:r w:rsidRPr="005138D5">
        <w:rPr>
          <w:sz w:val="22"/>
        </w:rPr>
        <w:t xml:space="preserve">Należy poinformować lekarza o przyjmowaniu któregokolwiek z poniższych leków, ponieważ o ile to możliwe, należy unikać jednoczesnego ich stosowania z lekiem </w:t>
      </w:r>
      <w:r w:rsidR="00261874" w:rsidRPr="005138D5">
        <w:rPr>
          <w:sz w:val="22"/>
        </w:rPr>
        <w:t>Voriconazole Accord</w:t>
      </w:r>
      <w:r w:rsidR="00261874" w:rsidRPr="005138D5" w:rsidDel="00261874">
        <w:rPr>
          <w:sz w:val="22"/>
        </w:rPr>
        <w:t xml:space="preserve"> </w:t>
      </w:r>
      <w:r w:rsidRPr="005138D5">
        <w:rPr>
          <w:sz w:val="22"/>
        </w:rPr>
        <w:t>(jeżeli jednak będzie to konieczne należy dostosować dawki worykonazolu):</w:t>
      </w:r>
    </w:p>
    <w:p w14:paraId="40961AEB" w14:textId="77777777" w:rsidR="00157C9E" w:rsidRPr="005138D5" w:rsidRDefault="00157C9E" w:rsidP="00917000">
      <w:pPr>
        <w:rPr>
          <w:sz w:val="22"/>
        </w:rPr>
      </w:pPr>
    </w:p>
    <w:p w14:paraId="59938E60" w14:textId="77777777" w:rsidR="00575F5E" w:rsidRPr="005138D5" w:rsidRDefault="00C93574" w:rsidP="00277FE6">
      <w:pPr>
        <w:numPr>
          <w:ilvl w:val="0"/>
          <w:numId w:val="57"/>
        </w:numPr>
        <w:ind w:left="567" w:hanging="567"/>
        <w:rPr>
          <w:sz w:val="22"/>
        </w:rPr>
      </w:pPr>
      <w:r w:rsidRPr="005138D5">
        <w:rPr>
          <w:sz w:val="22"/>
        </w:rPr>
        <w:t>R</w:t>
      </w:r>
      <w:r w:rsidR="00575F5E" w:rsidRPr="005138D5">
        <w:rPr>
          <w:sz w:val="22"/>
        </w:rPr>
        <w:t>yfabutyna (stosowana w leczeniu gruźlicy)</w:t>
      </w:r>
      <w:r w:rsidRPr="005138D5">
        <w:rPr>
          <w:sz w:val="22"/>
        </w:rPr>
        <w:t xml:space="preserve">. </w:t>
      </w:r>
      <w:r w:rsidR="00D81ED6" w:rsidRPr="005138D5">
        <w:rPr>
          <w:sz w:val="22"/>
        </w:rPr>
        <w:t xml:space="preserve">Jeśli pacjent jest leczony </w:t>
      </w:r>
      <w:r w:rsidRPr="005138D5">
        <w:rPr>
          <w:sz w:val="22"/>
        </w:rPr>
        <w:t xml:space="preserve">ryfabutyną, należy monitorować parametry krwi </w:t>
      </w:r>
      <w:r w:rsidR="00D81ED6" w:rsidRPr="005138D5">
        <w:rPr>
          <w:sz w:val="22"/>
        </w:rPr>
        <w:t xml:space="preserve">oraz działania niepożądane ryfabutyny. </w:t>
      </w:r>
    </w:p>
    <w:p w14:paraId="0CC9CD06" w14:textId="77777777" w:rsidR="00575F5E" w:rsidRPr="005138D5" w:rsidRDefault="00C93574" w:rsidP="00277FE6">
      <w:pPr>
        <w:numPr>
          <w:ilvl w:val="0"/>
          <w:numId w:val="57"/>
        </w:numPr>
        <w:ind w:left="567" w:hanging="567"/>
        <w:rPr>
          <w:sz w:val="22"/>
        </w:rPr>
      </w:pPr>
      <w:r w:rsidRPr="005138D5">
        <w:rPr>
          <w:sz w:val="22"/>
        </w:rPr>
        <w:t>F</w:t>
      </w:r>
      <w:r w:rsidR="00575F5E" w:rsidRPr="005138D5">
        <w:rPr>
          <w:sz w:val="22"/>
        </w:rPr>
        <w:t>enytoina (stosowana w leczeniu padaczki).</w:t>
      </w:r>
      <w:r w:rsidR="00D81ED6" w:rsidRPr="005138D5">
        <w:rPr>
          <w:sz w:val="22"/>
        </w:rPr>
        <w:t xml:space="preserve"> Jeśli pacjent jest leczony fenytoiną </w:t>
      </w:r>
      <w:r w:rsidR="005D67D9" w:rsidRPr="005138D5">
        <w:rPr>
          <w:sz w:val="22"/>
        </w:rPr>
        <w:t xml:space="preserve">w trakcie stosowania leku </w:t>
      </w:r>
      <w:r w:rsidR="00261874" w:rsidRPr="005138D5">
        <w:rPr>
          <w:sz w:val="22"/>
        </w:rPr>
        <w:t>Voriconazole Accord</w:t>
      </w:r>
      <w:r w:rsidR="005D67D9" w:rsidRPr="005138D5">
        <w:rPr>
          <w:sz w:val="22"/>
        </w:rPr>
        <w:t xml:space="preserve">, </w:t>
      </w:r>
      <w:r w:rsidR="00D81ED6" w:rsidRPr="005138D5">
        <w:rPr>
          <w:sz w:val="22"/>
        </w:rPr>
        <w:t>należy monitorować jej stężenie we krwi, oraz rozważyć dostosowanie dawkowania.</w:t>
      </w:r>
    </w:p>
    <w:p w14:paraId="34CB11FB" w14:textId="77777777" w:rsidR="00575F5E" w:rsidRPr="005138D5" w:rsidRDefault="00575F5E" w:rsidP="00A41668">
      <w:pPr>
        <w:rPr>
          <w:sz w:val="22"/>
        </w:rPr>
      </w:pPr>
    </w:p>
    <w:p w14:paraId="6D7DA9DD" w14:textId="77777777" w:rsidR="00575F5E" w:rsidRPr="005138D5" w:rsidRDefault="00575F5E" w:rsidP="00A41668">
      <w:pPr>
        <w:rPr>
          <w:sz w:val="22"/>
        </w:rPr>
      </w:pPr>
      <w:r w:rsidRPr="005138D5">
        <w:rPr>
          <w:sz w:val="22"/>
        </w:rPr>
        <w:t xml:space="preserve">Należy poinformować lekarza o przyjmowaniu któregokolwiek z poniższych leków, ponieważ może być konieczne dostosowanie lub monitorowanie dawkowania tych leków i (lub) leku </w:t>
      </w:r>
      <w:r w:rsidR="00261874" w:rsidRPr="005138D5">
        <w:rPr>
          <w:sz w:val="22"/>
        </w:rPr>
        <w:t>Voriconazole Accord</w:t>
      </w:r>
      <w:r w:rsidRPr="005138D5">
        <w:rPr>
          <w:sz w:val="22"/>
        </w:rPr>
        <w:t>, w celu upewnienia się</w:t>
      </w:r>
      <w:r w:rsidR="004E6898" w:rsidRPr="005138D5">
        <w:rPr>
          <w:sz w:val="22"/>
        </w:rPr>
        <w:t>,</w:t>
      </w:r>
      <w:r w:rsidRPr="005138D5">
        <w:rPr>
          <w:sz w:val="22"/>
        </w:rPr>
        <w:t xml:space="preserve"> czy nadal działają:</w:t>
      </w:r>
    </w:p>
    <w:p w14:paraId="08EA81C5" w14:textId="77777777" w:rsidR="00157C9E" w:rsidRPr="005138D5" w:rsidRDefault="00157C9E" w:rsidP="00A41668">
      <w:pPr>
        <w:rPr>
          <w:sz w:val="22"/>
        </w:rPr>
      </w:pPr>
    </w:p>
    <w:p w14:paraId="2781070F" w14:textId="77777777" w:rsidR="00575F5E" w:rsidRPr="005138D5" w:rsidRDefault="00575F5E" w:rsidP="00277FE6">
      <w:pPr>
        <w:numPr>
          <w:ilvl w:val="0"/>
          <w:numId w:val="58"/>
        </w:numPr>
        <w:ind w:left="567" w:hanging="567"/>
        <w:rPr>
          <w:sz w:val="22"/>
        </w:rPr>
      </w:pPr>
      <w:r w:rsidRPr="005138D5">
        <w:rPr>
          <w:sz w:val="22"/>
        </w:rPr>
        <w:t>warfaryna i inne leki przeciwzakrzepowe (np. fenprokumon, acenokumarol; stosowane do zmniejszenia krzepliwości krwi),</w:t>
      </w:r>
    </w:p>
    <w:p w14:paraId="1BF88F89" w14:textId="77777777" w:rsidR="00575F5E" w:rsidRPr="005138D5" w:rsidRDefault="00575F5E" w:rsidP="00277FE6">
      <w:pPr>
        <w:numPr>
          <w:ilvl w:val="0"/>
          <w:numId w:val="58"/>
        </w:numPr>
        <w:ind w:left="567" w:hanging="567"/>
        <w:rPr>
          <w:sz w:val="22"/>
        </w:rPr>
      </w:pPr>
      <w:r w:rsidRPr="005138D5">
        <w:rPr>
          <w:sz w:val="22"/>
        </w:rPr>
        <w:t>cyklosporyna (stosowana po przeszczepieniu narządu),</w:t>
      </w:r>
    </w:p>
    <w:p w14:paraId="29A74061" w14:textId="77777777" w:rsidR="00575F5E" w:rsidRPr="005138D5" w:rsidRDefault="00575F5E" w:rsidP="00277FE6">
      <w:pPr>
        <w:numPr>
          <w:ilvl w:val="0"/>
          <w:numId w:val="58"/>
        </w:numPr>
        <w:ind w:left="567" w:hanging="567"/>
        <w:rPr>
          <w:sz w:val="22"/>
        </w:rPr>
      </w:pPr>
      <w:r w:rsidRPr="005138D5">
        <w:rPr>
          <w:sz w:val="22"/>
        </w:rPr>
        <w:t>takrolimus (stosowany po przeszczepieniu narządu),</w:t>
      </w:r>
    </w:p>
    <w:p w14:paraId="105D9944" w14:textId="77777777" w:rsidR="00575F5E" w:rsidRPr="005138D5" w:rsidRDefault="00575F5E" w:rsidP="00277FE6">
      <w:pPr>
        <w:numPr>
          <w:ilvl w:val="0"/>
          <w:numId w:val="58"/>
        </w:numPr>
        <w:ind w:left="567" w:hanging="567"/>
        <w:rPr>
          <w:sz w:val="22"/>
        </w:rPr>
      </w:pPr>
      <w:r w:rsidRPr="005138D5">
        <w:rPr>
          <w:sz w:val="22"/>
        </w:rPr>
        <w:t>pochodne sulfonylomocznika, np. tolbutamid, glipizyd i gliburyd (stosowane w cukrzycy),</w:t>
      </w:r>
    </w:p>
    <w:p w14:paraId="71CD78E0" w14:textId="77777777" w:rsidR="00575F5E" w:rsidRPr="005138D5" w:rsidRDefault="00575F5E" w:rsidP="00277FE6">
      <w:pPr>
        <w:numPr>
          <w:ilvl w:val="0"/>
          <w:numId w:val="58"/>
        </w:numPr>
        <w:ind w:left="567" w:hanging="567"/>
        <w:rPr>
          <w:sz w:val="22"/>
        </w:rPr>
      </w:pPr>
      <w:r w:rsidRPr="005138D5">
        <w:rPr>
          <w:sz w:val="22"/>
        </w:rPr>
        <w:t xml:space="preserve">statyny, np. atorwastatyna, </w:t>
      </w:r>
      <w:r w:rsidR="005D67D9" w:rsidRPr="005138D5">
        <w:rPr>
          <w:sz w:val="22"/>
        </w:rPr>
        <w:t xml:space="preserve">symwastatyna </w:t>
      </w:r>
      <w:r w:rsidRPr="005138D5">
        <w:rPr>
          <w:sz w:val="22"/>
        </w:rPr>
        <w:t>(stosowane w celu zmniejszenia stężenia cholesterolu),</w:t>
      </w:r>
    </w:p>
    <w:p w14:paraId="72A32BE6" w14:textId="77777777" w:rsidR="00575F5E" w:rsidRPr="005138D5" w:rsidRDefault="00575F5E" w:rsidP="00277FE6">
      <w:pPr>
        <w:numPr>
          <w:ilvl w:val="0"/>
          <w:numId w:val="58"/>
        </w:numPr>
        <w:ind w:left="567" w:hanging="567"/>
        <w:rPr>
          <w:sz w:val="22"/>
        </w:rPr>
      </w:pPr>
      <w:r w:rsidRPr="005138D5">
        <w:rPr>
          <w:sz w:val="22"/>
        </w:rPr>
        <w:t>benzodiazepiny, np. midazolam, triazolam (stosowane w ciężkiej bezsenności i stresie),</w:t>
      </w:r>
    </w:p>
    <w:p w14:paraId="78D80093" w14:textId="77777777" w:rsidR="00575F5E" w:rsidRPr="005138D5" w:rsidRDefault="00575F5E" w:rsidP="00277FE6">
      <w:pPr>
        <w:numPr>
          <w:ilvl w:val="0"/>
          <w:numId w:val="58"/>
        </w:numPr>
        <w:ind w:left="567" w:hanging="567"/>
        <w:rPr>
          <w:sz w:val="22"/>
        </w:rPr>
      </w:pPr>
      <w:r w:rsidRPr="005138D5">
        <w:rPr>
          <w:sz w:val="22"/>
        </w:rPr>
        <w:t>omeprazol (stosowany w leczeniu wrzodów),</w:t>
      </w:r>
    </w:p>
    <w:p w14:paraId="119B0882" w14:textId="77777777" w:rsidR="00575F5E" w:rsidRPr="005138D5" w:rsidRDefault="00575F5E" w:rsidP="00277FE6">
      <w:pPr>
        <w:numPr>
          <w:ilvl w:val="0"/>
          <w:numId w:val="58"/>
        </w:numPr>
        <w:ind w:left="567" w:hanging="567"/>
        <w:rPr>
          <w:sz w:val="22"/>
        </w:rPr>
      </w:pPr>
      <w:r w:rsidRPr="005138D5">
        <w:rPr>
          <w:sz w:val="22"/>
        </w:rPr>
        <w:t xml:space="preserve">doustne środki antykoncepcyjne (jeśli lek </w:t>
      </w:r>
      <w:r w:rsidR="00261874" w:rsidRPr="005138D5">
        <w:rPr>
          <w:sz w:val="22"/>
        </w:rPr>
        <w:t>Voriconazole Accord</w:t>
      </w:r>
      <w:r w:rsidR="00261874" w:rsidRPr="005138D5" w:rsidDel="00261874">
        <w:rPr>
          <w:sz w:val="22"/>
        </w:rPr>
        <w:t xml:space="preserve"> </w:t>
      </w:r>
      <w:r w:rsidRPr="005138D5">
        <w:rPr>
          <w:sz w:val="22"/>
        </w:rPr>
        <w:t>stosowany jest jednocześnie z doustnymi środkami antykoncepcyjnymi</w:t>
      </w:r>
      <w:r w:rsidR="00B55E5E" w:rsidRPr="005138D5">
        <w:rPr>
          <w:sz w:val="22"/>
        </w:rPr>
        <w:t>,</w:t>
      </w:r>
      <w:r w:rsidRPr="005138D5">
        <w:rPr>
          <w:sz w:val="22"/>
        </w:rPr>
        <w:t xml:space="preserve"> mogą wystąpić działania niepożądane takie jak: nudności, zaburzenia miesiączkowania),</w:t>
      </w:r>
    </w:p>
    <w:p w14:paraId="03A21582" w14:textId="77777777" w:rsidR="00575F5E" w:rsidRDefault="00575F5E" w:rsidP="00277FE6">
      <w:pPr>
        <w:numPr>
          <w:ilvl w:val="0"/>
          <w:numId w:val="58"/>
        </w:numPr>
        <w:ind w:left="567" w:hanging="567"/>
        <w:rPr>
          <w:sz w:val="22"/>
        </w:rPr>
      </w:pPr>
      <w:r w:rsidRPr="005138D5">
        <w:rPr>
          <w:sz w:val="22"/>
        </w:rPr>
        <w:t xml:space="preserve">alkaloidy barwinka (Vinca), np. winkrystyna i winblastyna (stosowane w </w:t>
      </w:r>
      <w:r w:rsidR="00C57B4E" w:rsidRPr="005138D5">
        <w:rPr>
          <w:sz w:val="22"/>
        </w:rPr>
        <w:t>leczeniu nowotworów</w:t>
      </w:r>
      <w:r w:rsidRPr="005138D5">
        <w:rPr>
          <w:sz w:val="22"/>
        </w:rPr>
        <w:t>),</w:t>
      </w:r>
    </w:p>
    <w:p w14:paraId="7C1FCB21" w14:textId="77777777" w:rsidR="00C44C86" w:rsidRDefault="00C44C86" w:rsidP="00277FE6">
      <w:pPr>
        <w:numPr>
          <w:ilvl w:val="0"/>
          <w:numId w:val="58"/>
        </w:numPr>
        <w:ind w:left="567" w:hanging="567"/>
        <w:rPr>
          <w:sz w:val="22"/>
        </w:rPr>
      </w:pPr>
      <w:r w:rsidRPr="00C44C86">
        <w:rPr>
          <w:sz w:val="22"/>
        </w:rPr>
        <w:t>inhibitory kinazy tyrozynowej (np. aksytynib, bosutynib, kabozantynib, cerytynib, kobimetynib, dabrafenib, dazatynib, nilotynib, sunitynib, ibrutynib, rybocyklib) (stosowane w leczeniu nowotworów)</w:t>
      </w:r>
      <w:r>
        <w:rPr>
          <w:sz w:val="22"/>
        </w:rPr>
        <w:t>,</w:t>
      </w:r>
    </w:p>
    <w:p w14:paraId="6AC0A5F3" w14:textId="77777777" w:rsidR="00C44C86" w:rsidRPr="00C44C86" w:rsidRDefault="00C44C86" w:rsidP="00277FE6">
      <w:pPr>
        <w:numPr>
          <w:ilvl w:val="0"/>
          <w:numId w:val="58"/>
        </w:numPr>
        <w:ind w:left="567" w:hanging="567"/>
        <w:rPr>
          <w:sz w:val="22"/>
        </w:rPr>
      </w:pPr>
      <w:r w:rsidRPr="00C44C86">
        <w:rPr>
          <w:sz w:val="22"/>
        </w:rPr>
        <w:t>tretynoina (stosowana w leczeniu białaczki),</w:t>
      </w:r>
    </w:p>
    <w:p w14:paraId="7BAB49F1" w14:textId="77777777" w:rsidR="00575F5E" w:rsidRPr="005138D5" w:rsidRDefault="00575F5E" w:rsidP="00277FE6">
      <w:pPr>
        <w:numPr>
          <w:ilvl w:val="0"/>
          <w:numId w:val="58"/>
        </w:numPr>
        <w:ind w:left="567" w:hanging="567"/>
        <w:rPr>
          <w:sz w:val="22"/>
        </w:rPr>
      </w:pPr>
      <w:r w:rsidRPr="005138D5">
        <w:rPr>
          <w:sz w:val="22"/>
        </w:rPr>
        <w:t>indynawir i inne inhibitory proteaz HIV (stosowane w leczeniu HIV),</w:t>
      </w:r>
    </w:p>
    <w:p w14:paraId="7540AD9D" w14:textId="77777777" w:rsidR="00575F5E" w:rsidRPr="005138D5" w:rsidRDefault="00575F5E" w:rsidP="00277FE6">
      <w:pPr>
        <w:numPr>
          <w:ilvl w:val="0"/>
          <w:numId w:val="58"/>
        </w:numPr>
        <w:ind w:left="567" w:hanging="567"/>
        <w:rPr>
          <w:sz w:val="22"/>
        </w:rPr>
      </w:pPr>
      <w:r w:rsidRPr="005138D5">
        <w:rPr>
          <w:sz w:val="22"/>
        </w:rPr>
        <w:t xml:space="preserve">nienukleozydowe inhibitory odwrotnej transkryptazy </w:t>
      </w:r>
      <w:r w:rsidR="00C57B4E" w:rsidRPr="005138D5">
        <w:rPr>
          <w:sz w:val="22"/>
        </w:rPr>
        <w:t>(</w:t>
      </w:r>
      <w:r w:rsidRPr="005138D5">
        <w:rPr>
          <w:sz w:val="22"/>
        </w:rPr>
        <w:t>np. efawirenz, delawirdyna, newirapina</w:t>
      </w:r>
      <w:r w:rsidR="00C57B4E" w:rsidRPr="005138D5">
        <w:rPr>
          <w:sz w:val="22"/>
        </w:rPr>
        <w:t>)</w:t>
      </w:r>
      <w:r w:rsidRPr="005138D5">
        <w:rPr>
          <w:sz w:val="22"/>
        </w:rPr>
        <w:t xml:space="preserve"> (stosowane w leczeniu HIV),</w:t>
      </w:r>
      <w:r w:rsidR="00D53F78" w:rsidRPr="005138D5">
        <w:rPr>
          <w:sz w:val="22"/>
        </w:rPr>
        <w:t xml:space="preserve"> (niektórych dawek efawirenzu NIE wolno stosować jednocześnie z lekiem </w:t>
      </w:r>
      <w:r w:rsidR="00261874" w:rsidRPr="005138D5">
        <w:rPr>
          <w:sz w:val="22"/>
        </w:rPr>
        <w:t>Voriconazole Accord</w:t>
      </w:r>
      <w:r w:rsidR="00D53F78" w:rsidRPr="005138D5">
        <w:rPr>
          <w:sz w:val="22"/>
        </w:rPr>
        <w:t>),</w:t>
      </w:r>
    </w:p>
    <w:p w14:paraId="4D516508" w14:textId="77777777" w:rsidR="00575F5E" w:rsidRPr="005138D5" w:rsidRDefault="00575F5E" w:rsidP="00277FE6">
      <w:pPr>
        <w:numPr>
          <w:ilvl w:val="0"/>
          <w:numId w:val="58"/>
        </w:numPr>
        <w:ind w:left="567" w:hanging="567"/>
        <w:rPr>
          <w:sz w:val="22"/>
        </w:rPr>
      </w:pPr>
      <w:r w:rsidRPr="005138D5">
        <w:rPr>
          <w:sz w:val="22"/>
        </w:rPr>
        <w:t>metadon (stosowany w leczeniu uzależnienia od heroiny)</w:t>
      </w:r>
      <w:r w:rsidR="00190C59" w:rsidRPr="005138D5">
        <w:rPr>
          <w:sz w:val="22"/>
        </w:rPr>
        <w:t>,</w:t>
      </w:r>
    </w:p>
    <w:p w14:paraId="469DCDA1" w14:textId="77777777" w:rsidR="000710D0" w:rsidRPr="005138D5" w:rsidRDefault="000710D0" w:rsidP="00277FE6">
      <w:pPr>
        <w:numPr>
          <w:ilvl w:val="0"/>
          <w:numId w:val="58"/>
        </w:numPr>
        <w:ind w:left="567" w:hanging="567"/>
        <w:rPr>
          <w:sz w:val="22"/>
        </w:rPr>
      </w:pPr>
      <w:r w:rsidRPr="005138D5">
        <w:rPr>
          <w:sz w:val="22"/>
        </w:rPr>
        <w:t>alfentanyl, fentanyl i inne krótko działające</w:t>
      </w:r>
      <w:r w:rsidR="009E720E" w:rsidRPr="005138D5">
        <w:rPr>
          <w:sz w:val="22"/>
        </w:rPr>
        <w:t xml:space="preserve"> opioidy</w:t>
      </w:r>
      <w:r w:rsidRPr="005138D5">
        <w:rPr>
          <w:sz w:val="22"/>
        </w:rPr>
        <w:t>, takie jak sulfentanyl (leki przeciwbólowe stosowane podczas zabiegów chirurgicznych),</w:t>
      </w:r>
    </w:p>
    <w:p w14:paraId="2EE67EA5" w14:textId="77777777" w:rsidR="000710D0" w:rsidRPr="005138D5" w:rsidRDefault="009A0301" w:rsidP="00277FE6">
      <w:pPr>
        <w:numPr>
          <w:ilvl w:val="0"/>
          <w:numId w:val="58"/>
        </w:numPr>
        <w:ind w:left="567" w:hanging="567"/>
        <w:rPr>
          <w:sz w:val="22"/>
        </w:rPr>
      </w:pPr>
      <w:r w:rsidRPr="005138D5">
        <w:rPr>
          <w:sz w:val="22"/>
        </w:rPr>
        <w:t>o</w:t>
      </w:r>
      <w:r w:rsidR="000710D0" w:rsidRPr="005138D5">
        <w:rPr>
          <w:sz w:val="22"/>
        </w:rPr>
        <w:t xml:space="preserve">ksykodon oraz inne długo działające </w:t>
      </w:r>
      <w:r w:rsidR="003D6750" w:rsidRPr="005138D5">
        <w:rPr>
          <w:sz w:val="22"/>
        </w:rPr>
        <w:t xml:space="preserve">opioidy, </w:t>
      </w:r>
      <w:r w:rsidR="000710D0" w:rsidRPr="005138D5">
        <w:rPr>
          <w:sz w:val="22"/>
        </w:rPr>
        <w:t>takie jak hydrokodon (stosowane w umiarkowanym lub silnym bólu),</w:t>
      </w:r>
    </w:p>
    <w:p w14:paraId="5B953BA8" w14:textId="77777777" w:rsidR="000710D0" w:rsidRPr="005138D5" w:rsidRDefault="000710D0" w:rsidP="00277FE6">
      <w:pPr>
        <w:numPr>
          <w:ilvl w:val="0"/>
          <w:numId w:val="58"/>
        </w:numPr>
        <w:ind w:left="567" w:hanging="567"/>
        <w:rPr>
          <w:sz w:val="22"/>
        </w:rPr>
      </w:pPr>
      <w:r w:rsidRPr="005138D5">
        <w:rPr>
          <w:sz w:val="22"/>
        </w:rPr>
        <w:t>niesteroidowe leki przeciwzapalne, np. ibuprofen, diklofenak (stosowane w leczeniu bólu i stanów zapalnych)</w:t>
      </w:r>
      <w:r w:rsidR="00F33546" w:rsidRPr="005138D5">
        <w:rPr>
          <w:sz w:val="22"/>
        </w:rPr>
        <w:t>,</w:t>
      </w:r>
    </w:p>
    <w:p w14:paraId="071E9352" w14:textId="77777777" w:rsidR="000710D0" w:rsidRPr="005138D5" w:rsidRDefault="009C0E4D" w:rsidP="00277FE6">
      <w:pPr>
        <w:numPr>
          <w:ilvl w:val="0"/>
          <w:numId w:val="58"/>
        </w:numPr>
        <w:ind w:left="567" w:hanging="567"/>
        <w:rPr>
          <w:sz w:val="22"/>
        </w:rPr>
      </w:pPr>
      <w:r w:rsidRPr="005138D5">
        <w:rPr>
          <w:sz w:val="22"/>
        </w:rPr>
        <w:t>f</w:t>
      </w:r>
      <w:r w:rsidR="000710D0" w:rsidRPr="005138D5">
        <w:rPr>
          <w:sz w:val="22"/>
        </w:rPr>
        <w:t xml:space="preserve">lukonazol (stosowany w </w:t>
      </w:r>
      <w:r w:rsidR="00CB3DF7" w:rsidRPr="005138D5">
        <w:rPr>
          <w:sz w:val="22"/>
        </w:rPr>
        <w:t xml:space="preserve">zakażeniach </w:t>
      </w:r>
      <w:r w:rsidR="000710D0" w:rsidRPr="005138D5">
        <w:rPr>
          <w:sz w:val="22"/>
        </w:rPr>
        <w:t>grzybiczych</w:t>
      </w:r>
      <w:r w:rsidR="00321A9E" w:rsidRPr="005138D5">
        <w:rPr>
          <w:sz w:val="22"/>
        </w:rPr>
        <w:t>),</w:t>
      </w:r>
    </w:p>
    <w:p w14:paraId="3B066ADC" w14:textId="77777777" w:rsidR="002F6C6E" w:rsidRDefault="002F6C6E" w:rsidP="00277FE6">
      <w:pPr>
        <w:numPr>
          <w:ilvl w:val="0"/>
          <w:numId w:val="58"/>
        </w:numPr>
        <w:ind w:left="567" w:hanging="567"/>
        <w:rPr>
          <w:sz w:val="22"/>
        </w:rPr>
      </w:pPr>
      <w:r w:rsidRPr="005138D5">
        <w:rPr>
          <w:sz w:val="22"/>
        </w:rPr>
        <w:t>ewerolimus (stosowany w leczeniu zaawansowanego raka nerki oraz u pacjentów po przeszczepach)</w:t>
      </w:r>
      <w:r w:rsidR="006D183D" w:rsidRPr="005138D5">
        <w:rPr>
          <w:sz w:val="22"/>
        </w:rPr>
        <w:t>.</w:t>
      </w:r>
    </w:p>
    <w:p w14:paraId="003E4B00" w14:textId="77777777" w:rsidR="00C40463" w:rsidRDefault="00C40463" w:rsidP="00C40463">
      <w:pPr>
        <w:numPr>
          <w:ilvl w:val="0"/>
          <w:numId w:val="58"/>
        </w:numPr>
        <w:ind w:left="567" w:hanging="567"/>
        <w:rPr>
          <w:sz w:val="22"/>
        </w:rPr>
      </w:pPr>
      <w:r w:rsidRPr="00C40463">
        <w:rPr>
          <w:sz w:val="22"/>
        </w:rPr>
        <w:t xml:space="preserve">letermowir [stosowany w zapobieganiu chorobie wywołanej cytomegalowirusem (CMV) po przeszczepieniu szpiku kostnego], </w:t>
      </w:r>
    </w:p>
    <w:p w14:paraId="7A3D1DF3" w14:textId="79771B99" w:rsidR="004E5AF3" w:rsidRDefault="00C40463" w:rsidP="004E5AF3">
      <w:pPr>
        <w:rPr>
          <w:sz w:val="22"/>
        </w:rPr>
      </w:pPr>
      <w:bookmarkStart w:id="16" w:name="_Hlk133916715"/>
      <w:r w:rsidRPr="00C40463">
        <w:rPr>
          <w:sz w:val="22"/>
        </w:rPr>
        <w:sym w:font="Symbol" w:char="F0B7"/>
      </w:r>
      <w:bookmarkEnd w:id="16"/>
      <w:r w:rsidRPr="00D022C1">
        <w:rPr>
          <w:sz w:val="22"/>
        </w:rPr>
        <w:tab/>
        <w:t>iwakaftor: stosowany w leczeniu mukowiscydozy</w:t>
      </w:r>
      <w:r w:rsidR="004E5AF3">
        <w:rPr>
          <w:sz w:val="22"/>
        </w:rPr>
        <w:t>,</w:t>
      </w:r>
    </w:p>
    <w:p w14:paraId="2E0E3994" w14:textId="7F722A56" w:rsidR="004E5AF3" w:rsidRPr="004E5AF3" w:rsidRDefault="004E5AF3" w:rsidP="004E5AF3">
      <w:pPr>
        <w:pStyle w:val="Akapitzlist"/>
        <w:numPr>
          <w:ilvl w:val="0"/>
          <w:numId w:val="87"/>
        </w:numPr>
        <w:rPr>
          <w:sz w:val="22"/>
        </w:rPr>
      </w:pPr>
      <w:r w:rsidRPr="004E5AF3">
        <w:rPr>
          <w:sz w:val="22"/>
        </w:rPr>
        <w:t>flukloksacylina (antybiotyk stosowany w leczeniu zakażeń bakteryjnych)</w:t>
      </w:r>
      <w:r>
        <w:rPr>
          <w:sz w:val="22"/>
        </w:rPr>
        <w:t>.</w:t>
      </w:r>
    </w:p>
    <w:p w14:paraId="71E9E2C5" w14:textId="77777777" w:rsidR="00575F5E" w:rsidRPr="005138D5" w:rsidRDefault="00575F5E" w:rsidP="00A41668">
      <w:pPr>
        <w:ind w:left="360"/>
        <w:rPr>
          <w:sz w:val="22"/>
          <w:u w:val="single"/>
        </w:rPr>
      </w:pPr>
    </w:p>
    <w:p w14:paraId="34AD9D13" w14:textId="77777777" w:rsidR="00575F5E" w:rsidRPr="005138D5" w:rsidRDefault="00575F5E" w:rsidP="00A41668">
      <w:pPr>
        <w:rPr>
          <w:b/>
          <w:bCs/>
          <w:sz w:val="22"/>
        </w:rPr>
      </w:pPr>
      <w:r w:rsidRPr="005138D5">
        <w:rPr>
          <w:b/>
          <w:bCs/>
          <w:sz w:val="22"/>
        </w:rPr>
        <w:t>Ciąża i karmienie piersią</w:t>
      </w:r>
    </w:p>
    <w:p w14:paraId="036F9EF9" w14:textId="77777777" w:rsidR="00575F5E" w:rsidRPr="005138D5" w:rsidRDefault="00575F5E" w:rsidP="00A41668">
      <w:pPr>
        <w:rPr>
          <w:sz w:val="22"/>
        </w:rPr>
      </w:pPr>
      <w:r w:rsidRPr="005138D5">
        <w:rPr>
          <w:sz w:val="22"/>
        </w:rPr>
        <w:t xml:space="preserve">Nie wolno stosować leku </w:t>
      </w:r>
      <w:r w:rsidR="00261874" w:rsidRPr="005138D5">
        <w:rPr>
          <w:sz w:val="22"/>
        </w:rPr>
        <w:t>Voriconazole Accord</w:t>
      </w:r>
      <w:r w:rsidR="00261874" w:rsidRPr="005138D5" w:rsidDel="00261874">
        <w:rPr>
          <w:sz w:val="22"/>
        </w:rPr>
        <w:t xml:space="preserve"> </w:t>
      </w:r>
      <w:r w:rsidRPr="005138D5">
        <w:rPr>
          <w:sz w:val="22"/>
        </w:rPr>
        <w:t xml:space="preserve">w okresie ciąży, chyba że lekarz zdecyduje inaczej. Podczas leczenia lekiem </w:t>
      </w:r>
      <w:r w:rsidR="000F6BF1" w:rsidRPr="005138D5">
        <w:rPr>
          <w:sz w:val="22"/>
        </w:rPr>
        <w:t>Voriconazole Accord</w:t>
      </w:r>
      <w:r w:rsidR="000F6BF1" w:rsidRPr="005138D5" w:rsidDel="000F6BF1">
        <w:rPr>
          <w:sz w:val="22"/>
        </w:rPr>
        <w:t xml:space="preserve"> </w:t>
      </w:r>
      <w:r w:rsidRPr="005138D5">
        <w:rPr>
          <w:sz w:val="22"/>
        </w:rPr>
        <w:t xml:space="preserve">kobiety w wieku rozrodczym muszą stosować skuteczną antykoncepcję. W przypadku zajścia w ciążę w trakcie terapii lekiem </w:t>
      </w:r>
      <w:r w:rsidR="00261874" w:rsidRPr="005138D5">
        <w:rPr>
          <w:sz w:val="22"/>
        </w:rPr>
        <w:t>Voriconazole Accord</w:t>
      </w:r>
      <w:r w:rsidRPr="005138D5">
        <w:rPr>
          <w:sz w:val="22"/>
        </w:rPr>
        <w:t>, należy niezwłocznie skontaktować się z lekarzem.</w:t>
      </w:r>
    </w:p>
    <w:p w14:paraId="6C326B5B" w14:textId="77777777" w:rsidR="00575F5E" w:rsidRPr="005138D5" w:rsidRDefault="00575F5E" w:rsidP="00A41668">
      <w:pPr>
        <w:pStyle w:val="Tekstpodstawowy"/>
        <w:rPr>
          <w:rFonts w:ascii="Times New Roman" w:hAnsi="Times New Roman"/>
          <w:b/>
          <w:bCs/>
        </w:rPr>
      </w:pPr>
    </w:p>
    <w:p w14:paraId="654D6509" w14:textId="77777777" w:rsidR="00431A41" w:rsidRPr="005138D5" w:rsidRDefault="00BB48E2" w:rsidP="00A41668">
      <w:pPr>
        <w:rPr>
          <w:sz w:val="22"/>
        </w:rPr>
      </w:pPr>
      <w:r w:rsidRPr="005138D5">
        <w:rPr>
          <w:sz w:val="22"/>
        </w:rPr>
        <w:t>Jeśli pacjentka jest w ciąży lub karmi piersią, przypuszcza, że może być w ciąży lub gdy planuje mieć dziecko, powinna poradzić się lekarza lub farmaceuty przed zastosowaniem tego leku.</w:t>
      </w:r>
    </w:p>
    <w:p w14:paraId="652A0886" w14:textId="77777777" w:rsidR="00E97BF2" w:rsidRPr="005138D5" w:rsidRDefault="00E97BF2" w:rsidP="00A41668">
      <w:pPr>
        <w:rPr>
          <w:sz w:val="22"/>
        </w:rPr>
      </w:pPr>
    </w:p>
    <w:p w14:paraId="1895D8FE" w14:textId="77777777" w:rsidR="00575F5E" w:rsidRPr="005138D5" w:rsidRDefault="00575F5E" w:rsidP="00A41668">
      <w:pPr>
        <w:rPr>
          <w:b/>
          <w:bCs/>
          <w:sz w:val="22"/>
        </w:rPr>
      </w:pPr>
      <w:r w:rsidRPr="005138D5">
        <w:rPr>
          <w:b/>
          <w:bCs/>
          <w:sz w:val="22"/>
        </w:rPr>
        <w:t>Prowadzenie pojazdów i obsług</w:t>
      </w:r>
      <w:r w:rsidR="009B2538" w:rsidRPr="005138D5">
        <w:rPr>
          <w:b/>
          <w:bCs/>
          <w:sz w:val="22"/>
        </w:rPr>
        <w:t xml:space="preserve">iwanie </w:t>
      </w:r>
      <w:r w:rsidRPr="005138D5">
        <w:rPr>
          <w:b/>
          <w:bCs/>
          <w:sz w:val="22"/>
        </w:rPr>
        <w:t>maszyn</w:t>
      </w:r>
    </w:p>
    <w:p w14:paraId="47B259B8" w14:textId="77777777" w:rsidR="00575F5E" w:rsidRPr="005138D5" w:rsidRDefault="00261874" w:rsidP="00A41668">
      <w:pPr>
        <w:rPr>
          <w:sz w:val="22"/>
        </w:rPr>
      </w:pPr>
      <w:r w:rsidRPr="005138D5">
        <w:rPr>
          <w:sz w:val="22"/>
        </w:rPr>
        <w:t>Voriconazole Accord</w:t>
      </w:r>
      <w:r w:rsidRPr="005138D5" w:rsidDel="00261874">
        <w:rPr>
          <w:sz w:val="22"/>
        </w:rPr>
        <w:t xml:space="preserve"> </w:t>
      </w:r>
      <w:r w:rsidR="00575F5E" w:rsidRPr="005138D5">
        <w:rPr>
          <w:sz w:val="22"/>
        </w:rPr>
        <w:t>może wywoływać zaburzenia widzenia oraz nieprawidłową reakcję na światło. W takich przypadkach należy unikać prowadzenia pojazdów oraz obsługi</w:t>
      </w:r>
      <w:r w:rsidR="00C57B4E" w:rsidRPr="005138D5">
        <w:rPr>
          <w:sz w:val="22"/>
        </w:rPr>
        <w:t>wania</w:t>
      </w:r>
      <w:r w:rsidR="00575F5E" w:rsidRPr="005138D5">
        <w:rPr>
          <w:sz w:val="22"/>
        </w:rPr>
        <w:t xml:space="preserve"> </w:t>
      </w:r>
      <w:r w:rsidR="00C57B4E" w:rsidRPr="005138D5">
        <w:rPr>
          <w:sz w:val="22"/>
        </w:rPr>
        <w:t>maszyn</w:t>
      </w:r>
      <w:r w:rsidR="00575F5E" w:rsidRPr="005138D5">
        <w:rPr>
          <w:sz w:val="22"/>
        </w:rPr>
        <w:t>. Należy skontaktować się z lekarzem w przypadku wystąpienia takich zaburzeń.</w:t>
      </w:r>
    </w:p>
    <w:p w14:paraId="2028D2B2" w14:textId="77777777" w:rsidR="00575F5E" w:rsidRPr="005138D5" w:rsidRDefault="00575F5E" w:rsidP="00A41668">
      <w:pPr>
        <w:rPr>
          <w:sz w:val="22"/>
        </w:rPr>
      </w:pPr>
    </w:p>
    <w:p w14:paraId="5927AAE3" w14:textId="77777777" w:rsidR="00575F5E" w:rsidRPr="005138D5" w:rsidRDefault="00261874" w:rsidP="00A41668">
      <w:pPr>
        <w:rPr>
          <w:b/>
          <w:bCs/>
          <w:sz w:val="22"/>
        </w:rPr>
      </w:pPr>
      <w:r w:rsidRPr="005138D5">
        <w:rPr>
          <w:b/>
          <w:bCs/>
          <w:sz w:val="22"/>
        </w:rPr>
        <w:t>Voriconazole Accord</w:t>
      </w:r>
      <w:r w:rsidRPr="005138D5" w:rsidDel="00261874">
        <w:rPr>
          <w:b/>
          <w:bCs/>
          <w:sz w:val="22"/>
        </w:rPr>
        <w:t xml:space="preserve"> </w:t>
      </w:r>
      <w:r w:rsidR="00051360" w:rsidRPr="005138D5">
        <w:rPr>
          <w:b/>
          <w:bCs/>
          <w:sz w:val="22"/>
        </w:rPr>
        <w:t>zawiera laktozę</w:t>
      </w:r>
    </w:p>
    <w:p w14:paraId="61D3B774" w14:textId="77777777" w:rsidR="00575F5E" w:rsidRDefault="00575F5E" w:rsidP="00A41668">
      <w:pPr>
        <w:rPr>
          <w:bCs/>
          <w:sz w:val="22"/>
        </w:rPr>
      </w:pPr>
      <w:r w:rsidRPr="005138D5">
        <w:rPr>
          <w:bCs/>
          <w:sz w:val="22"/>
        </w:rPr>
        <w:t xml:space="preserve">Jeżeli u pacjenta wcześniej stwierdzono nietolerancję niektórych cukrów, należy przed przyjęciem leku </w:t>
      </w:r>
      <w:r w:rsidR="000F6BF1" w:rsidRPr="005138D5">
        <w:rPr>
          <w:bCs/>
          <w:sz w:val="22"/>
        </w:rPr>
        <w:t>Voriconazole Accord</w:t>
      </w:r>
      <w:r w:rsidR="000F6BF1" w:rsidRPr="005138D5" w:rsidDel="000F6BF1">
        <w:rPr>
          <w:bCs/>
          <w:sz w:val="22"/>
        </w:rPr>
        <w:t xml:space="preserve"> </w:t>
      </w:r>
      <w:r w:rsidRPr="005138D5">
        <w:rPr>
          <w:bCs/>
          <w:sz w:val="22"/>
        </w:rPr>
        <w:t>skontaktować się z lekarzem.</w:t>
      </w:r>
    </w:p>
    <w:p w14:paraId="1231DA0D" w14:textId="77777777" w:rsidR="00C40463" w:rsidRDefault="00C40463" w:rsidP="00A41668">
      <w:pPr>
        <w:rPr>
          <w:bCs/>
          <w:sz w:val="22"/>
        </w:rPr>
      </w:pPr>
    </w:p>
    <w:p w14:paraId="1D86D055" w14:textId="77777777" w:rsidR="00C40463" w:rsidRPr="00C40463" w:rsidRDefault="00C40463" w:rsidP="00A41668">
      <w:pPr>
        <w:rPr>
          <w:b/>
          <w:bCs/>
          <w:sz w:val="22"/>
        </w:rPr>
      </w:pPr>
      <w:r w:rsidRPr="00C40463">
        <w:rPr>
          <w:b/>
          <w:bCs/>
          <w:sz w:val="22"/>
        </w:rPr>
        <w:t xml:space="preserve">Voriconazole Accord zawiera sód </w:t>
      </w:r>
    </w:p>
    <w:p w14:paraId="57F31BC7" w14:textId="77777777" w:rsidR="00C40463" w:rsidRDefault="00C40463" w:rsidP="00A41668">
      <w:pPr>
        <w:rPr>
          <w:sz w:val="22"/>
        </w:rPr>
      </w:pPr>
      <w:r w:rsidRPr="00C40463">
        <w:rPr>
          <w:sz w:val="22"/>
        </w:rPr>
        <w:t xml:space="preserve">Ten lek zawiera mniej niż 1 mmol (23 mg) sodu na tabletkę 50 mg, to znaczy lek uznaje się za „wolny od sodu”. </w:t>
      </w:r>
    </w:p>
    <w:p w14:paraId="247D8566" w14:textId="77777777" w:rsidR="00C40463" w:rsidRPr="00C40463" w:rsidRDefault="00C40463" w:rsidP="00A41668">
      <w:pPr>
        <w:rPr>
          <w:sz w:val="22"/>
        </w:rPr>
      </w:pPr>
    </w:p>
    <w:p w14:paraId="7E73674D" w14:textId="77777777" w:rsidR="00C40463" w:rsidRPr="00C40463" w:rsidRDefault="00C40463" w:rsidP="00A41668">
      <w:pPr>
        <w:rPr>
          <w:bCs/>
          <w:sz w:val="22"/>
        </w:rPr>
      </w:pPr>
      <w:r w:rsidRPr="00C40463">
        <w:rPr>
          <w:sz w:val="22"/>
        </w:rPr>
        <w:t>Ten lek zawiera mniej niż 1 mmol (23 mg) sodu na tabletkę 200 mg, to znaczy lek uznaje się za „wolny od sodu”.</w:t>
      </w:r>
    </w:p>
    <w:p w14:paraId="2C4EFF97" w14:textId="77777777" w:rsidR="00EC1B5B" w:rsidRPr="005138D5" w:rsidRDefault="00EC1B5B" w:rsidP="00277FE6">
      <w:pPr>
        <w:rPr>
          <w:sz w:val="22"/>
        </w:rPr>
      </w:pPr>
    </w:p>
    <w:p w14:paraId="6DB01F31" w14:textId="77777777" w:rsidR="00EC1B5B" w:rsidRPr="005138D5" w:rsidRDefault="00EC1B5B" w:rsidP="00277FE6">
      <w:pPr>
        <w:rPr>
          <w:sz w:val="22"/>
        </w:rPr>
      </w:pPr>
    </w:p>
    <w:p w14:paraId="18A984C1" w14:textId="77777777" w:rsidR="00575F5E" w:rsidRPr="005138D5" w:rsidRDefault="00575F5E" w:rsidP="00277FE6">
      <w:pPr>
        <w:rPr>
          <w:b/>
          <w:sz w:val="22"/>
        </w:rPr>
      </w:pPr>
      <w:r w:rsidRPr="005138D5">
        <w:rPr>
          <w:b/>
          <w:sz w:val="22"/>
        </w:rPr>
        <w:t>3.</w:t>
      </w:r>
      <w:r w:rsidRPr="005138D5">
        <w:rPr>
          <w:b/>
          <w:sz w:val="22"/>
        </w:rPr>
        <w:tab/>
        <w:t>J</w:t>
      </w:r>
      <w:r w:rsidR="00051360" w:rsidRPr="005138D5">
        <w:rPr>
          <w:b/>
          <w:sz w:val="22"/>
        </w:rPr>
        <w:t xml:space="preserve">ak stosować lek </w:t>
      </w:r>
      <w:r w:rsidR="00261874" w:rsidRPr="005138D5">
        <w:rPr>
          <w:b/>
          <w:sz w:val="22"/>
        </w:rPr>
        <w:t>Voriconazole Accord</w:t>
      </w:r>
    </w:p>
    <w:p w14:paraId="3A568D98" w14:textId="77777777" w:rsidR="00575F5E" w:rsidRPr="005138D5" w:rsidRDefault="00575F5E" w:rsidP="00A41668">
      <w:pPr>
        <w:rPr>
          <w:sz w:val="22"/>
        </w:rPr>
      </w:pPr>
    </w:p>
    <w:p w14:paraId="2582E3E0" w14:textId="77777777" w:rsidR="00575F5E" w:rsidRPr="005138D5" w:rsidRDefault="00C57B4E" w:rsidP="00A41668">
      <w:pPr>
        <w:rPr>
          <w:sz w:val="22"/>
        </w:rPr>
      </w:pPr>
      <w:r w:rsidRPr="005138D5">
        <w:rPr>
          <w:sz w:val="22"/>
        </w:rPr>
        <w:t>Ten lek</w:t>
      </w:r>
      <w:r w:rsidR="00575F5E" w:rsidRPr="005138D5">
        <w:rPr>
          <w:sz w:val="22"/>
        </w:rPr>
        <w:t xml:space="preserve"> należy zawsze stosować </w:t>
      </w:r>
      <w:r w:rsidR="0097301F" w:rsidRPr="005138D5">
        <w:rPr>
          <w:sz w:val="22"/>
        </w:rPr>
        <w:t>według</w:t>
      </w:r>
      <w:r w:rsidR="00575F5E" w:rsidRPr="005138D5">
        <w:rPr>
          <w:sz w:val="22"/>
        </w:rPr>
        <w:t xml:space="preserve"> </w:t>
      </w:r>
      <w:r w:rsidR="003405DD" w:rsidRPr="005138D5">
        <w:rPr>
          <w:sz w:val="22"/>
        </w:rPr>
        <w:t xml:space="preserve">zaleceń </w:t>
      </w:r>
      <w:r w:rsidR="00575F5E" w:rsidRPr="005138D5">
        <w:rPr>
          <w:sz w:val="22"/>
        </w:rPr>
        <w:t xml:space="preserve">lekarza. W </w:t>
      </w:r>
      <w:r w:rsidRPr="005138D5">
        <w:rPr>
          <w:sz w:val="22"/>
        </w:rPr>
        <w:t xml:space="preserve">razie </w:t>
      </w:r>
      <w:r w:rsidR="00575F5E" w:rsidRPr="005138D5">
        <w:rPr>
          <w:sz w:val="22"/>
        </w:rPr>
        <w:t xml:space="preserve">wątpliwości należy </w:t>
      </w:r>
      <w:r w:rsidRPr="005138D5">
        <w:rPr>
          <w:sz w:val="22"/>
        </w:rPr>
        <w:t>zw</w:t>
      </w:r>
      <w:r w:rsidR="003405DD" w:rsidRPr="005138D5">
        <w:rPr>
          <w:sz w:val="22"/>
        </w:rPr>
        <w:t>ró</w:t>
      </w:r>
      <w:r w:rsidRPr="005138D5">
        <w:rPr>
          <w:sz w:val="22"/>
        </w:rPr>
        <w:t>cić</w:t>
      </w:r>
      <w:r w:rsidR="00575F5E" w:rsidRPr="005138D5">
        <w:rPr>
          <w:sz w:val="22"/>
        </w:rPr>
        <w:t xml:space="preserve"> się </w:t>
      </w:r>
      <w:r w:rsidRPr="005138D5">
        <w:rPr>
          <w:sz w:val="22"/>
        </w:rPr>
        <w:t xml:space="preserve">do </w:t>
      </w:r>
      <w:r w:rsidR="00575F5E" w:rsidRPr="005138D5">
        <w:rPr>
          <w:sz w:val="22"/>
        </w:rPr>
        <w:t>lekarz</w:t>
      </w:r>
      <w:r w:rsidRPr="005138D5">
        <w:rPr>
          <w:sz w:val="22"/>
        </w:rPr>
        <w:t>a</w:t>
      </w:r>
      <w:r w:rsidR="00575F5E" w:rsidRPr="005138D5">
        <w:rPr>
          <w:sz w:val="22"/>
        </w:rPr>
        <w:t xml:space="preserve"> lub farmaceut</w:t>
      </w:r>
      <w:r w:rsidRPr="005138D5">
        <w:rPr>
          <w:sz w:val="22"/>
        </w:rPr>
        <w:t>y</w:t>
      </w:r>
      <w:r w:rsidR="00575F5E" w:rsidRPr="005138D5">
        <w:rPr>
          <w:sz w:val="22"/>
        </w:rPr>
        <w:t>.</w:t>
      </w:r>
    </w:p>
    <w:p w14:paraId="296CD22E" w14:textId="77777777" w:rsidR="00575F5E" w:rsidRPr="005138D5" w:rsidRDefault="00575F5E" w:rsidP="00A41668">
      <w:pPr>
        <w:rPr>
          <w:sz w:val="22"/>
        </w:rPr>
      </w:pPr>
    </w:p>
    <w:p w14:paraId="4EC80554" w14:textId="77777777" w:rsidR="00575F5E" w:rsidRPr="005138D5" w:rsidRDefault="00575F5E" w:rsidP="00A41668">
      <w:pPr>
        <w:rPr>
          <w:sz w:val="22"/>
        </w:rPr>
      </w:pPr>
      <w:r w:rsidRPr="005138D5">
        <w:rPr>
          <w:sz w:val="22"/>
        </w:rPr>
        <w:t>Lekarz decyduje o dawce leku na podstawie masy ciała i rodzaju zakażenia.</w:t>
      </w:r>
    </w:p>
    <w:p w14:paraId="6A814074" w14:textId="77777777" w:rsidR="00575F5E" w:rsidRPr="005138D5" w:rsidRDefault="00575F5E" w:rsidP="00277FE6">
      <w:pPr>
        <w:rPr>
          <w:sz w:val="22"/>
          <w:u w:val="single"/>
        </w:rPr>
      </w:pPr>
    </w:p>
    <w:p w14:paraId="7B929347" w14:textId="77777777" w:rsidR="00B26438" w:rsidRPr="005138D5" w:rsidRDefault="00575F5E" w:rsidP="00A34468">
      <w:pPr>
        <w:rPr>
          <w:sz w:val="22"/>
        </w:rPr>
      </w:pPr>
      <w:r w:rsidRPr="005138D5">
        <w:rPr>
          <w:sz w:val="22"/>
        </w:rPr>
        <w:t xml:space="preserve">Zwykle </w:t>
      </w:r>
      <w:r w:rsidR="00C2090B" w:rsidRPr="005138D5">
        <w:rPr>
          <w:sz w:val="22"/>
        </w:rPr>
        <w:t xml:space="preserve">zalecane </w:t>
      </w:r>
      <w:r w:rsidRPr="005138D5">
        <w:rPr>
          <w:sz w:val="22"/>
        </w:rPr>
        <w:t xml:space="preserve">dawkowanie u dorosłych (w tym u pacjentów w podeszłym wieku) przedstawiono </w:t>
      </w:r>
    </w:p>
    <w:p w14:paraId="412915A3" w14:textId="77777777" w:rsidR="00575F5E" w:rsidRPr="005138D5" w:rsidRDefault="00575F5E" w:rsidP="00A34468">
      <w:pPr>
        <w:rPr>
          <w:sz w:val="22"/>
        </w:rPr>
      </w:pPr>
      <w:r w:rsidRPr="005138D5">
        <w:rPr>
          <w:sz w:val="22"/>
        </w:rPr>
        <w:t>w poniższej tabeli:</w:t>
      </w:r>
    </w:p>
    <w:p w14:paraId="602FD804" w14:textId="77777777" w:rsidR="00575F5E" w:rsidRPr="005138D5" w:rsidRDefault="00575F5E" w:rsidP="00277FE6">
      <w:pPr>
        <w:rPr>
          <w:sz w:val="22"/>
          <w:u w:val="single"/>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988"/>
        <w:gridCol w:w="2988"/>
        <w:gridCol w:w="2988"/>
      </w:tblGrid>
      <w:tr w:rsidR="00575F5E" w:rsidRPr="005138D5" w14:paraId="4E26A87B" w14:textId="77777777" w:rsidTr="00277FE6">
        <w:tc>
          <w:tcPr>
            <w:tcW w:w="2988" w:type="dxa"/>
            <w:vMerge w:val="restart"/>
            <w:tcBorders>
              <w:top w:val="single" w:sz="12" w:space="0" w:color="auto"/>
              <w:left w:val="single" w:sz="12" w:space="0" w:color="auto"/>
              <w:bottom w:val="single" w:sz="12" w:space="0" w:color="auto"/>
              <w:right w:val="single" w:sz="12" w:space="0" w:color="auto"/>
            </w:tcBorders>
          </w:tcPr>
          <w:p w14:paraId="267F0E6F" w14:textId="77777777" w:rsidR="00575F5E" w:rsidRPr="005138D5" w:rsidRDefault="00575F5E" w:rsidP="00A41668">
            <w:pPr>
              <w:rPr>
                <w:snapToGrid w:val="0"/>
                <w:sz w:val="22"/>
                <w:lang w:eastAsia="en-US"/>
              </w:rPr>
            </w:pPr>
          </w:p>
        </w:tc>
        <w:tc>
          <w:tcPr>
            <w:tcW w:w="5976" w:type="dxa"/>
            <w:gridSpan w:val="2"/>
            <w:tcBorders>
              <w:top w:val="single" w:sz="12" w:space="0" w:color="auto"/>
              <w:left w:val="single" w:sz="12" w:space="0" w:color="auto"/>
              <w:bottom w:val="single" w:sz="12" w:space="0" w:color="auto"/>
              <w:right w:val="single" w:sz="12" w:space="0" w:color="auto"/>
            </w:tcBorders>
          </w:tcPr>
          <w:p w14:paraId="73599143" w14:textId="77777777" w:rsidR="00575F5E" w:rsidRPr="005138D5" w:rsidRDefault="00575F5E" w:rsidP="00816F1C">
            <w:pPr>
              <w:jc w:val="center"/>
              <w:rPr>
                <w:b/>
                <w:bCs/>
                <w:snapToGrid w:val="0"/>
                <w:sz w:val="22"/>
                <w:lang w:eastAsia="en-US"/>
              </w:rPr>
            </w:pPr>
            <w:r w:rsidRPr="005138D5">
              <w:rPr>
                <w:b/>
                <w:bCs/>
                <w:snapToGrid w:val="0"/>
                <w:sz w:val="22"/>
                <w:lang w:eastAsia="en-US"/>
              </w:rPr>
              <w:t>Tabletki</w:t>
            </w:r>
          </w:p>
        </w:tc>
      </w:tr>
      <w:tr w:rsidR="00575F5E" w:rsidRPr="005138D5" w14:paraId="666F1B3B" w14:textId="77777777" w:rsidTr="00277FE6">
        <w:tc>
          <w:tcPr>
            <w:tcW w:w="2988" w:type="dxa"/>
            <w:vMerge/>
            <w:tcBorders>
              <w:top w:val="single" w:sz="12" w:space="0" w:color="auto"/>
              <w:left w:val="single" w:sz="12" w:space="0" w:color="auto"/>
              <w:bottom w:val="single" w:sz="12" w:space="0" w:color="auto"/>
              <w:right w:val="single" w:sz="12" w:space="0" w:color="auto"/>
            </w:tcBorders>
          </w:tcPr>
          <w:p w14:paraId="3C1A5B50" w14:textId="77777777" w:rsidR="00575F5E" w:rsidRPr="005138D5" w:rsidRDefault="00575F5E" w:rsidP="00A41668">
            <w:pPr>
              <w:rPr>
                <w:snapToGrid w:val="0"/>
                <w:sz w:val="22"/>
                <w:lang w:eastAsia="en-US"/>
              </w:rPr>
            </w:pPr>
          </w:p>
        </w:tc>
        <w:tc>
          <w:tcPr>
            <w:tcW w:w="2988" w:type="dxa"/>
            <w:tcBorders>
              <w:top w:val="single" w:sz="12" w:space="0" w:color="auto"/>
              <w:left w:val="single" w:sz="12" w:space="0" w:color="auto"/>
              <w:bottom w:val="single" w:sz="12" w:space="0" w:color="auto"/>
              <w:right w:val="single" w:sz="12" w:space="0" w:color="auto"/>
            </w:tcBorders>
          </w:tcPr>
          <w:p w14:paraId="5A2DE3BA" w14:textId="77777777" w:rsidR="00575F5E" w:rsidRPr="005138D5" w:rsidRDefault="00575F5E" w:rsidP="00A41668">
            <w:pPr>
              <w:rPr>
                <w:bCs/>
                <w:snapToGrid w:val="0"/>
                <w:sz w:val="22"/>
                <w:lang w:eastAsia="en-US"/>
              </w:rPr>
            </w:pPr>
            <w:r w:rsidRPr="005138D5">
              <w:rPr>
                <w:bCs/>
                <w:snapToGrid w:val="0"/>
                <w:sz w:val="22"/>
                <w:lang w:eastAsia="en-US"/>
              </w:rPr>
              <w:t xml:space="preserve">Pacjenci o masie ciała </w:t>
            </w:r>
            <w:smartTag w:uri="urn:schemas-microsoft-com:office:smarttags" w:element="metricconverter">
              <w:smartTagPr>
                <w:attr w:name="ProductID" w:val="40 kg"/>
              </w:smartTagPr>
              <w:r w:rsidRPr="005138D5">
                <w:rPr>
                  <w:bCs/>
                  <w:snapToGrid w:val="0"/>
                  <w:sz w:val="22"/>
                  <w:lang w:eastAsia="en-US"/>
                </w:rPr>
                <w:t>40 kg</w:t>
              </w:r>
            </w:smartTag>
            <w:r w:rsidRPr="005138D5">
              <w:rPr>
                <w:bCs/>
                <w:snapToGrid w:val="0"/>
                <w:sz w:val="22"/>
                <w:lang w:eastAsia="en-US"/>
              </w:rPr>
              <w:t xml:space="preserve"> i większej</w:t>
            </w:r>
          </w:p>
        </w:tc>
        <w:tc>
          <w:tcPr>
            <w:tcW w:w="2988" w:type="dxa"/>
            <w:tcBorders>
              <w:top w:val="single" w:sz="12" w:space="0" w:color="auto"/>
              <w:left w:val="single" w:sz="12" w:space="0" w:color="auto"/>
              <w:bottom w:val="single" w:sz="12" w:space="0" w:color="auto"/>
              <w:right w:val="single" w:sz="12" w:space="0" w:color="auto"/>
            </w:tcBorders>
          </w:tcPr>
          <w:p w14:paraId="2D864457" w14:textId="77777777" w:rsidR="00575F5E" w:rsidRPr="005138D5" w:rsidRDefault="00575F5E" w:rsidP="00A41668">
            <w:pPr>
              <w:pStyle w:val="Nagwek4"/>
              <w:jc w:val="left"/>
              <w:rPr>
                <w:rFonts w:ascii="Times New Roman" w:hAnsi="Times New Roman" w:cs="Times New Roman"/>
                <w:b w:val="0"/>
                <w:i w:val="0"/>
                <w:iCs w:val="0"/>
              </w:rPr>
            </w:pPr>
            <w:r w:rsidRPr="005138D5">
              <w:rPr>
                <w:rFonts w:ascii="Times New Roman" w:hAnsi="Times New Roman" w:cs="Times New Roman"/>
                <w:b w:val="0"/>
                <w:i w:val="0"/>
                <w:iCs w:val="0"/>
              </w:rPr>
              <w:t xml:space="preserve">Pacjenci o masie ciała </w:t>
            </w:r>
          </w:p>
          <w:p w14:paraId="12F89B6B" w14:textId="77777777" w:rsidR="00575F5E" w:rsidRPr="005138D5" w:rsidRDefault="00575F5E" w:rsidP="00A41668">
            <w:pPr>
              <w:pStyle w:val="Nagwek4"/>
              <w:jc w:val="left"/>
              <w:rPr>
                <w:rFonts w:ascii="Times New Roman" w:hAnsi="Times New Roman" w:cs="Times New Roman"/>
                <w:b w:val="0"/>
                <w:i w:val="0"/>
                <w:iCs w:val="0"/>
              </w:rPr>
            </w:pPr>
            <w:r w:rsidRPr="005138D5">
              <w:rPr>
                <w:rFonts w:ascii="Times New Roman" w:hAnsi="Times New Roman" w:cs="Times New Roman"/>
                <w:b w:val="0"/>
                <w:i w:val="0"/>
                <w:iCs w:val="0"/>
              </w:rPr>
              <w:t xml:space="preserve">poniżej </w:t>
            </w:r>
            <w:smartTag w:uri="urn:schemas-microsoft-com:office:smarttags" w:element="metricconverter">
              <w:smartTagPr>
                <w:attr w:name="ProductID" w:val="40 kg"/>
              </w:smartTagPr>
              <w:r w:rsidRPr="005138D5">
                <w:rPr>
                  <w:rFonts w:ascii="Times New Roman" w:hAnsi="Times New Roman" w:cs="Times New Roman"/>
                  <w:b w:val="0"/>
                  <w:i w:val="0"/>
                  <w:iCs w:val="0"/>
                </w:rPr>
                <w:t>40 kg</w:t>
              </w:r>
            </w:smartTag>
          </w:p>
        </w:tc>
      </w:tr>
      <w:tr w:rsidR="00575F5E" w:rsidRPr="005138D5" w14:paraId="1C07C669" w14:textId="77777777" w:rsidTr="00277FE6">
        <w:trPr>
          <w:trHeight w:val="637"/>
        </w:trPr>
        <w:tc>
          <w:tcPr>
            <w:tcW w:w="2988" w:type="dxa"/>
            <w:tcBorders>
              <w:top w:val="single" w:sz="12" w:space="0" w:color="auto"/>
              <w:left w:val="single" w:sz="12" w:space="0" w:color="auto"/>
              <w:bottom w:val="single" w:sz="12" w:space="0" w:color="auto"/>
              <w:right w:val="single" w:sz="12" w:space="0" w:color="auto"/>
            </w:tcBorders>
          </w:tcPr>
          <w:p w14:paraId="4F748B96" w14:textId="77777777" w:rsidR="00575F5E" w:rsidRPr="005138D5" w:rsidRDefault="00575F5E" w:rsidP="00A41668">
            <w:pPr>
              <w:rPr>
                <w:b/>
                <w:snapToGrid w:val="0"/>
                <w:sz w:val="22"/>
                <w:lang w:eastAsia="en-US"/>
              </w:rPr>
            </w:pPr>
            <w:r w:rsidRPr="005138D5">
              <w:rPr>
                <w:b/>
                <w:snapToGrid w:val="0"/>
                <w:sz w:val="22"/>
                <w:lang w:eastAsia="en-US"/>
              </w:rPr>
              <w:t xml:space="preserve">Dawka nasycająca </w:t>
            </w:r>
          </w:p>
          <w:p w14:paraId="451BDB93" w14:textId="77777777" w:rsidR="00575F5E" w:rsidRPr="005138D5" w:rsidRDefault="00575F5E" w:rsidP="00A41668">
            <w:pPr>
              <w:rPr>
                <w:snapToGrid w:val="0"/>
                <w:sz w:val="22"/>
                <w:lang w:eastAsia="en-US"/>
              </w:rPr>
            </w:pPr>
            <w:r w:rsidRPr="005138D5">
              <w:rPr>
                <w:snapToGrid w:val="0"/>
                <w:sz w:val="22"/>
                <w:lang w:eastAsia="en-US"/>
              </w:rPr>
              <w:t>(pierwsze 24</w:t>
            </w:r>
            <w:r w:rsidR="00386A06" w:rsidRPr="005138D5">
              <w:rPr>
                <w:snapToGrid w:val="0"/>
                <w:sz w:val="22"/>
                <w:lang w:eastAsia="en-US"/>
              </w:rPr>
              <w:t> godzin</w:t>
            </w:r>
            <w:r w:rsidRPr="005138D5">
              <w:rPr>
                <w:snapToGrid w:val="0"/>
                <w:sz w:val="22"/>
                <w:lang w:eastAsia="en-US"/>
              </w:rPr>
              <w:t>y)</w:t>
            </w:r>
          </w:p>
        </w:tc>
        <w:tc>
          <w:tcPr>
            <w:tcW w:w="2988" w:type="dxa"/>
            <w:tcBorders>
              <w:top w:val="single" w:sz="12" w:space="0" w:color="auto"/>
              <w:left w:val="single" w:sz="12" w:space="0" w:color="auto"/>
              <w:bottom w:val="single" w:sz="12" w:space="0" w:color="auto"/>
              <w:right w:val="single" w:sz="12" w:space="0" w:color="auto"/>
            </w:tcBorders>
          </w:tcPr>
          <w:p w14:paraId="58C36753" w14:textId="77777777" w:rsidR="00575F5E" w:rsidRPr="005138D5" w:rsidRDefault="00575F5E" w:rsidP="00A41668">
            <w:pPr>
              <w:rPr>
                <w:snapToGrid w:val="0"/>
                <w:sz w:val="22"/>
                <w:lang w:eastAsia="en-US"/>
              </w:rPr>
            </w:pPr>
            <w:r w:rsidRPr="005138D5">
              <w:rPr>
                <w:snapToGrid w:val="0"/>
                <w:sz w:val="22"/>
                <w:lang w:eastAsia="en-US"/>
              </w:rPr>
              <w:t>400</w:t>
            </w:r>
            <w:r w:rsidR="00086D10" w:rsidRPr="005138D5">
              <w:rPr>
                <w:snapToGrid w:val="0"/>
                <w:sz w:val="22"/>
                <w:lang w:eastAsia="en-US"/>
              </w:rPr>
              <w:t> mg</w:t>
            </w:r>
            <w:r w:rsidRPr="005138D5">
              <w:rPr>
                <w:snapToGrid w:val="0"/>
                <w:sz w:val="22"/>
                <w:lang w:eastAsia="en-US"/>
              </w:rPr>
              <w:t xml:space="preserve"> co 12</w:t>
            </w:r>
            <w:r w:rsidR="00386A06" w:rsidRPr="005138D5">
              <w:rPr>
                <w:snapToGrid w:val="0"/>
                <w:sz w:val="22"/>
                <w:lang w:eastAsia="en-US"/>
              </w:rPr>
              <w:t> godzin</w:t>
            </w:r>
          </w:p>
          <w:p w14:paraId="5B5FBB95" w14:textId="77777777" w:rsidR="00575F5E" w:rsidRPr="005138D5" w:rsidRDefault="00575F5E" w:rsidP="00A41668">
            <w:pPr>
              <w:rPr>
                <w:snapToGrid w:val="0"/>
                <w:sz w:val="22"/>
                <w:lang w:eastAsia="en-US"/>
              </w:rPr>
            </w:pPr>
            <w:r w:rsidRPr="005138D5">
              <w:rPr>
                <w:snapToGrid w:val="0"/>
                <w:sz w:val="22"/>
                <w:lang w:eastAsia="en-US"/>
              </w:rPr>
              <w:t>(w ciągu pierwszych 24</w:t>
            </w:r>
            <w:r w:rsidR="00386A06" w:rsidRPr="005138D5">
              <w:rPr>
                <w:snapToGrid w:val="0"/>
                <w:sz w:val="22"/>
                <w:lang w:eastAsia="en-US"/>
              </w:rPr>
              <w:t> godzin</w:t>
            </w:r>
            <w:r w:rsidRPr="005138D5">
              <w:rPr>
                <w:snapToGrid w:val="0"/>
                <w:sz w:val="22"/>
                <w:lang w:eastAsia="en-US"/>
              </w:rPr>
              <w:t>)</w:t>
            </w:r>
          </w:p>
        </w:tc>
        <w:tc>
          <w:tcPr>
            <w:tcW w:w="2988" w:type="dxa"/>
            <w:tcBorders>
              <w:top w:val="single" w:sz="12" w:space="0" w:color="auto"/>
              <w:left w:val="single" w:sz="12" w:space="0" w:color="auto"/>
              <w:bottom w:val="single" w:sz="12" w:space="0" w:color="auto"/>
              <w:right w:val="single" w:sz="12" w:space="0" w:color="auto"/>
            </w:tcBorders>
          </w:tcPr>
          <w:p w14:paraId="02AC3A92" w14:textId="77777777" w:rsidR="00575F5E" w:rsidRPr="005138D5" w:rsidRDefault="00575F5E" w:rsidP="00A41668">
            <w:pPr>
              <w:rPr>
                <w:snapToGrid w:val="0"/>
                <w:sz w:val="22"/>
                <w:lang w:eastAsia="en-US"/>
              </w:rPr>
            </w:pPr>
            <w:r w:rsidRPr="005138D5">
              <w:rPr>
                <w:snapToGrid w:val="0"/>
                <w:sz w:val="22"/>
                <w:lang w:eastAsia="en-US"/>
              </w:rPr>
              <w:t>200</w:t>
            </w:r>
            <w:r w:rsidR="00086D10" w:rsidRPr="005138D5">
              <w:rPr>
                <w:snapToGrid w:val="0"/>
                <w:sz w:val="22"/>
                <w:lang w:eastAsia="en-US"/>
              </w:rPr>
              <w:t> mg</w:t>
            </w:r>
            <w:r w:rsidRPr="005138D5">
              <w:rPr>
                <w:snapToGrid w:val="0"/>
                <w:sz w:val="22"/>
                <w:lang w:eastAsia="en-US"/>
              </w:rPr>
              <w:t xml:space="preserve"> co 12</w:t>
            </w:r>
            <w:r w:rsidR="00386A06" w:rsidRPr="005138D5">
              <w:rPr>
                <w:snapToGrid w:val="0"/>
                <w:sz w:val="22"/>
                <w:lang w:eastAsia="en-US"/>
              </w:rPr>
              <w:t> godzin</w:t>
            </w:r>
          </w:p>
          <w:p w14:paraId="244F94AF" w14:textId="77777777" w:rsidR="00575F5E" w:rsidRPr="005138D5" w:rsidRDefault="00575F5E" w:rsidP="00A41668">
            <w:pPr>
              <w:rPr>
                <w:snapToGrid w:val="0"/>
                <w:sz w:val="22"/>
                <w:lang w:eastAsia="en-US"/>
              </w:rPr>
            </w:pPr>
            <w:r w:rsidRPr="005138D5">
              <w:rPr>
                <w:snapToGrid w:val="0"/>
                <w:sz w:val="22"/>
                <w:lang w:eastAsia="en-US"/>
              </w:rPr>
              <w:t>(w ciągu pierwszych 24</w:t>
            </w:r>
            <w:r w:rsidR="00386A06" w:rsidRPr="005138D5">
              <w:rPr>
                <w:snapToGrid w:val="0"/>
                <w:sz w:val="22"/>
                <w:lang w:eastAsia="en-US"/>
              </w:rPr>
              <w:t> godzin</w:t>
            </w:r>
            <w:r w:rsidRPr="005138D5">
              <w:rPr>
                <w:snapToGrid w:val="0"/>
                <w:sz w:val="22"/>
                <w:lang w:eastAsia="en-US"/>
              </w:rPr>
              <w:t>)</w:t>
            </w:r>
          </w:p>
        </w:tc>
      </w:tr>
      <w:tr w:rsidR="00575F5E" w:rsidRPr="005138D5" w14:paraId="1557968D" w14:textId="77777777" w:rsidTr="00277FE6">
        <w:trPr>
          <w:trHeight w:val="668"/>
        </w:trPr>
        <w:tc>
          <w:tcPr>
            <w:tcW w:w="2988" w:type="dxa"/>
            <w:tcBorders>
              <w:top w:val="single" w:sz="12" w:space="0" w:color="auto"/>
              <w:left w:val="single" w:sz="12" w:space="0" w:color="auto"/>
              <w:bottom w:val="single" w:sz="12" w:space="0" w:color="auto"/>
              <w:right w:val="single" w:sz="12" w:space="0" w:color="auto"/>
            </w:tcBorders>
          </w:tcPr>
          <w:p w14:paraId="71536389" w14:textId="77777777" w:rsidR="00575F5E" w:rsidRPr="005138D5" w:rsidRDefault="00575F5E" w:rsidP="00A41668">
            <w:pPr>
              <w:rPr>
                <w:b/>
                <w:snapToGrid w:val="0"/>
                <w:sz w:val="22"/>
                <w:lang w:eastAsia="en-US"/>
              </w:rPr>
            </w:pPr>
            <w:r w:rsidRPr="005138D5">
              <w:rPr>
                <w:b/>
                <w:snapToGrid w:val="0"/>
                <w:sz w:val="22"/>
                <w:lang w:eastAsia="en-US"/>
              </w:rPr>
              <w:t>Dawka podtrzymująca</w:t>
            </w:r>
          </w:p>
          <w:p w14:paraId="271E8438" w14:textId="77777777" w:rsidR="00575F5E" w:rsidRPr="005138D5" w:rsidRDefault="00575F5E" w:rsidP="00A41668">
            <w:pPr>
              <w:rPr>
                <w:snapToGrid w:val="0"/>
                <w:sz w:val="22"/>
                <w:lang w:eastAsia="en-US"/>
              </w:rPr>
            </w:pPr>
            <w:r w:rsidRPr="005138D5">
              <w:rPr>
                <w:snapToGrid w:val="0"/>
                <w:sz w:val="22"/>
                <w:lang w:eastAsia="en-US"/>
              </w:rPr>
              <w:t>(po pierwszych 24</w:t>
            </w:r>
            <w:r w:rsidR="00386A06" w:rsidRPr="005138D5">
              <w:rPr>
                <w:snapToGrid w:val="0"/>
                <w:sz w:val="22"/>
                <w:lang w:eastAsia="en-US"/>
              </w:rPr>
              <w:t> godzin</w:t>
            </w:r>
            <w:r w:rsidRPr="005138D5">
              <w:rPr>
                <w:snapToGrid w:val="0"/>
                <w:sz w:val="22"/>
                <w:lang w:eastAsia="en-US"/>
              </w:rPr>
              <w:t>ach)</w:t>
            </w:r>
          </w:p>
        </w:tc>
        <w:tc>
          <w:tcPr>
            <w:tcW w:w="2988" w:type="dxa"/>
            <w:tcBorders>
              <w:top w:val="single" w:sz="12" w:space="0" w:color="auto"/>
              <w:left w:val="single" w:sz="12" w:space="0" w:color="auto"/>
              <w:bottom w:val="single" w:sz="12" w:space="0" w:color="auto"/>
              <w:right w:val="single" w:sz="12" w:space="0" w:color="auto"/>
            </w:tcBorders>
          </w:tcPr>
          <w:p w14:paraId="58C31F26" w14:textId="77777777" w:rsidR="00575F5E" w:rsidRPr="005138D5" w:rsidRDefault="00575F5E" w:rsidP="00A41668">
            <w:pPr>
              <w:rPr>
                <w:snapToGrid w:val="0"/>
                <w:sz w:val="22"/>
                <w:lang w:eastAsia="en-US"/>
              </w:rPr>
            </w:pPr>
            <w:r w:rsidRPr="005138D5">
              <w:rPr>
                <w:snapToGrid w:val="0"/>
                <w:sz w:val="22"/>
                <w:lang w:eastAsia="en-US"/>
              </w:rPr>
              <w:t>200</w:t>
            </w:r>
            <w:r w:rsidR="00086D10" w:rsidRPr="005138D5">
              <w:rPr>
                <w:snapToGrid w:val="0"/>
                <w:sz w:val="22"/>
                <w:lang w:eastAsia="en-US"/>
              </w:rPr>
              <w:t> mg</w:t>
            </w:r>
            <w:r w:rsidRPr="005138D5">
              <w:rPr>
                <w:snapToGrid w:val="0"/>
                <w:sz w:val="22"/>
                <w:lang w:eastAsia="en-US"/>
              </w:rPr>
              <w:t xml:space="preserve"> dwa razy na dobę</w:t>
            </w:r>
          </w:p>
        </w:tc>
        <w:tc>
          <w:tcPr>
            <w:tcW w:w="2988" w:type="dxa"/>
            <w:tcBorders>
              <w:top w:val="single" w:sz="12" w:space="0" w:color="auto"/>
              <w:left w:val="single" w:sz="12" w:space="0" w:color="auto"/>
              <w:bottom w:val="single" w:sz="12" w:space="0" w:color="auto"/>
              <w:right w:val="single" w:sz="12" w:space="0" w:color="auto"/>
            </w:tcBorders>
          </w:tcPr>
          <w:p w14:paraId="508EE798" w14:textId="77777777" w:rsidR="00575F5E" w:rsidRPr="005138D5" w:rsidRDefault="00575F5E" w:rsidP="00A41668">
            <w:pPr>
              <w:rPr>
                <w:snapToGrid w:val="0"/>
                <w:sz w:val="22"/>
                <w:lang w:eastAsia="en-US"/>
              </w:rPr>
            </w:pPr>
            <w:r w:rsidRPr="005138D5">
              <w:rPr>
                <w:snapToGrid w:val="0"/>
                <w:sz w:val="22"/>
                <w:lang w:eastAsia="en-US"/>
              </w:rPr>
              <w:t>100</w:t>
            </w:r>
            <w:r w:rsidR="00086D10" w:rsidRPr="005138D5">
              <w:rPr>
                <w:snapToGrid w:val="0"/>
                <w:sz w:val="22"/>
                <w:lang w:eastAsia="en-US"/>
              </w:rPr>
              <w:t> mg</w:t>
            </w:r>
            <w:r w:rsidRPr="005138D5">
              <w:rPr>
                <w:snapToGrid w:val="0"/>
                <w:sz w:val="22"/>
                <w:lang w:eastAsia="en-US"/>
              </w:rPr>
              <w:t xml:space="preserve"> dwa razy na dobę</w:t>
            </w:r>
          </w:p>
        </w:tc>
      </w:tr>
    </w:tbl>
    <w:p w14:paraId="5C375B04" w14:textId="77777777" w:rsidR="00575F5E" w:rsidRPr="005138D5" w:rsidRDefault="00575F5E" w:rsidP="00A41668">
      <w:pPr>
        <w:rPr>
          <w:sz w:val="22"/>
        </w:rPr>
      </w:pPr>
    </w:p>
    <w:p w14:paraId="52AB8058" w14:textId="77777777" w:rsidR="00575F5E" w:rsidRPr="005138D5" w:rsidRDefault="00575F5E" w:rsidP="00A41668">
      <w:pPr>
        <w:rPr>
          <w:sz w:val="22"/>
        </w:rPr>
      </w:pPr>
      <w:r w:rsidRPr="005138D5">
        <w:rPr>
          <w:sz w:val="22"/>
        </w:rPr>
        <w:t>W zależności od odpowiedzi na leczenie, lekarz może zwiększyć dawkę dobową do 300</w:t>
      </w:r>
      <w:r w:rsidR="00086D10" w:rsidRPr="005138D5">
        <w:rPr>
          <w:sz w:val="22"/>
        </w:rPr>
        <w:t> mg</w:t>
      </w:r>
      <w:r w:rsidRPr="005138D5">
        <w:rPr>
          <w:sz w:val="22"/>
        </w:rPr>
        <w:t xml:space="preserve"> dwa razy na dobę.</w:t>
      </w:r>
    </w:p>
    <w:p w14:paraId="18678C48" w14:textId="77777777" w:rsidR="00575F5E" w:rsidRPr="005138D5" w:rsidRDefault="00575F5E" w:rsidP="00A41668">
      <w:pPr>
        <w:rPr>
          <w:sz w:val="22"/>
        </w:rPr>
      </w:pPr>
    </w:p>
    <w:p w14:paraId="577D779A" w14:textId="77777777" w:rsidR="00575F5E" w:rsidRPr="005138D5" w:rsidRDefault="00575F5E" w:rsidP="00A41668">
      <w:pPr>
        <w:rPr>
          <w:sz w:val="22"/>
        </w:rPr>
      </w:pPr>
      <w:r w:rsidRPr="005138D5">
        <w:rPr>
          <w:sz w:val="22"/>
        </w:rPr>
        <w:t>W przypadku stwierdzenia łagodnej lub umiarkowanej marskości wątroby, lekarz może zadecydować o zmniejszeniu dawki leku.</w:t>
      </w:r>
    </w:p>
    <w:p w14:paraId="036239CC" w14:textId="77777777" w:rsidR="00575F5E" w:rsidRPr="005138D5" w:rsidRDefault="00575F5E" w:rsidP="00A41668">
      <w:pPr>
        <w:rPr>
          <w:sz w:val="22"/>
        </w:rPr>
      </w:pPr>
    </w:p>
    <w:p w14:paraId="6A4FFB55" w14:textId="77777777" w:rsidR="00C2090B" w:rsidRPr="005138D5" w:rsidRDefault="00C2090B" w:rsidP="00A41668">
      <w:pPr>
        <w:rPr>
          <w:b/>
          <w:sz w:val="22"/>
        </w:rPr>
      </w:pPr>
      <w:r w:rsidRPr="005138D5">
        <w:rPr>
          <w:b/>
          <w:sz w:val="22"/>
        </w:rPr>
        <w:t xml:space="preserve">Stosowanie u dzieci i młodzieży </w:t>
      </w:r>
    </w:p>
    <w:p w14:paraId="1969DCE0" w14:textId="77777777" w:rsidR="00816F1C" w:rsidRPr="005138D5" w:rsidRDefault="00816F1C" w:rsidP="00816F1C">
      <w:pPr>
        <w:rPr>
          <w:sz w:val="22"/>
        </w:rPr>
      </w:pPr>
      <w:r w:rsidRPr="005138D5">
        <w:rPr>
          <w:sz w:val="22"/>
        </w:rPr>
        <w:t xml:space="preserve">Zwykle </w:t>
      </w:r>
      <w:r w:rsidR="00C2090B" w:rsidRPr="005138D5">
        <w:rPr>
          <w:sz w:val="22"/>
        </w:rPr>
        <w:t xml:space="preserve">zalecane </w:t>
      </w:r>
      <w:r w:rsidRPr="005138D5">
        <w:rPr>
          <w:sz w:val="22"/>
        </w:rPr>
        <w:t>dawkowanie u dzieci i młodzieży przedstawiono w poniższej tabeli:</w:t>
      </w:r>
    </w:p>
    <w:p w14:paraId="0D4B2D8F" w14:textId="77777777" w:rsidR="00816F1C" w:rsidRPr="005138D5" w:rsidRDefault="00816F1C" w:rsidP="00816F1C">
      <w:pPr>
        <w:ind w:left="360"/>
        <w:rPr>
          <w:sz w:val="22"/>
          <w:u w:val="single"/>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20"/>
        <w:gridCol w:w="3600"/>
        <w:gridCol w:w="3420"/>
      </w:tblGrid>
      <w:tr w:rsidR="00816F1C" w:rsidRPr="005138D5" w14:paraId="415FB6F0" w14:textId="77777777">
        <w:trPr>
          <w:cantSplit/>
        </w:trPr>
        <w:tc>
          <w:tcPr>
            <w:tcW w:w="2520" w:type="dxa"/>
            <w:vMerge w:val="restart"/>
            <w:tcBorders>
              <w:top w:val="single" w:sz="12" w:space="0" w:color="auto"/>
              <w:left w:val="single" w:sz="12" w:space="0" w:color="auto"/>
              <w:bottom w:val="single" w:sz="12" w:space="0" w:color="auto"/>
              <w:right w:val="single" w:sz="12" w:space="0" w:color="auto"/>
            </w:tcBorders>
          </w:tcPr>
          <w:p w14:paraId="181F728F" w14:textId="77777777" w:rsidR="00816F1C" w:rsidRPr="005138D5" w:rsidRDefault="00816F1C" w:rsidP="00816F1C">
            <w:pPr>
              <w:rPr>
                <w:snapToGrid w:val="0"/>
                <w:sz w:val="22"/>
                <w:lang w:eastAsia="en-US"/>
              </w:rPr>
            </w:pPr>
          </w:p>
        </w:tc>
        <w:tc>
          <w:tcPr>
            <w:tcW w:w="7020" w:type="dxa"/>
            <w:gridSpan w:val="2"/>
            <w:tcBorders>
              <w:top w:val="single" w:sz="12" w:space="0" w:color="auto"/>
              <w:left w:val="single" w:sz="12" w:space="0" w:color="auto"/>
              <w:bottom w:val="single" w:sz="12" w:space="0" w:color="auto"/>
              <w:right w:val="single" w:sz="12" w:space="0" w:color="auto"/>
            </w:tcBorders>
          </w:tcPr>
          <w:p w14:paraId="097AA6DA" w14:textId="77777777" w:rsidR="00816F1C" w:rsidRPr="005138D5" w:rsidRDefault="00816F1C" w:rsidP="00816F1C">
            <w:pPr>
              <w:jc w:val="center"/>
              <w:rPr>
                <w:b/>
                <w:bCs/>
                <w:snapToGrid w:val="0"/>
                <w:sz w:val="22"/>
                <w:lang w:eastAsia="en-US"/>
              </w:rPr>
            </w:pPr>
            <w:r w:rsidRPr="005138D5">
              <w:rPr>
                <w:b/>
                <w:bCs/>
                <w:snapToGrid w:val="0"/>
                <w:sz w:val="22"/>
                <w:lang w:eastAsia="en-US"/>
              </w:rPr>
              <w:t>Tabletki</w:t>
            </w:r>
          </w:p>
        </w:tc>
      </w:tr>
      <w:tr w:rsidR="00816F1C" w:rsidRPr="005138D5" w14:paraId="157CBCAD" w14:textId="77777777">
        <w:trPr>
          <w:cantSplit/>
        </w:trPr>
        <w:tc>
          <w:tcPr>
            <w:tcW w:w="2520" w:type="dxa"/>
            <w:vMerge/>
            <w:tcBorders>
              <w:top w:val="single" w:sz="12" w:space="0" w:color="auto"/>
              <w:left w:val="single" w:sz="12" w:space="0" w:color="auto"/>
              <w:bottom w:val="single" w:sz="12" w:space="0" w:color="auto"/>
              <w:right w:val="single" w:sz="12" w:space="0" w:color="auto"/>
            </w:tcBorders>
            <w:vAlign w:val="center"/>
          </w:tcPr>
          <w:p w14:paraId="0FF9E271" w14:textId="77777777" w:rsidR="00816F1C" w:rsidRPr="005138D5" w:rsidRDefault="00816F1C" w:rsidP="00816F1C">
            <w:pPr>
              <w:rPr>
                <w:snapToGrid w:val="0"/>
                <w:sz w:val="22"/>
                <w:lang w:eastAsia="en-US"/>
              </w:rPr>
            </w:pPr>
          </w:p>
        </w:tc>
        <w:tc>
          <w:tcPr>
            <w:tcW w:w="3600" w:type="dxa"/>
            <w:tcBorders>
              <w:top w:val="single" w:sz="12" w:space="0" w:color="auto"/>
              <w:left w:val="single" w:sz="12" w:space="0" w:color="auto"/>
              <w:bottom w:val="single" w:sz="12" w:space="0" w:color="auto"/>
              <w:right w:val="single" w:sz="12" w:space="0" w:color="auto"/>
            </w:tcBorders>
          </w:tcPr>
          <w:p w14:paraId="0070C6F2" w14:textId="77777777" w:rsidR="00816F1C" w:rsidRPr="005138D5" w:rsidRDefault="00816F1C" w:rsidP="00816F1C">
            <w:pPr>
              <w:rPr>
                <w:bCs/>
                <w:snapToGrid w:val="0"/>
                <w:sz w:val="22"/>
                <w:lang w:eastAsia="en-US"/>
              </w:rPr>
            </w:pPr>
            <w:r w:rsidRPr="005138D5">
              <w:rPr>
                <w:bCs/>
                <w:snapToGrid w:val="0"/>
                <w:sz w:val="22"/>
                <w:lang w:eastAsia="en-US"/>
              </w:rPr>
              <w:t>Dzieci w wieku od 2 do 12</w:t>
            </w:r>
            <w:r w:rsidR="00386A06" w:rsidRPr="005138D5">
              <w:rPr>
                <w:bCs/>
                <w:snapToGrid w:val="0"/>
                <w:sz w:val="22"/>
                <w:lang w:eastAsia="en-US"/>
              </w:rPr>
              <w:t> lat</w:t>
            </w:r>
            <w:r w:rsidRPr="005138D5">
              <w:rPr>
                <w:bCs/>
                <w:snapToGrid w:val="0"/>
                <w:sz w:val="22"/>
                <w:lang w:eastAsia="en-US"/>
              </w:rPr>
              <w:t xml:space="preserve"> i młodzież w wieku od 12 do 14</w:t>
            </w:r>
            <w:r w:rsidR="00386A06" w:rsidRPr="005138D5">
              <w:rPr>
                <w:bCs/>
                <w:snapToGrid w:val="0"/>
                <w:sz w:val="22"/>
                <w:lang w:eastAsia="en-US"/>
              </w:rPr>
              <w:t> lat</w:t>
            </w:r>
            <w:r w:rsidRPr="005138D5">
              <w:rPr>
                <w:bCs/>
                <w:snapToGrid w:val="0"/>
                <w:sz w:val="22"/>
                <w:lang w:eastAsia="en-US"/>
              </w:rPr>
              <w:t xml:space="preserve"> o masie ciała poniżej </w:t>
            </w:r>
            <w:smartTag w:uri="urn:schemas-microsoft-com:office:smarttags" w:element="metricconverter">
              <w:smartTagPr>
                <w:attr w:name="ProductID" w:val="50 kg"/>
              </w:smartTagPr>
              <w:r w:rsidRPr="005138D5">
                <w:rPr>
                  <w:bCs/>
                  <w:snapToGrid w:val="0"/>
                  <w:sz w:val="22"/>
                  <w:lang w:eastAsia="en-US"/>
                </w:rPr>
                <w:t>50 kg</w:t>
              </w:r>
            </w:smartTag>
            <w:r w:rsidRPr="005138D5">
              <w:rPr>
                <w:bCs/>
                <w:snapToGrid w:val="0"/>
                <w:sz w:val="22"/>
                <w:lang w:eastAsia="en-US"/>
              </w:rPr>
              <w:t xml:space="preserve"> </w:t>
            </w:r>
          </w:p>
        </w:tc>
        <w:tc>
          <w:tcPr>
            <w:tcW w:w="3420" w:type="dxa"/>
            <w:tcBorders>
              <w:top w:val="single" w:sz="12" w:space="0" w:color="auto"/>
              <w:left w:val="single" w:sz="12" w:space="0" w:color="auto"/>
              <w:bottom w:val="single" w:sz="12" w:space="0" w:color="auto"/>
              <w:right w:val="single" w:sz="12" w:space="0" w:color="auto"/>
            </w:tcBorders>
          </w:tcPr>
          <w:p w14:paraId="018CE6BE" w14:textId="77777777" w:rsidR="00816F1C" w:rsidRPr="005138D5" w:rsidRDefault="00816F1C" w:rsidP="007F416F">
            <w:pPr>
              <w:pStyle w:val="Nagwek4"/>
              <w:jc w:val="left"/>
              <w:rPr>
                <w:rFonts w:ascii="Times New Roman" w:hAnsi="Times New Roman" w:cs="Times New Roman"/>
                <w:b w:val="0"/>
                <w:i w:val="0"/>
                <w:iCs w:val="0"/>
              </w:rPr>
            </w:pPr>
            <w:r w:rsidRPr="005138D5">
              <w:rPr>
                <w:rFonts w:ascii="Times New Roman" w:hAnsi="Times New Roman" w:cs="Times New Roman"/>
                <w:b w:val="0"/>
                <w:i w:val="0"/>
                <w:iCs w:val="0"/>
              </w:rPr>
              <w:t>Młodzież w wieku od 12 do 14</w:t>
            </w:r>
            <w:r w:rsidR="00386A06" w:rsidRPr="005138D5">
              <w:rPr>
                <w:rFonts w:ascii="Times New Roman" w:hAnsi="Times New Roman" w:cs="Times New Roman"/>
                <w:b w:val="0"/>
                <w:i w:val="0"/>
                <w:iCs w:val="0"/>
              </w:rPr>
              <w:t> lat</w:t>
            </w:r>
            <w:r w:rsidRPr="005138D5">
              <w:rPr>
                <w:rFonts w:ascii="Times New Roman" w:hAnsi="Times New Roman" w:cs="Times New Roman"/>
                <w:b w:val="0"/>
                <w:i w:val="0"/>
                <w:iCs w:val="0"/>
              </w:rPr>
              <w:t xml:space="preserve">  o masie ciała po</w:t>
            </w:r>
            <w:r w:rsidR="007F416F" w:rsidRPr="005138D5">
              <w:rPr>
                <w:rFonts w:ascii="Times New Roman" w:hAnsi="Times New Roman" w:cs="Times New Roman"/>
                <w:b w:val="0"/>
                <w:i w:val="0"/>
                <w:iCs w:val="0"/>
              </w:rPr>
              <w:t xml:space="preserve">wyżej </w:t>
            </w:r>
            <w:smartTag w:uri="urn:schemas-microsoft-com:office:smarttags" w:element="metricconverter">
              <w:smartTagPr>
                <w:attr w:name="ProductID" w:val="50 kg"/>
              </w:smartTagPr>
              <w:r w:rsidR="007F416F" w:rsidRPr="005138D5">
                <w:rPr>
                  <w:rFonts w:ascii="Times New Roman" w:hAnsi="Times New Roman" w:cs="Times New Roman"/>
                  <w:b w:val="0"/>
                  <w:i w:val="0"/>
                  <w:iCs w:val="0"/>
                </w:rPr>
                <w:t>5</w:t>
              </w:r>
              <w:r w:rsidRPr="005138D5">
                <w:rPr>
                  <w:rFonts w:ascii="Times New Roman" w:hAnsi="Times New Roman" w:cs="Times New Roman"/>
                  <w:b w:val="0"/>
                  <w:i w:val="0"/>
                  <w:iCs w:val="0"/>
                </w:rPr>
                <w:t>0 kg</w:t>
              </w:r>
            </w:smartTag>
            <w:r w:rsidR="007F416F" w:rsidRPr="005138D5">
              <w:rPr>
                <w:rFonts w:ascii="Times New Roman" w:hAnsi="Times New Roman" w:cs="Times New Roman"/>
                <w:b w:val="0"/>
                <w:i w:val="0"/>
                <w:iCs w:val="0"/>
              </w:rPr>
              <w:t xml:space="preserve"> oraz młodzież w wieku powyżej 14</w:t>
            </w:r>
            <w:r w:rsidR="00386A06" w:rsidRPr="005138D5">
              <w:rPr>
                <w:rFonts w:ascii="Times New Roman" w:hAnsi="Times New Roman" w:cs="Times New Roman"/>
                <w:b w:val="0"/>
                <w:i w:val="0"/>
                <w:iCs w:val="0"/>
              </w:rPr>
              <w:t> lat</w:t>
            </w:r>
          </w:p>
        </w:tc>
      </w:tr>
      <w:tr w:rsidR="00816F1C" w:rsidRPr="005138D5" w14:paraId="1C0ABD47" w14:textId="77777777">
        <w:trPr>
          <w:trHeight w:val="637"/>
        </w:trPr>
        <w:tc>
          <w:tcPr>
            <w:tcW w:w="2520" w:type="dxa"/>
            <w:tcBorders>
              <w:top w:val="single" w:sz="12" w:space="0" w:color="auto"/>
              <w:left w:val="single" w:sz="12" w:space="0" w:color="auto"/>
              <w:bottom w:val="single" w:sz="12" w:space="0" w:color="auto"/>
              <w:right w:val="single" w:sz="12" w:space="0" w:color="auto"/>
            </w:tcBorders>
          </w:tcPr>
          <w:p w14:paraId="6D5EF9EB" w14:textId="77777777" w:rsidR="00816F1C" w:rsidRPr="005138D5" w:rsidRDefault="00816F1C" w:rsidP="00816F1C">
            <w:pPr>
              <w:rPr>
                <w:b/>
                <w:snapToGrid w:val="0"/>
                <w:sz w:val="22"/>
                <w:lang w:eastAsia="en-US"/>
              </w:rPr>
            </w:pPr>
            <w:r w:rsidRPr="005138D5">
              <w:rPr>
                <w:b/>
                <w:snapToGrid w:val="0"/>
                <w:sz w:val="22"/>
                <w:lang w:eastAsia="en-US"/>
              </w:rPr>
              <w:t xml:space="preserve">Dawka nasycająca </w:t>
            </w:r>
          </w:p>
          <w:p w14:paraId="6FA69F59" w14:textId="77777777" w:rsidR="00816F1C" w:rsidRPr="005138D5" w:rsidRDefault="00816F1C" w:rsidP="00816F1C">
            <w:pPr>
              <w:rPr>
                <w:snapToGrid w:val="0"/>
                <w:sz w:val="22"/>
                <w:lang w:eastAsia="en-US"/>
              </w:rPr>
            </w:pPr>
            <w:r w:rsidRPr="005138D5">
              <w:rPr>
                <w:snapToGrid w:val="0"/>
                <w:sz w:val="22"/>
                <w:lang w:eastAsia="en-US"/>
              </w:rPr>
              <w:t>(pierwsze 24</w:t>
            </w:r>
            <w:r w:rsidR="00386A06" w:rsidRPr="005138D5">
              <w:rPr>
                <w:snapToGrid w:val="0"/>
                <w:sz w:val="22"/>
                <w:lang w:eastAsia="en-US"/>
              </w:rPr>
              <w:t> godzin</w:t>
            </w:r>
            <w:r w:rsidRPr="005138D5">
              <w:rPr>
                <w:snapToGrid w:val="0"/>
                <w:sz w:val="22"/>
                <w:lang w:eastAsia="en-US"/>
              </w:rPr>
              <w:t>y)</w:t>
            </w:r>
          </w:p>
        </w:tc>
        <w:tc>
          <w:tcPr>
            <w:tcW w:w="3600" w:type="dxa"/>
            <w:tcBorders>
              <w:top w:val="single" w:sz="12" w:space="0" w:color="auto"/>
              <w:left w:val="single" w:sz="12" w:space="0" w:color="auto"/>
              <w:bottom w:val="single" w:sz="12" w:space="0" w:color="auto"/>
              <w:right w:val="single" w:sz="12" w:space="0" w:color="auto"/>
            </w:tcBorders>
            <w:vAlign w:val="center"/>
          </w:tcPr>
          <w:p w14:paraId="663BFC03" w14:textId="77777777" w:rsidR="00816F1C" w:rsidRPr="005138D5" w:rsidRDefault="007F416F" w:rsidP="00816F1C">
            <w:pPr>
              <w:rPr>
                <w:snapToGrid w:val="0"/>
                <w:sz w:val="22"/>
                <w:lang w:eastAsia="en-US"/>
              </w:rPr>
            </w:pPr>
            <w:r w:rsidRPr="005138D5">
              <w:rPr>
                <w:snapToGrid w:val="0"/>
                <w:sz w:val="22"/>
                <w:lang w:eastAsia="en-US"/>
              </w:rPr>
              <w:t>Leczenie zostanie rozpoczęte jako infuzja dożylna</w:t>
            </w:r>
          </w:p>
        </w:tc>
        <w:tc>
          <w:tcPr>
            <w:tcW w:w="3420" w:type="dxa"/>
            <w:tcBorders>
              <w:top w:val="single" w:sz="12" w:space="0" w:color="auto"/>
              <w:left w:val="single" w:sz="12" w:space="0" w:color="auto"/>
              <w:bottom w:val="single" w:sz="12" w:space="0" w:color="auto"/>
              <w:right w:val="single" w:sz="12" w:space="0" w:color="auto"/>
            </w:tcBorders>
            <w:vAlign w:val="center"/>
          </w:tcPr>
          <w:p w14:paraId="263FE179" w14:textId="77777777" w:rsidR="00816F1C" w:rsidRPr="005138D5" w:rsidRDefault="007F416F" w:rsidP="00816F1C">
            <w:pPr>
              <w:rPr>
                <w:snapToGrid w:val="0"/>
                <w:sz w:val="22"/>
                <w:lang w:eastAsia="en-US"/>
              </w:rPr>
            </w:pPr>
            <w:r w:rsidRPr="005138D5">
              <w:rPr>
                <w:snapToGrid w:val="0"/>
                <w:sz w:val="22"/>
                <w:lang w:eastAsia="en-US"/>
              </w:rPr>
              <w:t>400</w:t>
            </w:r>
            <w:r w:rsidR="00086D10" w:rsidRPr="005138D5">
              <w:rPr>
                <w:snapToGrid w:val="0"/>
                <w:sz w:val="22"/>
                <w:lang w:eastAsia="en-US"/>
              </w:rPr>
              <w:t> mg</w:t>
            </w:r>
            <w:r w:rsidR="00816F1C" w:rsidRPr="005138D5">
              <w:rPr>
                <w:snapToGrid w:val="0"/>
                <w:sz w:val="22"/>
                <w:lang w:eastAsia="en-US"/>
              </w:rPr>
              <w:t xml:space="preserve"> co 12</w:t>
            </w:r>
            <w:r w:rsidR="00386A06" w:rsidRPr="005138D5">
              <w:rPr>
                <w:snapToGrid w:val="0"/>
                <w:sz w:val="22"/>
                <w:lang w:eastAsia="en-US"/>
              </w:rPr>
              <w:t> godzin</w:t>
            </w:r>
          </w:p>
          <w:p w14:paraId="7BB9A563" w14:textId="77777777" w:rsidR="00816F1C" w:rsidRPr="005138D5" w:rsidRDefault="00816F1C" w:rsidP="00816F1C">
            <w:pPr>
              <w:rPr>
                <w:snapToGrid w:val="0"/>
                <w:sz w:val="22"/>
                <w:lang w:eastAsia="en-US"/>
              </w:rPr>
            </w:pPr>
            <w:r w:rsidRPr="005138D5">
              <w:rPr>
                <w:snapToGrid w:val="0"/>
                <w:sz w:val="22"/>
                <w:lang w:eastAsia="en-US"/>
              </w:rPr>
              <w:t>(w ciągu pierwszych 24</w:t>
            </w:r>
            <w:r w:rsidR="00386A06" w:rsidRPr="005138D5">
              <w:rPr>
                <w:snapToGrid w:val="0"/>
                <w:sz w:val="22"/>
                <w:lang w:eastAsia="en-US"/>
              </w:rPr>
              <w:t> godzin</w:t>
            </w:r>
            <w:r w:rsidRPr="005138D5">
              <w:rPr>
                <w:snapToGrid w:val="0"/>
                <w:sz w:val="22"/>
                <w:lang w:eastAsia="en-US"/>
              </w:rPr>
              <w:t>)</w:t>
            </w:r>
          </w:p>
        </w:tc>
      </w:tr>
      <w:tr w:rsidR="00816F1C" w:rsidRPr="005138D5" w14:paraId="39BA4388" w14:textId="77777777">
        <w:trPr>
          <w:trHeight w:val="668"/>
        </w:trPr>
        <w:tc>
          <w:tcPr>
            <w:tcW w:w="2520" w:type="dxa"/>
            <w:tcBorders>
              <w:top w:val="single" w:sz="12" w:space="0" w:color="auto"/>
              <w:left w:val="single" w:sz="12" w:space="0" w:color="auto"/>
              <w:bottom w:val="single" w:sz="12" w:space="0" w:color="auto"/>
              <w:right w:val="single" w:sz="12" w:space="0" w:color="auto"/>
            </w:tcBorders>
          </w:tcPr>
          <w:p w14:paraId="630C1F70" w14:textId="77777777" w:rsidR="00816F1C" w:rsidRPr="005138D5" w:rsidRDefault="00816F1C" w:rsidP="00816F1C">
            <w:pPr>
              <w:rPr>
                <w:b/>
                <w:snapToGrid w:val="0"/>
                <w:sz w:val="22"/>
                <w:lang w:eastAsia="en-US"/>
              </w:rPr>
            </w:pPr>
            <w:r w:rsidRPr="005138D5">
              <w:rPr>
                <w:b/>
                <w:snapToGrid w:val="0"/>
                <w:sz w:val="22"/>
                <w:lang w:eastAsia="en-US"/>
              </w:rPr>
              <w:t>Dawka podtrzymująca</w:t>
            </w:r>
          </w:p>
          <w:p w14:paraId="631EF2F0" w14:textId="77777777" w:rsidR="00816F1C" w:rsidRPr="005138D5" w:rsidRDefault="00816F1C" w:rsidP="00816F1C">
            <w:pPr>
              <w:rPr>
                <w:snapToGrid w:val="0"/>
                <w:sz w:val="22"/>
                <w:lang w:eastAsia="en-US"/>
              </w:rPr>
            </w:pPr>
            <w:r w:rsidRPr="005138D5">
              <w:rPr>
                <w:snapToGrid w:val="0"/>
                <w:sz w:val="22"/>
                <w:lang w:eastAsia="en-US"/>
              </w:rPr>
              <w:t>(po pierwszych 24</w:t>
            </w:r>
            <w:r w:rsidR="00386A06" w:rsidRPr="005138D5">
              <w:rPr>
                <w:snapToGrid w:val="0"/>
                <w:sz w:val="22"/>
                <w:lang w:eastAsia="en-US"/>
              </w:rPr>
              <w:t> godzin</w:t>
            </w:r>
            <w:r w:rsidRPr="005138D5">
              <w:rPr>
                <w:snapToGrid w:val="0"/>
                <w:sz w:val="22"/>
                <w:lang w:eastAsia="en-US"/>
              </w:rPr>
              <w:t>ach)</w:t>
            </w:r>
          </w:p>
        </w:tc>
        <w:tc>
          <w:tcPr>
            <w:tcW w:w="3600" w:type="dxa"/>
            <w:tcBorders>
              <w:top w:val="single" w:sz="12" w:space="0" w:color="auto"/>
              <w:left w:val="single" w:sz="12" w:space="0" w:color="auto"/>
              <w:bottom w:val="single" w:sz="12" w:space="0" w:color="auto"/>
              <w:right w:val="single" w:sz="12" w:space="0" w:color="auto"/>
            </w:tcBorders>
            <w:vAlign w:val="center"/>
          </w:tcPr>
          <w:p w14:paraId="355AC691" w14:textId="77777777" w:rsidR="00816F1C" w:rsidRPr="005138D5" w:rsidRDefault="007F416F" w:rsidP="007F416F">
            <w:pPr>
              <w:rPr>
                <w:snapToGrid w:val="0"/>
                <w:sz w:val="22"/>
                <w:lang w:eastAsia="en-US"/>
              </w:rPr>
            </w:pPr>
            <w:r w:rsidRPr="005138D5">
              <w:rPr>
                <w:snapToGrid w:val="0"/>
                <w:sz w:val="22"/>
                <w:lang w:eastAsia="en-US"/>
              </w:rPr>
              <w:t>9</w:t>
            </w:r>
            <w:r w:rsidR="00086D10" w:rsidRPr="005138D5">
              <w:rPr>
                <w:snapToGrid w:val="0"/>
                <w:sz w:val="22"/>
                <w:lang w:eastAsia="en-US"/>
              </w:rPr>
              <w:t> mg</w:t>
            </w:r>
            <w:r w:rsidRPr="005138D5">
              <w:rPr>
                <w:snapToGrid w:val="0"/>
                <w:sz w:val="22"/>
                <w:lang w:eastAsia="en-US"/>
              </w:rPr>
              <w:t>/kg</w:t>
            </w:r>
            <w:r w:rsidR="00816F1C" w:rsidRPr="005138D5">
              <w:rPr>
                <w:snapToGrid w:val="0"/>
                <w:sz w:val="22"/>
                <w:lang w:eastAsia="en-US"/>
              </w:rPr>
              <w:t xml:space="preserve"> dwa razy na dobę</w:t>
            </w:r>
            <w:r w:rsidRPr="005138D5">
              <w:rPr>
                <w:snapToGrid w:val="0"/>
                <w:sz w:val="22"/>
                <w:lang w:eastAsia="en-US"/>
              </w:rPr>
              <w:t xml:space="preserve"> (maksymalna dawka 350</w:t>
            </w:r>
            <w:r w:rsidR="00086D10" w:rsidRPr="005138D5">
              <w:rPr>
                <w:snapToGrid w:val="0"/>
                <w:sz w:val="22"/>
                <w:lang w:eastAsia="en-US"/>
              </w:rPr>
              <w:t> mg</w:t>
            </w:r>
            <w:r w:rsidRPr="005138D5">
              <w:rPr>
                <w:snapToGrid w:val="0"/>
                <w:sz w:val="22"/>
                <w:lang w:eastAsia="en-US"/>
              </w:rPr>
              <w:t xml:space="preserve"> dwa razy na dobę)</w:t>
            </w:r>
          </w:p>
        </w:tc>
        <w:tc>
          <w:tcPr>
            <w:tcW w:w="3420" w:type="dxa"/>
            <w:tcBorders>
              <w:top w:val="single" w:sz="12" w:space="0" w:color="auto"/>
              <w:left w:val="single" w:sz="12" w:space="0" w:color="auto"/>
              <w:bottom w:val="single" w:sz="12" w:space="0" w:color="auto"/>
              <w:right w:val="single" w:sz="12" w:space="0" w:color="auto"/>
            </w:tcBorders>
            <w:vAlign w:val="center"/>
          </w:tcPr>
          <w:p w14:paraId="7680794C" w14:textId="77777777" w:rsidR="00816F1C" w:rsidRPr="005138D5" w:rsidRDefault="007F416F" w:rsidP="00816F1C">
            <w:pPr>
              <w:rPr>
                <w:snapToGrid w:val="0"/>
                <w:sz w:val="22"/>
                <w:lang w:eastAsia="en-US"/>
              </w:rPr>
            </w:pPr>
            <w:r w:rsidRPr="005138D5">
              <w:rPr>
                <w:snapToGrid w:val="0"/>
                <w:sz w:val="22"/>
                <w:lang w:eastAsia="en-US"/>
              </w:rPr>
              <w:t>2</w:t>
            </w:r>
            <w:r w:rsidR="00816F1C" w:rsidRPr="005138D5">
              <w:rPr>
                <w:snapToGrid w:val="0"/>
                <w:sz w:val="22"/>
                <w:lang w:eastAsia="en-US"/>
              </w:rPr>
              <w:t>00</w:t>
            </w:r>
            <w:r w:rsidR="00086D10" w:rsidRPr="005138D5">
              <w:rPr>
                <w:snapToGrid w:val="0"/>
                <w:sz w:val="22"/>
                <w:lang w:eastAsia="en-US"/>
              </w:rPr>
              <w:t> mg</w:t>
            </w:r>
            <w:r w:rsidR="00816F1C" w:rsidRPr="005138D5">
              <w:rPr>
                <w:snapToGrid w:val="0"/>
                <w:sz w:val="22"/>
                <w:lang w:eastAsia="en-US"/>
              </w:rPr>
              <w:t xml:space="preserve"> dwa razy na dobę</w:t>
            </w:r>
          </w:p>
        </w:tc>
      </w:tr>
    </w:tbl>
    <w:p w14:paraId="39BD9A0A" w14:textId="77777777" w:rsidR="00816F1C" w:rsidRPr="005138D5" w:rsidRDefault="00816F1C" w:rsidP="00816F1C">
      <w:pPr>
        <w:rPr>
          <w:sz w:val="22"/>
        </w:rPr>
      </w:pPr>
    </w:p>
    <w:p w14:paraId="39CB3F1C" w14:textId="77777777" w:rsidR="00816F1C" w:rsidRPr="005138D5" w:rsidRDefault="00816F1C" w:rsidP="00816F1C">
      <w:pPr>
        <w:rPr>
          <w:sz w:val="22"/>
        </w:rPr>
      </w:pPr>
      <w:r w:rsidRPr="005138D5">
        <w:rPr>
          <w:sz w:val="22"/>
        </w:rPr>
        <w:t xml:space="preserve">W zależności od odpowiedzi na leczenie, lekarz może zwiększyć </w:t>
      </w:r>
      <w:r w:rsidR="007F416F" w:rsidRPr="005138D5">
        <w:rPr>
          <w:sz w:val="22"/>
        </w:rPr>
        <w:t xml:space="preserve">lub zmniejszyć </w:t>
      </w:r>
      <w:r w:rsidRPr="005138D5">
        <w:rPr>
          <w:sz w:val="22"/>
        </w:rPr>
        <w:t>dawkę dobową.</w:t>
      </w:r>
    </w:p>
    <w:p w14:paraId="4540E7F8" w14:textId="77777777" w:rsidR="00816F1C" w:rsidRPr="005138D5" w:rsidRDefault="00816F1C" w:rsidP="00A41668">
      <w:pPr>
        <w:rPr>
          <w:sz w:val="22"/>
        </w:rPr>
      </w:pPr>
    </w:p>
    <w:p w14:paraId="660FE3EB" w14:textId="77777777" w:rsidR="00575F5E" w:rsidRPr="005138D5" w:rsidRDefault="00575F5E" w:rsidP="00277FE6">
      <w:pPr>
        <w:numPr>
          <w:ilvl w:val="0"/>
          <w:numId w:val="59"/>
        </w:numPr>
        <w:ind w:left="567" w:hanging="567"/>
        <w:rPr>
          <w:sz w:val="22"/>
        </w:rPr>
      </w:pPr>
      <w:r w:rsidRPr="005138D5">
        <w:rPr>
          <w:sz w:val="22"/>
        </w:rPr>
        <w:t xml:space="preserve">Dziecku można podawać tabletki, jeżeli jest w stanie je przełknąć. </w:t>
      </w:r>
    </w:p>
    <w:p w14:paraId="0AA78B83" w14:textId="77777777" w:rsidR="00575F5E" w:rsidRPr="005138D5" w:rsidRDefault="00575F5E" w:rsidP="00A41668">
      <w:pPr>
        <w:rPr>
          <w:sz w:val="22"/>
        </w:rPr>
      </w:pPr>
    </w:p>
    <w:p w14:paraId="589FCB99" w14:textId="77777777" w:rsidR="00575F5E" w:rsidRPr="005138D5" w:rsidRDefault="00575F5E" w:rsidP="00A41668">
      <w:pPr>
        <w:rPr>
          <w:sz w:val="22"/>
        </w:rPr>
      </w:pPr>
      <w:r w:rsidRPr="005138D5">
        <w:rPr>
          <w:sz w:val="22"/>
        </w:rPr>
        <w:t xml:space="preserve">Tabletki należy przyjmować </w:t>
      </w:r>
      <w:r w:rsidR="0064482A" w:rsidRPr="005138D5">
        <w:rPr>
          <w:sz w:val="22"/>
        </w:rPr>
        <w:t>co najmniej</w:t>
      </w:r>
      <w:r w:rsidR="00386A06" w:rsidRPr="005138D5">
        <w:rPr>
          <w:sz w:val="22"/>
        </w:rPr>
        <w:t> godzin</w:t>
      </w:r>
      <w:r w:rsidRPr="005138D5">
        <w:rPr>
          <w:sz w:val="22"/>
        </w:rPr>
        <w:t>ę przed posiłkiem lub</w:t>
      </w:r>
      <w:r w:rsidR="00386A06" w:rsidRPr="005138D5">
        <w:rPr>
          <w:sz w:val="22"/>
        </w:rPr>
        <w:t> godzin</w:t>
      </w:r>
      <w:r w:rsidRPr="005138D5">
        <w:rPr>
          <w:sz w:val="22"/>
        </w:rPr>
        <w:t>ę po posiłku, połykając je w całości i popijając wodą.</w:t>
      </w:r>
    </w:p>
    <w:p w14:paraId="05529077" w14:textId="77777777" w:rsidR="00BB48E2" w:rsidRPr="005138D5" w:rsidRDefault="00BB48E2" w:rsidP="00BB48E2">
      <w:pPr>
        <w:rPr>
          <w:sz w:val="22"/>
        </w:rPr>
      </w:pPr>
    </w:p>
    <w:p w14:paraId="4B7CDD94" w14:textId="77777777" w:rsidR="00BB48E2" w:rsidRPr="005138D5" w:rsidRDefault="00BB48E2" w:rsidP="00A41668">
      <w:pPr>
        <w:rPr>
          <w:sz w:val="22"/>
        </w:rPr>
      </w:pPr>
      <w:r w:rsidRPr="005138D5">
        <w:rPr>
          <w:sz w:val="22"/>
        </w:rPr>
        <w:t xml:space="preserve">Jeśli pacjent przyjmuje </w:t>
      </w:r>
      <w:r w:rsidR="004B1FD5" w:rsidRPr="005138D5">
        <w:rPr>
          <w:sz w:val="22"/>
        </w:rPr>
        <w:t>Voriconazole Accord</w:t>
      </w:r>
      <w:r w:rsidRPr="005138D5">
        <w:rPr>
          <w:sz w:val="22"/>
        </w:rPr>
        <w:t xml:space="preserve"> w celu zapobieżenia zakażeniom grzybiczym, w przypadku wystąpienia działań niepożądanych związanych z leczeniem lekarz prowadzący może przerwać podawanie leku </w:t>
      </w:r>
      <w:r w:rsidR="004B1FD5" w:rsidRPr="005138D5">
        <w:rPr>
          <w:sz w:val="22"/>
        </w:rPr>
        <w:t>Voriconazole Accord</w:t>
      </w:r>
      <w:r w:rsidRPr="005138D5">
        <w:rPr>
          <w:sz w:val="22"/>
        </w:rPr>
        <w:t>.</w:t>
      </w:r>
    </w:p>
    <w:p w14:paraId="104D4106" w14:textId="77777777" w:rsidR="00575F5E" w:rsidRPr="005138D5" w:rsidRDefault="00575F5E" w:rsidP="00A41668">
      <w:pPr>
        <w:rPr>
          <w:sz w:val="22"/>
        </w:rPr>
      </w:pPr>
    </w:p>
    <w:p w14:paraId="7EC436E0" w14:textId="77777777" w:rsidR="003B12BF" w:rsidRPr="005138D5" w:rsidRDefault="00575F5E" w:rsidP="00277FE6">
      <w:pPr>
        <w:rPr>
          <w:b/>
          <w:sz w:val="22"/>
        </w:rPr>
      </w:pPr>
      <w:r w:rsidRPr="005138D5">
        <w:rPr>
          <w:b/>
          <w:sz w:val="22"/>
        </w:rPr>
        <w:t xml:space="preserve">Zastosowanie większej niż zalecana dawki leku </w:t>
      </w:r>
      <w:r w:rsidR="00261874" w:rsidRPr="005138D5">
        <w:rPr>
          <w:b/>
          <w:sz w:val="22"/>
        </w:rPr>
        <w:t>Voriconazole Accord</w:t>
      </w:r>
    </w:p>
    <w:p w14:paraId="487A3C51" w14:textId="77777777" w:rsidR="00575F5E" w:rsidRPr="005138D5" w:rsidRDefault="00575F5E" w:rsidP="00277FE6">
      <w:pPr>
        <w:rPr>
          <w:b/>
          <w:sz w:val="22"/>
        </w:rPr>
      </w:pPr>
      <w:r w:rsidRPr="005138D5">
        <w:rPr>
          <w:sz w:val="22"/>
        </w:rPr>
        <w:t xml:space="preserve">W razie przyjęcia większej liczby tabletek niż zalecona (lub jeśli ktokolwiek inny przyjmie tabletki) należy natychmiast zasięgnąć porady lekarza lub zgłosić się do najbliższego szpitala, zabierając ze sobą opakowanie po leku </w:t>
      </w:r>
      <w:r w:rsidR="00261874" w:rsidRPr="005138D5">
        <w:rPr>
          <w:sz w:val="22"/>
        </w:rPr>
        <w:t>Voriconazole Accord</w:t>
      </w:r>
      <w:r w:rsidRPr="005138D5">
        <w:rPr>
          <w:sz w:val="22"/>
        </w:rPr>
        <w:t>.</w:t>
      </w:r>
      <w:r w:rsidR="009554CE" w:rsidRPr="005138D5">
        <w:rPr>
          <w:sz w:val="22"/>
        </w:rPr>
        <w:t xml:space="preserve"> </w:t>
      </w:r>
      <w:r w:rsidR="00646C63" w:rsidRPr="005138D5">
        <w:rPr>
          <w:sz w:val="22"/>
        </w:rPr>
        <w:t xml:space="preserve">W wyniku zastosowania większej niż zalecana dawka leku </w:t>
      </w:r>
      <w:r w:rsidR="00261874" w:rsidRPr="005138D5">
        <w:rPr>
          <w:sz w:val="22"/>
        </w:rPr>
        <w:t>Voriconazole Accord</w:t>
      </w:r>
      <w:r w:rsidR="00646C63" w:rsidRPr="005138D5">
        <w:rPr>
          <w:sz w:val="22"/>
        </w:rPr>
        <w:t>, może wystąpić nietolerancja na światło</w:t>
      </w:r>
      <w:r w:rsidR="009554CE" w:rsidRPr="005138D5">
        <w:rPr>
          <w:sz w:val="22"/>
        </w:rPr>
        <w:t>.</w:t>
      </w:r>
    </w:p>
    <w:p w14:paraId="1468BC88" w14:textId="77777777" w:rsidR="00EC4A0F" w:rsidRPr="005138D5" w:rsidRDefault="00EC4A0F" w:rsidP="00A41668">
      <w:pPr>
        <w:rPr>
          <w:sz w:val="22"/>
        </w:rPr>
      </w:pPr>
    </w:p>
    <w:p w14:paraId="11155D5D" w14:textId="77777777" w:rsidR="00575F5E" w:rsidRPr="005138D5" w:rsidRDefault="00575F5E" w:rsidP="00A41668">
      <w:pPr>
        <w:rPr>
          <w:b/>
          <w:bCs/>
          <w:sz w:val="22"/>
        </w:rPr>
      </w:pPr>
      <w:r w:rsidRPr="005138D5">
        <w:rPr>
          <w:b/>
          <w:bCs/>
          <w:sz w:val="22"/>
        </w:rPr>
        <w:t xml:space="preserve">Pominięcie zastosowania leku </w:t>
      </w:r>
      <w:r w:rsidR="00261874" w:rsidRPr="005138D5">
        <w:rPr>
          <w:b/>
          <w:bCs/>
          <w:sz w:val="22"/>
        </w:rPr>
        <w:t>Voriconazole Accord</w:t>
      </w:r>
    </w:p>
    <w:p w14:paraId="7BAB75D9" w14:textId="77777777" w:rsidR="00575F5E" w:rsidRPr="005138D5" w:rsidRDefault="00575F5E" w:rsidP="00A41668">
      <w:pPr>
        <w:rPr>
          <w:sz w:val="22"/>
        </w:rPr>
      </w:pPr>
      <w:r w:rsidRPr="005138D5">
        <w:rPr>
          <w:sz w:val="22"/>
        </w:rPr>
        <w:t>Należy pamiętać o regularnym przyjmowaniu leku o tej samej porze dnia. W razie nieprzyjęcia jednej dawki, należy przyjąć następną dawkę o właściwej dla niej porze. Nie należy podwajać kolejnej dawki.</w:t>
      </w:r>
    </w:p>
    <w:p w14:paraId="7BD50774" w14:textId="77777777" w:rsidR="00575F5E" w:rsidRPr="005138D5" w:rsidRDefault="00575F5E" w:rsidP="00A41668">
      <w:pPr>
        <w:rPr>
          <w:b/>
          <w:bCs/>
          <w:sz w:val="22"/>
        </w:rPr>
      </w:pPr>
    </w:p>
    <w:p w14:paraId="368BF6A3" w14:textId="77777777" w:rsidR="0072235E" w:rsidRPr="005138D5" w:rsidRDefault="00575F5E" w:rsidP="00A41668">
      <w:pPr>
        <w:rPr>
          <w:sz w:val="22"/>
        </w:rPr>
      </w:pPr>
      <w:r w:rsidRPr="005138D5">
        <w:rPr>
          <w:b/>
          <w:bCs/>
          <w:sz w:val="22"/>
        </w:rPr>
        <w:t xml:space="preserve">Przerwanie stosowania leku </w:t>
      </w:r>
      <w:r w:rsidR="00261874" w:rsidRPr="005138D5">
        <w:rPr>
          <w:b/>
          <w:bCs/>
          <w:sz w:val="22"/>
        </w:rPr>
        <w:t>Voriconazole Accord</w:t>
      </w:r>
    </w:p>
    <w:p w14:paraId="32818AAE" w14:textId="77777777" w:rsidR="00575F5E" w:rsidRPr="005138D5" w:rsidRDefault="00575F5E" w:rsidP="00A41668">
      <w:pPr>
        <w:rPr>
          <w:sz w:val="22"/>
        </w:rPr>
      </w:pPr>
      <w:r w:rsidRPr="005138D5">
        <w:rPr>
          <w:sz w:val="22"/>
        </w:rPr>
        <w:t xml:space="preserve">Wykazano, że regularne przyjmowanie leku </w:t>
      </w:r>
      <w:r w:rsidR="00261874" w:rsidRPr="005138D5">
        <w:rPr>
          <w:sz w:val="22"/>
        </w:rPr>
        <w:t>Voriconazole Accord</w:t>
      </w:r>
      <w:r w:rsidR="00261874" w:rsidRPr="005138D5" w:rsidDel="00261874">
        <w:rPr>
          <w:sz w:val="22"/>
        </w:rPr>
        <w:t xml:space="preserve"> </w:t>
      </w:r>
      <w:r w:rsidRPr="005138D5">
        <w:rPr>
          <w:sz w:val="22"/>
        </w:rPr>
        <w:t xml:space="preserve">o ustalonej porze może znacząco wpływać na jego skuteczność. Nie należy samodzielnie przerywać leczenia, chyba że lekarz zdecyduje inaczej. Ważne jest właściwe stosowanie leku, jak opisano powyżej. </w:t>
      </w:r>
    </w:p>
    <w:p w14:paraId="2EB20948" w14:textId="77777777" w:rsidR="00575F5E" w:rsidRPr="005138D5" w:rsidRDefault="00575F5E" w:rsidP="00A41668">
      <w:pPr>
        <w:rPr>
          <w:sz w:val="22"/>
        </w:rPr>
      </w:pPr>
    </w:p>
    <w:p w14:paraId="7F1AE159" w14:textId="77777777" w:rsidR="00B26438" w:rsidRPr="005138D5" w:rsidRDefault="0072235E" w:rsidP="00A41668">
      <w:pPr>
        <w:rPr>
          <w:sz w:val="22"/>
        </w:rPr>
      </w:pPr>
      <w:r w:rsidRPr="005138D5">
        <w:rPr>
          <w:sz w:val="22"/>
        </w:rPr>
        <w:t xml:space="preserve">O tym, jak długo należy przyjmować lek </w:t>
      </w:r>
      <w:r w:rsidR="00E52A9F" w:rsidRPr="005138D5">
        <w:rPr>
          <w:sz w:val="22"/>
        </w:rPr>
        <w:t>Voriconazole Accord</w:t>
      </w:r>
      <w:r w:rsidRPr="005138D5">
        <w:rPr>
          <w:sz w:val="22"/>
        </w:rPr>
        <w:t xml:space="preserve">, zadecyduje lekarz. Nie należy przerywać leczenia za wcześnie, gdyż wiąże się to z ryzykiem niewyleczenia zakażenia. Pacjenci </w:t>
      </w:r>
    </w:p>
    <w:p w14:paraId="45441D80" w14:textId="77777777" w:rsidR="0072235E" w:rsidRPr="005138D5" w:rsidRDefault="0072235E" w:rsidP="00A41668">
      <w:pPr>
        <w:rPr>
          <w:sz w:val="22"/>
        </w:rPr>
      </w:pPr>
      <w:r w:rsidRPr="005138D5">
        <w:rPr>
          <w:sz w:val="22"/>
        </w:rPr>
        <w:t>z obniżoną odpornością lub ciężkimi zakażeniami mogą wymagać przewlekłego leczenia w celu zapobiegania nawrotom choroby.</w:t>
      </w:r>
    </w:p>
    <w:p w14:paraId="612C8F3D" w14:textId="77777777" w:rsidR="0072235E" w:rsidRPr="005138D5" w:rsidRDefault="0072235E" w:rsidP="00A41668">
      <w:pPr>
        <w:rPr>
          <w:sz w:val="22"/>
        </w:rPr>
      </w:pPr>
    </w:p>
    <w:p w14:paraId="05800BE7" w14:textId="77777777" w:rsidR="00575F5E" w:rsidRPr="005138D5" w:rsidRDefault="00575F5E" w:rsidP="00A41668">
      <w:pPr>
        <w:rPr>
          <w:b/>
          <w:sz w:val="22"/>
        </w:rPr>
      </w:pPr>
      <w:r w:rsidRPr="005138D5">
        <w:rPr>
          <w:sz w:val="22"/>
        </w:rPr>
        <w:t>Jeśli o przerwaniu terapii zdecyduje lekarz</w:t>
      </w:r>
      <w:r w:rsidR="004E6898" w:rsidRPr="005138D5">
        <w:rPr>
          <w:sz w:val="22"/>
        </w:rPr>
        <w:t>,</w:t>
      </w:r>
      <w:r w:rsidRPr="005138D5">
        <w:rPr>
          <w:sz w:val="22"/>
        </w:rPr>
        <w:t xml:space="preserve"> nie należy obawiać się skutków jej przerwania. </w:t>
      </w:r>
    </w:p>
    <w:p w14:paraId="1C55503F" w14:textId="77777777" w:rsidR="0072235E" w:rsidRPr="005138D5" w:rsidRDefault="0072235E" w:rsidP="00A41668">
      <w:pPr>
        <w:rPr>
          <w:b/>
          <w:sz w:val="22"/>
        </w:rPr>
      </w:pPr>
    </w:p>
    <w:p w14:paraId="0FF444A0" w14:textId="77777777" w:rsidR="00575F5E" w:rsidRPr="005138D5" w:rsidRDefault="00575F5E" w:rsidP="00A41668">
      <w:pPr>
        <w:rPr>
          <w:b/>
          <w:sz w:val="22"/>
        </w:rPr>
      </w:pPr>
      <w:r w:rsidRPr="005138D5">
        <w:rPr>
          <w:noProof/>
          <w:sz w:val="22"/>
        </w:rPr>
        <w:t xml:space="preserve">W razie </w:t>
      </w:r>
      <w:r w:rsidR="00C57B4E" w:rsidRPr="005138D5">
        <w:rPr>
          <w:noProof/>
          <w:sz w:val="22"/>
        </w:rPr>
        <w:t xml:space="preserve">jakichkolwiek dalszych </w:t>
      </w:r>
      <w:r w:rsidRPr="005138D5">
        <w:rPr>
          <w:noProof/>
          <w:sz w:val="22"/>
        </w:rPr>
        <w:t xml:space="preserve">wątpliwości związanych ze stosowaniem </w:t>
      </w:r>
      <w:r w:rsidR="00C57B4E" w:rsidRPr="005138D5">
        <w:rPr>
          <w:noProof/>
          <w:sz w:val="22"/>
        </w:rPr>
        <w:t xml:space="preserve">tego </w:t>
      </w:r>
      <w:r w:rsidRPr="005138D5">
        <w:rPr>
          <w:noProof/>
          <w:sz w:val="22"/>
        </w:rPr>
        <w:t>leku należy zwrócić się do lekarza</w:t>
      </w:r>
      <w:r w:rsidR="00BB48E2" w:rsidRPr="005138D5">
        <w:rPr>
          <w:noProof/>
          <w:sz w:val="22"/>
        </w:rPr>
        <w:t xml:space="preserve">, </w:t>
      </w:r>
      <w:r w:rsidRPr="005138D5">
        <w:rPr>
          <w:noProof/>
          <w:sz w:val="22"/>
        </w:rPr>
        <w:t>farmaceuty</w:t>
      </w:r>
      <w:r w:rsidR="00BB48E2" w:rsidRPr="005138D5">
        <w:rPr>
          <w:noProof/>
          <w:sz w:val="22"/>
        </w:rPr>
        <w:t xml:space="preserve"> lub pielęgniarki</w:t>
      </w:r>
      <w:r w:rsidRPr="005138D5">
        <w:rPr>
          <w:noProof/>
          <w:sz w:val="22"/>
        </w:rPr>
        <w:t>.</w:t>
      </w:r>
    </w:p>
    <w:p w14:paraId="28F96965" w14:textId="77777777" w:rsidR="00575F5E" w:rsidRPr="005138D5" w:rsidRDefault="00575F5E" w:rsidP="00A41668">
      <w:pPr>
        <w:rPr>
          <w:b/>
          <w:sz w:val="22"/>
        </w:rPr>
      </w:pPr>
    </w:p>
    <w:p w14:paraId="034D152C" w14:textId="77777777" w:rsidR="00575F5E" w:rsidRPr="005138D5" w:rsidRDefault="00575F5E" w:rsidP="00A41668">
      <w:pPr>
        <w:rPr>
          <w:b/>
          <w:sz w:val="22"/>
        </w:rPr>
      </w:pPr>
    </w:p>
    <w:p w14:paraId="3F31E56B" w14:textId="77777777" w:rsidR="00575F5E" w:rsidRPr="005138D5" w:rsidRDefault="00575F5E" w:rsidP="00A41668">
      <w:pPr>
        <w:rPr>
          <w:b/>
          <w:sz w:val="22"/>
        </w:rPr>
      </w:pPr>
      <w:r w:rsidRPr="005138D5">
        <w:rPr>
          <w:b/>
          <w:sz w:val="22"/>
        </w:rPr>
        <w:t>4.</w:t>
      </w:r>
      <w:r w:rsidRPr="005138D5">
        <w:rPr>
          <w:b/>
          <w:sz w:val="22"/>
        </w:rPr>
        <w:tab/>
        <w:t>M</w:t>
      </w:r>
      <w:r w:rsidR="000A08B9" w:rsidRPr="005138D5">
        <w:rPr>
          <w:b/>
          <w:sz w:val="22"/>
        </w:rPr>
        <w:t>ożliwe działania niepożądane</w:t>
      </w:r>
    </w:p>
    <w:p w14:paraId="783B08B2" w14:textId="77777777" w:rsidR="00575F5E" w:rsidRPr="005138D5" w:rsidRDefault="00575F5E" w:rsidP="00A41668">
      <w:pPr>
        <w:rPr>
          <w:sz w:val="22"/>
        </w:rPr>
      </w:pPr>
    </w:p>
    <w:p w14:paraId="0BC988CE" w14:textId="77777777" w:rsidR="00575F5E" w:rsidRPr="005138D5" w:rsidRDefault="00575F5E" w:rsidP="00A41668">
      <w:pPr>
        <w:rPr>
          <w:sz w:val="22"/>
        </w:rPr>
      </w:pPr>
      <w:r w:rsidRPr="005138D5">
        <w:rPr>
          <w:sz w:val="22"/>
        </w:rPr>
        <w:t xml:space="preserve">Jak każdy lek, </w:t>
      </w:r>
      <w:r w:rsidR="005F351A" w:rsidRPr="005138D5">
        <w:rPr>
          <w:sz w:val="22"/>
        </w:rPr>
        <w:t xml:space="preserve">lek ten </w:t>
      </w:r>
      <w:r w:rsidRPr="005138D5">
        <w:rPr>
          <w:sz w:val="22"/>
        </w:rPr>
        <w:t>może powodować działania niepożądane, chociaż nie u każdego one wystąpią. Jeżeli występują działania niepożądane</w:t>
      </w:r>
      <w:r w:rsidR="004E6898" w:rsidRPr="005138D5">
        <w:rPr>
          <w:sz w:val="22"/>
        </w:rPr>
        <w:t>,</w:t>
      </w:r>
      <w:r w:rsidRPr="005138D5">
        <w:rPr>
          <w:sz w:val="22"/>
        </w:rPr>
        <w:t xml:space="preserve"> w większości są o małym nasileniu i przemijające. Niemniej jednak niektóre z nich mogą być poważne i mogą wymagać interwencji lekarza.</w:t>
      </w:r>
    </w:p>
    <w:p w14:paraId="4D920F4B" w14:textId="77777777" w:rsidR="00575F5E" w:rsidRPr="005138D5" w:rsidRDefault="00575F5E" w:rsidP="00A41668">
      <w:pPr>
        <w:rPr>
          <w:sz w:val="22"/>
        </w:rPr>
      </w:pPr>
    </w:p>
    <w:p w14:paraId="77617C85" w14:textId="77777777" w:rsidR="005F351A" w:rsidRPr="005138D5" w:rsidRDefault="005F351A" w:rsidP="00A41668">
      <w:pPr>
        <w:rPr>
          <w:b/>
          <w:sz w:val="22"/>
        </w:rPr>
      </w:pPr>
      <w:r w:rsidRPr="005138D5">
        <w:rPr>
          <w:b/>
          <w:sz w:val="22"/>
        </w:rPr>
        <w:t xml:space="preserve">Ciężkie działania niepożądane – należy niezwłocznie przerwać stosowanie leku </w:t>
      </w:r>
      <w:r w:rsidR="00E52A9F" w:rsidRPr="005138D5">
        <w:rPr>
          <w:b/>
          <w:sz w:val="22"/>
        </w:rPr>
        <w:t>Voriconazole Accord</w:t>
      </w:r>
      <w:r w:rsidR="00E52A9F" w:rsidRPr="005138D5" w:rsidDel="00E52A9F">
        <w:rPr>
          <w:b/>
          <w:sz w:val="22"/>
        </w:rPr>
        <w:t xml:space="preserve"> </w:t>
      </w:r>
      <w:r w:rsidRPr="005138D5">
        <w:rPr>
          <w:b/>
          <w:sz w:val="22"/>
        </w:rPr>
        <w:t>i skontaktować się z lekarzem.</w:t>
      </w:r>
    </w:p>
    <w:p w14:paraId="71F2F712" w14:textId="77777777" w:rsidR="005F351A" w:rsidRPr="005138D5" w:rsidRDefault="005F351A" w:rsidP="00DC061B">
      <w:pPr>
        <w:ind w:left="567" w:hanging="567"/>
        <w:rPr>
          <w:sz w:val="22"/>
        </w:rPr>
      </w:pPr>
      <w:r w:rsidRPr="005138D5">
        <w:rPr>
          <w:sz w:val="22"/>
        </w:rPr>
        <w:t xml:space="preserve">- </w:t>
      </w:r>
      <w:r w:rsidRPr="005138D5">
        <w:rPr>
          <w:sz w:val="22"/>
        </w:rPr>
        <w:tab/>
        <w:t>Wysypka</w:t>
      </w:r>
    </w:p>
    <w:p w14:paraId="10FD5804" w14:textId="77777777" w:rsidR="005F351A" w:rsidRPr="005138D5" w:rsidRDefault="005F351A" w:rsidP="00DC061B">
      <w:pPr>
        <w:ind w:left="567" w:hanging="567"/>
        <w:rPr>
          <w:sz w:val="22"/>
        </w:rPr>
      </w:pPr>
      <w:r w:rsidRPr="005138D5">
        <w:rPr>
          <w:sz w:val="22"/>
        </w:rPr>
        <w:t xml:space="preserve">- </w:t>
      </w:r>
      <w:r w:rsidRPr="005138D5">
        <w:rPr>
          <w:sz w:val="22"/>
        </w:rPr>
        <w:tab/>
        <w:t xml:space="preserve">Żółtaczka; </w:t>
      </w:r>
      <w:r w:rsidR="00B55E5E" w:rsidRPr="005138D5">
        <w:rPr>
          <w:sz w:val="22"/>
        </w:rPr>
        <w:t>z</w:t>
      </w:r>
      <w:r w:rsidRPr="005138D5">
        <w:rPr>
          <w:sz w:val="22"/>
        </w:rPr>
        <w:t xml:space="preserve">miany wyników badań krwi dotyczących </w:t>
      </w:r>
      <w:r w:rsidR="00FE77D5" w:rsidRPr="005138D5">
        <w:rPr>
          <w:sz w:val="22"/>
        </w:rPr>
        <w:t xml:space="preserve">czynności </w:t>
      </w:r>
      <w:r w:rsidRPr="005138D5">
        <w:rPr>
          <w:sz w:val="22"/>
        </w:rPr>
        <w:t>wątroby</w:t>
      </w:r>
    </w:p>
    <w:p w14:paraId="62264946" w14:textId="77777777" w:rsidR="005F351A" w:rsidRPr="005138D5" w:rsidRDefault="005F351A" w:rsidP="00DC061B">
      <w:pPr>
        <w:ind w:left="567" w:hanging="567"/>
        <w:rPr>
          <w:sz w:val="22"/>
        </w:rPr>
      </w:pPr>
      <w:r w:rsidRPr="005138D5">
        <w:rPr>
          <w:sz w:val="22"/>
        </w:rPr>
        <w:t xml:space="preserve">- </w:t>
      </w:r>
      <w:r w:rsidRPr="005138D5">
        <w:rPr>
          <w:sz w:val="22"/>
        </w:rPr>
        <w:tab/>
        <w:t>Zapalenie trzustki</w:t>
      </w:r>
    </w:p>
    <w:p w14:paraId="71D5E8A1" w14:textId="77777777" w:rsidR="005F351A" w:rsidRPr="005138D5" w:rsidRDefault="005F351A" w:rsidP="00A41668">
      <w:pPr>
        <w:rPr>
          <w:sz w:val="22"/>
        </w:rPr>
      </w:pPr>
    </w:p>
    <w:p w14:paraId="364A5F67" w14:textId="77777777" w:rsidR="005F351A" w:rsidRPr="005138D5" w:rsidRDefault="005F351A" w:rsidP="00A41668">
      <w:pPr>
        <w:rPr>
          <w:b/>
          <w:sz w:val="22"/>
        </w:rPr>
      </w:pPr>
      <w:r w:rsidRPr="005138D5">
        <w:rPr>
          <w:b/>
          <w:sz w:val="22"/>
        </w:rPr>
        <w:t>Inne działania niepożądane</w:t>
      </w:r>
    </w:p>
    <w:p w14:paraId="5E3AB015" w14:textId="77777777" w:rsidR="005F351A" w:rsidRPr="005138D5" w:rsidRDefault="005F351A" w:rsidP="00A41668">
      <w:pPr>
        <w:rPr>
          <w:sz w:val="22"/>
        </w:rPr>
      </w:pPr>
    </w:p>
    <w:p w14:paraId="0C820247" w14:textId="77777777" w:rsidR="00575F5E" w:rsidRPr="005138D5" w:rsidRDefault="00575F5E" w:rsidP="00A41668">
      <w:pPr>
        <w:rPr>
          <w:sz w:val="22"/>
        </w:rPr>
      </w:pPr>
      <w:r w:rsidRPr="005138D5">
        <w:rPr>
          <w:sz w:val="22"/>
        </w:rPr>
        <w:t>Bardzo częste</w:t>
      </w:r>
      <w:r w:rsidR="00377062" w:rsidRPr="005138D5">
        <w:rPr>
          <w:sz w:val="22"/>
        </w:rPr>
        <w:t xml:space="preserve">: </w:t>
      </w:r>
      <w:r w:rsidR="005F351A" w:rsidRPr="005138D5">
        <w:rPr>
          <w:sz w:val="22"/>
        </w:rPr>
        <w:t xml:space="preserve">mogą wystąpić u więcej niż </w:t>
      </w:r>
      <w:r w:rsidRPr="005138D5">
        <w:rPr>
          <w:sz w:val="22"/>
        </w:rPr>
        <w:t xml:space="preserve">1 na 10 </w:t>
      </w:r>
      <w:r w:rsidR="005060A8" w:rsidRPr="005138D5">
        <w:rPr>
          <w:sz w:val="22"/>
        </w:rPr>
        <w:t>osób</w:t>
      </w:r>
    </w:p>
    <w:p w14:paraId="729E1FCD" w14:textId="77777777" w:rsidR="00C57B4E" w:rsidRPr="005138D5" w:rsidRDefault="00C57B4E" w:rsidP="00A41668">
      <w:pPr>
        <w:rPr>
          <w:sz w:val="22"/>
        </w:rPr>
      </w:pPr>
    </w:p>
    <w:p w14:paraId="3736FCA6" w14:textId="77777777" w:rsidR="00575F5E" w:rsidRPr="005138D5" w:rsidRDefault="00575F5E" w:rsidP="00D87DEB">
      <w:pPr>
        <w:numPr>
          <w:ilvl w:val="0"/>
          <w:numId w:val="31"/>
        </w:numPr>
        <w:tabs>
          <w:tab w:val="clear" w:pos="340"/>
          <w:tab w:val="num" w:pos="567"/>
        </w:tabs>
        <w:ind w:left="567" w:hanging="567"/>
        <w:rPr>
          <w:sz w:val="22"/>
        </w:rPr>
      </w:pPr>
      <w:r w:rsidRPr="005138D5">
        <w:rPr>
          <w:sz w:val="22"/>
        </w:rPr>
        <w:t xml:space="preserve">Zaburzenia widzenia </w:t>
      </w:r>
      <w:r w:rsidR="005060A8" w:rsidRPr="005138D5">
        <w:rPr>
          <w:sz w:val="22"/>
        </w:rPr>
        <w:t>(zmiany dotyczące widzenia, w tym nieostre widzenie, zmiany widzenia barwnego, nieprawidłowa nietolerancja światła, brak widzenia barw, zaburzenia oka, widzenie z poświatą, ślepota nocna, wrażenie drgania obrazu, widzenie iskier, aura wzrokowa, zmniejszenie ostrości widzenia, jasne widzenie, utrata części zwykłego pola widzenia, mroczki przed oczami)</w:t>
      </w:r>
    </w:p>
    <w:p w14:paraId="53874BD6" w14:textId="77777777" w:rsidR="00575F5E" w:rsidRPr="005138D5" w:rsidRDefault="00575F5E" w:rsidP="00DC061B">
      <w:pPr>
        <w:numPr>
          <w:ilvl w:val="0"/>
          <w:numId w:val="31"/>
        </w:numPr>
        <w:tabs>
          <w:tab w:val="clear" w:pos="340"/>
          <w:tab w:val="num" w:pos="567"/>
        </w:tabs>
        <w:ind w:left="567" w:hanging="567"/>
        <w:rPr>
          <w:sz w:val="22"/>
        </w:rPr>
      </w:pPr>
      <w:r w:rsidRPr="005138D5">
        <w:rPr>
          <w:sz w:val="22"/>
        </w:rPr>
        <w:t>Gorączka</w:t>
      </w:r>
    </w:p>
    <w:p w14:paraId="0875414A" w14:textId="77777777" w:rsidR="00575F5E" w:rsidRPr="005138D5" w:rsidRDefault="00575F5E" w:rsidP="00DC061B">
      <w:pPr>
        <w:numPr>
          <w:ilvl w:val="0"/>
          <w:numId w:val="31"/>
        </w:numPr>
        <w:tabs>
          <w:tab w:val="clear" w:pos="340"/>
          <w:tab w:val="num" w:pos="567"/>
        </w:tabs>
        <w:ind w:left="567" w:hanging="567"/>
        <w:rPr>
          <w:sz w:val="22"/>
        </w:rPr>
      </w:pPr>
      <w:r w:rsidRPr="005138D5">
        <w:rPr>
          <w:sz w:val="22"/>
        </w:rPr>
        <w:t>Wysypka</w:t>
      </w:r>
    </w:p>
    <w:p w14:paraId="1556609E" w14:textId="77777777" w:rsidR="00575F5E" w:rsidRPr="005138D5" w:rsidRDefault="00575F5E" w:rsidP="00DC061B">
      <w:pPr>
        <w:numPr>
          <w:ilvl w:val="0"/>
          <w:numId w:val="31"/>
        </w:numPr>
        <w:tabs>
          <w:tab w:val="clear" w:pos="340"/>
          <w:tab w:val="num" w:pos="567"/>
        </w:tabs>
        <w:ind w:left="567" w:hanging="567"/>
        <w:rPr>
          <w:sz w:val="22"/>
        </w:rPr>
      </w:pPr>
      <w:r w:rsidRPr="005138D5">
        <w:rPr>
          <w:sz w:val="22"/>
        </w:rPr>
        <w:t>Nudności, wymioty, biegunka</w:t>
      </w:r>
    </w:p>
    <w:p w14:paraId="2DC551BC" w14:textId="77777777" w:rsidR="00575F5E" w:rsidRPr="005138D5" w:rsidRDefault="00575F5E" w:rsidP="00DC061B">
      <w:pPr>
        <w:numPr>
          <w:ilvl w:val="0"/>
          <w:numId w:val="31"/>
        </w:numPr>
        <w:tabs>
          <w:tab w:val="clear" w:pos="340"/>
          <w:tab w:val="num" w:pos="567"/>
        </w:tabs>
        <w:ind w:left="567" w:hanging="567"/>
        <w:rPr>
          <w:sz w:val="22"/>
        </w:rPr>
      </w:pPr>
      <w:r w:rsidRPr="005138D5">
        <w:rPr>
          <w:sz w:val="22"/>
        </w:rPr>
        <w:t>Ból głowy</w:t>
      </w:r>
    </w:p>
    <w:p w14:paraId="05DD65F4" w14:textId="77777777" w:rsidR="00575F5E" w:rsidRPr="005138D5" w:rsidRDefault="00575F5E" w:rsidP="00DC061B">
      <w:pPr>
        <w:numPr>
          <w:ilvl w:val="0"/>
          <w:numId w:val="31"/>
        </w:numPr>
        <w:tabs>
          <w:tab w:val="clear" w:pos="340"/>
          <w:tab w:val="num" w:pos="567"/>
        </w:tabs>
        <w:ind w:left="567" w:hanging="567"/>
        <w:rPr>
          <w:sz w:val="22"/>
        </w:rPr>
      </w:pPr>
      <w:r w:rsidRPr="005138D5">
        <w:rPr>
          <w:sz w:val="22"/>
        </w:rPr>
        <w:t>Obrzęk obwodowy</w:t>
      </w:r>
    </w:p>
    <w:p w14:paraId="199CEE27" w14:textId="77777777" w:rsidR="00575F5E" w:rsidRPr="005138D5" w:rsidRDefault="00575F5E" w:rsidP="00DC061B">
      <w:pPr>
        <w:numPr>
          <w:ilvl w:val="0"/>
          <w:numId w:val="31"/>
        </w:numPr>
        <w:tabs>
          <w:tab w:val="clear" w:pos="340"/>
          <w:tab w:val="num" w:pos="567"/>
        </w:tabs>
        <w:ind w:left="567" w:hanging="567"/>
        <w:rPr>
          <w:sz w:val="22"/>
        </w:rPr>
      </w:pPr>
      <w:r w:rsidRPr="005138D5">
        <w:rPr>
          <w:sz w:val="22"/>
        </w:rPr>
        <w:t>Bóle brzucha</w:t>
      </w:r>
    </w:p>
    <w:p w14:paraId="3468FD99" w14:textId="77777777" w:rsidR="00B3743B" w:rsidRPr="005138D5" w:rsidRDefault="00B3743B" w:rsidP="00DC061B">
      <w:pPr>
        <w:numPr>
          <w:ilvl w:val="0"/>
          <w:numId w:val="31"/>
        </w:numPr>
        <w:tabs>
          <w:tab w:val="clear" w:pos="340"/>
          <w:tab w:val="num" w:pos="567"/>
        </w:tabs>
        <w:ind w:left="567" w:hanging="567"/>
        <w:rPr>
          <w:sz w:val="22"/>
        </w:rPr>
      </w:pPr>
      <w:r w:rsidRPr="005138D5">
        <w:rPr>
          <w:sz w:val="22"/>
        </w:rPr>
        <w:t>Trudności w oddychaniu</w:t>
      </w:r>
    </w:p>
    <w:p w14:paraId="3AD5AF99" w14:textId="77777777" w:rsidR="005060A8" w:rsidRPr="005138D5" w:rsidRDefault="005060A8" w:rsidP="005060A8">
      <w:pPr>
        <w:numPr>
          <w:ilvl w:val="0"/>
          <w:numId w:val="73"/>
        </w:numPr>
        <w:ind w:left="567" w:hanging="567"/>
        <w:rPr>
          <w:sz w:val="22"/>
        </w:rPr>
      </w:pPr>
      <w:r w:rsidRPr="005138D5">
        <w:rPr>
          <w:sz w:val="22"/>
        </w:rPr>
        <w:t>Zwiększona aktywność enzymów wątrobowych</w:t>
      </w:r>
    </w:p>
    <w:p w14:paraId="32BE5254" w14:textId="77777777" w:rsidR="00575F5E" w:rsidRPr="00CF52EF" w:rsidRDefault="00575F5E" w:rsidP="005060A8">
      <w:pPr>
        <w:ind w:left="720"/>
        <w:rPr>
          <w:sz w:val="16"/>
        </w:rPr>
      </w:pPr>
    </w:p>
    <w:p w14:paraId="4A6940E0" w14:textId="77777777" w:rsidR="005060A8" w:rsidRPr="005138D5" w:rsidRDefault="005060A8" w:rsidP="005060A8">
      <w:pPr>
        <w:ind w:left="720"/>
        <w:rPr>
          <w:sz w:val="22"/>
        </w:rPr>
      </w:pPr>
    </w:p>
    <w:p w14:paraId="42EA9B7B" w14:textId="77777777" w:rsidR="00575F5E" w:rsidRPr="005138D5" w:rsidRDefault="00575F5E" w:rsidP="00A41668">
      <w:pPr>
        <w:rPr>
          <w:sz w:val="22"/>
        </w:rPr>
      </w:pPr>
      <w:r w:rsidRPr="005138D5">
        <w:rPr>
          <w:sz w:val="22"/>
        </w:rPr>
        <w:t>Częste</w:t>
      </w:r>
      <w:r w:rsidR="005060A8" w:rsidRPr="005138D5">
        <w:rPr>
          <w:sz w:val="22"/>
        </w:rPr>
        <w:t>:</w:t>
      </w:r>
      <w:r w:rsidRPr="005138D5">
        <w:rPr>
          <w:sz w:val="22"/>
        </w:rPr>
        <w:t xml:space="preserve"> </w:t>
      </w:r>
      <w:r w:rsidR="005F351A" w:rsidRPr="005138D5">
        <w:rPr>
          <w:sz w:val="22"/>
        </w:rPr>
        <w:t xml:space="preserve">mogą wystąpić </w:t>
      </w:r>
      <w:r w:rsidR="005060A8" w:rsidRPr="005138D5">
        <w:rPr>
          <w:sz w:val="22"/>
        </w:rPr>
        <w:t>rzadziej</w:t>
      </w:r>
      <w:r w:rsidR="00C57B4E" w:rsidRPr="005138D5">
        <w:rPr>
          <w:sz w:val="22"/>
        </w:rPr>
        <w:t xml:space="preserve"> niż </w:t>
      </w:r>
      <w:r w:rsidR="005F351A" w:rsidRPr="005138D5">
        <w:rPr>
          <w:sz w:val="22"/>
        </w:rPr>
        <w:t xml:space="preserve">u </w:t>
      </w:r>
      <w:r w:rsidRPr="005138D5">
        <w:rPr>
          <w:sz w:val="22"/>
        </w:rPr>
        <w:t xml:space="preserve">1 na 10 </w:t>
      </w:r>
      <w:r w:rsidR="005060A8" w:rsidRPr="005138D5">
        <w:rPr>
          <w:sz w:val="22"/>
        </w:rPr>
        <w:t>osób</w:t>
      </w:r>
    </w:p>
    <w:p w14:paraId="3D5B89D0" w14:textId="77777777" w:rsidR="00D87DEB" w:rsidRPr="005138D5" w:rsidRDefault="00D87DEB" w:rsidP="00A41668">
      <w:pPr>
        <w:rPr>
          <w:sz w:val="22"/>
        </w:rPr>
      </w:pPr>
    </w:p>
    <w:p w14:paraId="7BC2B904" w14:textId="77777777" w:rsidR="00575F5E" w:rsidRPr="005138D5" w:rsidRDefault="00DC34CC" w:rsidP="00DC061B">
      <w:pPr>
        <w:numPr>
          <w:ilvl w:val="0"/>
          <w:numId w:val="32"/>
        </w:numPr>
        <w:tabs>
          <w:tab w:val="clear" w:pos="340"/>
          <w:tab w:val="num" w:pos="567"/>
        </w:tabs>
        <w:ind w:left="567" w:hanging="567"/>
        <w:rPr>
          <w:sz w:val="22"/>
        </w:rPr>
      </w:pPr>
      <w:r w:rsidRPr="005138D5">
        <w:rPr>
          <w:sz w:val="22"/>
        </w:rPr>
        <w:t>Z</w:t>
      </w:r>
      <w:r w:rsidR="00575F5E" w:rsidRPr="005138D5">
        <w:rPr>
          <w:sz w:val="22"/>
        </w:rPr>
        <w:t xml:space="preserve">apalenie zatok, </w:t>
      </w:r>
      <w:r w:rsidR="00B3743B" w:rsidRPr="005138D5">
        <w:rPr>
          <w:sz w:val="22"/>
        </w:rPr>
        <w:t xml:space="preserve">zapalenie dziąseł, </w:t>
      </w:r>
      <w:r w:rsidR="00575F5E" w:rsidRPr="005138D5">
        <w:rPr>
          <w:sz w:val="22"/>
        </w:rPr>
        <w:t>dreszcze, osłabienie</w:t>
      </w:r>
    </w:p>
    <w:p w14:paraId="7840C117" w14:textId="77777777" w:rsidR="00575F5E" w:rsidRPr="005138D5" w:rsidRDefault="00A73C2F" w:rsidP="005060A8">
      <w:pPr>
        <w:numPr>
          <w:ilvl w:val="0"/>
          <w:numId w:val="32"/>
        </w:numPr>
        <w:tabs>
          <w:tab w:val="clear" w:pos="340"/>
          <w:tab w:val="num" w:pos="567"/>
        </w:tabs>
        <w:ind w:left="567" w:hanging="567"/>
        <w:rPr>
          <w:sz w:val="22"/>
        </w:rPr>
      </w:pPr>
      <w:r w:rsidRPr="005138D5">
        <w:rPr>
          <w:sz w:val="22"/>
        </w:rPr>
        <w:t>M</w:t>
      </w:r>
      <w:r w:rsidR="00575F5E" w:rsidRPr="005138D5">
        <w:rPr>
          <w:sz w:val="22"/>
        </w:rPr>
        <w:t xml:space="preserve">ała liczba </w:t>
      </w:r>
      <w:r w:rsidR="00B3743B" w:rsidRPr="005138D5">
        <w:rPr>
          <w:sz w:val="22"/>
        </w:rPr>
        <w:t xml:space="preserve">niektórych rodzajów </w:t>
      </w:r>
      <w:r w:rsidR="005060A8" w:rsidRPr="005138D5">
        <w:rPr>
          <w:sz w:val="22"/>
        </w:rPr>
        <w:t xml:space="preserve">krwinek, w tym o ciężkim przebiegu, </w:t>
      </w:r>
      <w:r w:rsidR="00B3743B" w:rsidRPr="005138D5">
        <w:rPr>
          <w:sz w:val="22"/>
        </w:rPr>
        <w:t xml:space="preserve">czerwonych </w:t>
      </w:r>
      <w:r w:rsidR="005060A8" w:rsidRPr="005138D5">
        <w:rPr>
          <w:sz w:val="22"/>
        </w:rPr>
        <w:t>(czasami związana z odpornością) i (</w:t>
      </w:r>
      <w:r w:rsidR="00B3743B" w:rsidRPr="005138D5">
        <w:rPr>
          <w:sz w:val="22"/>
        </w:rPr>
        <w:t>lub</w:t>
      </w:r>
      <w:r w:rsidR="005060A8" w:rsidRPr="005138D5">
        <w:rPr>
          <w:sz w:val="22"/>
        </w:rPr>
        <w:t>)</w:t>
      </w:r>
      <w:r w:rsidR="00B3743B" w:rsidRPr="005138D5">
        <w:rPr>
          <w:sz w:val="22"/>
        </w:rPr>
        <w:t xml:space="preserve"> białych krwinek</w:t>
      </w:r>
      <w:r w:rsidR="005060A8" w:rsidRPr="005138D5">
        <w:rPr>
          <w:sz w:val="22"/>
        </w:rPr>
        <w:t xml:space="preserve"> (czasami przebiegająca z gorączką)</w:t>
      </w:r>
      <w:r w:rsidR="00B3743B" w:rsidRPr="005138D5">
        <w:rPr>
          <w:sz w:val="22"/>
        </w:rPr>
        <w:t xml:space="preserve">, mała liczba </w:t>
      </w:r>
      <w:r w:rsidR="00575F5E" w:rsidRPr="005138D5">
        <w:rPr>
          <w:sz w:val="22"/>
        </w:rPr>
        <w:t>komórek krwi nazywanych płytkami, które pomagają w krzepnięciu krwi</w:t>
      </w:r>
    </w:p>
    <w:p w14:paraId="673C8C42" w14:textId="77777777" w:rsidR="00B3743B" w:rsidRPr="005138D5" w:rsidRDefault="00B3743B" w:rsidP="00CB5019">
      <w:pPr>
        <w:numPr>
          <w:ilvl w:val="0"/>
          <w:numId w:val="32"/>
        </w:numPr>
        <w:tabs>
          <w:tab w:val="clear" w:pos="340"/>
          <w:tab w:val="left" w:pos="426"/>
          <w:tab w:val="num" w:pos="567"/>
        </w:tabs>
        <w:ind w:left="567" w:hanging="567"/>
        <w:rPr>
          <w:sz w:val="22"/>
        </w:rPr>
      </w:pPr>
      <w:r w:rsidRPr="005138D5">
        <w:rPr>
          <w:sz w:val="22"/>
        </w:rPr>
        <w:tab/>
        <w:t>Małe stężenie cukru we krwi, małe stężenie potasu we krwi, małe stężenie sodu we krwi</w:t>
      </w:r>
    </w:p>
    <w:p w14:paraId="18DDB864" w14:textId="77777777" w:rsidR="00B3743B" w:rsidRPr="005138D5" w:rsidRDefault="00A73C2F" w:rsidP="00DC061B">
      <w:pPr>
        <w:numPr>
          <w:ilvl w:val="0"/>
          <w:numId w:val="32"/>
        </w:numPr>
        <w:tabs>
          <w:tab w:val="clear" w:pos="340"/>
          <w:tab w:val="num" w:pos="567"/>
        </w:tabs>
        <w:ind w:left="567" w:hanging="567"/>
        <w:rPr>
          <w:sz w:val="22"/>
        </w:rPr>
      </w:pPr>
      <w:r w:rsidRPr="005138D5">
        <w:rPr>
          <w:sz w:val="22"/>
        </w:rPr>
        <w:t xml:space="preserve">Niepokój, depresja, uczucie splątania, pobudzenie, </w:t>
      </w:r>
      <w:r w:rsidR="00B3743B" w:rsidRPr="005138D5">
        <w:rPr>
          <w:sz w:val="22"/>
        </w:rPr>
        <w:t>bezsenność,</w:t>
      </w:r>
      <w:r w:rsidR="00B3743B" w:rsidRPr="005138D5" w:rsidDel="00B3743B">
        <w:rPr>
          <w:sz w:val="22"/>
        </w:rPr>
        <w:t xml:space="preserve"> </w:t>
      </w:r>
      <w:r w:rsidRPr="005138D5">
        <w:rPr>
          <w:sz w:val="22"/>
        </w:rPr>
        <w:t>omamy</w:t>
      </w:r>
    </w:p>
    <w:p w14:paraId="0CF783D6" w14:textId="77777777" w:rsidR="00B3743B" w:rsidRPr="005138D5" w:rsidRDefault="00B3743B" w:rsidP="00B3743B">
      <w:pPr>
        <w:numPr>
          <w:ilvl w:val="0"/>
          <w:numId w:val="32"/>
        </w:numPr>
        <w:tabs>
          <w:tab w:val="clear" w:pos="340"/>
          <w:tab w:val="left" w:pos="567"/>
        </w:tabs>
        <w:ind w:left="567" w:hanging="567"/>
        <w:rPr>
          <w:sz w:val="22"/>
        </w:rPr>
      </w:pPr>
      <w:r w:rsidRPr="005138D5">
        <w:rPr>
          <w:sz w:val="22"/>
        </w:rPr>
        <w:t>Drgawki, drżenie lub niekontrolowane ruchy mięśni, mrowienie lub nietypowe wrażenia czuciowe skóry, wzrost napięcia mięśniowego, senność, zawroty głowy</w:t>
      </w:r>
    </w:p>
    <w:p w14:paraId="0E89625E" w14:textId="77777777" w:rsidR="00007491" w:rsidRPr="005138D5" w:rsidRDefault="006B3DE7" w:rsidP="00DC061B">
      <w:pPr>
        <w:numPr>
          <w:ilvl w:val="0"/>
          <w:numId w:val="32"/>
        </w:numPr>
        <w:tabs>
          <w:tab w:val="clear" w:pos="340"/>
          <w:tab w:val="num" w:pos="567"/>
        </w:tabs>
        <w:ind w:left="567" w:hanging="567"/>
        <w:rPr>
          <w:sz w:val="22"/>
        </w:rPr>
      </w:pPr>
      <w:r w:rsidRPr="005138D5">
        <w:rPr>
          <w:sz w:val="22"/>
        </w:rPr>
        <w:t>Krwawienie w oku</w:t>
      </w:r>
    </w:p>
    <w:p w14:paraId="478F5769" w14:textId="77777777" w:rsidR="00575F5E" w:rsidRPr="005138D5" w:rsidRDefault="006B3DE7" w:rsidP="00DC061B">
      <w:pPr>
        <w:numPr>
          <w:ilvl w:val="0"/>
          <w:numId w:val="32"/>
        </w:numPr>
        <w:tabs>
          <w:tab w:val="clear" w:pos="340"/>
          <w:tab w:val="num" w:pos="567"/>
        </w:tabs>
        <w:ind w:left="567" w:hanging="567"/>
        <w:rPr>
          <w:sz w:val="22"/>
        </w:rPr>
      </w:pPr>
      <w:r w:rsidRPr="005138D5">
        <w:rPr>
          <w:sz w:val="22"/>
        </w:rPr>
        <w:t>Zaburzenia rytmu serca, w tym bardzo szybkie bicie serca, bardzo wolne bicie serca, omdlenia, n</w:t>
      </w:r>
      <w:r w:rsidR="00575F5E" w:rsidRPr="005138D5">
        <w:rPr>
          <w:sz w:val="22"/>
        </w:rPr>
        <w:t>iskie ciśnienie krwi, zapalenie żył (które może być związane z tworzeniem się zakrzepów)</w:t>
      </w:r>
    </w:p>
    <w:p w14:paraId="611937E0" w14:textId="77777777" w:rsidR="00575F5E" w:rsidRPr="005138D5" w:rsidRDefault="00575F5E" w:rsidP="005060A8">
      <w:pPr>
        <w:numPr>
          <w:ilvl w:val="0"/>
          <w:numId w:val="32"/>
        </w:numPr>
        <w:tabs>
          <w:tab w:val="clear" w:pos="340"/>
          <w:tab w:val="num" w:pos="567"/>
        </w:tabs>
        <w:ind w:left="567" w:hanging="567"/>
        <w:rPr>
          <w:sz w:val="22"/>
        </w:rPr>
      </w:pPr>
      <w:r w:rsidRPr="005138D5">
        <w:rPr>
          <w:sz w:val="22"/>
        </w:rPr>
        <w:t>Trudności w oddychaniu</w:t>
      </w:r>
      <w:r w:rsidR="005060A8" w:rsidRPr="005138D5">
        <w:rPr>
          <w:sz w:val="22"/>
        </w:rPr>
        <w:t xml:space="preserve"> o przebiegu ostrym</w:t>
      </w:r>
      <w:r w:rsidRPr="005138D5">
        <w:rPr>
          <w:sz w:val="22"/>
        </w:rPr>
        <w:t xml:space="preserve">, ból w klatce piersiowej, </w:t>
      </w:r>
      <w:r w:rsidR="006B3DE7" w:rsidRPr="005138D5">
        <w:rPr>
          <w:sz w:val="22"/>
        </w:rPr>
        <w:t>obrzęk twarzy</w:t>
      </w:r>
      <w:r w:rsidR="005060A8" w:rsidRPr="005138D5">
        <w:rPr>
          <w:sz w:val="22"/>
        </w:rPr>
        <w:t xml:space="preserve"> (jamy ustnej, warg oraz wokół oczu)</w:t>
      </w:r>
      <w:r w:rsidR="006B3DE7" w:rsidRPr="005138D5">
        <w:rPr>
          <w:sz w:val="22"/>
        </w:rPr>
        <w:t xml:space="preserve">, </w:t>
      </w:r>
      <w:r w:rsidRPr="005138D5">
        <w:rPr>
          <w:sz w:val="22"/>
        </w:rPr>
        <w:t>zatrzymanie płynu w płucach</w:t>
      </w:r>
    </w:p>
    <w:p w14:paraId="1F817953" w14:textId="77777777" w:rsidR="00A73C2F" w:rsidRPr="005138D5" w:rsidRDefault="006B3DE7" w:rsidP="003A3EE1">
      <w:pPr>
        <w:numPr>
          <w:ilvl w:val="0"/>
          <w:numId w:val="32"/>
        </w:numPr>
        <w:tabs>
          <w:tab w:val="clear" w:pos="340"/>
          <w:tab w:val="num" w:pos="567"/>
        </w:tabs>
        <w:ind w:left="567" w:hanging="567"/>
        <w:rPr>
          <w:sz w:val="22"/>
        </w:rPr>
      </w:pPr>
      <w:r w:rsidRPr="005138D5">
        <w:rPr>
          <w:sz w:val="22"/>
        </w:rPr>
        <w:t>Zaparcia, niestrawność, zapalenie warg</w:t>
      </w:r>
    </w:p>
    <w:p w14:paraId="45181CAD" w14:textId="77777777" w:rsidR="00575F5E" w:rsidRPr="005138D5" w:rsidRDefault="00575F5E" w:rsidP="003A3EE1">
      <w:pPr>
        <w:numPr>
          <w:ilvl w:val="0"/>
          <w:numId w:val="32"/>
        </w:numPr>
        <w:tabs>
          <w:tab w:val="clear" w:pos="340"/>
          <w:tab w:val="num" w:pos="567"/>
        </w:tabs>
        <w:ind w:left="567"/>
        <w:rPr>
          <w:sz w:val="22"/>
        </w:rPr>
      </w:pPr>
      <w:r w:rsidRPr="005138D5">
        <w:rPr>
          <w:sz w:val="22"/>
        </w:rPr>
        <w:t xml:space="preserve">Żółtaczka, </w:t>
      </w:r>
      <w:r w:rsidR="00007491" w:rsidRPr="005138D5">
        <w:rPr>
          <w:sz w:val="22"/>
        </w:rPr>
        <w:t>zapalenie wątroby</w:t>
      </w:r>
      <w:r w:rsidR="005060A8" w:rsidRPr="005138D5">
        <w:rPr>
          <w:sz w:val="22"/>
        </w:rPr>
        <w:t xml:space="preserve"> i uszkodzenie wątroby</w:t>
      </w:r>
    </w:p>
    <w:p w14:paraId="4910E32D" w14:textId="77777777" w:rsidR="00007491" w:rsidRPr="005138D5" w:rsidRDefault="00007491" w:rsidP="005060A8">
      <w:pPr>
        <w:numPr>
          <w:ilvl w:val="0"/>
          <w:numId w:val="32"/>
        </w:numPr>
        <w:tabs>
          <w:tab w:val="clear" w:pos="340"/>
          <w:tab w:val="num" w:pos="567"/>
        </w:tabs>
        <w:ind w:left="567" w:hanging="567"/>
        <w:rPr>
          <w:sz w:val="22"/>
        </w:rPr>
      </w:pPr>
      <w:r w:rsidRPr="005138D5">
        <w:rPr>
          <w:sz w:val="22"/>
        </w:rPr>
        <w:t>Wysypki mogące prowadzić do ciężkiej postaci pęcherzy oraz złuszczania się skóry charakteryzującego się płaskim, czerwonym obszarem na skórze, pokrytym małymi zlewającymi się guzami</w:t>
      </w:r>
      <w:r w:rsidR="005060A8" w:rsidRPr="005138D5">
        <w:rPr>
          <w:sz w:val="22"/>
        </w:rPr>
        <w:t>, zaczerwienienie skóry</w:t>
      </w:r>
    </w:p>
    <w:p w14:paraId="27E81662" w14:textId="77777777" w:rsidR="00575F5E" w:rsidRPr="005138D5" w:rsidRDefault="00575F5E" w:rsidP="00DC061B">
      <w:pPr>
        <w:numPr>
          <w:ilvl w:val="0"/>
          <w:numId w:val="32"/>
        </w:numPr>
        <w:tabs>
          <w:tab w:val="clear" w:pos="340"/>
          <w:tab w:val="num" w:pos="567"/>
        </w:tabs>
        <w:ind w:left="567" w:hanging="567"/>
        <w:rPr>
          <w:sz w:val="22"/>
        </w:rPr>
      </w:pPr>
      <w:r w:rsidRPr="005138D5">
        <w:rPr>
          <w:sz w:val="22"/>
        </w:rPr>
        <w:t>Swędzenie</w:t>
      </w:r>
    </w:p>
    <w:p w14:paraId="0DAF69B3" w14:textId="77777777" w:rsidR="00575F5E" w:rsidRPr="005138D5" w:rsidRDefault="00575F5E" w:rsidP="00DC061B">
      <w:pPr>
        <w:numPr>
          <w:ilvl w:val="0"/>
          <w:numId w:val="32"/>
        </w:numPr>
        <w:tabs>
          <w:tab w:val="clear" w:pos="340"/>
          <w:tab w:val="num" w:pos="567"/>
        </w:tabs>
        <w:ind w:left="567" w:hanging="567"/>
        <w:rPr>
          <w:sz w:val="22"/>
        </w:rPr>
      </w:pPr>
      <w:r w:rsidRPr="005138D5">
        <w:rPr>
          <w:sz w:val="22"/>
        </w:rPr>
        <w:t>Łysienie</w:t>
      </w:r>
    </w:p>
    <w:p w14:paraId="1D769F11" w14:textId="77777777" w:rsidR="00575F5E" w:rsidRPr="005138D5" w:rsidRDefault="00575F5E" w:rsidP="00DC061B">
      <w:pPr>
        <w:numPr>
          <w:ilvl w:val="0"/>
          <w:numId w:val="32"/>
        </w:numPr>
        <w:tabs>
          <w:tab w:val="clear" w:pos="340"/>
          <w:tab w:val="num" w:pos="567"/>
        </w:tabs>
        <w:ind w:left="567" w:hanging="567"/>
        <w:rPr>
          <w:sz w:val="22"/>
        </w:rPr>
      </w:pPr>
      <w:r w:rsidRPr="005138D5">
        <w:rPr>
          <w:sz w:val="22"/>
        </w:rPr>
        <w:t>Ból pleców</w:t>
      </w:r>
    </w:p>
    <w:p w14:paraId="6AC11B00" w14:textId="77777777" w:rsidR="00575F5E" w:rsidRDefault="00575F5E" w:rsidP="00DC061B">
      <w:pPr>
        <w:numPr>
          <w:ilvl w:val="0"/>
          <w:numId w:val="32"/>
        </w:numPr>
        <w:tabs>
          <w:tab w:val="clear" w:pos="340"/>
          <w:tab w:val="num" w:pos="567"/>
        </w:tabs>
        <w:ind w:left="567" w:hanging="567"/>
        <w:rPr>
          <w:sz w:val="22"/>
        </w:rPr>
      </w:pPr>
      <w:r w:rsidRPr="005138D5">
        <w:rPr>
          <w:sz w:val="22"/>
        </w:rPr>
        <w:t>Niewydolność nerek, krew w moczu, zmiany w badaniach czynności nerek</w:t>
      </w:r>
    </w:p>
    <w:p w14:paraId="3D10C3E5" w14:textId="77777777" w:rsidR="003A3EE1" w:rsidRPr="003A3EE1" w:rsidRDefault="003A3EE1" w:rsidP="00CB5019">
      <w:pPr>
        <w:numPr>
          <w:ilvl w:val="0"/>
          <w:numId w:val="32"/>
        </w:numPr>
        <w:tabs>
          <w:tab w:val="clear" w:pos="340"/>
        </w:tabs>
        <w:ind w:left="567" w:hanging="567"/>
        <w:rPr>
          <w:sz w:val="22"/>
        </w:rPr>
      </w:pPr>
      <w:r w:rsidRPr="003A3EE1">
        <w:rPr>
          <w:sz w:val="22"/>
        </w:rPr>
        <w:t>Oparzenie słoneczne lub ciężka reakcja skórna po ekspozycji na światło lub słońce</w:t>
      </w:r>
    </w:p>
    <w:p w14:paraId="47380314" w14:textId="77777777" w:rsidR="003A3EE1" w:rsidRPr="003A3EE1" w:rsidRDefault="003A3EE1" w:rsidP="00CB5019">
      <w:pPr>
        <w:numPr>
          <w:ilvl w:val="0"/>
          <w:numId w:val="32"/>
        </w:numPr>
        <w:tabs>
          <w:tab w:val="clear" w:pos="340"/>
        </w:tabs>
        <w:ind w:left="567" w:hanging="567"/>
        <w:rPr>
          <w:sz w:val="22"/>
        </w:rPr>
      </w:pPr>
      <w:r w:rsidRPr="003A3EE1">
        <w:rPr>
          <w:sz w:val="22"/>
        </w:rPr>
        <w:t>Rak skóry</w:t>
      </w:r>
    </w:p>
    <w:p w14:paraId="1D1FA2D1" w14:textId="77777777" w:rsidR="003A3EE1" w:rsidRPr="005138D5" w:rsidRDefault="003A3EE1" w:rsidP="00CB5019">
      <w:pPr>
        <w:ind w:left="567"/>
        <w:rPr>
          <w:sz w:val="22"/>
        </w:rPr>
      </w:pPr>
    </w:p>
    <w:p w14:paraId="0D35C850" w14:textId="77777777" w:rsidR="00575F5E" w:rsidRPr="005138D5" w:rsidRDefault="00575F5E" w:rsidP="00A41668">
      <w:pPr>
        <w:rPr>
          <w:sz w:val="22"/>
        </w:rPr>
      </w:pPr>
    </w:p>
    <w:p w14:paraId="63525B75" w14:textId="77777777" w:rsidR="00575F5E" w:rsidRPr="005138D5" w:rsidRDefault="00575F5E" w:rsidP="00A41668">
      <w:pPr>
        <w:rPr>
          <w:sz w:val="22"/>
        </w:rPr>
      </w:pPr>
      <w:r w:rsidRPr="005138D5">
        <w:rPr>
          <w:sz w:val="22"/>
        </w:rPr>
        <w:t>Niezbyt częste</w:t>
      </w:r>
      <w:r w:rsidR="00C87B1B" w:rsidRPr="005138D5">
        <w:rPr>
          <w:sz w:val="22"/>
        </w:rPr>
        <w:t>:</w:t>
      </w:r>
      <w:r w:rsidRPr="005138D5">
        <w:rPr>
          <w:sz w:val="22"/>
        </w:rPr>
        <w:t xml:space="preserve"> </w:t>
      </w:r>
      <w:r w:rsidR="00C87B1B" w:rsidRPr="005138D5">
        <w:rPr>
          <w:sz w:val="22"/>
        </w:rPr>
        <w:t xml:space="preserve">mogą wystąpić rzadziej </w:t>
      </w:r>
      <w:r w:rsidR="009B21FC" w:rsidRPr="005138D5">
        <w:rPr>
          <w:sz w:val="22"/>
        </w:rPr>
        <w:t xml:space="preserve">niż </w:t>
      </w:r>
      <w:r w:rsidR="009076A3" w:rsidRPr="005138D5">
        <w:rPr>
          <w:sz w:val="22"/>
        </w:rPr>
        <w:t xml:space="preserve">u </w:t>
      </w:r>
      <w:r w:rsidRPr="005138D5">
        <w:rPr>
          <w:sz w:val="22"/>
        </w:rPr>
        <w:t xml:space="preserve">1 na 100 </w:t>
      </w:r>
      <w:r w:rsidR="00C87B1B" w:rsidRPr="005138D5">
        <w:rPr>
          <w:sz w:val="22"/>
        </w:rPr>
        <w:t>osób</w:t>
      </w:r>
    </w:p>
    <w:p w14:paraId="698B92C2" w14:textId="77777777" w:rsidR="009B21FC" w:rsidRPr="005138D5" w:rsidRDefault="009B21FC" w:rsidP="00A41668">
      <w:pPr>
        <w:rPr>
          <w:sz w:val="22"/>
        </w:rPr>
      </w:pPr>
    </w:p>
    <w:p w14:paraId="2A8A14F6" w14:textId="77777777" w:rsidR="00007491" w:rsidRPr="005138D5" w:rsidRDefault="00982E76" w:rsidP="00007491">
      <w:pPr>
        <w:numPr>
          <w:ilvl w:val="0"/>
          <w:numId w:val="33"/>
        </w:numPr>
        <w:tabs>
          <w:tab w:val="clear" w:pos="340"/>
          <w:tab w:val="num" w:pos="567"/>
        </w:tabs>
        <w:ind w:left="567" w:hanging="567"/>
        <w:rPr>
          <w:sz w:val="22"/>
        </w:rPr>
      </w:pPr>
      <w:r>
        <w:rPr>
          <w:sz w:val="22"/>
        </w:rPr>
        <w:t>O</w:t>
      </w:r>
      <w:r w:rsidRPr="005138D5">
        <w:rPr>
          <w:sz w:val="22"/>
        </w:rPr>
        <w:t xml:space="preserve">bjawy </w:t>
      </w:r>
      <w:r w:rsidR="00C87B1B" w:rsidRPr="005138D5">
        <w:rPr>
          <w:sz w:val="22"/>
        </w:rPr>
        <w:t>grypopodobne, podrażnienie i zapalenie przewodu pokarmowego, z</w:t>
      </w:r>
      <w:r w:rsidR="00007491" w:rsidRPr="005138D5">
        <w:rPr>
          <w:sz w:val="22"/>
        </w:rPr>
        <w:t>apalenie przewodu pokarmowego wywołujące biegunkę związaną z przyjmowaniem antybiotyku, zapalenie naczyń limfatycznych</w:t>
      </w:r>
    </w:p>
    <w:p w14:paraId="0E52FE35" w14:textId="77777777" w:rsidR="00007491" w:rsidRPr="005138D5" w:rsidRDefault="00007491" w:rsidP="00007491">
      <w:pPr>
        <w:numPr>
          <w:ilvl w:val="0"/>
          <w:numId w:val="33"/>
        </w:numPr>
        <w:tabs>
          <w:tab w:val="clear" w:pos="340"/>
          <w:tab w:val="num" w:pos="567"/>
        </w:tabs>
        <w:ind w:left="567" w:hanging="567"/>
        <w:rPr>
          <w:sz w:val="22"/>
        </w:rPr>
      </w:pPr>
      <w:r w:rsidRPr="005138D5">
        <w:rPr>
          <w:sz w:val="22"/>
        </w:rPr>
        <w:t>Zapalenie cienkiej tkanki wyściełającej wewnętrzną ściankę jamy brzusznej i obejmującej narządy w jamie brzusznej</w:t>
      </w:r>
    </w:p>
    <w:p w14:paraId="20EEECC1"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Powiększenie węzłów chłonnych (czasami bolesne)</w:t>
      </w:r>
      <w:r w:rsidR="00007491" w:rsidRPr="005138D5">
        <w:rPr>
          <w:sz w:val="22"/>
        </w:rPr>
        <w:t xml:space="preserve">, niewydolność szpiku kostnego, zwiększona liczba eozynofilów </w:t>
      </w:r>
    </w:p>
    <w:p w14:paraId="08FD761E"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Zaburzenia czynności nadnerczy</w:t>
      </w:r>
      <w:r w:rsidR="00007491" w:rsidRPr="005138D5">
        <w:rPr>
          <w:sz w:val="22"/>
        </w:rPr>
        <w:t>, niedoczynność gruczołu tarczycy</w:t>
      </w:r>
    </w:p>
    <w:p w14:paraId="7EA913BE" w14:textId="77777777" w:rsidR="00007491" w:rsidRPr="005138D5" w:rsidRDefault="00007491" w:rsidP="00007491">
      <w:pPr>
        <w:numPr>
          <w:ilvl w:val="0"/>
          <w:numId w:val="33"/>
        </w:numPr>
        <w:tabs>
          <w:tab w:val="clear" w:pos="340"/>
          <w:tab w:val="num" w:pos="567"/>
        </w:tabs>
        <w:ind w:left="567" w:hanging="567"/>
        <w:rPr>
          <w:sz w:val="22"/>
        </w:rPr>
      </w:pPr>
      <w:r w:rsidRPr="005138D5">
        <w:rPr>
          <w:sz w:val="22"/>
        </w:rPr>
        <w:t>Zaburzenia czynności mózgu, objawy jak w chorobie Parkinsona, uszkodzenia nerwów powodujące zdrętwienia, ból, mrowienie lub uczucie pieczenia rąk lub stóp</w:t>
      </w:r>
    </w:p>
    <w:p w14:paraId="37675EBA"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Zaburzenia</w:t>
      </w:r>
      <w:r w:rsidR="00007491" w:rsidRPr="005138D5">
        <w:rPr>
          <w:sz w:val="22"/>
        </w:rPr>
        <w:t xml:space="preserve"> równowagi lub</w:t>
      </w:r>
      <w:r w:rsidRPr="005138D5">
        <w:rPr>
          <w:sz w:val="22"/>
        </w:rPr>
        <w:t xml:space="preserve"> koordynacji</w:t>
      </w:r>
    </w:p>
    <w:p w14:paraId="13A9E568"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Obrzęk mózgu</w:t>
      </w:r>
    </w:p>
    <w:p w14:paraId="77D28678"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 xml:space="preserve">Podwójne widzenie, </w:t>
      </w:r>
      <w:r w:rsidR="00007491" w:rsidRPr="005138D5">
        <w:rPr>
          <w:sz w:val="22"/>
        </w:rPr>
        <w:t xml:space="preserve">ciężkie choroby oczu, w tym: </w:t>
      </w:r>
      <w:r w:rsidRPr="005138D5">
        <w:rPr>
          <w:sz w:val="22"/>
        </w:rPr>
        <w:t xml:space="preserve">zapalenie oczu i powiek, </w:t>
      </w:r>
      <w:r w:rsidR="00007491" w:rsidRPr="005138D5">
        <w:rPr>
          <w:sz w:val="22"/>
        </w:rPr>
        <w:t>nieprawidłowe ruchy gałek ocznych, uszkodzenie nerwu wzrokowego skutkujące zaburzeniami widzenia, obrzęk tarczy nerwu wzrokowego</w:t>
      </w:r>
    </w:p>
    <w:p w14:paraId="627D9291"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Zmniejszona wrażliwość na dotyk</w:t>
      </w:r>
    </w:p>
    <w:p w14:paraId="066CB0F3" w14:textId="77777777" w:rsidR="00007491" w:rsidRPr="005138D5" w:rsidRDefault="00007491" w:rsidP="00CB5019">
      <w:pPr>
        <w:numPr>
          <w:ilvl w:val="0"/>
          <w:numId w:val="33"/>
        </w:numPr>
        <w:tabs>
          <w:tab w:val="clear" w:pos="340"/>
          <w:tab w:val="num" w:pos="567"/>
        </w:tabs>
        <w:ind w:left="567" w:hanging="567"/>
        <w:rPr>
          <w:sz w:val="22"/>
        </w:rPr>
      </w:pPr>
      <w:r w:rsidRPr="005138D5">
        <w:rPr>
          <w:sz w:val="22"/>
        </w:rPr>
        <w:t>Zaburzenia smaku</w:t>
      </w:r>
    </w:p>
    <w:p w14:paraId="12CD1FD0" w14:textId="77777777" w:rsidR="00007491" w:rsidRPr="005138D5" w:rsidRDefault="00007491" w:rsidP="00CB5019">
      <w:pPr>
        <w:numPr>
          <w:ilvl w:val="0"/>
          <w:numId w:val="33"/>
        </w:numPr>
        <w:tabs>
          <w:tab w:val="clear" w:pos="340"/>
          <w:tab w:val="num" w:pos="567"/>
        </w:tabs>
        <w:ind w:left="567" w:hanging="567"/>
        <w:rPr>
          <w:sz w:val="22"/>
        </w:rPr>
      </w:pPr>
      <w:r w:rsidRPr="005138D5">
        <w:rPr>
          <w:sz w:val="22"/>
        </w:rPr>
        <w:t>Niedosłuch, dzwonienie w uszach, zawroty głowy</w:t>
      </w:r>
    </w:p>
    <w:p w14:paraId="624A379E" w14:textId="77777777" w:rsidR="00007491" w:rsidRPr="005138D5" w:rsidRDefault="00007491" w:rsidP="00007491">
      <w:pPr>
        <w:numPr>
          <w:ilvl w:val="0"/>
          <w:numId w:val="33"/>
        </w:numPr>
        <w:tabs>
          <w:tab w:val="clear" w:pos="340"/>
          <w:tab w:val="num" w:pos="567"/>
        </w:tabs>
        <w:ind w:left="567" w:hanging="567"/>
        <w:rPr>
          <w:sz w:val="22"/>
        </w:rPr>
      </w:pPr>
      <w:r w:rsidRPr="005138D5">
        <w:rPr>
          <w:sz w:val="22"/>
        </w:rPr>
        <w:t>Zapalenie niektórych narządów wewnętrznych — trzustki i dwunastnicy, obrzęk i zapalenie języka</w:t>
      </w:r>
    </w:p>
    <w:p w14:paraId="5444860F"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 xml:space="preserve">Powiększenie wątroby, </w:t>
      </w:r>
      <w:r w:rsidR="00924DDB" w:rsidRPr="005138D5">
        <w:rPr>
          <w:sz w:val="22"/>
        </w:rPr>
        <w:t xml:space="preserve">niewydolność </w:t>
      </w:r>
      <w:r w:rsidRPr="005138D5">
        <w:rPr>
          <w:sz w:val="22"/>
        </w:rPr>
        <w:t>wątroby, choroby pęcherzyka żółciowego, kamica żółciowa</w:t>
      </w:r>
    </w:p>
    <w:p w14:paraId="63D7C93C" w14:textId="77777777" w:rsidR="00AE2F92" w:rsidRPr="005138D5" w:rsidRDefault="00AE2F92" w:rsidP="00AE2F92">
      <w:pPr>
        <w:numPr>
          <w:ilvl w:val="0"/>
          <w:numId w:val="33"/>
        </w:numPr>
        <w:tabs>
          <w:tab w:val="clear" w:pos="340"/>
          <w:tab w:val="num" w:pos="567"/>
        </w:tabs>
        <w:ind w:left="567" w:hanging="567"/>
        <w:rPr>
          <w:sz w:val="22"/>
        </w:rPr>
      </w:pPr>
      <w:r w:rsidRPr="005138D5">
        <w:rPr>
          <w:sz w:val="22"/>
        </w:rPr>
        <w:t>Zapalenie stawów, zapalenie żył pod skórą (które może być związane z tworzeniem się zakrzepów)</w:t>
      </w:r>
    </w:p>
    <w:p w14:paraId="684FF031"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Zapalenie nerek, białkomocz</w:t>
      </w:r>
      <w:r w:rsidR="00D87DEB" w:rsidRPr="005138D5">
        <w:rPr>
          <w:sz w:val="22"/>
        </w:rPr>
        <w:t>, uszkodzenie nerek</w:t>
      </w:r>
    </w:p>
    <w:p w14:paraId="5DBE6922" w14:textId="77777777" w:rsidR="00AE2F92" w:rsidRPr="005138D5" w:rsidRDefault="00AE2F92" w:rsidP="00C11467">
      <w:pPr>
        <w:numPr>
          <w:ilvl w:val="0"/>
          <w:numId w:val="33"/>
        </w:numPr>
        <w:tabs>
          <w:tab w:val="clear" w:pos="340"/>
          <w:tab w:val="num" w:pos="567"/>
        </w:tabs>
        <w:ind w:left="567" w:hanging="567"/>
        <w:rPr>
          <w:sz w:val="22"/>
        </w:rPr>
      </w:pPr>
      <w:r w:rsidRPr="005138D5">
        <w:rPr>
          <w:sz w:val="22"/>
        </w:rPr>
        <w:t>Bardzo szybkie bicie serca lub pomijane uderzenia serca</w:t>
      </w:r>
      <w:r w:rsidR="00C11467" w:rsidRPr="005138D5">
        <w:rPr>
          <w:sz w:val="22"/>
        </w:rPr>
        <w:t>, czasami z nieprawidłowymi impulsami elektrycznymi</w:t>
      </w:r>
    </w:p>
    <w:p w14:paraId="6CD41551" w14:textId="77777777" w:rsidR="00575F5E" w:rsidRPr="005138D5" w:rsidRDefault="00575F5E" w:rsidP="00DC061B">
      <w:pPr>
        <w:numPr>
          <w:ilvl w:val="0"/>
          <w:numId w:val="33"/>
        </w:numPr>
        <w:tabs>
          <w:tab w:val="clear" w:pos="340"/>
          <w:tab w:val="num" w:pos="567"/>
        </w:tabs>
        <w:ind w:left="567" w:hanging="567"/>
        <w:rPr>
          <w:sz w:val="22"/>
        </w:rPr>
      </w:pPr>
      <w:r w:rsidRPr="005138D5">
        <w:rPr>
          <w:sz w:val="22"/>
        </w:rPr>
        <w:t>Nieprawidłowy zapis w elektrokardiogramie (E</w:t>
      </w:r>
      <w:r w:rsidR="00DA32B5" w:rsidRPr="005138D5">
        <w:rPr>
          <w:sz w:val="22"/>
        </w:rPr>
        <w:t>K</w:t>
      </w:r>
      <w:r w:rsidRPr="005138D5">
        <w:rPr>
          <w:sz w:val="22"/>
        </w:rPr>
        <w:t>G)</w:t>
      </w:r>
    </w:p>
    <w:p w14:paraId="1F42A7B5" w14:textId="77777777" w:rsidR="00AE2F92" w:rsidRPr="005138D5" w:rsidRDefault="00AE2F92" w:rsidP="00CB5019">
      <w:pPr>
        <w:numPr>
          <w:ilvl w:val="0"/>
          <w:numId w:val="33"/>
        </w:numPr>
        <w:tabs>
          <w:tab w:val="clear" w:pos="340"/>
          <w:tab w:val="num" w:pos="567"/>
        </w:tabs>
        <w:ind w:left="567" w:hanging="567"/>
        <w:rPr>
          <w:sz w:val="22"/>
        </w:rPr>
      </w:pPr>
      <w:r w:rsidRPr="005138D5">
        <w:rPr>
          <w:sz w:val="22"/>
        </w:rPr>
        <w:t>Zwiększenie stężenia cholesterolu we krwi, zwiększenie stężenia mocznika we krwi</w:t>
      </w:r>
    </w:p>
    <w:p w14:paraId="5B289827" w14:textId="0927681C" w:rsidR="00AE2F92" w:rsidRPr="005138D5" w:rsidRDefault="00AE2F92" w:rsidP="00C11467">
      <w:pPr>
        <w:numPr>
          <w:ilvl w:val="0"/>
          <w:numId w:val="33"/>
        </w:numPr>
        <w:tabs>
          <w:tab w:val="clear" w:pos="340"/>
        </w:tabs>
        <w:ind w:left="567" w:hanging="567"/>
        <w:rPr>
          <w:sz w:val="22"/>
        </w:rPr>
      </w:pPr>
      <w:r w:rsidRPr="005138D5">
        <w:rPr>
          <w:sz w:val="22"/>
        </w:rPr>
        <w:t xml:space="preserve">Skórne reakcje alergiczne (czasami ciężkie), w tym </w:t>
      </w:r>
      <w:r w:rsidR="00D87DEB" w:rsidRPr="005138D5">
        <w:rPr>
          <w:sz w:val="22"/>
        </w:rPr>
        <w:t>zagrażająca życiu choroba skóry polegająca na powstawaniu bolesnych pęcherzy z towarzyszącą bolesnością skóry i błon śluzowych, w szczególności w obrębie jamy ustnej</w:t>
      </w:r>
      <w:r w:rsidRPr="005138D5">
        <w:rPr>
          <w:sz w:val="22"/>
        </w:rPr>
        <w:t>, zapalenie skóry, pokrzywka, zaczerwienienie i podrażnienie skóry, czerwone lub purpurowe przebarwienia skóry, które mogą być powodowane przez małą liczbę płytek krwi, wyprysk</w:t>
      </w:r>
    </w:p>
    <w:p w14:paraId="3F62025C" w14:textId="77777777" w:rsidR="00910EDC" w:rsidRDefault="00AE2F92" w:rsidP="00CB5019">
      <w:pPr>
        <w:numPr>
          <w:ilvl w:val="0"/>
          <w:numId w:val="33"/>
        </w:numPr>
        <w:tabs>
          <w:tab w:val="clear" w:pos="340"/>
          <w:tab w:val="num" w:pos="567"/>
        </w:tabs>
        <w:ind w:left="567" w:hanging="567"/>
        <w:rPr>
          <w:sz w:val="22"/>
        </w:rPr>
      </w:pPr>
      <w:r w:rsidRPr="005138D5">
        <w:rPr>
          <w:sz w:val="22"/>
        </w:rPr>
        <w:t xml:space="preserve">Reakcja w miejscu </w:t>
      </w:r>
      <w:r w:rsidR="00D87DEB" w:rsidRPr="005138D5">
        <w:rPr>
          <w:sz w:val="22"/>
        </w:rPr>
        <w:t>podania wlewu</w:t>
      </w:r>
    </w:p>
    <w:p w14:paraId="2E01565E" w14:textId="77777777" w:rsidR="00E47B30" w:rsidRDefault="00E47B30" w:rsidP="00CB5019">
      <w:pPr>
        <w:numPr>
          <w:ilvl w:val="0"/>
          <w:numId w:val="33"/>
        </w:numPr>
        <w:tabs>
          <w:tab w:val="clear" w:pos="340"/>
          <w:tab w:val="num" w:pos="567"/>
        </w:tabs>
        <w:ind w:left="567" w:hanging="567"/>
        <w:rPr>
          <w:sz w:val="22"/>
        </w:rPr>
      </w:pPr>
      <w:r w:rsidRPr="00A31C89">
        <w:rPr>
          <w:sz w:val="22"/>
        </w:rPr>
        <w:t>Reakcja alergiczna lub nadmierna odpowiedź immunologiczna</w:t>
      </w:r>
    </w:p>
    <w:p w14:paraId="626722CE" w14:textId="191363B2" w:rsidR="003A3EE1" w:rsidRPr="00A31C89" w:rsidRDefault="003A3EE1" w:rsidP="00CB5019">
      <w:pPr>
        <w:numPr>
          <w:ilvl w:val="0"/>
          <w:numId w:val="33"/>
        </w:numPr>
        <w:tabs>
          <w:tab w:val="clear" w:pos="340"/>
          <w:tab w:val="num" w:pos="567"/>
        </w:tabs>
        <w:ind w:left="567" w:hanging="567"/>
        <w:rPr>
          <w:sz w:val="22"/>
        </w:rPr>
      </w:pPr>
      <w:r w:rsidRPr="003A3EE1">
        <w:rPr>
          <w:sz w:val="22"/>
        </w:rPr>
        <w:t>Zapalenie tkanki otaczającej kość</w:t>
      </w:r>
    </w:p>
    <w:p w14:paraId="045B30EA" w14:textId="77777777" w:rsidR="00575F5E" w:rsidRPr="005138D5" w:rsidRDefault="00575F5E" w:rsidP="00A41668">
      <w:pPr>
        <w:rPr>
          <w:sz w:val="22"/>
        </w:rPr>
      </w:pPr>
    </w:p>
    <w:p w14:paraId="39702F8A" w14:textId="77777777" w:rsidR="00575F5E" w:rsidRPr="005138D5" w:rsidRDefault="00575F5E" w:rsidP="00A41668">
      <w:pPr>
        <w:rPr>
          <w:sz w:val="22"/>
        </w:rPr>
      </w:pPr>
      <w:r w:rsidRPr="005138D5">
        <w:rPr>
          <w:sz w:val="22"/>
        </w:rPr>
        <w:t>Rzadkie</w:t>
      </w:r>
      <w:r w:rsidR="00D87DEB" w:rsidRPr="005138D5">
        <w:rPr>
          <w:sz w:val="22"/>
        </w:rPr>
        <w:t>:</w:t>
      </w:r>
      <w:r w:rsidRPr="005138D5">
        <w:rPr>
          <w:sz w:val="22"/>
        </w:rPr>
        <w:t xml:space="preserve"> </w:t>
      </w:r>
      <w:r w:rsidR="00D87DEB" w:rsidRPr="005138D5">
        <w:rPr>
          <w:sz w:val="22"/>
        </w:rPr>
        <w:t xml:space="preserve">mogą wystąpić rzadziej </w:t>
      </w:r>
      <w:r w:rsidR="009B21FC" w:rsidRPr="005138D5">
        <w:rPr>
          <w:sz w:val="22"/>
        </w:rPr>
        <w:t xml:space="preserve">niż </w:t>
      </w:r>
      <w:r w:rsidRPr="005138D5">
        <w:rPr>
          <w:sz w:val="22"/>
        </w:rPr>
        <w:t xml:space="preserve">u 1 na 1 000 </w:t>
      </w:r>
      <w:r w:rsidR="00D87DEB" w:rsidRPr="005138D5">
        <w:rPr>
          <w:sz w:val="22"/>
        </w:rPr>
        <w:t>osób</w:t>
      </w:r>
    </w:p>
    <w:p w14:paraId="1FDC9342" w14:textId="77777777" w:rsidR="009B21FC" w:rsidRPr="005138D5" w:rsidRDefault="009B21FC" w:rsidP="00A41668">
      <w:pPr>
        <w:rPr>
          <w:sz w:val="22"/>
        </w:rPr>
      </w:pPr>
    </w:p>
    <w:p w14:paraId="6C0A0172" w14:textId="77777777" w:rsidR="0004794E" w:rsidRPr="005138D5" w:rsidRDefault="0004794E" w:rsidP="00DC061B">
      <w:pPr>
        <w:numPr>
          <w:ilvl w:val="0"/>
          <w:numId w:val="34"/>
        </w:numPr>
        <w:tabs>
          <w:tab w:val="clear" w:pos="340"/>
          <w:tab w:val="num" w:pos="567"/>
        </w:tabs>
        <w:ind w:left="567" w:hanging="567"/>
        <w:rPr>
          <w:sz w:val="22"/>
        </w:rPr>
      </w:pPr>
      <w:r w:rsidRPr="005138D5">
        <w:rPr>
          <w:sz w:val="22"/>
        </w:rPr>
        <w:t>Nadczynność gruczołu tarczycy</w:t>
      </w:r>
    </w:p>
    <w:p w14:paraId="56E674A3" w14:textId="77777777" w:rsidR="00AE2F92" w:rsidRPr="005138D5" w:rsidRDefault="00AE2F92" w:rsidP="00CB5019">
      <w:pPr>
        <w:numPr>
          <w:ilvl w:val="0"/>
          <w:numId w:val="34"/>
        </w:numPr>
        <w:tabs>
          <w:tab w:val="clear" w:pos="340"/>
          <w:tab w:val="num" w:pos="567"/>
        </w:tabs>
        <w:ind w:left="567" w:hanging="567"/>
        <w:rPr>
          <w:sz w:val="22"/>
        </w:rPr>
      </w:pPr>
      <w:r w:rsidRPr="005138D5">
        <w:rPr>
          <w:sz w:val="22"/>
        </w:rPr>
        <w:t>Pogorszenie czynności mózgu, które jest ciężkim powikłaniem choroby wątroby</w:t>
      </w:r>
    </w:p>
    <w:p w14:paraId="621585BA" w14:textId="77777777" w:rsidR="00AE2F92" w:rsidRPr="005138D5" w:rsidRDefault="00D87DEB" w:rsidP="00DC061B">
      <w:pPr>
        <w:numPr>
          <w:ilvl w:val="0"/>
          <w:numId w:val="34"/>
        </w:numPr>
        <w:tabs>
          <w:tab w:val="clear" w:pos="340"/>
          <w:tab w:val="num" w:pos="567"/>
        </w:tabs>
        <w:ind w:left="567" w:hanging="567"/>
        <w:rPr>
          <w:sz w:val="22"/>
        </w:rPr>
      </w:pPr>
      <w:r w:rsidRPr="005138D5">
        <w:rPr>
          <w:sz w:val="22"/>
        </w:rPr>
        <w:t>Utrata większości włókien</w:t>
      </w:r>
      <w:r w:rsidR="0004794E" w:rsidRPr="005138D5">
        <w:rPr>
          <w:sz w:val="22"/>
        </w:rPr>
        <w:t xml:space="preserve"> nerwu wzrokowego,</w:t>
      </w:r>
      <w:r w:rsidR="00AE2F92" w:rsidRPr="005138D5" w:rsidDel="00AE2F92">
        <w:rPr>
          <w:sz w:val="22"/>
        </w:rPr>
        <w:t xml:space="preserve"> </w:t>
      </w:r>
      <w:r w:rsidR="0004794E" w:rsidRPr="005138D5">
        <w:rPr>
          <w:sz w:val="22"/>
        </w:rPr>
        <w:t>zmętnieniem rogówki</w:t>
      </w:r>
      <w:r w:rsidRPr="005138D5">
        <w:rPr>
          <w:sz w:val="22"/>
        </w:rPr>
        <w:t>, mimowolny ruch gałek ocznych</w:t>
      </w:r>
    </w:p>
    <w:p w14:paraId="6EB81BB7" w14:textId="77777777" w:rsidR="00AE2F92" w:rsidRPr="005138D5" w:rsidRDefault="00AE2F92" w:rsidP="00AE2F92">
      <w:pPr>
        <w:numPr>
          <w:ilvl w:val="0"/>
          <w:numId w:val="34"/>
        </w:numPr>
        <w:tabs>
          <w:tab w:val="clear" w:pos="340"/>
          <w:tab w:val="num" w:pos="567"/>
        </w:tabs>
        <w:ind w:left="567" w:hanging="567"/>
        <w:rPr>
          <w:sz w:val="22"/>
        </w:rPr>
      </w:pPr>
      <w:r w:rsidRPr="005138D5">
        <w:rPr>
          <w:sz w:val="22"/>
        </w:rPr>
        <w:t>Wysypka pęcherzowa w wyniku nadwrażliwości na światło</w:t>
      </w:r>
    </w:p>
    <w:p w14:paraId="280C31F2" w14:textId="77777777" w:rsidR="00AE2F92" w:rsidRPr="005138D5" w:rsidRDefault="00AE2F92" w:rsidP="00CB5019">
      <w:pPr>
        <w:keepNext/>
        <w:keepLines/>
        <w:widowControl/>
        <w:numPr>
          <w:ilvl w:val="0"/>
          <w:numId w:val="34"/>
        </w:numPr>
        <w:tabs>
          <w:tab w:val="clear" w:pos="340"/>
          <w:tab w:val="num" w:pos="567"/>
        </w:tabs>
        <w:ind w:left="567" w:hanging="567"/>
        <w:rPr>
          <w:sz w:val="22"/>
        </w:rPr>
      </w:pPr>
      <w:r w:rsidRPr="005138D5">
        <w:rPr>
          <w:sz w:val="22"/>
        </w:rPr>
        <w:t>Zaburzenia, w których układ odpornościowy atakuje część obwodowego układu nerwowego</w:t>
      </w:r>
    </w:p>
    <w:p w14:paraId="76E4CB21" w14:textId="77777777" w:rsidR="00AE2F92" w:rsidRPr="005138D5" w:rsidRDefault="00D87DEB" w:rsidP="00CB5019">
      <w:pPr>
        <w:keepNext/>
        <w:keepLines/>
        <w:widowControl/>
        <w:numPr>
          <w:ilvl w:val="0"/>
          <w:numId w:val="34"/>
        </w:numPr>
        <w:tabs>
          <w:tab w:val="clear" w:pos="340"/>
          <w:tab w:val="num" w:pos="567"/>
        </w:tabs>
        <w:ind w:left="567" w:hanging="567"/>
        <w:rPr>
          <w:sz w:val="22"/>
        </w:rPr>
      </w:pPr>
      <w:r w:rsidRPr="005138D5">
        <w:rPr>
          <w:sz w:val="22"/>
        </w:rPr>
        <w:t>Z</w:t>
      </w:r>
      <w:r w:rsidR="00AE2F92" w:rsidRPr="005138D5">
        <w:rPr>
          <w:sz w:val="22"/>
        </w:rPr>
        <w:t>aburzenia rytmu serca</w:t>
      </w:r>
      <w:r w:rsidRPr="005138D5">
        <w:rPr>
          <w:sz w:val="22"/>
        </w:rPr>
        <w:t xml:space="preserve"> lub przewodzenia (czasami </w:t>
      </w:r>
      <w:r w:rsidR="00AE2F92" w:rsidRPr="005138D5">
        <w:rPr>
          <w:sz w:val="22"/>
        </w:rPr>
        <w:t>zagraża</w:t>
      </w:r>
      <w:r w:rsidRPr="005138D5">
        <w:rPr>
          <w:sz w:val="22"/>
        </w:rPr>
        <w:t>jące</w:t>
      </w:r>
      <w:r w:rsidR="00AE2F92" w:rsidRPr="005138D5">
        <w:rPr>
          <w:sz w:val="22"/>
        </w:rPr>
        <w:t xml:space="preserve"> życiu</w:t>
      </w:r>
      <w:r w:rsidRPr="005138D5">
        <w:rPr>
          <w:sz w:val="22"/>
        </w:rPr>
        <w:t>)</w:t>
      </w:r>
    </w:p>
    <w:p w14:paraId="4251B65C" w14:textId="77777777" w:rsidR="00D87DEB" w:rsidRPr="005138D5" w:rsidRDefault="00D87DEB" w:rsidP="00CB5019">
      <w:pPr>
        <w:widowControl/>
        <w:numPr>
          <w:ilvl w:val="0"/>
          <w:numId w:val="74"/>
        </w:numPr>
        <w:tabs>
          <w:tab w:val="clear" w:pos="340"/>
          <w:tab w:val="num" w:pos="567"/>
        </w:tabs>
        <w:ind w:left="567" w:hanging="567"/>
        <w:rPr>
          <w:sz w:val="22"/>
        </w:rPr>
      </w:pPr>
      <w:r w:rsidRPr="005138D5">
        <w:rPr>
          <w:sz w:val="22"/>
        </w:rPr>
        <w:t>Reakcja alergiczna zagrażająca życiu</w:t>
      </w:r>
    </w:p>
    <w:p w14:paraId="53CDCD8C" w14:textId="77777777" w:rsidR="00D87DEB" w:rsidRPr="005138D5" w:rsidRDefault="00D87DEB" w:rsidP="00CB5019">
      <w:pPr>
        <w:widowControl/>
        <w:numPr>
          <w:ilvl w:val="0"/>
          <w:numId w:val="74"/>
        </w:numPr>
        <w:tabs>
          <w:tab w:val="clear" w:pos="340"/>
          <w:tab w:val="num" w:pos="567"/>
        </w:tabs>
        <w:ind w:left="567" w:hanging="567"/>
        <w:rPr>
          <w:sz w:val="22"/>
        </w:rPr>
      </w:pPr>
      <w:r w:rsidRPr="005138D5">
        <w:rPr>
          <w:sz w:val="22"/>
        </w:rPr>
        <w:t>Zaburzenia krzepliwości krwi</w:t>
      </w:r>
    </w:p>
    <w:p w14:paraId="195363CE" w14:textId="77777777" w:rsidR="00D87DEB" w:rsidRPr="005138D5" w:rsidRDefault="00D87DEB" w:rsidP="00D87DEB">
      <w:pPr>
        <w:widowControl/>
        <w:numPr>
          <w:ilvl w:val="0"/>
          <w:numId w:val="74"/>
        </w:numPr>
        <w:tabs>
          <w:tab w:val="clear" w:pos="340"/>
          <w:tab w:val="num" w:pos="567"/>
        </w:tabs>
        <w:ind w:left="567" w:hanging="567"/>
        <w:rPr>
          <w:sz w:val="22"/>
        </w:rPr>
      </w:pPr>
      <w:r w:rsidRPr="005138D5">
        <w:rPr>
          <w:sz w:val="22"/>
        </w:rPr>
        <w:t>Skórne reakcje alergiczne (czasami ciężkie), w tym nagłe opuchnięcie (nagły obrzęk) skóry właściwej, tkanki podskórnej, błony śluzowej i tkanek podśluzówkowych, swędzące lub bolesne plamy pogrubionej, zaczerwienionej skóry ze srebrzystymi łuskami, podrażnienie skóry i błon śluzowych, zagrażająca życiu choroba skóry polegająca na odrywaniu dużych płatów naskórka (zewnętrznej warstwy skóry) od położonych głębiej warstw skóry</w:t>
      </w:r>
    </w:p>
    <w:p w14:paraId="2F28978D" w14:textId="77777777" w:rsidR="00A730CD" w:rsidRPr="005138D5" w:rsidRDefault="00A730CD" w:rsidP="00A730CD">
      <w:pPr>
        <w:numPr>
          <w:ilvl w:val="0"/>
          <w:numId w:val="74"/>
        </w:numPr>
        <w:tabs>
          <w:tab w:val="clear" w:pos="340"/>
          <w:tab w:val="num" w:pos="567"/>
        </w:tabs>
        <w:ind w:left="567" w:hanging="567"/>
        <w:rPr>
          <w:sz w:val="22"/>
        </w:rPr>
      </w:pPr>
      <w:r w:rsidRPr="005138D5">
        <w:rPr>
          <w:sz w:val="22"/>
        </w:rPr>
        <w:t>Małe, suche, złuszczające się plamy skórne, czasami pogrubione z ostrymi wypustkami lub „rogami”.</w:t>
      </w:r>
    </w:p>
    <w:p w14:paraId="434ABB2A" w14:textId="77777777" w:rsidR="00A730CD" w:rsidRPr="005138D5" w:rsidRDefault="00A730CD" w:rsidP="00A730CD">
      <w:pPr>
        <w:rPr>
          <w:sz w:val="22"/>
        </w:rPr>
      </w:pPr>
    </w:p>
    <w:p w14:paraId="24FB03EA" w14:textId="77777777" w:rsidR="00A730CD" w:rsidRPr="005138D5" w:rsidRDefault="00A730CD" w:rsidP="00A730CD">
      <w:pPr>
        <w:rPr>
          <w:sz w:val="22"/>
        </w:rPr>
      </w:pPr>
      <w:r w:rsidRPr="005138D5">
        <w:rPr>
          <w:sz w:val="22"/>
        </w:rPr>
        <w:t>Częstość nieznana (nie może być określona na podstawie dostępnych danych)</w:t>
      </w:r>
      <w:r w:rsidR="00132376" w:rsidRPr="005138D5">
        <w:rPr>
          <w:sz w:val="22"/>
        </w:rPr>
        <w:t>:</w:t>
      </w:r>
    </w:p>
    <w:p w14:paraId="4CD1F0B0" w14:textId="77777777" w:rsidR="00A730CD" w:rsidRPr="005138D5" w:rsidRDefault="00A730CD" w:rsidP="00A730CD">
      <w:pPr>
        <w:numPr>
          <w:ilvl w:val="0"/>
          <w:numId w:val="75"/>
        </w:numPr>
        <w:ind w:left="567" w:hanging="567"/>
        <w:rPr>
          <w:sz w:val="22"/>
        </w:rPr>
      </w:pPr>
      <w:r w:rsidRPr="005138D5">
        <w:rPr>
          <w:sz w:val="22"/>
        </w:rPr>
        <w:t>Piegi i plamy barwnikowe.</w:t>
      </w:r>
    </w:p>
    <w:p w14:paraId="2D0B711F" w14:textId="77777777" w:rsidR="00A730CD" w:rsidRPr="005138D5" w:rsidRDefault="00A730CD" w:rsidP="00AE2F92">
      <w:pPr>
        <w:keepNext/>
        <w:keepLines/>
        <w:widowControl/>
        <w:rPr>
          <w:sz w:val="22"/>
        </w:rPr>
      </w:pPr>
    </w:p>
    <w:p w14:paraId="2AFF7C4B" w14:textId="77777777" w:rsidR="00AE2F92" w:rsidRPr="005138D5" w:rsidRDefault="00AE2F92" w:rsidP="00AE2F92">
      <w:pPr>
        <w:keepNext/>
        <w:keepLines/>
        <w:widowControl/>
        <w:rPr>
          <w:sz w:val="22"/>
        </w:rPr>
      </w:pPr>
      <w:r w:rsidRPr="005138D5">
        <w:rPr>
          <w:sz w:val="22"/>
        </w:rPr>
        <w:t>Inne istotne działania niepożądane, których częstość nie jest znana, ale które należy niezwłocznie zgłosić lekarzowi:</w:t>
      </w:r>
    </w:p>
    <w:p w14:paraId="4C272D53" w14:textId="77777777" w:rsidR="00AE2F92" w:rsidRPr="005138D5" w:rsidRDefault="00AE2F92" w:rsidP="00AE2F92">
      <w:pPr>
        <w:widowControl/>
        <w:numPr>
          <w:ilvl w:val="0"/>
          <w:numId w:val="70"/>
        </w:numPr>
        <w:ind w:left="567" w:hanging="567"/>
        <w:rPr>
          <w:sz w:val="22"/>
        </w:rPr>
      </w:pPr>
      <w:r w:rsidRPr="005138D5">
        <w:rPr>
          <w:sz w:val="22"/>
        </w:rPr>
        <w:t>Czerwone, złuszczające się plamy lub pierścieniowate zmiany skórne, które mogą być objawem choroby autoimmunologicznej nazywanej toczniem rumieniowatym skóry</w:t>
      </w:r>
    </w:p>
    <w:p w14:paraId="1602A312" w14:textId="77777777" w:rsidR="00AE2F92" w:rsidRPr="005138D5" w:rsidRDefault="00AE2F92" w:rsidP="00A41668">
      <w:pPr>
        <w:rPr>
          <w:sz w:val="22"/>
        </w:rPr>
      </w:pPr>
    </w:p>
    <w:p w14:paraId="7E369BD0" w14:textId="77777777" w:rsidR="00575F5E" w:rsidRPr="005138D5" w:rsidRDefault="00575F5E" w:rsidP="00A41668">
      <w:pPr>
        <w:rPr>
          <w:sz w:val="22"/>
        </w:rPr>
      </w:pPr>
      <w:r w:rsidRPr="005138D5">
        <w:rPr>
          <w:sz w:val="22"/>
        </w:rPr>
        <w:t xml:space="preserve">W związku ze znanym wpływem leku </w:t>
      </w:r>
      <w:r w:rsidR="00E52A9F" w:rsidRPr="005138D5">
        <w:rPr>
          <w:sz w:val="22"/>
        </w:rPr>
        <w:t>Voriconazole Accord</w:t>
      </w:r>
      <w:r w:rsidR="00E52A9F" w:rsidRPr="005138D5" w:rsidDel="00E52A9F">
        <w:rPr>
          <w:sz w:val="22"/>
        </w:rPr>
        <w:t xml:space="preserve"> </w:t>
      </w:r>
      <w:r w:rsidRPr="005138D5">
        <w:rPr>
          <w:sz w:val="22"/>
        </w:rPr>
        <w:t>na wątrobę i nerki czynność tych narządów powinna być monitorowana za pomocą odpowiednich testów krwi. Należy także poinformować lekarza o wystąpieniu bólów brzucha lub zmian konsystencji stolca.</w:t>
      </w:r>
    </w:p>
    <w:p w14:paraId="10047633" w14:textId="77777777" w:rsidR="001479BE" w:rsidRPr="005138D5" w:rsidRDefault="001479BE" w:rsidP="00A41668">
      <w:pPr>
        <w:rPr>
          <w:sz w:val="22"/>
        </w:rPr>
      </w:pPr>
    </w:p>
    <w:p w14:paraId="16372AEB" w14:textId="77777777" w:rsidR="001479BE" w:rsidRPr="005138D5" w:rsidRDefault="001479BE" w:rsidP="001479BE">
      <w:pPr>
        <w:rPr>
          <w:sz w:val="22"/>
        </w:rPr>
      </w:pPr>
      <w:r w:rsidRPr="005138D5">
        <w:rPr>
          <w:sz w:val="22"/>
        </w:rPr>
        <w:t>Odnotowano przypadki wystąpienia raka skóry u pacjentów leczonych produktem Voriconazole Accord przez długi czas.</w:t>
      </w:r>
    </w:p>
    <w:p w14:paraId="5D76292D" w14:textId="77777777" w:rsidR="00575F5E" w:rsidRPr="005138D5" w:rsidRDefault="00575F5E" w:rsidP="00A41668">
      <w:pPr>
        <w:rPr>
          <w:sz w:val="22"/>
        </w:rPr>
      </w:pPr>
    </w:p>
    <w:p w14:paraId="191678D8" w14:textId="77777777" w:rsidR="00575F5E" w:rsidRPr="005138D5" w:rsidRDefault="00575F5E" w:rsidP="00A41668">
      <w:pPr>
        <w:rPr>
          <w:sz w:val="22"/>
        </w:rPr>
      </w:pPr>
      <w:r w:rsidRPr="005138D5">
        <w:rPr>
          <w:sz w:val="22"/>
        </w:rPr>
        <w:t>W razie utrzymywania się lub uciążliwości któregokolwiek z tych działań niepożądanych należy poinformować o tym lekarza.</w:t>
      </w:r>
    </w:p>
    <w:p w14:paraId="0E26B39D" w14:textId="77777777" w:rsidR="00575F5E" w:rsidRPr="005138D5" w:rsidRDefault="00575F5E" w:rsidP="00A41668">
      <w:pPr>
        <w:rPr>
          <w:sz w:val="22"/>
        </w:rPr>
      </w:pPr>
    </w:p>
    <w:p w14:paraId="7DC549E6" w14:textId="77777777" w:rsidR="00D87DEB" w:rsidRPr="005138D5" w:rsidRDefault="00AE2F92" w:rsidP="00A41668">
      <w:pPr>
        <w:rPr>
          <w:sz w:val="22"/>
        </w:rPr>
      </w:pPr>
      <w:r w:rsidRPr="005138D5">
        <w:rPr>
          <w:sz w:val="22"/>
          <w:lang w:eastAsia="nl-NL"/>
        </w:rPr>
        <w:t>Oparzenia słoneczne lub ciężkie reakcje skórne po ekspozycji na światło lub promieniowanie słoneczne częściej występowały u dzieci.</w:t>
      </w:r>
      <w:r w:rsidRPr="005138D5">
        <w:rPr>
          <w:sz w:val="22"/>
        </w:rPr>
        <w:t xml:space="preserve"> Jeśli u pacjenta wystąpią zaburzenia skóry, lekarz może skierować go do dermatologa, który po konsultacji może zdecydować, że konieczne są regularne wizyty kontrolne u dermatologa. </w:t>
      </w:r>
      <w:r w:rsidR="00D87DEB" w:rsidRPr="005138D5">
        <w:rPr>
          <w:sz w:val="22"/>
        </w:rPr>
        <w:t xml:space="preserve">Zwiększenie aktywności enzymów wątrobowych również obserwowano częściej u dzieci. </w:t>
      </w:r>
    </w:p>
    <w:p w14:paraId="14B101C8" w14:textId="77777777" w:rsidR="00D87DEB" w:rsidRPr="005138D5" w:rsidRDefault="00D87DEB" w:rsidP="00A41668">
      <w:pPr>
        <w:rPr>
          <w:sz w:val="22"/>
        </w:rPr>
      </w:pPr>
    </w:p>
    <w:p w14:paraId="659E07A2" w14:textId="77777777" w:rsidR="00575F5E" w:rsidRPr="005138D5" w:rsidRDefault="00AE2F92" w:rsidP="00A41668">
      <w:pPr>
        <w:rPr>
          <w:sz w:val="22"/>
        </w:rPr>
      </w:pPr>
      <w:r w:rsidRPr="005138D5">
        <w:rPr>
          <w:noProof/>
          <w:sz w:val="22"/>
        </w:rPr>
        <w:t>W razie utrzymywania się lub uciążliwości któregokolwiek z tych działań niepożądanych należy poinformować o tym lekarza.</w:t>
      </w:r>
    </w:p>
    <w:p w14:paraId="7A97B19B" w14:textId="77777777" w:rsidR="00D66CAD" w:rsidRPr="005138D5" w:rsidRDefault="00D66CAD" w:rsidP="00D66CAD">
      <w:pPr>
        <w:widowControl/>
        <w:rPr>
          <w:noProof/>
          <w:sz w:val="22"/>
          <w:u w:val="single"/>
          <w:lang w:eastAsia="en-US"/>
        </w:rPr>
      </w:pPr>
    </w:p>
    <w:p w14:paraId="28858CC2" w14:textId="77777777" w:rsidR="00D66CAD" w:rsidRPr="005138D5" w:rsidRDefault="00D66CAD" w:rsidP="00D66CAD">
      <w:pPr>
        <w:widowControl/>
        <w:rPr>
          <w:b/>
          <w:sz w:val="22"/>
          <w:lang w:eastAsia="en-US"/>
        </w:rPr>
      </w:pPr>
      <w:r w:rsidRPr="005138D5">
        <w:rPr>
          <w:b/>
          <w:noProof/>
          <w:sz w:val="22"/>
          <w:lang w:eastAsia="en-US"/>
        </w:rPr>
        <w:t>Zgłaszanie działań niepożądanych</w:t>
      </w:r>
    </w:p>
    <w:p w14:paraId="2675B549" w14:textId="77777777" w:rsidR="00D66CAD" w:rsidRPr="005138D5" w:rsidRDefault="00AC280F" w:rsidP="00D66CAD">
      <w:pPr>
        <w:widowControl/>
        <w:rPr>
          <w:sz w:val="22"/>
          <w:lang w:eastAsia="en-US"/>
        </w:rPr>
      </w:pPr>
      <w:r w:rsidRPr="005138D5">
        <w:rPr>
          <w:noProof/>
          <w:sz w:val="22"/>
        </w:rPr>
        <w:t>Jeśli wystąpią jakiekolwiek objawy niepożądane, w tym wszelkie objawy niepożądane niewymienione w ulotce, należy powiedzieć o tym lekarzowi, farmaceucie lub pielęgniarce. Działania niepożądane można zgłaszać bezpośrednio do</w:t>
      </w:r>
      <w:r w:rsidR="00D66CAD" w:rsidRPr="005138D5">
        <w:rPr>
          <w:noProof/>
          <w:sz w:val="22"/>
          <w:lang w:eastAsia="en-US"/>
        </w:rPr>
        <w:t xml:space="preserve"> </w:t>
      </w:r>
      <w:r w:rsidR="00D66CAD" w:rsidRPr="005138D5">
        <w:rPr>
          <w:sz w:val="22"/>
          <w:highlight w:val="lightGray"/>
          <w:lang w:eastAsia="en-US"/>
        </w:rPr>
        <w:t xml:space="preserve">krajowego systemu zgłaszania wymienionego w </w:t>
      </w:r>
      <w:hyperlink r:id="rId13" w:history="1">
        <w:r w:rsidR="00D66CAD" w:rsidRPr="00714A7C">
          <w:rPr>
            <w:rStyle w:val="Hipercze"/>
            <w:sz w:val="22"/>
            <w:highlight w:val="lightGray"/>
            <w:lang w:eastAsia="en-US"/>
          </w:rPr>
          <w:t>załączniku V</w:t>
        </w:r>
      </w:hyperlink>
      <w:r w:rsidR="00D66CAD" w:rsidRPr="005138D5">
        <w:rPr>
          <w:sz w:val="22"/>
          <w:lang w:eastAsia="en-US"/>
        </w:rPr>
        <w:t>.</w:t>
      </w:r>
      <w:r w:rsidRPr="005138D5">
        <w:rPr>
          <w:sz w:val="22"/>
          <w:lang w:eastAsia="en-US"/>
        </w:rPr>
        <w:t xml:space="preserve"> </w:t>
      </w:r>
      <w:r w:rsidRPr="005138D5">
        <w:rPr>
          <w:sz w:val="22"/>
        </w:rPr>
        <w:t>Dzięki zgłaszaniu działań niepożądanych można będzie zgromadzić więcej informacji na temat bezpieczeństwa stosowania leku.</w:t>
      </w:r>
    </w:p>
    <w:p w14:paraId="0CB87DF3" w14:textId="77777777" w:rsidR="00B26438" w:rsidRPr="005138D5" w:rsidRDefault="00B26438" w:rsidP="00A41668">
      <w:pPr>
        <w:rPr>
          <w:b/>
          <w:sz w:val="22"/>
        </w:rPr>
      </w:pPr>
    </w:p>
    <w:p w14:paraId="1CC4913F" w14:textId="77777777" w:rsidR="006C67A2" w:rsidRPr="005138D5" w:rsidRDefault="006C67A2" w:rsidP="00A41668">
      <w:pPr>
        <w:rPr>
          <w:b/>
          <w:sz w:val="22"/>
        </w:rPr>
      </w:pPr>
    </w:p>
    <w:p w14:paraId="3C04D9AE" w14:textId="77777777" w:rsidR="00575F5E" w:rsidRPr="005138D5" w:rsidRDefault="00575F5E" w:rsidP="00A41668">
      <w:pPr>
        <w:rPr>
          <w:b/>
          <w:sz w:val="22"/>
        </w:rPr>
      </w:pPr>
      <w:r w:rsidRPr="005138D5">
        <w:rPr>
          <w:b/>
          <w:sz w:val="22"/>
        </w:rPr>
        <w:t>5.</w:t>
      </w:r>
      <w:r w:rsidRPr="005138D5">
        <w:rPr>
          <w:b/>
          <w:sz w:val="22"/>
        </w:rPr>
        <w:tab/>
        <w:t>J</w:t>
      </w:r>
      <w:r w:rsidR="00616730" w:rsidRPr="005138D5">
        <w:rPr>
          <w:b/>
          <w:sz w:val="22"/>
        </w:rPr>
        <w:t xml:space="preserve">ak przechowywać lek </w:t>
      </w:r>
      <w:r w:rsidR="00E52A9F" w:rsidRPr="005138D5">
        <w:rPr>
          <w:b/>
          <w:sz w:val="22"/>
        </w:rPr>
        <w:t>Voriconazole Accord</w:t>
      </w:r>
    </w:p>
    <w:p w14:paraId="211FC01B" w14:textId="77777777" w:rsidR="00575F5E" w:rsidRPr="005138D5" w:rsidRDefault="00575F5E" w:rsidP="00A41668">
      <w:pPr>
        <w:rPr>
          <w:sz w:val="22"/>
        </w:rPr>
      </w:pPr>
    </w:p>
    <w:p w14:paraId="5A1981C1" w14:textId="77777777" w:rsidR="00575F5E" w:rsidRPr="005138D5" w:rsidRDefault="00616730" w:rsidP="00A41668">
      <w:pPr>
        <w:rPr>
          <w:sz w:val="22"/>
        </w:rPr>
      </w:pPr>
      <w:r w:rsidRPr="005138D5">
        <w:rPr>
          <w:sz w:val="22"/>
        </w:rPr>
        <w:t>Lek należy p</w:t>
      </w:r>
      <w:r w:rsidR="00575F5E" w:rsidRPr="005138D5">
        <w:rPr>
          <w:sz w:val="22"/>
        </w:rPr>
        <w:t>rzechowywać w miejscu</w:t>
      </w:r>
      <w:r w:rsidRPr="005138D5">
        <w:rPr>
          <w:sz w:val="22"/>
        </w:rPr>
        <w:t xml:space="preserve"> niewidocznym i</w:t>
      </w:r>
      <w:r w:rsidR="00575F5E" w:rsidRPr="005138D5">
        <w:rPr>
          <w:sz w:val="22"/>
        </w:rPr>
        <w:t xml:space="preserve"> niedostępnym</w:t>
      </w:r>
      <w:r w:rsidRPr="005138D5">
        <w:rPr>
          <w:sz w:val="22"/>
        </w:rPr>
        <w:t xml:space="preserve"> d</w:t>
      </w:r>
      <w:r w:rsidR="00575F5E" w:rsidRPr="005138D5">
        <w:rPr>
          <w:sz w:val="22"/>
        </w:rPr>
        <w:t>la dzieci.</w:t>
      </w:r>
    </w:p>
    <w:p w14:paraId="1F93C0ED" w14:textId="77777777" w:rsidR="00616730" w:rsidRPr="005138D5" w:rsidRDefault="00616730" w:rsidP="00A41668">
      <w:pPr>
        <w:rPr>
          <w:sz w:val="22"/>
        </w:rPr>
      </w:pPr>
    </w:p>
    <w:p w14:paraId="025D0896" w14:textId="77777777" w:rsidR="00B26438" w:rsidRPr="005138D5" w:rsidRDefault="00575F5E" w:rsidP="00A41668">
      <w:pPr>
        <w:rPr>
          <w:noProof/>
          <w:sz w:val="22"/>
        </w:rPr>
      </w:pPr>
      <w:r w:rsidRPr="005138D5">
        <w:rPr>
          <w:noProof/>
          <w:sz w:val="22"/>
        </w:rPr>
        <w:t>Nie stosować</w:t>
      </w:r>
      <w:r w:rsidR="00616730" w:rsidRPr="005138D5">
        <w:rPr>
          <w:noProof/>
          <w:sz w:val="22"/>
        </w:rPr>
        <w:t xml:space="preserve"> tego</w:t>
      </w:r>
      <w:r w:rsidRPr="005138D5">
        <w:rPr>
          <w:noProof/>
          <w:sz w:val="22"/>
        </w:rPr>
        <w:t xml:space="preserve"> leku po upływie terminu ważności zamieszczonego na etykiecie. </w:t>
      </w:r>
    </w:p>
    <w:p w14:paraId="461F16B8" w14:textId="77777777" w:rsidR="00575F5E" w:rsidRPr="005138D5" w:rsidRDefault="00575F5E" w:rsidP="00A41668">
      <w:pPr>
        <w:rPr>
          <w:noProof/>
          <w:sz w:val="22"/>
        </w:rPr>
      </w:pPr>
      <w:r w:rsidRPr="005138D5">
        <w:rPr>
          <w:noProof/>
          <w:sz w:val="22"/>
        </w:rPr>
        <w:t xml:space="preserve">Termin ważności oznacza ostatni dzień </w:t>
      </w:r>
      <w:r w:rsidR="00616730" w:rsidRPr="005138D5">
        <w:rPr>
          <w:noProof/>
          <w:sz w:val="22"/>
        </w:rPr>
        <w:t>po</w:t>
      </w:r>
      <w:r w:rsidRPr="005138D5">
        <w:rPr>
          <w:noProof/>
          <w:sz w:val="22"/>
        </w:rPr>
        <w:t>danego miesiąca.</w:t>
      </w:r>
    </w:p>
    <w:p w14:paraId="31B75B7A" w14:textId="77777777" w:rsidR="00575F5E" w:rsidRPr="005138D5" w:rsidRDefault="00575F5E" w:rsidP="00A41668">
      <w:pPr>
        <w:rPr>
          <w:sz w:val="22"/>
        </w:rPr>
      </w:pPr>
    </w:p>
    <w:p w14:paraId="623D1E80" w14:textId="77777777" w:rsidR="00575F5E" w:rsidRPr="005138D5" w:rsidRDefault="00F677AE" w:rsidP="00A41668">
      <w:pPr>
        <w:rPr>
          <w:sz w:val="22"/>
        </w:rPr>
      </w:pPr>
      <w:r w:rsidRPr="005138D5">
        <w:rPr>
          <w:sz w:val="22"/>
        </w:rPr>
        <w:t>Lek ten nie wymaga sp</w:t>
      </w:r>
      <w:r w:rsidR="00575F5E" w:rsidRPr="005138D5">
        <w:rPr>
          <w:sz w:val="22"/>
        </w:rPr>
        <w:t xml:space="preserve">ecjalnych </w:t>
      </w:r>
      <w:r w:rsidRPr="005138D5">
        <w:rPr>
          <w:sz w:val="22"/>
        </w:rPr>
        <w:t>warunków</w:t>
      </w:r>
      <w:r w:rsidR="00575F5E" w:rsidRPr="005138D5">
        <w:rPr>
          <w:sz w:val="22"/>
        </w:rPr>
        <w:t xml:space="preserve"> przechowywania.</w:t>
      </w:r>
    </w:p>
    <w:p w14:paraId="5DC803C4" w14:textId="77777777" w:rsidR="005235AE" w:rsidRPr="005138D5" w:rsidRDefault="005235AE" w:rsidP="00A41668">
      <w:pPr>
        <w:rPr>
          <w:sz w:val="22"/>
        </w:rPr>
      </w:pPr>
    </w:p>
    <w:p w14:paraId="5D456C4A" w14:textId="77777777" w:rsidR="00575F5E" w:rsidRPr="005138D5" w:rsidRDefault="00575F5E" w:rsidP="00277FE6">
      <w:pPr>
        <w:rPr>
          <w:sz w:val="22"/>
        </w:rPr>
      </w:pPr>
      <w:r w:rsidRPr="005138D5">
        <w:rPr>
          <w:sz w:val="22"/>
        </w:rPr>
        <w:t xml:space="preserve">Leków nie należy wyrzucać do kanalizacji </w:t>
      </w:r>
      <w:r w:rsidR="009B21FC" w:rsidRPr="005138D5">
        <w:rPr>
          <w:sz w:val="22"/>
        </w:rPr>
        <w:t xml:space="preserve">ani </w:t>
      </w:r>
      <w:r w:rsidRPr="005138D5">
        <w:rPr>
          <w:sz w:val="22"/>
        </w:rPr>
        <w:t>domowych pojemników na odpadki. Należy zapytać farmaceutę</w:t>
      </w:r>
      <w:r w:rsidR="005F4C6A" w:rsidRPr="005138D5">
        <w:rPr>
          <w:sz w:val="22"/>
        </w:rPr>
        <w:t>,</w:t>
      </w:r>
      <w:r w:rsidRPr="005138D5">
        <w:rPr>
          <w:sz w:val="22"/>
        </w:rPr>
        <w:t xml:space="preserve"> </w:t>
      </w:r>
      <w:r w:rsidR="00616730" w:rsidRPr="005138D5">
        <w:rPr>
          <w:sz w:val="22"/>
        </w:rPr>
        <w:t xml:space="preserve">jak usunąć leki, </w:t>
      </w:r>
      <w:r w:rsidRPr="005138D5">
        <w:rPr>
          <w:sz w:val="22"/>
        </w:rPr>
        <w:t>których się już nie</w:t>
      </w:r>
      <w:r w:rsidR="00616730" w:rsidRPr="005138D5">
        <w:rPr>
          <w:sz w:val="22"/>
        </w:rPr>
        <w:t xml:space="preserve"> używa</w:t>
      </w:r>
      <w:r w:rsidRPr="005138D5">
        <w:rPr>
          <w:sz w:val="22"/>
        </w:rPr>
        <w:t>. Takie postępowanie pomoże chronić środowisko.</w:t>
      </w:r>
    </w:p>
    <w:p w14:paraId="4B5836E9" w14:textId="77777777" w:rsidR="00575F5E" w:rsidRPr="005138D5" w:rsidRDefault="00575F5E" w:rsidP="00DF39CB">
      <w:pPr>
        <w:rPr>
          <w:sz w:val="22"/>
        </w:rPr>
      </w:pPr>
    </w:p>
    <w:p w14:paraId="123F754B" w14:textId="77777777" w:rsidR="00575F5E" w:rsidRPr="005138D5" w:rsidRDefault="00575F5E" w:rsidP="00A41668">
      <w:pPr>
        <w:rPr>
          <w:sz w:val="22"/>
        </w:rPr>
      </w:pPr>
    </w:p>
    <w:p w14:paraId="27838042" w14:textId="77777777" w:rsidR="00575F5E" w:rsidRPr="005138D5" w:rsidRDefault="00575F5E" w:rsidP="00277FE6">
      <w:pPr>
        <w:rPr>
          <w:b/>
          <w:sz w:val="22"/>
        </w:rPr>
      </w:pPr>
      <w:r w:rsidRPr="005138D5">
        <w:rPr>
          <w:b/>
          <w:sz w:val="22"/>
        </w:rPr>
        <w:t>6.</w:t>
      </w:r>
      <w:r w:rsidRPr="005138D5">
        <w:rPr>
          <w:b/>
          <w:sz w:val="22"/>
        </w:rPr>
        <w:tab/>
      </w:r>
      <w:r w:rsidR="00616730" w:rsidRPr="005138D5">
        <w:rPr>
          <w:b/>
          <w:sz w:val="22"/>
        </w:rPr>
        <w:t>Zawartość opakowania i inne informacje</w:t>
      </w:r>
    </w:p>
    <w:p w14:paraId="7ADC3EC9" w14:textId="77777777" w:rsidR="00575F5E" w:rsidRPr="005138D5" w:rsidRDefault="00575F5E" w:rsidP="00277FE6">
      <w:pPr>
        <w:rPr>
          <w:sz w:val="22"/>
        </w:rPr>
      </w:pPr>
    </w:p>
    <w:p w14:paraId="6E61AAEA" w14:textId="77777777" w:rsidR="00575F5E" w:rsidRPr="005138D5" w:rsidRDefault="00575F5E" w:rsidP="00277FE6">
      <w:pPr>
        <w:rPr>
          <w:b/>
          <w:sz w:val="22"/>
        </w:rPr>
      </w:pPr>
      <w:r w:rsidRPr="005138D5">
        <w:rPr>
          <w:b/>
          <w:sz w:val="22"/>
        </w:rPr>
        <w:t xml:space="preserve">Co zawiera lek </w:t>
      </w:r>
      <w:r w:rsidR="00E52A9F" w:rsidRPr="005138D5">
        <w:rPr>
          <w:b/>
          <w:sz w:val="22"/>
        </w:rPr>
        <w:t>Voriconazole Accord</w:t>
      </w:r>
    </w:p>
    <w:p w14:paraId="33E6C3A0" w14:textId="77777777" w:rsidR="00D9436D" w:rsidRPr="00C32FD6" w:rsidRDefault="00575F5E" w:rsidP="00DC061B">
      <w:pPr>
        <w:keepNext/>
        <w:numPr>
          <w:ilvl w:val="0"/>
          <w:numId w:val="21"/>
        </w:numPr>
        <w:tabs>
          <w:tab w:val="clear" w:pos="0"/>
          <w:tab w:val="num" w:pos="567"/>
        </w:tabs>
        <w:ind w:left="567" w:hanging="567"/>
        <w:rPr>
          <w:sz w:val="22"/>
        </w:rPr>
      </w:pPr>
      <w:r w:rsidRPr="00A31C89">
        <w:rPr>
          <w:sz w:val="22"/>
        </w:rPr>
        <w:t xml:space="preserve">Substancją czynną </w:t>
      </w:r>
      <w:r w:rsidR="009B21FC" w:rsidRPr="00A31C89">
        <w:rPr>
          <w:sz w:val="22"/>
        </w:rPr>
        <w:t xml:space="preserve">leku </w:t>
      </w:r>
      <w:r w:rsidRPr="00A31C89">
        <w:rPr>
          <w:sz w:val="22"/>
        </w:rPr>
        <w:t xml:space="preserve">jest worykonazol. </w:t>
      </w:r>
    </w:p>
    <w:p w14:paraId="36EBAB44" w14:textId="77777777" w:rsidR="00C45FFF" w:rsidRPr="005138D5" w:rsidRDefault="00575F5E" w:rsidP="00277FE6">
      <w:pPr>
        <w:keepNext/>
        <w:ind w:left="567"/>
        <w:rPr>
          <w:sz w:val="22"/>
        </w:rPr>
      </w:pPr>
      <w:r w:rsidRPr="005138D5">
        <w:rPr>
          <w:sz w:val="22"/>
        </w:rPr>
        <w:t xml:space="preserve">Każda tabletka </w:t>
      </w:r>
      <w:r w:rsidR="00EF5926" w:rsidRPr="005138D5">
        <w:rPr>
          <w:sz w:val="22"/>
        </w:rPr>
        <w:t>powlekana</w:t>
      </w:r>
      <w:r w:rsidR="00EF5926" w:rsidRPr="005138D5" w:rsidDel="00C45FFF">
        <w:rPr>
          <w:sz w:val="22"/>
        </w:rPr>
        <w:t xml:space="preserve"> </w:t>
      </w:r>
      <w:r w:rsidR="00E52A9F" w:rsidRPr="005138D5">
        <w:rPr>
          <w:sz w:val="22"/>
        </w:rPr>
        <w:t>Voriconazole Accord</w:t>
      </w:r>
      <w:r w:rsidR="00E52A9F" w:rsidRPr="005138D5" w:rsidDel="00E52A9F">
        <w:rPr>
          <w:sz w:val="22"/>
        </w:rPr>
        <w:t xml:space="preserve"> </w:t>
      </w:r>
      <w:r w:rsidRPr="005138D5">
        <w:rPr>
          <w:sz w:val="22"/>
        </w:rPr>
        <w:t>50</w:t>
      </w:r>
      <w:r w:rsidR="00086D10" w:rsidRPr="005138D5">
        <w:rPr>
          <w:sz w:val="22"/>
        </w:rPr>
        <w:t> mg</w:t>
      </w:r>
      <w:r w:rsidR="00C45FFF" w:rsidRPr="005138D5">
        <w:rPr>
          <w:sz w:val="22"/>
        </w:rPr>
        <w:t>, zawiera 50 mg worykonazolu.</w:t>
      </w:r>
    </w:p>
    <w:p w14:paraId="0A1616E3" w14:textId="77777777" w:rsidR="00575F5E" w:rsidRPr="005138D5" w:rsidRDefault="009E4358" w:rsidP="00277FE6">
      <w:pPr>
        <w:keepNext/>
        <w:ind w:left="567"/>
        <w:rPr>
          <w:sz w:val="22"/>
        </w:rPr>
      </w:pPr>
      <w:r w:rsidRPr="005138D5">
        <w:rPr>
          <w:sz w:val="22"/>
        </w:rPr>
        <w:t xml:space="preserve">Każda tabletka </w:t>
      </w:r>
      <w:r w:rsidR="00EF5926" w:rsidRPr="005138D5">
        <w:rPr>
          <w:sz w:val="22"/>
        </w:rPr>
        <w:t>powlekana</w:t>
      </w:r>
      <w:r w:rsidR="00EF5926" w:rsidRPr="005138D5" w:rsidDel="00C45FFF">
        <w:rPr>
          <w:sz w:val="22"/>
        </w:rPr>
        <w:t xml:space="preserve"> </w:t>
      </w:r>
      <w:r w:rsidR="00E52A9F" w:rsidRPr="005138D5">
        <w:rPr>
          <w:sz w:val="22"/>
        </w:rPr>
        <w:t>Voriconazole Accord</w:t>
      </w:r>
      <w:r w:rsidR="00E52A9F" w:rsidRPr="005138D5" w:rsidDel="00E52A9F">
        <w:rPr>
          <w:sz w:val="22"/>
        </w:rPr>
        <w:t xml:space="preserve"> </w:t>
      </w:r>
      <w:r w:rsidR="00575F5E" w:rsidRPr="005138D5">
        <w:rPr>
          <w:sz w:val="22"/>
        </w:rPr>
        <w:t>200</w:t>
      </w:r>
      <w:r w:rsidR="00086D10" w:rsidRPr="005138D5">
        <w:rPr>
          <w:sz w:val="22"/>
        </w:rPr>
        <w:t> mg</w:t>
      </w:r>
      <w:r w:rsidR="00575F5E" w:rsidRPr="005138D5">
        <w:rPr>
          <w:sz w:val="22"/>
        </w:rPr>
        <w:t xml:space="preserve"> </w:t>
      </w:r>
      <w:r w:rsidR="00C45FFF" w:rsidRPr="005138D5">
        <w:rPr>
          <w:sz w:val="22"/>
        </w:rPr>
        <w:t>zaw iera 200 mg worykonazolu</w:t>
      </w:r>
      <w:r w:rsidR="00575F5E" w:rsidRPr="005138D5">
        <w:rPr>
          <w:sz w:val="22"/>
        </w:rPr>
        <w:t>.</w:t>
      </w:r>
    </w:p>
    <w:p w14:paraId="0C78CB60" w14:textId="77777777" w:rsidR="00C40463" w:rsidRPr="00C40463" w:rsidRDefault="00616730" w:rsidP="00C40463">
      <w:pPr>
        <w:numPr>
          <w:ilvl w:val="0"/>
          <w:numId w:val="21"/>
        </w:numPr>
        <w:tabs>
          <w:tab w:val="clear" w:pos="0"/>
        </w:tabs>
        <w:rPr>
          <w:bCs/>
          <w:sz w:val="22"/>
        </w:rPr>
      </w:pPr>
      <w:r w:rsidRPr="005138D5">
        <w:rPr>
          <w:sz w:val="22"/>
        </w:rPr>
        <w:t xml:space="preserve">Pozostałe </w:t>
      </w:r>
      <w:r w:rsidR="00575F5E" w:rsidRPr="005138D5">
        <w:rPr>
          <w:sz w:val="22"/>
        </w:rPr>
        <w:t>składniki</w:t>
      </w:r>
      <w:r w:rsidR="009B21FC" w:rsidRPr="005138D5">
        <w:rPr>
          <w:sz w:val="22"/>
        </w:rPr>
        <w:t xml:space="preserve"> to</w:t>
      </w:r>
      <w:r w:rsidR="00575F5E" w:rsidRPr="005138D5">
        <w:rPr>
          <w:sz w:val="22"/>
        </w:rPr>
        <w:t xml:space="preserve">: </w:t>
      </w:r>
      <w:r w:rsidR="00575F5E" w:rsidRPr="005138D5">
        <w:rPr>
          <w:bCs/>
          <w:sz w:val="22"/>
        </w:rPr>
        <w:t>laktoza jednowodna, skrobia żelowana, kroskarmeloza sodowa, powidon, magnezu stearynian, stanowiące rdzeń tabletki oraz hypromeloza, tytanu dwutlenek (E171), laktoza jednowodna, trój</w:t>
      </w:r>
      <w:r w:rsidR="00E52A9F" w:rsidRPr="005138D5">
        <w:rPr>
          <w:bCs/>
          <w:sz w:val="22"/>
        </w:rPr>
        <w:t>acetyna</w:t>
      </w:r>
      <w:r w:rsidR="00575F5E" w:rsidRPr="005138D5">
        <w:rPr>
          <w:bCs/>
          <w:sz w:val="22"/>
        </w:rPr>
        <w:t>, które stanowią otoczkę tabletki</w:t>
      </w:r>
      <w:r w:rsidR="00C40463">
        <w:rPr>
          <w:bCs/>
          <w:sz w:val="22"/>
        </w:rPr>
        <w:t xml:space="preserve"> </w:t>
      </w:r>
      <w:r w:rsidR="00C40463" w:rsidRPr="00C40463">
        <w:rPr>
          <w:bCs/>
          <w:sz w:val="22"/>
        </w:rPr>
        <w:t xml:space="preserve"> (patrz punkt 2</w:t>
      </w:r>
      <w:r w:rsidR="00C40463">
        <w:rPr>
          <w:bCs/>
          <w:sz w:val="22"/>
        </w:rPr>
        <w:t xml:space="preserve"> </w:t>
      </w:r>
      <w:r w:rsidR="00C40463" w:rsidRPr="00C40463">
        <w:rPr>
          <w:bCs/>
          <w:sz w:val="22"/>
        </w:rPr>
        <w:t>„</w:t>
      </w:r>
      <w:r w:rsidR="00C40463">
        <w:rPr>
          <w:bCs/>
          <w:sz w:val="22"/>
        </w:rPr>
        <w:t>Voriconazole Accord</w:t>
      </w:r>
      <w:r w:rsidR="00C40463" w:rsidRPr="00C40463">
        <w:rPr>
          <w:bCs/>
          <w:sz w:val="22"/>
        </w:rPr>
        <w:t xml:space="preserve"> 50 mg tabletki powlekane lub</w:t>
      </w:r>
      <w:r w:rsidR="00C40463">
        <w:rPr>
          <w:bCs/>
          <w:sz w:val="22"/>
        </w:rPr>
        <w:t xml:space="preserve"> Voriconazole Accord</w:t>
      </w:r>
      <w:r w:rsidR="00C40463" w:rsidRPr="00C40463">
        <w:rPr>
          <w:bCs/>
          <w:sz w:val="22"/>
        </w:rPr>
        <w:t xml:space="preserve"> 200 mg tabletki powlekane zawierają laktozę</w:t>
      </w:r>
    </w:p>
    <w:p w14:paraId="111ECB3D" w14:textId="77777777" w:rsidR="00575F5E" w:rsidRPr="005138D5" w:rsidRDefault="00C40463" w:rsidP="00C40463">
      <w:pPr>
        <w:ind w:left="284"/>
        <w:rPr>
          <w:bCs/>
          <w:sz w:val="22"/>
        </w:rPr>
      </w:pPr>
      <w:r w:rsidRPr="00C40463">
        <w:rPr>
          <w:bCs/>
          <w:sz w:val="22"/>
        </w:rPr>
        <w:t>i sód”).</w:t>
      </w:r>
      <w:r w:rsidRPr="00C40463">
        <w:rPr>
          <w:bCs/>
          <w:sz w:val="22"/>
        </w:rPr>
        <w:cr/>
      </w:r>
    </w:p>
    <w:p w14:paraId="6567A0D3" w14:textId="77777777" w:rsidR="00575F5E" w:rsidRPr="005138D5" w:rsidRDefault="00575F5E" w:rsidP="00A41668">
      <w:pPr>
        <w:rPr>
          <w:b/>
          <w:sz w:val="22"/>
        </w:rPr>
      </w:pPr>
      <w:r w:rsidRPr="005138D5">
        <w:rPr>
          <w:b/>
          <w:sz w:val="22"/>
        </w:rPr>
        <w:t>Jak wygl</w:t>
      </w:r>
      <w:r w:rsidR="00F041EE" w:rsidRPr="005138D5">
        <w:rPr>
          <w:b/>
          <w:sz w:val="22"/>
        </w:rPr>
        <w:t>ą</w:t>
      </w:r>
      <w:r w:rsidRPr="005138D5">
        <w:rPr>
          <w:b/>
          <w:sz w:val="22"/>
        </w:rPr>
        <w:t xml:space="preserve">da lek </w:t>
      </w:r>
      <w:r w:rsidR="00E52A9F" w:rsidRPr="005138D5">
        <w:rPr>
          <w:b/>
          <w:sz w:val="22"/>
        </w:rPr>
        <w:t>Voriconazole Accord</w:t>
      </w:r>
      <w:r w:rsidR="00E52A9F" w:rsidRPr="005138D5" w:rsidDel="00E52A9F">
        <w:rPr>
          <w:b/>
          <w:sz w:val="22"/>
        </w:rPr>
        <w:t xml:space="preserve"> </w:t>
      </w:r>
      <w:r w:rsidRPr="005138D5">
        <w:rPr>
          <w:b/>
          <w:sz w:val="22"/>
        </w:rPr>
        <w:t xml:space="preserve">i </w:t>
      </w:r>
      <w:r w:rsidR="00B55E5E" w:rsidRPr="005138D5">
        <w:rPr>
          <w:b/>
          <w:sz w:val="22"/>
        </w:rPr>
        <w:t xml:space="preserve">co </w:t>
      </w:r>
      <w:r w:rsidRPr="005138D5">
        <w:rPr>
          <w:b/>
          <w:sz w:val="22"/>
        </w:rPr>
        <w:t>zawiera opakowanie</w:t>
      </w:r>
    </w:p>
    <w:p w14:paraId="5391AB4C" w14:textId="77777777" w:rsidR="00575F5E" w:rsidRPr="005138D5" w:rsidRDefault="00575F5E" w:rsidP="00A41668">
      <w:pPr>
        <w:pStyle w:val="Tekstpodstawowy3"/>
        <w:rPr>
          <w:rFonts w:ascii="Times New Roman" w:hAnsi="Times New Roman" w:cs="Times New Roman"/>
          <w:i w:val="0"/>
          <w:u w:val="none"/>
        </w:rPr>
      </w:pPr>
      <w:r w:rsidRPr="005138D5">
        <w:rPr>
          <w:rFonts w:ascii="Times New Roman" w:hAnsi="Times New Roman" w:cs="Times New Roman"/>
          <w:i w:val="0"/>
          <w:u w:val="none"/>
        </w:rPr>
        <w:t xml:space="preserve">Tabletki powlekane </w:t>
      </w:r>
      <w:r w:rsidR="00E52A9F" w:rsidRPr="005138D5">
        <w:rPr>
          <w:rFonts w:ascii="Times New Roman" w:hAnsi="Times New Roman" w:cs="Times New Roman"/>
          <w:i w:val="0"/>
          <w:u w:val="none"/>
        </w:rPr>
        <w:t>Voriconazole Accord</w:t>
      </w:r>
      <w:r w:rsidR="00E52A9F" w:rsidRPr="005138D5" w:rsidDel="00E52A9F">
        <w:rPr>
          <w:rFonts w:ascii="Times New Roman" w:hAnsi="Times New Roman" w:cs="Times New Roman"/>
          <w:i w:val="0"/>
          <w:u w:val="none"/>
        </w:rPr>
        <w:t xml:space="preserve"> </w:t>
      </w:r>
      <w:r w:rsidRPr="005138D5">
        <w:rPr>
          <w:rFonts w:ascii="Times New Roman" w:hAnsi="Times New Roman" w:cs="Times New Roman"/>
          <w:i w:val="0"/>
          <w:u w:val="none"/>
        </w:rPr>
        <w:t>50</w:t>
      </w:r>
      <w:r w:rsidR="00086D10" w:rsidRPr="005138D5">
        <w:rPr>
          <w:rFonts w:ascii="Times New Roman" w:hAnsi="Times New Roman" w:cs="Times New Roman"/>
          <w:i w:val="0"/>
          <w:u w:val="none"/>
        </w:rPr>
        <w:t> mg</w:t>
      </w:r>
      <w:r w:rsidRPr="005138D5">
        <w:rPr>
          <w:rFonts w:ascii="Times New Roman" w:hAnsi="Times New Roman" w:cs="Times New Roman"/>
          <w:i w:val="0"/>
          <w:u w:val="none"/>
        </w:rPr>
        <w:t xml:space="preserve"> są białe</w:t>
      </w:r>
      <w:r w:rsidR="00B31191" w:rsidRPr="005138D5">
        <w:rPr>
          <w:rFonts w:ascii="Times New Roman" w:hAnsi="Times New Roman" w:cs="Times New Roman"/>
          <w:i w:val="0"/>
          <w:u w:val="none"/>
        </w:rPr>
        <w:t xml:space="preserve"> lub prawie białe</w:t>
      </w:r>
      <w:r w:rsidRPr="005138D5">
        <w:rPr>
          <w:rFonts w:ascii="Times New Roman" w:hAnsi="Times New Roman" w:cs="Times New Roman"/>
          <w:i w:val="0"/>
          <w:u w:val="none"/>
        </w:rPr>
        <w:t>, okrągłe</w:t>
      </w:r>
      <w:r w:rsidR="00E52A9F" w:rsidRPr="005138D5">
        <w:rPr>
          <w:rFonts w:ascii="Times New Roman" w:hAnsi="Times New Roman" w:cs="Times New Roman"/>
          <w:i w:val="0"/>
          <w:u w:val="none"/>
        </w:rPr>
        <w:t xml:space="preserve">, o średnicy około </w:t>
      </w:r>
      <w:smartTag w:uri="urn:schemas-microsoft-com:office:smarttags" w:element="metricconverter">
        <w:smartTagPr>
          <w:attr w:name="ProductID" w:val="7 mm"/>
        </w:smartTagPr>
        <w:r w:rsidR="00E52A9F" w:rsidRPr="005138D5">
          <w:rPr>
            <w:rFonts w:ascii="Times New Roman" w:hAnsi="Times New Roman" w:cs="Times New Roman"/>
            <w:i w:val="0"/>
            <w:u w:val="none"/>
          </w:rPr>
          <w:t>7</w:t>
        </w:r>
        <w:r w:rsidR="00386A06" w:rsidRPr="005138D5">
          <w:rPr>
            <w:rFonts w:ascii="Times New Roman" w:hAnsi="Times New Roman" w:cs="Times New Roman"/>
            <w:i w:val="0"/>
            <w:u w:val="none"/>
          </w:rPr>
          <w:t> mm</w:t>
        </w:r>
      </w:smartTag>
      <w:r w:rsidR="00E52A9F" w:rsidRPr="005138D5">
        <w:rPr>
          <w:rFonts w:ascii="Times New Roman" w:hAnsi="Times New Roman" w:cs="Times New Roman"/>
          <w:i w:val="0"/>
          <w:u w:val="none"/>
        </w:rPr>
        <w:t xml:space="preserve">, </w:t>
      </w:r>
      <w:r w:rsidRPr="005138D5">
        <w:rPr>
          <w:rFonts w:ascii="Times New Roman" w:hAnsi="Times New Roman" w:cs="Times New Roman"/>
          <w:i w:val="0"/>
          <w:u w:val="none"/>
        </w:rPr>
        <w:t xml:space="preserve">z wytłoczonym </w:t>
      </w:r>
      <w:r w:rsidR="00E52A9F" w:rsidRPr="005138D5">
        <w:rPr>
          <w:rFonts w:ascii="Times New Roman" w:hAnsi="Times New Roman" w:cs="Times New Roman"/>
          <w:i w:val="0"/>
          <w:u w:val="none"/>
        </w:rPr>
        <w:t xml:space="preserve">napisem </w:t>
      </w:r>
      <w:r w:rsidRPr="005138D5">
        <w:rPr>
          <w:rFonts w:ascii="Times New Roman" w:hAnsi="Times New Roman" w:cs="Times New Roman"/>
          <w:i w:val="0"/>
          <w:u w:val="none"/>
        </w:rPr>
        <w:t>„</w:t>
      </w:r>
      <w:r w:rsidR="00E52A9F" w:rsidRPr="005138D5">
        <w:rPr>
          <w:rFonts w:ascii="Times New Roman" w:hAnsi="Times New Roman" w:cs="Times New Roman"/>
          <w:i w:val="0"/>
          <w:u w:val="none"/>
        </w:rPr>
        <w:t>V50</w:t>
      </w:r>
      <w:r w:rsidRPr="005138D5">
        <w:rPr>
          <w:rFonts w:ascii="Times New Roman" w:hAnsi="Times New Roman" w:cs="Times New Roman"/>
          <w:i w:val="0"/>
          <w:u w:val="none"/>
        </w:rPr>
        <w:t>” na jednej stronie</w:t>
      </w:r>
      <w:r w:rsidR="00E52A9F" w:rsidRPr="005138D5">
        <w:rPr>
          <w:rFonts w:ascii="Times New Roman" w:hAnsi="Times New Roman" w:cs="Times New Roman"/>
          <w:i w:val="0"/>
          <w:u w:val="none"/>
        </w:rPr>
        <w:t xml:space="preserve">, bez oznaczenia </w:t>
      </w:r>
      <w:r w:rsidRPr="005138D5">
        <w:rPr>
          <w:rFonts w:ascii="Times New Roman" w:hAnsi="Times New Roman" w:cs="Times New Roman"/>
          <w:i w:val="0"/>
          <w:u w:val="none"/>
        </w:rPr>
        <w:t>na drugiej stronie</w:t>
      </w:r>
      <w:r w:rsidR="00A24B85">
        <w:rPr>
          <w:rFonts w:ascii="Times New Roman" w:hAnsi="Times New Roman" w:cs="Times New Roman"/>
          <w:i w:val="0"/>
          <w:u w:val="none"/>
        </w:rPr>
        <w:t xml:space="preserve"> tabletki</w:t>
      </w:r>
      <w:r w:rsidRPr="005138D5">
        <w:rPr>
          <w:rFonts w:ascii="Times New Roman" w:hAnsi="Times New Roman" w:cs="Times New Roman"/>
          <w:i w:val="0"/>
          <w:u w:val="none"/>
        </w:rPr>
        <w:t xml:space="preserve">. </w:t>
      </w:r>
    </w:p>
    <w:p w14:paraId="16656AFD" w14:textId="77777777" w:rsidR="005235AE" w:rsidRPr="005138D5" w:rsidRDefault="005235AE" w:rsidP="00A41668">
      <w:pPr>
        <w:pStyle w:val="Tekstpodstawowy3"/>
        <w:rPr>
          <w:rFonts w:ascii="Times New Roman" w:hAnsi="Times New Roman" w:cs="Times New Roman"/>
          <w:i w:val="0"/>
          <w:u w:val="none"/>
        </w:rPr>
      </w:pPr>
    </w:p>
    <w:p w14:paraId="4BC6205C" w14:textId="77777777" w:rsidR="00575F5E" w:rsidRPr="005138D5" w:rsidRDefault="00575F5E" w:rsidP="00A41668">
      <w:pPr>
        <w:rPr>
          <w:sz w:val="22"/>
        </w:rPr>
      </w:pPr>
      <w:r w:rsidRPr="005138D5">
        <w:rPr>
          <w:sz w:val="22"/>
        </w:rPr>
        <w:t xml:space="preserve">Tabletki powlekane </w:t>
      </w:r>
      <w:r w:rsidR="00E52A9F" w:rsidRPr="005138D5">
        <w:rPr>
          <w:sz w:val="22"/>
        </w:rPr>
        <w:t>Voriconazole Accord</w:t>
      </w:r>
      <w:r w:rsidR="00E52A9F" w:rsidRPr="005138D5" w:rsidDel="00E52A9F">
        <w:rPr>
          <w:sz w:val="22"/>
        </w:rPr>
        <w:t xml:space="preserve"> </w:t>
      </w:r>
      <w:r w:rsidRPr="005138D5">
        <w:rPr>
          <w:sz w:val="22"/>
        </w:rPr>
        <w:t>200</w:t>
      </w:r>
      <w:r w:rsidR="00086D10" w:rsidRPr="005138D5">
        <w:rPr>
          <w:sz w:val="22"/>
        </w:rPr>
        <w:t> mg</w:t>
      </w:r>
      <w:r w:rsidRPr="005138D5">
        <w:rPr>
          <w:sz w:val="22"/>
        </w:rPr>
        <w:t xml:space="preserve"> są białe</w:t>
      </w:r>
      <w:r w:rsidR="00B31191" w:rsidRPr="005138D5">
        <w:rPr>
          <w:sz w:val="22"/>
        </w:rPr>
        <w:t xml:space="preserve"> </w:t>
      </w:r>
      <w:r w:rsidR="00F40A21" w:rsidRPr="005138D5">
        <w:rPr>
          <w:sz w:val="22"/>
        </w:rPr>
        <w:t>lub prawie białe</w:t>
      </w:r>
      <w:r w:rsidRPr="005138D5">
        <w:rPr>
          <w:sz w:val="22"/>
        </w:rPr>
        <w:t xml:space="preserve">, </w:t>
      </w:r>
      <w:r w:rsidR="00E52A9F" w:rsidRPr="005138D5">
        <w:rPr>
          <w:sz w:val="22"/>
        </w:rPr>
        <w:t>owalne, o długości około 15,6</w:t>
      </w:r>
      <w:r w:rsidR="00386A06" w:rsidRPr="005138D5">
        <w:rPr>
          <w:sz w:val="22"/>
        </w:rPr>
        <w:t> mm</w:t>
      </w:r>
      <w:r w:rsidR="00E52A9F" w:rsidRPr="005138D5">
        <w:rPr>
          <w:sz w:val="22"/>
        </w:rPr>
        <w:t xml:space="preserve"> i szerokości </w:t>
      </w:r>
      <w:r w:rsidR="00086D10" w:rsidRPr="005138D5">
        <w:rPr>
          <w:sz w:val="22"/>
        </w:rPr>
        <w:t xml:space="preserve">około </w:t>
      </w:r>
      <w:r w:rsidR="00E52A9F" w:rsidRPr="005138D5">
        <w:rPr>
          <w:sz w:val="22"/>
        </w:rPr>
        <w:t>7,8</w:t>
      </w:r>
      <w:r w:rsidR="00386A06" w:rsidRPr="005138D5">
        <w:rPr>
          <w:sz w:val="22"/>
        </w:rPr>
        <w:t> mm</w:t>
      </w:r>
      <w:r w:rsidR="00E52A9F" w:rsidRPr="005138D5">
        <w:rPr>
          <w:sz w:val="22"/>
        </w:rPr>
        <w:t xml:space="preserve">, </w:t>
      </w:r>
      <w:r w:rsidRPr="005138D5">
        <w:rPr>
          <w:sz w:val="22"/>
        </w:rPr>
        <w:t xml:space="preserve">z wytłoczonym </w:t>
      </w:r>
      <w:r w:rsidR="00E52A9F" w:rsidRPr="005138D5">
        <w:rPr>
          <w:sz w:val="22"/>
        </w:rPr>
        <w:t xml:space="preserve">napisem </w:t>
      </w:r>
      <w:r w:rsidRPr="005138D5">
        <w:rPr>
          <w:sz w:val="22"/>
        </w:rPr>
        <w:t>„</w:t>
      </w:r>
      <w:r w:rsidR="00E52A9F" w:rsidRPr="005138D5">
        <w:rPr>
          <w:sz w:val="22"/>
        </w:rPr>
        <w:t>V200</w:t>
      </w:r>
      <w:r w:rsidRPr="005138D5">
        <w:rPr>
          <w:sz w:val="22"/>
        </w:rPr>
        <w:t>” na jednej stronie</w:t>
      </w:r>
      <w:r w:rsidR="00E52A9F" w:rsidRPr="005138D5">
        <w:rPr>
          <w:sz w:val="22"/>
        </w:rPr>
        <w:t xml:space="preserve">, bez oznaczenia </w:t>
      </w:r>
      <w:r w:rsidRPr="005138D5">
        <w:rPr>
          <w:sz w:val="22"/>
        </w:rPr>
        <w:t>na drugiej stronie tabletki.</w:t>
      </w:r>
    </w:p>
    <w:p w14:paraId="0AD448F6" w14:textId="77777777" w:rsidR="00575F5E" w:rsidRPr="005138D5" w:rsidRDefault="00575F5E" w:rsidP="00A41668">
      <w:pPr>
        <w:rPr>
          <w:sz w:val="22"/>
        </w:rPr>
      </w:pPr>
    </w:p>
    <w:p w14:paraId="0CFFA930" w14:textId="77777777" w:rsidR="00575F5E" w:rsidRPr="005138D5" w:rsidRDefault="00E52A9F" w:rsidP="00A41668">
      <w:pPr>
        <w:rPr>
          <w:sz w:val="22"/>
        </w:rPr>
      </w:pPr>
      <w:r w:rsidRPr="005138D5">
        <w:rPr>
          <w:sz w:val="22"/>
        </w:rPr>
        <w:t>Voriconazole Accord</w:t>
      </w:r>
      <w:r w:rsidRPr="005138D5" w:rsidDel="00E52A9F">
        <w:rPr>
          <w:sz w:val="22"/>
        </w:rPr>
        <w:t xml:space="preserve"> </w:t>
      </w:r>
      <w:r w:rsidR="00575F5E" w:rsidRPr="005138D5">
        <w:rPr>
          <w:sz w:val="22"/>
        </w:rPr>
        <w:t>50</w:t>
      </w:r>
      <w:r w:rsidR="00086D10" w:rsidRPr="005138D5">
        <w:rPr>
          <w:sz w:val="22"/>
        </w:rPr>
        <w:t> mg</w:t>
      </w:r>
      <w:r w:rsidR="00575F5E" w:rsidRPr="005138D5">
        <w:rPr>
          <w:sz w:val="22"/>
        </w:rPr>
        <w:t xml:space="preserve"> tabletki powlekane i </w:t>
      </w:r>
      <w:r w:rsidRPr="005138D5">
        <w:rPr>
          <w:sz w:val="22"/>
        </w:rPr>
        <w:t>Voriconazole Accord</w:t>
      </w:r>
      <w:r w:rsidRPr="005138D5" w:rsidDel="00E52A9F">
        <w:rPr>
          <w:sz w:val="22"/>
        </w:rPr>
        <w:t xml:space="preserve"> </w:t>
      </w:r>
      <w:r w:rsidR="00575F5E" w:rsidRPr="005138D5">
        <w:rPr>
          <w:sz w:val="22"/>
        </w:rPr>
        <w:t>200</w:t>
      </w:r>
      <w:r w:rsidR="00086D10" w:rsidRPr="005138D5">
        <w:rPr>
          <w:sz w:val="22"/>
        </w:rPr>
        <w:t> mg</w:t>
      </w:r>
      <w:r w:rsidR="00575F5E" w:rsidRPr="005138D5">
        <w:rPr>
          <w:sz w:val="22"/>
        </w:rPr>
        <w:t xml:space="preserve"> tabletki powlekane są dostępne w opakowaniach po 2, 10, 14, 20, 28, 30, 50, 56 i 100 tabletek</w:t>
      </w:r>
      <w:r w:rsidR="00B06B30" w:rsidRPr="005138D5">
        <w:rPr>
          <w:sz w:val="22"/>
        </w:rPr>
        <w:t xml:space="preserve"> lub opakowaniach blistrów jednodawkowych (PVC/Aluminium) zawierających po 10</w:t>
      </w:r>
      <w:r w:rsidR="00206860" w:rsidRPr="005138D5">
        <w:rPr>
          <w:sz w:val="22"/>
        </w:rPr>
        <w:t xml:space="preserve"> </w:t>
      </w:r>
      <w:r w:rsidR="00B06B30" w:rsidRPr="005138D5">
        <w:rPr>
          <w:sz w:val="22"/>
        </w:rPr>
        <w:t>x</w:t>
      </w:r>
      <w:r w:rsidR="00206860" w:rsidRPr="005138D5">
        <w:rPr>
          <w:sz w:val="22"/>
        </w:rPr>
        <w:t xml:space="preserve"> </w:t>
      </w:r>
      <w:r w:rsidR="00B06B30" w:rsidRPr="005138D5">
        <w:rPr>
          <w:sz w:val="22"/>
        </w:rPr>
        <w:t>1, 14</w:t>
      </w:r>
      <w:r w:rsidR="00206860" w:rsidRPr="005138D5">
        <w:rPr>
          <w:sz w:val="22"/>
        </w:rPr>
        <w:t xml:space="preserve"> </w:t>
      </w:r>
      <w:r w:rsidR="00B06B30" w:rsidRPr="005138D5">
        <w:rPr>
          <w:sz w:val="22"/>
        </w:rPr>
        <w:t>x</w:t>
      </w:r>
      <w:r w:rsidR="00206860" w:rsidRPr="005138D5">
        <w:rPr>
          <w:sz w:val="22"/>
        </w:rPr>
        <w:t xml:space="preserve"> </w:t>
      </w:r>
      <w:r w:rsidR="00B06B30" w:rsidRPr="005138D5">
        <w:rPr>
          <w:sz w:val="22"/>
        </w:rPr>
        <w:t>1, 28</w:t>
      </w:r>
      <w:r w:rsidR="00206860" w:rsidRPr="005138D5">
        <w:rPr>
          <w:sz w:val="22"/>
        </w:rPr>
        <w:t xml:space="preserve"> </w:t>
      </w:r>
      <w:r w:rsidR="00B06B30" w:rsidRPr="005138D5">
        <w:rPr>
          <w:sz w:val="22"/>
        </w:rPr>
        <w:t>x</w:t>
      </w:r>
      <w:r w:rsidR="00206860" w:rsidRPr="005138D5">
        <w:rPr>
          <w:sz w:val="22"/>
        </w:rPr>
        <w:t xml:space="preserve"> </w:t>
      </w:r>
      <w:r w:rsidR="00B06B30" w:rsidRPr="005138D5">
        <w:rPr>
          <w:sz w:val="22"/>
        </w:rPr>
        <w:t>1, 30</w:t>
      </w:r>
      <w:r w:rsidR="00206860" w:rsidRPr="005138D5">
        <w:rPr>
          <w:sz w:val="22"/>
        </w:rPr>
        <w:t xml:space="preserve"> </w:t>
      </w:r>
      <w:r w:rsidR="00B06B30" w:rsidRPr="005138D5">
        <w:rPr>
          <w:sz w:val="22"/>
        </w:rPr>
        <w:t>x</w:t>
      </w:r>
      <w:r w:rsidR="00206860" w:rsidRPr="005138D5">
        <w:rPr>
          <w:sz w:val="22"/>
        </w:rPr>
        <w:t xml:space="preserve"> </w:t>
      </w:r>
      <w:r w:rsidR="00B06B30" w:rsidRPr="005138D5">
        <w:rPr>
          <w:sz w:val="22"/>
        </w:rPr>
        <w:t>1, 56</w:t>
      </w:r>
      <w:r w:rsidR="00206860" w:rsidRPr="005138D5">
        <w:rPr>
          <w:sz w:val="22"/>
        </w:rPr>
        <w:t xml:space="preserve"> </w:t>
      </w:r>
      <w:r w:rsidR="00B06B30" w:rsidRPr="005138D5">
        <w:rPr>
          <w:sz w:val="22"/>
        </w:rPr>
        <w:t>x</w:t>
      </w:r>
      <w:r w:rsidR="00206860" w:rsidRPr="005138D5">
        <w:rPr>
          <w:sz w:val="22"/>
        </w:rPr>
        <w:t xml:space="preserve"> </w:t>
      </w:r>
      <w:r w:rsidR="00B06B30" w:rsidRPr="005138D5">
        <w:rPr>
          <w:sz w:val="22"/>
        </w:rPr>
        <w:t>1 lub 100</w:t>
      </w:r>
      <w:r w:rsidR="00206860" w:rsidRPr="005138D5">
        <w:rPr>
          <w:sz w:val="22"/>
        </w:rPr>
        <w:t> </w:t>
      </w:r>
      <w:r w:rsidR="00B06B30" w:rsidRPr="005138D5">
        <w:rPr>
          <w:sz w:val="22"/>
        </w:rPr>
        <w:t>x</w:t>
      </w:r>
      <w:r w:rsidR="00206860" w:rsidRPr="005138D5">
        <w:rPr>
          <w:sz w:val="22"/>
        </w:rPr>
        <w:t> </w:t>
      </w:r>
      <w:r w:rsidR="00B06B30" w:rsidRPr="005138D5">
        <w:rPr>
          <w:sz w:val="22"/>
        </w:rPr>
        <w:t>1 tabletek powlekanych.</w:t>
      </w:r>
    </w:p>
    <w:p w14:paraId="470A432B" w14:textId="77777777" w:rsidR="00575F5E" w:rsidRPr="005138D5" w:rsidRDefault="00575F5E" w:rsidP="00A41668">
      <w:pPr>
        <w:rPr>
          <w:sz w:val="22"/>
        </w:rPr>
      </w:pPr>
    </w:p>
    <w:p w14:paraId="6FBFB351" w14:textId="77777777" w:rsidR="00575F5E" w:rsidRPr="005138D5" w:rsidRDefault="00575F5E" w:rsidP="00A41668">
      <w:pPr>
        <w:rPr>
          <w:noProof/>
          <w:sz w:val="22"/>
        </w:rPr>
      </w:pPr>
      <w:r w:rsidRPr="005138D5">
        <w:rPr>
          <w:noProof/>
          <w:sz w:val="22"/>
        </w:rPr>
        <w:t xml:space="preserve">Nie wszystkie </w:t>
      </w:r>
      <w:r w:rsidR="009B21FC" w:rsidRPr="005138D5">
        <w:rPr>
          <w:noProof/>
          <w:sz w:val="22"/>
        </w:rPr>
        <w:t xml:space="preserve">wielkości </w:t>
      </w:r>
      <w:r w:rsidRPr="005138D5">
        <w:rPr>
          <w:noProof/>
          <w:sz w:val="22"/>
        </w:rPr>
        <w:t>opakowań muszą znajdować się w obrocie.</w:t>
      </w:r>
    </w:p>
    <w:p w14:paraId="284F1D71" w14:textId="77777777" w:rsidR="00575F5E" w:rsidRPr="005138D5" w:rsidRDefault="00575F5E" w:rsidP="00A41668">
      <w:pPr>
        <w:rPr>
          <w:sz w:val="22"/>
        </w:rPr>
      </w:pPr>
    </w:p>
    <w:p w14:paraId="7E294AFE" w14:textId="77777777" w:rsidR="00575F5E" w:rsidRPr="00C8744C" w:rsidRDefault="00575F5E" w:rsidP="00277FE6">
      <w:pPr>
        <w:rPr>
          <w:b/>
          <w:sz w:val="22"/>
        </w:rPr>
      </w:pPr>
      <w:r w:rsidRPr="00C8744C">
        <w:rPr>
          <w:b/>
          <w:sz w:val="22"/>
        </w:rPr>
        <w:t>Podmiot odpowiedzialny</w:t>
      </w:r>
      <w:r w:rsidR="00E52A9F" w:rsidRPr="00C8744C">
        <w:rPr>
          <w:b/>
          <w:sz w:val="22"/>
        </w:rPr>
        <w:t xml:space="preserve"> </w:t>
      </w:r>
    </w:p>
    <w:p w14:paraId="112EF567" w14:textId="77777777" w:rsidR="005614B9" w:rsidRPr="00C8744C" w:rsidRDefault="005614B9" w:rsidP="00277FE6">
      <w:pPr>
        <w:rPr>
          <w:b/>
          <w:sz w:val="22"/>
          <w:u w:val="single"/>
        </w:rPr>
      </w:pPr>
    </w:p>
    <w:p w14:paraId="51891F19" w14:textId="77777777" w:rsidR="006B6E71" w:rsidRPr="00C8744C" w:rsidRDefault="006B6E71" w:rsidP="006B6E71">
      <w:pPr>
        <w:rPr>
          <w:sz w:val="22"/>
        </w:rPr>
      </w:pPr>
      <w:r w:rsidRPr="00C8744C">
        <w:rPr>
          <w:sz w:val="22"/>
        </w:rPr>
        <w:t xml:space="preserve">Accord Healthcare S.L.U. </w:t>
      </w:r>
    </w:p>
    <w:p w14:paraId="147AE225" w14:textId="77777777" w:rsidR="006B6E71" w:rsidRPr="00DE50AD" w:rsidRDefault="006B6E71" w:rsidP="006B6E71">
      <w:pPr>
        <w:rPr>
          <w:sz w:val="22"/>
          <w:lang w:val="en-US"/>
        </w:rPr>
      </w:pPr>
      <w:r w:rsidRPr="00DE50AD">
        <w:rPr>
          <w:sz w:val="22"/>
          <w:lang w:val="en-US"/>
        </w:rPr>
        <w:t xml:space="preserve">World Trade Center, Moll de Barcelona, s/n, </w:t>
      </w:r>
    </w:p>
    <w:p w14:paraId="494253AC" w14:textId="77777777" w:rsidR="006B6E71" w:rsidRPr="006B6E71" w:rsidRDefault="006B6E71" w:rsidP="006B6E71">
      <w:pPr>
        <w:rPr>
          <w:sz w:val="22"/>
        </w:rPr>
      </w:pPr>
      <w:r w:rsidRPr="006B6E71">
        <w:rPr>
          <w:sz w:val="22"/>
        </w:rPr>
        <w:t xml:space="preserve">Edifici Est 6ª planta, </w:t>
      </w:r>
    </w:p>
    <w:p w14:paraId="1090CA19" w14:textId="77777777" w:rsidR="006B6E71" w:rsidRPr="006B6E71" w:rsidRDefault="006B6E71" w:rsidP="006B6E71">
      <w:pPr>
        <w:rPr>
          <w:sz w:val="22"/>
        </w:rPr>
      </w:pPr>
      <w:r w:rsidRPr="006B6E71">
        <w:rPr>
          <w:sz w:val="22"/>
        </w:rPr>
        <w:t xml:space="preserve">08039 Barcelona, </w:t>
      </w:r>
    </w:p>
    <w:p w14:paraId="1DA5E80B" w14:textId="77777777" w:rsidR="005614B9" w:rsidRPr="005138D5" w:rsidRDefault="006B6E71" w:rsidP="00A41668">
      <w:pPr>
        <w:rPr>
          <w:bCs/>
          <w:sz w:val="22"/>
        </w:rPr>
      </w:pPr>
      <w:r w:rsidRPr="00DE50AD">
        <w:rPr>
          <w:sz w:val="22"/>
        </w:rPr>
        <w:t>Hiszpania</w:t>
      </w:r>
    </w:p>
    <w:p w14:paraId="00C3A200" w14:textId="77777777" w:rsidR="006A00DF" w:rsidRDefault="006A00DF" w:rsidP="00A41668">
      <w:pPr>
        <w:rPr>
          <w:ins w:id="17" w:author="ABB" w:date="2025-07-08T13:39:00Z" w16du:dateUtc="2025-07-08T11:39:00Z"/>
          <w:b/>
          <w:bCs/>
          <w:sz w:val="22"/>
        </w:rPr>
      </w:pPr>
    </w:p>
    <w:p w14:paraId="1E39045B" w14:textId="77777777" w:rsidR="004700FB" w:rsidRDefault="004700FB" w:rsidP="00A41668">
      <w:pPr>
        <w:rPr>
          <w:ins w:id="18" w:author="ABB" w:date="2025-07-08T13:39:00Z" w16du:dateUtc="2025-07-08T11:39:00Z"/>
          <w:b/>
          <w:bCs/>
          <w:sz w:val="22"/>
        </w:rPr>
      </w:pPr>
    </w:p>
    <w:p w14:paraId="5DAE7842" w14:textId="77777777" w:rsidR="004700FB" w:rsidRDefault="004700FB" w:rsidP="00A41668">
      <w:pPr>
        <w:rPr>
          <w:b/>
          <w:bCs/>
          <w:sz w:val="22"/>
        </w:rPr>
      </w:pPr>
    </w:p>
    <w:p w14:paraId="6C2A8FB9" w14:textId="77777777" w:rsidR="005614B9" w:rsidRPr="00C8744C" w:rsidRDefault="005614B9" w:rsidP="00A41668">
      <w:pPr>
        <w:rPr>
          <w:b/>
          <w:bCs/>
          <w:sz w:val="22"/>
          <w:lang w:val="en-US"/>
        </w:rPr>
      </w:pPr>
      <w:proofErr w:type="spellStart"/>
      <w:r w:rsidRPr="00C8744C">
        <w:rPr>
          <w:b/>
          <w:bCs/>
          <w:sz w:val="22"/>
          <w:lang w:val="en-US"/>
        </w:rPr>
        <w:t>Wytwórca</w:t>
      </w:r>
      <w:proofErr w:type="spellEnd"/>
      <w:r w:rsidRPr="00C8744C">
        <w:rPr>
          <w:b/>
          <w:bCs/>
          <w:sz w:val="22"/>
          <w:lang w:val="en-US"/>
        </w:rPr>
        <w:t>:</w:t>
      </w:r>
    </w:p>
    <w:p w14:paraId="37D88F1D" w14:textId="77777777" w:rsidR="005614B9" w:rsidRPr="00C8744C" w:rsidRDefault="005614B9" w:rsidP="00A41668">
      <w:pPr>
        <w:rPr>
          <w:b/>
          <w:bCs/>
          <w:sz w:val="22"/>
          <w:lang w:val="en-US"/>
        </w:rPr>
      </w:pPr>
    </w:p>
    <w:p w14:paraId="09F727ED" w14:textId="77777777" w:rsidR="00193B9C" w:rsidRPr="004700FB" w:rsidRDefault="00193B9C" w:rsidP="00193B9C">
      <w:pPr>
        <w:autoSpaceDE w:val="0"/>
        <w:autoSpaceDN w:val="0"/>
        <w:adjustRightInd w:val="0"/>
        <w:rPr>
          <w:sz w:val="22"/>
          <w:lang w:val="en-US" w:eastAsia="en-US"/>
          <w:rPrChange w:id="19" w:author="ABB" w:date="2025-07-08T13:40:00Z" w16du:dateUtc="2025-07-08T11:40:00Z">
            <w:rPr>
              <w:sz w:val="22"/>
              <w:highlight w:val="lightGray"/>
              <w:lang w:val="en-US" w:eastAsia="en-US"/>
            </w:rPr>
          </w:rPrChange>
        </w:rPr>
      </w:pPr>
      <w:proofErr w:type="spellStart"/>
      <w:r w:rsidRPr="004700FB">
        <w:rPr>
          <w:sz w:val="22"/>
          <w:lang w:val="en-US" w:eastAsia="en-US"/>
          <w:rPrChange w:id="20" w:author="ABB" w:date="2025-07-08T13:40:00Z" w16du:dateUtc="2025-07-08T11:40:00Z">
            <w:rPr>
              <w:sz w:val="22"/>
              <w:highlight w:val="lightGray"/>
              <w:lang w:val="en-US" w:eastAsia="en-US"/>
            </w:rPr>
          </w:rPrChange>
        </w:rPr>
        <w:t>Pharmadox</w:t>
      </w:r>
      <w:proofErr w:type="spellEnd"/>
      <w:r w:rsidRPr="004700FB">
        <w:rPr>
          <w:sz w:val="22"/>
          <w:lang w:val="en-US" w:eastAsia="en-US"/>
          <w:rPrChange w:id="21" w:author="ABB" w:date="2025-07-08T13:40:00Z" w16du:dateUtc="2025-07-08T11:40:00Z">
            <w:rPr>
              <w:sz w:val="22"/>
              <w:highlight w:val="lightGray"/>
              <w:lang w:val="en-US" w:eastAsia="en-US"/>
            </w:rPr>
          </w:rPrChange>
        </w:rPr>
        <w:t xml:space="preserve"> Healthcare Ltd.</w:t>
      </w:r>
    </w:p>
    <w:p w14:paraId="69C36126" w14:textId="77777777" w:rsidR="00193B9C" w:rsidRPr="004700FB" w:rsidRDefault="00193B9C" w:rsidP="00193B9C">
      <w:pPr>
        <w:autoSpaceDE w:val="0"/>
        <w:autoSpaceDN w:val="0"/>
        <w:adjustRightInd w:val="0"/>
        <w:rPr>
          <w:sz w:val="22"/>
          <w:lang w:val="en-US" w:eastAsia="en-US"/>
          <w:rPrChange w:id="22" w:author="ABB" w:date="2025-07-08T13:40:00Z" w16du:dateUtc="2025-07-08T11:40:00Z">
            <w:rPr>
              <w:sz w:val="22"/>
              <w:highlight w:val="lightGray"/>
              <w:lang w:val="en-US" w:eastAsia="en-US"/>
            </w:rPr>
          </w:rPrChange>
        </w:rPr>
      </w:pPr>
      <w:r w:rsidRPr="004700FB">
        <w:rPr>
          <w:sz w:val="22"/>
          <w:lang w:val="en-US" w:eastAsia="en-US"/>
          <w:rPrChange w:id="23" w:author="ABB" w:date="2025-07-08T13:40:00Z" w16du:dateUtc="2025-07-08T11:40:00Z">
            <w:rPr>
              <w:sz w:val="22"/>
              <w:highlight w:val="lightGray"/>
              <w:lang w:val="en-US" w:eastAsia="en-US"/>
            </w:rPr>
          </w:rPrChange>
        </w:rPr>
        <w:t>KW20A Kordin Industrial Park,</w:t>
      </w:r>
    </w:p>
    <w:p w14:paraId="0772D589" w14:textId="77777777" w:rsidR="00193B9C" w:rsidRPr="004700FB" w:rsidRDefault="00193B9C" w:rsidP="005614B9">
      <w:pPr>
        <w:pStyle w:val="Kolorowalistaakcent11"/>
        <w:autoSpaceDE w:val="0"/>
        <w:autoSpaceDN w:val="0"/>
        <w:adjustRightInd w:val="0"/>
        <w:spacing w:after="0" w:line="240" w:lineRule="auto"/>
        <w:ind w:left="0"/>
        <w:rPr>
          <w:rFonts w:ascii="Times New Roman" w:hAnsi="Times New Roman"/>
          <w:rPrChange w:id="24" w:author="ABB" w:date="2025-07-08T13:40:00Z" w16du:dateUtc="2025-07-08T11:40:00Z">
            <w:rPr>
              <w:rFonts w:ascii="Times New Roman" w:hAnsi="Times New Roman"/>
              <w:highlight w:val="lightGray"/>
            </w:rPr>
          </w:rPrChange>
        </w:rPr>
      </w:pPr>
      <w:r w:rsidRPr="004700FB">
        <w:rPr>
          <w:rFonts w:ascii="Times New Roman" w:hAnsi="Times New Roman"/>
          <w:rPrChange w:id="25" w:author="ABB" w:date="2025-07-08T13:40:00Z" w16du:dateUtc="2025-07-08T11:40:00Z">
            <w:rPr>
              <w:rFonts w:ascii="Times New Roman" w:hAnsi="Times New Roman"/>
              <w:highlight w:val="lightGray"/>
            </w:rPr>
          </w:rPrChange>
        </w:rPr>
        <w:t>Paola, PLA 3000</w:t>
      </w:r>
      <w:r w:rsidR="005614B9" w:rsidRPr="004700FB">
        <w:rPr>
          <w:rFonts w:ascii="Times New Roman" w:hAnsi="Times New Roman"/>
          <w:rPrChange w:id="26" w:author="ABB" w:date="2025-07-08T13:40:00Z" w16du:dateUtc="2025-07-08T11:40:00Z">
            <w:rPr>
              <w:rFonts w:ascii="Times New Roman" w:hAnsi="Times New Roman"/>
              <w:highlight w:val="lightGray"/>
            </w:rPr>
          </w:rPrChange>
        </w:rPr>
        <w:t xml:space="preserve"> </w:t>
      </w:r>
    </w:p>
    <w:p w14:paraId="5B769D5E" w14:textId="77777777" w:rsidR="005614B9" w:rsidRPr="00DE50AD" w:rsidRDefault="005614B9" w:rsidP="005614B9">
      <w:pPr>
        <w:pStyle w:val="Kolorowalistaakcent11"/>
        <w:autoSpaceDE w:val="0"/>
        <w:autoSpaceDN w:val="0"/>
        <w:adjustRightInd w:val="0"/>
        <w:spacing w:after="0" w:line="240" w:lineRule="auto"/>
        <w:ind w:left="0"/>
        <w:rPr>
          <w:rFonts w:ascii="Times New Roman" w:hAnsi="Times New Roman"/>
        </w:rPr>
      </w:pPr>
      <w:r w:rsidRPr="004700FB">
        <w:rPr>
          <w:rFonts w:ascii="Times New Roman" w:hAnsi="Times New Roman"/>
          <w:rPrChange w:id="27" w:author="ABB" w:date="2025-07-08T13:40:00Z" w16du:dateUtc="2025-07-08T11:40:00Z">
            <w:rPr>
              <w:rFonts w:ascii="Times New Roman" w:hAnsi="Times New Roman"/>
              <w:highlight w:val="lightGray"/>
            </w:rPr>
          </w:rPrChange>
        </w:rPr>
        <w:t>Malta</w:t>
      </w:r>
    </w:p>
    <w:p w14:paraId="70800C9E" w14:textId="77777777" w:rsidR="00193B9C" w:rsidRPr="00DE50AD" w:rsidRDefault="00193B9C" w:rsidP="005614B9">
      <w:pPr>
        <w:pStyle w:val="Kolorowalistaakcent11"/>
        <w:autoSpaceDE w:val="0"/>
        <w:autoSpaceDN w:val="0"/>
        <w:adjustRightInd w:val="0"/>
        <w:spacing w:after="0" w:line="240" w:lineRule="auto"/>
        <w:ind w:left="0"/>
        <w:rPr>
          <w:rFonts w:ascii="Times New Roman" w:hAnsi="Times New Roman"/>
        </w:rPr>
      </w:pPr>
    </w:p>
    <w:p w14:paraId="7B70F1B2" w14:textId="77777777" w:rsidR="00193B9C" w:rsidRPr="00DE50AD" w:rsidRDefault="00193B9C" w:rsidP="00047A44">
      <w:pPr>
        <w:rPr>
          <w:sz w:val="22"/>
          <w:highlight w:val="lightGray"/>
          <w:lang w:val="en-US"/>
        </w:rPr>
      </w:pPr>
      <w:r w:rsidRPr="00DE50AD">
        <w:rPr>
          <w:sz w:val="22"/>
          <w:highlight w:val="lightGray"/>
          <w:lang w:val="en-US"/>
        </w:rPr>
        <w:t xml:space="preserve">Accord Healthcare Polska </w:t>
      </w:r>
      <w:proofErr w:type="spellStart"/>
      <w:r w:rsidRPr="00DE50AD">
        <w:rPr>
          <w:sz w:val="22"/>
          <w:highlight w:val="lightGray"/>
          <w:lang w:val="en-US"/>
        </w:rPr>
        <w:t>Sp.z</w:t>
      </w:r>
      <w:proofErr w:type="spellEnd"/>
      <w:r w:rsidRPr="00DE50AD">
        <w:rPr>
          <w:sz w:val="22"/>
          <w:highlight w:val="lightGray"/>
          <w:lang w:val="en-US"/>
        </w:rPr>
        <w:t xml:space="preserve"> </w:t>
      </w:r>
      <w:proofErr w:type="spellStart"/>
      <w:r w:rsidRPr="00DE50AD">
        <w:rPr>
          <w:sz w:val="22"/>
          <w:highlight w:val="lightGray"/>
          <w:lang w:val="en-US"/>
        </w:rPr>
        <w:t>o.o.</w:t>
      </w:r>
      <w:proofErr w:type="spellEnd"/>
      <w:r w:rsidRPr="00DE50AD">
        <w:rPr>
          <w:sz w:val="22"/>
          <w:highlight w:val="lightGray"/>
          <w:lang w:val="en-US"/>
        </w:rPr>
        <w:t>,</w:t>
      </w:r>
    </w:p>
    <w:p w14:paraId="36F533DF" w14:textId="77777777" w:rsidR="00193B9C" w:rsidRPr="00DE50AD" w:rsidRDefault="00193B9C" w:rsidP="00193B9C">
      <w:pPr>
        <w:pStyle w:val="Kolorowalistaakcent11"/>
        <w:autoSpaceDE w:val="0"/>
        <w:autoSpaceDN w:val="0"/>
        <w:adjustRightInd w:val="0"/>
        <w:spacing w:after="0" w:line="240" w:lineRule="auto"/>
        <w:ind w:left="0"/>
        <w:rPr>
          <w:rFonts w:ascii="Times New Roman" w:hAnsi="Times New Roman"/>
          <w:color w:val="000000"/>
          <w:lang w:val="pl-PL"/>
        </w:rPr>
      </w:pPr>
      <w:r w:rsidRPr="00DE50AD">
        <w:rPr>
          <w:rFonts w:ascii="Times New Roman" w:hAnsi="Times New Roman"/>
          <w:highlight w:val="lightGray"/>
          <w:lang w:val="pl-PL"/>
        </w:rPr>
        <w:t xml:space="preserve">ul. Lutomierska 50,95-200 Pabianice, </w:t>
      </w:r>
      <w:r w:rsidRPr="00DE50AD">
        <w:rPr>
          <w:rFonts w:ascii="Times New Roman" w:hAnsi="Times New Roman"/>
          <w:color w:val="000000"/>
          <w:highlight w:val="lightGray"/>
          <w:lang w:val="pl-PL"/>
        </w:rPr>
        <w:t>Polska</w:t>
      </w:r>
    </w:p>
    <w:p w14:paraId="77D3D5BD" w14:textId="77777777" w:rsidR="006A00DF" w:rsidRPr="00DE50AD" w:rsidRDefault="006A00DF" w:rsidP="00193B9C">
      <w:pPr>
        <w:pStyle w:val="Kolorowalistaakcent11"/>
        <w:autoSpaceDE w:val="0"/>
        <w:autoSpaceDN w:val="0"/>
        <w:adjustRightInd w:val="0"/>
        <w:spacing w:after="0" w:line="240" w:lineRule="auto"/>
        <w:ind w:left="0"/>
        <w:rPr>
          <w:rFonts w:ascii="Times New Roman" w:hAnsi="Times New Roman"/>
          <w:color w:val="000000"/>
          <w:lang w:val="pl-PL"/>
        </w:rPr>
      </w:pPr>
    </w:p>
    <w:p w14:paraId="14BBAACD" w14:textId="77777777" w:rsidR="006A00DF" w:rsidRPr="00030077" w:rsidRDefault="006A00DF" w:rsidP="006A00DF">
      <w:pPr>
        <w:rPr>
          <w:sz w:val="22"/>
          <w:highlight w:val="lightGray"/>
        </w:rPr>
      </w:pPr>
      <w:r w:rsidRPr="00030077">
        <w:rPr>
          <w:sz w:val="22"/>
          <w:highlight w:val="lightGray"/>
        </w:rPr>
        <w:t xml:space="preserve">Accord Healthcare B.V., </w:t>
      </w:r>
    </w:p>
    <w:p w14:paraId="7E9426C0" w14:textId="77777777" w:rsidR="006A00DF" w:rsidRPr="00030077" w:rsidRDefault="006A00DF" w:rsidP="00030077">
      <w:pPr>
        <w:rPr>
          <w:sz w:val="22"/>
          <w:highlight w:val="lightGray"/>
        </w:rPr>
      </w:pPr>
      <w:r w:rsidRPr="00030077">
        <w:rPr>
          <w:sz w:val="22"/>
          <w:highlight w:val="lightGray"/>
        </w:rPr>
        <w:t xml:space="preserve">Winthontlaan 200, </w:t>
      </w:r>
    </w:p>
    <w:p w14:paraId="149FA15E" w14:textId="77777777" w:rsidR="006A00DF" w:rsidRPr="00030077" w:rsidRDefault="006A00DF" w:rsidP="00030077">
      <w:pPr>
        <w:rPr>
          <w:sz w:val="22"/>
          <w:highlight w:val="lightGray"/>
        </w:rPr>
      </w:pPr>
      <w:r w:rsidRPr="00030077">
        <w:rPr>
          <w:sz w:val="22"/>
          <w:highlight w:val="lightGray"/>
        </w:rPr>
        <w:t>3526 KV Utrecht,</w:t>
      </w:r>
    </w:p>
    <w:p w14:paraId="4AFE5250" w14:textId="77777777" w:rsidR="006A00DF" w:rsidRPr="00030077" w:rsidRDefault="006A00DF" w:rsidP="00030077">
      <w:pPr>
        <w:rPr>
          <w:sz w:val="22"/>
          <w:highlight w:val="lightGray"/>
        </w:rPr>
      </w:pPr>
      <w:r w:rsidRPr="00030077">
        <w:rPr>
          <w:sz w:val="22"/>
          <w:highlight w:val="lightGray"/>
        </w:rPr>
        <w:t>Holandia</w:t>
      </w:r>
    </w:p>
    <w:p w14:paraId="19A8A5A0" w14:textId="77777777" w:rsidR="00C130F7" w:rsidRDefault="00C130F7" w:rsidP="00A41668">
      <w:pPr>
        <w:rPr>
          <w:ins w:id="28" w:author="ABB" w:date="2025-07-08T13:39:00Z" w16du:dateUtc="2025-07-08T11:39:00Z"/>
          <w:bCs/>
          <w:sz w:val="22"/>
        </w:rPr>
      </w:pPr>
    </w:p>
    <w:p w14:paraId="7458DC85" w14:textId="77777777" w:rsidR="004700FB" w:rsidRPr="004700FB" w:rsidRDefault="004700FB" w:rsidP="004700FB">
      <w:pPr>
        <w:pStyle w:val="Default"/>
        <w:rPr>
          <w:ins w:id="29" w:author="ABB" w:date="2025-07-08T13:39:00Z" w16du:dateUtc="2025-07-08T11:39:00Z"/>
          <w:sz w:val="22"/>
          <w:szCs w:val="22"/>
          <w:highlight w:val="lightGray"/>
          <w:rPrChange w:id="30" w:author="ABB" w:date="2025-07-08T13:40:00Z" w16du:dateUtc="2025-07-08T11:40:00Z">
            <w:rPr>
              <w:ins w:id="31" w:author="ABB" w:date="2025-07-08T13:39:00Z" w16du:dateUtc="2025-07-08T11:39:00Z"/>
              <w:sz w:val="22"/>
              <w:szCs w:val="22"/>
            </w:rPr>
          </w:rPrChange>
        </w:rPr>
      </w:pPr>
      <w:ins w:id="32" w:author="ABB" w:date="2025-07-08T13:39:00Z" w16du:dateUtc="2025-07-08T11:39:00Z">
        <w:r w:rsidRPr="004700FB">
          <w:rPr>
            <w:sz w:val="22"/>
            <w:szCs w:val="22"/>
            <w:highlight w:val="lightGray"/>
            <w:rPrChange w:id="33" w:author="ABB" w:date="2025-07-08T13:40:00Z" w16du:dateUtc="2025-07-08T11:40:00Z">
              <w:rPr>
                <w:sz w:val="22"/>
                <w:szCs w:val="22"/>
              </w:rPr>
            </w:rPrChange>
          </w:rPr>
          <w:t xml:space="preserve">Accord Healthcare single member S.A. </w:t>
        </w:r>
      </w:ins>
    </w:p>
    <w:p w14:paraId="17CD5D74" w14:textId="77777777" w:rsidR="004700FB" w:rsidRDefault="004700FB" w:rsidP="004700FB">
      <w:pPr>
        <w:pStyle w:val="Default"/>
        <w:rPr>
          <w:ins w:id="34" w:author="ABB" w:date="2025-07-08T13:41:00Z" w16du:dateUtc="2025-07-08T11:41:00Z"/>
          <w:sz w:val="22"/>
          <w:szCs w:val="22"/>
          <w:highlight w:val="lightGray"/>
        </w:rPr>
      </w:pPr>
      <w:ins w:id="35" w:author="ABB" w:date="2025-07-08T13:39:00Z" w16du:dateUtc="2025-07-08T11:39:00Z">
        <w:r w:rsidRPr="004700FB">
          <w:rPr>
            <w:sz w:val="22"/>
            <w:szCs w:val="22"/>
            <w:highlight w:val="lightGray"/>
            <w:rPrChange w:id="36" w:author="ABB" w:date="2025-07-08T13:40:00Z" w16du:dateUtc="2025-07-08T11:40:00Z">
              <w:rPr>
                <w:sz w:val="22"/>
                <w:szCs w:val="22"/>
              </w:rPr>
            </w:rPrChange>
          </w:rPr>
          <w:t>64th Km National Road Athens</w:t>
        </w:r>
      </w:ins>
      <w:ins w:id="37" w:author="ABB" w:date="2025-07-08T13:41:00Z" w16du:dateUtc="2025-07-08T11:41:00Z">
        <w:r>
          <w:rPr>
            <w:sz w:val="22"/>
            <w:szCs w:val="22"/>
            <w:highlight w:val="lightGray"/>
          </w:rPr>
          <w:t>,</w:t>
        </w:r>
      </w:ins>
      <w:ins w:id="38" w:author="ABB" w:date="2025-07-08T13:39:00Z" w16du:dateUtc="2025-07-08T11:39:00Z">
        <w:r w:rsidRPr="004700FB">
          <w:rPr>
            <w:sz w:val="22"/>
            <w:szCs w:val="22"/>
            <w:highlight w:val="lightGray"/>
            <w:rPrChange w:id="39" w:author="ABB" w:date="2025-07-08T13:40:00Z" w16du:dateUtc="2025-07-08T11:40:00Z">
              <w:rPr>
                <w:sz w:val="22"/>
                <w:szCs w:val="22"/>
              </w:rPr>
            </w:rPrChange>
          </w:rPr>
          <w:t xml:space="preserve"> </w:t>
        </w:r>
      </w:ins>
    </w:p>
    <w:p w14:paraId="70E11A8B" w14:textId="35429C46" w:rsidR="004700FB" w:rsidRPr="004700FB" w:rsidRDefault="004700FB" w:rsidP="004700FB">
      <w:pPr>
        <w:pStyle w:val="Default"/>
        <w:rPr>
          <w:ins w:id="40" w:author="ABB" w:date="2025-07-08T13:39:00Z" w16du:dateUtc="2025-07-08T11:39:00Z"/>
          <w:sz w:val="22"/>
          <w:szCs w:val="22"/>
          <w:highlight w:val="lightGray"/>
          <w:rPrChange w:id="41" w:author="ABB" w:date="2025-07-08T13:40:00Z" w16du:dateUtc="2025-07-08T11:40:00Z">
            <w:rPr>
              <w:ins w:id="42" w:author="ABB" w:date="2025-07-08T13:39:00Z" w16du:dateUtc="2025-07-08T11:39:00Z"/>
              <w:sz w:val="22"/>
              <w:szCs w:val="22"/>
            </w:rPr>
          </w:rPrChange>
        </w:rPr>
      </w:pPr>
      <w:ins w:id="43" w:author="ABB" w:date="2025-07-08T13:39:00Z" w16du:dateUtc="2025-07-08T11:39:00Z">
        <w:r w:rsidRPr="004700FB">
          <w:rPr>
            <w:sz w:val="22"/>
            <w:szCs w:val="22"/>
            <w:highlight w:val="lightGray"/>
            <w:rPrChange w:id="44" w:author="ABB" w:date="2025-07-08T13:40:00Z" w16du:dateUtc="2025-07-08T11:40:00Z">
              <w:rPr>
                <w:sz w:val="22"/>
                <w:szCs w:val="22"/>
              </w:rPr>
            </w:rPrChange>
          </w:rPr>
          <w:t>Lamia,</w:t>
        </w:r>
      </w:ins>
      <w:ins w:id="45" w:author="ABB" w:date="2025-07-08T13:41:00Z" w16du:dateUtc="2025-07-08T11:41:00Z">
        <w:r>
          <w:rPr>
            <w:sz w:val="22"/>
            <w:szCs w:val="22"/>
            <w:highlight w:val="lightGray"/>
          </w:rPr>
          <w:t xml:space="preserve"> </w:t>
        </w:r>
      </w:ins>
      <w:proofErr w:type="spellStart"/>
      <w:ins w:id="46" w:author="ABB" w:date="2025-07-08T13:39:00Z" w16du:dateUtc="2025-07-08T11:39:00Z">
        <w:r w:rsidRPr="004700FB">
          <w:rPr>
            <w:sz w:val="22"/>
            <w:szCs w:val="22"/>
            <w:highlight w:val="lightGray"/>
            <w:rPrChange w:id="47" w:author="ABB" w:date="2025-07-08T13:40:00Z" w16du:dateUtc="2025-07-08T11:40:00Z">
              <w:rPr>
                <w:sz w:val="22"/>
                <w:szCs w:val="22"/>
              </w:rPr>
            </w:rPrChange>
          </w:rPr>
          <w:t>Schimatari</w:t>
        </w:r>
        <w:proofErr w:type="spellEnd"/>
        <w:r w:rsidRPr="004700FB">
          <w:rPr>
            <w:sz w:val="22"/>
            <w:szCs w:val="22"/>
            <w:highlight w:val="lightGray"/>
            <w:rPrChange w:id="48" w:author="ABB" w:date="2025-07-08T13:40:00Z" w16du:dateUtc="2025-07-08T11:40:00Z">
              <w:rPr>
                <w:sz w:val="22"/>
                <w:szCs w:val="22"/>
              </w:rPr>
            </w:rPrChange>
          </w:rPr>
          <w:t xml:space="preserve">, 32009, </w:t>
        </w:r>
      </w:ins>
    </w:p>
    <w:p w14:paraId="06C42D27" w14:textId="77777777" w:rsidR="004700FB" w:rsidRPr="00F0339C" w:rsidRDefault="004700FB" w:rsidP="004700FB">
      <w:pPr>
        <w:pStyle w:val="Default"/>
        <w:rPr>
          <w:ins w:id="49" w:author="ABB" w:date="2025-07-08T13:39:00Z" w16du:dateUtc="2025-07-08T11:39:00Z"/>
          <w:sz w:val="22"/>
          <w:szCs w:val="22"/>
        </w:rPr>
      </w:pPr>
      <w:proofErr w:type="spellStart"/>
      <w:ins w:id="50" w:author="ABB" w:date="2025-07-08T13:39:00Z" w16du:dateUtc="2025-07-08T11:39:00Z">
        <w:r w:rsidRPr="004700FB">
          <w:rPr>
            <w:sz w:val="22"/>
            <w:szCs w:val="22"/>
            <w:highlight w:val="lightGray"/>
            <w:rPrChange w:id="51" w:author="ABB" w:date="2025-07-08T13:40:00Z" w16du:dateUtc="2025-07-08T11:40:00Z">
              <w:rPr>
                <w:sz w:val="22"/>
                <w:szCs w:val="22"/>
              </w:rPr>
            </w:rPrChange>
          </w:rPr>
          <w:t>Grecja</w:t>
        </w:r>
        <w:proofErr w:type="spellEnd"/>
      </w:ins>
    </w:p>
    <w:p w14:paraId="7DE00102" w14:textId="77777777" w:rsidR="004700FB" w:rsidRDefault="004700FB" w:rsidP="00A41668">
      <w:pPr>
        <w:rPr>
          <w:bCs/>
          <w:sz w:val="22"/>
        </w:rPr>
      </w:pPr>
    </w:p>
    <w:p w14:paraId="7FC5FBDD" w14:textId="77777777" w:rsidR="004668B5" w:rsidRPr="00B720B0" w:rsidRDefault="004668B5" w:rsidP="004668B5">
      <w:pPr>
        <w:rPr>
          <w:sz w:val="22"/>
          <w:lang w:eastAsia="en-US"/>
        </w:rPr>
      </w:pPr>
      <w:r w:rsidRPr="00B720B0">
        <w:t>W celu uzyskania bardziej szczegółowych informacji należy zwrócić się do miejscowego przedstawiciela podmiotu odpowiedzialnego:</w:t>
      </w:r>
    </w:p>
    <w:p w14:paraId="695C38CE" w14:textId="77777777" w:rsidR="004668B5" w:rsidRPr="00B720B0" w:rsidRDefault="004668B5" w:rsidP="004668B5"/>
    <w:p w14:paraId="11FC29DB" w14:textId="77777777" w:rsidR="004668B5" w:rsidRDefault="004668B5" w:rsidP="004668B5">
      <w:pPr>
        <w:rPr>
          <w:lang w:val="en-IN"/>
        </w:rPr>
      </w:pPr>
      <w:r>
        <w:rPr>
          <w:lang w:val="en-IN"/>
        </w:rPr>
        <w:t>AT / BE / BG / CY / CZ / DE / DK / EE / FI / FR / HR / HU / IE / IS / IT / LT / LV / LU / MT / NL / NO / PT / PL / RO / SE / SI / SK / ES</w:t>
      </w:r>
    </w:p>
    <w:p w14:paraId="11DE6312" w14:textId="77777777" w:rsidR="004668B5" w:rsidRDefault="004668B5" w:rsidP="004668B5">
      <w:pPr>
        <w:rPr>
          <w:lang w:val="en-IN"/>
        </w:rPr>
      </w:pPr>
      <w:r>
        <w:rPr>
          <w:lang w:val="en-IN"/>
        </w:rPr>
        <w:t xml:space="preserve">Accord Healthcare S.L.U. </w:t>
      </w:r>
    </w:p>
    <w:p w14:paraId="1B8B58F9" w14:textId="77777777" w:rsidR="004668B5" w:rsidRDefault="004668B5" w:rsidP="004668B5">
      <w:pPr>
        <w:rPr>
          <w:lang w:val="en-IN"/>
        </w:rPr>
      </w:pPr>
      <w:r>
        <w:rPr>
          <w:lang w:val="en-IN"/>
        </w:rPr>
        <w:t>Tel: +34 93 301 00 64</w:t>
      </w:r>
    </w:p>
    <w:p w14:paraId="4BE0FB1C" w14:textId="77777777" w:rsidR="004668B5" w:rsidRDefault="004668B5" w:rsidP="004668B5">
      <w:pPr>
        <w:rPr>
          <w:lang w:val="en-IN"/>
        </w:rPr>
      </w:pPr>
    </w:p>
    <w:p w14:paraId="110E32EC" w14:textId="77777777" w:rsidR="004668B5" w:rsidRDefault="004668B5" w:rsidP="004668B5">
      <w:pPr>
        <w:rPr>
          <w:lang w:val="en-IN"/>
        </w:rPr>
      </w:pPr>
      <w:r>
        <w:rPr>
          <w:lang w:val="en-IN"/>
        </w:rPr>
        <w:t xml:space="preserve">EL </w:t>
      </w:r>
    </w:p>
    <w:p w14:paraId="68C441BA" w14:textId="77777777" w:rsidR="004668B5" w:rsidRDefault="004668B5" w:rsidP="004668B5">
      <w:pPr>
        <w:rPr>
          <w:lang w:val="en-IN"/>
        </w:rPr>
      </w:pPr>
      <w:r>
        <w:rPr>
          <w:lang w:val="en-IN"/>
        </w:rPr>
        <w:t>Win Medica A.E.</w:t>
      </w:r>
    </w:p>
    <w:p w14:paraId="4C1A6D0A" w14:textId="77777777" w:rsidR="004668B5" w:rsidRDefault="004668B5" w:rsidP="004668B5">
      <w:pPr>
        <w:rPr>
          <w:lang w:val="en-IN"/>
        </w:rPr>
      </w:pPr>
      <w:r>
        <w:rPr>
          <w:lang w:val="en-IN"/>
        </w:rPr>
        <w:t>Tel: +30 210 7488 821</w:t>
      </w:r>
    </w:p>
    <w:p w14:paraId="410F8D8A" w14:textId="77777777" w:rsidR="004668B5" w:rsidRPr="005138D5" w:rsidRDefault="004668B5" w:rsidP="00A41668">
      <w:pPr>
        <w:rPr>
          <w:bCs/>
          <w:sz w:val="22"/>
        </w:rPr>
      </w:pPr>
    </w:p>
    <w:p w14:paraId="75E6A770" w14:textId="77777777" w:rsidR="00575F5E" w:rsidRPr="005138D5" w:rsidRDefault="00575F5E" w:rsidP="00277FE6">
      <w:pPr>
        <w:rPr>
          <w:b/>
          <w:sz w:val="22"/>
        </w:rPr>
      </w:pPr>
      <w:r w:rsidRPr="005138D5">
        <w:rPr>
          <w:b/>
          <w:sz w:val="22"/>
        </w:rPr>
        <w:t xml:space="preserve">Data </w:t>
      </w:r>
      <w:r w:rsidR="00B55E5E" w:rsidRPr="005138D5">
        <w:rPr>
          <w:b/>
          <w:sz w:val="22"/>
        </w:rPr>
        <w:t>ostatniej aktualizacji</w:t>
      </w:r>
      <w:r w:rsidR="00307FA2" w:rsidRPr="005138D5">
        <w:rPr>
          <w:b/>
          <w:sz w:val="22"/>
        </w:rPr>
        <w:t xml:space="preserve"> ulotki</w:t>
      </w:r>
      <w:r w:rsidRPr="005138D5">
        <w:rPr>
          <w:b/>
          <w:sz w:val="22"/>
        </w:rPr>
        <w:t xml:space="preserve">: </w:t>
      </w:r>
    </w:p>
    <w:p w14:paraId="2CB27C5C" w14:textId="77777777" w:rsidR="00575F5E" w:rsidRPr="005138D5" w:rsidRDefault="00575F5E" w:rsidP="00A41668">
      <w:pPr>
        <w:rPr>
          <w:sz w:val="22"/>
        </w:rPr>
      </w:pPr>
    </w:p>
    <w:p w14:paraId="565994E3" w14:textId="24F29732" w:rsidR="00575F5E" w:rsidRPr="005138D5" w:rsidRDefault="00575F5E" w:rsidP="00E52A9F">
      <w:pPr>
        <w:widowControl/>
        <w:rPr>
          <w:noProof/>
          <w:sz w:val="22"/>
        </w:rPr>
      </w:pPr>
      <w:r w:rsidRPr="005138D5">
        <w:rPr>
          <w:noProof/>
          <w:sz w:val="22"/>
        </w:rPr>
        <w:t>Szczegółow</w:t>
      </w:r>
      <w:r w:rsidR="009B21FC" w:rsidRPr="005138D5">
        <w:rPr>
          <w:noProof/>
          <w:sz w:val="22"/>
        </w:rPr>
        <w:t>e</w:t>
      </w:r>
      <w:r w:rsidRPr="005138D5">
        <w:rPr>
          <w:noProof/>
          <w:sz w:val="22"/>
        </w:rPr>
        <w:t xml:space="preserve"> informacj</w:t>
      </w:r>
      <w:r w:rsidR="009B21FC" w:rsidRPr="005138D5">
        <w:rPr>
          <w:noProof/>
          <w:sz w:val="22"/>
        </w:rPr>
        <w:t>e</w:t>
      </w:r>
      <w:r w:rsidRPr="005138D5">
        <w:rPr>
          <w:noProof/>
          <w:sz w:val="22"/>
        </w:rPr>
        <w:t xml:space="preserve"> o tym leku </w:t>
      </w:r>
      <w:r w:rsidR="009B21FC" w:rsidRPr="005138D5">
        <w:rPr>
          <w:noProof/>
          <w:sz w:val="22"/>
        </w:rPr>
        <w:t>znajdują się</w:t>
      </w:r>
      <w:r w:rsidRPr="005138D5">
        <w:rPr>
          <w:noProof/>
          <w:sz w:val="22"/>
        </w:rPr>
        <w:t xml:space="preserve"> na stronie internetowej Europejskiej Agencji </w:t>
      </w:r>
      <w:r w:rsidR="0066014E" w:rsidRPr="005138D5">
        <w:rPr>
          <w:noProof/>
          <w:sz w:val="22"/>
        </w:rPr>
        <w:t>Leków</w:t>
      </w:r>
      <w:r w:rsidR="00C11467" w:rsidRPr="005138D5">
        <w:rPr>
          <w:noProof/>
          <w:sz w:val="22"/>
        </w:rPr>
        <w:t xml:space="preserve"> http</w:t>
      </w:r>
      <w:r w:rsidR="004668B5">
        <w:rPr>
          <w:noProof/>
          <w:sz w:val="22"/>
        </w:rPr>
        <w:t>s</w:t>
      </w:r>
      <w:r w:rsidR="00C11467" w:rsidRPr="005138D5">
        <w:rPr>
          <w:noProof/>
          <w:sz w:val="22"/>
        </w:rPr>
        <w:t>://www.ema.europa.eu</w:t>
      </w:r>
    </w:p>
    <w:sectPr w:rsidR="00575F5E" w:rsidRPr="005138D5" w:rsidSect="002F1C5B">
      <w:headerReference w:type="even" r:id="rId14"/>
      <w:footerReference w:type="even" r:id="rId15"/>
      <w:footerReference w:type="default" r:id="rId16"/>
      <w:footerReference w:type="first" r:id="rId17"/>
      <w:endnotePr>
        <w:numFmt w:val="decimal"/>
      </w:endnotePr>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6AF7" w14:textId="77777777" w:rsidR="00BD4E5E" w:rsidRDefault="00BD4E5E">
      <w:r>
        <w:separator/>
      </w:r>
    </w:p>
  </w:endnote>
  <w:endnote w:type="continuationSeparator" w:id="0">
    <w:p w14:paraId="435375F8" w14:textId="77777777" w:rsidR="00BD4E5E" w:rsidRDefault="00BD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auto"/>
    <w:notTrueType/>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5121" w14:textId="77777777" w:rsidR="00A24B85" w:rsidRDefault="00A24B8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C5F18AF" w14:textId="77777777" w:rsidR="00A24B85" w:rsidRDefault="00A24B85">
    <w:pPr>
      <w:pStyle w:val="Stopka"/>
    </w:pPr>
  </w:p>
  <w:p w14:paraId="2742C62C" w14:textId="77777777" w:rsidR="00A24B85" w:rsidRDefault="00A24B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090D" w14:textId="77777777" w:rsidR="00A24B85" w:rsidRPr="00542CB6" w:rsidRDefault="00A24B85">
    <w:pPr>
      <w:pStyle w:val="Stopka"/>
      <w:framePr w:wrap="around" w:vAnchor="text" w:hAnchor="margin" w:xAlign="center" w:y="1"/>
      <w:rPr>
        <w:rStyle w:val="Numerstrony"/>
        <w:rFonts w:ascii="Arial" w:hAnsi="Arial" w:cs="Arial"/>
        <w:sz w:val="16"/>
        <w:lang w:val="en-GB" w:eastAsia="en-US"/>
      </w:rPr>
    </w:pPr>
    <w:r w:rsidRPr="00542CB6">
      <w:rPr>
        <w:rStyle w:val="Numerstrony"/>
        <w:rFonts w:ascii="Arial" w:hAnsi="Arial" w:cs="Arial"/>
        <w:sz w:val="16"/>
        <w:lang w:val="en-GB" w:eastAsia="en-US"/>
      </w:rPr>
      <w:fldChar w:fldCharType="begin"/>
    </w:r>
    <w:r w:rsidRPr="00542CB6">
      <w:rPr>
        <w:rStyle w:val="Numerstrony"/>
        <w:rFonts w:ascii="Arial" w:hAnsi="Arial" w:cs="Arial"/>
        <w:sz w:val="16"/>
        <w:lang w:val="en-GB" w:eastAsia="en-US"/>
      </w:rPr>
      <w:instrText xml:space="preserve">PAGE  </w:instrText>
    </w:r>
    <w:r w:rsidRPr="00542CB6">
      <w:rPr>
        <w:rStyle w:val="Numerstrony"/>
        <w:rFonts w:ascii="Arial" w:hAnsi="Arial" w:cs="Arial"/>
        <w:sz w:val="16"/>
        <w:lang w:val="en-GB" w:eastAsia="en-US"/>
      </w:rPr>
      <w:fldChar w:fldCharType="separate"/>
    </w:r>
    <w:r w:rsidR="008057E4">
      <w:rPr>
        <w:rStyle w:val="Numerstrony"/>
        <w:rFonts w:ascii="Arial" w:hAnsi="Arial" w:cs="Arial"/>
        <w:noProof/>
        <w:sz w:val="16"/>
        <w:lang w:val="en-GB" w:eastAsia="en-US"/>
      </w:rPr>
      <w:t>2</w:t>
    </w:r>
    <w:r w:rsidRPr="00542CB6">
      <w:rPr>
        <w:rStyle w:val="Numerstrony"/>
        <w:rFonts w:ascii="Arial" w:hAnsi="Arial" w:cs="Arial"/>
        <w:sz w:val="16"/>
        <w:lang w:val="en-GB" w:eastAsia="en-US"/>
      </w:rPr>
      <w:fldChar w:fldCharType="end"/>
    </w:r>
  </w:p>
  <w:p w14:paraId="415712E9" w14:textId="77777777" w:rsidR="00A24B85" w:rsidRPr="00076172" w:rsidRDefault="00A24B85">
    <w:pPr>
      <w:pStyle w:val="Stopka"/>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18F9" w14:textId="77777777" w:rsidR="00A24B85" w:rsidRDefault="00A24B85">
    <w:pPr>
      <w:pStyle w:val="Stopka"/>
      <w:widowControl/>
    </w:pPr>
  </w:p>
  <w:p w14:paraId="17A6B711" w14:textId="77777777" w:rsidR="00A24B85" w:rsidRDefault="00A24B85">
    <w:pPr>
      <w:pStyle w:val="Stopka"/>
      <w:widowControl/>
    </w:pPr>
  </w:p>
  <w:p w14:paraId="71C9B9E6" w14:textId="7E6E617E" w:rsidR="00A24B85" w:rsidRPr="0091072F" w:rsidRDefault="00A24B85">
    <w:pPr>
      <w:pStyle w:val="Stopka"/>
      <w:widowControl/>
      <w:rPr>
        <w:rFonts w:ascii="Arial" w:hAnsi="Arial"/>
        <w:sz w:val="16"/>
        <w:lang w:val="en-US"/>
      </w:rPr>
    </w:pPr>
    <w:r>
      <w:rPr>
        <w:rFonts w:ascii="Arial" w:hAnsi="Arial"/>
        <w:sz w:val="16"/>
      </w:rPr>
      <w:fldChar w:fldCharType="begin"/>
    </w:r>
    <w:r w:rsidRPr="0091072F">
      <w:rPr>
        <w:rFonts w:ascii="Arial" w:hAnsi="Arial"/>
        <w:sz w:val="16"/>
        <w:lang w:val="en-US"/>
      </w:rPr>
      <w:instrText xml:space="preserve">FILENAME \p </w:instrText>
    </w:r>
    <w:r>
      <w:rPr>
        <w:rFonts w:ascii="Arial" w:hAnsi="Arial"/>
        <w:sz w:val="16"/>
      </w:rPr>
      <w:fldChar w:fldCharType="separate"/>
    </w:r>
    <w:r w:rsidR="001E7CB3">
      <w:rPr>
        <w:rFonts w:ascii="Arial" w:hAnsi="Arial"/>
        <w:noProof/>
        <w:sz w:val="16"/>
        <w:lang w:val="en-US"/>
      </w:rPr>
      <w:t>V:\Solid Oral\Voriconazole\CP variation\37. Aricle 61(3) notification-LR addition-Pending\M1\texts\ema-combined-h-2669-pl.docx</w:t>
    </w:r>
    <w:r>
      <w:rPr>
        <w:rFonts w:ascii="Arial" w:hAnsi="Arial"/>
        <w:sz w:val="16"/>
      </w:rPr>
      <w:fldChar w:fldCharType="end"/>
    </w:r>
    <w:r w:rsidRPr="0091072F">
      <w:rPr>
        <w:rFonts w:ascii="Arial" w:hAnsi="Arial"/>
        <w:sz w:val="16"/>
        <w:lang w:val="en-US"/>
      </w:rPr>
      <w:tab/>
    </w:r>
    <w:r w:rsidRPr="0091072F">
      <w:rPr>
        <w:rFonts w:ascii="Arial" w:hAnsi="Arial"/>
        <w:sz w:val="16"/>
        <w:lang w:val="en-US"/>
      </w:rPr>
      <w:tab/>
    </w:r>
    <w:r>
      <w:rPr>
        <w:rStyle w:val="Numerstrony"/>
        <w:sz w:val="24"/>
      </w:rPr>
      <w:fldChar w:fldCharType="begin"/>
    </w:r>
    <w:r w:rsidRPr="0091072F">
      <w:rPr>
        <w:rStyle w:val="Numerstrony"/>
        <w:sz w:val="24"/>
        <w:lang w:val="en-US"/>
      </w:rPr>
      <w:instrText xml:space="preserve">PAGE </w:instrText>
    </w:r>
    <w:r>
      <w:rPr>
        <w:rStyle w:val="Numerstrony"/>
        <w:sz w:val="24"/>
      </w:rPr>
      <w:fldChar w:fldCharType="separate"/>
    </w:r>
    <w:r w:rsidRPr="0091072F">
      <w:rPr>
        <w:rStyle w:val="Numerstrony"/>
        <w:noProof/>
        <w:sz w:val="24"/>
        <w:lang w:val="en-US"/>
      </w:rPr>
      <w:t>1</w:t>
    </w:r>
    <w:r>
      <w:rPr>
        <w:rStyle w:val="Numerstrony"/>
        <w:sz w:val="24"/>
      </w:rPr>
      <w:fldChar w:fldCharType="end"/>
    </w:r>
  </w:p>
  <w:p w14:paraId="62EDABA2" w14:textId="77777777" w:rsidR="00A24B85" w:rsidRPr="0091072F" w:rsidRDefault="00A24B85">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9C89" w14:textId="77777777" w:rsidR="00BD4E5E" w:rsidRDefault="00BD4E5E">
      <w:r>
        <w:separator/>
      </w:r>
    </w:p>
  </w:footnote>
  <w:footnote w:type="continuationSeparator" w:id="0">
    <w:p w14:paraId="2624B889" w14:textId="77777777" w:rsidR="00BD4E5E" w:rsidRDefault="00BD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890C" w14:textId="77777777" w:rsidR="00A24B85" w:rsidRDefault="00A24B85">
    <w:pPr>
      <w:pStyle w:val="Nagwek"/>
    </w:pPr>
  </w:p>
  <w:p w14:paraId="76F6644D" w14:textId="77777777" w:rsidR="00A24B85" w:rsidRDefault="00A24B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E869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94BB2"/>
    <w:multiLevelType w:val="hybridMultilevel"/>
    <w:tmpl w:val="53905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463923"/>
    <w:multiLevelType w:val="hybridMultilevel"/>
    <w:tmpl w:val="45EAA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7A0160"/>
    <w:multiLevelType w:val="hybridMultilevel"/>
    <w:tmpl w:val="E4F071F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052057A4"/>
    <w:multiLevelType w:val="hybridMultilevel"/>
    <w:tmpl w:val="F6B634D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A0171EA"/>
    <w:multiLevelType w:val="multilevel"/>
    <w:tmpl w:val="DFF8D608"/>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A8430D"/>
    <w:multiLevelType w:val="hybridMultilevel"/>
    <w:tmpl w:val="304EA206"/>
    <w:lvl w:ilvl="0" w:tplc="07B03B66">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94DCF"/>
    <w:multiLevelType w:val="hybridMultilevel"/>
    <w:tmpl w:val="9A80CB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37273"/>
    <w:multiLevelType w:val="hybridMultilevel"/>
    <w:tmpl w:val="D7E405B4"/>
    <w:lvl w:ilvl="0" w:tplc="B54A4A4C">
      <w:numFmt w:val="bullet"/>
      <w:lvlText w:val="-"/>
      <w:lvlJc w:val="left"/>
      <w:pPr>
        <w:tabs>
          <w:tab w:val="num" w:pos="340"/>
        </w:tabs>
        <w:ind w:left="340" w:hanging="340"/>
      </w:pPr>
      <w:rPr>
        <w:rFonts w:ascii="Times New Roman" w:eastAsia="Times New Roman" w:hAnsi="Times New Roman" w:cs="Times New Roman" w:hint="default"/>
        <w:color w:val="auto"/>
        <w:sz w:val="20"/>
      </w:r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15CF6CC0"/>
    <w:multiLevelType w:val="hybridMultilevel"/>
    <w:tmpl w:val="9668B9D8"/>
    <w:lvl w:ilvl="0" w:tplc="ED0688B2">
      <w:start w:val="1"/>
      <w:numFmt w:val="upperLetter"/>
      <w:lvlText w:val="%1."/>
      <w:lvlJc w:val="left"/>
      <w:pPr>
        <w:ind w:left="1500" w:hanging="87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0" w15:restartNumberingAfterBreak="0">
    <w:nsid w:val="1606063A"/>
    <w:multiLevelType w:val="multilevel"/>
    <w:tmpl w:val="E5F46EF2"/>
    <w:lvl w:ilvl="0">
      <w:start w:val="4"/>
      <w:numFmt w:val="none"/>
      <w:lvlText w:val="4.5"/>
      <w:lvlJc w:val="left"/>
      <w:pPr>
        <w:tabs>
          <w:tab w:val="num" w:pos="360"/>
        </w:tabs>
        <w:ind w:left="360" w:hanging="360"/>
      </w:pPr>
      <w:rPr>
        <w:rFonts w:hint="default"/>
      </w:rPr>
    </w:lvl>
    <w:lvl w:ilvl="1">
      <w:start w:val="2"/>
      <w:numFmt w:val="decimal"/>
      <w:lvlText w:val="%1.3"/>
      <w:lvlJc w:val="left"/>
      <w:pPr>
        <w:tabs>
          <w:tab w:val="num" w:pos="360"/>
        </w:tabs>
        <w:ind w:left="360" w:hanging="360"/>
      </w:pPr>
      <w:rPr>
        <w:rFonts w:hint="default"/>
      </w:rPr>
    </w:lvl>
    <w:lvl w:ilvl="2">
      <w:start w:val="1"/>
      <w:numFmt w:val="none"/>
      <w:lvlText w:val="4.5"/>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1A043B33"/>
    <w:multiLevelType w:val="hybridMultilevel"/>
    <w:tmpl w:val="98706CF4"/>
    <w:lvl w:ilvl="0" w:tplc="B54A4A4C">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1C47764E"/>
    <w:multiLevelType w:val="hybridMultilevel"/>
    <w:tmpl w:val="AFFE0EBC"/>
    <w:lvl w:ilvl="0" w:tplc="FBC07F20">
      <w:start w:val="1"/>
      <w:numFmt w:val="bullet"/>
      <w:lvlText w:val=""/>
      <w:lvlJc w:val="left"/>
      <w:pPr>
        <w:ind w:left="720" w:hanging="360"/>
      </w:pPr>
      <w:rPr>
        <w:rFonts w:ascii="Symbol" w:hAnsi="Symbol" w:hint="default"/>
        <w:color w:val="0000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36F14AE"/>
    <w:multiLevelType w:val="multilevel"/>
    <w:tmpl w:val="C3868888"/>
    <w:lvl w:ilvl="0">
      <w:start w:val="4"/>
      <w:numFmt w:val="none"/>
      <w:lvlText w:val="4.1"/>
      <w:lvlJc w:val="left"/>
      <w:pPr>
        <w:tabs>
          <w:tab w:val="num" w:pos="720"/>
        </w:tabs>
        <w:ind w:left="720" w:hanging="720"/>
      </w:pPr>
      <w:rPr>
        <w:rFonts w:hint="default"/>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decimal"/>
      <w:lvlText w:val="%4%14.1."/>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897506"/>
    <w:multiLevelType w:val="hybridMultilevel"/>
    <w:tmpl w:val="0408EC1C"/>
    <w:lvl w:ilvl="0" w:tplc="08090001">
      <w:start w:val="1"/>
      <w:numFmt w:val="bullet"/>
      <w:lvlText w:val=""/>
      <w:lvlJc w:val="left"/>
      <w:pPr>
        <w:ind w:left="847" w:hanging="360"/>
      </w:pPr>
      <w:rPr>
        <w:rFonts w:ascii="Symbol" w:hAnsi="Symbol" w:cs="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cs="Wingdings" w:hint="default"/>
      </w:rPr>
    </w:lvl>
    <w:lvl w:ilvl="3" w:tplc="08090001" w:tentative="1">
      <w:start w:val="1"/>
      <w:numFmt w:val="bullet"/>
      <w:lvlText w:val=""/>
      <w:lvlJc w:val="left"/>
      <w:pPr>
        <w:ind w:left="3007" w:hanging="360"/>
      </w:pPr>
      <w:rPr>
        <w:rFonts w:ascii="Symbol" w:hAnsi="Symbol" w:cs="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cs="Wingdings" w:hint="default"/>
      </w:rPr>
    </w:lvl>
    <w:lvl w:ilvl="6" w:tplc="08090001" w:tentative="1">
      <w:start w:val="1"/>
      <w:numFmt w:val="bullet"/>
      <w:lvlText w:val=""/>
      <w:lvlJc w:val="left"/>
      <w:pPr>
        <w:ind w:left="5167" w:hanging="360"/>
      </w:pPr>
      <w:rPr>
        <w:rFonts w:ascii="Symbol" w:hAnsi="Symbol" w:cs="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cs="Wingdings" w:hint="default"/>
      </w:rPr>
    </w:lvl>
  </w:abstractNum>
  <w:abstractNum w:abstractNumId="16" w15:restartNumberingAfterBreak="0">
    <w:nsid w:val="246E4355"/>
    <w:multiLevelType w:val="multilevel"/>
    <w:tmpl w:val="89D898FA"/>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993462"/>
    <w:multiLevelType w:val="hybridMultilevel"/>
    <w:tmpl w:val="B8A4F87C"/>
    <w:lvl w:ilvl="0" w:tplc="0415000F">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080"/>
        </w:tabs>
        <w:ind w:left="1080" w:hanging="360"/>
      </w:pPr>
      <w:rPr>
        <w:rFonts w:hint="default"/>
      </w:r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18" w15:restartNumberingAfterBreak="0">
    <w:nsid w:val="24FB661C"/>
    <w:multiLevelType w:val="hybridMultilevel"/>
    <w:tmpl w:val="112034DC"/>
    <w:lvl w:ilvl="0" w:tplc="15AA9C1A">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775637A"/>
    <w:multiLevelType w:val="hybridMultilevel"/>
    <w:tmpl w:val="F6607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33656"/>
    <w:multiLevelType w:val="hybridMultilevel"/>
    <w:tmpl w:val="6594788E"/>
    <w:lvl w:ilvl="0" w:tplc="07B03B66">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A0529D"/>
    <w:multiLevelType w:val="multilevel"/>
    <w:tmpl w:val="29FE739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F405423"/>
    <w:multiLevelType w:val="hybridMultilevel"/>
    <w:tmpl w:val="204EA7DA"/>
    <w:lvl w:ilvl="0" w:tplc="67360006">
      <w:start w:val="1"/>
      <w:numFmt w:val="bullet"/>
      <w:lvlText w:val=""/>
      <w:lvlJc w:val="left"/>
      <w:pPr>
        <w:tabs>
          <w:tab w:val="num" w:pos="227"/>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903CC8"/>
    <w:multiLevelType w:val="hybridMultilevel"/>
    <w:tmpl w:val="1DDA9202"/>
    <w:lvl w:ilvl="0" w:tplc="15AA9C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B01DC6"/>
    <w:multiLevelType w:val="hybridMultilevel"/>
    <w:tmpl w:val="D09A5EA6"/>
    <w:lvl w:ilvl="0" w:tplc="07B03B66">
      <w:start w:val="1"/>
      <w:numFmt w:val="bullet"/>
      <w:lvlText w:val=""/>
      <w:lvlJc w:val="left"/>
      <w:pPr>
        <w:tabs>
          <w:tab w:val="num" w:pos="340"/>
        </w:tabs>
        <w:ind w:left="340" w:hanging="34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E63395"/>
    <w:multiLevelType w:val="hybridMultilevel"/>
    <w:tmpl w:val="3E720A0E"/>
    <w:lvl w:ilvl="0" w:tplc="15AA9C1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334F15ED"/>
    <w:multiLevelType w:val="hybridMultilevel"/>
    <w:tmpl w:val="89F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93975"/>
    <w:multiLevelType w:val="hybridMultilevel"/>
    <w:tmpl w:val="D74AB25E"/>
    <w:lvl w:ilvl="0" w:tplc="15AA9C1A">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4AD1040"/>
    <w:multiLevelType w:val="hybridMultilevel"/>
    <w:tmpl w:val="4D1EDC0C"/>
    <w:lvl w:ilvl="0" w:tplc="15AA9C1A">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5720835"/>
    <w:multiLevelType w:val="hybridMultilevel"/>
    <w:tmpl w:val="0B1C8B18"/>
    <w:lvl w:ilvl="0" w:tplc="75E2F5A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B77444"/>
    <w:multiLevelType w:val="hybridMultilevel"/>
    <w:tmpl w:val="6B1815B6"/>
    <w:lvl w:ilvl="0" w:tplc="8760CE72">
      <w:start w:val="1"/>
      <w:numFmt w:val="bullet"/>
      <w:lvlText w:val=""/>
      <w:lvlJc w:val="left"/>
      <w:pPr>
        <w:tabs>
          <w:tab w:val="num" w:pos="360"/>
        </w:tabs>
        <w:ind w:left="360" w:hanging="360"/>
      </w:pPr>
      <w:rPr>
        <w:rFonts w:ascii="Symbol" w:hAnsi="Symbol" w:hint="default"/>
        <w:color w:val="auto"/>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31" w15:restartNumberingAfterBreak="0">
    <w:nsid w:val="36673B32"/>
    <w:multiLevelType w:val="hybridMultilevel"/>
    <w:tmpl w:val="1D24524C"/>
    <w:lvl w:ilvl="0" w:tplc="421A3438">
      <w:numFmt w:val="bullet"/>
      <w:lvlText w:val="-"/>
      <w:lvlJc w:val="left"/>
      <w:pPr>
        <w:tabs>
          <w:tab w:val="num" w:pos="360"/>
        </w:tabs>
        <w:ind w:left="36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37CC4DC2"/>
    <w:multiLevelType w:val="hybridMultilevel"/>
    <w:tmpl w:val="7F102AEC"/>
    <w:lvl w:ilvl="0" w:tplc="08090001">
      <w:start w:val="1"/>
      <w:numFmt w:val="bullet"/>
      <w:lvlText w:val=""/>
      <w:lvlJc w:val="left"/>
      <w:pPr>
        <w:ind w:left="1004" w:hanging="360"/>
      </w:pPr>
      <w:rPr>
        <w:rFonts w:ascii="Symbol" w:hAnsi="Symbol" w:cs="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cs="Wingdings" w:hint="default"/>
      </w:rPr>
    </w:lvl>
    <w:lvl w:ilvl="3" w:tplc="08090001" w:tentative="1">
      <w:start w:val="1"/>
      <w:numFmt w:val="bullet"/>
      <w:lvlText w:val=""/>
      <w:lvlJc w:val="left"/>
      <w:pPr>
        <w:ind w:left="3164" w:hanging="360"/>
      </w:pPr>
      <w:rPr>
        <w:rFonts w:ascii="Symbol" w:hAnsi="Symbol" w:cs="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cs="Wingdings" w:hint="default"/>
      </w:rPr>
    </w:lvl>
    <w:lvl w:ilvl="6" w:tplc="08090001" w:tentative="1">
      <w:start w:val="1"/>
      <w:numFmt w:val="bullet"/>
      <w:lvlText w:val=""/>
      <w:lvlJc w:val="left"/>
      <w:pPr>
        <w:ind w:left="5324" w:hanging="360"/>
      </w:pPr>
      <w:rPr>
        <w:rFonts w:ascii="Symbol" w:hAnsi="Symbol" w:cs="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cs="Wingdings" w:hint="default"/>
      </w:rPr>
    </w:lvl>
  </w:abstractNum>
  <w:abstractNum w:abstractNumId="33" w15:restartNumberingAfterBreak="0">
    <w:nsid w:val="3AD4239D"/>
    <w:multiLevelType w:val="hybridMultilevel"/>
    <w:tmpl w:val="CB784878"/>
    <w:lvl w:ilvl="0" w:tplc="04150003">
      <w:start w:val="1"/>
      <w:numFmt w:val="decimal"/>
      <w:lvlText w:val="%1."/>
      <w:lvlJc w:val="left"/>
      <w:pPr>
        <w:tabs>
          <w:tab w:val="num" w:pos="360"/>
        </w:tabs>
        <w:ind w:left="360" w:hanging="360"/>
      </w:p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15:restartNumberingAfterBreak="0">
    <w:nsid w:val="3B904D7D"/>
    <w:multiLevelType w:val="hybridMultilevel"/>
    <w:tmpl w:val="0006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8763E1"/>
    <w:multiLevelType w:val="hybridMultilevel"/>
    <w:tmpl w:val="9098B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F233B2"/>
    <w:multiLevelType w:val="hybridMultilevel"/>
    <w:tmpl w:val="E73A2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6811172"/>
    <w:multiLevelType w:val="hybridMultilevel"/>
    <w:tmpl w:val="0330B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041EA2"/>
    <w:multiLevelType w:val="multilevel"/>
    <w:tmpl w:val="7A00ACC4"/>
    <w:lvl w:ilvl="0">
      <w:start w:val="4"/>
      <w:numFmt w:val="decimal"/>
      <w:lvlText w:val="%1"/>
      <w:lvlJc w:val="left"/>
      <w:pPr>
        <w:tabs>
          <w:tab w:val="num" w:pos="360"/>
        </w:tabs>
        <w:ind w:left="360" w:hanging="360"/>
      </w:pPr>
      <w:rPr>
        <w:rFonts w:hint="default"/>
        <w:b w:val="0"/>
      </w:rPr>
    </w:lvl>
    <w:lvl w:ilvl="1">
      <w:start w:val="2"/>
      <w:numFmt w:val="none"/>
      <w:lvlText w:val="4.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0" w15:restartNumberingAfterBreak="0">
    <w:nsid w:val="49BD0CAD"/>
    <w:multiLevelType w:val="hybridMultilevel"/>
    <w:tmpl w:val="89A4BEE2"/>
    <w:lvl w:ilvl="0" w:tplc="421A3438">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decimal"/>
      <w:lvlText w:val="%2."/>
      <w:lvlJc w:val="left"/>
      <w:pPr>
        <w:tabs>
          <w:tab w:val="num" w:pos="1080"/>
        </w:tabs>
        <w:ind w:left="1080" w:hanging="360"/>
      </w:pPr>
      <w:rPr>
        <w:rFonts w:hint="default"/>
      </w:r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41" w15:restartNumberingAfterBreak="0">
    <w:nsid w:val="49C30525"/>
    <w:multiLevelType w:val="hybridMultilevel"/>
    <w:tmpl w:val="5F0CDC0A"/>
    <w:lvl w:ilvl="0" w:tplc="8760CE72">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A3F27A4"/>
    <w:multiLevelType w:val="hybridMultilevel"/>
    <w:tmpl w:val="EFAAEA8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AA61A16"/>
    <w:multiLevelType w:val="hybridMultilevel"/>
    <w:tmpl w:val="CFA8DB0C"/>
    <w:lvl w:ilvl="0" w:tplc="04150001">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4AA8640F"/>
    <w:multiLevelType w:val="hybridMultilevel"/>
    <w:tmpl w:val="B5FE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B465DA"/>
    <w:multiLevelType w:val="hybridMultilevel"/>
    <w:tmpl w:val="547ECED0"/>
    <w:lvl w:ilvl="0" w:tplc="421A3438">
      <w:numFmt w:val="bullet"/>
      <w:lvlText w:val="-"/>
      <w:lvlJc w:val="left"/>
      <w:pPr>
        <w:tabs>
          <w:tab w:val="num" w:pos="502"/>
        </w:tabs>
        <w:ind w:left="502" w:hanging="360"/>
      </w:pPr>
      <w:rPr>
        <w:rFonts w:ascii="Times New Roman" w:eastAsia="Times New Roman" w:hAnsi="Times New Roman" w:cs="Times New Roman" w:hint="default"/>
      </w:rPr>
    </w:lvl>
    <w:lvl w:ilvl="1" w:tplc="FBC07F20">
      <w:start w:val="1"/>
      <w:numFmt w:val="bullet"/>
      <w:lvlText w:val=""/>
      <w:lvlJc w:val="left"/>
      <w:pPr>
        <w:tabs>
          <w:tab w:val="num" w:pos="1080"/>
        </w:tabs>
        <w:ind w:left="1364" w:hanging="284"/>
      </w:pPr>
      <w:rPr>
        <w:rFonts w:ascii="Symbol" w:hAnsi="Symbol" w:hint="default"/>
        <w:color w:val="00008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4B763F"/>
    <w:multiLevelType w:val="multilevel"/>
    <w:tmpl w:val="48D8161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1AA2494"/>
    <w:multiLevelType w:val="hybridMultilevel"/>
    <w:tmpl w:val="E97C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2165E6"/>
    <w:multiLevelType w:val="multilevel"/>
    <w:tmpl w:val="FADA0C1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3B871B7"/>
    <w:multiLevelType w:val="hybridMultilevel"/>
    <w:tmpl w:val="9360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050775"/>
    <w:multiLevelType w:val="hybridMultilevel"/>
    <w:tmpl w:val="8CD07514"/>
    <w:lvl w:ilvl="0" w:tplc="07B03B66">
      <w:start w:val="1"/>
      <w:numFmt w:val="bullet"/>
      <w:lvlText w:val=""/>
      <w:lvlJc w:val="left"/>
      <w:pPr>
        <w:tabs>
          <w:tab w:val="num" w:pos="340"/>
        </w:tabs>
        <w:ind w:left="340"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1E2092"/>
    <w:multiLevelType w:val="hybridMultilevel"/>
    <w:tmpl w:val="19007CA8"/>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52" w15:restartNumberingAfterBreak="0">
    <w:nsid w:val="554B69D2"/>
    <w:multiLevelType w:val="hybridMultilevel"/>
    <w:tmpl w:val="E3467508"/>
    <w:lvl w:ilvl="0" w:tplc="04150001">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15:restartNumberingAfterBreak="0">
    <w:nsid w:val="5917055E"/>
    <w:multiLevelType w:val="hybridMultilevel"/>
    <w:tmpl w:val="947853F2"/>
    <w:lvl w:ilvl="0" w:tplc="7C28A3EC">
      <w:start w:val="1"/>
      <w:numFmt w:val="bullet"/>
      <w:lvlText w:val=""/>
      <w:lvlJc w:val="left"/>
      <w:pPr>
        <w:tabs>
          <w:tab w:val="num" w:pos="0"/>
        </w:tabs>
        <w:ind w:left="284" w:hanging="28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B81A70"/>
    <w:multiLevelType w:val="hybridMultilevel"/>
    <w:tmpl w:val="F71C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2C261C"/>
    <w:multiLevelType w:val="hybridMultilevel"/>
    <w:tmpl w:val="30F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6E5D5C"/>
    <w:multiLevelType w:val="hybridMultilevel"/>
    <w:tmpl w:val="96244E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5D1B09"/>
    <w:multiLevelType w:val="hybridMultilevel"/>
    <w:tmpl w:val="CCEC0444"/>
    <w:lvl w:ilvl="0" w:tplc="7B8886B6">
      <w:start w:val="1"/>
      <w:numFmt w:val="bullet"/>
      <w:lvlText w:val=""/>
      <w:lvlJc w:val="left"/>
      <w:pPr>
        <w:tabs>
          <w:tab w:val="num" w:pos="502"/>
        </w:tabs>
        <w:ind w:left="502" w:hanging="360"/>
      </w:pPr>
      <w:rPr>
        <w:rFonts w:ascii="Symbol" w:hAnsi="Symbol" w:hint="default"/>
        <w:color w:val="auto"/>
        <w:sz w:val="20"/>
      </w:rPr>
    </w:lvl>
    <w:lvl w:ilvl="1" w:tplc="FBC07F20">
      <w:start w:val="1"/>
      <w:numFmt w:val="bullet"/>
      <w:lvlText w:val=""/>
      <w:lvlJc w:val="left"/>
      <w:pPr>
        <w:tabs>
          <w:tab w:val="num" w:pos="1080"/>
        </w:tabs>
        <w:ind w:left="1364" w:hanging="284"/>
      </w:pPr>
      <w:rPr>
        <w:rFonts w:ascii="Symbol" w:hAnsi="Symbol" w:hint="default"/>
        <w:color w:val="00008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15:restartNumberingAfterBreak="0">
    <w:nsid w:val="609E64F3"/>
    <w:multiLevelType w:val="multilevel"/>
    <w:tmpl w:val="189210B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DB5F8B"/>
    <w:multiLevelType w:val="hybridMultilevel"/>
    <w:tmpl w:val="0A62AEC0"/>
    <w:lvl w:ilvl="0" w:tplc="75E2F5A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630F0BEC"/>
    <w:multiLevelType w:val="hybridMultilevel"/>
    <w:tmpl w:val="F9586D5C"/>
    <w:lvl w:ilvl="0" w:tplc="FBC07F20">
      <w:start w:val="1"/>
      <w:numFmt w:val="bullet"/>
      <w:lvlText w:val=""/>
      <w:lvlJc w:val="left"/>
      <w:pPr>
        <w:ind w:left="720" w:hanging="360"/>
      </w:pPr>
      <w:rPr>
        <w:rFonts w:ascii="Symbol" w:hAnsi="Symbol" w:hint="default"/>
        <w:color w:val="0000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65314369"/>
    <w:multiLevelType w:val="multilevel"/>
    <w:tmpl w:val="865874EE"/>
    <w:lvl w:ilvl="0">
      <w:start w:val="4"/>
      <w:numFmt w:val="decimal"/>
      <w:lvlText w:val="%1"/>
      <w:lvlJc w:val="left"/>
      <w:pPr>
        <w:tabs>
          <w:tab w:val="num" w:pos="720"/>
        </w:tabs>
        <w:ind w:left="720" w:hanging="720"/>
      </w:pPr>
      <w:rPr>
        <w:rFonts w:hint="default"/>
      </w:rPr>
    </w:lvl>
    <w:lvl w:ilvl="1">
      <w:start w:val="4"/>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88867F9"/>
    <w:multiLevelType w:val="hybridMultilevel"/>
    <w:tmpl w:val="1F80BC3E"/>
    <w:lvl w:ilvl="0" w:tplc="8760CE72">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94D7F38"/>
    <w:multiLevelType w:val="hybridMultilevel"/>
    <w:tmpl w:val="969EB4EE"/>
    <w:lvl w:ilvl="0" w:tplc="15AA9C1A">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DFB7C0C"/>
    <w:multiLevelType w:val="hybridMultilevel"/>
    <w:tmpl w:val="76CE3364"/>
    <w:lvl w:ilvl="0" w:tplc="04150003">
      <w:start w:val="1"/>
      <w:numFmt w:val="decimal"/>
      <w:lvlText w:val="%1."/>
      <w:lvlJc w:val="left"/>
      <w:pPr>
        <w:tabs>
          <w:tab w:val="num" w:pos="360"/>
        </w:tabs>
        <w:ind w:left="360" w:hanging="360"/>
      </w:p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5" w15:restartNumberingAfterBreak="0">
    <w:nsid w:val="6E8C3487"/>
    <w:multiLevelType w:val="multilevel"/>
    <w:tmpl w:val="B0343EDA"/>
    <w:lvl w:ilvl="0">
      <w:start w:val="4"/>
      <w:numFmt w:val="none"/>
      <w:lvlText w:val="4.5"/>
      <w:lvlJc w:val="left"/>
      <w:pPr>
        <w:tabs>
          <w:tab w:val="num" w:pos="360"/>
        </w:tabs>
        <w:ind w:left="360" w:hanging="360"/>
      </w:pPr>
      <w:rPr>
        <w:rFonts w:hint="default"/>
      </w:rPr>
    </w:lvl>
    <w:lvl w:ilvl="1">
      <w:start w:val="4"/>
      <w:numFmt w:val="decimal"/>
      <w:lvlText w:val="%2%1.5"/>
      <w:lvlJc w:val="left"/>
      <w:pPr>
        <w:tabs>
          <w:tab w:val="num" w:pos="360"/>
        </w:tabs>
        <w:ind w:left="360" w:hanging="360"/>
      </w:pPr>
      <w:rPr>
        <w:rFonts w:hint="default"/>
      </w:rPr>
    </w:lvl>
    <w:lvl w:ilvl="2">
      <w:start w:val="1"/>
      <w:numFmt w:val="none"/>
      <w:lvlText w:val="4.5"/>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6ED06F7C"/>
    <w:multiLevelType w:val="hybridMultilevel"/>
    <w:tmpl w:val="766A3602"/>
    <w:lvl w:ilvl="0" w:tplc="67360006">
      <w:start w:val="1"/>
      <w:numFmt w:val="bullet"/>
      <w:lvlText w:val=""/>
      <w:lvlJc w:val="left"/>
      <w:pPr>
        <w:tabs>
          <w:tab w:val="num" w:pos="369"/>
        </w:tabs>
        <w:ind w:left="312" w:hanging="170"/>
      </w:pPr>
      <w:rPr>
        <w:rFonts w:ascii="Symbol" w:hAnsi="Symbol"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67" w15:restartNumberingAfterBreak="0">
    <w:nsid w:val="6F1A13F0"/>
    <w:multiLevelType w:val="hybridMultilevel"/>
    <w:tmpl w:val="3D2E7894"/>
    <w:lvl w:ilvl="0" w:tplc="04150001">
      <w:start w:val="1"/>
      <w:numFmt w:val="bullet"/>
      <w:lvlText w:val=""/>
      <w:lvlJc w:val="left"/>
      <w:pPr>
        <w:tabs>
          <w:tab w:val="num" w:pos="420"/>
        </w:tabs>
        <w:ind w:left="420" w:hanging="360"/>
      </w:pPr>
      <w:rPr>
        <w:rFonts w:ascii="Symbol" w:hAnsi="Symbol" w:hint="default"/>
        <w:color w:val="auto"/>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68" w15:restartNumberingAfterBreak="0">
    <w:nsid w:val="71274447"/>
    <w:multiLevelType w:val="hybridMultilevel"/>
    <w:tmpl w:val="4A8E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8F1FD4"/>
    <w:multiLevelType w:val="hybridMultilevel"/>
    <w:tmpl w:val="690C786E"/>
    <w:lvl w:ilvl="0" w:tplc="04150003">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0" w15:restartNumberingAfterBreak="0">
    <w:nsid w:val="742207E9"/>
    <w:multiLevelType w:val="hybridMultilevel"/>
    <w:tmpl w:val="3DAC5116"/>
    <w:lvl w:ilvl="0" w:tplc="08090001">
      <w:start w:val="1"/>
      <w:numFmt w:val="bullet"/>
      <w:lvlText w:val=""/>
      <w:lvlJc w:val="left"/>
      <w:pPr>
        <w:ind w:left="847" w:hanging="360"/>
      </w:pPr>
      <w:rPr>
        <w:rFonts w:ascii="Symbol" w:hAnsi="Symbol" w:cs="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cs="Wingdings" w:hint="default"/>
      </w:rPr>
    </w:lvl>
    <w:lvl w:ilvl="3" w:tplc="08090001" w:tentative="1">
      <w:start w:val="1"/>
      <w:numFmt w:val="bullet"/>
      <w:lvlText w:val=""/>
      <w:lvlJc w:val="left"/>
      <w:pPr>
        <w:ind w:left="3007" w:hanging="360"/>
      </w:pPr>
      <w:rPr>
        <w:rFonts w:ascii="Symbol" w:hAnsi="Symbol" w:cs="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cs="Wingdings" w:hint="default"/>
      </w:rPr>
    </w:lvl>
    <w:lvl w:ilvl="6" w:tplc="08090001" w:tentative="1">
      <w:start w:val="1"/>
      <w:numFmt w:val="bullet"/>
      <w:lvlText w:val=""/>
      <w:lvlJc w:val="left"/>
      <w:pPr>
        <w:ind w:left="5167" w:hanging="360"/>
      </w:pPr>
      <w:rPr>
        <w:rFonts w:ascii="Symbol" w:hAnsi="Symbol" w:cs="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cs="Wingdings" w:hint="default"/>
      </w:rPr>
    </w:lvl>
  </w:abstractNum>
  <w:abstractNum w:abstractNumId="71" w15:restartNumberingAfterBreak="0">
    <w:nsid w:val="74D84532"/>
    <w:multiLevelType w:val="hybridMultilevel"/>
    <w:tmpl w:val="AA2E4F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103DBA"/>
    <w:multiLevelType w:val="hybridMultilevel"/>
    <w:tmpl w:val="7B6EC5A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752C6537"/>
    <w:multiLevelType w:val="hybridMultilevel"/>
    <w:tmpl w:val="6D942878"/>
    <w:lvl w:ilvl="0" w:tplc="0415000F">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767772C9"/>
    <w:multiLevelType w:val="hybridMultilevel"/>
    <w:tmpl w:val="AFFCCDEA"/>
    <w:lvl w:ilvl="0" w:tplc="75E2F5A2">
      <w:start w:val="1"/>
      <w:numFmt w:val="bullet"/>
      <w:lvlText w:val="–"/>
      <w:lvlJc w:val="left"/>
      <w:pPr>
        <w:tabs>
          <w:tab w:val="num" w:pos="340"/>
        </w:tabs>
        <w:ind w:left="340" w:hanging="340"/>
      </w:pPr>
      <w:rPr>
        <w:rFonts w:ascii="Times New Roman" w:hAnsi="Times New Roman" w:cs="Times New Roman" w:hint="default"/>
        <w:color w:val="auto"/>
        <w:sz w:val="20"/>
      </w:rPr>
    </w:lvl>
    <w:lvl w:ilvl="1" w:tplc="FBC07F20">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5" w15:restartNumberingAfterBreak="0">
    <w:nsid w:val="76FB415F"/>
    <w:multiLevelType w:val="hybridMultilevel"/>
    <w:tmpl w:val="2496FCE4"/>
    <w:lvl w:ilvl="0" w:tplc="08090001">
      <w:start w:val="1"/>
      <w:numFmt w:val="bullet"/>
      <w:lvlText w:val=""/>
      <w:lvlJc w:val="left"/>
      <w:pPr>
        <w:ind w:left="847" w:hanging="360"/>
      </w:pPr>
      <w:rPr>
        <w:rFonts w:ascii="Symbol" w:hAnsi="Symbol" w:cs="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cs="Wingdings" w:hint="default"/>
      </w:rPr>
    </w:lvl>
    <w:lvl w:ilvl="3" w:tplc="08090001" w:tentative="1">
      <w:start w:val="1"/>
      <w:numFmt w:val="bullet"/>
      <w:lvlText w:val=""/>
      <w:lvlJc w:val="left"/>
      <w:pPr>
        <w:ind w:left="3007" w:hanging="360"/>
      </w:pPr>
      <w:rPr>
        <w:rFonts w:ascii="Symbol" w:hAnsi="Symbol" w:cs="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cs="Wingdings" w:hint="default"/>
      </w:rPr>
    </w:lvl>
    <w:lvl w:ilvl="6" w:tplc="08090001" w:tentative="1">
      <w:start w:val="1"/>
      <w:numFmt w:val="bullet"/>
      <w:lvlText w:val=""/>
      <w:lvlJc w:val="left"/>
      <w:pPr>
        <w:ind w:left="5167" w:hanging="360"/>
      </w:pPr>
      <w:rPr>
        <w:rFonts w:ascii="Symbol" w:hAnsi="Symbol" w:cs="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cs="Wingdings" w:hint="default"/>
      </w:rPr>
    </w:lvl>
  </w:abstractNum>
  <w:abstractNum w:abstractNumId="76" w15:restartNumberingAfterBreak="0">
    <w:nsid w:val="774F60F0"/>
    <w:multiLevelType w:val="hybridMultilevel"/>
    <w:tmpl w:val="DCBA85B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777346E9"/>
    <w:multiLevelType w:val="hybridMultilevel"/>
    <w:tmpl w:val="306865BC"/>
    <w:lvl w:ilvl="0" w:tplc="08090001">
      <w:start w:val="1"/>
      <w:numFmt w:val="bullet"/>
      <w:lvlText w:val=""/>
      <w:lvlJc w:val="left"/>
      <w:pPr>
        <w:ind w:left="2988" w:hanging="360"/>
      </w:pPr>
      <w:rPr>
        <w:rFonts w:ascii="Symbol" w:hAnsi="Symbol" w:hint="default"/>
      </w:rPr>
    </w:lvl>
    <w:lvl w:ilvl="1" w:tplc="08090003">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8" w15:restartNumberingAfterBreak="0">
    <w:nsid w:val="7978398D"/>
    <w:multiLevelType w:val="hybridMultilevel"/>
    <w:tmpl w:val="21FE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9A04FE0"/>
    <w:multiLevelType w:val="hybridMultilevel"/>
    <w:tmpl w:val="0532C62E"/>
    <w:lvl w:ilvl="0" w:tplc="B54A4A4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9CE19A9"/>
    <w:multiLevelType w:val="hybridMultilevel"/>
    <w:tmpl w:val="5AC23A14"/>
    <w:lvl w:ilvl="0" w:tplc="04150001">
      <w:start w:val="1"/>
      <w:numFmt w:val="bullet"/>
      <w:lvlText w:val=""/>
      <w:lvlJc w:val="left"/>
      <w:pPr>
        <w:tabs>
          <w:tab w:val="num" w:pos="360"/>
        </w:tabs>
        <w:ind w:left="360" w:hanging="360"/>
      </w:pPr>
      <w:rPr>
        <w:rFonts w:ascii="Symbol" w:hAnsi="Symbol" w:hint="default"/>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81" w15:restartNumberingAfterBreak="0">
    <w:nsid w:val="79E87D0C"/>
    <w:multiLevelType w:val="hybridMultilevel"/>
    <w:tmpl w:val="E2161DEA"/>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928"/>
        </w:tabs>
        <w:ind w:left="9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2" w15:restartNumberingAfterBreak="0">
    <w:nsid w:val="7A9D3724"/>
    <w:multiLevelType w:val="hybridMultilevel"/>
    <w:tmpl w:val="0580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B65FAF"/>
    <w:multiLevelType w:val="hybridMultilevel"/>
    <w:tmpl w:val="0B589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F19378E"/>
    <w:multiLevelType w:val="multilevel"/>
    <w:tmpl w:val="8E1A05FE"/>
    <w:lvl w:ilvl="0">
      <w:start w:val="4"/>
      <w:numFmt w:val="none"/>
      <w:lvlText w:val="4.5"/>
      <w:lvlJc w:val="left"/>
      <w:pPr>
        <w:tabs>
          <w:tab w:val="num" w:pos="360"/>
        </w:tabs>
        <w:ind w:left="360" w:hanging="360"/>
      </w:pPr>
      <w:rPr>
        <w:rFonts w:hint="default"/>
      </w:rPr>
    </w:lvl>
    <w:lvl w:ilvl="1">
      <w:start w:val="4"/>
      <w:numFmt w:val="decimal"/>
      <w:lvlText w:val="%2%1.3"/>
      <w:lvlJc w:val="left"/>
      <w:pPr>
        <w:tabs>
          <w:tab w:val="num" w:pos="360"/>
        </w:tabs>
        <w:ind w:left="360" w:hanging="360"/>
      </w:pPr>
      <w:rPr>
        <w:rFonts w:hint="default"/>
      </w:rPr>
    </w:lvl>
    <w:lvl w:ilvl="2">
      <w:start w:val="1"/>
      <w:numFmt w:val="none"/>
      <w:lvlText w:val="4.5"/>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53119603">
    <w:abstractNumId w:val="42"/>
  </w:num>
  <w:num w:numId="2" w16cid:durableId="581454555">
    <w:abstractNumId w:val="45"/>
  </w:num>
  <w:num w:numId="3" w16cid:durableId="168642783">
    <w:abstractNumId w:val="40"/>
  </w:num>
  <w:num w:numId="4" w16cid:durableId="1219516180">
    <w:abstractNumId w:val="56"/>
  </w:num>
  <w:num w:numId="5" w16cid:durableId="1531842730">
    <w:abstractNumId w:val="80"/>
  </w:num>
  <w:num w:numId="6" w16cid:durableId="733889878">
    <w:abstractNumId w:val="51"/>
  </w:num>
  <w:num w:numId="7" w16cid:durableId="2136412705">
    <w:abstractNumId w:val="61"/>
  </w:num>
  <w:num w:numId="8" w16cid:durableId="1546792462">
    <w:abstractNumId w:val="16"/>
  </w:num>
  <w:num w:numId="9" w16cid:durableId="1419986309">
    <w:abstractNumId w:val="14"/>
  </w:num>
  <w:num w:numId="10" w16cid:durableId="2068020994">
    <w:abstractNumId w:val="10"/>
  </w:num>
  <w:num w:numId="11" w16cid:durableId="344132637">
    <w:abstractNumId w:val="5"/>
  </w:num>
  <w:num w:numId="12" w16cid:durableId="1648390929">
    <w:abstractNumId w:val="39"/>
  </w:num>
  <w:num w:numId="13" w16cid:durableId="1035740883">
    <w:abstractNumId w:val="21"/>
  </w:num>
  <w:num w:numId="14" w16cid:durableId="1687901863">
    <w:abstractNumId w:val="22"/>
  </w:num>
  <w:num w:numId="15" w16cid:durableId="1122460988">
    <w:abstractNumId w:val="66"/>
  </w:num>
  <w:num w:numId="16" w16cid:durableId="545407051">
    <w:abstractNumId w:val="84"/>
  </w:num>
  <w:num w:numId="17" w16cid:durableId="56781711">
    <w:abstractNumId w:val="65"/>
  </w:num>
  <w:num w:numId="18" w16cid:durableId="232158117">
    <w:abstractNumId w:val="46"/>
  </w:num>
  <w:num w:numId="19" w16cid:durableId="1463426632">
    <w:abstractNumId w:val="48"/>
  </w:num>
  <w:num w:numId="20" w16cid:durableId="1762529929">
    <w:abstractNumId w:val="76"/>
  </w:num>
  <w:num w:numId="21" w16cid:durableId="433329514">
    <w:abstractNumId w:val="53"/>
  </w:num>
  <w:num w:numId="22" w16cid:durableId="1030567289">
    <w:abstractNumId w:val="64"/>
  </w:num>
  <w:num w:numId="23" w16cid:durableId="42563176">
    <w:abstractNumId w:val="69"/>
  </w:num>
  <w:num w:numId="24" w16cid:durableId="120538643">
    <w:abstractNumId w:val="33"/>
  </w:num>
  <w:num w:numId="25" w16cid:durableId="789937447">
    <w:abstractNumId w:val="72"/>
  </w:num>
  <w:num w:numId="26" w16cid:durableId="640382006">
    <w:abstractNumId w:val="4"/>
  </w:num>
  <w:num w:numId="27" w16cid:durableId="1539128142">
    <w:abstractNumId w:val="30"/>
  </w:num>
  <w:num w:numId="28" w16cid:durableId="1486624703">
    <w:abstractNumId w:val="62"/>
  </w:num>
  <w:num w:numId="29" w16cid:durableId="929125407">
    <w:abstractNumId w:val="41"/>
  </w:num>
  <w:num w:numId="30" w16cid:durableId="1164012460">
    <w:abstractNumId w:val="31"/>
  </w:num>
  <w:num w:numId="31" w16cid:durableId="214706598">
    <w:abstractNumId w:val="6"/>
  </w:num>
  <w:num w:numId="32" w16cid:durableId="1777552778">
    <w:abstractNumId w:val="24"/>
  </w:num>
  <w:num w:numId="33" w16cid:durableId="90053726">
    <w:abstractNumId w:val="20"/>
  </w:num>
  <w:num w:numId="34" w16cid:durableId="1116369440">
    <w:abstractNumId w:val="50"/>
  </w:num>
  <w:num w:numId="35" w16cid:durableId="1370648727">
    <w:abstractNumId w:val="67"/>
  </w:num>
  <w:num w:numId="36" w16cid:durableId="1791825546">
    <w:abstractNumId w:val="71"/>
  </w:num>
  <w:num w:numId="37" w16cid:durableId="1331979784">
    <w:abstractNumId w:val="82"/>
  </w:num>
  <w:num w:numId="38" w16cid:durableId="1133064603">
    <w:abstractNumId w:val="35"/>
  </w:num>
  <w:num w:numId="39" w16cid:durableId="88434153">
    <w:abstractNumId w:val="18"/>
  </w:num>
  <w:num w:numId="40" w16cid:durableId="42607840">
    <w:abstractNumId w:val="2"/>
  </w:num>
  <w:num w:numId="41" w16cid:durableId="1616908709">
    <w:abstractNumId w:val="63"/>
  </w:num>
  <w:num w:numId="42" w16cid:durableId="334915507">
    <w:abstractNumId w:val="27"/>
  </w:num>
  <w:num w:numId="43" w16cid:durableId="2024815023">
    <w:abstractNumId w:val="28"/>
  </w:num>
  <w:num w:numId="44" w16cid:durableId="1604875222">
    <w:abstractNumId w:val="23"/>
  </w:num>
  <w:num w:numId="45" w16cid:durableId="1965573678">
    <w:abstractNumId w:val="58"/>
  </w:num>
  <w:num w:numId="46" w16cid:durableId="13344094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0893275">
    <w:abstractNumId w:val="37"/>
  </w:num>
  <w:num w:numId="48" w16cid:durableId="740906512">
    <w:abstractNumId w:val="38"/>
  </w:num>
  <w:num w:numId="49" w16cid:durableId="1390032818">
    <w:abstractNumId w:val="17"/>
  </w:num>
  <w:num w:numId="50" w16cid:durableId="1084035540">
    <w:abstractNumId w:val="11"/>
  </w:num>
  <w:num w:numId="51" w16cid:durableId="892152765">
    <w:abstractNumId w:val="44"/>
  </w:num>
  <w:num w:numId="52" w16cid:durableId="1461263402">
    <w:abstractNumId w:val="55"/>
  </w:num>
  <w:num w:numId="53" w16cid:durableId="772628955">
    <w:abstractNumId w:val="49"/>
  </w:num>
  <w:num w:numId="54" w16cid:durableId="1393191949">
    <w:abstractNumId w:val="78"/>
  </w:num>
  <w:num w:numId="55" w16cid:durableId="1608661754">
    <w:abstractNumId w:val="68"/>
  </w:num>
  <w:num w:numId="56" w16cid:durableId="2025553027">
    <w:abstractNumId w:val="19"/>
  </w:num>
  <w:num w:numId="57" w16cid:durableId="1270044431">
    <w:abstractNumId w:val="26"/>
  </w:num>
  <w:num w:numId="58" w16cid:durableId="1719084290">
    <w:abstractNumId w:val="34"/>
  </w:num>
  <w:num w:numId="59" w16cid:durableId="865171758">
    <w:abstractNumId w:val="47"/>
  </w:num>
  <w:num w:numId="60" w16cid:durableId="205724110">
    <w:abstractNumId w:val="54"/>
  </w:num>
  <w:num w:numId="61" w16cid:durableId="57023238">
    <w:abstractNumId w:val="77"/>
  </w:num>
  <w:num w:numId="62" w16cid:durableId="1453328713">
    <w:abstractNumId w:val="15"/>
  </w:num>
  <w:num w:numId="63" w16cid:durableId="161312147">
    <w:abstractNumId w:val="70"/>
  </w:num>
  <w:num w:numId="64" w16cid:durableId="553279345">
    <w:abstractNumId w:val="75"/>
  </w:num>
  <w:num w:numId="65" w16cid:durableId="1828787747">
    <w:abstractNumId w:val="32"/>
  </w:num>
  <w:num w:numId="66" w16cid:durableId="1477990199">
    <w:abstractNumId w:val="81"/>
  </w:num>
  <w:num w:numId="67" w16cid:durableId="940601233">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7677431">
    <w:abstractNumId w:val="79"/>
  </w:num>
  <w:num w:numId="69" w16cid:durableId="1954314407">
    <w:abstractNumId w:val="8"/>
  </w:num>
  <w:num w:numId="70" w16cid:durableId="1934168945">
    <w:abstractNumId w:val="12"/>
  </w:num>
  <w:num w:numId="71" w16cid:durableId="2000840508">
    <w:abstractNumId w:val="7"/>
  </w:num>
  <w:num w:numId="72" w16cid:durableId="134225334">
    <w:abstractNumId w:val="9"/>
  </w:num>
  <w:num w:numId="73" w16cid:durableId="1884825235">
    <w:abstractNumId w:val="29"/>
  </w:num>
  <w:num w:numId="74" w16cid:durableId="1116406082">
    <w:abstractNumId w:val="74"/>
  </w:num>
  <w:num w:numId="75" w16cid:durableId="632180403">
    <w:abstractNumId w:val="59"/>
  </w:num>
  <w:num w:numId="76" w16cid:durableId="11548378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44120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559388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6306900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5459906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4580727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2384882">
    <w:abstractNumId w:val="60"/>
  </w:num>
  <w:num w:numId="83" w16cid:durableId="8603988">
    <w:abstractNumId w:val="13"/>
  </w:num>
  <w:num w:numId="84" w16cid:durableId="1578051146">
    <w:abstractNumId w:val="36"/>
  </w:num>
  <w:num w:numId="85" w16cid:durableId="1017465544">
    <w:abstractNumId w:val="0"/>
  </w:num>
  <w:num w:numId="86" w16cid:durableId="1692224793">
    <w:abstractNumId w:val="83"/>
  </w:num>
  <w:num w:numId="87" w16cid:durableId="1603494251">
    <w:abstractNumId w:val="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
    <w15:presenceInfo w15:providerId="None" w15:userId="A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pl-PL" w:vendorID="12" w:dllVersion="51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B4"/>
    <w:rsid w:val="00000012"/>
    <w:rsid w:val="000002AD"/>
    <w:rsid w:val="000019DB"/>
    <w:rsid w:val="00002516"/>
    <w:rsid w:val="00002D01"/>
    <w:rsid w:val="00002FFF"/>
    <w:rsid w:val="000033A2"/>
    <w:rsid w:val="00003B78"/>
    <w:rsid w:val="00006E8A"/>
    <w:rsid w:val="00007491"/>
    <w:rsid w:val="000105A3"/>
    <w:rsid w:val="000128AE"/>
    <w:rsid w:val="0001293E"/>
    <w:rsid w:val="00012D5E"/>
    <w:rsid w:val="00013353"/>
    <w:rsid w:val="000136C5"/>
    <w:rsid w:val="0001576F"/>
    <w:rsid w:val="00016AE3"/>
    <w:rsid w:val="00020228"/>
    <w:rsid w:val="00020C34"/>
    <w:rsid w:val="00022275"/>
    <w:rsid w:val="00022553"/>
    <w:rsid w:val="00022BEA"/>
    <w:rsid w:val="000239B7"/>
    <w:rsid w:val="00024884"/>
    <w:rsid w:val="00024F03"/>
    <w:rsid w:val="00025CF6"/>
    <w:rsid w:val="00025E5A"/>
    <w:rsid w:val="00026013"/>
    <w:rsid w:val="000267C1"/>
    <w:rsid w:val="000270ED"/>
    <w:rsid w:val="000271A5"/>
    <w:rsid w:val="00030077"/>
    <w:rsid w:val="00031224"/>
    <w:rsid w:val="00031407"/>
    <w:rsid w:val="00031532"/>
    <w:rsid w:val="00031A45"/>
    <w:rsid w:val="00031AEE"/>
    <w:rsid w:val="00031B55"/>
    <w:rsid w:val="0003225F"/>
    <w:rsid w:val="000328A5"/>
    <w:rsid w:val="00032927"/>
    <w:rsid w:val="00032E4A"/>
    <w:rsid w:val="00034333"/>
    <w:rsid w:val="000350CB"/>
    <w:rsid w:val="000354AD"/>
    <w:rsid w:val="00035DAD"/>
    <w:rsid w:val="000368C8"/>
    <w:rsid w:val="00037546"/>
    <w:rsid w:val="000379A4"/>
    <w:rsid w:val="00037B0D"/>
    <w:rsid w:val="00041287"/>
    <w:rsid w:val="00043258"/>
    <w:rsid w:val="0004376E"/>
    <w:rsid w:val="000444BA"/>
    <w:rsid w:val="00044A92"/>
    <w:rsid w:val="00045B07"/>
    <w:rsid w:val="00046041"/>
    <w:rsid w:val="0004770E"/>
    <w:rsid w:val="000477B5"/>
    <w:rsid w:val="0004794E"/>
    <w:rsid w:val="00047A44"/>
    <w:rsid w:val="00050D0F"/>
    <w:rsid w:val="00051360"/>
    <w:rsid w:val="000516DD"/>
    <w:rsid w:val="0005175B"/>
    <w:rsid w:val="0005204F"/>
    <w:rsid w:val="00052EE4"/>
    <w:rsid w:val="0005542D"/>
    <w:rsid w:val="00056441"/>
    <w:rsid w:val="0005707C"/>
    <w:rsid w:val="000572CA"/>
    <w:rsid w:val="00057399"/>
    <w:rsid w:val="00060F4A"/>
    <w:rsid w:val="00063274"/>
    <w:rsid w:val="000646F3"/>
    <w:rsid w:val="0006487B"/>
    <w:rsid w:val="000649AB"/>
    <w:rsid w:val="00064FFD"/>
    <w:rsid w:val="00065BCA"/>
    <w:rsid w:val="00066CE3"/>
    <w:rsid w:val="00066F2D"/>
    <w:rsid w:val="000705C5"/>
    <w:rsid w:val="000710D0"/>
    <w:rsid w:val="00071496"/>
    <w:rsid w:val="00071886"/>
    <w:rsid w:val="00071977"/>
    <w:rsid w:val="000724B4"/>
    <w:rsid w:val="00074245"/>
    <w:rsid w:val="00074F91"/>
    <w:rsid w:val="0007594E"/>
    <w:rsid w:val="00077265"/>
    <w:rsid w:val="0007767A"/>
    <w:rsid w:val="00077F7C"/>
    <w:rsid w:val="0008039E"/>
    <w:rsid w:val="000812B2"/>
    <w:rsid w:val="00082360"/>
    <w:rsid w:val="000861BB"/>
    <w:rsid w:val="000864BC"/>
    <w:rsid w:val="000864EA"/>
    <w:rsid w:val="00086D10"/>
    <w:rsid w:val="000920D9"/>
    <w:rsid w:val="00092D71"/>
    <w:rsid w:val="000931FB"/>
    <w:rsid w:val="00095C3F"/>
    <w:rsid w:val="000961FC"/>
    <w:rsid w:val="000968FB"/>
    <w:rsid w:val="00097A51"/>
    <w:rsid w:val="000A08B9"/>
    <w:rsid w:val="000A0C9A"/>
    <w:rsid w:val="000A2655"/>
    <w:rsid w:val="000A44A5"/>
    <w:rsid w:val="000A6F1C"/>
    <w:rsid w:val="000A7F55"/>
    <w:rsid w:val="000B0315"/>
    <w:rsid w:val="000B1C2C"/>
    <w:rsid w:val="000B2187"/>
    <w:rsid w:val="000B39E1"/>
    <w:rsid w:val="000B48F5"/>
    <w:rsid w:val="000B655F"/>
    <w:rsid w:val="000C0097"/>
    <w:rsid w:val="000C23CF"/>
    <w:rsid w:val="000C469C"/>
    <w:rsid w:val="000C489F"/>
    <w:rsid w:val="000C6A7D"/>
    <w:rsid w:val="000C7EC1"/>
    <w:rsid w:val="000D2D17"/>
    <w:rsid w:val="000D360D"/>
    <w:rsid w:val="000D397A"/>
    <w:rsid w:val="000D50E4"/>
    <w:rsid w:val="000D6C8B"/>
    <w:rsid w:val="000D720B"/>
    <w:rsid w:val="000E0049"/>
    <w:rsid w:val="000E0D5E"/>
    <w:rsid w:val="000E114F"/>
    <w:rsid w:val="000E1703"/>
    <w:rsid w:val="000E1DDA"/>
    <w:rsid w:val="000E3315"/>
    <w:rsid w:val="000E43D0"/>
    <w:rsid w:val="000E566B"/>
    <w:rsid w:val="000E69CA"/>
    <w:rsid w:val="000E73A4"/>
    <w:rsid w:val="000E7567"/>
    <w:rsid w:val="000F046F"/>
    <w:rsid w:val="000F251B"/>
    <w:rsid w:val="000F2AD1"/>
    <w:rsid w:val="000F388D"/>
    <w:rsid w:val="000F3DDD"/>
    <w:rsid w:val="000F4490"/>
    <w:rsid w:val="000F4609"/>
    <w:rsid w:val="000F5B4F"/>
    <w:rsid w:val="000F6152"/>
    <w:rsid w:val="000F6394"/>
    <w:rsid w:val="000F6BF1"/>
    <w:rsid w:val="00100378"/>
    <w:rsid w:val="00100691"/>
    <w:rsid w:val="00102DC2"/>
    <w:rsid w:val="00102F3E"/>
    <w:rsid w:val="00104935"/>
    <w:rsid w:val="001049E1"/>
    <w:rsid w:val="00104F65"/>
    <w:rsid w:val="0010531E"/>
    <w:rsid w:val="00112D68"/>
    <w:rsid w:val="00112FFA"/>
    <w:rsid w:val="00114C33"/>
    <w:rsid w:val="00114C8A"/>
    <w:rsid w:val="00115206"/>
    <w:rsid w:val="00115299"/>
    <w:rsid w:val="00117288"/>
    <w:rsid w:val="0012144B"/>
    <w:rsid w:val="00121912"/>
    <w:rsid w:val="0012312A"/>
    <w:rsid w:val="00123214"/>
    <w:rsid w:val="00123B8F"/>
    <w:rsid w:val="00124E12"/>
    <w:rsid w:val="001267B6"/>
    <w:rsid w:val="00130129"/>
    <w:rsid w:val="00130207"/>
    <w:rsid w:val="0013127F"/>
    <w:rsid w:val="001322A9"/>
    <w:rsid w:val="00132376"/>
    <w:rsid w:val="00132EA8"/>
    <w:rsid w:val="00133B6E"/>
    <w:rsid w:val="001350B5"/>
    <w:rsid w:val="00136E9A"/>
    <w:rsid w:val="00137569"/>
    <w:rsid w:val="00137D56"/>
    <w:rsid w:val="0014079E"/>
    <w:rsid w:val="00141084"/>
    <w:rsid w:val="00141614"/>
    <w:rsid w:val="001421AB"/>
    <w:rsid w:val="001422F5"/>
    <w:rsid w:val="001434A8"/>
    <w:rsid w:val="00143775"/>
    <w:rsid w:val="00145401"/>
    <w:rsid w:val="00145ED4"/>
    <w:rsid w:val="00145FBB"/>
    <w:rsid w:val="00146B48"/>
    <w:rsid w:val="001479BE"/>
    <w:rsid w:val="00147BEA"/>
    <w:rsid w:val="00147C63"/>
    <w:rsid w:val="00150218"/>
    <w:rsid w:val="00153C04"/>
    <w:rsid w:val="00155EFE"/>
    <w:rsid w:val="0015608A"/>
    <w:rsid w:val="001560CA"/>
    <w:rsid w:val="001574B2"/>
    <w:rsid w:val="00157C9E"/>
    <w:rsid w:val="00160914"/>
    <w:rsid w:val="00160D4F"/>
    <w:rsid w:val="00163094"/>
    <w:rsid w:val="001633DE"/>
    <w:rsid w:val="00163564"/>
    <w:rsid w:val="00163B1A"/>
    <w:rsid w:val="00164877"/>
    <w:rsid w:val="00165B6F"/>
    <w:rsid w:val="00170B29"/>
    <w:rsid w:val="00170F74"/>
    <w:rsid w:val="00171C7C"/>
    <w:rsid w:val="00172958"/>
    <w:rsid w:val="00172AF7"/>
    <w:rsid w:val="00172E39"/>
    <w:rsid w:val="001734B0"/>
    <w:rsid w:val="00174097"/>
    <w:rsid w:val="00174A28"/>
    <w:rsid w:val="00174FAC"/>
    <w:rsid w:val="00175892"/>
    <w:rsid w:val="00176C1E"/>
    <w:rsid w:val="00176C6E"/>
    <w:rsid w:val="0017739F"/>
    <w:rsid w:val="0018149D"/>
    <w:rsid w:val="00181A52"/>
    <w:rsid w:val="001839C0"/>
    <w:rsid w:val="00184FD5"/>
    <w:rsid w:val="00190929"/>
    <w:rsid w:val="00190C59"/>
    <w:rsid w:val="0019258B"/>
    <w:rsid w:val="00193B9C"/>
    <w:rsid w:val="001943C7"/>
    <w:rsid w:val="00195C87"/>
    <w:rsid w:val="00197173"/>
    <w:rsid w:val="00197318"/>
    <w:rsid w:val="00197552"/>
    <w:rsid w:val="001A11C9"/>
    <w:rsid w:val="001A2230"/>
    <w:rsid w:val="001A2939"/>
    <w:rsid w:val="001A33C3"/>
    <w:rsid w:val="001A34EC"/>
    <w:rsid w:val="001A3982"/>
    <w:rsid w:val="001A3B63"/>
    <w:rsid w:val="001A4960"/>
    <w:rsid w:val="001A4CC5"/>
    <w:rsid w:val="001B0B6F"/>
    <w:rsid w:val="001B1988"/>
    <w:rsid w:val="001B1A98"/>
    <w:rsid w:val="001B1C15"/>
    <w:rsid w:val="001B1E32"/>
    <w:rsid w:val="001B22E4"/>
    <w:rsid w:val="001B29C7"/>
    <w:rsid w:val="001B35CD"/>
    <w:rsid w:val="001B3713"/>
    <w:rsid w:val="001B393C"/>
    <w:rsid w:val="001B49FD"/>
    <w:rsid w:val="001B56D5"/>
    <w:rsid w:val="001B6A63"/>
    <w:rsid w:val="001B7EF5"/>
    <w:rsid w:val="001C034B"/>
    <w:rsid w:val="001C396D"/>
    <w:rsid w:val="001C444A"/>
    <w:rsid w:val="001C6185"/>
    <w:rsid w:val="001C6473"/>
    <w:rsid w:val="001C659A"/>
    <w:rsid w:val="001C66EC"/>
    <w:rsid w:val="001D1BE8"/>
    <w:rsid w:val="001D2D47"/>
    <w:rsid w:val="001D2F04"/>
    <w:rsid w:val="001D31BC"/>
    <w:rsid w:val="001D3EAC"/>
    <w:rsid w:val="001D5153"/>
    <w:rsid w:val="001D57A8"/>
    <w:rsid w:val="001E0274"/>
    <w:rsid w:val="001E16D3"/>
    <w:rsid w:val="001E338B"/>
    <w:rsid w:val="001E3996"/>
    <w:rsid w:val="001E5A90"/>
    <w:rsid w:val="001E6904"/>
    <w:rsid w:val="001E6C9B"/>
    <w:rsid w:val="001E704D"/>
    <w:rsid w:val="001E7CB3"/>
    <w:rsid w:val="001E7DB6"/>
    <w:rsid w:val="001F0058"/>
    <w:rsid w:val="001F0CE9"/>
    <w:rsid w:val="001F4220"/>
    <w:rsid w:val="001F4649"/>
    <w:rsid w:val="001F5E3B"/>
    <w:rsid w:val="0020256B"/>
    <w:rsid w:val="00202848"/>
    <w:rsid w:val="00205575"/>
    <w:rsid w:val="00205E6B"/>
    <w:rsid w:val="0020603D"/>
    <w:rsid w:val="00206860"/>
    <w:rsid w:val="00206882"/>
    <w:rsid w:val="0020701A"/>
    <w:rsid w:val="002074F8"/>
    <w:rsid w:val="002104AB"/>
    <w:rsid w:val="00211A39"/>
    <w:rsid w:val="00212892"/>
    <w:rsid w:val="00214846"/>
    <w:rsid w:val="002166DA"/>
    <w:rsid w:val="00217F7E"/>
    <w:rsid w:val="00220BA5"/>
    <w:rsid w:val="00221C74"/>
    <w:rsid w:val="00222D4E"/>
    <w:rsid w:val="002238F0"/>
    <w:rsid w:val="00223B31"/>
    <w:rsid w:val="00224893"/>
    <w:rsid w:val="002248D8"/>
    <w:rsid w:val="00225232"/>
    <w:rsid w:val="0023112B"/>
    <w:rsid w:val="00232FE9"/>
    <w:rsid w:val="00236E8E"/>
    <w:rsid w:val="002421B7"/>
    <w:rsid w:val="002457F3"/>
    <w:rsid w:val="00246EB7"/>
    <w:rsid w:val="00247186"/>
    <w:rsid w:val="00247DEC"/>
    <w:rsid w:val="0025056F"/>
    <w:rsid w:val="00250BED"/>
    <w:rsid w:val="00251C1F"/>
    <w:rsid w:val="0025202D"/>
    <w:rsid w:val="00252191"/>
    <w:rsid w:val="002528AC"/>
    <w:rsid w:val="002537AB"/>
    <w:rsid w:val="00256949"/>
    <w:rsid w:val="002574F0"/>
    <w:rsid w:val="00260F4B"/>
    <w:rsid w:val="00261874"/>
    <w:rsid w:val="00261968"/>
    <w:rsid w:val="00265C4A"/>
    <w:rsid w:val="00266146"/>
    <w:rsid w:val="0027107D"/>
    <w:rsid w:val="002718E8"/>
    <w:rsid w:val="002759AF"/>
    <w:rsid w:val="00275EEC"/>
    <w:rsid w:val="00276CAA"/>
    <w:rsid w:val="00276F0C"/>
    <w:rsid w:val="00277FD8"/>
    <w:rsid w:val="00277FE6"/>
    <w:rsid w:val="00280AAC"/>
    <w:rsid w:val="00280D92"/>
    <w:rsid w:val="002845C0"/>
    <w:rsid w:val="00287333"/>
    <w:rsid w:val="002874FB"/>
    <w:rsid w:val="00290544"/>
    <w:rsid w:val="00291246"/>
    <w:rsid w:val="00291306"/>
    <w:rsid w:val="00292126"/>
    <w:rsid w:val="002921CE"/>
    <w:rsid w:val="00295DDB"/>
    <w:rsid w:val="002A09BA"/>
    <w:rsid w:val="002A1061"/>
    <w:rsid w:val="002A2CCB"/>
    <w:rsid w:val="002A408E"/>
    <w:rsid w:val="002A532A"/>
    <w:rsid w:val="002A576C"/>
    <w:rsid w:val="002A6293"/>
    <w:rsid w:val="002A644A"/>
    <w:rsid w:val="002A6FC7"/>
    <w:rsid w:val="002A772E"/>
    <w:rsid w:val="002B1A6A"/>
    <w:rsid w:val="002B53AF"/>
    <w:rsid w:val="002B5E0C"/>
    <w:rsid w:val="002B6D70"/>
    <w:rsid w:val="002B7A55"/>
    <w:rsid w:val="002C0256"/>
    <w:rsid w:val="002C04EC"/>
    <w:rsid w:val="002C08D7"/>
    <w:rsid w:val="002C1375"/>
    <w:rsid w:val="002C17E4"/>
    <w:rsid w:val="002C46C4"/>
    <w:rsid w:val="002C4A90"/>
    <w:rsid w:val="002C506F"/>
    <w:rsid w:val="002C6A84"/>
    <w:rsid w:val="002C6DD3"/>
    <w:rsid w:val="002D0316"/>
    <w:rsid w:val="002D287A"/>
    <w:rsid w:val="002D2C24"/>
    <w:rsid w:val="002D38C7"/>
    <w:rsid w:val="002D3F37"/>
    <w:rsid w:val="002D5552"/>
    <w:rsid w:val="002D62CB"/>
    <w:rsid w:val="002D6994"/>
    <w:rsid w:val="002D69A5"/>
    <w:rsid w:val="002D74C0"/>
    <w:rsid w:val="002D7B93"/>
    <w:rsid w:val="002E0F16"/>
    <w:rsid w:val="002E0F7B"/>
    <w:rsid w:val="002E16E0"/>
    <w:rsid w:val="002E1D8E"/>
    <w:rsid w:val="002E21F3"/>
    <w:rsid w:val="002E5872"/>
    <w:rsid w:val="002E715C"/>
    <w:rsid w:val="002E733D"/>
    <w:rsid w:val="002F1C5B"/>
    <w:rsid w:val="002F32C0"/>
    <w:rsid w:val="002F3322"/>
    <w:rsid w:val="002F48C6"/>
    <w:rsid w:val="002F6C6E"/>
    <w:rsid w:val="00300A84"/>
    <w:rsid w:val="003033B3"/>
    <w:rsid w:val="00303A66"/>
    <w:rsid w:val="0030497B"/>
    <w:rsid w:val="0030654B"/>
    <w:rsid w:val="00307F37"/>
    <w:rsid w:val="00307FA2"/>
    <w:rsid w:val="00311CE2"/>
    <w:rsid w:val="003124E4"/>
    <w:rsid w:val="003135C1"/>
    <w:rsid w:val="0031379E"/>
    <w:rsid w:val="00313E7C"/>
    <w:rsid w:val="00315745"/>
    <w:rsid w:val="00315BFD"/>
    <w:rsid w:val="00315FCD"/>
    <w:rsid w:val="0031660D"/>
    <w:rsid w:val="00316C30"/>
    <w:rsid w:val="00316D1C"/>
    <w:rsid w:val="0032058C"/>
    <w:rsid w:val="00321A9E"/>
    <w:rsid w:val="00321DB2"/>
    <w:rsid w:val="00324FB9"/>
    <w:rsid w:val="003270FE"/>
    <w:rsid w:val="003274A3"/>
    <w:rsid w:val="00330ADE"/>
    <w:rsid w:val="00330B94"/>
    <w:rsid w:val="00331448"/>
    <w:rsid w:val="00331A57"/>
    <w:rsid w:val="0033475E"/>
    <w:rsid w:val="00335884"/>
    <w:rsid w:val="003359CD"/>
    <w:rsid w:val="003366A7"/>
    <w:rsid w:val="003405DD"/>
    <w:rsid w:val="003409D3"/>
    <w:rsid w:val="00340A12"/>
    <w:rsid w:val="00341F7E"/>
    <w:rsid w:val="00342692"/>
    <w:rsid w:val="00342A64"/>
    <w:rsid w:val="0034382F"/>
    <w:rsid w:val="00343A26"/>
    <w:rsid w:val="00343B43"/>
    <w:rsid w:val="00344810"/>
    <w:rsid w:val="00345192"/>
    <w:rsid w:val="00345272"/>
    <w:rsid w:val="00345516"/>
    <w:rsid w:val="00345DC6"/>
    <w:rsid w:val="003509BE"/>
    <w:rsid w:val="003515F7"/>
    <w:rsid w:val="0035241A"/>
    <w:rsid w:val="0035266C"/>
    <w:rsid w:val="00353C3E"/>
    <w:rsid w:val="00353E1A"/>
    <w:rsid w:val="00354387"/>
    <w:rsid w:val="00355533"/>
    <w:rsid w:val="00355E5F"/>
    <w:rsid w:val="00360F10"/>
    <w:rsid w:val="00361041"/>
    <w:rsid w:val="00362081"/>
    <w:rsid w:val="00365CAF"/>
    <w:rsid w:val="00366512"/>
    <w:rsid w:val="00366E10"/>
    <w:rsid w:val="00370E57"/>
    <w:rsid w:val="00372CA1"/>
    <w:rsid w:val="003747C9"/>
    <w:rsid w:val="00375141"/>
    <w:rsid w:val="003764D0"/>
    <w:rsid w:val="00376648"/>
    <w:rsid w:val="003766E4"/>
    <w:rsid w:val="00376D7F"/>
    <w:rsid w:val="00377062"/>
    <w:rsid w:val="00377DA5"/>
    <w:rsid w:val="00380F31"/>
    <w:rsid w:val="00382F58"/>
    <w:rsid w:val="003851D6"/>
    <w:rsid w:val="00385226"/>
    <w:rsid w:val="00385790"/>
    <w:rsid w:val="00386A06"/>
    <w:rsid w:val="003871ED"/>
    <w:rsid w:val="003872B3"/>
    <w:rsid w:val="0038799A"/>
    <w:rsid w:val="003909C0"/>
    <w:rsid w:val="00391D95"/>
    <w:rsid w:val="00392778"/>
    <w:rsid w:val="00393C32"/>
    <w:rsid w:val="003956B2"/>
    <w:rsid w:val="00396DC5"/>
    <w:rsid w:val="0039747F"/>
    <w:rsid w:val="003A0EBE"/>
    <w:rsid w:val="003A19C2"/>
    <w:rsid w:val="003A3162"/>
    <w:rsid w:val="003A31E9"/>
    <w:rsid w:val="003A3EE1"/>
    <w:rsid w:val="003A6021"/>
    <w:rsid w:val="003A64EC"/>
    <w:rsid w:val="003B0753"/>
    <w:rsid w:val="003B12BF"/>
    <w:rsid w:val="003B35D6"/>
    <w:rsid w:val="003B3EED"/>
    <w:rsid w:val="003B53C1"/>
    <w:rsid w:val="003B60DB"/>
    <w:rsid w:val="003B6113"/>
    <w:rsid w:val="003B7FB1"/>
    <w:rsid w:val="003C1D55"/>
    <w:rsid w:val="003C3142"/>
    <w:rsid w:val="003C3D5C"/>
    <w:rsid w:val="003C4EA2"/>
    <w:rsid w:val="003C6777"/>
    <w:rsid w:val="003C790E"/>
    <w:rsid w:val="003C7BC1"/>
    <w:rsid w:val="003D1C11"/>
    <w:rsid w:val="003D21FD"/>
    <w:rsid w:val="003D3EF2"/>
    <w:rsid w:val="003D6750"/>
    <w:rsid w:val="003D6D15"/>
    <w:rsid w:val="003D7BAC"/>
    <w:rsid w:val="003E0545"/>
    <w:rsid w:val="003E1695"/>
    <w:rsid w:val="003E200E"/>
    <w:rsid w:val="003E22AE"/>
    <w:rsid w:val="003E2E3E"/>
    <w:rsid w:val="003E3CC2"/>
    <w:rsid w:val="003E4AB9"/>
    <w:rsid w:val="003E64FB"/>
    <w:rsid w:val="003E68C8"/>
    <w:rsid w:val="003E6E1B"/>
    <w:rsid w:val="003E71FF"/>
    <w:rsid w:val="003E7432"/>
    <w:rsid w:val="003E7652"/>
    <w:rsid w:val="003E7F57"/>
    <w:rsid w:val="003F04FD"/>
    <w:rsid w:val="003F5A8A"/>
    <w:rsid w:val="003F5C88"/>
    <w:rsid w:val="003F6ECB"/>
    <w:rsid w:val="004006F0"/>
    <w:rsid w:val="00401C8D"/>
    <w:rsid w:val="004033F0"/>
    <w:rsid w:val="0040371C"/>
    <w:rsid w:val="004049D9"/>
    <w:rsid w:val="004055C8"/>
    <w:rsid w:val="00405E77"/>
    <w:rsid w:val="0040657A"/>
    <w:rsid w:val="00406906"/>
    <w:rsid w:val="0040690B"/>
    <w:rsid w:val="0041020B"/>
    <w:rsid w:val="004109F1"/>
    <w:rsid w:val="004111FA"/>
    <w:rsid w:val="00411809"/>
    <w:rsid w:val="004118B2"/>
    <w:rsid w:val="00414DFE"/>
    <w:rsid w:val="004175A1"/>
    <w:rsid w:val="00420C75"/>
    <w:rsid w:val="00420E07"/>
    <w:rsid w:val="004210DF"/>
    <w:rsid w:val="00421788"/>
    <w:rsid w:val="004235C6"/>
    <w:rsid w:val="00425BBB"/>
    <w:rsid w:val="00426BC7"/>
    <w:rsid w:val="00426D2C"/>
    <w:rsid w:val="004270CB"/>
    <w:rsid w:val="00430544"/>
    <w:rsid w:val="00430C05"/>
    <w:rsid w:val="00430D91"/>
    <w:rsid w:val="004310A5"/>
    <w:rsid w:val="004315BC"/>
    <w:rsid w:val="004316E0"/>
    <w:rsid w:val="00431A41"/>
    <w:rsid w:val="00434C34"/>
    <w:rsid w:val="00435F3B"/>
    <w:rsid w:val="00436577"/>
    <w:rsid w:val="00440B26"/>
    <w:rsid w:val="00440FCE"/>
    <w:rsid w:val="00441990"/>
    <w:rsid w:val="00441DF8"/>
    <w:rsid w:val="00441FB1"/>
    <w:rsid w:val="0044237A"/>
    <w:rsid w:val="00442C1C"/>
    <w:rsid w:val="00444EB3"/>
    <w:rsid w:val="0044608D"/>
    <w:rsid w:val="004462F6"/>
    <w:rsid w:val="00447F50"/>
    <w:rsid w:val="00451BC3"/>
    <w:rsid w:val="00451C52"/>
    <w:rsid w:val="00451DB1"/>
    <w:rsid w:val="00452BAB"/>
    <w:rsid w:val="004548B2"/>
    <w:rsid w:val="00454903"/>
    <w:rsid w:val="0045543C"/>
    <w:rsid w:val="0045569A"/>
    <w:rsid w:val="00456934"/>
    <w:rsid w:val="004602B4"/>
    <w:rsid w:val="0046043F"/>
    <w:rsid w:val="004604E6"/>
    <w:rsid w:val="004615CB"/>
    <w:rsid w:val="004634F8"/>
    <w:rsid w:val="00463D82"/>
    <w:rsid w:val="00464173"/>
    <w:rsid w:val="00465C3E"/>
    <w:rsid w:val="004668B5"/>
    <w:rsid w:val="004700FB"/>
    <w:rsid w:val="004701AF"/>
    <w:rsid w:val="00472606"/>
    <w:rsid w:val="0047335D"/>
    <w:rsid w:val="004734A5"/>
    <w:rsid w:val="004735D8"/>
    <w:rsid w:val="0047385C"/>
    <w:rsid w:val="00473BFF"/>
    <w:rsid w:val="004740EE"/>
    <w:rsid w:val="00474693"/>
    <w:rsid w:val="00480914"/>
    <w:rsid w:val="00481455"/>
    <w:rsid w:val="004817BE"/>
    <w:rsid w:val="004845AD"/>
    <w:rsid w:val="00484994"/>
    <w:rsid w:val="004862DE"/>
    <w:rsid w:val="004870C8"/>
    <w:rsid w:val="00487894"/>
    <w:rsid w:val="00487E42"/>
    <w:rsid w:val="004904B3"/>
    <w:rsid w:val="00490C02"/>
    <w:rsid w:val="0049164D"/>
    <w:rsid w:val="0049207C"/>
    <w:rsid w:val="00492387"/>
    <w:rsid w:val="00493321"/>
    <w:rsid w:val="004933CB"/>
    <w:rsid w:val="00493DBA"/>
    <w:rsid w:val="00494059"/>
    <w:rsid w:val="004949D3"/>
    <w:rsid w:val="00494C02"/>
    <w:rsid w:val="00495590"/>
    <w:rsid w:val="0049686C"/>
    <w:rsid w:val="004A1BA3"/>
    <w:rsid w:val="004A295C"/>
    <w:rsid w:val="004A33C6"/>
    <w:rsid w:val="004A3588"/>
    <w:rsid w:val="004A4C0F"/>
    <w:rsid w:val="004A4E48"/>
    <w:rsid w:val="004A55CA"/>
    <w:rsid w:val="004A56BA"/>
    <w:rsid w:val="004A6537"/>
    <w:rsid w:val="004A658B"/>
    <w:rsid w:val="004A689C"/>
    <w:rsid w:val="004A6AD3"/>
    <w:rsid w:val="004A6E8E"/>
    <w:rsid w:val="004A7211"/>
    <w:rsid w:val="004A7A0E"/>
    <w:rsid w:val="004A7DC2"/>
    <w:rsid w:val="004B0850"/>
    <w:rsid w:val="004B19A8"/>
    <w:rsid w:val="004B1FD5"/>
    <w:rsid w:val="004B26F3"/>
    <w:rsid w:val="004B2F6B"/>
    <w:rsid w:val="004B34BD"/>
    <w:rsid w:val="004B3873"/>
    <w:rsid w:val="004B3E58"/>
    <w:rsid w:val="004B560C"/>
    <w:rsid w:val="004B73A4"/>
    <w:rsid w:val="004C23B8"/>
    <w:rsid w:val="004C3033"/>
    <w:rsid w:val="004C3760"/>
    <w:rsid w:val="004C43E9"/>
    <w:rsid w:val="004C4C6B"/>
    <w:rsid w:val="004C4F4E"/>
    <w:rsid w:val="004C5457"/>
    <w:rsid w:val="004C5CDD"/>
    <w:rsid w:val="004D14A2"/>
    <w:rsid w:val="004D1886"/>
    <w:rsid w:val="004D3DB1"/>
    <w:rsid w:val="004D7F1E"/>
    <w:rsid w:val="004E09C2"/>
    <w:rsid w:val="004E1566"/>
    <w:rsid w:val="004E1BAE"/>
    <w:rsid w:val="004E1F81"/>
    <w:rsid w:val="004E23D9"/>
    <w:rsid w:val="004E3943"/>
    <w:rsid w:val="004E3BCB"/>
    <w:rsid w:val="004E49A9"/>
    <w:rsid w:val="004E5AF3"/>
    <w:rsid w:val="004E6898"/>
    <w:rsid w:val="004E74D8"/>
    <w:rsid w:val="004E7820"/>
    <w:rsid w:val="004E7CC7"/>
    <w:rsid w:val="004F159E"/>
    <w:rsid w:val="004F2203"/>
    <w:rsid w:val="004F2232"/>
    <w:rsid w:val="004F46F7"/>
    <w:rsid w:val="004F5128"/>
    <w:rsid w:val="004F54E1"/>
    <w:rsid w:val="004F6383"/>
    <w:rsid w:val="004F65EA"/>
    <w:rsid w:val="00501E74"/>
    <w:rsid w:val="005022FC"/>
    <w:rsid w:val="005048FA"/>
    <w:rsid w:val="005060A8"/>
    <w:rsid w:val="00506BAB"/>
    <w:rsid w:val="00507059"/>
    <w:rsid w:val="00507B9D"/>
    <w:rsid w:val="00510059"/>
    <w:rsid w:val="005113EF"/>
    <w:rsid w:val="00511DD8"/>
    <w:rsid w:val="00512D1A"/>
    <w:rsid w:val="005138D5"/>
    <w:rsid w:val="00513A9A"/>
    <w:rsid w:val="00513ECE"/>
    <w:rsid w:val="0051596E"/>
    <w:rsid w:val="00515CD3"/>
    <w:rsid w:val="00516038"/>
    <w:rsid w:val="00517ABE"/>
    <w:rsid w:val="00520725"/>
    <w:rsid w:val="00521D9D"/>
    <w:rsid w:val="00522976"/>
    <w:rsid w:val="0052309B"/>
    <w:rsid w:val="005235AE"/>
    <w:rsid w:val="00523FAD"/>
    <w:rsid w:val="005247F3"/>
    <w:rsid w:val="00526A2E"/>
    <w:rsid w:val="00526D35"/>
    <w:rsid w:val="0052778C"/>
    <w:rsid w:val="00532462"/>
    <w:rsid w:val="00532616"/>
    <w:rsid w:val="0053357D"/>
    <w:rsid w:val="0053369C"/>
    <w:rsid w:val="00534A25"/>
    <w:rsid w:val="00535003"/>
    <w:rsid w:val="00535804"/>
    <w:rsid w:val="00542CB6"/>
    <w:rsid w:val="00543147"/>
    <w:rsid w:val="00544D5A"/>
    <w:rsid w:val="00546FB4"/>
    <w:rsid w:val="005503F5"/>
    <w:rsid w:val="00551BEA"/>
    <w:rsid w:val="0055356A"/>
    <w:rsid w:val="00556D57"/>
    <w:rsid w:val="00557DB6"/>
    <w:rsid w:val="005600DB"/>
    <w:rsid w:val="00560CFB"/>
    <w:rsid w:val="00561308"/>
    <w:rsid w:val="005614B9"/>
    <w:rsid w:val="00562002"/>
    <w:rsid w:val="0056257B"/>
    <w:rsid w:val="0056272C"/>
    <w:rsid w:val="005634EE"/>
    <w:rsid w:val="00563C60"/>
    <w:rsid w:val="00566861"/>
    <w:rsid w:val="0056728C"/>
    <w:rsid w:val="0056735D"/>
    <w:rsid w:val="00571668"/>
    <w:rsid w:val="00571F90"/>
    <w:rsid w:val="00572492"/>
    <w:rsid w:val="00572C5F"/>
    <w:rsid w:val="00573C21"/>
    <w:rsid w:val="00574C89"/>
    <w:rsid w:val="00575F5E"/>
    <w:rsid w:val="00576D62"/>
    <w:rsid w:val="005770C9"/>
    <w:rsid w:val="00580083"/>
    <w:rsid w:val="00580C74"/>
    <w:rsid w:val="00580E6C"/>
    <w:rsid w:val="00582817"/>
    <w:rsid w:val="00583449"/>
    <w:rsid w:val="00583FE6"/>
    <w:rsid w:val="00584BDD"/>
    <w:rsid w:val="00584EBA"/>
    <w:rsid w:val="00585E97"/>
    <w:rsid w:val="005868BC"/>
    <w:rsid w:val="00586F06"/>
    <w:rsid w:val="005870BE"/>
    <w:rsid w:val="00587DBF"/>
    <w:rsid w:val="0059004F"/>
    <w:rsid w:val="00590177"/>
    <w:rsid w:val="00590870"/>
    <w:rsid w:val="00591669"/>
    <w:rsid w:val="00592424"/>
    <w:rsid w:val="00593032"/>
    <w:rsid w:val="00595820"/>
    <w:rsid w:val="00595DA8"/>
    <w:rsid w:val="00596B2E"/>
    <w:rsid w:val="00597112"/>
    <w:rsid w:val="00597496"/>
    <w:rsid w:val="005A00DA"/>
    <w:rsid w:val="005A2C69"/>
    <w:rsid w:val="005A3428"/>
    <w:rsid w:val="005A3B13"/>
    <w:rsid w:val="005A40F5"/>
    <w:rsid w:val="005A48E1"/>
    <w:rsid w:val="005A4AD7"/>
    <w:rsid w:val="005A769D"/>
    <w:rsid w:val="005B007C"/>
    <w:rsid w:val="005B0415"/>
    <w:rsid w:val="005B0F35"/>
    <w:rsid w:val="005B1D01"/>
    <w:rsid w:val="005B79E6"/>
    <w:rsid w:val="005C0124"/>
    <w:rsid w:val="005C0DA5"/>
    <w:rsid w:val="005C1183"/>
    <w:rsid w:val="005C1D41"/>
    <w:rsid w:val="005C28FC"/>
    <w:rsid w:val="005C3A5E"/>
    <w:rsid w:val="005C3B23"/>
    <w:rsid w:val="005C566A"/>
    <w:rsid w:val="005D1566"/>
    <w:rsid w:val="005D3821"/>
    <w:rsid w:val="005D50A4"/>
    <w:rsid w:val="005D5197"/>
    <w:rsid w:val="005D67D9"/>
    <w:rsid w:val="005D71C5"/>
    <w:rsid w:val="005E1388"/>
    <w:rsid w:val="005E4EA6"/>
    <w:rsid w:val="005E4F36"/>
    <w:rsid w:val="005F0BA4"/>
    <w:rsid w:val="005F13BF"/>
    <w:rsid w:val="005F1CD6"/>
    <w:rsid w:val="005F258B"/>
    <w:rsid w:val="005F26EA"/>
    <w:rsid w:val="005F29C7"/>
    <w:rsid w:val="005F351A"/>
    <w:rsid w:val="005F3DEE"/>
    <w:rsid w:val="005F4C6A"/>
    <w:rsid w:val="005F68AE"/>
    <w:rsid w:val="005F6B93"/>
    <w:rsid w:val="005F73F6"/>
    <w:rsid w:val="005F7963"/>
    <w:rsid w:val="005F7BCD"/>
    <w:rsid w:val="0060124D"/>
    <w:rsid w:val="006102F8"/>
    <w:rsid w:val="00611FCB"/>
    <w:rsid w:val="00611FD8"/>
    <w:rsid w:val="006139F5"/>
    <w:rsid w:val="00613B2E"/>
    <w:rsid w:val="00614D0E"/>
    <w:rsid w:val="0061523C"/>
    <w:rsid w:val="00616730"/>
    <w:rsid w:val="0061704E"/>
    <w:rsid w:val="0062048C"/>
    <w:rsid w:val="0062088A"/>
    <w:rsid w:val="00622D94"/>
    <w:rsid w:val="00624379"/>
    <w:rsid w:val="00624AA9"/>
    <w:rsid w:val="006252CC"/>
    <w:rsid w:val="006256C6"/>
    <w:rsid w:val="006278AF"/>
    <w:rsid w:val="00630610"/>
    <w:rsid w:val="00630EEC"/>
    <w:rsid w:val="00631CD6"/>
    <w:rsid w:val="00633E0A"/>
    <w:rsid w:val="006341CF"/>
    <w:rsid w:val="00634280"/>
    <w:rsid w:val="006355A9"/>
    <w:rsid w:val="006367A6"/>
    <w:rsid w:val="00636E64"/>
    <w:rsid w:val="00640082"/>
    <w:rsid w:val="006423D2"/>
    <w:rsid w:val="006433B3"/>
    <w:rsid w:val="00643979"/>
    <w:rsid w:val="00644008"/>
    <w:rsid w:val="0064482A"/>
    <w:rsid w:val="00644FDE"/>
    <w:rsid w:val="00645FB7"/>
    <w:rsid w:val="00646324"/>
    <w:rsid w:val="00646878"/>
    <w:rsid w:val="00646C63"/>
    <w:rsid w:val="006472D7"/>
    <w:rsid w:val="00650C16"/>
    <w:rsid w:val="00650EA2"/>
    <w:rsid w:val="00650FDA"/>
    <w:rsid w:val="00651F8A"/>
    <w:rsid w:val="00652F2E"/>
    <w:rsid w:val="00653AC8"/>
    <w:rsid w:val="00654DEF"/>
    <w:rsid w:val="006558A6"/>
    <w:rsid w:val="00655DFF"/>
    <w:rsid w:val="00656886"/>
    <w:rsid w:val="006571A1"/>
    <w:rsid w:val="0066014E"/>
    <w:rsid w:val="00664236"/>
    <w:rsid w:val="00664478"/>
    <w:rsid w:val="00664D44"/>
    <w:rsid w:val="00664DFA"/>
    <w:rsid w:val="006654A4"/>
    <w:rsid w:val="00666BEB"/>
    <w:rsid w:val="00666C38"/>
    <w:rsid w:val="00667AA7"/>
    <w:rsid w:val="00667C32"/>
    <w:rsid w:val="006719A2"/>
    <w:rsid w:val="00674537"/>
    <w:rsid w:val="00676073"/>
    <w:rsid w:val="00677C5D"/>
    <w:rsid w:val="0068135A"/>
    <w:rsid w:val="00681BA1"/>
    <w:rsid w:val="00681FA9"/>
    <w:rsid w:val="006821C2"/>
    <w:rsid w:val="006827C7"/>
    <w:rsid w:val="00683674"/>
    <w:rsid w:val="00683F55"/>
    <w:rsid w:val="006871DF"/>
    <w:rsid w:val="00690291"/>
    <w:rsid w:val="00690A17"/>
    <w:rsid w:val="00691795"/>
    <w:rsid w:val="00691929"/>
    <w:rsid w:val="0069210B"/>
    <w:rsid w:val="0069247B"/>
    <w:rsid w:val="00692C66"/>
    <w:rsid w:val="00693B12"/>
    <w:rsid w:val="00694573"/>
    <w:rsid w:val="0069472A"/>
    <w:rsid w:val="00694B11"/>
    <w:rsid w:val="006954E9"/>
    <w:rsid w:val="006958AD"/>
    <w:rsid w:val="00695FD3"/>
    <w:rsid w:val="006961B1"/>
    <w:rsid w:val="00697052"/>
    <w:rsid w:val="006974AE"/>
    <w:rsid w:val="006A00DF"/>
    <w:rsid w:val="006A0FE2"/>
    <w:rsid w:val="006A113E"/>
    <w:rsid w:val="006A12F6"/>
    <w:rsid w:val="006A218B"/>
    <w:rsid w:val="006A252A"/>
    <w:rsid w:val="006A2A01"/>
    <w:rsid w:val="006A2A6C"/>
    <w:rsid w:val="006A38E5"/>
    <w:rsid w:val="006A4841"/>
    <w:rsid w:val="006A571F"/>
    <w:rsid w:val="006B0ED6"/>
    <w:rsid w:val="006B229C"/>
    <w:rsid w:val="006B2C79"/>
    <w:rsid w:val="006B3DE7"/>
    <w:rsid w:val="006B488D"/>
    <w:rsid w:val="006B5496"/>
    <w:rsid w:val="006B54FD"/>
    <w:rsid w:val="006B6E71"/>
    <w:rsid w:val="006C02AC"/>
    <w:rsid w:val="006C064D"/>
    <w:rsid w:val="006C2855"/>
    <w:rsid w:val="006C32EE"/>
    <w:rsid w:val="006C3917"/>
    <w:rsid w:val="006C53A9"/>
    <w:rsid w:val="006C55A5"/>
    <w:rsid w:val="006C5C9F"/>
    <w:rsid w:val="006C67A2"/>
    <w:rsid w:val="006C6CD7"/>
    <w:rsid w:val="006C7409"/>
    <w:rsid w:val="006D12C6"/>
    <w:rsid w:val="006D183D"/>
    <w:rsid w:val="006D29E1"/>
    <w:rsid w:val="006D2DD9"/>
    <w:rsid w:val="006D5F63"/>
    <w:rsid w:val="006D6031"/>
    <w:rsid w:val="006D6BA2"/>
    <w:rsid w:val="006E08E9"/>
    <w:rsid w:val="006E0C7F"/>
    <w:rsid w:val="006E1613"/>
    <w:rsid w:val="006E1999"/>
    <w:rsid w:val="006E27CF"/>
    <w:rsid w:val="006E58AB"/>
    <w:rsid w:val="006E62E0"/>
    <w:rsid w:val="006E6C61"/>
    <w:rsid w:val="006E72D5"/>
    <w:rsid w:val="006E7B55"/>
    <w:rsid w:val="006F050A"/>
    <w:rsid w:val="006F0560"/>
    <w:rsid w:val="006F1E22"/>
    <w:rsid w:val="006F2044"/>
    <w:rsid w:val="006F26AE"/>
    <w:rsid w:val="006F5C8E"/>
    <w:rsid w:val="006F6242"/>
    <w:rsid w:val="006F6CCF"/>
    <w:rsid w:val="006F79B9"/>
    <w:rsid w:val="006F79F4"/>
    <w:rsid w:val="006F7B4D"/>
    <w:rsid w:val="00700FDF"/>
    <w:rsid w:val="00701051"/>
    <w:rsid w:val="00703631"/>
    <w:rsid w:val="007054E7"/>
    <w:rsid w:val="007071CB"/>
    <w:rsid w:val="007079E8"/>
    <w:rsid w:val="00711AF4"/>
    <w:rsid w:val="00712B0C"/>
    <w:rsid w:val="00713DFE"/>
    <w:rsid w:val="00714A7C"/>
    <w:rsid w:val="00716558"/>
    <w:rsid w:val="007168B5"/>
    <w:rsid w:val="0072005B"/>
    <w:rsid w:val="0072010D"/>
    <w:rsid w:val="0072192D"/>
    <w:rsid w:val="00721DB2"/>
    <w:rsid w:val="0072235E"/>
    <w:rsid w:val="0072438E"/>
    <w:rsid w:val="00724F5B"/>
    <w:rsid w:val="00725CFC"/>
    <w:rsid w:val="00726266"/>
    <w:rsid w:val="00726389"/>
    <w:rsid w:val="00726DAF"/>
    <w:rsid w:val="00730F4A"/>
    <w:rsid w:val="007331EF"/>
    <w:rsid w:val="00736E54"/>
    <w:rsid w:val="007373CF"/>
    <w:rsid w:val="0074072D"/>
    <w:rsid w:val="0074167C"/>
    <w:rsid w:val="00743873"/>
    <w:rsid w:val="007446FB"/>
    <w:rsid w:val="007453FE"/>
    <w:rsid w:val="00746077"/>
    <w:rsid w:val="0074694A"/>
    <w:rsid w:val="00750164"/>
    <w:rsid w:val="00750318"/>
    <w:rsid w:val="00750A42"/>
    <w:rsid w:val="007526B2"/>
    <w:rsid w:val="00752D9A"/>
    <w:rsid w:val="00753C15"/>
    <w:rsid w:val="0075489B"/>
    <w:rsid w:val="007566D6"/>
    <w:rsid w:val="00757842"/>
    <w:rsid w:val="0076068C"/>
    <w:rsid w:val="00760B3A"/>
    <w:rsid w:val="00761D0C"/>
    <w:rsid w:val="00762385"/>
    <w:rsid w:val="0076346D"/>
    <w:rsid w:val="00763966"/>
    <w:rsid w:val="00764A36"/>
    <w:rsid w:val="00765B4B"/>
    <w:rsid w:val="00765F11"/>
    <w:rsid w:val="00766229"/>
    <w:rsid w:val="00766405"/>
    <w:rsid w:val="00771778"/>
    <w:rsid w:val="00772095"/>
    <w:rsid w:val="0077225A"/>
    <w:rsid w:val="00772523"/>
    <w:rsid w:val="00773658"/>
    <w:rsid w:val="00773B5A"/>
    <w:rsid w:val="00775939"/>
    <w:rsid w:val="007768DD"/>
    <w:rsid w:val="00777448"/>
    <w:rsid w:val="0078052F"/>
    <w:rsid w:val="00780946"/>
    <w:rsid w:val="00781A1C"/>
    <w:rsid w:val="00782ABD"/>
    <w:rsid w:val="00783035"/>
    <w:rsid w:val="00787D98"/>
    <w:rsid w:val="00791BC6"/>
    <w:rsid w:val="00791DCF"/>
    <w:rsid w:val="0079255B"/>
    <w:rsid w:val="007925DC"/>
    <w:rsid w:val="007932AF"/>
    <w:rsid w:val="00793793"/>
    <w:rsid w:val="007941AB"/>
    <w:rsid w:val="00794319"/>
    <w:rsid w:val="0079463E"/>
    <w:rsid w:val="007946A2"/>
    <w:rsid w:val="00797B09"/>
    <w:rsid w:val="007A04AC"/>
    <w:rsid w:val="007A0859"/>
    <w:rsid w:val="007A3D69"/>
    <w:rsid w:val="007A496C"/>
    <w:rsid w:val="007A4A85"/>
    <w:rsid w:val="007A5670"/>
    <w:rsid w:val="007A5888"/>
    <w:rsid w:val="007A5D99"/>
    <w:rsid w:val="007B043B"/>
    <w:rsid w:val="007B0455"/>
    <w:rsid w:val="007B0796"/>
    <w:rsid w:val="007B1D69"/>
    <w:rsid w:val="007B1E31"/>
    <w:rsid w:val="007B29AF"/>
    <w:rsid w:val="007B42EF"/>
    <w:rsid w:val="007B468C"/>
    <w:rsid w:val="007B565F"/>
    <w:rsid w:val="007B7297"/>
    <w:rsid w:val="007C09BC"/>
    <w:rsid w:val="007C2498"/>
    <w:rsid w:val="007C38D7"/>
    <w:rsid w:val="007C38E8"/>
    <w:rsid w:val="007C3B79"/>
    <w:rsid w:val="007C4468"/>
    <w:rsid w:val="007C45BD"/>
    <w:rsid w:val="007C4884"/>
    <w:rsid w:val="007C53BF"/>
    <w:rsid w:val="007C567F"/>
    <w:rsid w:val="007C64B4"/>
    <w:rsid w:val="007C78BA"/>
    <w:rsid w:val="007D0C56"/>
    <w:rsid w:val="007D1157"/>
    <w:rsid w:val="007D19F0"/>
    <w:rsid w:val="007D28AE"/>
    <w:rsid w:val="007D3F9B"/>
    <w:rsid w:val="007D4863"/>
    <w:rsid w:val="007D4FB5"/>
    <w:rsid w:val="007D559F"/>
    <w:rsid w:val="007D669A"/>
    <w:rsid w:val="007D67A0"/>
    <w:rsid w:val="007D7DDA"/>
    <w:rsid w:val="007E0874"/>
    <w:rsid w:val="007E0B3E"/>
    <w:rsid w:val="007E10AD"/>
    <w:rsid w:val="007E11DA"/>
    <w:rsid w:val="007E208C"/>
    <w:rsid w:val="007E2360"/>
    <w:rsid w:val="007E263F"/>
    <w:rsid w:val="007E2A39"/>
    <w:rsid w:val="007E2B97"/>
    <w:rsid w:val="007E50D8"/>
    <w:rsid w:val="007E6C16"/>
    <w:rsid w:val="007E708F"/>
    <w:rsid w:val="007F416F"/>
    <w:rsid w:val="007F4A5B"/>
    <w:rsid w:val="007F4ADD"/>
    <w:rsid w:val="007F6425"/>
    <w:rsid w:val="007F7112"/>
    <w:rsid w:val="00803F9F"/>
    <w:rsid w:val="008049A7"/>
    <w:rsid w:val="00804DDD"/>
    <w:rsid w:val="00804E85"/>
    <w:rsid w:val="008057E4"/>
    <w:rsid w:val="008125C0"/>
    <w:rsid w:val="00814279"/>
    <w:rsid w:val="0081626E"/>
    <w:rsid w:val="008164FF"/>
    <w:rsid w:val="00816F1C"/>
    <w:rsid w:val="008176D9"/>
    <w:rsid w:val="00817A0E"/>
    <w:rsid w:val="00817C0E"/>
    <w:rsid w:val="00820C07"/>
    <w:rsid w:val="0082201B"/>
    <w:rsid w:val="008227B8"/>
    <w:rsid w:val="00822F24"/>
    <w:rsid w:val="008241B6"/>
    <w:rsid w:val="00825411"/>
    <w:rsid w:val="00825F58"/>
    <w:rsid w:val="00826A95"/>
    <w:rsid w:val="008274CB"/>
    <w:rsid w:val="00827A5C"/>
    <w:rsid w:val="00830731"/>
    <w:rsid w:val="00830D5D"/>
    <w:rsid w:val="0083267B"/>
    <w:rsid w:val="00834718"/>
    <w:rsid w:val="00834C3A"/>
    <w:rsid w:val="00837659"/>
    <w:rsid w:val="00840754"/>
    <w:rsid w:val="00841372"/>
    <w:rsid w:val="00843F43"/>
    <w:rsid w:val="00844F30"/>
    <w:rsid w:val="008459C0"/>
    <w:rsid w:val="00847F96"/>
    <w:rsid w:val="00850EEF"/>
    <w:rsid w:val="0085182A"/>
    <w:rsid w:val="00852FF1"/>
    <w:rsid w:val="00854661"/>
    <w:rsid w:val="00856458"/>
    <w:rsid w:val="0085718A"/>
    <w:rsid w:val="008604A4"/>
    <w:rsid w:val="0086084F"/>
    <w:rsid w:val="00862369"/>
    <w:rsid w:val="008634EA"/>
    <w:rsid w:val="00865481"/>
    <w:rsid w:val="00865CDE"/>
    <w:rsid w:val="00865F68"/>
    <w:rsid w:val="00870DEA"/>
    <w:rsid w:val="008722D7"/>
    <w:rsid w:val="008723E4"/>
    <w:rsid w:val="00872FDA"/>
    <w:rsid w:val="00873BA7"/>
    <w:rsid w:val="00874D2B"/>
    <w:rsid w:val="00875488"/>
    <w:rsid w:val="00876074"/>
    <w:rsid w:val="008804D4"/>
    <w:rsid w:val="00881667"/>
    <w:rsid w:val="00881E6B"/>
    <w:rsid w:val="00882E21"/>
    <w:rsid w:val="0088360D"/>
    <w:rsid w:val="008840B3"/>
    <w:rsid w:val="008843C5"/>
    <w:rsid w:val="00885CCA"/>
    <w:rsid w:val="00887118"/>
    <w:rsid w:val="00887D22"/>
    <w:rsid w:val="00890543"/>
    <w:rsid w:val="0089065F"/>
    <w:rsid w:val="00890DAF"/>
    <w:rsid w:val="008917A3"/>
    <w:rsid w:val="00892181"/>
    <w:rsid w:val="0089324F"/>
    <w:rsid w:val="0089505A"/>
    <w:rsid w:val="0089579A"/>
    <w:rsid w:val="00895875"/>
    <w:rsid w:val="00897B48"/>
    <w:rsid w:val="008A0895"/>
    <w:rsid w:val="008A0A14"/>
    <w:rsid w:val="008A1BA9"/>
    <w:rsid w:val="008A23D1"/>
    <w:rsid w:val="008A357C"/>
    <w:rsid w:val="008A5472"/>
    <w:rsid w:val="008A552D"/>
    <w:rsid w:val="008A5656"/>
    <w:rsid w:val="008A75B6"/>
    <w:rsid w:val="008A771B"/>
    <w:rsid w:val="008A7D0D"/>
    <w:rsid w:val="008A7FFA"/>
    <w:rsid w:val="008B0C7B"/>
    <w:rsid w:val="008B1D00"/>
    <w:rsid w:val="008B1F4D"/>
    <w:rsid w:val="008B212E"/>
    <w:rsid w:val="008B2598"/>
    <w:rsid w:val="008B4F5C"/>
    <w:rsid w:val="008B50C2"/>
    <w:rsid w:val="008B5628"/>
    <w:rsid w:val="008B59B9"/>
    <w:rsid w:val="008B6540"/>
    <w:rsid w:val="008B6F4E"/>
    <w:rsid w:val="008B72E4"/>
    <w:rsid w:val="008C19A6"/>
    <w:rsid w:val="008C23CE"/>
    <w:rsid w:val="008C3785"/>
    <w:rsid w:val="008C6365"/>
    <w:rsid w:val="008C6E82"/>
    <w:rsid w:val="008C7CED"/>
    <w:rsid w:val="008D006B"/>
    <w:rsid w:val="008D0700"/>
    <w:rsid w:val="008D1442"/>
    <w:rsid w:val="008D3351"/>
    <w:rsid w:val="008D4FFD"/>
    <w:rsid w:val="008D5348"/>
    <w:rsid w:val="008D5B4A"/>
    <w:rsid w:val="008D6E72"/>
    <w:rsid w:val="008D78B6"/>
    <w:rsid w:val="008D78E4"/>
    <w:rsid w:val="008E134B"/>
    <w:rsid w:val="008E1F75"/>
    <w:rsid w:val="008E21D0"/>
    <w:rsid w:val="008E21D5"/>
    <w:rsid w:val="008E2449"/>
    <w:rsid w:val="008E4237"/>
    <w:rsid w:val="008E45F8"/>
    <w:rsid w:val="008E4E82"/>
    <w:rsid w:val="008E5B4A"/>
    <w:rsid w:val="008E7A26"/>
    <w:rsid w:val="008F1B05"/>
    <w:rsid w:val="008F1E08"/>
    <w:rsid w:val="008F24B5"/>
    <w:rsid w:val="008F2C97"/>
    <w:rsid w:val="008F4187"/>
    <w:rsid w:val="008F419D"/>
    <w:rsid w:val="008F6383"/>
    <w:rsid w:val="008F6660"/>
    <w:rsid w:val="009005F3"/>
    <w:rsid w:val="00900711"/>
    <w:rsid w:val="00900CF9"/>
    <w:rsid w:val="00902AE8"/>
    <w:rsid w:val="00902F27"/>
    <w:rsid w:val="00903DEF"/>
    <w:rsid w:val="00903E47"/>
    <w:rsid w:val="00904DE0"/>
    <w:rsid w:val="00906CC4"/>
    <w:rsid w:val="009076A3"/>
    <w:rsid w:val="00907890"/>
    <w:rsid w:val="0091072F"/>
    <w:rsid w:val="00910EDC"/>
    <w:rsid w:val="009111DD"/>
    <w:rsid w:val="009121FA"/>
    <w:rsid w:val="00914826"/>
    <w:rsid w:val="00917000"/>
    <w:rsid w:val="009171C4"/>
    <w:rsid w:val="00917518"/>
    <w:rsid w:val="0092020E"/>
    <w:rsid w:val="00920CD2"/>
    <w:rsid w:val="00923974"/>
    <w:rsid w:val="00924440"/>
    <w:rsid w:val="00924DDB"/>
    <w:rsid w:val="00924F4D"/>
    <w:rsid w:val="009257E7"/>
    <w:rsid w:val="009274DD"/>
    <w:rsid w:val="009275DF"/>
    <w:rsid w:val="0092779F"/>
    <w:rsid w:val="00927DD5"/>
    <w:rsid w:val="00927F95"/>
    <w:rsid w:val="009315F1"/>
    <w:rsid w:val="00931E27"/>
    <w:rsid w:val="00933916"/>
    <w:rsid w:val="00937CC8"/>
    <w:rsid w:val="00937D50"/>
    <w:rsid w:val="00940200"/>
    <w:rsid w:val="00940A4F"/>
    <w:rsid w:val="00941829"/>
    <w:rsid w:val="00942977"/>
    <w:rsid w:val="00942F40"/>
    <w:rsid w:val="00944250"/>
    <w:rsid w:val="00945943"/>
    <w:rsid w:val="00945C85"/>
    <w:rsid w:val="00946028"/>
    <w:rsid w:val="00947518"/>
    <w:rsid w:val="00947820"/>
    <w:rsid w:val="00950127"/>
    <w:rsid w:val="00950351"/>
    <w:rsid w:val="0095116B"/>
    <w:rsid w:val="00951D6B"/>
    <w:rsid w:val="00952560"/>
    <w:rsid w:val="009552F4"/>
    <w:rsid w:val="009554CE"/>
    <w:rsid w:val="00960857"/>
    <w:rsid w:val="00960B93"/>
    <w:rsid w:val="00960D69"/>
    <w:rsid w:val="009620D8"/>
    <w:rsid w:val="0096247A"/>
    <w:rsid w:val="009625C9"/>
    <w:rsid w:val="009639AE"/>
    <w:rsid w:val="00967427"/>
    <w:rsid w:val="00967C3B"/>
    <w:rsid w:val="009711E9"/>
    <w:rsid w:val="0097127D"/>
    <w:rsid w:val="00972016"/>
    <w:rsid w:val="0097301F"/>
    <w:rsid w:val="009745B5"/>
    <w:rsid w:val="00974FD3"/>
    <w:rsid w:val="009756EE"/>
    <w:rsid w:val="009767CB"/>
    <w:rsid w:val="00976FDE"/>
    <w:rsid w:val="00980A89"/>
    <w:rsid w:val="00982261"/>
    <w:rsid w:val="009829EA"/>
    <w:rsid w:val="00982E76"/>
    <w:rsid w:val="00983611"/>
    <w:rsid w:val="00983EA7"/>
    <w:rsid w:val="00984597"/>
    <w:rsid w:val="0098578A"/>
    <w:rsid w:val="00990784"/>
    <w:rsid w:val="00996C86"/>
    <w:rsid w:val="009A0301"/>
    <w:rsid w:val="009A0F12"/>
    <w:rsid w:val="009A19D7"/>
    <w:rsid w:val="009A2AD8"/>
    <w:rsid w:val="009A42DB"/>
    <w:rsid w:val="009A4D1E"/>
    <w:rsid w:val="009A527A"/>
    <w:rsid w:val="009A6B80"/>
    <w:rsid w:val="009B1345"/>
    <w:rsid w:val="009B1A18"/>
    <w:rsid w:val="009B21FC"/>
    <w:rsid w:val="009B2538"/>
    <w:rsid w:val="009B2A4B"/>
    <w:rsid w:val="009B2A69"/>
    <w:rsid w:val="009B2AD5"/>
    <w:rsid w:val="009B2C9D"/>
    <w:rsid w:val="009B32FB"/>
    <w:rsid w:val="009B43C4"/>
    <w:rsid w:val="009B7272"/>
    <w:rsid w:val="009C0E4D"/>
    <w:rsid w:val="009C1D88"/>
    <w:rsid w:val="009C1E5D"/>
    <w:rsid w:val="009C2B70"/>
    <w:rsid w:val="009C2E2D"/>
    <w:rsid w:val="009C44FE"/>
    <w:rsid w:val="009C5D85"/>
    <w:rsid w:val="009C7752"/>
    <w:rsid w:val="009C78B9"/>
    <w:rsid w:val="009D10F5"/>
    <w:rsid w:val="009D2BFD"/>
    <w:rsid w:val="009D48BD"/>
    <w:rsid w:val="009D6144"/>
    <w:rsid w:val="009E05CB"/>
    <w:rsid w:val="009E0D45"/>
    <w:rsid w:val="009E1FBF"/>
    <w:rsid w:val="009E2BFA"/>
    <w:rsid w:val="009E35F6"/>
    <w:rsid w:val="009E4358"/>
    <w:rsid w:val="009E449B"/>
    <w:rsid w:val="009E6202"/>
    <w:rsid w:val="009E6435"/>
    <w:rsid w:val="009E720E"/>
    <w:rsid w:val="009E7737"/>
    <w:rsid w:val="009F0A74"/>
    <w:rsid w:val="009F296A"/>
    <w:rsid w:val="009F2997"/>
    <w:rsid w:val="009F417B"/>
    <w:rsid w:val="009F56CA"/>
    <w:rsid w:val="009F5D2F"/>
    <w:rsid w:val="009F660E"/>
    <w:rsid w:val="00A00164"/>
    <w:rsid w:val="00A0092C"/>
    <w:rsid w:val="00A00D60"/>
    <w:rsid w:val="00A02747"/>
    <w:rsid w:val="00A043FB"/>
    <w:rsid w:val="00A066A0"/>
    <w:rsid w:val="00A0677D"/>
    <w:rsid w:val="00A06964"/>
    <w:rsid w:val="00A07B8C"/>
    <w:rsid w:val="00A1021F"/>
    <w:rsid w:val="00A10EF8"/>
    <w:rsid w:val="00A11F3D"/>
    <w:rsid w:val="00A12806"/>
    <w:rsid w:val="00A12FCB"/>
    <w:rsid w:val="00A13B20"/>
    <w:rsid w:val="00A13EFD"/>
    <w:rsid w:val="00A15EC8"/>
    <w:rsid w:val="00A16248"/>
    <w:rsid w:val="00A17005"/>
    <w:rsid w:val="00A1758B"/>
    <w:rsid w:val="00A17C8B"/>
    <w:rsid w:val="00A20175"/>
    <w:rsid w:val="00A20C41"/>
    <w:rsid w:val="00A2233B"/>
    <w:rsid w:val="00A22841"/>
    <w:rsid w:val="00A2296E"/>
    <w:rsid w:val="00A2386F"/>
    <w:rsid w:val="00A248F9"/>
    <w:rsid w:val="00A24B85"/>
    <w:rsid w:val="00A256AC"/>
    <w:rsid w:val="00A2656F"/>
    <w:rsid w:val="00A27205"/>
    <w:rsid w:val="00A27A2F"/>
    <w:rsid w:val="00A3016C"/>
    <w:rsid w:val="00A3026F"/>
    <w:rsid w:val="00A305C0"/>
    <w:rsid w:val="00A31B91"/>
    <w:rsid w:val="00A31C89"/>
    <w:rsid w:val="00A3229A"/>
    <w:rsid w:val="00A326EF"/>
    <w:rsid w:val="00A33258"/>
    <w:rsid w:val="00A33289"/>
    <w:rsid w:val="00A3436B"/>
    <w:rsid w:val="00A34450"/>
    <w:rsid w:val="00A34468"/>
    <w:rsid w:val="00A34875"/>
    <w:rsid w:val="00A35854"/>
    <w:rsid w:val="00A366B4"/>
    <w:rsid w:val="00A37121"/>
    <w:rsid w:val="00A41668"/>
    <w:rsid w:val="00A42072"/>
    <w:rsid w:val="00A42469"/>
    <w:rsid w:val="00A43EBE"/>
    <w:rsid w:val="00A44FE2"/>
    <w:rsid w:val="00A4590D"/>
    <w:rsid w:val="00A46267"/>
    <w:rsid w:val="00A463C7"/>
    <w:rsid w:val="00A4753C"/>
    <w:rsid w:val="00A47864"/>
    <w:rsid w:val="00A50EF9"/>
    <w:rsid w:val="00A51CC5"/>
    <w:rsid w:val="00A51DCF"/>
    <w:rsid w:val="00A524ED"/>
    <w:rsid w:val="00A53904"/>
    <w:rsid w:val="00A56E8A"/>
    <w:rsid w:val="00A570CC"/>
    <w:rsid w:val="00A6140D"/>
    <w:rsid w:val="00A620F7"/>
    <w:rsid w:val="00A628EC"/>
    <w:rsid w:val="00A64C48"/>
    <w:rsid w:val="00A64E29"/>
    <w:rsid w:val="00A65695"/>
    <w:rsid w:val="00A67723"/>
    <w:rsid w:val="00A6778A"/>
    <w:rsid w:val="00A711BF"/>
    <w:rsid w:val="00A730CD"/>
    <w:rsid w:val="00A7368D"/>
    <w:rsid w:val="00A73C2F"/>
    <w:rsid w:val="00A75379"/>
    <w:rsid w:val="00A754F9"/>
    <w:rsid w:val="00A80187"/>
    <w:rsid w:val="00A80854"/>
    <w:rsid w:val="00A80A66"/>
    <w:rsid w:val="00A8134F"/>
    <w:rsid w:val="00A8255C"/>
    <w:rsid w:val="00A827B9"/>
    <w:rsid w:val="00A82E6B"/>
    <w:rsid w:val="00A83A3D"/>
    <w:rsid w:val="00A8584C"/>
    <w:rsid w:val="00A8617E"/>
    <w:rsid w:val="00A86316"/>
    <w:rsid w:val="00A8644F"/>
    <w:rsid w:val="00A87223"/>
    <w:rsid w:val="00A87965"/>
    <w:rsid w:val="00A87DC0"/>
    <w:rsid w:val="00A9120D"/>
    <w:rsid w:val="00A91906"/>
    <w:rsid w:val="00A92430"/>
    <w:rsid w:val="00A9260F"/>
    <w:rsid w:val="00A9271F"/>
    <w:rsid w:val="00A9473B"/>
    <w:rsid w:val="00A94D1C"/>
    <w:rsid w:val="00A9555C"/>
    <w:rsid w:val="00A956D8"/>
    <w:rsid w:val="00A963C0"/>
    <w:rsid w:val="00A964A3"/>
    <w:rsid w:val="00A964E1"/>
    <w:rsid w:val="00A96AAF"/>
    <w:rsid w:val="00A96FB1"/>
    <w:rsid w:val="00A97675"/>
    <w:rsid w:val="00AA015D"/>
    <w:rsid w:val="00AA1DA2"/>
    <w:rsid w:val="00AA3B01"/>
    <w:rsid w:val="00AA5266"/>
    <w:rsid w:val="00AA6DA5"/>
    <w:rsid w:val="00AA748D"/>
    <w:rsid w:val="00AA7581"/>
    <w:rsid w:val="00AB1C79"/>
    <w:rsid w:val="00AB49B9"/>
    <w:rsid w:val="00AB76C6"/>
    <w:rsid w:val="00AC0944"/>
    <w:rsid w:val="00AC0FA0"/>
    <w:rsid w:val="00AC1048"/>
    <w:rsid w:val="00AC280F"/>
    <w:rsid w:val="00AC2858"/>
    <w:rsid w:val="00AC3AAE"/>
    <w:rsid w:val="00AC45DE"/>
    <w:rsid w:val="00AC4726"/>
    <w:rsid w:val="00AC5FAA"/>
    <w:rsid w:val="00AC6F97"/>
    <w:rsid w:val="00AC7ECE"/>
    <w:rsid w:val="00AD04B5"/>
    <w:rsid w:val="00AD055D"/>
    <w:rsid w:val="00AD2DA8"/>
    <w:rsid w:val="00AD335B"/>
    <w:rsid w:val="00AD52B2"/>
    <w:rsid w:val="00AD5BC9"/>
    <w:rsid w:val="00AD753A"/>
    <w:rsid w:val="00AD7A75"/>
    <w:rsid w:val="00AE2F92"/>
    <w:rsid w:val="00AE3A2C"/>
    <w:rsid w:val="00AE3D3E"/>
    <w:rsid w:val="00AE3F7A"/>
    <w:rsid w:val="00AE4599"/>
    <w:rsid w:val="00AE4631"/>
    <w:rsid w:val="00AE47CF"/>
    <w:rsid w:val="00AE4D44"/>
    <w:rsid w:val="00AE613A"/>
    <w:rsid w:val="00AE6266"/>
    <w:rsid w:val="00AE6BC4"/>
    <w:rsid w:val="00AE7208"/>
    <w:rsid w:val="00AE7952"/>
    <w:rsid w:val="00AF13A6"/>
    <w:rsid w:val="00AF1A0C"/>
    <w:rsid w:val="00AF2140"/>
    <w:rsid w:val="00AF292E"/>
    <w:rsid w:val="00AF40F6"/>
    <w:rsid w:val="00AF5922"/>
    <w:rsid w:val="00AF5EC1"/>
    <w:rsid w:val="00AF5FC3"/>
    <w:rsid w:val="00AF6DE8"/>
    <w:rsid w:val="00B003CA"/>
    <w:rsid w:val="00B02043"/>
    <w:rsid w:val="00B05AE1"/>
    <w:rsid w:val="00B05DEB"/>
    <w:rsid w:val="00B066A4"/>
    <w:rsid w:val="00B06B30"/>
    <w:rsid w:val="00B100F5"/>
    <w:rsid w:val="00B11D06"/>
    <w:rsid w:val="00B1266E"/>
    <w:rsid w:val="00B15A30"/>
    <w:rsid w:val="00B1635D"/>
    <w:rsid w:val="00B16E69"/>
    <w:rsid w:val="00B1760F"/>
    <w:rsid w:val="00B20013"/>
    <w:rsid w:val="00B20FBB"/>
    <w:rsid w:val="00B21CEA"/>
    <w:rsid w:val="00B22683"/>
    <w:rsid w:val="00B23271"/>
    <w:rsid w:val="00B24384"/>
    <w:rsid w:val="00B244BA"/>
    <w:rsid w:val="00B24894"/>
    <w:rsid w:val="00B25890"/>
    <w:rsid w:val="00B26438"/>
    <w:rsid w:val="00B2649B"/>
    <w:rsid w:val="00B264BF"/>
    <w:rsid w:val="00B26961"/>
    <w:rsid w:val="00B27734"/>
    <w:rsid w:val="00B31191"/>
    <w:rsid w:val="00B32731"/>
    <w:rsid w:val="00B32B63"/>
    <w:rsid w:val="00B32D17"/>
    <w:rsid w:val="00B338F2"/>
    <w:rsid w:val="00B342B8"/>
    <w:rsid w:val="00B3542C"/>
    <w:rsid w:val="00B35B3F"/>
    <w:rsid w:val="00B3630E"/>
    <w:rsid w:val="00B3743B"/>
    <w:rsid w:val="00B40763"/>
    <w:rsid w:val="00B41A4F"/>
    <w:rsid w:val="00B42E4C"/>
    <w:rsid w:val="00B4405D"/>
    <w:rsid w:val="00B45972"/>
    <w:rsid w:val="00B46511"/>
    <w:rsid w:val="00B5121B"/>
    <w:rsid w:val="00B51252"/>
    <w:rsid w:val="00B51555"/>
    <w:rsid w:val="00B52A5D"/>
    <w:rsid w:val="00B52E26"/>
    <w:rsid w:val="00B5367E"/>
    <w:rsid w:val="00B540AD"/>
    <w:rsid w:val="00B5416D"/>
    <w:rsid w:val="00B54765"/>
    <w:rsid w:val="00B55E5E"/>
    <w:rsid w:val="00B5683E"/>
    <w:rsid w:val="00B570D5"/>
    <w:rsid w:val="00B5748D"/>
    <w:rsid w:val="00B574E4"/>
    <w:rsid w:val="00B57A64"/>
    <w:rsid w:val="00B57AB3"/>
    <w:rsid w:val="00B61B44"/>
    <w:rsid w:val="00B61BA6"/>
    <w:rsid w:val="00B62B5F"/>
    <w:rsid w:val="00B62C46"/>
    <w:rsid w:val="00B63E6E"/>
    <w:rsid w:val="00B658C5"/>
    <w:rsid w:val="00B65B17"/>
    <w:rsid w:val="00B65FED"/>
    <w:rsid w:val="00B66344"/>
    <w:rsid w:val="00B66913"/>
    <w:rsid w:val="00B66E96"/>
    <w:rsid w:val="00B67640"/>
    <w:rsid w:val="00B712E7"/>
    <w:rsid w:val="00B715B0"/>
    <w:rsid w:val="00B71B61"/>
    <w:rsid w:val="00B720B0"/>
    <w:rsid w:val="00B72BC1"/>
    <w:rsid w:val="00B7308B"/>
    <w:rsid w:val="00B73DE8"/>
    <w:rsid w:val="00B75BC0"/>
    <w:rsid w:val="00B763D0"/>
    <w:rsid w:val="00B770C5"/>
    <w:rsid w:val="00B77665"/>
    <w:rsid w:val="00B80EEC"/>
    <w:rsid w:val="00B827BE"/>
    <w:rsid w:val="00B83310"/>
    <w:rsid w:val="00B8362B"/>
    <w:rsid w:val="00B836EB"/>
    <w:rsid w:val="00B83FB5"/>
    <w:rsid w:val="00B849A7"/>
    <w:rsid w:val="00B866ED"/>
    <w:rsid w:val="00B90080"/>
    <w:rsid w:val="00B900A5"/>
    <w:rsid w:val="00B91A4E"/>
    <w:rsid w:val="00B92F06"/>
    <w:rsid w:val="00B941CA"/>
    <w:rsid w:val="00B94CD5"/>
    <w:rsid w:val="00B9759D"/>
    <w:rsid w:val="00B97E03"/>
    <w:rsid w:val="00BA0537"/>
    <w:rsid w:val="00BA0586"/>
    <w:rsid w:val="00BA0BA4"/>
    <w:rsid w:val="00BA1465"/>
    <w:rsid w:val="00BA17A8"/>
    <w:rsid w:val="00BA3210"/>
    <w:rsid w:val="00BA3AD1"/>
    <w:rsid w:val="00BA46EE"/>
    <w:rsid w:val="00BA4AD3"/>
    <w:rsid w:val="00BA4E58"/>
    <w:rsid w:val="00BA5A64"/>
    <w:rsid w:val="00BA60ED"/>
    <w:rsid w:val="00BA6727"/>
    <w:rsid w:val="00BA6B59"/>
    <w:rsid w:val="00BA6F9C"/>
    <w:rsid w:val="00BB05CE"/>
    <w:rsid w:val="00BB3970"/>
    <w:rsid w:val="00BB48E2"/>
    <w:rsid w:val="00BB4EA1"/>
    <w:rsid w:val="00BB6B47"/>
    <w:rsid w:val="00BB79A8"/>
    <w:rsid w:val="00BC0C99"/>
    <w:rsid w:val="00BC1EE6"/>
    <w:rsid w:val="00BC3A82"/>
    <w:rsid w:val="00BC4EB4"/>
    <w:rsid w:val="00BC4FCB"/>
    <w:rsid w:val="00BC53F8"/>
    <w:rsid w:val="00BC5CA0"/>
    <w:rsid w:val="00BC6FD7"/>
    <w:rsid w:val="00BD2129"/>
    <w:rsid w:val="00BD3F68"/>
    <w:rsid w:val="00BD4E5E"/>
    <w:rsid w:val="00BD4EFC"/>
    <w:rsid w:val="00BD59B5"/>
    <w:rsid w:val="00BD5B67"/>
    <w:rsid w:val="00BD7003"/>
    <w:rsid w:val="00BE1B13"/>
    <w:rsid w:val="00BE3AA8"/>
    <w:rsid w:val="00BE4EC6"/>
    <w:rsid w:val="00BE5B47"/>
    <w:rsid w:val="00BE5DC6"/>
    <w:rsid w:val="00BE5FFD"/>
    <w:rsid w:val="00BE71BC"/>
    <w:rsid w:val="00BE71D9"/>
    <w:rsid w:val="00BF1D5A"/>
    <w:rsid w:val="00BF311D"/>
    <w:rsid w:val="00BF317A"/>
    <w:rsid w:val="00BF36F4"/>
    <w:rsid w:val="00BF3EA6"/>
    <w:rsid w:val="00BF7B60"/>
    <w:rsid w:val="00C0079C"/>
    <w:rsid w:val="00C00AB0"/>
    <w:rsid w:val="00C00D6C"/>
    <w:rsid w:val="00C012B5"/>
    <w:rsid w:val="00C0145D"/>
    <w:rsid w:val="00C018D9"/>
    <w:rsid w:val="00C04F5D"/>
    <w:rsid w:val="00C051CA"/>
    <w:rsid w:val="00C05C25"/>
    <w:rsid w:val="00C06D5F"/>
    <w:rsid w:val="00C11467"/>
    <w:rsid w:val="00C11F91"/>
    <w:rsid w:val="00C130F7"/>
    <w:rsid w:val="00C132A1"/>
    <w:rsid w:val="00C13A3F"/>
    <w:rsid w:val="00C15545"/>
    <w:rsid w:val="00C15DA8"/>
    <w:rsid w:val="00C16151"/>
    <w:rsid w:val="00C17FB1"/>
    <w:rsid w:val="00C2090B"/>
    <w:rsid w:val="00C20D5D"/>
    <w:rsid w:val="00C21336"/>
    <w:rsid w:val="00C2137F"/>
    <w:rsid w:val="00C22489"/>
    <w:rsid w:val="00C23462"/>
    <w:rsid w:val="00C24CB5"/>
    <w:rsid w:val="00C25808"/>
    <w:rsid w:val="00C26D06"/>
    <w:rsid w:val="00C27090"/>
    <w:rsid w:val="00C27C4C"/>
    <w:rsid w:val="00C3180D"/>
    <w:rsid w:val="00C3269C"/>
    <w:rsid w:val="00C32FD6"/>
    <w:rsid w:val="00C330F3"/>
    <w:rsid w:val="00C33721"/>
    <w:rsid w:val="00C34A3C"/>
    <w:rsid w:val="00C34ACB"/>
    <w:rsid w:val="00C351A3"/>
    <w:rsid w:val="00C369D3"/>
    <w:rsid w:val="00C3762D"/>
    <w:rsid w:val="00C40201"/>
    <w:rsid w:val="00C40463"/>
    <w:rsid w:val="00C41CA4"/>
    <w:rsid w:val="00C42343"/>
    <w:rsid w:val="00C44427"/>
    <w:rsid w:val="00C44C86"/>
    <w:rsid w:val="00C45FFF"/>
    <w:rsid w:val="00C46404"/>
    <w:rsid w:val="00C468D5"/>
    <w:rsid w:val="00C5024B"/>
    <w:rsid w:val="00C50402"/>
    <w:rsid w:val="00C515A9"/>
    <w:rsid w:val="00C51D6B"/>
    <w:rsid w:val="00C526A5"/>
    <w:rsid w:val="00C529EC"/>
    <w:rsid w:val="00C55278"/>
    <w:rsid w:val="00C55332"/>
    <w:rsid w:val="00C564C7"/>
    <w:rsid w:val="00C56EEB"/>
    <w:rsid w:val="00C57B4E"/>
    <w:rsid w:val="00C6178D"/>
    <w:rsid w:val="00C61BFF"/>
    <w:rsid w:val="00C6405C"/>
    <w:rsid w:val="00C64BD9"/>
    <w:rsid w:val="00C657E7"/>
    <w:rsid w:val="00C671E5"/>
    <w:rsid w:val="00C67985"/>
    <w:rsid w:val="00C71B49"/>
    <w:rsid w:val="00C736D8"/>
    <w:rsid w:val="00C745E7"/>
    <w:rsid w:val="00C74639"/>
    <w:rsid w:val="00C74C36"/>
    <w:rsid w:val="00C75832"/>
    <w:rsid w:val="00C75D3F"/>
    <w:rsid w:val="00C769A6"/>
    <w:rsid w:val="00C76CBA"/>
    <w:rsid w:val="00C76FD5"/>
    <w:rsid w:val="00C807F9"/>
    <w:rsid w:val="00C82F4B"/>
    <w:rsid w:val="00C83986"/>
    <w:rsid w:val="00C83FCF"/>
    <w:rsid w:val="00C84880"/>
    <w:rsid w:val="00C84DC7"/>
    <w:rsid w:val="00C86FDE"/>
    <w:rsid w:val="00C87006"/>
    <w:rsid w:val="00C8744C"/>
    <w:rsid w:val="00C8758A"/>
    <w:rsid w:val="00C8774E"/>
    <w:rsid w:val="00C87B1B"/>
    <w:rsid w:val="00C87D9B"/>
    <w:rsid w:val="00C91E8A"/>
    <w:rsid w:val="00C923F2"/>
    <w:rsid w:val="00C92FD7"/>
    <w:rsid w:val="00C93574"/>
    <w:rsid w:val="00C94121"/>
    <w:rsid w:val="00C9497B"/>
    <w:rsid w:val="00C95B64"/>
    <w:rsid w:val="00C9791F"/>
    <w:rsid w:val="00CA18D8"/>
    <w:rsid w:val="00CA201A"/>
    <w:rsid w:val="00CA2CA2"/>
    <w:rsid w:val="00CA3122"/>
    <w:rsid w:val="00CA4824"/>
    <w:rsid w:val="00CA5398"/>
    <w:rsid w:val="00CA5AE5"/>
    <w:rsid w:val="00CB1773"/>
    <w:rsid w:val="00CB1E12"/>
    <w:rsid w:val="00CB1F8A"/>
    <w:rsid w:val="00CB26C2"/>
    <w:rsid w:val="00CB29F1"/>
    <w:rsid w:val="00CB36A7"/>
    <w:rsid w:val="00CB3DF7"/>
    <w:rsid w:val="00CB4970"/>
    <w:rsid w:val="00CB5019"/>
    <w:rsid w:val="00CC1303"/>
    <w:rsid w:val="00CC21A1"/>
    <w:rsid w:val="00CC2B93"/>
    <w:rsid w:val="00CC3277"/>
    <w:rsid w:val="00CC3F6A"/>
    <w:rsid w:val="00CC3FCD"/>
    <w:rsid w:val="00CC41A3"/>
    <w:rsid w:val="00CC4370"/>
    <w:rsid w:val="00CC45EF"/>
    <w:rsid w:val="00CC4D69"/>
    <w:rsid w:val="00CC7AD2"/>
    <w:rsid w:val="00CD202E"/>
    <w:rsid w:val="00CD227E"/>
    <w:rsid w:val="00CD6A99"/>
    <w:rsid w:val="00CE0298"/>
    <w:rsid w:val="00CE32AD"/>
    <w:rsid w:val="00CE3913"/>
    <w:rsid w:val="00CE442B"/>
    <w:rsid w:val="00CE45FE"/>
    <w:rsid w:val="00CE5E5A"/>
    <w:rsid w:val="00CE67F7"/>
    <w:rsid w:val="00CE7AB2"/>
    <w:rsid w:val="00CF0814"/>
    <w:rsid w:val="00CF1245"/>
    <w:rsid w:val="00CF262D"/>
    <w:rsid w:val="00CF2877"/>
    <w:rsid w:val="00CF4962"/>
    <w:rsid w:val="00CF4D10"/>
    <w:rsid w:val="00CF4DF7"/>
    <w:rsid w:val="00CF52EF"/>
    <w:rsid w:val="00CF5690"/>
    <w:rsid w:val="00CF727A"/>
    <w:rsid w:val="00CF756C"/>
    <w:rsid w:val="00CF78EF"/>
    <w:rsid w:val="00CF7F60"/>
    <w:rsid w:val="00D007AC"/>
    <w:rsid w:val="00D013BD"/>
    <w:rsid w:val="00D01909"/>
    <w:rsid w:val="00D01E28"/>
    <w:rsid w:val="00D022C1"/>
    <w:rsid w:val="00D02531"/>
    <w:rsid w:val="00D028D7"/>
    <w:rsid w:val="00D02DD3"/>
    <w:rsid w:val="00D04327"/>
    <w:rsid w:val="00D066D8"/>
    <w:rsid w:val="00D10727"/>
    <w:rsid w:val="00D11113"/>
    <w:rsid w:val="00D126F1"/>
    <w:rsid w:val="00D12AFF"/>
    <w:rsid w:val="00D12F66"/>
    <w:rsid w:val="00D137D9"/>
    <w:rsid w:val="00D15169"/>
    <w:rsid w:val="00D155C1"/>
    <w:rsid w:val="00D15982"/>
    <w:rsid w:val="00D15B5D"/>
    <w:rsid w:val="00D169D4"/>
    <w:rsid w:val="00D16A69"/>
    <w:rsid w:val="00D17CC7"/>
    <w:rsid w:val="00D219A8"/>
    <w:rsid w:val="00D219D8"/>
    <w:rsid w:val="00D21B40"/>
    <w:rsid w:val="00D22B0D"/>
    <w:rsid w:val="00D230CB"/>
    <w:rsid w:val="00D242D6"/>
    <w:rsid w:val="00D243F1"/>
    <w:rsid w:val="00D25319"/>
    <w:rsid w:val="00D26219"/>
    <w:rsid w:val="00D274B6"/>
    <w:rsid w:val="00D31A93"/>
    <w:rsid w:val="00D31C86"/>
    <w:rsid w:val="00D32871"/>
    <w:rsid w:val="00D3782A"/>
    <w:rsid w:val="00D40208"/>
    <w:rsid w:val="00D424DC"/>
    <w:rsid w:val="00D42864"/>
    <w:rsid w:val="00D449DC"/>
    <w:rsid w:val="00D4662B"/>
    <w:rsid w:val="00D46825"/>
    <w:rsid w:val="00D46B8B"/>
    <w:rsid w:val="00D47BBE"/>
    <w:rsid w:val="00D5034C"/>
    <w:rsid w:val="00D5234C"/>
    <w:rsid w:val="00D5252A"/>
    <w:rsid w:val="00D52BE0"/>
    <w:rsid w:val="00D537FB"/>
    <w:rsid w:val="00D53F78"/>
    <w:rsid w:val="00D546FA"/>
    <w:rsid w:val="00D55D4D"/>
    <w:rsid w:val="00D566AE"/>
    <w:rsid w:val="00D56734"/>
    <w:rsid w:val="00D61812"/>
    <w:rsid w:val="00D61DA1"/>
    <w:rsid w:val="00D63D85"/>
    <w:rsid w:val="00D6472B"/>
    <w:rsid w:val="00D64CFE"/>
    <w:rsid w:val="00D6604A"/>
    <w:rsid w:val="00D66548"/>
    <w:rsid w:val="00D66CAD"/>
    <w:rsid w:val="00D7003C"/>
    <w:rsid w:val="00D7090B"/>
    <w:rsid w:val="00D72CB5"/>
    <w:rsid w:val="00D72D49"/>
    <w:rsid w:val="00D73BAC"/>
    <w:rsid w:val="00D7409F"/>
    <w:rsid w:val="00D746CD"/>
    <w:rsid w:val="00D74B71"/>
    <w:rsid w:val="00D75327"/>
    <w:rsid w:val="00D816A6"/>
    <w:rsid w:val="00D81ED6"/>
    <w:rsid w:val="00D81EEF"/>
    <w:rsid w:val="00D83193"/>
    <w:rsid w:val="00D8608A"/>
    <w:rsid w:val="00D8634D"/>
    <w:rsid w:val="00D86516"/>
    <w:rsid w:val="00D8676C"/>
    <w:rsid w:val="00D86E59"/>
    <w:rsid w:val="00D87DEB"/>
    <w:rsid w:val="00D916ED"/>
    <w:rsid w:val="00D91C9F"/>
    <w:rsid w:val="00D92146"/>
    <w:rsid w:val="00D93A2F"/>
    <w:rsid w:val="00D9436D"/>
    <w:rsid w:val="00D95902"/>
    <w:rsid w:val="00D9633E"/>
    <w:rsid w:val="00D97F61"/>
    <w:rsid w:val="00DA1A3D"/>
    <w:rsid w:val="00DA2035"/>
    <w:rsid w:val="00DA2CE1"/>
    <w:rsid w:val="00DA2D53"/>
    <w:rsid w:val="00DA32B5"/>
    <w:rsid w:val="00DA34E8"/>
    <w:rsid w:val="00DA4619"/>
    <w:rsid w:val="00DA5016"/>
    <w:rsid w:val="00DA5023"/>
    <w:rsid w:val="00DA573A"/>
    <w:rsid w:val="00DA6B44"/>
    <w:rsid w:val="00DA6E9E"/>
    <w:rsid w:val="00DA790A"/>
    <w:rsid w:val="00DA7A63"/>
    <w:rsid w:val="00DA7BAC"/>
    <w:rsid w:val="00DB3973"/>
    <w:rsid w:val="00DB5CD2"/>
    <w:rsid w:val="00DB5DEF"/>
    <w:rsid w:val="00DB74ED"/>
    <w:rsid w:val="00DC061B"/>
    <w:rsid w:val="00DC1631"/>
    <w:rsid w:val="00DC1C63"/>
    <w:rsid w:val="00DC236A"/>
    <w:rsid w:val="00DC34CC"/>
    <w:rsid w:val="00DC4945"/>
    <w:rsid w:val="00DC4E1A"/>
    <w:rsid w:val="00DC567F"/>
    <w:rsid w:val="00DC58F7"/>
    <w:rsid w:val="00DD02C0"/>
    <w:rsid w:val="00DD282E"/>
    <w:rsid w:val="00DD3B34"/>
    <w:rsid w:val="00DD3E07"/>
    <w:rsid w:val="00DD3F7B"/>
    <w:rsid w:val="00DD406C"/>
    <w:rsid w:val="00DE0CB8"/>
    <w:rsid w:val="00DE2A35"/>
    <w:rsid w:val="00DE2D3F"/>
    <w:rsid w:val="00DE2F22"/>
    <w:rsid w:val="00DE318F"/>
    <w:rsid w:val="00DE4935"/>
    <w:rsid w:val="00DE49C2"/>
    <w:rsid w:val="00DE4FE2"/>
    <w:rsid w:val="00DE50AD"/>
    <w:rsid w:val="00DE5EA5"/>
    <w:rsid w:val="00DE7A95"/>
    <w:rsid w:val="00DF0501"/>
    <w:rsid w:val="00DF0A24"/>
    <w:rsid w:val="00DF3382"/>
    <w:rsid w:val="00DF39CB"/>
    <w:rsid w:val="00DF4104"/>
    <w:rsid w:val="00DF4502"/>
    <w:rsid w:val="00DF4EA0"/>
    <w:rsid w:val="00E00009"/>
    <w:rsid w:val="00E00490"/>
    <w:rsid w:val="00E009DB"/>
    <w:rsid w:val="00E0268A"/>
    <w:rsid w:val="00E02C9C"/>
    <w:rsid w:val="00E03DB3"/>
    <w:rsid w:val="00E04AD9"/>
    <w:rsid w:val="00E05D78"/>
    <w:rsid w:val="00E06E78"/>
    <w:rsid w:val="00E11EB8"/>
    <w:rsid w:val="00E122AA"/>
    <w:rsid w:val="00E131B6"/>
    <w:rsid w:val="00E15A89"/>
    <w:rsid w:val="00E16470"/>
    <w:rsid w:val="00E16AA0"/>
    <w:rsid w:val="00E16E8E"/>
    <w:rsid w:val="00E1725F"/>
    <w:rsid w:val="00E2147D"/>
    <w:rsid w:val="00E22FFC"/>
    <w:rsid w:val="00E23B21"/>
    <w:rsid w:val="00E2404F"/>
    <w:rsid w:val="00E24121"/>
    <w:rsid w:val="00E24491"/>
    <w:rsid w:val="00E24C84"/>
    <w:rsid w:val="00E24EC1"/>
    <w:rsid w:val="00E2566D"/>
    <w:rsid w:val="00E257CE"/>
    <w:rsid w:val="00E2607E"/>
    <w:rsid w:val="00E262D9"/>
    <w:rsid w:val="00E26316"/>
    <w:rsid w:val="00E276BF"/>
    <w:rsid w:val="00E279AD"/>
    <w:rsid w:val="00E31CE2"/>
    <w:rsid w:val="00E3354E"/>
    <w:rsid w:val="00E350EF"/>
    <w:rsid w:val="00E35547"/>
    <w:rsid w:val="00E36646"/>
    <w:rsid w:val="00E37294"/>
    <w:rsid w:val="00E37C17"/>
    <w:rsid w:val="00E40601"/>
    <w:rsid w:val="00E40EE6"/>
    <w:rsid w:val="00E414D5"/>
    <w:rsid w:val="00E43766"/>
    <w:rsid w:val="00E4531C"/>
    <w:rsid w:val="00E45C73"/>
    <w:rsid w:val="00E45F2C"/>
    <w:rsid w:val="00E461C8"/>
    <w:rsid w:val="00E47B30"/>
    <w:rsid w:val="00E50C0B"/>
    <w:rsid w:val="00E50C44"/>
    <w:rsid w:val="00E5235B"/>
    <w:rsid w:val="00E52A9F"/>
    <w:rsid w:val="00E53E0D"/>
    <w:rsid w:val="00E55EA9"/>
    <w:rsid w:val="00E61EAA"/>
    <w:rsid w:val="00E62486"/>
    <w:rsid w:val="00E662DB"/>
    <w:rsid w:val="00E66332"/>
    <w:rsid w:val="00E66C2A"/>
    <w:rsid w:val="00E67DF4"/>
    <w:rsid w:val="00E67F0C"/>
    <w:rsid w:val="00E7164E"/>
    <w:rsid w:val="00E73010"/>
    <w:rsid w:val="00E740B5"/>
    <w:rsid w:val="00E7454B"/>
    <w:rsid w:val="00E761C6"/>
    <w:rsid w:val="00E769CC"/>
    <w:rsid w:val="00E7718A"/>
    <w:rsid w:val="00E82F0C"/>
    <w:rsid w:val="00E835FC"/>
    <w:rsid w:val="00E83B1C"/>
    <w:rsid w:val="00E84E8B"/>
    <w:rsid w:val="00E85A80"/>
    <w:rsid w:val="00E85D33"/>
    <w:rsid w:val="00E8641D"/>
    <w:rsid w:val="00E868F7"/>
    <w:rsid w:val="00E8700C"/>
    <w:rsid w:val="00E9143E"/>
    <w:rsid w:val="00E9217C"/>
    <w:rsid w:val="00E93BCF"/>
    <w:rsid w:val="00E96161"/>
    <w:rsid w:val="00E97BF2"/>
    <w:rsid w:val="00EA0E3D"/>
    <w:rsid w:val="00EA1746"/>
    <w:rsid w:val="00EA1F93"/>
    <w:rsid w:val="00EA2FF9"/>
    <w:rsid w:val="00EA3310"/>
    <w:rsid w:val="00EA33D1"/>
    <w:rsid w:val="00EA355C"/>
    <w:rsid w:val="00EA382B"/>
    <w:rsid w:val="00EA69D2"/>
    <w:rsid w:val="00EA6AEB"/>
    <w:rsid w:val="00EA73AD"/>
    <w:rsid w:val="00EA73E2"/>
    <w:rsid w:val="00EB085A"/>
    <w:rsid w:val="00EB09A6"/>
    <w:rsid w:val="00EB169F"/>
    <w:rsid w:val="00EB2112"/>
    <w:rsid w:val="00EB4290"/>
    <w:rsid w:val="00EB6355"/>
    <w:rsid w:val="00EB6AC4"/>
    <w:rsid w:val="00EB764B"/>
    <w:rsid w:val="00EB7F26"/>
    <w:rsid w:val="00EC0D19"/>
    <w:rsid w:val="00EC1B5B"/>
    <w:rsid w:val="00EC2B76"/>
    <w:rsid w:val="00EC3600"/>
    <w:rsid w:val="00EC363A"/>
    <w:rsid w:val="00EC4050"/>
    <w:rsid w:val="00EC4A0F"/>
    <w:rsid w:val="00EC4A56"/>
    <w:rsid w:val="00EC4E01"/>
    <w:rsid w:val="00EC5148"/>
    <w:rsid w:val="00EC51BE"/>
    <w:rsid w:val="00EC561F"/>
    <w:rsid w:val="00ED13E7"/>
    <w:rsid w:val="00ED1A14"/>
    <w:rsid w:val="00ED3690"/>
    <w:rsid w:val="00ED5D93"/>
    <w:rsid w:val="00ED5FFA"/>
    <w:rsid w:val="00ED62E9"/>
    <w:rsid w:val="00ED7593"/>
    <w:rsid w:val="00ED79BE"/>
    <w:rsid w:val="00EE06DD"/>
    <w:rsid w:val="00EE0717"/>
    <w:rsid w:val="00EE31E0"/>
    <w:rsid w:val="00EE353F"/>
    <w:rsid w:val="00EE3B1C"/>
    <w:rsid w:val="00EE54BC"/>
    <w:rsid w:val="00EE558B"/>
    <w:rsid w:val="00EE5A5C"/>
    <w:rsid w:val="00EE6373"/>
    <w:rsid w:val="00EE714D"/>
    <w:rsid w:val="00EF255B"/>
    <w:rsid w:val="00EF3C3F"/>
    <w:rsid w:val="00EF4858"/>
    <w:rsid w:val="00EF4F3F"/>
    <w:rsid w:val="00EF5601"/>
    <w:rsid w:val="00EF5926"/>
    <w:rsid w:val="00EF5EFF"/>
    <w:rsid w:val="00EF5F0E"/>
    <w:rsid w:val="00EF797D"/>
    <w:rsid w:val="00F0035A"/>
    <w:rsid w:val="00F01279"/>
    <w:rsid w:val="00F0170C"/>
    <w:rsid w:val="00F02043"/>
    <w:rsid w:val="00F02F76"/>
    <w:rsid w:val="00F03B8C"/>
    <w:rsid w:val="00F041EE"/>
    <w:rsid w:val="00F04992"/>
    <w:rsid w:val="00F057DD"/>
    <w:rsid w:val="00F06656"/>
    <w:rsid w:val="00F07667"/>
    <w:rsid w:val="00F0788A"/>
    <w:rsid w:val="00F079DC"/>
    <w:rsid w:val="00F10BA3"/>
    <w:rsid w:val="00F13A22"/>
    <w:rsid w:val="00F1642A"/>
    <w:rsid w:val="00F20A3D"/>
    <w:rsid w:val="00F22ECC"/>
    <w:rsid w:val="00F23F10"/>
    <w:rsid w:val="00F245D4"/>
    <w:rsid w:val="00F25451"/>
    <w:rsid w:val="00F30EA8"/>
    <w:rsid w:val="00F3129F"/>
    <w:rsid w:val="00F31677"/>
    <w:rsid w:val="00F31AF2"/>
    <w:rsid w:val="00F33546"/>
    <w:rsid w:val="00F33CD0"/>
    <w:rsid w:val="00F3452F"/>
    <w:rsid w:val="00F34A27"/>
    <w:rsid w:val="00F40A21"/>
    <w:rsid w:val="00F412B7"/>
    <w:rsid w:val="00F41D7B"/>
    <w:rsid w:val="00F425B3"/>
    <w:rsid w:val="00F4306B"/>
    <w:rsid w:val="00F433A2"/>
    <w:rsid w:val="00F4395D"/>
    <w:rsid w:val="00F4482F"/>
    <w:rsid w:val="00F454DF"/>
    <w:rsid w:val="00F46832"/>
    <w:rsid w:val="00F468CA"/>
    <w:rsid w:val="00F469FA"/>
    <w:rsid w:val="00F46DE9"/>
    <w:rsid w:val="00F509A7"/>
    <w:rsid w:val="00F51900"/>
    <w:rsid w:val="00F5327B"/>
    <w:rsid w:val="00F54384"/>
    <w:rsid w:val="00F54E79"/>
    <w:rsid w:val="00F55E2B"/>
    <w:rsid w:val="00F57DBC"/>
    <w:rsid w:val="00F60438"/>
    <w:rsid w:val="00F611DF"/>
    <w:rsid w:val="00F66B3D"/>
    <w:rsid w:val="00F66F8F"/>
    <w:rsid w:val="00F6724B"/>
    <w:rsid w:val="00F677AE"/>
    <w:rsid w:val="00F70477"/>
    <w:rsid w:val="00F70680"/>
    <w:rsid w:val="00F71E2F"/>
    <w:rsid w:val="00F72B07"/>
    <w:rsid w:val="00F7746D"/>
    <w:rsid w:val="00F77764"/>
    <w:rsid w:val="00F77D8E"/>
    <w:rsid w:val="00F8262D"/>
    <w:rsid w:val="00F83DB9"/>
    <w:rsid w:val="00F8401E"/>
    <w:rsid w:val="00F84852"/>
    <w:rsid w:val="00F85185"/>
    <w:rsid w:val="00F86F95"/>
    <w:rsid w:val="00F87406"/>
    <w:rsid w:val="00F90EA8"/>
    <w:rsid w:val="00F9144B"/>
    <w:rsid w:val="00F928FA"/>
    <w:rsid w:val="00F931DF"/>
    <w:rsid w:val="00F9350E"/>
    <w:rsid w:val="00F94019"/>
    <w:rsid w:val="00F942C1"/>
    <w:rsid w:val="00F9431F"/>
    <w:rsid w:val="00F949B8"/>
    <w:rsid w:val="00F94B7C"/>
    <w:rsid w:val="00F95994"/>
    <w:rsid w:val="00F96F64"/>
    <w:rsid w:val="00F97C97"/>
    <w:rsid w:val="00FA02DC"/>
    <w:rsid w:val="00FA1C96"/>
    <w:rsid w:val="00FA1F66"/>
    <w:rsid w:val="00FA35B0"/>
    <w:rsid w:val="00FA4866"/>
    <w:rsid w:val="00FA4D06"/>
    <w:rsid w:val="00FA561C"/>
    <w:rsid w:val="00FA64EF"/>
    <w:rsid w:val="00FA6917"/>
    <w:rsid w:val="00FA6951"/>
    <w:rsid w:val="00FA7641"/>
    <w:rsid w:val="00FA770C"/>
    <w:rsid w:val="00FA78DE"/>
    <w:rsid w:val="00FB045A"/>
    <w:rsid w:val="00FB0AD8"/>
    <w:rsid w:val="00FB1C99"/>
    <w:rsid w:val="00FB1F43"/>
    <w:rsid w:val="00FB27A6"/>
    <w:rsid w:val="00FB33A7"/>
    <w:rsid w:val="00FB361C"/>
    <w:rsid w:val="00FB4046"/>
    <w:rsid w:val="00FB4293"/>
    <w:rsid w:val="00FB455A"/>
    <w:rsid w:val="00FB54C1"/>
    <w:rsid w:val="00FB5F6E"/>
    <w:rsid w:val="00FC1337"/>
    <w:rsid w:val="00FC17A7"/>
    <w:rsid w:val="00FC24F5"/>
    <w:rsid w:val="00FC30C9"/>
    <w:rsid w:val="00FC31DE"/>
    <w:rsid w:val="00FC4513"/>
    <w:rsid w:val="00FC589C"/>
    <w:rsid w:val="00FC73C8"/>
    <w:rsid w:val="00FC7A34"/>
    <w:rsid w:val="00FD0409"/>
    <w:rsid w:val="00FD1F02"/>
    <w:rsid w:val="00FD407D"/>
    <w:rsid w:val="00FD4CD4"/>
    <w:rsid w:val="00FD5049"/>
    <w:rsid w:val="00FD72D8"/>
    <w:rsid w:val="00FD75D9"/>
    <w:rsid w:val="00FD76B3"/>
    <w:rsid w:val="00FD7BD1"/>
    <w:rsid w:val="00FD7C3D"/>
    <w:rsid w:val="00FE135F"/>
    <w:rsid w:val="00FE15C8"/>
    <w:rsid w:val="00FE2D88"/>
    <w:rsid w:val="00FE3EE1"/>
    <w:rsid w:val="00FE5C5A"/>
    <w:rsid w:val="00FE5E57"/>
    <w:rsid w:val="00FE60B4"/>
    <w:rsid w:val="00FE6817"/>
    <w:rsid w:val="00FE73D3"/>
    <w:rsid w:val="00FE77D5"/>
    <w:rsid w:val="00FE7C60"/>
    <w:rsid w:val="00FF0C70"/>
    <w:rsid w:val="00FF28CA"/>
    <w:rsid w:val="00FF3B88"/>
    <w:rsid w:val="00FF47BA"/>
    <w:rsid w:val="00FF4C09"/>
    <w:rsid w:val="00FF6409"/>
    <w:rsid w:val="00FF718D"/>
    <w:rsid w:val="00FF72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4AB3C88C"/>
  <w15:chartTrackingRefBased/>
  <w15:docId w15:val="{34E0FA14-7724-4A8F-8198-4DEB57C1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44C86"/>
    <w:pPr>
      <w:widowControl w:val="0"/>
    </w:pPr>
    <w:rPr>
      <w:sz w:val="24"/>
      <w:szCs w:val="22"/>
      <w:lang w:val="pl-PL" w:eastAsia="pl-PL"/>
    </w:rPr>
  </w:style>
  <w:style w:type="paragraph" w:styleId="Nagwek1">
    <w:name w:val="heading 1"/>
    <w:basedOn w:val="Normalny"/>
    <w:next w:val="Normalny"/>
    <w:qFormat/>
    <w:pPr>
      <w:keepNext/>
      <w:widowControl/>
      <w:jc w:val="both"/>
      <w:outlineLvl w:val="0"/>
    </w:pPr>
    <w:rPr>
      <w:rFonts w:ascii="Arial" w:hAnsi="Arial"/>
      <w:b/>
      <w:bCs/>
      <w:sz w:val="22"/>
    </w:rPr>
  </w:style>
  <w:style w:type="paragraph" w:styleId="Nagwek2">
    <w:name w:val="heading 2"/>
    <w:basedOn w:val="Normalny"/>
    <w:next w:val="Normalny"/>
    <w:qFormat/>
    <w:pPr>
      <w:keepNext/>
      <w:outlineLvl w:val="1"/>
    </w:pPr>
    <w:rPr>
      <w:rFonts w:ascii="Arial" w:hAnsi="Arial" w:cs="Arial"/>
      <w:b/>
      <w:bCs/>
      <w:spacing w:val="-3"/>
      <w:sz w:val="22"/>
    </w:rPr>
  </w:style>
  <w:style w:type="paragraph" w:styleId="Nagwek3">
    <w:name w:val="heading 3"/>
    <w:basedOn w:val="Normalny"/>
    <w:next w:val="Normalny"/>
    <w:qFormat/>
    <w:pPr>
      <w:keepNext/>
      <w:widowControl/>
      <w:outlineLvl w:val="2"/>
    </w:pPr>
    <w:rPr>
      <w:rFonts w:ascii="Arial" w:hAnsi="Arial" w:cs="Arial"/>
      <w:b/>
      <w:bCs/>
      <w:i/>
      <w:iCs/>
      <w:spacing w:val="-3"/>
      <w:sz w:val="22"/>
    </w:rPr>
  </w:style>
  <w:style w:type="paragraph" w:styleId="Nagwek4">
    <w:name w:val="heading 4"/>
    <w:basedOn w:val="Normalny"/>
    <w:next w:val="Normalny"/>
    <w:qFormat/>
    <w:pPr>
      <w:keepNext/>
      <w:widowControl/>
      <w:jc w:val="both"/>
      <w:outlineLvl w:val="3"/>
    </w:pPr>
    <w:rPr>
      <w:rFonts w:ascii="Arial" w:hAnsi="Arial" w:cs="Arial"/>
      <w:b/>
      <w:bCs/>
      <w:i/>
      <w:iCs/>
      <w:sz w:val="22"/>
    </w:rPr>
  </w:style>
  <w:style w:type="paragraph" w:styleId="Nagwek5">
    <w:name w:val="heading 5"/>
    <w:basedOn w:val="Normalny"/>
    <w:next w:val="Normalny"/>
    <w:qFormat/>
    <w:pPr>
      <w:keepNext/>
      <w:widowControl/>
      <w:outlineLvl w:val="4"/>
    </w:pPr>
    <w:rPr>
      <w:rFonts w:ascii="Arial" w:hAnsi="Arial" w:cs="Arial"/>
      <w:i/>
      <w:iCs/>
      <w:spacing w:val="-3"/>
      <w:sz w:val="22"/>
    </w:rPr>
  </w:style>
  <w:style w:type="paragraph" w:styleId="Nagwek6">
    <w:name w:val="heading 6"/>
    <w:basedOn w:val="Normalny"/>
    <w:next w:val="Normalny"/>
    <w:qFormat/>
    <w:pPr>
      <w:keepNext/>
      <w:widowControl/>
      <w:jc w:val="both"/>
      <w:outlineLvl w:val="5"/>
    </w:pPr>
    <w:rPr>
      <w:rFonts w:ascii="Arial" w:hAnsi="Arial"/>
      <w:i/>
      <w:iCs/>
      <w:sz w:val="22"/>
    </w:rPr>
  </w:style>
  <w:style w:type="paragraph" w:styleId="Nagwek7">
    <w:name w:val="heading 7"/>
    <w:basedOn w:val="Normalny"/>
    <w:next w:val="Normalny"/>
    <w:qFormat/>
    <w:pPr>
      <w:keepNext/>
      <w:outlineLvl w:val="6"/>
    </w:pPr>
    <w:rPr>
      <w:rFonts w:ascii="Arial" w:hAnsi="Arial" w:cs="Arial"/>
      <w:i/>
      <w:iCs/>
      <w:spacing w:val="-3"/>
    </w:rPr>
  </w:style>
  <w:style w:type="paragraph" w:styleId="Nagwek8">
    <w:name w:val="heading 8"/>
    <w:basedOn w:val="Normalny"/>
    <w:next w:val="Normalny"/>
    <w:qFormat/>
    <w:pPr>
      <w:keepNext/>
      <w:outlineLvl w:val="7"/>
    </w:pPr>
    <w:rPr>
      <w:rFonts w:ascii="Arial" w:hAnsi="Arial" w:cs="Arial"/>
      <w:i/>
      <w:iCs/>
      <w:spacing w:val="-3"/>
      <w:u w:val="single"/>
    </w:rPr>
  </w:style>
  <w:style w:type="paragraph" w:styleId="Nagwek9">
    <w:name w:val="heading 9"/>
    <w:basedOn w:val="Normalny"/>
    <w:next w:val="Normalny"/>
    <w:qFormat/>
    <w:pPr>
      <w:keepNext/>
      <w:outlineLvl w:val="8"/>
    </w:pPr>
    <w:rPr>
      <w:rFonts w:ascii="Arial" w:hAnsi="Arial" w:cs="Arial"/>
      <w:i/>
      <w:spacing w:val="-3"/>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819"/>
        <w:tab w:val="right" w:pos="9071"/>
      </w:tabs>
    </w:pPr>
  </w:style>
  <w:style w:type="character" w:styleId="Odwoaniedokomentarza">
    <w:name w:val="annotation reference"/>
    <w:semiHidden/>
    <w:rPr>
      <w:sz w:val="16"/>
    </w:rPr>
  </w:style>
  <w:style w:type="paragraph" w:styleId="Tekstkomentarza">
    <w:name w:val="annotation text"/>
    <w:basedOn w:val="Normalny"/>
    <w:link w:val="TekstkomentarzaZnak"/>
    <w:semiHidden/>
    <w:rPr>
      <w:sz w:val="20"/>
      <w:szCs w:val="20"/>
    </w:rPr>
  </w:style>
  <w:style w:type="paragraph" w:styleId="Nagwek">
    <w:name w:val="header"/>
    <w:basedOn w:val="Normalny"/>
    <w:pPr>
      <w:tabs>
        <w:tab w:val="center" w:pos="4536"/>
        <w:tab w:val="right" w:pos="9072"/>
      </w:tabs>
    </w:pPr>
  </w:style>
  <w:style w:type="paragraph" w:styleId="Tekstpodstawowywcity">
    <w:name w:val="Body Text Indent"/>
    <w:basedOn w:val="Normalny"/>
    <w:pPr>
      <w:ind w:firstLine="284"/>
      <w:jc w:val="both"/>
    </w:pPr>
    <w:rPr>
      <w:rFonts w:ascii="Arial" w:hAnsi="Arial"/>
      <w:b/>
    </w:rPr>
  </w:style>
  <w:style w:type="character" w:styleId="Numerstrony">
    <w:name w:val="page number"/>
    <w:rPr>
      <w:sz w:val="20"/>
    </w:rPr>
  </w:style>
  <w:style w:type="paragraph" w:styleId="Tekstpodstawowy">
    <w:name w:val="Body Text"/>
    <w:basedOn w:val="Normalny"/>
    <w:rPr>
      <w:rFonts w:ascii="Arial" w:hAnsi="Arial"/>
      <w:sz w:val="22"/>
    </w:rPr>
  </w:style>
  <w:style w:type="paragraph" w:customStyle="1" w:styleId="Naglwek1">
    <w:name w:val="Naglówek 1"/>
    <w:basedOn w:val="Normalny"/>
    <w:next w:val="Normalny"/>
    <w:pPr>
      <w:keepNext/>
      <w:widowControl/>
      <w:spacing w:before="120" w:after="240"/>
    </w:pPr>
    <w:rPr>
      <w:rFonts w:ascii="Arial" w:hAnsi="Arial"/>
      <w:b/>
      <w:caps/>
      <w:lang w:val="en-GB"/>
    </w:rPr>
  </w:style>
  <w:style w:type="paragraph" w:styleId="Tekstpodstawowy2">
    <w:name w:val="Body Text 2"/>
    <w:basedOn w:val="Normalny"/>
    <w:pPr>
      <w:widowControl/>
      <w:jc w:val="both"/>
    </w:pPr>
    <w:rPr>
      <w:rFonts w:ascii="Arial" w:hAnsi="Arial"/>
      <w:sz w:val="22"/>
    </w:rPr>
  </w:style>
  <w:style w:type="paragraph" w:styleId="Tekstpodstawowy3">
    <w:name w:val="Body Text 3"/>
    <w:basedOn w:val="Normalny"/>
    <w:rPr>
      <w:rFonts w:ascii="Arial" w:hAnsi="Arial" w:cs="Arial"/>
      <w:i/>
      <w:iCs/>
      <w:spacing w:val="-3"/>
      <w:sz w:val="22"/>
      <w:u w:val="single"/>
    </w:rPr>
  </w:style>
  <w:style w:type="paragraph" w:styleId="Tekstpodstawowywcity2">
    <w:name w:val="Body Text Indent 2"/>
    <w:basedOn w:val="Normalny"/>
    <w:pPr>
      <w:ind w:left="142" w:hanging="142"/>
    </w:pPr>
    <w:rPr>
      <w:rFonts w:ascii="Arial" w:hAnsi="Arial" w:cs="Arial"/>
      <w:spacing w:val="-3"/>
      <w:sz w:val="22"/>
    </w:rPr>
  </w:style>
  <w:style w:type="paragraph" w:styleId="Legenda">
    <w:name w:val="caption"/>
    <w:basedOn w:val="Normalny"/>
    <w:next w:val="Normalny"/>
    <w:qFormat/>
    <w:pPr>
      <w:widowControl/>
      <w:jc w:val="both"/>
    </w:pPr>
    <w:rPr>
      <w:rFonts w:ascii="Arial" w:hAnsi="Arial"/>
      <w:b/>
      <w:bCs/>
      <w:sz w:val="22"/>
    </w:rPr>
  </w:style>
  <w:style w:type="paragraph" w:styleId="Tekstpodstawowywcity3">
    <w:name w:val="Body Text Indent 3"/>
    <w:basedOn w:val="Normalny"/>
    <w:pPr>
      <w:widowControl/>
      <w:spacing w:line="360" w:lineRule="auto"/>
      <w:ind w:left="284" w:hanging="284"/>
      <w:jc w:val="both"/>
    </w:pPr>
    <w:rPr>
      <w:rFonts w:ascii="Arial" w:hAnsi="Arial"/>
      <w:b/>
      <w:sz w:val="22"/>
    </w:rPr>
  </w:style>
  <w:style w:type="paragraph" w:styleId="Tekstprzypisukocowego">
    <w:name w:val="endnote text"/>
    <w:basedOn w:val="Normalny"/>
    <w:semiHidden/>
    <w:pPr>
      <w:widowControl/>
      <w:tabs>
        <w:tab w:val="left" w:pos="567"/>
      </w:tabs>
    </w:pPr>
    <w:rPr>
      <w:sz w:val="22"/>
      <w:lang w:val="en-GB" w:eastAsia="en-US"/>
    </w:rPr>
  </w:style>
  <w:style w:type="character" w:customStyle="1" w:styleId="SmPCHeading">
    <w:name w:val="SmPC Heading"/>
    <w:rPr>
      <w:rFonts w:ascii="Times New Roman" w:hAnsi="Times New Roman"/>
      <w:b/>
      <w:caps/>
      <w:sz w:val="22"/>
      <w:u w:val="none"/>
      <w:vertAlign w:val="baseline"/>
    </w:rPr>
  </w:style>
  <w:style w:type="paragraph" w:styleId="Tekstdymka">
    <w:name w:val="Balloon Text"/>
    <w:basedOn w:val="Normalny"/>
    <w:semiHidden/>
    <w:rPr>
      <w:rFonts w:ascii="Tahoma" w:hAnsi="Tahoma" w:cs="Tahoma"/>
      <w:sz w:val="16"/>
      <w:szCs w:val="16"/>
    </w:rPr>
  </w:style>
  <w:style w:type="character" w:styleId="Pogrubienie">
    <w:name w:val="Strong"/>
    <w:qFormat/>
    <w:rPr>
      <w:b/>
      <w:bCs/>
    </w:rPr>
  </w:style>
  <w:style w:type="paragraph" w:styleId="Listapunktowana">
    <w:name w:val="List Bullet"/>
    <w:basedOn w:val="Normalny"/>
    <w:autoRedefine/>
    <w:pPr>
      <w:widowControl/>
      <w:tabs>
        <w:tab w:val="left" w:pos="0"/>
      </w:tabs>
    </w:pPr>
    <w:rPr>
      <w:b/>
      <w:bCs/>
      <w:sz w:val="22"/>
      <w:lang w:val="pt-PT" w:eastAsia="en-US"/>
    </w:rPr>
  </w:style>
  <w:style w:type="paragraph" w:styleId="Tematkomentarza">
    <w:name w:val="annotation subject"/>
    <w:basedOn w:val="Tekstkomentarza"/>
    <w:next w:val="Tekstkomentarza"/>
    <w:semiHidden/>
    <w:rPr>
      <w:b/>
      <w:bCs/>
    </w:rPr>
  </w:style>
  <w:style w:type="paragraph" w:styleId="Tekstprzypisudolnego">
    <w:name w:val="footnote text"/>
    <w:basedOn w:val="Normalny"/>
    <w:semiHidden/>
    <w:pPr>
      <w:widowControl/>
    </w:pPr>
    <w:rPr>
      <w:sz w:val="20"/>
      <w:lang w:val="en-GB"/>
    </w:rPr>
  </w:style>
  <w:style w:type="character" w:styleId="Odwoanieprzypisudolnego">
    <w:name w:val="footnote reference"/>
    <w:semiHidden/>
    <w:rPr>
      <w:vertAlign w:val="superscript"/>
    </w:rPr>
  </w:style>
  <w:style w:type="paragraph" w:customStyle="1" w:styleId="PrinInv">
    <w:name w:val="Prin Inv"/>
    <w:basedOn w:val="Normalny"/>
    <w:pPr>
      <w:widowControl/>
    </w:pPr>
    <w:rPr>
      <w:rFonts w:ascii="Arial" w:hAnsi="Arial"/>
      <w:sz w:val="18"/>
      <w:lang w:val="en-US" w:eastAsia="en-US"/>
    </w:rPr>
  </w:style>
  <w:style w:type="paragraph" w:customStyle="1" w:styleId="fig">
    <w:name w:val="fig"/>
    <w:basedOn w:val="Normalny"/>
    <w:pPr>
      <w:widowControl/>
      <w:spacing w:after="200"/>
      <w:jc w:val="center"/>
    </w:pPr>
    <w:rPr>
      <w:rFonts w:ascii="Arial" w:hAnsi="Arial"/>
      <w:sz w:val="18"/>
      <w:lang w:val="en-US" w:eastAsia="en-US"/>
    </w:rPr>
  </w:style>
  <w:style w:type="paragraph" w:customStyle="1" w:styleId="TableText">
    <w:name w:val="TableText"/>
    <w:link w:val="TableTextChar"/>
    <w:rPr>
      <w:rFonts w:cs="Arial"/>
      <w:sz w:val="22"/>
      <w:szCs w:val="22"/>
      <w:lang w:val="en-US" w:eastAsia="en-US"/>
    </w:rPr>
  </w:style>
  <w:style w:type="character" w:styleId="Hipercze">
    <w:name w:val="Hyperlink"/>
    <w:rPr>
      <w:color w:val="0000FF"/>
      <w:u w:val="single"/>
    </w:rPr>
  </w:style>
  <w:style w:type="paragraph" w:customStyle="1" w:styleId="CM55">
    <w:name w:val="CM55"/>
    <w:basedOn w:val="Normalny"/>
    <w:next w:val="Normalny"/>
    <w:pPr>
      <w:autoSpaceDE w:val="0"/>
      <w:autoSpaceDN w:val="0"/>
      <w:adjustRightInd w:val="0"/>
      <w:spacing w:after="243"/>
    </w:pPr>
    <w:rPr>
      <w:szCs w:val="24"/>
      <w:lang w:val="en-GB" w:eastAsia="en-GB"/>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6">
    <w:name w:val="CM56"/>
    <w:basedOn w:val="Default"/>
    <w:next w:val="Default"/>
    <w:pPr>
      <w:spacing w:after="505"/>
    </w:pPr>
    <w:rPr>
      <w:color w:val="auto"/>
    </w:rPr>
  </w:style>
  <w:style w:type="paragraph" w:customStyle="1" w:styleId="CM3">
    <w:name w:val="CM3"/>
    <w:basedOn w:val="Default"/>
    <w:next w:val="Default"/>
    <w:pPr>
      <w:spacing w:line="243" w:lineRule="atLeast"/>
    </w:pPr>
    <w:rPr>
      <w:color w:val="auto"/>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sid w:val="00D137D9"/>
    <w:rPr>
      <w:i/>
      <w:iCs/>
    </w:rPr>
  </w:style>
  <w:style w:type="character" w:styleId="UyteHipercze">
    <w:name w:val="FollowedHyperlink"/>
    <w:rsid w:val="00A256AC"/>
    <w:rPr>
      <w:color w:val="800080"/>
      <w:u w:val="single"/>
    </w:rPr>
  </w:style>
  <w:style w:type="paragraph" w:customStyle="1" w:styleId="TableTextColHead">
    <w:name w:val="TableText Col Head"/>
    <w:next w:val="Normalny"/>
    <w:rsid w:val="00C671E5"/>
    <w:pPr>
      <w:jc w:val="center"/>
    </w:pPr>
    <w:rPr>
      <w:rFonts w:ascii="Times New Roman Bold" w:hAnsi="Times New Roman Bold"/>
      <w:b/>
      <w:sz w:val="22"/>
      <w:szCs w:val="22"/>
      <w:lang w:val="en-US" w:eastAsia="en-US"/>
    </w:rPr>
  </w:style>
  <w:style w:type="paragraph" w:customStyle="1" w:styleId="TableTextFootnote">
    <w:name w:val="TableText Footnote"/>
    <w:rsid w:val="00C671E5"/>
    <w:rPr>
      <w:sz w:val="22"/>
      <w:szCs w:val="22"/>
      <w:lang w:val="en-US" w:eastAsia="en-US"/>
    </w:rPr>
  </w:style>
  <w:style w:type="paragraph" w:customStyle="1" w:styleId="Paragraph">
    <w:name w:val="Paragraph"/>
    <w:link w:val="ParagraphChar1"/>
    <w:rsid w:val="00FE15C8"/>
    <w:pPr>
      <w:spacing w:after="240"/>
    </w:pPr>
    <w:rPr>
      <w:sz w:val="24"/>
      <w:szCs w:val="24"/>
      <w:lang w:val="en-US" w:eastAsia="en-US"/>
    </w:rPr>
  </w:style>
  <w:style w:type="character" w:customStyle="1" w:styleId="ParagraphChar1">
    <w:name w:val="Paragraph Char1"/>
    <w:link w:val="Paragraph"/>
    <w:rsid w:val="00FE15C8"/>
    <w:rPr>
      <w:sz w:val="24"/>
      <w:szCs w:val="24"/>
      <w:lang w:val="en-US" w:eastAsia="en-US" w:bidi="ar-SA"/>
    </w:rPr>
  </w:style>
  <w:style w:type="paragraph" w:customStyle="1" w:styleId="ListParagraph1">
    <w:name w:val="List Paragraph1"/>
    <w:basedOn w:val="Normalny"/>
    <w:uiPriority w:val="34"/>
    <w:qFormat/>
    <w:rsid w:val="004F159E"/>
    <w:pPr>
      <w:ind w:left="708"/>
    </w:pPr>
  </w:style>
  <w:style w:type="paragraph" w:customStyle="1" w:styleId="Revision1">
    <w:name w:val="Revision1"/>
    <w:hidden/>
    <w:uiPriority w:val="99"/>
    <w:semiHidden/>
    <w:rsid w:val="003C7BC1"/>
    <w:rPr>
      <w:sz w:val="24"/>
      <w:szCs w:val="22"/>
      <w:lang w:val="pl-PL" w:eastAsia="pl-PL"/>
    </w:rPr>
  </w:style>
  <w:style w:type="paragraph" w:customStyle="1" w:styleId="Revision2">
    <w:name w:val="Revision2"/>
    <w:hidden/>
    <w:uiPriority w:val="99"/>
    <w:semiHidden/>
    <w:rsid w:val="00666C38"/>
    <w:rPr>
      <w:sz w:val="24"/>
      <w:szCs w:val="22"/>
      <w:lang w:val="pl-PL" w:eastAsia="pl-PL"/>
    </w:rPr>
  </w:style>
  <w:style w:type="paragraph" w:customStyle="1" w:styleId="Revision3">
    <w:name w:val="Revision3"/>
    <w:hidden/>
    <w:uiPriority w:val="99"/>
    <w:semiHidden/>
    <w:rsid w:val="003E7F57"/>
    <w:rPr>
      <w:sz w:val="24"/>
      <w:szCs w:val="22"/>
      <w:lang w:val="pl-PL" w:eastAsia="pl-PL"/>
    </w:rPr>
  </w:style>
  <w:style w:type="character" w:customStyle="1" w:styleId="TableTextChar">
    <w:name w:val="TableText Char"/>
    <w:link w:val="TableText"/>
    <w:rsid w:val="008E5B4A"/>
    <w:rPr>
      <w:rFonts w:cs="Arial"/>
      <w:sz w:val="22"/>
      <w:szCs w:val="22"/>
      <w:lang w:val="en-US" w:eastAsia="en-US" w:bidi="ar-SA"/>
    </w:rPr>
  </w:style>
  <w:style w:type="paragraph" w:customStyle="1" w:styleId="CM11">
    <w:name w:val="CM11"/>
    <w:basedOn w:val="Default"/>
    <w:next w:val="Default"/>
    <w:rsid w:val="004315BC"/>
    <w:pPr>
      <w:spacing w:line="243" w:lineRule="atLeast"/>
    </w:pPr>
    <w:rPr>
      <w:color w:val="auto"/>
    </w:rPr>
  </w:style>
  <w:style w:type="character" w:customStyle="1" w:styleId="TekstkomentarzaZnak">
    <w:name w:val="Tekst komentarza Znak"/>
    <w:link w:val="Tekstkomentarza"/>
    <w:semiHidden/>
    <w:locked/>
    <w:rsid w:val="003D7BAC"/>
    <w:rPr>
      <w:lang w:val="pl-PL" w:eastAsia="pl-PL" w:bidi="ar-SA"/>
    </w:rPr>
  </w:style>
  <w:style w:type="character" w:customStyle="1" w:styleId="ZnakZnak">
    <w:name w:val="Znak Znak"/>
    <w:semiHidden/>
    <w:locked/>
    <w:rsid w:val="00365CAF"/>
    <w:rPr>
      <w:lang w:val="pl-PL" w:eastAsia="pl-PL" w:bidi="ar-SA"/>
    </w:rPr>
  </w:style>
  <w:style w:type="paragraph" w:customStyle="1" w:styleId="CM65">
    <w:name w:val="CM65"/>
    <w:basedOn w:val="Normalny"/>
    <w:rsid w:val="00C94121"/>
    <w:pPr>
      <w:widowControl/>
      <w:autoSpaceDE w:val="0"/>
      <w:autoSpaceDN w:val="0"/>
      <w:spacing w:after="98"/>
    </w:pPr>
    <w:rPr>
      <w:szCs w:val="24"/>
    </w:rPr>
  </w:style>
  <w:style w:type="paragraph" w:customStyle="1" w:styleId="Kolorowalistaakcent11">
    <w:name w:val="Kolorowa lista — akcent 11"/>
    <w:basedOn w:val="Normalny"/>
    <w:uiPriority w:val="34"/>
    <w:qFormat/>
    <w:rsid w:val="00C130F7"/>
    <w:pPr>
      <w:widowControl/>
      <w:spacing w:after="200" w:line="276" w:lineRule="auto"/>
      <w:ind w:left="720"/>
      <w:contextualSpacing/>
    </w:pPr>
    <w:rPr>
      <w:rFonts w:ascii="Calibri" w:hAnsi="Calibri"/>
      <w:sz w:val="22"/>
      <w:lang w:val="en-US" w:eastAsia="en-US"/>
    </w:rPr>
  </w:style>
  <w:style w:type="paragraph" w:customStyle="1" w:styleId="11">
    <w:name w:val="11"/>
    <w:basedOn w:val="Normalny"/>
    <w:qFormat/>
    <w:rsid w:val="00454903"/>
    <w:pPr>
      <w:jc w:val="center"/>
    </w:pPr>
    <w:rPr>
      <w:b/>
      <w:sz w:val="22"/>
    </w:rPr>
  </w:style>
  <w:style w:type="paragraph" w:customStyle="1" w:styleId="12">
    <w:name w:val="12"/>
    <w:basedOn w:val="Normalny"/>
    <w:qFormat/>
    <w:rsid w:val="00454903"/>
    <w:pPr>
      <w:keepNext/>
      <w:autoSpaceDE w:val="0"/>
      <w:autoSpaceDN w:val="0"/>
      <w:adjustRightInd w:val="0"/>
      <w:spacing w:line="276" w:lineRule="auto"/>
    </w:pPr>
    <w:rPr>
      <w:b/>
      <w:bCs/>
      <w:color w:val="000000"/>
      <w:sz w:val="22"/>
    </w:rPr>
  </w:style>
  <w:style w:type="paragraph" w:customStyle="1" w:styleId="13">
    <w:name w:val="13"/>
    <w:basedOn w:val="Normalny"/>
    <w:qFormat/>
    <w:rsid w:val="00454903"/>
    <w:pPr>
      <w:keepNext/>
      <w:autoSpaceDE w:val="0"/>
      <w:autoSpaceDN w:val="0"/>
      <w:adjustRightInd w:val="0"/>
      <w:spacing w:before="280" w:after="220" w:line="276" w:lineRule="auto"/>
      <w:ind w:left="720" w:right="120" w:hanging="540"/>
    </w:pPr>
    <w:rPr>
      <w:b/>
      <w:bCs/>
      <w:color w:val="000000"/>
      <w:sz w:val="22"/>
    </w:rPr>
  </w:style>
  <w:style w:type="paragraph" w:customStyle="1" w:styleId="14">
    <w:name w:val="14"/>
    <w:basedOn w:val="Normalny"/>
    <w:qFormat/>
    <w:rsid w:val="00454903"/>
    <w:pPr>
      <w:autoSpaceDE w:val="0"/>
      <w:autoSpaceDN w:val="0"/>
      <w:adjustRightInd w:val="0"/>
      <w:spacing w:after="140" w:line="280" w:lineRule="atLeast"/>
      <w:ind w:left="127" w:right="120"/>
    </w:pPr>
    <w:rPr>
      <w:b/>
      <w:bCs/>
      <w:color w:val="000000"/>
      <w:sz w:val="22"/>
    </w:rPr>
  </w:style>
  <w:style w:type="paragraph" w:customStyle="1" w:styleId="15">
    <w:name w:val="15"/>
    <w:basedOn w:val="Normalny"/>
    <w:qFormat/>
    <w:rsid w:val="00454903"/>
    <w:pPr>
      <w:keepNext/>
      <w:autoSpaceDE w:val="0"/>
      <w:autoSpaceDN w:val="0"/>
      <w:adjustRightInd w:val="0"/>
      <w:spacing w:before="280" w:after="220"/>
      <w:ind w:left="847" w:right="120" w:hanging="720"/>
    </w:pPr>
    <w:rPr>
      <w:b/>
      <w:bCs/>
      <w:color w:val="000000"/>
      <w:sz w:val="22"/>
    </w:rPr>
  </w:style>
  <w:style w:type="paragraph" w:customStyle="1" w:styleId="16">
    <w:name w:val="16"/>
    <w:basedOn w:val="Normalny"/>
    <w:qFormat/>
    <w:rsid w:val="00454903"/>
    <w:pPr>
      <w:ind w:firstLine="240"/>
      <w:jc w:val="center"/>
    </w:pPr>
    <w:rPr>
      <w:b/>
      <w:sz w:val="22"/>
    </w:rPr>
  </w:style>
  <w:style w:type="paragraph" w:customStyle="1" w:styleId="17">
    <w:name w:val="17"/>
    <w:basedOn w:val="Normalny"/>
    <w:qFormat/>
    <w:rsid w:val="00454903"/>
    <w:pPr>
      <w:ind w:firstLine="240"/>
      <w:jc w:val="center"/>
    </w:pPr>
    <w:rPr>
      <w:b/>
      <w:sz w:val="22"/>
    </w:rPr>
  </w:style>
  <w:style w:type="character" w:customStyle="1" w:styleId="st1">
    <w:name w:val="st1"/>
    <w:basedOn w:val="Domylnaczcionkaakapitu"/>
    <w:rsid w:val="00E279AD"/>
  </w:style>
  <w:style w:type="character" w:customStyle="1" w:styleId="TableText12">
    <w:name w:val="TableText 12"/>
    <w:rsid w:val="00D31C86"/>
    <w:rPr>
      <w:rFonts w:ascii="Times New Roman" w:hAnsi="Times New Roman"/>
      <w:sz w:val="24"/>
    </w:rPr>
  </w:style>
  <w:style w:type="character" w:customStyle="1" w:styleId="Instructions">
    <w:name w:val="Instructions"/>
    <w:rsid w:val="009552F4"/>
    <w:rPr>
      <w:i/>
      <w:iCs/>
      <w:color w:val="008000"/>
    </w:rPr>
  </w:style>
  <w:style w:type="paragraph" w:customStyle="1" w:styleId="Kolorowecieniowanieakcent11">
    <w:name w:val="Kolorowe cieniowanie — akcent 11"/>
    <w:hidden/>
    <w:uiPriority w:val="99"/>
    <w:semiHidden/>
    <w:rsid w:val="005138D5"/>
    <w:rPr>
      <w:sz w:val="24"/>
      <w:szCs w:val="22"/>
      <w:lang w:val="pl-PL" w:eastAsia="pl-PL"/>
    </w:rPr>
  </w:style>
  <w:style w:type="paragraph" w:styleId="Poprawka">
    <w:name w:val="Revision"/>
    <w:hidden/>
    <w:uiPriority w:val="99"/>
    <w:semiHidden/>
    <w:rsid w:val="00A31C89"/>
    <w:rPr>
      <w:sz w:val="24"/>
      <w:szCs w:val="22"/>
      <w:lang w:val="pl-PL" w:eastAsia="pl-PL"/>
    </w:rPr>
  </w:style>
  <w:style w:type="paragraph" w:styleId="HTML-wstpniesformatowany">
    <w:name w:val="HTML Preformatted"/>
    <w:basedOn w:val="Normalny"/>
    <w:link w:val="HTML-wstpniesformatowanyZnak"/>
    <w:rsid w:val="00DB3973"/>
    <w:rPr>
      <w:rFonts w:ascii="Courier New" w:hAnsi="Courier New" w:cs="Courier New"/>
      <w:sz w:val="20"/>
      <w:szCs w:val="20"/>
    </w:rPr>
  </w:style>
  <w:style w:type="character" w:customStyle="1" w:styleId="HTML-wstpniesformatowanyZnak">
    <w:name w:val="HTML - wstępnie sformatowany Znak"/>
    <w:link w:val="HTML-wstpniesformatowany"/>
    <w:rsid w:val="00DB3973"/>
    <w:rPr>
      <w:rFonts w:ascii="Courier New" w:hAnsi="Courier New" w:cs="Courier New"/>
      <w:lang w:val="pl-PL" w:eastAsia="pl-PL"/>
    </w:rPr>
  </w:style>
  <w:style w:type="paragraph" w:styleId="Akapitzlist">
    <w:name w:val="List Paragraph"/>
    <w:basedOn w:val="Normalny"/>
    <w:uiPriority w:val="34"/>
    <w:qFormat/>
    <w:rsid w:val="004E5AF3"/>
    <w:pPr>
      <w:ind w:left="720"/>
      <w:contextualSpacing/>
    </w:pPr>
  </w:style>
  <w:style w:type="character" w:styleId="Nierozpoznanawzmianka">
    <w:name w:val="Unresolved Mention"/>
    <w:basedOn w:val="Domylnaczcionkaakapitu"/>
    <w:uiPriority w:val="99"/>
    <w:semiHidden/>
    <w:unhideWhenUsed/>
    <w:rsid w:val="0009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79">
      <w:bodyDiv w:val="1"/>
      <w:marLeft w:val="0"/>
      <w:marRight w:val="0"/>
      <w:marTop w:val="0"/>
      <w:marBottom w:val="0"/>
      <w:divBdr>
        <w:top w:val="none" w:sz="0" w:space="0" w:color="auto"/>
        <w:left w:val="none" w:sz="0" w:space="0" w:color="auto"/>
        <w:bottom w:val="none" w:sz="0" w:space="0" w:color="auto"/>
        <w:right w:val="none" w:sz="0" w:space="0" w:color="auto"/>
      </w:divBdr>
    </w:div>
    <w:div w:id="341710853">
      <w:bodyDiv w:val="1"/>
      <w:marLeft w:val="0"/>
      <w:marRight w:val="0"/>
      <w:marTop w:val="0"/>
      <w:marBottom w:val="0"/>
      <w:divBdr>
        <w:top w:val="none" w:sz="0" w:space="0" w:color="auto"/>
        <w:left w:val="none" w:sz="0" w:space="0" w:color="auto"/>
        <w:bottom w:val="none" w:sz="0" w:space="0" w:color="auto"/>
        <w:right w:val="none" w:sz="0" w:space="0" w:color="auto"/>
      </w:divBdr>
    </w:div>
    <w:div w:id="342559450">
      <w:bodyDiv w:val="1"/>
      <w:marLeft w:val="0"/>
      <w:marRight w:val="0"/>
      <w:marTop w:val="0"/>
      <w:marBottom w:val="0"/>
      <w:divBdr>
        <w:top w:val="none" w:sz="0" w:space="0" w:color="auto"/>
        <w:left w:val="none" w:sz="0" w:space="0" w:color="auto"/>
        <w:bottom w:val="none" w:sz="0" w:space="0" w:color="auto"/>
        <w:right w:val="none" w:sz="0" w:space="0" w:color="auto"/>
      </w:divBdr>
    </w:div>
    <w:div w:id="387454785">
      <w:bodyDiv w:val="1"/>
      <w:marLeft w:val="0"/>
      <w:marRight w:val="0"/>
      <w:marTop w:val="0"/>
      <w:marBottom w:val="0"/>
      <w:divBdr>
        <w:top w:val="none" w:sz="0" w:space="0" w:color="auto"/>
        <w:left w:val="none" w:sz="0" w:space="0" w:color="auto"/>
        <w:bottom w:val="none" w:sz="0" w:space="0" w:color="auto"/>
        <w:right w:val="none" w:sz="0" w:space="0" w:color="auto"/>
      </w:divBdr>
    </w:div>
    <w:div w:id="416286854">
      <w:bodyDiv w:val="1"/>
      <w:marLeft w:val="0"/>
      <w:marRight w:val="0"/>
      <w:marTop w:val="0"/>
      <w:marBottom w:val="0"/>
      <w:divBdr>
        <w:top w:val="none" w:sz="0" w:space="0" w:color="auto"/>
        <w:left w:val="none" w:sz="0" w:space="0" w:color="auto"/>
        <w:bottom w:val="none" w:sz="0" w:space="0" w:color="auto"/>
        <w:right w:val="none" w:sz="0" w:space="0" w:color="auto"/>
      </w:divBdr>
    </w:div>
    <w:div w:id="472337532">
      <w:bodyDiv w:val="1"/>
      <w:marLeft w:val="0"/>
      <w:marRight w:val="0"/>
      <w:marTop w:val="0"/>
      <w:marBottom w:val="0"/>
      <w:divBdr>
        <w:top w:val="none" w:sz="0" w:space="0" w:color="auto"/>
        <w:left w:val="none" w:sz="0" w:space="0" w:color="auto"/>
        <w:bottom w:val="none" w:sz="0" w:space="0" w:color="auto"/>
        <w:right w:val="none" w:sz="0" w:space="0" w:color="auto"/>
      </w:divBdr>
    </w:div>
    <w:div w:id="575483135">
      <w:bodyDiv w:val="1"/>
      <w:marLeft w:val="0"/>
      <w:marRight w:val="0"/>
      <w:marTop w:val="0"/>
      <w:marBottom w:val="0"/>
      <w:divBdr>
        <w:top w:val="none" w:sz="0" w:space="0" w:color="auto"/>
        <w:left w:val="none" w:sz="0" w:space="0" w:color="auto"/>
        <w:bottom w:val="none" w:sz="0" w:space="0" w:color="auto"/>
        <w:right w:val="none" w:sz="0" w:space="0" w:color="auto"/>
      </w:divBdr>
    </w:div>
    <w:div w:id="798189433">
      <w:bodyDiv w:val="1"/>
      <w:marLeft w:val="0"/>
      <w:marRight w:val="0"/>
      <w:marTop w:val="0"/>
      <w:marBottom w:val="0"/>
      <w:divBdr>
        <w:top w:val="none" w:sz="0" w:space="0" w:color="auto"/>
        <w:left w:val="none" w:sz="0" w:space="0" w:color="auto"/>
        <w:bottom w:val="none" w:sz="0" w:space="0" w:color="auto"/>
        <w:right w:val="none" w:sz="0" w:space="0" w:color="auto"/>
      </w:divBdr>
    </w:div>
    <w:div w:id="809833239">
      <w:bodyDiv w:val="1"/>
      <w:marLeft w:val="0"/>
      <w:marRight w:val="0"/>
      <w:marTop w:val="0"/>
      <w:marBottom w:val="0"/>
      <w:divBdr>
        <w:top w:val="none" w:sz="0" w:space="0" w:color="auto"/>
        <w:left w:val="none" w:sz="0" w:space="0" w:color="auto"/>
        <w:bottom w:val="none" w:sz="0" w:space="0" w:color="auto"/>
        <w:right w:val="none" w:sz="0" w:space="0" w:color="auto"/>
      </w:divBdr>
    </w:div>
    <w:div w:id="877816799">
      <w:bodyDiv w:val="1"/>
      <w:marLeft w:val="0"/>
      <w:marRight w:val="0"/>
      <w:marTop w:val="0"/>
      <w:marBottom w:val="0"/>
      <w:divBdr>
        <w:top w:val="none" w:sz="0" w:space="0" w:color="auto"/>
        <w:left w:val="none" w:sz="0" w:space="0" w:color="auto"/>
        <w:bottom w:val="none" w:sz="0" w:space="0" w:color="auto"/>
        <w:right w:val="none" w:sz="0" w:space="0" w:color="auto"/>
      </w:divBdr>
    </w:div>
    <w:div w:id="900943483">
      <w:bodyDiv w:val="1"/>
      <w:marLeft w:val="0"/>
      <w:marRight w:val="0"/>
      <w:marTop w:val="0"/>
      <w:marBottom w:val="0"/>
      <w:divBdr>
        <w:top w:val="none" w:sz="0" w:space="0" w:color="auto"/>
        <w:left w:val="none" w:sz="0" w:space="0" w:color="auto"/>
        <w:bottom w:val="none" w:sz="0" w:space="0" w:color="auto"/>
        <w:right w:val="none" w:sz="0" w:space="0" w:color="auto"/>
      </w:divBdr>
    </w:div>
    <w:div w:id="911693107">
      <w:bodyDiv w:val="1"/>
      <w:marLeft w:val="0"/>
      <w:marRight w:val="0"/>
      <w:marTop w:val="0"/>
      <w:marBottom w:val="0"/>
      <w:divBdr>
        <w:top w:val="none" w:sz="0" w:space="0" w:color="auto"/>
        <w:left w:val="none" w:sz="0" w:space="0" w:color="auto"/>
        <w:bottom w:val="none" w:sz="0" w:space="0" w:color="auto"/>
        <w:right w:val="none" w:sz="0" w:space="0" w:color="auto"/>
      </w:divBdr>
    </w:div>
    <w:div w:id="997462412">
      <w:bodyDiv w:val="1"/>
      <w:marLeft w:val="0"/>
      <w:marRight w:val="0"/>
      <w:marTop w:val="0"/>
      <w:marBottom w:val="0"/>
      <w:divBdr>
        <w:top w:val="none" w:sz="0" w:space="0" w:color="auto"/>
        <w:left w:val="none" w:sz="0" w:space="0" w:color="auto"/>
        <w:bottom w:val="none" w:sz="0" w:space="0" w:color="auto"/>
        <w:right w:val="none" w:sz="0" w:space="0" w:color="auto"/>
      </w:divBdr>
    </w:div>
    <w:div w:id="1043333739">
      <w:bodyDiv w:val="1"/>
      <w:marLeft w:val="0"/>
      <w:marRight w:val="0"/>
      <w:marTop w:val="0"/>
      <w:marBottom w:val="0"/>
      <w:divBdr>
        <w:top w:val="none" w:sz="0" w:space="0" w:color="auto"/>
        <w:left w:val="none" w:sz="0" w:space="0" w:color="auto"/>
        <w:bottom w:val="none" w:sz="0" w:space="0" w:color="auto"/>
        <w:right w:val="none" w:sz="0" w:space="0" w:color="auto"/>
      </w:divBdr>
    </w:div>
    <w:div w:id="1229538586">
      <w:bodyDiv w:val="1"/>
      <w:marLeft w:val="0"/>
      <w:marRight w:val="0"/>
      <w:marTop w:val="0"/>
      <w:marBottom w:val="0"/>
      <w:divBdr>
        <w:top w:val="none" w:sz="0" w:space="0" w:color="auto"/>
        <w:left w:val="none" w:sz="0" w:space="0" w:color="auto"/>
        <w:bottom w:val="none" w:sz="0" w:space="0" w:color="auto"/>
        <w:right w:val="none" w:sz="0" w:space="0" w:color="auto"/>
      </w:divBdr>
    </w:div>
    <w:div w:id="1247570978">
      <w:bodyDiv w:val="1"/>
      <w:marLeft w:val="0"/>
      <w:marRight w:val="0"/>
      <w:marTop w:val="0"/>
      <w:marBottom w:val="0"/>
      <w:divBdr>
        <w:top w:val="none" w:sz="0" w:space="0" w:color="auto"/>
        <w:left w:val="none" w:sz="0" w:space="0" w:color="auto"/>
        <w:bottom w:val="none" w:sz="0" w:space="0" w:color="auto"/>
        <w:right w:val="none" w:sz="0" w:space="0" w:color="auto"/>
      </w:divBdr>
    </w:div>
    <w:div w:id="1249193286">
      <w:bodyDiv w:val="1"/>
      <w:marLeft w:val="0"/>
      <w:marRight w:val="0"/>
      <w:marTop w:val="0"/>
      <w:marBottom w:val="0"/>
      <w:divBdr>
        <w:top w:val="none" w:sz="0" w:space="0" w:color="auto"/>
        <w:left w:val="none" w:sz="0" w:space="0" w:color="auto"/>
        <w:bottom w:val="none" w:sz="0" w:space="0" w:color="auto"/>
        <w:right w:val="none" w:sz="0" w:space="0" w:color="auto"/>
      </w:divBdr>
    </w:div>
    <w:div w:id="1496533076">
      <w:bodyDiv w:val="1"/>
      <w:marLeft w:val="0"/>
      <w:marRight w:val="0"/>
      <w:marTop w:val="0"/>
      <w:marBottom w:val="0"/>
      <w:divBdr>
        <w:top w:val="none" w:sz="0" w:space="0" w:color="auto"/>
        <w:left w:val="none" w:sz="0" w:space="0" w:color="auto"/>
        <w:bottom w:val="none" w:sz="0" w:space="0" w:color="auto"/>
        <w:right w:val="none" w:sz="0" w:space="0" w:color="auto"/>
      </w:divBdr>
    </w:div>
    <w:div w:id="1631282194">
      <w:bodyDiv w:val="1"/>
      <w:marLeft w:val="0"/>
      <w:marRight w:val="0"/>
      <w:marTop w:val="0"/>
      <w:marBottom w:val="0"/>
      <w:divBdr>
        <w:top w:val="none" w:sz="0" w:space="0" w:color="auto"/>
        <w:left w:val="none" w:sz="0" w:space="0" w:color="auto"/>
        <w:bottom w:val="none" w:sz="0" w:space="0" w:color="auto"/>
        <w:right w:val="none" w:sz="0" w:space="0" w:color="auto"/>
      </w:divBdr>
    </w:div>
    <w:div w:id="1939673235">
      <w:bodyDiv w:val="1"/>
      <w:marLeft w:val="0"/>
      <w:marRight w:val="0"/>
      <w:marTop w:val="0"/>
      <w:marBottom w:val="0"/>
      <w:divBdr>
        <w:top w:val="none" w:sz="0" w:space="0" w:color="auto"/>
        <w:left w:val="none" w:sz="0" w:space="0" w:color="auto"/>
        <w:bottom w:val="none" w:sz="0" w:space="0" w:color="auto"/>
        <w:right w:val="none" w:sz="0" w:space="0" w:color="auto"/>
      </w:divBdr>
    </w:div>
    <w:div w:id="2018998460">
      <w:bodyDiv w:val="1"/>
      <w:marLeft w:val="0"/>
      <w:marRight w:val="0"/>
      <w:marTop w:val="0"/>
      <w:marBottom w:val="0"/>
      <w:divBdr>
        <w:top w:val="none" w:sz="0" w:space="0" w:color="auto"/>
        <w:left w:val="none" w:sz="0" w:space="0" w:color="auto"/>
        <w:bottom w:val="none" w:sz="0" w:space="0" w:color="auto"/>
        <w:right w:val="none" w:sz="0" w:space="0" w:color="auto"/>
      </w:divBdr>
    </w:div>
    <w:div w:id="20824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riconazol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EMADOC-1700519818-2319903</_dlc_DocId>
    <_dlc_DocIdUrl xmlns="a034c160-bfb7-45f5-8632-2eb7e0508071">
      <Url>https://euema.sharepoint.com/sites/CRM/_layouts/15/DocIdRedir.aspx?ID=EMADOC-1700519818-2319903</Url>
      <Description>EMADOC-1700519818-2319903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60281C-26AF-4B61-A291-BDEDAD58FE07}">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2.xml><?xml version="1.0" encoding="utf-8"?>
<ds:datastoreItem xmlns:ds="http://schemas.openxmlformats.org/officeDocument/2006/customXml" ds:itemID="{EECBF487-C8F1-418A-9541-36B2BC1BD194}">
  <ds:schemaRefs>
    <ds:schemaRef ds:uri="http://schemas.microsoft.com/sharepoint/v3/contenttype/forms"/>
  </ds:schemaRefs>
</ds:datastoreItem>
</file>

<file path=customXml/itemProps3.xml><?xml version="1.0" encoding="utf-8"?>
<ds:datastoreItem xmlns:ds="http://schemas.openxmlformats.org/officeDocument/2006/customXml" ds:itemID="{16B3F1CB-5E7D-40BC-9789-2B42ACC5C4FB}"/>
</file>

<file path=customXml/itemProps4.xml><?xml version="1.0" encoding="utf-8"?>
<ds:datastoreItem xmlns:ds="http://schemas.openxmlformats.org/officeDocument/2006/customXml" ds:itemID="{A2EF9CBC-4E13-4AB8-9318-F5471368BE28}">
  <ds:schemaRefs>
    <ds:schemaRef ds:uri="http://schemas.openxmlformats.org/officeDocument/2006/bibliography"/>
  </ds:schemaRefs>
</ds:datastoreItem>
</file>

<file path=customXml/itemProps5.xml><?xml version="1.0" encoding="utf-8"?>
<ds:datastoreItem xmlns:ds="http://schemas.openxmlformats.org/officeDocument/2006/customXml" ds:itemID="{0C13308D-C9E9-4B06-89ED-ACE1AA94043C}"/>
</file>

<file path=docProps/app.xml><?xml version="1.0" encoding="utf-8"?>
<Properties xmlns="http://schemas.openxmlformats.org/officeDocument/2006/extended-properties" xmlns:vt="http://schemas.openxmlformats.org/officeDocument/2006/docPropsVTypes">
  <Template>Normal.dotm</Template>
  <TotalTime>6</TotalTime>
  <Pages>60</Pages>
  <Words>17161</Words>
  <Characters>115238</Characters>
  <Application>Microsoft Office Word</Application>
  <DocSecurity>0</DocSecurity>
  <Lines>960</Lines>
  <Paragraphs>264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Voriconazole Accord : EPAR – Product information – tracked changes</vt:lpstr>
      <vt:lpstr>Voriconazole Accord, INN-Voriconazole</vt:lpstr>
    </vt:vector>
  </TitlesOfParts>
  <Company>Hewlett-Packard Company</Company>
  <LinksUpToDate>false</LinksUpToDate>
  <CharactersWithSpaces>132135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 EPAR – Product information</dc:title>
  <dc:subject>EPAR</dc:subject>
  <dc:creator>CHMP</dc:creator>
  <cp:keywords>Voriconazole Accord, INN-Voriconazole</cp:keywords>
  <cp:lastModifiedBy>ABB</cp:lastModifiedBy>
  <cp:revision>6</cp:revision>
  <cp:lastPrinted>2025-05-01T10:18:00Z</cp:lastPrinted>
  <dcterms:created xsi:type="dcterms:W3CDTF">2025-05-01T10:17:00Z</dcterms:created>
  <dcterms:modified xsi:type="dcterms:W3CDTF">2025-07-08T11:42:00Z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Information-EMEA/413343/2006</vt:lpwstr>
  </property>
  <property fmtid="{D5CDD505-2E9C-101B-9397-08002B2CF9AE}" pid="6" name="DM_Title">
    <vt:lpwstr/>
  </property>
  <property fmtid="{D5CDD505-2E9C-101B-9397-08002B2CF9AE}" pid="7" name="DM_Language">
    <vt:lpwstr/>
  </property>
  <property fmtid="{D5CDD505-2E9C-101B-9397-08002B2CF9AE}" pid="8" name="DM_Name">
    <vt:lpwstr>Vfend-H-387-II-39-PI-pl</vt:lpwstr>
  </property>
  <property fmtid="{D5CDD505-2E9C-101B-9397-08002B2CF9AE}" pid="9" name="DM_Owner">
    <vt:lpwstr>Fratczak Ganpatsingh Magdalena</vt:lpwstr>
  </property>
  <property fmtid="{D5CDD505-2E9C-101B-9397-08002B2CF9AE}" pid="10" name="DM_Creation_Date">
    <vt:lpwstr>13/10/2006 17:09:12</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17/10/2006 16:15:06</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EMEA/413343/2006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413343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pl_PL</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MSIP_Label_926dd0f0-549d-4a31-862c-c1638adefb3b_Enabled">
    <vt:lpwstr>true</vt:lpwstr>
  </property>
  <property fmtid="{D5CDD505-2E9C-101B-9397-08002B2CF9AE}" pid="43" name="MSIP_Label_926dd0f0-549d-4a31-862c-c1638adefb3b_SetDate">
    <vt:lpwstr>2023-05-02T08:40:30Z</vt:lpwstr>
  </property>
  <property fmtid="{D5CDD505-2E9C-101B-9397-08002B2CF9AE}" pid="44" name="MSIP_Label_926dd0f0-549d-4a31-862c-c1638adefb3b_Method">
    <vt:lpwstr>Privileged</vt:lpwstr>
  </property>
  <property fmtid="{D5CDD505-2E9C-101B-9397-08002B2CF9AE}" pid="45" name="MSIP_Label_926dd0f0-549d-4a31-862c-c1638adefb3b_Name">
    <vt:lpwstr>General Business Data</vt:lpwstr>
  </property>
  <property fmtid="{D5CDD505-2E9C-101B-9397-08002B2CF9AE}" pid="46" name="MSIP_Label_926dd0f0-549d-4a31-862c-c1638adefb3b_SiteId">
    <vt:lpwstr>565796f8-44be-4e6f-86bd-5f094ff1fe93</vt:lpwstr>
  </property>
  <property fmtid="{D5CDD505-2E9C-101B-9397-08002B2CF9AE}" pid="47" name="MSIP_Label_926dd0f0-549d-4a31-862c-c1638adefb3b_ActionId">
    <vt:lpwstr>d56e5df9-8058-4c01-8652-b5cc42ebf743</vt:lpwstr>
  </property>
  <property fmtid="{D5CDD505-2E9C-101B-9397-08002B2CF9AE}" pid="48" name="MSIP_Label_926dd0f0-549d-4a31-862c-c1638adefb3b_ContentBits">
    <vt:lpwstr>0</vt:lpwstr>
  </property>
  <property fmtid="{D5CDD505-2E9C-101B-9397-08002B2CF9AE}" pid="49" name="ContentTypeId">
    <vt:lpwstr>0x0101000DA6AD19014FF648A49316945EE786F90200176DED4FF78CD74995F64A0F46B59E48</vt:lpwstr>
  </property>
  <property fmtid="{D5CDD505-2E9C-101B-9397-08002B2CF9AE}" pid="50" name="_dlc_DocIdItemGuid">
    <vt:lpwstr>a1a590ff-fbd4-4d4d-888b-9e282e8300a2</vt:lpwstr>
  </property>
</Properties>
</file>