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7.10 -->
  <w:body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  <w:bookmarkStart w:id="0" w:name="_GoBack"/>
      <w:bookmarkEnd w:id="0"/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p w:rsidR="008F7D1F" w:rsidRPr="006C13DC">
      <w:pPr>
        <w:pStyle w:val="No-numheading3Agency"/>
        <w:jc w:val="center"/>
        <w:rPr>
          <w:rFonts w:ascii="Times New Roman" w:hAnsi="Times New Roman"/>
          <w:b w:val="0"/>
          <w:bCs w:val="0"/>
          <w:lang w:val="pl-PL"/>
        </w:rPr>
      </w:pPr>
      <w:r w:rsidRPr="006C13DC" w:rsidR="0026698A">
        <w:rPr>
          <w:rFonts w:ascii="Times New Roman" w:hAnsi="Times New Roman"/>
          <w:lang w:val="pl-PL"/>
        </w:rPr>
        <w:t>ANEKS IV</w:t>
      </w:r>
    </w:p>
    <w:p w:rsidR="008F7D1F" w:rsidRPr="006C13DC">
      <w:pPr>
        <w:pStyle w:val="No-numheading3Agency"/>
        <w:jc w:val="center"/>
        <w:rPr>
          <w:rFonts w:ascii="Times New Roman" w:hAnsi="Times New Roman"/>
          <w:b w:val="0"/>
          <w:bCs w:val="0"/>
          <w:color w:val="000000"/>
          <w:lang w:val="pl-PL"/>
        </w:rPr>
      </w:pPr>
      <w:r w:rsidRPr="006C13DC" w:rsidR="0026698A">
        <w:rPr>
          <w:rFonts w:ascii="Times New Roman" w:hAnsi="Times New Roman"/>
          <w:lang w:val="pl-PL"/>
        </w:rPr>
        <w:t xml:space="preserve">WNIOSKI DOTYCZĄCE PRZYZNANIA POZWOLENIA W TRYBIE WARUNKOWEGO DOPUSZCZENIA DO OBROTU I </w:t>
      </w:r>
      <w:r w:rsidRPr="006C13DC" w:rsidR="0026698A">
        <w:rPr>
          <w:rFonts w:ascii="Times New Roman" w:hAnsi="Times New Roman"/>
          <w:bCs w:val="0"/>
          <w:noProof/>
          <w:lang w:val="pl-PL"/>
        </w:rPr>
        <w:t>&lt;PODOBIEŃSTWA LUB ODSTĘPSTW&gt; &lt;ORAZ&gt; &lt;PRZYZNANIA &lt;ROCZNEJ OCHRONY DOPUSZCZENIA DO OBROTU&gt; &lt;ROCZNEGO PRAWA DO WYŁĄCZNOŚCI DANYCH&gt;&gt; PRZEDSTAWIONE PRZEZ EUROPEJSKĄ AGENCJĘ LEKÓW</w:t>
      </w:r>
    </w:p>
    <w:p w:rsidR="008F7D1F" w:rsidRPr="006C13DC">
      <w:pPr>
        <w:pStyle w:val="No-numheading3Agency"/>
        <w:rPr>
          <w:rFonts w:ascii="Times New Roman" w:hAnsi="Times New Roman"/>
          <w:b w:val="0"/>
          <w:bCs w:val="0"/>
          <w:lang w:val="pl-PL"/>
        </w:rPr>
      </w:pPr>
      <w:r w:rsidRPr="006C13DC" w:rsidR="0026698A">
        <w:rPr>
          <w:rFonts w:ascii="Times New Roman" w:hAnsi="Times New Roman"/>
          <w:b w:val="0"/>
          <w:bCs w:val="0"/>
          <w:lang w:val="pl-PL"/>
        </w:rPr>
        <w:br w:type="page"/>
      </w:r>
      <w:r w:rsidRPr="006C13DC" w:rsidR="0026698A">
        <w:rPr>
          <w:rFonts w:ascii="Times New Roman" w:hAnsi="Times New Roman"/>
          <w:lang w:val="pl-PL"/>
        </w:rPr>
        <w:t>Wnioski przedstawione przez Europejską Agencję Leków dotyczące:</w:t>
      </w:r>
    </w:p>
    <w:p w:rsidR="008F7D1F" w:rsidRPr="00EE0B34">
      <w:pPr>
        <w:pStyle w:val="DraftingNotesAgency"/>
        <w:rPr>
          <w:rFonts w:ascii="Times New Roman" w:hAnsi="Times New Roman"/>
          <w:i w:val="0"/>
          <w:iCs w:val="0"/>
          <w:sz w:val="22"/>
          <w:szCs w:val="22"/>
          <w:lang w:val="en-US"/>
        </w:rPr>
      </w:pPr>
      <w:r w:rsidRPr="00EE0B34" w:rsidR="0026698A">
        <w:rPr>
          <w:rFonts w:ascii="Times New Roman" w:hAnsi="Times New Roman"/>
          <w:sz w:val="22"/>
          <w:szCs w:val="22"/>
          <w:lang w:val="en-US"/>
        </w:rPr>
        <w:t>[For the conditional marketing authorisation status and, where appropriate, for similarity and derogation, please select the statement(s) as provided below</w:t>
      </w:r>
      <w:r w:rsidRPr="00EE0B34" w:rsidR="0026698A">
        <w:rPr>
          <w:rFonts w:ascii="Times New Roman" w:hAnsi="Times New Roman"/>
          <w:sz w:val="22"/>
          <w:szCs w:val="22"/>
          <w:lang w:val="en-US"/>
        </w:rPr>
        <w:t>.]</w:t>
      </w:r>
    </w:p>
    <w:p w:rsidR="008F7D1F" w:rsidRPr="006C13DC">
      <w:pPr>
        <w:pStyle w:val="BodytextAgency"/>
        <w:numPr>
          <w:ilvl w:val="0"/>
          <w:numId w:val="32"/>
        </w:num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614683" w:rsidR="0026698A">
        <w:rPr>
          <w:rFonts w:ascii="Times New Roman" w:hAnsi="Times New Roman"/>
          <w:b/>
          <w:bCs/>
          <w:noProof/>
          <w:sz w:val="22"/>
          <w:szCs w:val="22"/>
          <w:lang w:val="pl-PL"/>
        </w:rPr>
        <w:t xml:space="preserve">przyznania </w:t>
      </w:r>
      <w:r w:rsidRPr="006C13DC">
        <w:rPr>
          <w:rFonts w:ascii="Times New Roman" w:hAnsi="Times New Roman"/>
          <w:b/>
          <w:bCs/>
          <w:sz w:val="22"/>
          <w:szCs w:val="22"/>
          <w:lang w:val="pl-PL"/>
        </w:rPr>
        <w:t>pozwoleni</w:t>
      </w:r>
      <w:r w:rsidR="009B45E2">
        <w:rPr>
          <w:rFonts w:ascii="Times New Roman" w:hAnsi="Times New Roman"/>
          <w:b/>
          <w:bCs/>
          <w:sz w:val="22"/>
          <w:szCs w:val="22"/>
          <w:lang w:val="pl-PL"/>
        </w:rPr>
        <w:t>a</w:t>
      </w:r>
      <w:r w:rsidRPr="006C13DC">
        <w:rPr>
          <w:rFonts w:ascii="Times New Roman" w:hAnsi="Times New Roman"/>
          <w:b/>
          <w:bCs/>
          <w:sz w:val="22"/>
          <w:szCs w:val="22"/>
          <w:lang w:val="pl-PL"/>
        </w:rPr>
        <w:t xml:space="preserve"> w trybie warunkowego dopuszczenia do obrotu </w:t>
      </w:r>
    </w:p>
    <w:p w:rsidR="008F7D1F" w:rsidRPr="006C13DC">
      <w:pPr>
        <w:pStyle w:val="BodytextAgency"/>
        <w:rPr>
          <w:rFonts w:ascii="Times New Roman" w:hAnsi="Times New Roman"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sz w:val="22"/>
          <w:szCs w:val="22"/>
          <w:lang w:val="pl-PL"/>
        </w:rPr>
        <w:t>Po rozpatrzeniu wniosku CHMP uznaje, że bilans korzyści do ryzyka jest korzystny i zaleca przyznanie pozwolenia w trybie warunkowego dopuszczenia do obrotu, co zostało szerzej omówione w Europejskim Publicznym Sprawozdaniu Oceniającym.</w:t>
      </w:r>
    </w:p>
    <w:p w:rsidR="008F7D1F" w:rsidRPr="006C13DC">
      <w:pPr>
        <w:pStyle w:val="BodytextAgency"/>
        <w:numPr>
          <w:ilvl w:val="0"/>
          <w:numId w:val="32"/>
        </w:num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b/>
          <w:bCs/>
          <w:sz w:val="22"/>
          <w:szCs w:val="22"/>
          <w:lang w:val="pl-PL"/>
        </w:rPr>
        <w:t xml:space="preserve">&lt;podobieństwa&gt; </w:t>
      </w:r>
    </w:p>
    <w:p w:rsidR="008F7D1F" w:rsidRPr="006C13DC">
      <w:pPr>
        <w:pStyle w:val="BodytextAgency"/>
        <w:rPr>
          <w:rFonts w:ascii="Times New Roman" w:hAnsi="Times New Roman"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&lt;CHMP uznaje, że </w:t>
      </w:r>
      <w:r w:rsidRPr="006C13DC" w:rsidR="0026698A">
        <w:rPr>
          <w:rFonts w:ascii="Times New Roman" w:hAnsi="Times New Roman"/>
          <w:noProof/>
          <w:sz w:val="22"/>
          <w:szCs w:val="22"/>
          <w:lang w:val="pl-PL"/>
        </w:rPr>
        <w:t>produkt leczniczy {nazwa produktu</w:t>
      </w:r>
      <w:r w:rsidRPr="00EE0B34" w:rsidR="00C31979">
        <w:rPr>
          <w:lang w:val="pl-PL"/>
        </w:rPr>
        <w:t xml:space="preserve"> </w:t>
      </w:r>
      <w:r w:rsidRPr="00C31979" w:rsidR="00C31979">
        <w:rPr>
          <w:rFonts w:ascii="Times New Roman" w:hAnsi="Times New Roman"/>
          <w:noProof/>
          <w:sz w:val="22"/>
          <w:szCs w:val="22"/>
          <w:lang w:val="pl-PL"/>
        </w:rPr>
        <w:t>leczniczego</w:t>
      </w:r>
      <w:r w:rsidRPr="006C13DC" w:rsidR="0026698A">
        <w:rPr>
          <w:rFonts w:ascii="Times New Roman" w:hAnsi="Times New Roman"/>
          <w:noProof/>
          <w:sz w:val="22"/>
          <w:szCs w:val="22"/>
          <w:lang w:val="pl-PL"/>
        </w:rPr>
        <w:t>}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 jest podobny do zatwierdzonych sierocych produktów leczniczych</w:t>
      </w:r>
      <w:r w:rsidRPr="006C13DC" w:rsidR="0026698A">
        <w:rPr>
          <w:rFonts w:ascii="Times New Roman" w:hAnsi="Times New Roman"/>
          <w:noProof/>
          <w:sz w:val="22"/>
          <w:szCs w:val="22"/>
          <w:lang w:val="pl-PL"/>
        </w:rPr>
        <w:t xml:space="preserve">, w rozumiemiu definicji zawartej 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>w art. 3 rozporządzenia Komisj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i (WE) nr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>847/2000, co zostało szerzej omówione w Europejskim Publicznym Sprawozdaniu Oceniającym.&gt;</w:t>
      </w:r>
    </w:p>
    <w:p w:rsidR="008F7D1F" w:rsidRPr="006C13DC">
      <w:pPr>
        <w:pStyle w:val="BodytextAgency"/>
        <w:numPr>
          <w:ilvl w:val="0"/>
          <w:numId w:val="32"/>
        </w:num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b/>
          <w:bCs/>
          <w:sz w:val="22"/>
          <w:szCs w:val="22"/>
          <w:lang w:val="pl-PL"/>
        </w:rPr>
        <w:t>&lt;odstępstw&gt;</w:t>
      </w:r>
    </w:p>
    <w:p w:rsidR="008F7D1F" w:rsidRPr="006C13DC">
      <w:pPr>
        <w:pStyle w:val="BodytextAgency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&lt;CHMP uznaje, że zgodnie z art. 8 rozporządzenia (WE) nr 141/2000 i &lt;art. 3 rozporządzenia Komisji (WE) nr 847/2000&gt; </w:t>
      </w:r>
      <w:r w:rsidRPr="006C13DC" w:rsidR="0026698A">
        <w:rPr>
          <w:rStyle w:val="DraftingNotesAgencyChar"/>
          <w:rFonts w:ascii="Times New Roman" w:hAnsi="Times New Roman" w:cs="Times New Roman"/>
          <w:sz w:val="22"/>
          <w:szCs w:val="22"/>
          <w:lang w:val="pl-PL"/>
        </w:rPr>
        <w:t>[only for the superiority d</w:t>
      </w:r>
      <w:r w:rsidRPr="006C13DC" w:rsidR="0026698A">
        <w:rPr>
          <w:rStyle w:val="DraftingNotesAgencyChar"/>
          <w:rFonts w:ascii="Times New Roman" w:hAnsi="Times New Roman" w:cs="Times New Roman"/>
          <w:sz w:val="22"/>
          <w:szCs w:val="22"/>
          <w:lang w:val="pl-PL"/>
        </w:rPr>
        <w:t>erogation]</w:t>
      </w:r>
      <w:r w:rsidRPr="006C13DC" w:rsidR="0026698A">
        <w:rPr>
          <w:rFonts w:ascii="Times New Roman" w:hAnsi="Times New Roman"/>
          <w:i/>
          <w:iCs/>
          <w:color w:val="008000"/>
          <w:sz w:val="22"/>
          <w:szCs w:val="22"/>
          <w:lang w:val="pl-PL"/>
        </w:rPr>
        <w:t xml:space="preserve"> </w:t>
      </w:r>
      <w:r w:rsidRPr="006C13DC" w:rsidR="0026698A">
        <w:rPr>
          <w:rFonts w:ascii="Times New Roman" w:hAnsi="Times New Roman"/>
          <w:i/>
          <w:noProof/>
          <w:color w:val="008000"/>
          <w:sz w:val="22"/>
          <w:szCs w:val="22"/>
          <w:lang w:val="pl-PL"/>
        </w:rPr>
        <w:t>&lt;</w:t>
      </w:r>
      <w:r w:rsidRPr="006C13DC" w:rsidR="0026698A">
        <w:rPr>
          <w:rFonts w:ascii="Times New Roman" w:hAnsi="Times New Roman"/>
          <w:noProof/>
          <w:color w:val="000000"/>
          <w:sz w:val="22"/>
          <w:szCs w:val="22"/>
          <w:lang w:val="pl-PL"/>
        </w:rPr>
        <w:t xml:space="preserve">ma&gt; &lt;mają&gt;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zastosowanie </w:t>
      </w:r>
      <w:r w:rsidRPr="006C13DC" w:rsidR="0026698A">
        <w:rPr>
          <w:rFonts w:ascii="Times New Roman" w:hAnsi="Times New Roman"/>
          <w:noProof/>
          <w:color w:val="000000"/>
          <w:sz w:val="22"/>
          <w:szCs w:val="22"/>
          <w:lang w:val="pl-PL"/>
        </w:rPr>
        <w:t xml:space="preserve">&lt;następujące &lt;odstępstwo&gt; &lt;odstępstwa&gt;&gt;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>określone w art. 8 ust.</w:t>
      </w:r>
      <w:r w:rsidR="009B45E2">
        <w:rPr>
          <w:rFonts w:ascii="Times New Roman" w:hAnsi="Times New Roman"/>
          <w:color w:val="000000"/>
          <w:sz w:val="22"/>
          <w:szCs w:val="22"/>
          <w:lang w:val="pl-PL"/>
        </w:rPr>
        <w:t xml:space="preserve">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>3 tego samego rozporządzenia, co zostało szerzej omówione w Europejskim Publicznym Sprawozdaniu</w:t>
      </w:r>
      <w:r w:rsidR="009B45E2">
        <w:rPr>
          <w:rFonts w:ascii="Times New Roman" w:hAnsi="Times New Roman"/>
          <w:color w:val="000000"/>
          <w:sz w:val="22"/>
          <w:szCs w:val="22"/>
          <w:lang w:val="pl-PL"/>
        </w:rPr>
        <w:t xml:space="preserve">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>Oceniającym:</w:t>
      </w:r>
    </w:p>
    <w:p w:rsidR="008F7D1F" w:rsidRPr="006C13DC">
      <w:pPr>
        <w:pStyle w:val="BodytextAgency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&lt;podmiot odpowiedzialny posiadający pozwolenie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na dopuszczenie produktu </w:t>
      </w:r>
      <w:r w:rsidRPr="006C13DC" w:rsidR="0026698A">
        <w:rPr>
          <w:rFonts w:ascii="Times New Roman" w:hAnsi="Times New Roman"/>
          <w:noProof/>
          <w:color w:val="000000"/>
          <w:sz w:val="22"/>
          <w:szCs w:val="22"/>
          <w:lang w:val="pl-PL"/>
        </w:rPr>
        <w:t xml:space="preserve">{nazwa zatwierdzonego do obrotu sierocego produktu leczniczego} </w:t>
      </w:r>
      <w:r w:rsidRPr="00C31979" w:rsidR="00C31979">
        <w:rPr>
          <w:rFonts w:ascii="Times New Roman" w:hAnsi="Times New Roman"/>
          <w:noProof/>
          <w:color w:val="000000"/>
          <w:sz w:val="22"/>
          <w:szCs w:val="22"/>
          <w:lang w:val="pl-PL"/>
        </w:rPr>
        <w:t xml:space="preserve">do obrotu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nie jest w stanie zapewnić </w:t>
      </w:r>
      <w:r w:rsidRPr="006C13DC" w:rsidR="0026698A">
        <w:rPr>
          <w:rFonts w:ascii="Times New Roman" w:hAnsi="Times New Roman"/>
          <w:noProof/>
          <w:color w:val="000000"/>
          <w:sz w:val="22"/>
          <w:szCs w:val="22"/>
          <w:lang w:val="pl-PL"/>
        </w:rPr>
        <w:t>dostarczenia odpowiedniej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 ilości produktu leczniczego&gt; &lt;i&gt; </w:t>
      </w:r>
    </w:p>
    <w:p w:rsidR="008F7D1F" w:rsidRPr="006C13DC">
      <w:pPr>
        <w:pStyle w:val="BodytextAgency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>&lt;we wniosku wnioskodawca udowodnił, że produkt leczniczy, chociaż jest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 podobny do produktu </w:t>
      </w:r>
      <w:r w:rsidRPr="006C13DC" w:rsidR="0026698A">
        <w:rPr>
          <w:rFonts w:ascii="Times New Roman" w:hAnsi="Times New Roman"/>
          <w:noProof/>
          <w:color w:val="000000"/>
          <w:sz w:val="22"/>
          <w:szCs w:val="22"/>
          <w:lang w:val="pl-PL"/>
        </w:rPr>
        <w:t xml:space="preserve">{nazwa zatwierdzonego do obrotu sierocego produktu leczniczego},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jest bezpieczniejszy, </w:t>
      </w:r>
      <w:r w:rsidR="009B45E2">
        <w:rPr>
          <w:rFonts w:ascii="Times New Roman" w:hAnsi="Times New Roman"/>
          <w:color w:val="000000"/>
          <w:sz w:val="22"/>
          <w:szCs w:val="22"/>
          <w:lang w:val="pl-PL"/>
        </w:rPr>
        <w:t xml:space="preserve">bardziej 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>skuteczny lub z innych względów klinicznych lepszy (zgodnie z definicją zawartą w art. 3 rozporządzenia Komisji nr 847/2000) w tym samym wskazaniu do stosowania&gt; &lt;i&gt;</w:t>
      </w:r>
    </w:p>
    <w:p w:rsidR="008F7D1F" w:rsidRPr="006C13DC">
      <w:pPr>
        <w:pStyle w:val="BodytextAgency"/>
        <w:rPr>
          <w:rFonts w:ascii="Times New Roman" w:hAnsi="Times New Roman"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&lt;wnioskodawca uzyskał zgodę podmiotu odpowiedzialnego posiadającego pozwolenie na dopuszczenie produktu </w:t>
      </w:r>
      <w:r w:rsidRPr="006C13DC" w:rsidR="0026698A">
        <w:rPr>
          <w:rFonts w:ascii="Times New Roman" w:hAnsi="Times New Roman"/>
          <w:noProof/>
          <w:color w:val="000000"/>
          <w:sz w:val="22"/>
          <w:szCs w:val="22"/>
          <w:lang w:val="pl-PL"/>
        </w:rPr>
        <w:t>{nazwa zatwierdzonego do obrotu sierocego produktu leczniczego}</w:t>
      </w:r>
      <w:r w:rsidRPr="006C13DC" w:rsidR="0026698A">
        <w:rPr>
          <w:rFonts w:ascii="Times New Roman" w:hAnsi="Times New Roman"/>
          <w:color w:val="000000"/>
          <w:sz w:val="22"/>
          <w:szCs w:val="22"/>
          <w:lang w:val="pl-PL"/>
        </w:rPr>
        <w:t xml:space="preserve"> do obrotu&gt;</w:t>
      </w:r>
    </w:p>
    <w:p w:rsidR="008F7D1F" w:rsidRPr="006C13DC">
      <w:pPr>
        <w:pStyle w:val="BodytextAgency"/>
        <w:numPr>
          <w:ilvl w:val="0"/>
          <w:numId w:val="32"/>
        </w:numPr>
        <w:rPr>
          <w:rFonts w:ascii="Times New Roman" w:hAnsi="Times New Roman"/>
          <w:b/>
          <w:bCs/>
          <w:sz w:val="22"/>
          <w:szCs w:val="22"/>
          <w:lang w:val="pl-PL"/>
        </w:rPr>
      </w:pPr>
      <w:r w:rsidRPr="006C13DC" w:rsidR="0026698A">
        <w:rPr>
          <w:rFonts w:ascii="Times New Roman" w:hAnsi="Times New Roman"/>
          <w:b/>
          <w:noProof/>
          <w:sz w:val="22"/>
          <w:szCs w:val="22"/>
          <w:lang w:val="pl-PL"/>
        </w:rPr>
        <w:t>&lt;rocznej ochrony dopuszczenia do obrotu&gt; &lt;rocznego prawa do wyłączności danych&gt;</w:t>
      </w:r>
    </w:p>
    <w:p w:rsidR="008F7D1F" w:rsidRPr="00EE0B34">
      <w:pPr>
        <w:pStyle w:val="DraftingNotesAgency"/>
        <w:rPr>
          <w:rFonts w:ascii="Times New Roman" w:hAnsi="Times New Roman"/>
          <w:i w:val="0"/>
          <w:iCs w:val="0"/>
          <w:sz w:val="22"/>
          <w:szCs w:val="22"/>
          <w:lang w:val="en-US"/>
        </w:rPr>
      </w:pPr>
      <w:r w:rsidRPr="00EE0B34" w:rsidR="0026698A">
        <w:rPr>
          <w:rFonts w:ascii="Times New Roman" w:hAnsi="Times New Roman"/>
          <w:sz w:val="22"/>
          <w:szCs w:val="22"/>
          <w:lang w:val="en-US"/>
        </w:rPr>
        <w:t>[where one-year marketing protection/data exclusivity is accepted, otherwise provide scientific conclusions and grounds]</w:t>
      </w:r>
    </w:p>
    <w:p w:rsidR="008F7D1F" w:rsidRPr="006C13DC">
      <w:pPr>
        <w:pStyle w:val="BodytextAgency"/>
        <w:rPr>
          <w:rFonts w:ascii="Times New Roman" w:hAnsi="Times New Roman"/>
          <w:sz w:val="22"/>
          <w:szCs w:val="22"/>
          <w:lang w:val="pl-PL"/>
        </w:rPr>
      </w:pPr>
      <w:r w:rsidRPr="006C13DC" w:rsidR="0026698A">
        <w:rPr>
          <w:rStyle w:val="DraftingNotesAgencyChar"/>
          <w:rFonts w:ascii="Times New Roman" w:hAnsi="Times New Roman" w:cs="Times New Roman"/>
          <w:sz w:val="22"/>
          <w:szCs w:val="22"/>
          <w:lang w:val="pl-PL"/>
        </w:rPr>
        <w:t>[For Art 14(11)]</w:t>
      </w:r>
      <w:r w:rsidR="009B45E2">
        <w:rPr>
          <w:rStyle w:val="DraftingNotesAgencyChar"/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&lt;CHMP dokonał oceny danych przedstawionych przez podmiot odpowiedzialny posiadający pozwolenie na dopuszczenie do obrotu z uwzględnieniem przepisów wnikających z art. 14 ust. 11 rozporządzenia (WE) nr 726/2004 i uznaje, że nowe wskazanie terapeutyczne przynosi istotne korzyści kliniczne w porównaniu z </w:t>
      </w:r>
      <w:r w:rsidR="008A197B">
        <w:rPr>
          <w:rFonts w:ascii="Times New Roman" w:hAnsi="Times New Roman"/>
          <w:sz w:val="22"/>
          <w:szCs w:val="22"/>
          <w:lang w:val="pl-PL"/>
        </w:rPr>
        <w:t>obecn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>ymi terapiami, co zostało szerzej omówione w Europejskim Publicznym Sprawozdaniu Oceniającym.&gt;</w:t>
      </w:r>
    </w:p>
    <w:p w:rsidR="008F7D1F" w:rsidRPr="006C13DC">
      <w:pPr>
        <w:pStyle w:val="BodytextAgency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6C13DC" w:rsidR="0026698A">
        <w:rPr>
          <w:rStyle w:val="DraftingNotesAgencyChar"/>
          <w:rFonts w:ascii="Times New Roman" w:hAnsi="Times New Roman" w:cs="Times New Roman"/>
          <w:sz w:val="22"/>
          <w:szCs w:val="22"/>
          <w:lang w:val="pl-PL"/>
        </w:rPr>
        <w:t>[Art 10(5)]</w:t>
      </w:r>
      <w:r w:rsidRPr="006C13DC" w:rsidR="0026698A">
        <w:rPr>
          <w:rFonts w:ascii="Times New Roman" w:hAnsi="Times New Roman"/>
          <w:i/>
          <w:iCs/>
          <w:color w:val="339966"/>
          <w:kern w:val="32"/>
          <w:sz w:val="22"/>
          <w:szCs w:val="22"/>
          <w:lang w:val="pl-PL"/>
        </w:rPr>
        <w:t xml:space="preserve"> </w:t>
      </w:r>
      <w:r w:rsidRPr="006C13DC" w:rsidR="0026698A">
        <w:rPr>
          <w:rFonts w:ascii="Times New Roman" w:hAnsi="Times New Roman"/>
          <w:color w:val="000000"/>
          <w:kern w:val="32"/>
          <w:sz w:val="22"/>
          <w:szCs w:val="22"/>
          <w:lang w:val="pl-PL"/>
        </w:rPr>
        <w:t xml:space="preserve">&lt;CHMP dokonał oceny danych przedstawionych przez podmiot odpowiedzialny posiadający pozwolenie na dopuszczenie do obrotu 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z uwzględnieniem przepisów wynikających z art. 10 ust. 5 dyrektywy 2001/83/WE i uznaje, że </w:t>
      </w:r>
      <w:r w:rsidRPr="006C13DC" w:rsidR="0026698A">
        <w:rPr>
          <w:rFonts w:ascii="Times New Roman" w:hAnsi="Times New Roman"/>
          <w:noProof/>
          <w:sz w:val="22"/>
          <w:szCs w:val="22"/>
          <w:lang w:val="pl-PL"/>
        </w:rPr>
        <w:t>&lt;badania niekliniczne&gt;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 xml:space="preserve"> &lt;i&gt; &lt;badania kliniczne&gt; przeprowadzone w związku z nowym wskazaniem </w:t>
      </w:r>
      <w:r w:rsidRPr="006C13DC" w:rsidR="0026698A">
        <w:rPr>
          <w:rFonts w:ascii="Times New Roman" w:hAnsi="Times New Roman"/>
          <w:noProof/>
          <w:sz w:val="22"/>
          <w:szCs w:val="22"/>
          <w:lang w:val="pl-PL"/>
        </w:rPr>
        <w:t>były znaczące</w:t>
      </w:r>
      <w:r w:rsidRPr="006C13DC" w:rsidR="0026698A">
        <w:rPr>
          <w:rFonts w:ascii="Times New Roman" w:hAnsi="Times New Roman"/>
          <w:sz w:val="22"/>
          <w:szCs w:val="22"/>
          <w:lang w:val="pl-PL"/>
        </w:rPr>
        <w:t>, co zostało szerzej omówione w Europejskim Publicznym Sprawozdaniu Oceniającym.&gt;</w:t>
      </w:r>
    </w:p>
    <w:p w:rsidR="008F7D1F" w:rsidRPr="006C13DC">
      <w:pPr>
        <w:pStyle w:val="NormalAgency"/>
        <w:rPr>
          <w:rFonts w:ascii="Times New Roman" w:hAnsi="Times New Roman" w:cs="Times New Roman"/>
          <w:sz w:val="22"/>
          <w:szCs w:val="22"/>
          <w:lang w:val="pl-PL"/>
        </w:rPr>
      </w:pPr>
    </w:p>
    <w:sectPr w:rsidSect="0072336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39" w:code="9"/>
      <w:pgMar w:top="1417" w:right="1247" w:bottom="1417" w:left="1247" w:header="284" w:footer="68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DC" w:rsidRPr="00AF0F5A">
    <w:pPr>
      <w:pStyle w:val="Footer"/>
      <w:jc w:val="center"/>
      <w:rPr>
        <w:rFonts w:ascii="Arial" w:hAnsi="Arial" w:cs="Arial"/>
        <w:sz w:val="16"/>
        <w:szCs w:val="16"/>
      </w:rPr>
    </w:pPr>
    <w:r w:rsidRPr="00AF0F5A" w:rsidR="0026698A">
      <w:rPr>
        <w:rFonts w:ascii="Arial" w:hAnsi="Arial" w:cs="Arial"/>
        <w:sz w:val="16"/>
        <w:szCs w:val="16"/>
      </w:rPr>
      <w:fldChar w:fldCharType="begin"/>
    </w:r>
    <w:r w:rsidRPr="00AF0F5A" w:rsidR="0026698A">
      <w:rPr>
        <w:rFonts w:ascii="Arial" w:hAnsi="Arial" w:cs="Arial"/>
        <w:sz w:val="16"/>
        <w:szCs w:val="16"/>
      </w:rPr>
      <w:instrText xml:space="preserve"> PAGE   \* MERGEFORMAT </w:instrText>
    </w:r>
    <w:r w:rsidRPr="00AF0F5A" w:rsidR="0026698A">
      <w:rPr>
        <w:rFonts w:ascii="Arial" w:hAnsi="Arial" w:cs="Arial"/>
        <w:sz w:val="16"/>
        <w:szCs w:val="16"/>
      </w:rPr>
      <w:fldChar w:fldCharType="separate"/>
    </w:r>
    <w:r w:rsidR="00AF0F5A">
      <w:rPr>
        <w:rFonts w:ascii="Arial" w:hAnsi="Arial" w:cs="Arial"/>
        <w:noProof/>
        <w:sz w:val="16"/>
        <w:szCs w:val="16"/>
      </w:rPr>
      <w:t>2</w:t>
    </w:r>
    <w:r w:rsidRPr="00AF0F5A" w:rsidR="0026698A">
      <w:rPr>
        <w:rFonts w:ascii="Arial" w:hAnsi="Arial" w:cs="Arial"/>
        <w:noProof/>
        <w:sz w:val="16"/>
        <w:szCs w:val="16"/>
      </w:rPr>
      <w:fldChar w:fldCharType="end"/>
    </w:r>
  </w:p>
  <w:p w:rsidR="008F7D1F">
    <w:pPr>
      <w:pStyle w:val="FooterAgency"/>
      <w:rPr>
        <w:lang w:val="pl-PL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1F">
    <w:pPr>
      <w:pStyle w:val="Footer"/>
      <w:jc w:val="center"/>
      <w:rPr>
        <w:lang w:val="pl-PL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7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start w:val="0"/>
      <w:numFmt w:val="decimal"/>
      <w:lvlText w:val="*"/>
      <w:lvlJc w:val="left"/>
      <w:rPr>
        <w:rFonts w:cs="Times New Roman"/>
      </w:rPr>
    </w:lvl>
  </w:abstractNum>
  <w:abstractNum w:abstractNumId="1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3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4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5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6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7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8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</w:abstractNum>
  <w:abstractNum w:abstractNumId="2">
    <w:nsid w:val="09C44CC1"/>
    <w:multiLevelType w:val="hybridMultilevel"/>
    <w:tmpl w:val="7FF2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rPr>
        <w:rFonts w:ascii="Verdana" w:hAnsi="Verdana" w:cs="Verdana" w:hint="default"/>
        <w:b/>
        <w:bCs/>
        <w:i w:val="0"/>
        <w:iCs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4">
    <w:nsid w:val="0BCD679D"/>
    <w:multiLevelType w:val="multilevel"/>
    <w:tmpl w:val="7D6E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3"/>
      </w:pPr>
      <w:rPr>
        <w:rFonts w:ascii="Symbol" w:hAnsi="Symbol" w:hint="default"/>
        <w:color w:val="003399"/>
      </w:rPr>
    </w:lvl>
    <w:lvl w:ilvl="2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3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4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5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6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7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8">
      <w:start w:val="1"/>
      <w:numFmt w:val="none"/>
      <w:lvlJc w:val="left"/>
      <w:pPr>
        <w:tabs>
          <w:tab w:val="num" w:pos="1080"/>
        </w:tabs>
        <w:ind w:left="1080"/>
      </w:pPr>
      <w:rPr>
        <w:rFonts w:cs="Times New Roman" w:hint="default"/>
      </w:rPr>
    </w:lvl>
  </w:abstractNum>
  <w:abstractNum w:abstractNumId="5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cs="Verdana" w:hint="default"/>
        <w:b/>
        <w:bCs/>
        <w:i w:val="0"/>
        <w:iCs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u w:val="none"/>
        <w:vertAlign w:val="baseline"/>
      </w:rPr>
    </w:lvl>
    <w:lvl w:ilvl="2">
      <w:start w:val="1"/>
      <w:numFmt w:val="none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3">
      <w:start w:val="1"/>
      <w:numFmt w:val="none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4">
      <w:start w:val="1"/>
      <w:numFmt w:val="none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5">
      <w:start w:val="1"/>
      <w:numFmt w:val="none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7">
      <w:start w:val="1"/>
      <w:numFmt w:val="none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8">
      <w:start w:val="1"/>
      <w:numFmt w:val="none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</w:abstractNum>
  <w:abstractNum w:abstractNumId="7">
    <w:nsid w:val="2E135BD9"/>
    <w:multiLevelType w:val="hybridMultilevel"/>
    <w:tmpl w:val="DAD6C0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2171F0"/>
    <w:multiLevelType w:val="multilevel"/>
    <w:tmpl w:val="AA866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 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. "/>
      <w:lvlJc w:val="left"/>
      <w:rPr>
        <w:rFonts w:cs="Times New Roman" w:hint="default"/>
      </w:rPr>
    </w:lvl>
    <w:lvl w:ilvl="3">
      <w:start w:val="1"/>
      <w:numFmt w:val="decimal"/>
      <w:isLgl/>
      <w:suff w:val="space"/>
      <w:lvlText w:val="%1.%2.%3.%4. 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. 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. "/>
      <w:lvlJc w:val="left"/>
      <w:rPr>
        <w:rFonts w:cs="Times New Roman" w:hint="default"/>
      </w:rPr>
    </w:lvl>
    <w:lvl w:ilvl="6">
      <w:start w:val="1"/>
      <w:numFmt w:val="decimal"/>
      <w:suff w:val="space"/>
      <w:lvlText w:val="%1.%2.%3.%4.%5.%6.%7. "/>
      <w:lvlJc w:val="left"/>
      <w:rPr>
        <w:rFonts w:cs="Times New Roman" w:hint="default"/>
      </w:rPr>
    </w:lvl>
    <w:lvl w:ilvl="7">
      <w:start w:val="1"/>
      <w:numFmt w:val="decimal"/>
      <w:suff w:val="space"/>
      <w:lvlText w:val="%1.%2.%3.%4.%5.%6.%7.%8. "/>
      <w:lvlJc w:val="left"/>
      <w:rPr>
        <w:rFonts w:cs="Times New Roman" w:hint="default"/>
      </w:rPr>
    </w:lvl>
    <w:lvl w:ilvl="8">
      <w:start w:val="1"/>
      <w:numFmt w:val="decimal"/>
      <w:suff w:val="space"/>
      <w:lvlText w:val="%1.%2.%3.%4.%5.%6.%7.%8.%9. "/>
      <w:lvlJc w:val="left"/>
      <w:rPr>
        <w:rFonts w:cs="Times New Roman" w:hint="default"/>
      </w:rPr>
    </w:lvl>
  </w:abstractNum>
  <w:abstractNum w:abstractNumId="9">
    <w:nsid w:val="45BB58E1"/>
    <w:multiLevelType w:val="hybridMultilevel"/>
    <w:tmpl w:val="CBF0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A9622BD"/>
    <w:multiLevelType w:val="hybridMultilevel"/>
    <w:tmpl w:val="DDACC5C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D07548A"/>
    <w:multiLevelType w:val="multilevel"/>
    <w:tmpl w:val="A02E932A"/>
    <w:numStyleLink w:val="BulletsAgenc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rPr>
        <w:rFonts w:cs="Times New Roman" w:hint="default"/>
      </w:rPr>
    </w:lvl>
    <w:lvl w:ilvl="1">
      <w:start w:val="1"/>
      <w:numFmt w:val="decimal"/>
      <w:pStyle w:val="Heading2Agency"/>
      <w:suff w:val="space"/>
      <w:lvlText w:val="%1.%2. "/>
      <w:lvlJc w:val="left"/>
      <w:rPr>
        <w:rFonts w:cs="Times New Roman"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rPr>
        <w:rFonts w:cs="Times New Roman"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rPr>
        <w:rFonts w:cs="Times New Roman"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rPr>
        <w:rFonts w:cs="Times New Roman"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rPr>
        <w:rFonts w:cs="Times New Roman"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rPr>
        <w:rFonts w:cs="Times New Roman"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rPr>
        <w:rFonts w:cs="Times New Roman"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rPr>
        <w:rFonts w:cs="Times New Roman" w:hint="default"/>
      </w:rPr>
    </w:lvl>
  </w:abstractNum>
  <w:abstractNum w:abstractNumId="13">
    <w:nsid w:val="54494098"/>
    <w:multiLevelType w:val="hybridMultilevel"/>
    <w:tmpl w:val="0DFA87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2D83757"/>
    <w:multiLevelType w:val="multilevel"/>
    <w:tmpl w:val="A02E932A"/>
    <w:numStyleLink w:val="BulletsAgenc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62E83C39"/>
    <w:multiLevelType w:val="singleLevel"/>
    <w:tmpl w:val="A3C2B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18"/>
        <w:szCs w:val="18"/>
      </w:rPr>
    </w:lvl>
  </w:abstractNum>
  <w:abstractNum w:abstractNumId="16">
    <w:nsid w:val="65CF04A8"/>
    <w:multiLevelType w:val="multilevel"/>
    <w:tmpl w:val="9138A39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rinda" w:hAnsi="Vrinda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3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4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5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6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7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8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</w:abstractNum>
  <w:abstractNum w:abstractNumId="17">
    <w:nsid w:val="69E95A54"/>
    <w:multiLevelType w:val="hybridMultilevel"/>
    <w:tmpl w:val="EDE059A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317676"/>
    <w:multiLevelType w:val="multilevel"/>
    <w:tmpl w:val="A02E932A"/>
    <w:numStyleLink w:val="BulletsAgenc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6D2D247D"/>
    <w:multiLevelType w:val="multilevel"/>
    <w:tmpl w:val="9138A39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rinda" w:hAnsi="Vrinda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3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4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5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6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7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8">
      <w:start w:val="1"/>
      <w:numFmt w:val="none"/>
      <w:lvlJc w:val="left"/>
      <w:pPr>
        <w:tabs>
          <w:tab w:val="num" w:pos="720"/>
        </w:tabs>
        <w:ind w:left="720"/>
      </w:pPr>
      <w:rPr>
        <w:rFonts w:cs="Times New Roman" w:hint="default"/>
      </w:rPr>
    </w:lvl>
  </w:abstractNum>
  <w:abstractNum w:abstractNumId="20">
    <w:nsid w:val="714E114B"/>
    <w:multiLevelType w:val="multilevel"/>
    <w:tmpl w:val="B4BC2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772B6FE1"/>
    <w:multiLevelType w:val="multilevel"/>
    <w:tmpl w:val="7614763A"/>
    <w:numStyleLink w:val="NumberlistAgenc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7BC337A8"/>
    <w:multiLevelType w:val="hybridMultilevel"/>
    <w:tmpl w:val="B4BC2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2"/>
  </w:num>
  <w:num w:numId="4">
    <w:abstractNumId w:val="1"/>
  </w:num>
  <w:num w:numId="5">
    <w:abstractNumId w:val="5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6"/>
  </w:num>
  <w:num w:numId="16">
    <w:abstractNumId w:val="3"/>
  </w:num>
  <w:num w:numId="17">
    <w:abstractNumId w:val="1"/>
  </w:num>
  <w:num w:numId="18">
    <w:abstractNumId w:val="5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6"/>
  </w:num>
  <w:num w:numId="29">
    <w:abstractNumId w:val="3"/>
  </w:num>
  <w:num w:numId="30">
    <w:abstractNumId w:val="18"/>
  </w:num>
  <w:num w:numId="31">
    <w:abstractNumId w:val="14"/>
  </w:num>
  <w:num w:numId="32">
    <w:abstractNumId w:val="17"/>
  </w:num>
  <w:num w:numId="33">
    <w:abstractNumId w:val="16"/>
  </w:num>
  <w:num w:numId="34">
    <w:abstractNumId w:val="21"/>
  </w:num>
  <w:num w:numId="35">
    <w:abstractNumId w:val="15"/>
  </w:num>
  <w:num w:numId="36">
    <w:abstractNumId w:val="22"/>
  </w:num>
  <w:num w:numId="37">
    <w:abstractNumId w:val="20"/>
  </w:num>
  <w:num w:numId="38">
    <w:abstractNumId w:val="7"/>
  </w:num>
  <w:num w:numId="39">
    <w:abstractNumId w:val="10"/>
  </w:num>
  <w:num w:numId="40">
    <w:abstractNumId w:val="11"/>
  </w:num>
  <w:num w:numId="41">
    <w:abstractNumId w:val="19"/>
  </w:num>
  <w:num w:numId="42">
    <w:abstractNumId w:val="4"/>
  </w:num>
  <w:num w:numId="43">
    <w:abstractNumId w:val="8"/>
  </w:num>
  <w:num w:numId="4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NotTrackMoves/>
  <w:defaultTabStop w:val="720"/>
  <w:hyphenationZone w:val="425"/>
  <w:drawingGridHorizontalSpacing w:val="90"/>
  <w:displayHorizontalDrawingGridEvery w:val="2"/>
  <w:doNotShadeFormData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625E"/>
    <w:rsid w:val="000424F9"/>
    <w:rsid w:val="00064702"/>
    <w:rsid w:val="000C317A"/>
    <w:rsid w:val="000E533C"/>
    <w:rsid w:val="00196100"/>
    <w:rsid w:val="001C7B8D"/>
    <w:rsid w:val="0026698A"/>
    <w:rsid w:val="0029155C"/>
    <w:rsid w:val="002E5B52"/>
    <w:rsid w:val="002F2794"/>
    <w:rsid w:val="003337DE"/>
    <w:rsid w:val="003A786D"/>
    <w:rsid w:val="004365BC"/>
    <w:rsid w:val="00454445"/>
    <w:rsid w:val="004644DC"/>
    <w:rsid w:val="004800F8"/>
    <w:rsid w:val="00494B92"/>
    <w:rsid w:val="004A6D78"/>
    <w:rsid w:val="004F357B"/>
    <w:rsid w:val="004F6045"/>
    <w:rsid w:val="00563F15"/>
    <w:rsid w:val="005C5D48"/>
    <w:rsid w:val="005E30BB"/>
    <w:rsid w:val="006001B5"/>
    <w:rsid w:val="00614683"/>
    <w:rsid w:val="006A04AE"/>
    <w:rsid w:val="006C13DC"/>
    <w:rsid w:val="006F65E1"/>
    <w:rsid w:val="0072336B"/>
    <w:rsid w:val="00730205"/>
    <w:rsid w:val="00765548"/>
    <w:rsid w:val="007929B6"/>
    <w:rsid w:val="0079786B"/>
    <w:rsid w:val="007D5C36"/>
    <w:rsid w:val="007D6B73"/>
    <w:rsid w:val="00837814"/>
    <w:rsid w:val="008510EA"/>
    <w:rsid w:val="00881EAE"/>
    <w:rsid w:val="008A197B"/>
    <w:rsid w:val="008A625E"/>
    <w:rsid w:val="008B05AF"/>
    <w:rsid w:val="008F7D1F"/>
    <w:rsid w:val="00943087"/>
    <w:rsid w:val="00943736"/>
    <w:rsid w:val="009B45E2"/>
    <w:rsid w:val="009C071B"/>
    <w:rsid w:val="009E57F2"/>
    <w:rsid w:val="009F6D44"/>
    <w:rsid w:val="00A06A2C"/>
    <w:rsid w:val="00A31BE7"/>
    <w:rsid w:val="00A475F0"/>
    <w:rsid w:val="00A51949"/>
    <w:rsid w:val="00AC09B2"/>
    <w:rsid w:val="00AF0F5A"/>
    <w:rsid w:val="00BA3D4B"/>
    <w:rsid w:val="00BD4217"/>
    <w:rsid w:val="00BF4C9B"/>
    <w:rsid w:val="00C31979"/>
    <w:rsid w:val="00D4269A"/>
    <w:rsid w:val="00DB72EA"/>
    <w:rsid w:val="00DF0F5B"/>
    <w:rsid w:val="00E54863"/>
    <w:rsid w:val="00EB4C2F"/>
    <w:rsid w:val="00EE0B34"/>
    <w:rsid w:val="00F650E9"/>
    <w:rsid w:val="00FA4A72"/>
    <w:rsid w:val="00FF2985"/>
  </w:rsids>
  <m:mathPr>
    <m:mathFont m:val="Cambria Math"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985"/>
    <w:rPr>
      <w:rFonts w:ascii="Verdana" w:hAnsi="Verdana" w:cs="Verdana"/>
      <w:sz w:val="18"/>
      <w:szCs w:val="18"/>
      <w:lang w:val="en-GB" w:eastAsia="zh-CN" w:bidi="ar-SA"/>
    </w:rPr>
  </w:style>
  <w:style w:type="paragraph" w:styleId="Heading1">
    <w:name w:val="heading 1"/>
    <w:basedOn w:val="No-numheading1Agency"/>
    <w:next w:val="BodytextAgency"/>
    <w:link w:val="Heading1Char"/>
    <w:uiPriority w:val="9"/>
    <w:qFormat/>
    <w:rsid w:val="00FF2985"/>
    <w:pPr>
      <w:outlineLvl w:val="0"/>
    </w:pPr>
    <w:rPr>
      <w:rFonts w:ascii="Cambria" w:hAnsi="Cambria" w:cs="Times New Roman"/>
      <w:sz w:val="32"/>
      <w:szCs w:val="32"/>
      <w:lang w:eastAsia="zh-CN"/>
    </w:rPr>
  </w:style>
  <w:style w:type="paragraph" w:styleId="Heading2">
    <w:name w:val="heading 2"/>
    <w:basedOn w:val="No-numheading2Agency"/>
    <w:next w:val="BodytextAgency"/>
    <w:link w:val="Heading2Char"/>
    <w:uiPriority w:val="9"/>
    <w:qFormat/>
    <w:rsid w:val="00FF2985"/>
    <w:pPr>
      <w:outlineLvl w:val="1"/>
    </w:pPr>
    <w:rPr>
      <w:rFonts w:ascii="Cambria" w:hAnsi="Cambria" w:cs="Times New Roman"/>
      <w:kern w:val="0"/>
      <w:sz w:val="28"/>
      <w:szCs w:val="28"/>
      <w:lang w:eastAsia="zh-CN"/>
    </w:rPr>
  </w:style>
  <w:style w:type="paragraph" w:styleId="Heading3">
    <w:name w:val="heading 3"/>
    <w:basedOn w:val="No-numheading3Agency"/>
    <w:next w:val="BodytextAgency"/>
    <w:link w:val="Heading3Char"/>
    <w:uiPriority w:val="9"/>
    <w:qFormat/>
    <w:rsid w:val="00FF2985"/>
    <w:pPr>
      <w:outlineLvl w:val="2"/>
    </w:pPr>
    <w:rPr>
      <w:rFonts w:ascii="Cambria" w:hAnsi="Cambria"/>
      <w:kern w:val="0"/>
      <w:sz w:val="26"/>
      <w:szCs w:val="26"/>
      <w:lang w:eastAsia="zh-CN"/>
    </w:rPr>
  </w:style>
  <w:style w:type="paragraph" w:styleId="Heading4">
    <w:name w:val="heading 4"/>
    <w:basedOn w:val="No-numheading4Agency"/>
    <w:next w:val="BodytextAgency"/>
    <w:link w:val="Heading4Char"/>
    <w:uiPriority w:val="9"/>
    <w:qFormat/>
    <w:rsid w:val="00FF2985"/>
    <w:pPr>
      <w:outlineLvl w:val="3"/>
    </w:pPr>
    <w:rPr>
      <w:rFonts w:ascii="Calibri" w:hAnsi="Calibri" w:cs="Times New Roman"/>
      <w:i w:val="0"/>
      <w:iCs w:val="0"/>
      <w:kern w:val="0"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qFormat/>
    <w:rsid w:val="00FF2985"/>
    <w:pPr>
      <w:keepNext/>
      <w:spacing w:before="280" w:after="22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-numheading6Agency"/>
    <w:next w:val="BodytextAgency"/>
    <w:link w:val="Heading6Char"/>
    <w:uiPriority w:val="9"/>
    <w:qFormat/>
    <w:rsid w:val="00FF2985"/>
    <w:pPr>
      <w:outlineLvl w:val="5"/>
    </w:pPr>
    <w:rPr>
      <w:rFonts w:ascii="Calibri" w:hAnsi="Calibri" w:cs="Times New Roman"/>
      <w:kern w:val="0"/>
      <w:sz w:val="22"/>
      <w:szCs w:val="22"/>
      <w:lang w:eastAsia="zh-CN"/>
    </w:rPr>
  </w:style>
  <w:style w:type="paragraph" w:styleId="Heading7">
    <w:name w:val="heading 7"/>
    <w:basedOn w:val="No-numheading7Agency"/>
    <w:next w:val="BodytextAgency"/>
    <w:link w:val="Heading7Char"/>
    <w:uiPriority w:val="9"/>
    <w:qFormat/>
    <w:rsid w:val="00FF2985"/>
    <w:pPr>
      <w:outlineLvl w:val="6"/>
    </w:pPr>
    <w:rPr>
      <w:rFonts w:ascii="Calibri" w:hAnsi="Calibri" w:cs="Times New Roman"/>
      <w:b w:val="0"/>
      <w:bCs w:val="0"/>
      <w:kern w:val="0"/>
      <w:sz w:val="24"/>
      <w:szCs w:val="24"/>
      <w:lang w:eastAsia="zh-CN"/>
    </w:rPr>
  </w:style>
  <w:style w:type="paragraph" w:styleId="Heading8">
    <w:name w:val="heading 8"/>
    <w:basedOn w:val="No-numheading8Agency"/>
    <w:next w:val="BodytextAgency"/>
    <w:link w:val="Heading8Char"/>
    <w:uiPriority w:val="9"/>
    <w:qFormat/>
    <w:rsid w:val="00FF2985"/>
    <w:pPr>
      <w:outlineLvl w:val="7"/>
    </w:pPr>
    <w:rPr>
      <w:rFonts w:ascii="Calibri" w:hAnsi="Calibri" w:cs="Times New Roman"/>
      <w:b w:val="0"/>
      <w:bCs w:val="0"/>
      <w:i/>
      <w:iCs/>
      <w:kern w:val="0"/>
      <w:sz w:val="24"/>
      <w:szCs w:val="24"/>
      <w:lang w:eastAsia="zh-CN"/>
    </w:rPr>
  </w:style>
  <w:style w:type="paragraph" w:styleId="Heading9">
    <w:name w:val="heading 9"/>
    <w:basedOn w:val="No-numheading9Agency"/>
    <w:next w:val="BodytextAgency"/>
    <w:link w:val="Heading9Char"/>
    <w:uiPriority w:val="9"/>
    <w:qFormat/>
    <w:rsid w:val="00FF2985"/>
    <w:pPr>
      <w:outlineLvl w:val="8"/>
    </w:pPr>
    <w:rPr>
      <w:rFonts w:ascii="Cambria" w:hAnsi="Cambria" w:cs="Times New Roman"/>
      <w:b w:val="0"/>
      <w:bCs w:val="0"/>
      <w:kern w:val="0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650E9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link w:val="Heading2"/>
    <w:uiPriority w:val="9"/>
    <w:semiHidden/>
    <w:locked/>
    <w:rsid w:val="00F650E9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link w:val="Heading3"/>
    <w:uiPriority w:val="9"/>
    <w:semiHidden/>
    <w:locked/>
    <w:rsid w:val="00F650E9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link w:val="Heading4"/>
    <w:uiPriority w:val="9"/>
    <w:semiHidden/>
    <w:locked/>
    <w:rsid w:val="00F650E9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link w:val="Heading5"/>
    <w:uiPriority w:val="9"/>
    <w:semiHidden/>
    <w:locked/>
    <w:rsid w:val="00F650E9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link w:val="Heading6"/>
    <w:uiPriority w:val="9"/>
    <w:semiHidden/>
    <w:locked/>
    <w:rsid w:val="00F650E9"/>
    <w:rPr>
      <w:rFonts w:ascii="Calibri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uiPriority w:val="9"/>
    <w:semiHidden/>
    <w:locked/>
    <w:rsid w:val="00F650E9"/>
    <w:rPr>
      <w:rFonts w:ascii="Calibri" w:hAnsi="Calibri" w:cs="Times New Roman"/>
      <w:sz w:val="24"/>
      <w:szCs w:val="24"/>
      <w:lang w:eastAsia="zh-CN"/>
    </w:rPr>
  </w:style>
  <w:style w:type="character" w:customStyle="1" w:styleId="Heading8Char">
    <w:name w:val="Heading 8 Char"/>
    <w:link w:val="Heading8"/>
    <w:uiPriority w:val="9"/>
    <w:semiHidden/>
    <w:locked/>
    <w:rsid w:val="00F650E9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Heading9Char">
    <w:name w:val="Heading 9 Char"/>
    <w:link w:val="Heading9"/>
    <w:uiPriority w:val="9"/>
    <w:semiHidden/>
    <w:locked/>
    <w:rsid w:val="00F650E9"/>
    <w:rPr>
      <w:rFonts w:ascii="Cambria" w:hAnsi="Cambria" w:cs="Times New Roman"/>
      <w:sz w:val="22"/>
      <w:szCs w:val="22"/>
      <w:lang w:eastAsia="zh-CN"/>
    </w:rPr>
  </w:style>
  <w:style w:type="paragraph" w:styleId="Date">
    <w:name w:val="Date"/>
    <w:basedOn w:val="Normal"/>
    <w:next w:val="Normal"/>
    <w:link w:val="DateChar"/>
    <w:uiPriority w:val="99"/>
    <w:rsid w:val="00FF2985"/>
    <w:rPr>
      <w:rFonts w:cs="Times New Roman"/>
    </w:rPr>
  </w:style>
  <w:style w:type="character" w:customStyle="1" w:styleId="DateChar">
    <w:name w:val="Date Char"/>
    <w:link w:val="Date"/>
    <w:uiPriority w:val="99"/>
    <w:semiHidden/>
    <w:locked/>
    <w:rsid w:val="00F650E9"/>
    <w:rPr>
      <w:rFonts w:ascii="Verdana" w:hAnsi="Verdana" w:cs="Verdana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rsid w:val="00FF2985"/>
    <w:pPr>
      <w:tabs>
        <w:tab w:val="center" w:pos="4536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locked/>
    <w:rsid w:val="00F650E9"/>
    <w:rPr>
      <w:rFonts w:ascii="Verdana" w:hAnsi="Verdana" w:cs="Verdana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rsid w:val="00FF2985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locked/>
    <w:rsid w:val="00F650E9"/>
    <w:rPr>
      <w:rFonts w:ascii="Verdana" w:hAnsi="Verdana" w:cs="Verdana"/>
      <w:sz w:val="18"/>
      <w:szCs w:val="18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rsid w:val="00FF2985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650E9"/>
    <w:rPr>
      <w:rFonts w:ascii="Verdana" w:hAnsi="Verdana" w:cs="Verdana"/>
      <w:lang w:eastAsia="zh-CN"/>
    </w:rPr>
  </w:style>
  <w:style w:type="paragraph" w:styleId="BodyTextIndent">
    <w:name w:val="Body Text Indent"/>
    <w:basedOn w:val="Normal"/>
    <w:link w:val="BodyTextIndentChar"/>
    <w:uiPriority w:val="99"/>
    <w:rsid w:val="00FF2985"/>
    <w:pPr>
      <w:spacing w:after="120"/>
      <w:ind w:left="283"/>
    </w:pPr>
    <w:rPr>
      <w:rFonts w:cs="Times New Roman"/>
    </w:rPr>
  </w:style>
  <w:style w:type="character" w:customStyle="1" w:styleId="BodyTextIndentChar">
    <w:name w:val="Body Text Indent Char"/>
    <w:link w:val="BodyTextIndent"/>
    <w:uiPriority w:val="99"/>
    <w:semiHidden/>
    <w:locked/>
    <w:rsid w:val="00F650E9"/>
    <w:rPr>
      <w:rFonts w:ascii="Verdana" w:hAnsi="Verdana" w:cs="Verdana"/>
      <w:sz w:val="18"/>
      <w:szCs w:val="18"/>
      <w:lang w:eastAsia="zh-CN"/>
    </w:rPr>
  </w:style>
  <w:style w:type="paragraph" w:customStyle="1" w:styleId="FooterAgency">
    <w:name w:val="Footer (Agency)"/>
    <w:basedOn w:val="Normal"/>
    <w:link w:val="FooterAgencyCharChar"/>
    <w:rsid w:val="00FF2985"/>
    <w:rPr>
      <w:rFonts w:cs="Times New Roman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al"/>
    <w:link w:val="FooterblueAgencyCharChar"/>
    <w:rsid w:val="00FF2985"/>
    <w:rPr>
      <w:rFonts w:cs="Times New Roman"/>
      <w:b/>
      <w:bCs/>
      <w:color w:val="003399"/>
      <w:sz w:val="14"/>
      <w:szCs w:val="14"/>
      <w:lang w:eastAsia="en-GB"/>
    </w:rPr>
  </w:style>
  <w:style w:type="table" w:customStyle="1" w:styleId="FootertableAgency">
    <w:name w:val="Footer table (Agency)"/>
    <w:rsid w:val="00FF2985"/>
    <w:rPr>
      <w:rFonts w:ascii="Verdana" w:hAnsi="Verdana" w:cs="Verdana"/>
      <w:lang w:val="en-GB" w:eastAsia="en-US"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AgencyCharChar">
    <w:name w:val="Footer (Agency) Char Char"/>
    <w:link w:val="FooterAgency"/>
    <w:semiHidden/>
    <w:locked/>
    <w:rsid w:val="00FF2985"/>
    <w:rPr>
      <w:rFonts w:ascii="Verdana" w:hAnsi="Verdana" w:cs="Verdana"/>
      <w:color w:val="6D6F71"/>
      <w:sz w:val="14"/>
      <w:szCs w:val="14"/>
      <w:lang w:eastAsia="en-GB"/>
    </w:rPr>
  </w:style>
  <w:style w:type="paragraph" w:customStyle="1" w:styleId="PagenumberAgency">
    <w:name w:val="Page number (Agency)"/>
    <w:basedOn w:val="Normal"/>
    <w:next w:val="Normal"/>
    <w:link w:val="PagenumberAgencyCharChar"/>
    <w:rsid w:val="00FF2985"/>
    <w:pPr>
      <w:tabs>
        <w:tab w:val="right" w:pos="9781"/>
      </w:tabs>
      <w:jc w:val="right"/>
    </w:pPr>
    <w:rPr>
      <w:noProof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link w:val="PagenumberAgency"/>
    <w:locked/>
    <w:rsid w:val="00FF2985"/>
    <w:rPr>
      <w:rFonts w:ascii="Verdana" w:hAnsi="Verdana" w:cs="Verdana"/>
      <w:color w:val="6D6F71"/>
      <w:sz w:val="14"/>
      <w:szCs w:val="14"/>
      <w:lang w:eastAsia="en-GB"/>
    </w:rPr>
  </w:style>
  <w:style w:type="table" w:customStyle="1" w:styleId="TablegridAgencyblank">
    <w:name w:val="Table grid (Agency) blank"/>
    <w:rsid w:val="00FF2985"/>
    <w:rPr>
      <w:rFonts w:ascii="Verdana" w:hAnsi="Verdana" w:cs="Verdana"/>
      <w:sz w:val="18"/>
      <w:szCs w:val="18"/>
      <w:lang w:val="en-GB" w:eastAsia="en-US"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blueAgencyCharChar">
    <w:name w:val="Footer blue (Agency) Char Char"/>
    <w:link w:val="FooterblueAgency"/>
    <w:semiHidden/>
    <w:locked/>
    <w:rsid w:val="00FF2985"/>
    <w:rPr>
      <w:rFonts w:ascii="Verdana" w:hAnsi="Verdana" w:cs="Verdana"/>
      <w:b/>
      <w:bCs/>
      <w:color w:val="003399"/>
      <w:sz w:val="14"/>
      <w:szCs w:val="14"/>
      <w:lang w:eastAsia="en-GB"/>
    </w:rPr>
  </w:style>
  <w:style w:type="paragraph" w:styleId="BodyText">
    <w:name w:val="Body Text"/>
    <w:basedOn w:val="Normal"/>
    <w:link w:val="BodyTextChar"/>
    <w:uiPriority w:val="99"/>
    <w:rsid w:val="00FF2985"/>
    <w:pPr>
      <w:spacing w:after="140" w:line="280" w:lineRule="atLeast"/>
    </w:pPr>
    <w:rPr>
      <w:rFonts w:cs="Times New Roman"/>
    </w:rPr>
  </w:style>
  <w:style w:type="character" w:customStyle="1" w:styleId="BodyTextChar">
    <w:name w:val="Body Text Char"/>
    <w:link w:val="BodyText"/>
    <w:uiPriority w:val="99"/>
    <w:semiHidden/>
    <w:locked/>
    <w:rsid w:val="00F650E9"/>
    <w:rPr>
      <w:rFonts w:ascii="Verdana" w:hAnsi="Verdana" w:cs="Verdana"/>
      <w:sz w:val="18"/>
      <w:szCs w:val="18"/>
      <w:lang w:eastAsia="zh-CN"/>
    </w:rPr>
  </w:style>
  <w:style w:type="paragraph" w:customStyle="1" w:styleId="BodytextAgency">
    <w:name w:val="Body text (Agency)"/>
    <w:basedOn w:val="Normal"/>
    <w:link w:val="BodytextAgencyChar"/>
    <w:rsid w:val="00FF2985"/>
    <w:pPr>
      <w:spacing w:after="140" w:line="280" w:lineRule="atLeast"/>
    </w:pPr>
    <w:rPr>
      <w:rFonts w:cs="Times New Roman"/>
      <w:lang w:eastAsia="en-GB"/>
    </w:rPr>
  </w:style>
  <w:style w:type="paragraph" w:customStyle="1" w:styleId="DisclaimerAgency">
    <w:name w:val="Disclaimer (Agency)"/>
    <w:basedOn w:val="Normal"/>
    <w:rsid w:val="00FF2985"/>
    <w:pPr>
      <w:tabs>
        <w:tab w:val="center" w:pos="4320"/>
        <w:tab w:val="right" w:pos="8640"/>
      </w:tabs>
      <w:spacing w:after="57" w:line="150" w:lineRule="exact"/>
    </w:pPr>
    <w:rPr>
      <w:noProof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al"/>
    <w:next w:val="BodytextAgency"/>
    <w:rsid w:val="00FF2985"/>
    <w:pPr>
      <w:spacing w:after="640" w:line="360" w:lineRule="atLeast"/>
    </w:pPr>
    <w:rPr>
      <w:sz w:val="24"/>
      <w:szCs w:val="24"/>
      <w:lang w:eastAsia="en-GB"/>
    </w:rPr>
  </w:style>
  <w:style w:type="paragraph" w:customStyle="1" w:styleId="DoctitleAgency">
    <w:name w:val="Doc title (Agency)"/>
    <w:basedOn w:val="Normal"/>
    <w:next w:val="DocsubtitleAgency"/>
    <w:rsid w:val="00FF2985"/>
    <w:pPr>
      <w:spacing w:before="720" w:line="360" w:lineRule="atLeast"/>
    </w:pPr>
    <w:rPr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FF2985"/>
    <w:pPr>
      <w:spacing w:after="140" w:line="280" w:lineRule="atLeast"/>
    </w:pPr>
    <w:rPr>
      <w:rFonts w:ascii="Courier New" w:hAnsi="Courier New" w:cs="Times New Roman"/>
      <w:i/>
      <w:iCs/>
      <w:color w:val="339966"/>
      <w:lang w:eastAsia="en-GB"/>
    </w:rPr>
  </w:style>
  <w:style w:type="character" w:styleId="EndnoteReference">
    <w:name w:val="endnote reference"/>
    <w:uiPriority w:val="99"/>
    <w:semiHidden/>
    <w:rsid w:val="00FF2985"/>
    <w:rPr>
      <w:rFonts w:ascii="Verdana" w:hAnsi="Verdana" w:cs="Verdana"/>
      <w:vertAlign w:val="superscript"/>
    </w:rPr>
  </w:style>
  <w:style w:type="character" w:customStyle="1" w:styleId="EndnotereferenceAgency">
    <w:name w:val="Endnote reference (Agency)"/>
    <w:rsid w:val="00FF2985"/>
    <w:rPr>
      <w:rFonts w:ascii="Verdana" w:hAnsi="Verdana" w:cs="Verdana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FF2985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F650E9"/>
    <w:rPr>
      <w:rFonts w:ascii="Verdana" w:hAnsi="Verdana" w:cs="Verdana"/>
      <w:lang w:eastAsia="zh-CN"/>
    </w:rPr>
  </w:style>
  <w:style w:type="paragraph" w:customStyle="1" w:styleId="EndnotetextAgency">
    <w:name w:val="Endnote text (Agency)"/>
    <w:basedOn w:val="Normal"/>
    <w:rsid w:val="00FF2985"/>
    <w:rPr>
      <w:sz w:val="15"/>
      <w:szCs w:val="15"/>
      <w:lang w:eastAsia="en-GB"/>
    </w:rPr>
  </w:style>
  <w:style w:type="paragraph" w:customStyle="1" w:styleId="FigureAgency">
    <w:name w:val="Figure (Agency)"/>
    <w:basedOn w:val="Normal"/>
    <w:next w:val="BodytextAgency"/>
    <w:rsid w:val="00FF2985"/>
    <w:pPr>
      <w:jc w:val="center"/>
    </w:pPr>
  </w:style>
  <w:style w:type="paragraph" w:customStyle="1" w:styleId="FigureheadingAgency">
    <w:name w:val="Figure heading (Agency)"/>
    <w:basedOn w:val="Normal"/>
    <w:next w:val="FigureAgency"/>
    <w:rsid w:val="00FF2985"/>
    <w:pPr>
      <w:keepNext/>
      <w:numPr>
        <w:numId w:val="18"/>
      </w:numPr>
      <w:spacing w:before="240" w:after="120"/>
    </w:pPr>
  </w:style>
  <w:style w:type="character" w:styleId="FootnoteReference">
    <w:name w:val="footnote reference"/>
    <w:uiPriority w:val="99"/>
    <w:semiHidden/>
    <w:rsid w:val="00FF2985"/>
    <w:rPr>
      <w:rFonts w:ascii="Verdana" w:hAnsi="Verdana" w:cs="Verdana"/>
      <w:vertAlign w:val="superscript"/>
    </w:rPr>
  </w:style>
  <w:style w:type="character" w:customStyle="1" w:styleId="FootnotereferenceAgency">
    <w:name w:val="Footnote reference (Agency)"/>
    <w:rsid w:val="00FF2985"/>
    <w:rPr>
      <w:rFonts w:ascii="Verdana" w:hAnsi="Verdana"/>
      <w:color w:val="auto"/>
      <w:vertAlign w:val="superscript"/>
    </w:rPr>
  </w:style>
  <w:style w:type="paragraph" w:customStyle="1" w:styleId="FootnotetextAgency">
    <w:name w:val="Footnote text (Agency)"/>
    <w:basedOn w:val="Normal"/>
    <w:rsid w:val="00FF2985"/>
    <w:rPr>
      <w:sz w:val="15"/>
      <w:szCs w:val="15"/>
      <w:lang w:eastAsia="en-GB"/>
    </w:rPr>
  </w:style>
  <w:style w:type="paragraph" w:customStyle="1" w:styleId="HeaderAgency">
    <w:name w:val="Header (Agency)"/>
    <w:basedOn w:val="Normal"/>
    <w:rsid w:val="00FF2985"/>
    <w:rPr>
      <w:lang w:eastAsia="en-GB"/>
    </w:rPr>
  </w:style>
  <w:style w:type="paragraph" w:customStyle="1" w:styleId="Heading1Agency">
    <w:name w:val="Heading 1 (Agency)"/>
    <w:basedOn w:val="Normal"/>
    <w:next w:val="BodytextAgency"/>
    <w:rsid w:val="00FF2985"/>
    <w:pPr>
      <w:keepNext/>
      <w:numPr>
        <w:numId w:val="27"/>
      </w:numPr>
      <w:spacing w:before="280" w:after="220"/>
      <w:outlineLvl w:val="0"/>
    </w:pPr>
    <w:rPr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rsid w:val="00FF2985"/>
    <w:pPr>
      <w:keepNext/>
      <w:numPr>
        <w:ilvl w:val="1"/>
        <w:numId w:val="27"/>
      </w:numPr>
      <w:spacing w:before="280" w:after="220"/>
      <w:outlineLvl w:val="1"/>
    </w:pPr>
    <w:rPr>
      <w:b/>
      <w:bCs/>
      <w:i/>
      <w:iCs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rsid w:val="00FF2985"/>
    <w:pPr>
      <w:keepNext/>
      <w:numPr>
        <w:ilvl w:val="2"/>
        <w:numId w:val="27"/>
      </w:numPr>
      <w:spacing w:before="280" w:after="220"/>
      <w:outlineLvl w:val="2"/>
    </w:pPr>
    <w:rPr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rsid w:val="00FF2985"/>
    <w:pPr>
      <w:numPr>
        <w:ilvl w:val="3"/>
      </w:numPr>
      <w:outlineLvl w:val="3"/>
    </w:pPr>
    <w:rPr>
      <w:i/>
      <w:iCs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rsid w:val="00FF2985"/>
    <w:pPr>
      <w:numPr>
        <w:ilvl w:val="4"/>
      </w:numPr>
      <w:outlineLvl w:val="4"/>
    </w:pPr>
    <w:rPr>
      <w:i w:val="0"/>
      <w:iCs w:val="0"/>
    </w:rPr>
  </w:style>
  <w:style w:type="paragraph" w:customStyle="1" w:styleId="Heading6Agency">
    <w:name w:val="Heading 6 (Agency)"/>
    <w:basedOn w:val="Heading5Agency"/>
    <w:next w:val="BodytextAgency"/>
    <w:rsid w:val="00FF2985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rsid w:val="00FF2985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rsid w:val="00FF2985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rsid w:val="00FF2985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rsid w:val="00FF2985"/>
    <w:pPr>
      <w:keepNext/>
      <w:spacing w:before="280" w:after="220"/>
      <w:outlineLvl w:val="0"/>
    </w:pPr>
    <w:rPr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al"/>
    <w:next w:val="BodytextAgency"/>
    <w:rsid w:val="00FF2985"/>
    <w:pPr>
      <w:keepNext/>
      <w:spacing w:before="280" w:after="220"/>
      <w:outlineLvl w:val="1"/>
    </w:pPr>
    <w:rPr>
      <w:b/>
      <w:bCs/>
      <w:i/>
      <w:iCs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link w:val="No-numheading3AgencyChar"/>
    <w:rsid w:val="00FF2985"/>
    <w:pPr>
      <w:numPr>
        <w:ilvl w:val="0"/>
        <w:numId w:val="0"/>
      </w:numPr>
    </w:pPr>
    <w:rPr>
      <w:rFonts w:cs="Times New Roman"/>
    </w:rPr>
  </w:style>
  <w:style w:type="paragraph" w:customStyle="1" w:styleId="No-numheading4Agency">
    <w:name w:val="No-num heading 4 (Agency)"/>
    <w:basedOn w:val="Heading4Agency"/>
    <w:next w:val="BodytextAgency"/>
    <w:rsid w:val="00FF2985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rsid w:val="00FF2985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rsid w:val="00FF2985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rsid w:val="00FF2985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rsid w:val="00FF2985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rsid w:val="00FF2985"/>
    <w:pPr>
      <w:outlineLvl w:val="8"/>
    </w:pPr>
  </w:style>
  <w:style w:type="paragraph" w:customStyle="1" w:styleId="NormalAgency">
    <w:name w:val="Normal (Agency)"/>
    <w:link w:val="NormalAgencyChar"/>
    <w:rsid w:val="00FF2985"/>
    <w:rPr>
      <w:rFonts w:ascii="Verdana" w:hAnsi="Verdana" w:cs="Verdana"/>
      <w:sz w:val="18"/>
      <w:szCs w:val="18"/>
      <w:lang w:val="en-GB" w:eastAsia="en-GB" w:bidi="ar-SA"/>
    </w:rPr>
  </w:style>
  <w:style w:type="paragraph" w:customStyle="1" w:styleId="No-TOCheadingAgency">
    <w:name w:val="No-TOC heading (Agency)"/>
    <w:basedOn w:val="Normal"/>
    <w:next w:val="Normal"/>
    <w:rsid w:val="00FF2985"/>
    <w:pPr>
      <w:keepNext/>
      <w:spacing w:before="280" w:after="220"/>
    </w:pPr>
    <w:rPr>
      <w:b/>
      <w:bCs/>
      <w:kern w:val="32"/>
      <w:sz w:val="27"/>
      <w:szCs w:val="27"/>
      <w:lang w:eastAsia="en-GB"/>
    </w:rPr>
  </w:style>
  <w:style w:type="paragraph" w:customStyle="1" w:styleId="RefAgency">
    <w:name w:val="Ref. (Agency)"/>
    <w:basedOn w:val="Normal"/>
    <w:rsid w:val="00FF2985"/>
    <w:rPr>
      <w:sz w:val="17"/>
      <w:szCs w:val="17"/>
      <w:lang w:eastAsia="en-GB"/>
    </w:rPr>
  </w:style>
  <w:style w:type="paragraph" w:customStyle="1" w:styleId="TablefirstrowAgency">
    <w:name w:val="Table first row (Agency)"/>
    <w:basedOn w:val="BodytextAgency"/>
    <w:rsid w:val="00FF2985"/>
    <w:pPr>
      <w:keepNext/>
    </w:pPr>
    <w:rPr>
      <w:b/>
      <w:bCs/>
    </w:rPr>
  </w:style>
  <w:style w:type="table" w:customStyle="1" w:styleId="TablegridAgency">
    <w:name w:val="Table grid (Agency)"/>
    <w:rsid w:val="00FF2985"/>
    <w:rPr>
      <w:rFonts w:ascii="Verdana" w:hAnsi="Verdana" w:cs="Verdana"/>
      <w:sz w:val="18"/>
      <w:szCs w:val="18"/>
      <w:lang w:val="en-GB" w:eastAsia="en-US" w:bidi="ar-SA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3F2"/>
    </w:tcPr>
  </w:style>
  <w:style w:type="table" w:customStyle="1" w:styleId="TablegridAgencyblack">
    <w:name w:val="Table grid (Agency) black"/>
    <w:basedOn w:val="TablegridAgency"/>
    <w:rsid w:val="00FF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3F2"/>
    </w:tcPr>
    <w:tblStylePr w:type="firstRow">
      <w:rPr>
        <w:rFonts w:ascii="Times New Roman" w:hAnsi="Times New Roman" w:cs="Times New Roman"/>
        <w:b/>
        <w:bCs/>
        <w:i w:val="0"/>
        <w:iCs w:val="0"/>
        <w:color w:val="auto"/>
        <w:sz w:val="18"/>
        <w:szCs w:val="18"/>
      </w:rPr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rsid w:val="00FF2985"/>
    <w:pPr>
      <w:keepNext/>
      <w:numPr>
        <w:numId w:val="29"/>
      </w:numPr>
      <w:spacing w:before="240" w:after="120"/>
    </w:pPr>
  </w:style>
  <w:style w:type="paragraph" w:customStyle="1" w:styleId="TableheadingrowsAgency">
    <w:name w:val="Table heading rows (Agency)"/>
    <w:basedOn w:val="BodytextAgency"/>
    <w:rsid w:val="00FF2985"/>
    <w:pPr>
      <w:keepNext/>
    </w:pPr>
    <w:rPr>
      <w:b/>
      <w:bCs/>
    </w:rPr>
  </w:style>
  <w:style w:type="paragraph" w:customStyle="1" w:styleId="TabletextrowsAgency">
    <w:name w:val="Table text rows (Agency)"/>
    <w:basedOn w:val="Normal"/>
    <w:rsid w:val="00FF2985"/>
    <w:pPr>
      <w:spacing w:line="280" w:lineRule="exact"/>
    </w:pPr>
  </w:style>
  <w:style w:type="paragraph" w:customStyle="1" w:styleId="TableFigurenoteAgency">
    <w:name w:val="Table/Figure note (Agency)"/>
    <w:basedOn w:val="BodytextAgency"/>
    <w:next w:val="BodytextAgency"/>
    <w:rsid w:val="00FF2985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uiPriority w:val="39"/>
    <w:semiHidden/>
    <w:rsid w:val="00FF2985"/>
    <w:pPr>
      <w:keepNext/>
      <w:tabs>
        <w:tab w:val="right" w:leader="dot" w:pos="9401"/>
      </w:tabs>
      <w:spacing w:before="140" w:after="57" w:line="240" w:lineRule="atLeast"/>
    </w:pPr>
    <w:rPr>
      <w:b/>
      <w:bCs/>
      <w:noProof/>
      <w:sz w:val="22"/>
      <w:szCs w:val="22"/>
      <w:lang w:eastAsia="en-GB"/>
    </w:rPr>
  </w:style>
  <w:style w:type="paragraph" w:styleId="TOC2">
    <w:name w:val="toc 2"/>
    <w:basedOn w:val="Normal"/>
    <w:next w:val="BodytextAgency"/>
    <w:uiPriority w:val="39"/>
    <w:semiHidden/>
    <w:rsid w:val="00FF2985"/>
    <w:pPr>
      <w:tabs>
        <w:tab w:val="right" w:leader="dot" w:pos="9401"/>
      </w:tabs>
      <w:spacing w:after="57" w:line="240" w:lineRule="atLeast"/>
    </w:pPr>
    <w:rPr>
      <w:noProof/>
      <w:sz w:val="20"/>
      <w:szCs w:val="20"/>
      <w:lang w:eastAsia="en-GB"/>
    </w:rPr>
  </w:style>
  <w:style w:type="paragraph" w:styleId="TOC3">
    <w:name w:val="toc 3"/>
    <w:basedOn w:val="Normal"/>
    <w:next w:val="BodytextAgency"/>
    <w:uiPriority w:val="39"/>
    <w:semiHidden/>
    <w:rsid w:val="00FF2985"/>
    <w:pPr>
      <w:tabs>
        <w:tab w:val="right" w:leader="dot" w:pos="9401"/>
      </w:tabs>
      <w:spacing w:after="57" w:line="240" w:lineRule="atLeast"/>
    </w:pPr>
    <w:rPr>
      <w:noProof/>
      <w:sz w:val="20"/>
      <w:szCs w:val="20"/>
      <w:lang w:eastAsia="en-GB"/>
    </w:rPr>
  </w:style>
  <w:style w:type="paragraph" w:styleId="TOC4">
    <w:name w:val="toc 4"/>
    <w:basedOn w:val="Normal"/>
    <w:next w:val="BodytextAgency"/>
    <w:uiPriority w:val="39"/>
    <w:semiHidden/>
    <w:rsid w:val="00FF2985"/>
    <w:pPr>
      <w:tabs>
        <w:tab w:val="right" w:leader="dot" w:pos="9401"/>
      </w:tabs>
      <w:spacing w:after="57" w:line="240" w:lineRule="atLeast"/>
    </w:pPr>
    <w:rPr>
      <w:noProof/>
      <w:sz w:val="20"/>
      <w:szCs w:val="20"/>
    </w:rPr>
  </w:style>
  <w:style w:type="paragraph" w:styleId="TOC5">
    <w:name w:val="toc 5"/>
    <w:basedOn w:val="Normal"/>
    <w:next w:val="BodytextAgency"/>
    <w:uiPriority w:val="39"/>
    <w:semiHidden/>
    <w:rsid w:val="00FF2985"/>
    <w:pPr>
      <w:tabs>
        <w:tab w:val="right" w:leader="dot" w:pos="9401"/>
      </w:tabs>
      <w:spacing w:after="57" w:line="240" w:lineRule="atLeast"/>
    </w:pPr>
    <w:rPr>
      <w:noProof/>
      <w:sz w:val="20"/>
      <w:szCs w:val="20"/>
    </w:rPr>
  </w:style>
  <w:style w:type="paragraph" w:styleId="TOC6">
    <w:name w:val="toc 6"/>
    <w:basedOn w:val="Normal"/>
    <w:next w:val="BodytextAgency"/>
    <w:autoRedefine/>
    <w:uiPriority w:val="39"/>
    <w:semiHidden/>
    <w:rsid w:val="00FF2985"/>
    <w:pPr>
      <w:spacing w:after="57" w:line="240" w:lineRule="exact"/>
    </w:pPr>
  </w:style>
  <w:style w:type="paragraph" w:styleId="TOC7">
    <w:name w:val="toc 7"/>
    <w:basedOn w:val="Normal"/>
    <w:next w:val="BodytextAgency"/>
    <w:uiPriority w:val="39"/>
    <w:semiHidden/>
    <w:rsid w:val="00FF2985"/>
    <w:pPr>
      <w:spacing w:after="57" w:line="240" w:lineRule="exact"/>
    </w:pPr>
  </w:style>
  <w:style w:type="paragraph" w:styleId="TOC8">
    <w:name w:val="toc 8"/>
    <w:basedOn w:val="Normal"/>
    <w:next w:val="BodytextAgency"/>
    <w:uiPriority w:val="39"/>
    <w:semiHidden/>
    <w:rsid w:val="00FF2985"/>
    <w:pPr>
      <w:spacing w:after="57" w:line="240" w:lineRule="exact"/>
    </w:pPr>
  </w:style>
  <w:style w:type="paragraph" w:styleId="TOC9">
    <w:name w:val="toc 9"/>
    <w:basedOn w:val="Normal"/>
    <w:next w:val="BodytextAgency"/>
    <w:uiPriority w:val="39"/>
    <w:semiHidden/>
    <w:rsid w:val="00FF2985"/>
    <w:pPr>
      <w:spacing w:after="57" w:line="240" w:lineRule="exact"/>
    </w:pPr>
  </w:style>
  <w:style w:type="character" w:customStyle="1" w:styleId="NormalAgencyChar">
    <w:name w:val="Normal (Agency) Char"/>
    <w:link w:val="NormalAgency"/>
    <w:locked/>
    <w:rsid w:val="00FF2985"/>
    <w:rPr>
      <w:rFonts w:ascii="Verdana" w:hAnsi="Verdana" w:cs="Verdana"/>
      <w:sz w:val="18"/>
      <w:szCs w:val="18"/>
      <w:lang w:val="en-GB" w:eastAsia="en-GB" w:bidi="ar-SA"/>
    </w:rPr>
  </w:style>
  <w:style w:type="character" w:customStyle="1" w:styleId="DraftingNotesAgencyChar">
    <w:name w:val="Drafting Notes (Agency) Char"/>
    <w:link w:val="DraftingNotesAgency"/>
    <w:locked/>
    <w:rsid w:val="00FF2985"/>
    <w:rPr>
      <w:rFonts w:ascii="Courier New" w:hAnsi="Courier New" w:cs="Courier New"/>
      <w:i/>
      <w:iCs/>
      <w:color w:val="339966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locked/>
    <w:rsid w:val="00FF2985"/>
    <w:rPr>
      <w:rFonts w:ascii="Verdana" w:hAnsi="Verdana" w:cs="Verdana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FF2985"/>
    <w:rPr>
      <w:rFonts w:ascii="Times New Roman" w:hAnsi="Times New Roman" w:cs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F650E9"/>
    <w:rPr>
      <w:rFonts w:cs="Verdana"/>
      <w:sz w:val="2"/>
      <w:lang w:eastAsia="zh-CN"/>
    </w:rPr>
  </w:style>
  <w:style w:type="character" w:styleId="CommentReference">
    <w:name w:val="annotation reference"/>
    <w:uiPriority w:val="99"/>
    <w:semiHidden/>
    <w:rsid w:val="00FF298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F2985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F650E9"/>
    <w:rPr>
      <w:rFonts w:ascii="Verdana" w:hAnsi="Verdana" w:cs="Verdana"/>
      <w:lang w:eastAsia="zh-CN"/>
    </w:rPr>
  </w:style>
  <w:style w:type="character" w:customStyle="1" w:styleId="No-numheading3AgencyChar">
    <w:name w:val="No-num heading 3 (Agency) Char"/>
    <w:link w:val="No-numheading3Agency"/>
    <w:locked/>
    <w:rsid w:val="00FF2985"/>
    <w:rPr>
      <w:rFonts w:ascii="Verdana" w:hAnsi="Verdana" w:cs="Verdana"/>
      <w:b/>
      <w:bCs/>
      <w:kern w:val="32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FF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w4winMark">
    <w:name w:val="tw4winMark"/>
    <w:rsid w:val="00FF2985"/>
    <w:rPr>
      <w:rFonts w:ascii="Courier New" w:hAnsi="Courier New"/>
      <w:vanish/>
      <w:color w:val="800080"/>
      <w:vertAlign w:val="subscript"/>
    </w:rPr>
  </w:style>
  <w:style w:type="numbering" w:customStyle="1" w:styleId="BulletsAgency">
    <w:name w:val="Bullets (Agency)"/>
    <w:rsid w:val="00E9011E"/>
    <w:pPr>
      <w:numPr>
        <w:numId w:val="4"/>
      </w:numPr>
    </w:pPr>
  </w:style>
  <w:style w:type="numbering" w:customStyle="1" w:styleId="NumberlistAgency">
    <w:name w:val="Number list (Agency)"/>
    <w:rsid w:val="00E9011E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vasquezg\AppData\Local\Microsoft\Windows\Temporary%20Internet%20Files\Content.MSO\5665E7BF.DOT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5665E7BF.DOT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HannexIVconditionalpl</vt:lpstr>
      <vt:lpstr>HannexIVconditionalpl</vt:lpstr>
    </vt:vector>
  </TitlesOfParts>
  <Company>Translation Centre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HannexIVconditional_pl</dc:title>
  <dc:creator>European Medicines Agency</dc:creator>
  <cp:lastModifiedBy>Akhtar Tia</cp:lastModifiedBy>
  <cp:revision>3</cp:revision>
  <cp:lastPrinted>2012-03-30T10:00:00Z</cp:lastPrinted>
  <dcterms:created xsi:type="dcterms:W3CDTF">2016-12-08T09:44:00Z</dcterms:created>
  <dcterms:modified xsi:type="dcterms:W3CDTF">2018-10-12T13:52:00Z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Templates and Form</vt:lpwstr>
  </property>
  <property fmtid="{D5CDD505-2E9C-101B-9397-08002B2CF9AE}" pid="4" name="DM_Creation_Date">
    <vt:lpwstr>12/10/2018 14:52:57</vt:lpwstr>
  </property>
  <property fmtid="{D5CDD505-2E9C-101B-9397-08002B2CF9AE}" pid="5" name="DM_Creator_Name">
    <vt:lpwstr>Akhtar Timea</vt:lpwstr>
  </property>
  <property fmtid="{D5CDD505-2E9C-101B-9397-08002B2CF9AE}" pid="6" name="DM_DocRefId">
    <vt:lpwstr>EMA/713502/2018</vt:lpwstr>
  </property>
  <property fmtid="{D5CDD505-2E9C-101B-9397-08002B2CF9AE}" pid="7" name="DM_emea_doc_ref_id">
    <vt:lpwstr>EMA/713502/2018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Akhtar Timea</vt:lpwstr>
  </property>
  <property fmtid="{D5CDD505-2E9C-101B-9397-08002B2CF9AE}" pid="11" name="DM_Modified_Date">
    <vt:lpwstr>12/10/2018 14:52:57</vt:lpwstr>
  </property>
  <property fmtid="{D5CDD505-2E9C-101B-9397-08002B2CF9AE}" pid="12" name="DM_Modifier_Name">
    <vt:lpwstr>Akhtar Timea</vt:lpwstr>
  </property>
  <property fmtid="{D5CDD505-2E9C-101B-9397-08002B2CF9AE}" pid="13" name="DM_Modify_Date">
    <vt:lpwstr>12/10/2018 14:52:57</vt:lpwstr>
  </property>
  <property fmtid="{D5CDD505-2E9C-101B-9397-08002B2CF9AE}" pid="14" name="DM_Name">
    <vt:lpwstr>HannexIVconditional_pl</vt:lpwstr>
  </property>
  <property fmtid="{D5CDD505-2E9C-101B-9397-08002B2CF9AE}" pid="15" name="DM_Path">
    <vt:lpwstr>/02b. Administration of Scientific Meeting/WPs SAGs DGs and other WGs/CxMP - QRD/3. Other activities/01. Product Reviews/05. AD HOC linguistic reviews/17 Annex IV revision 10-2016/3. Final translations for publication/Conditional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2.0,CURRENT</vt:lpwstr>
  </property>
  <property fmtid="{D5CDD505-2E9C-101B-9397-08002B2CF9AE}" pid="21" name="EMEADocClassifcationCode">
    <vt:lpwstr> </vt:lpwstr>
  </property>
  <property fmtid="{D5CDD505-2E9C-101B-9397-08002B2CF9AE}" pid="22" name="EMEADocClassificationText">
    <vt:lpwstr> </vt:lpwstr>
  </property>
  <property fmtid="{D5CDD505-2E9C-101B-9397-08002B2CF9AE}" pid="23" name="EMEADocDate">
    <vt:lpwstr> </vt:lpwstr>
  </property>
  <property fmtid="{D5CDD505-2E9C-101B-9397-08002B2CF9AE}" pid="24" name="EMEADocDateDay">
    <vt:lpwstr> </vt:lpwstr>
  </property>
  <property fmtid="{D5CDD505-2E9C-101B-9397-08002B2CF9AE}" pid="25" name="EMEADocDateMonth">
    <vt:lpwstr> </vt:lpwstr>
  </property>
  <property fmtid="{D5CDD505-2E9C-101B-9397-08002B2CF9AE}" pid="26" name="EMEADocDateYear">
    <vt:lpwstr> </vt:lpwstr>
  </property>
  <property fmtid="{D5CDD505-2E9C-101B-9397-08002B2CF9AE}" pid="27" name="EMEADocExtCatTitle">
    <vt:lpwstr> </vt:lpwstr>
  </property>
  <property fmtid="{D5CDD505-2E9C-101B-9397-08002B2CF9AE}" pid="28" name="EMEADocLanguage">
    <vt:lpwstr> </vt:lpwstr>
  </property>
  <property fmtid="{D5CDD505-2E9C-101B-9397-08002B2CF9AE}" pid="29" name="EMEADocRefFull">
    <vt:lpwstr>EMEA/xxxx/xx/EN</vt:lpwstr>
  </property>
  <property fmtid="{D5CDD505-2E9C-101B-9397-08002B2CF9AE}" pid="30" name="EMEADocRefNum">
    <vt:lpwstr> </vt:lpwstr>
  </property>
  <property fmtid="{D5CDD505-2E9C-101B-9397-08002B2CF9AE}" pid="31" name="EMEADocRefPartFreeText">
    <vt:lpwstr> </vt:lpwstr>
  </property>
  <property fmtid="{D5CDD505-2E9C-101B-9397-08002B2CF9AE}" pid="32" name="EMEADocRefRoot">
    <vt:lpwstr> </vt:lpwstr>
  </property>
  <property fmtid="{D5CDD505-2E9C-101B-9397-08002B2CF9AE}" pid="33" name="EMEADocRefYear">
    <vt:lpwstr> </vt:lpwstr>
  </property>
  <property fmtid="{D5CDD505-2E9C-101B-9397-08002B2CF9AE}" pid="34" name="EMEADocStatus">
    <vt:lpwstr> </vt:lpwstr>
  </property>
  <property fmtid="{D5CDD505-2E9C-101B-9397-08002B2CF9AE}" pid="35" name="EMEADocTitle">
    <vt:lpwstr> </vt:lpwstr>
  </property>
  <property fmtid="{D5CDD505-2E9C-101B-9397-08002B2CF9AE}" pid="36" name="EMEADocTypeCode">
    <vt:lpwstr> </vt:lpwstr>
  </property>
  <property fmtid="{D5CDD505-2E9C-101B-9397-08002B2CF9AE}" pid="37" name="EMEADocVersion">
    <vt:lpwstr> </vt:lpwstr>
  </property>
  <property fmtid="{D5CDD505-2E9C-101B-9397-08002B2CF9AE}" pid="38" name="EMEDDocRefPart0">
    <vt:lpwstr> </vt:lpwstr>
  </property>
  <property fmtid="{D5CDD505-2E9C-101B-9397-08002B2CF9AE}" pid="39" name="EMEDDocRefPart1">
    <vt:lpwstr> </vt:lpwstr>
  </property>
  <property fmtid="{D5CDD505-2E9C-101B-9397-08002B2CF9AE}" pid="40" name="EMEDDocRefPart2">
    <vt:lpwstr> </vt:lpwstr>
  </property>
  <property fmtid="{D5CDD505-2E9C-101B-9397-08002B2CF9AE}" pid="41" name="EMEDDocRefPart3">
    <vt:lpwstr> </vt:lpwstr>
  </property>
</Properties>
</file>