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:rsidR="001B0FA3" w:rsidRPr="004B1F25" w:rsidP="001B0FA3" w14:paraId="10EB9B39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1B0FA3" w:rsidRPr="004B1F25" w:rsidP="001B0FA3" w14:paraId="39AE8F82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1B0FA3" w:rsidRPr="004B1F25" w:rsidP="001B0FA3" w14:paraId="78C431BC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1B0FA3" w:rsidRPr="004B1F25" w:rsidP="001B0FA3" w14:paraId="19B4EC64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1B0FA3" w:rsidRPr="004B1F25" w:rsidP="001B0FA3" w14:paraId="4CDD6BC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1B0FA3" w:rsidRPr="004B1F25" w:rsidP="001B0FA3" w14:paraId="657D8F81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1B0FA3" w:rsidRPr="004B1F25" w:rsidP="001B0FA3" w14:paraId="1CF7479E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1B0FA3" w:rsidRPr="004B1F25" w:rsidP="001B0FA3" w14:paraId="5583469F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1B0FA3" w:rsidRPr="004B1F25" w:rsidP="001B0FA3" w14:paraId="283933E1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1B0FA3" w:rsidRPr="004B1F25" w:rsidP="001B0FA3" w14:paraId="35880AB7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1B0FA3" w:rsidRPr="004B1F25" w:rsidP="001B0FA3" w14:paraId="3F0FEF5D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1B0FA3" w:rsidRPr="004B1F25" w:rsidP="001B0FA3" w14:paraId="615E974D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1B0FA3" w:rsidRPr="004B1F25" w:rsidP="001B0FA3" w14:paraId="04DF60FC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1B0FA3" w:rsidRPr="004B1F25" w:rsidP="001B0FA3" w14:paraId="08984844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1B0FA3" w:rsidRPr="004B1F25" w:rsidP="001B0FA3" w14:paraId="55190C54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1B0FA3" w:rsidRPr="004B1F25" w:rsidP="001B0FA3" w14:paraId="3CFAD220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1B0FA3" w:rsidRPr="004B1F25" w:rsidP="001B0FA3" w14:paraId="7D5BE6C5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1B0FA3" w:rsidRPr="004B1F25" w:rsidP="001B0FA3" w14:paraId="49B108E7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1B0FA3" w:rsidRPr="004B1F25" w:rsidP="001B0FA3" w14:paraId="27AF7124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1B0FA3" w:rsidRPr="004B1F25" w:rsidP="001B0FA3" w14:paraId="10944926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1B0FA3" w:rsidRPr="004B1F25" w:rsidP="001B0FA3" w14:paraId="23C6ECD4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1B0FA3" w:rsidRPr="004B1F25" w:rsidP="001B0FA3" w14:paraId="2178596F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1B0FA3" w:rsidRPr="004B1F25" w:rsidP="001B0FA3" w14:paraId="210BB7B1" w14:textId="77777777">
      <w:pPr>
        <w:pStyle w:val="No-numheading3Agency"/>
        <w:spacing w:before="0" w:after="0"/>
        <w:jc w:val="center"/>
        <w:rPr>
          <w:rFonts w:ascii="Times New Roman" w:hAnsi="Times New Roman"/>
          <w:lang w:val="en-GB"/>
        </w:rPr>
      </w:pPr>
    </w:p>
    <w:p w:rsidR="001B0FA3" w:rsidRPr="004B1F25" w:rsidP="001B0FA3" w14:paraId="5992B5E6" w14:textId="77777777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4B1F25">
        <w:rPr>
          <w:rFonts w:ascii="Times New Roman" w:hAnsi="Times New Roman"/>
        </w:rPr>
        <w:t>ANEKS IV</w:t>
      </w:r>
    </w:p>
    <w:p w:rsidR="001B0FA3" w:rsidRPr="00B57B2D" w:rsidP="001B0FA3" w14:paraId="6C592606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1B0FA3" w:rsidRPr="004B1F25" w:rsidP="001B0FA3" w14:paraId="33149C7B" w14:textId="77777777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4B1F25">
        <w:rPr>
          <w:rFonts w:ascii="Times New Roman" w:hAnsi="Times New Roman"/>
        </w:rPr>
        <w:t>WNIOSKI NAUKOWE I PODSTAWY ZMIANY WARUNKÓW</w:t>
      </w:r>
    </w:p>
    <w:p w:rsidR="001B0FA3" w:rsidRPr="004B1F25" w:rsidP="001B0FA3" w14:paraId="38C3EE87" w14:textId="77777777">
      <w:pPr>
        <w:pStyle w:val="No-numheading3Agency"/>
        <w:spacing w:before="0" w:after="0"/>
        <w:jc w:val="center"/>
        <w:rPr>
          <w:rFonts w:ascii="Times New Roman" w:hAnsi="Times New Roman"/>
        </w:rPr>
      </w:pPr>
      <w:r w:rsidRPr="004B1F25">
        <w:rPr>
          <w:rFonts w:ascii="Times New Roman" w:hAnsi="Times New Roman"/>
        </w:rPr>
        <w:t>POZWOLENIA (POZWOLEŃ) NA DOPUSZCZENIE DO OBROTU</w:t>
      </w:r>
    </w:p>
    <w:p w:rsidR="001B0FA3" w:rsidRPr="00B57B2D" w:rsidP="001B0FA3" w14:paraId="4FA294B2" w14:textId="77777777">
      <w:pPr>
        <w:pStyle w:val="BodytextAgency"/>
        <w:spacing w:after="0" w:line="240" w:lineRule="auto"/>
        <w:rPr>
          <w:rFonts w:ascii="Times New Roman" w:hAnsi="Times New Roman"/>
          <w:i/>
          <w:color w:val="339966"/>
          <w:sz w:val="22"/>
          <w:szCs w:val="22"/>
        </w:rPr>
      </w:pPr>
    </w:p>
    <w:p w:rsidR="001B0FA3" w:rsidRPr="00B57B2D" w:rsidP="001B0FA3" w14:paraId="2B2F60D5" w14:textId="77777777">
      <w:pPr>
        <w:pStyle w:val="BodytextAgency"/>
        <w:spacing w:after="0" w:line="240" w:lineRule="auto"/>
        <w:rPr>
          <w:rFonts w:ascii="Times New Roman" w:hAnsi="Times New Roman"/>
          <w:color w:val="339966"/>
          <w:sz w:val="22"/>
          <w:szCs w:val="22"/>
          <w:lang w:val="en-GB"/>
        </w:rPr>
      </w:pPr>
      <w:r w:rsidRPr="004B1F25">
        <w:rPr>
          <w:rFonts w:ascii="Times New Roman" w:hAnsi="Times New Roman"/>
          <w:color w:val="339966"/>
          <w:sz w:val="22"/>
          <w:lang w:val="en-GB"/>
        </w:rPr>
        <w:t>[This Annex IV refers to CAPs]</w:t>
      </w:r>
    </w:p>
    <w:p w:rsidR="001B0FA3" w:rsidRPr="00B57B2D" w:rsidP="001B0FA3" w14:paraId="53A2A1FF" w14:textId="77777777">
      <w:pPr>
        <w:pStyle w:val="DraftingNotesAgency"/>
        <w:spacing w:after="0" w:line="240" w:lineRule="auto"/>
        <w:rPr>
          <w:rFonts w:ascii="Times New Roman" w:hAnsi="Times New Roman"/>
          <w:b/>
          <w:bCs/>
          <w:i w:val="0"/>
          <w:color w:val="auto"/>
          <w:kern w:val="32"/>
          <w:szCs w:val="22"/>
          <w:lang w:val="en-GB"/>
        </w:rPr>
      </w:pPr>
    </w:p>
    <w:p w:rsidR="001B0FA3" w:rsidRPr="004B1F25" w:rsidP="001B0FA3" w14:paraId="212D8C94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1B0FA3" w:rsidRPr="004B1F25" w:rsidP="001B0FA3" w14:paraId="6B76D48B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1B0FA3" w:rsidRPr="004B1F25" w:rsidP="001B0FA3" w14:paraId="48C4BCFA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1B0FA3" w:rsidRPr="004B1F25" w:rsidP="001B0FA3" w14:paraId="3E928CA0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1B0FA3" w:rsidRPr="004B1F25" w:rsidP="001B0FA3" w14:paraId="1729ACBF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1B0FA3" w:rsidRPr="004B1F25" w:rsidP="001B0FA3" w14:paraId="34D4CDF7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1B0FA3" w:rsidRPr="004B1F25" w:rsidP="001B0FA3" w14:paraId="62EE4782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1B0FA3" w:rsidRPr="004B1F25" w:rsidP="001B0FA3" w14:paraId="6A3A2AB4" w14:textId="77777777">
      <w:pPr>
        <w:rPr>
          <w:rFonts w:ascii="Times New Roman" w:hAnsi="Times New Roman" w:cs="Times New Roman"/>
          <w:sz w:val="22"/>
          <w:szCs w:val="22"/>
          <w:lang w:val="x-none" w:eastAsia="x-none"/>
        </w:rPr>
      </w:pPr>
    </w:p>
    <w:p w:rsidR="001B0FA3" w:rsidRPr="004B1F25" w:rsidP="001B0FA3" w14:paraId="54852B7B" w14:textId="77777777">
      <w:pPr>
        <w:pStyle w:val="DraftingNotesAgency"/>
        <w:spacing w:after="0" w:line="240" w:lineRule="auto"/>
        <w:rPr>
          <w:rFonts w:ascii="Times New Roman" w:hAnsi="Times New Roman"/>
          <w:b/>
          <w:bCs/>
          <w:i w:val="0"/>
          <w:color w:val="auto"/>
          <w:kern w:val="32"/>
          <w:szCs w:val="22"/>
        </w:rPr>
      </w:pPr>
      <w:r w:rsidRPr="003821FA">
        <w:br w:type="page"/>
      </w:r>
      <w:r w:rsidRPr="004B1F25">
        <w:rPr>
          <w:rFonts w:ascii="Times New Roman" w:hAnsi="Times New Roman"/>
          <w:b/>
          <w:i w:val="0"/>
          <w:color w:val="auto"/>
        </w:rPr>
        <w:t>Wnioski naukowe</w:t>
      </w:r>
    </w:p>
    <w:p w:rsidR="001B0FA3" w:rsidRPr="00B57B2D" w:rsidP="001B0FA3" w14:paraId="13E203B3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1B0FA3" w:rsidRPr="004B1F25" w:rsidP="001B0FA3" w14:paraId="60B4A0B9" w14:textId="77777777">
      <w:pPr>
        <w:pStyle w:val="DraftingNotesAgency"/>
        <w:spacing w:after="0" w:line="240" w:lineRule="auto"/>
        <w:rPr>
          <w:rFonts w:ascii="Times New Roman" w:hAnsi="Times New Roman"/>
          <w:bCs/>
          <w:i w:val="0"/>
          <w:color w:val="auto"/>
          <w:kern w:val="32"/>
          <w:szCs w:val="22"/>
        </w:rPr>
      </w:pPr>
      <w:r w:rsidRPr="004B1F25">
        <w:rPr>
          <w:rFonts w:ascii="Times New Roman" w:hAnsi="Times New Roman"/>
          <w:i w:val="0"/>
          <w:color w:val="auto"/>
        </w:rPr>
        <w:t>Uwzględniając raport oceniający PRAC w sprawie okresowych raportów o bezpieczeństwie (PSUR) dotyczących {nazwa substancji czynnej (czynnych)}, wnioski naukowe przyjęte przez PRAC są następujące:</w:t>
      </w:r>
    </w:p>
    <w:p w:rsidR="001B0FA3" w:rsidRPr="00B57B2D" w:rsidP="001B0FA3" w14:paraId="0C86C9FA" w14:textId="77777777">
      <w:pPr>
        <w:pStyle w:val="DraftingNotesAgency"/>
        <w:spacing w:after="0" w:line="240" w:lineRule="auto"/>
        <w:rPr>
          <w:rFonts w:ascii="Times New Roman" w:hAnsi="Times New Roman"/>
          <w:bCs/>
          <w:i w:val="0"/>
          <w:color w:val="auto"/>
          <w:kern w:val="32"/>
          <w:szCs w:val="22"/>
        </w:rPr>
      </w:pPr>
    </w:p>
    <w:p w:rsidR="001B0FA3" w:rsidRPr="00B57B2D" w:rsidP="001B0FA3" w14:paraId="29FF3D76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  <w:r w:rsidRPr="004B1F25">
        <w:rPr>
          <w:rFonts w:ascii="Times New Roman" w:hAnsi="Times New Roman"/>
          <w:i w:val="0"/>
          <w:lang w:val="en-GB"/>
        </w:rPr>
        <w:t>[Copy-paste from the</w:t>
      </w:r>
      <w:r w:rsidRPr="00B57B2D">
        <w:rPr>
          <w:rFonts w:ascii="Times New Roman" w:hAnsi="Times New Roman"/>
          <w:i w:val="0"/>
          <w:lang w:val="en-GB"/>
        </w:rPr>
        <w:t xml:space="preserve"> </w:t>
      </w:r>
      <w:r w:rsidRPr="004B1F25">
        <w:rPr>
          <w:rFonts w:ascii="Times New Roman" w:hAnsi="Times New Roman"/>
          <w:i w:val="0"/>
          <w:lang w:val="en-GB"/>
        </w:rPr>
        <w:t xml:space="preserve">relevant paragraphs of section (Final assessment conclusions and actions) of the </w:t>
      </w:r>
      <w:r w:rsidRPr="00B57B2D">
        <w:rPr>
          <w:rFonts w:ascii="Times New Roman" w:hAnsi="Times New Roman"/>
          <w:i w:val="0"/>
          <w:lang w:val="en-GB"/>
        </w:rPr>
        <w:t>PSUR PRAC AR</w:t>
      </w:r>
      <w:r w:rsidRPr="004B1F25">
        <w:rPr>
          <w:rFonts w:ascii="Times New Roman" w:hAnsi="Times New Roman"/>
          <w:i w:val="0"/>
          <w:lang w:val="en-GB"/>
        </w:rPr>
        <w:t>, with regards to the scientific grounds recommending the variation to the terms of the Marketing Authorisation(s).</w:t>
      </w:r>
      <w:r w:rsidRPr="004B1F25">
        <w:rPr>
          <w:rFonts w:ascii="Times New Roman" w:hAnsi="Times New Roman"/>
          <w:i w:val="0"/>
          <w:lang w:val="en-GB"/>
        </w:rPr>
        <w:cr/>
      </w:r>
      <w:r w:rsidRPr="004B1F25">
        <w:rPr>
          <w:rFonts w:ascii="Times New Roman" w:hAnsi="Times New Roman"/>
          <w:i w:val="0"/>
          <w:lang w:val="en-GB"/>
        </w:rPr>
        <w:br/>
        <w:t>Avoid the use of abbreviations].</w:t>
      </w:r>
    </w:p>
    <w:p w:rsidR="001B0FA3" w:rsidRPr="004B1F25" w:rsidP="001B0FA3" w14:paraId="3FE58FD7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1B0FA3" w:rsidRPr="00B57B2D" w:rsidP="001B0FA3" w14:paraId="64CBF8E1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  <w:r w:rsidRPr="004B1F25">
        <w:rPr>
          <w:rFonts w:ascii="Times New Roman" w:hAnsi="Times New Roman"/>
          <w:i w:val="0"/>
          <w:lang w:val="en-GB"/>
        </w:rPr>
        <w:t>[Please select option 1 or 2]</w:t>
      </w:r>
    </w:p>
    <w:p w:rsidR="001B0FA3" w:rsidRPr="004B1F25" w:rsidP="001B0FA3" w14:paraId="0017BE69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1B0FA3" w:rsidRPr="00B57B2D" w:rsidP="001B0FA3" w14:paraId="29F0807D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  <w:r w:rsidRPr="004B1F25">
        <w:rPr>
          <w:rFonts w:ascii="Times New Roman" w:hAnsi="Times New Roman"/>
          <w:i w:val="0"/>
          <w:lang w:val="en-GB"/>
        </w:rPr>
        <w:t>[OPTION 1: CHMP agrees]</w:t>
      </w:r>
    </w:p>
    <w:p w:rsidR="001B0FA3" w:rsidRPr="004B1F25" w:rsidP="001B0FA3" w14:paraId="0A7DF3B0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Komitet </w:t>
      </w:r>
      <w:r w:rsidRPr="004B1F25">
        <w:rPr>
          <w:rFonts w:ascii="Times New Roman" w:hAnsi="Times New Roman"/>
          <w:sz w:val="22"/>
        </w:rPr>
        <w:t>CHMP, po zapoznaniu się z zaleceniem PRAC, zgadza się z ogólnymi wnioskami PRAC i uzasadnieniem zalecenia.</w:t>
      </w:r>
    </w:p>
    <w:p w:rsidR="001B0FA3" w:rsidRPr="004B1F25" w:rsidP="001B0FA3" w14:paraId="1CFA5180" w14:textId="77777777">
      <w:pPr>
        <w:keepNext/>
        <w:widowControl w:val="0"/>
        <w:autoSpaceDE w:val="0"/>
        <w:autoSpaceDN w:val="0"/>
        <w:adjustRightInd w:val="0"/>
        <w:ind w:right="120"/>
        <w:rPr>
          <w:rFonts w:ascii="Times New Roman" w:eastAsia="Verdana" w:hAnsi="Times New Roman" w:cs="Times New Roman"/>
          <w:bCs/>
          <w:kern w:val="32"/>
          <w:sz w:val="22"/>
          <w:szCs w:val="22"/>
          <w:lang w:val="x-none" w:eastAsia="x-none"/>
        </w:rPr>
      </w:pPr>
    </w:p>
    <w:p w:rsidR="001B0FA3" w:rsidRPr="004B1F25" w:rsidP="001B0FA3" w14:paraId="4A155592" w14:textId="77777777">
      <w:pPr>
        <w:pStyle w:val="No-numheading3Agency"/>
        <w:spacing w:before="0" w:after="0"/>
        <w:rPr>
          <w:rFonts w:ascii="Times New Roman" w:hAnsi="Times New Roman"/>
        </w:rPr>
      </w:pPr>
      <w:r w:rsidRPr="004B1F25">
        <w:rPr>
          <w:rFonts w:ascii="Times New Roman" w:hAnsi="Times New Roman"/>
        </w:rPr>
        <w:t>Podstawy zmiany warunków pozwolenia (pozwoleń) na dopuszczenie do obrotu</w:t>
      </w:r>
    </w:p>
    <w:p w:rsidR="001B0FA3" w:rsidRPr="00B57B2D" w:rsidP="001B0FA3" w14:paraId="2F80931D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</w:p>
    <w:p w:rsidR="001B0FA3" w:rsidRPr="004B1F25" w:rsidP="001B0FA3" w14:paraId="7298878A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4B1F25">
        <w:rPr>
          <w:rFonts w:ascii="Times New Roman" w:hAnsi="Times New Roman"/>
          <w:sz w:val="22"/>
        </w:rPr>
        <w:t>Na podstawie wniosków naukowych dotyczących {nazwa substancji czynnej (czynnych)} CHMP uznał, że stosunek korzyści</w:t>
      </w:r>
      <w:r>
        <w:rPr>
          <w:rFonts w:ascii="Times New Roman" w:hAnsi="Times New Roman"/>
          <w:sz w:val="22"/>
        </w:rPr>
        <w:t xml:space="preserve"> do</w:t>
      </w:r>
      <w:r w:rsidRPr="004B1F25">
        <w:rPr>
          <w:rFonts w:ascii="Times New Roman" w:hAnsi="Times New Roman"/>
          <w:sz w:val="22"/>
        </w:rPr>
        <w:t xml:space="preserve"> ryzyka stosowania produktu leczniczego zawierającego (produktów leczniczych zawierających) </w:t>
      </w:r>
      <w:r>
        <w:rPr>
          <w:rFonts w:ascii="Times New Roman" w:hAnsi="Times New Roman"/>
          <w:sz w:val="22"/>
        </w:rPr>
        <w:t xml:space="preserve">jako </w:t>
      </w:r>
      <w:r w:rsidRPr="004B1F25">
        <w:rPr>
          <w:rFonts w:ascii="Times New Roman" w:hAnsi="Times New Roman"/>
          <w:sz w:val="22"/>
        </w:rPr>
        <w:t>substancję czynną</w:t>
      </w:r>
      <w:r>
        <w:rPr>
          <w:rFonts w:ascii="Times New Roman" w:hAnsi="Times New Roman"/>
          <w:sz w:val="22"/>
        </w:rPr>
        <w:t xml:space="preserve"> (substancje czynne)</w:t>
      </w:r>
      <w:r w:rsidRPr="004B1F25">
        <w:rPr>
          <w:rFonts w:ascii="Times New Roman" w:hAnsi="Times New Roman"/>
          <w:sz w:val="22"/>
        </w:rPr>
        <w:t xml:space="preserve"> {nazwa substancji czynnej (czynnych)} pozostaje niezmieniony, pod warunkiem wprowadzenia proponowanych zmian do druków informacyjnych.</w:t>
      </w:r>
    </w:p>
    <w:p w:rsidR="001B0FA3" w:rsidRPr="00B57B2D" w:rsidP="001B0FA3" w14:paraId="6094A853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1B0FA3" w:rsidRPr="004B1F25" w:rsidP="001B0FA3" w14:paraId="420A6745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>
        <w:rPr>
          <w:rFonts w:ascii="Times New Roman" w:hAnsi="Times New Roman"/>
          <w:snapToGrid w:val="0"/>
          <w:sz w:val="22"/>
        </w:rPr>
        <w:t xml:space="preserve">Komitet </w:t>
      </w:r>
      <w:r w:rsidRPr="004B1F25">
        <w:rPr>
          <w:rFonts w:ascii="Times New Roman" w:hAnsi="Times New Roman"/>
          <w:snapToGrid w:val="0"/>
          <w:sz w:val="22"/>
        </w:rPr>
        <w:t>CHMP zaleca zmianę warunków pozwolenia (pozwoleń) na dopuszczenie do obrotu.</w:t>
      </w:r>
    </w:p>
    <w:p w:rsidR="001B0FA3" w:rsidRPr="004B1F25" w:rsidP="001B0FA3" w14:paraId="2428AA38" w14:textId="77777777">
      <w:pPr>
        <w:rPr>
          <w:rFonts w:ascii="Times New Roman" w:hAnsi="Times New Roman" w:cs="Times New Roman"/>
          <w:sz w:val="22"/>
          <w:szCs w:val="22"/>
          <w:lang w:val="x-none"/>
        </w:rPr>
      </w:pPr>
    </w:p>
    <w:p w:rsidR="001B0FA3" w:rsidRPr="004B1F25" w:rsidP="001B0FA3" w14:paraId="4716EC40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</w:rPr>
      </w:pPr>
      <w:r w:rsidRPr="00B57B2D">
        <w:rPr>
          <w:rFonts w:ascii="Times New Roman" w:hAnsi="Times New Roman"/>
          <w:i w:val="0"/>
        </w:rPr>
        <w:t>[OPTION 2: CHMP disagrees]</w:t>
      </w:r>
    </w:p>
    <w:p w:rsidR="001B0FA3" w:rsidRPr="004B1F25" w:rsidP="001B0FA3" w14:paraId="55723F25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</w:rPr>
        <w:t xml:space="preserve">Komitet </w:t>
      </w:r>
      <w:r w:rsidRPr="004B1F25">
        <w:rPr>
          <w:rFonts w:ascii="Times New Roman" w:hAnsi="Times New Roman"/>
          <w:sz w:val="22"/>
        </w:rPr>
        <w:t>CHMP, po zapoznaniu się z zaleceniem PRAC, nie zgadza się z ogólnymi wnioskami PRAC ani z uzasadnieniem zalecenia.</w:t>
      </w:r>
    </w:p>
    <w:p w:rsidR="001B0FA3" w:rsidRPr="004B1F25" w:rsidP="001B0FA3" w14:paraId="1AED5DDD" w14:textId="77777777">
      <w:pPr>
        <w:rPr>
          <w:rFonts w:ascii="Times New Roman" w:hAnsi="Times New Roman" w:cs="Times New Roman"/>
          <w:i/>
          <w:color w:val="339966"/>
          <w:sz w:val="22"/>
          <w:szCs w:val="22"/>
          <w:lang w:eastAsia="x-none"/>
        </w:rPr>
      </w:pPr>
    </w:p>
    <w:p w:rsidR="001B0FA3" w:rsidRPr="004B1F25" w:rsidP="001B0FA3" w14:paraId="1F369E96" w14:textId="77777777">
      <w:pPr>
        <w:pStyle w:val="BodytextAgency"/>
        <w:spacing w:after="0" w:line="240" w:lineRule="auto"/>
        <w:rPr>
          <w:rFonts w:ascii="Times New Roman" w:hAnsi="Times New Roman"/>
          <w:bCs/>
          <w:iCs/>
          <w:sz w:val="22"/>
          <w:szCs w:val="22"/>
          <w:u w:val="single"/>
        </w:rPr>
      </w:pPr>
      <w:r w:rsidRPr="004B1F25">
        <w:rPr>
          <w:rFonts w:ascii="Times New Roman" w:hAnsi="Times New Roman"/>
          <w:sz w:val="22"/>
          <w:u w:val="single"/>
        </w:rPr>
        <w:t>Szczegółowe wyjaśnienie podstaw naukowych różnic w stosunku do zalecenia PRAC</w:t>
      </w:r>
    </w:p>
    <w:p w:rsidR="001B0FA3" w:rsidRPr="00B57B2D" w:rsidP="001B0FA3" w14:paraId="0D6E95EB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  <w:r w:rsidRPr="004B1F25">
        <w:rPr>
          <w:rFonts w:ascii="Times New Roman" w:hAnsi="Times New Roman"/>
          <w:i w:val="0"/>
          <w:lang w:val="en-GB"/>
        </w:rPr>
        <w:t>[Detail the differences between the PRAC recommendation and the CHMP opinion, if any, and provide scientific grounds for the changes.]</w:t>
      </w:r>
    </w:p>
    <w:p w:rsidR="001B0FA3" w:rsidRPr="00B57B2D" w:rsidP="001B0FA3" w14:paraId="667A1F67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  <w:r w:rsidRPr="004B1F25">
        <w:rPr>
          <w:rFonts w:ascii="Times New Roman" w:hAnsi="Times New Roman"/>
          <w:i w:val="0"/>
          <w:lang w:val="en-GB"/>
        </w:rPr>
        <w:t>[If a report presenting the justification for the divergences from the PRAC recommendation is produced by the CHMP, it should be appended to the CHMP opinion and reflected on the cover page.]</w:t>
      </w:r>
    </w:p>
    <w:p w:rsidR="001B0FA3" w:rsidRPr="00B57B2D" w:rsidP="001B0FA3" w14:paraId="761393BF" w14:textId="77777777">
      <w:pPr>
        <w:pStyle w:val="BodytextAgency"/>
        <w:spacing w:after="0" w:line="240" w:lineRule="auto"/>
        <w:rPr>
          <w:lang w:val="en-GB"/>
        </w:rPr>
      </w:pPr>
    </w:p>
    <w:p w:rsidR="001B0FA3" w:rsidRPr="004B1F25" w:rsidP="001B0FA3" w14:paraId="681804B7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4B1F25">
        <w:rPr>
          <w:rFonts w:ascii="Times New Roman" w:hAnsi="Times New Roman"/>
          <w:sz w:val="22"/>
        </w:rPr>
        <w:t>Uwzględniając zalecenie PRAC &lt;i dyskusję w obrębie CHMP&gt;, CHMP wyraża następującą opinię:</w:t>
      </w:r>
    </w:p>
    <w:p w:rsidR="001B0FA3" w:rsidRPr="004B1F25" w:rsidP="001B0FA3" w14:paraId="7C79C3E8" w14:textId="77777777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</w:rPr>
      </w:pPr>
    </w:p>
    <w:p w:rsidR="001B0FA3" w:rsidRPr="00B57B2D" w:rsidP="001B0FA3" w14:paraId="665D9CE8" w14:textId="77777777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  <w:lang w:val="en-GB"/>
        </w:rPr>
      </w:pPr>
      <w:r w:rsidRPr="004B1F25">
        <w:rPr>
          <w:rFonts w:ascii="Times New Roman" w:hAnsi="Times New Roman"/>
          <w:i w:val="0"/>
          <w:lang w:val="en-GB"/>
        </w:rPr>
        <w:t>[In case of recommendation to maintain the marketing authorisation]</w:t>
      </w:r>
    </w:p>
    <w:p w:rsidR="001B0FA3" w:rsidRPr="004B1F25" w:rsidP="001B0FA3" w14:paraId="3059536A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4B1F25">
        <w:rPr>
          <w:rFonts w:ascii="Times New Roman" w:hAnsi="Times New Roman"/>
          <w:snapToGrid w:val="0"/>
          <w:sz w:val="22"/>
        </w:rPr>
        <w:t xml:space="preserve">&lt;stosunek korzyści do ryzyka </w:t>
      </w:r>
      <w:r>
        <w:rPr>
          <w:rFonts w:ascii="Times New Roman" w:hAnsi="Times New Roman"/>
          <w:snapToGrid w:val="0"/>
          <w:sz w:val="22"/>
        </w:rPr>
        <w:t>stosowania</w:t>
      </w:r>
      <w:r w:rsidRPr="004B1F25">
        <w:rPr>
          <w:rFonts w:ascii="Times New Roman" w:hAnsi="Times New Roman"/>
          <w:snapToGrid w:val="0"/>
          <w:sz w:val="22"/>
        </w:rPr>
        <w:t xml:space="preserve"> produktów leczniczych zawierających {nazwa substancji czynnej (czynnych)} pozostaje niezmieniony. Wobec tego &lt;</w:t>
      </w:r>
      <w:r>
        <w:rPr>
          <w:rFonts w:ascii="Times New Roman" w:hAnsi="Times New Roman"/>
          <w:snapToGrid w:val="0"/>
          <w:sz w:val="22"/>
        </w:rPr>
        <w:t>jednogłośnie</w:t>
      </w:r>
      <w:r w:rsidRPr="004B1F25">
        <w:rPr>
          <w:rFonts w:ascii="Times New Roman" w:hAnsi="Times New Roman"/>
          <w:snapToGrid w:val="0"/>
          <w:sz w:val="22"/>
        </w:rPr>
        <w:t>&gt; &lt;decyzj</w:t>
      </w:r>
      <w:r>
        <w:rPr>
          <w:rFonts w:ascii="Times New Roman" w:hAnsi="Times New Roman"/>
          <w:snapToGrid w:val="0"/>
          <w:sz w:val="22"/>
        </w:rPr>
        <w:t>ą</w:t>
      </w:r>
      <w:r w:rsidRPr="004B1F25">
        <w:rPr>
          <w:rFonts w:ascii="Times New Roman" w:hAnsi="Times New Roman"/>
          <w:snapToGrid w:val="0"/>
          <w:sz w:val="22"/>
        </w:rPr>
        <w:t xml:space="preserve"> większościową&gt; zaleca się utrzymanie dotychczasowych warunków pozwolenia (pozwoleń) na dopuszczenie do obrotu.&gt;</w:t>
      </w:r>
    </w:p>
    <w:p w:rsidR="001B0FA3" w:rsidRPr="004B1F25" w:rsidP="001B0FA3" w14:paraId="6DE1C8E5" w14:textId="77777777">
      <w:pPr>
        <w:pStyle w:val="DraftingNotesAgency"/>
        <w:keepNext/>
        <w:spacing w:after="0" w:line="240" w:lineRule="auto"/>
        <w:rPr>
          <w:rFonts w:ascii="Times New Roman" w:hAnsi="Times New Roman"/>
          <w:b/>
          <w:szCs w:val="22"/>
          <w:u w:val="single"/>
        </w:rPr>
      </w:pPr>
    </w:p>
    <w:p w:rsidR="001B0FA3" w:rsidRPr="00B57B2D" w:rsidP="001B0FA3" w14:paraId="09E4ECA9" w14:textId="77777777">
      <w:pPr>
        <w:pStyle w:val="DraftingNotesAgency"/>
        <w:spacing w:after="0" w:line="240" w:lineRule="auto"/>
        <w:rPr>
          <w:rFonts w:ascii="Times New Roman" w:hAnsi="Times New Roman"/>
          <w:b/>
          <w:szCs w:val="22"/>
          <w:u w:val="single"/>
          <w:lang w:val="en-GB"/>
        </w:rPr>
      </w:pPr>
      <w:r w:rsidRPr="004B1F25">
        <w:rPr>
          <w:rFonts w:ascii="Times New Roman" w:hAnsi="Times New Roman"/>
          <w:i w:val="0"/>
          <w:lang w:val="en-GB"/>
        </w:rPr>
        <w:t>[In case of recommendation to vary the marketing authorisation]</w:t>
      </w:r>
    </w:p>
    <w:p w:rsidR="001B0FA3" w:rsidRPr="004B1F25" w:rsidP="001B0FA3" w14:paraId="2E57BF6D" w14:textId="77777777">
      <w:pPr>
        <w:pStyle w:val="BodytextAgency"/>
        <w:keepNext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  <w:r w:rsidRPr="004B1F25">
        <w:rPr>
          <w:rFonts w:ascii="Times New Roman" w:hAnsi="Times New Roman"/>
          <w:snapToGrid w:val="0"/>
          <w:sz w:val="22"/>
        </w:rPr>
        <w:t xml:space="preserve">&lt;stosunek korzyści do ryzyka </w:t>
      </w:r>
      <w:r>
        <w:rPr>
          <w:rFonts w:ascii="Times New Roman" w:hAnsi="Times New Roman"/>
          <w:snapToGrid w:val="0"/>
          <w:sz w:val="22"/>
        </w:rPr>
        <w:t>stosowania</w:t>
      </w:r>
      <w:r w:rsidRPr="004B1F25">
        <w:rPr>
          <w:rFonts w:ascii="Times New Roman" w:hAnsi="Times New Roman"/>
          <w:snapToGrid w:val="0"/>
          <w:sz w:val="22"/>
        </w:rPr>
        <w:t xml:space="preserve"> produktów leczniczych zawierających {nazwa substancji czynnej (czynnych)} pozostaje niezmieniony, lecz &lt;</w:t>
      </w:r>
      <w:r>
        <w:rPr>
          <w:rFonts w:ascii="Times New Roman" w:hAnsi="Times New Roman"/>
          <w:snapToGrid w:val="0"/>
          <w:sz w:val="22"/>
        </w:rPr>
        <w:t>jednogłośnie</w:t>
      </w:r>
      <w:r w:rsidRPr="004B1F25">
        <w:rPr>
          <w:rFonts w:ascii="Times New Roman" w:hAnsi="Times New Roman"/>
          <w:snapToGrid w:val="0"/>
          <w:sz w:val="22"/>
        </w:rPr>
        <w:t>&gt; &lt;decyzj</w:t>
      </w:r>
      <w:r>
        <w:rPr>
          <w:rFonts w:ascii="Times New Roman" w:hAnsi="Times New Roman"/>
          <w:snapToGrid w:val="0"/>
          <w:sz w:val="22"/>
        </w:rPr>
        <w:t>ą</w:t>
      </w:r>
      <w:r w:rsidRPr="004B1F25">
        <w:rPr>
          <w:rFonts w:ascii="Times New Roman" w:hAnsi="Times New Roman"/>
          <w:snapToGrid w:val="0"/>
          <w:sz w:val="22"/>
        </w:rPr>
        <w:t xml:space="preserve"> większościową&gt; zaleca się następującą zmianę warunków pozwolenia (pozwoleń) na dopuszczenie do obrotu:</w:t>
      </w:r>
    </w:p>
    <w:p w:rsidR="001B0FA3" w:rsidRPr="00B57B2D" w:rsidP="001B0FA3" w14:paraId="77577CA1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  <w:r w:rsidRPr="004B1F25">
        <w:rPr>
          <w:rFonts w:ascii="Times New Roman" w:hAnsi="Times New Roman"/>
          <w:i w:val="0"/>
          <w:lang w:val="en-GB"/>
        </w:rPr>
        <w:t>[The scope of changes to the SmPCs and package leaflets should be highlighted here with a detailed description of the new text underlined and deleted text marked as strikethrough.]</w:t>
      </w:r>
    </w:p>
    <w:p w:rsidR="001B0FA3" w:rsidRPr="00B57B2D" w:rsidP="001B0FA3" w14:paraId="725529FE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n-GB"/>
        </w:rPr>
      </w:pPr>
    </w:p>
    <w:p w:rsidR="001B0FA3" w:rsidRPr="008D6FD6" w:rsidP="001B0FA3" w14:paraId="4838D8B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  <w:lang w:val="en-GB"/>
        </w:rPr>
      </w:pPr>
      <w:r w:rsidRPr="004B1F25">
        <w:rPr>
          <w:rFonts w:ascii="Times New Roman" w:hAnsi="Times New Roman"/>
          <w:sz w:val="22"/>
        </w:rPr>
        <w:t xml:space="preserve">&lt;Aktualizacja punktu {n} &lt;oraz {n}&gt; </w:t>
      </w:r>
      <w:r>
        <w:rPr>
          <w:rFonts w:ascii="Times New Roman" w:hAnsi="Times New Roman"/>
          <w:sz w:val="22"/>
        </w:rPr>
        <w:t>C</w:t>
      </w:r>
      <w:r w:rsidRPr="004B1F25">
        <w:rPr>
          <w:rFonts w:ascii="Times New Roman" w:hAnsi="Times New Roman"/>
          <w:sz w:val="22"/>
        </w:rPr>
        <w:t xml:space="preserve">harakterystyki </w:t>
      </w:r>
      <w:r>
        <w:rPr>
          <w:rFonts w:ascii="Times New Roman" w:hAnsi="Times New Roman"/>
          <w:sz w:val="22"/>
        </w:rPr>
        <w:t>P</w:t>
      </w:r>
      <w:r w:rsidRPr="004B1F25">
        <w:rPr>
          <w:rFonts w:ascii="Times New Roman" w:hAnsi="Times New Roman"/>
          <w:sz w:val="22"/>
        </w:rPr>
        <w:t xml:space="preserve">roduktu </w:t>
      </w:r>
      <w:r>
        <w:rPr>
          <w:rFonts w:ascii="Times New Roman" w:hAnsi="Times New Roman"/>
          <w:sz w:val="22"/>
        </w:rPr>
        <w:t>L</w:t>
      </w:r>
      <w:r w:rsidRPr="004B1F25">
        <w:rPr>
          <w:rFonts w:ascii="Times New Roman" w:hAnsi="Times New Roman"/>
          <w:sz w:val="22"/>
        </w:rPr>
        <w:t xml:space="preserve">eczniczego (ChPL) w celu dodania &lt;{x} jako działania niepożądanego występującego z częstością {y}&gt; &lt;ostrzeżenia dotyczącego {z}&gt;&lt;…&gt;. </w:t>
      </w:r>
      <w:r w:rsidRPr="008D6FD6">
        <w:rPr>
          <w:rFonts w:ascii="Times New Roman" w:hAnsi="Times New Roman"/>
          <w:sz w:val="22"/>
          <w:lang w:val="en-GB"/>
        </w:rPr>
        <w:t>&lt;Ulotkę dla pacjenta należy odpowiednio zaktualizować.&gt;&gt;</w:t>
      </w:r>
    </w:p>
    <w:p w:rsidR="001B0FA3" w:rsidRPr="008D6FD6" w:rsidP="001B0FA3" w14:paraId="47DE4CBA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</w:p>
    <w:p w:rsidR="001B0FA3" w:rsidRPr="00B57B2D" w:rsidP="001B0FA3" w14:paraId="36326585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  <w:r w:rsidRPr="004B1F25">
        <w:rPr>
          <w:rFonts w:ascii="Times New Roman" w:hAnsi="Times New Roman"/>
          <w:i w:val="0"/>
          <w:lang w:val="en-GB"/>
        </w:rPr>
        <w:t>[In case changes to the conditions of the marketing authorisation are recommended, these should also be highlighted here with a detailed description of the new text underlined and deleted text marked as strikethrough.]</w:t>
      </w:r>
    </w:p>
    <w:p w:rsidR="001B0FA3" w:rsidRPr="004B1F25" w:rsidP="001B0FA3" w14:paraId="466D7303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4B1F25">
        <w:rPr>
          <w:rFonts w:ascii="Times New Roman" w:hAnsi="Times New Roman"/>
          <w:sz w:val="22"/>
        </w:rPr>
        <w:t>&lt;</w:t>
      </w:r>
      <w:r>
        <w:rPr>
          <w:rFonts w:ascii="Times New Roman" w:hAnsi="Times New Roman"/>
          <w:sz w:val="22"/>
        </w:rPr>
        <w:t>Na</w:t>
      </w:r>
      <w:r w:rsidRPr="004B1F25">
        <w:rPr>
          <w:rFonts w:ascii="Times New Roman" w:hAnsi="Times New Roman"/>
          <w:sz w:val="22"/>
        </w:rPr>
        <w:t xml:space="preserve"> pozwoleni</w:t>
      </w:r>
      <w:r>
        <w:rPr>
          <w:rFonts w:ascii="Times New Roman" w:hAnsi="Times New Roman"/>
          <w:sz w:val="22"/>
        </w:rPr>
        <w:t>e</w:t>
      </w:r>
      <w:r w:rsidRPr="004B1F25">
        <w:rPr>
          <w:rFonts w:ascii="Times New Roman" w:hAnsi="Times New Roman"/>
          <w:sz w:val="22"/>
        </w:rPr>
        <w:t xml:space="preserve"> na dopuszczenie do obrotu</w:t>
      </w:r>
      <w:r>
        <w:rPr>
          <w:rFonts w:ascii="Times New Roman" w:hAnsi="Times New Roman"/>
          <w:sz w:val="22"/>
        </w:rPr>
        <w:t xml:space="preserve"> nakłada się </w:t>
      </w:r>
      <w:r w:rsidRPr="004B1F25">
        <w:rPr>
          <w:rFonts w:ascii="Times New Roman" w:hAnsi="Times New Roman"/>
          <w:sz w:val="22"/>
        </w:rPr>
        <w:t>następujące warunki:&gt;</w:t>
      </w:r>
    </w:p>
    <w:p w:rsidR="001B0FA3" w:rsidRPr="004B1F25" w:rsidP="001B0FA3" w14:paraId="6FE20FCE" w14:textId="77777777">
      <w:pPr>
        <w:pStyle w:val="BodytextAgency"/>
        <w:spacing w:after="0" w:line="240" w:lineRule="auto"/>
        <w:rPr>
          <w:rFonts w:ascii="Times New Roman" w:hAnsi="Times New Roman"/>
          <w:snapToGrid w:val="0"/>
          <w:sz w:val="22"/>
          <w:szCs w:val="22"/>
        </w:rPr>
      </w:pPr>
    </w:p>
    <w:p w:rsidR="001B0FA3" w:rsidRPr="00B57B2D" w:rsidP="001B0FA3" w14:paraId="4E854A3F" w14:textId="77777777">
      <w:pPr>
        <w:pStyle w:val="DraftingNotesAgency"/>
        <w:spacing w:after="0" w:line="240" w:lineRule="auto"/>
        <w:rPr>
          <w:rFonts w:ascii="Times New Roman" w:hAnsi="Times New Roman"/>
          <w:i w:val="0"/>
          <w:szCs w:val="22"/>
          <w:lang w:val="en-GB"/>
        </w:rPr>
      </w:pPr>
      <w:r w:rsidRPr="004B1F25">
        <w:rPr>
          <w:rFonts w:ascii="Times New Roman" w:hAnsi="Times New Roman"/>
          <w:i w:val="0"/>
          <w:lang w:val="en-GB"/>
        </w:rPr>
        <w:t>[In case the CHMP departs from the PRAC on follow-up requirements, choose as applicable]</w:t>
      </w:r>
    </w:p>
    <w:p w:rsidR="001B0FA3" w:rsidRPr="004B1F25" w:rsidP="001B0FA3" w14:paraId="6A7E28D4" w14:textId="77777777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4B1F25">
        <w:rPr>
          <w:rFonts w:ascii="Times New Roman" w:hAnsi="Times New Roman"/>
          <w:sz w:val="22"/>
        </w:rPr>
        <w:t>&lt;Ponadto podmiot odpowiedzialny (podmioty odpowiedzialne) w ramach kolejnego raportu PSUR powinien (powinny) uwzględnić następujące kwestie:</w:t>
      </w:r>
    </w:p>
    <w:p w:rsidR="001B0FA3" w:rsidRPr="004B1F25" w:rsidP="001B0FA3" w14:paraId="04F133F9" w14:textId="77777777">
      <w:pPr>
        <w:pStyle w:val="BodytextAgency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4B1F25">
        <w:rPr>
          <w:rFonts w:ascii="Times New Roman" w:hAnsi="Times New Roman"/>
          <w:color w:val="339966"/>
          <w:sz w:val="22"/>
          <w:lang w:val="en-GB"/>
        </w:rPr>
        <w:t>[list]</w:t>
      </w:r>
      <w:r w:rsidRPr="004B1F25">
        <w:rPr>
          <w:rFonts w:ascii="Times New Roman" w:hAnsi="Times New Roman"/>
          <w:sz w:val="22"/>
          <w:lang w:val="en-GB"/>
        </w:rPr>
        <w:t>&gt;</w:t>
      </w:r>
    </w:p>
    <w:p w:rsidR="001B0FA3" w:rsidRPr="004B1F25" w:rsidP="001B0FA3" w14:paraId="34637A99" w14:textId="4025DF8D">
      <w:pPr>
        <w:pStyle w:val="BodytextAgency"/>
        <w:spacing w:after="0" w:line="240" w:lineRule="auto"/>
        <w:rPr>
          <w:rFonts w:ascii="Times New Roman" w:hAnsi="Times New Roman"/>
          <w:sz w:val="22"/>
          <w:szCs w:val="22"/>
        </w:rPr>
      </w:pPr>
      <w:r w:rsidRPr="004B1F25">
        <w:rPr>
          <w:rFonts w:ascii="Times New Roman" w:hAnsi="Times New Roman"/>
          <w:sz w:val="22"/>
        </w:rPr>
        <w:t xml:space="preserve">&lt;Ponadto podmiot odpowiedzialny (podmioty odpowiedzialne) powinien (powinny) przedłożyć zaktualizowany plan zarządzania ryzykiem (RMP) w ciągu </w:t>
      </w:r>
      <w:r w:rsidRPr="004B1F25" w:rsidR="003821FA">
        <w:rPr>
          <w:rFonts w:ascii="Times New Roman" w:hAnsi="Times New Roman"/>
          <w:sz w:val="22"/>
        </w:rPr>
        <w:t>{x}</w:t>
      </w:r>
      <w:r w:rsidRPr="004B1F25">
        <w:rPr>
          <w:rFonts w:ascii="Times New Roman" w:hAnsi="Times New Roman"/>
          <w:sz w:val="22"/>
        </w:rPr>
        <w:t xml:space="preserve"> miesięcy</w:t>
      </w:r>
      <w:r>
        <w:rPr>
          <w:rFonts w:ascii="Times New Roman" w:hAnsi="Times New Roman"/>
          <w:sz w:val="22"/>
        </w:rPr>
        <w:t>,</w:t>
      </w:r>
      <w:r w:rsidRPr="004B1F25">
        <w:rPr>
          <w:rFonts w:ascii="Times New Roman" w:hAnsi="Times New Roman"/>
          <w:sz w:val="22"/>
        </w:rPr>
        <w:t xml:space="preserve"> w </w:t>
      </w:r>
      <w:r>
        <w:rPr>
          <w:rFonts w:ascii="Times New Roman" w:hAnsi="Times New Roman"/>
          <w:sz w:val="22"/>
        </w:rPr>
        <w:t>celu ro</w:t>
      </w:r>
      <w:r w:rsidRPr="004B1F25">
        <w:rPr>
          <w:rFonts w:ascii="Times New Roman" w:hAnsi="Times New Roman"/>
          <w:sz w:val="22"/>
        </w:rPr>
        <w:t>związ</w:t>
      </w:r>
      <w:r>
        <w:rPr>
          <w:rFonts w:ascii="Times New Roman" w:hAnsi="Times New Roman"/>
          <w:sz w:val="22"/>
        </w:rPr>
        <w:t>ania</w:t>
      </w:r>
      <w:r w:rsidRPr="004B1F25">
        <w:rPr>
          <w:rFonts w:ascii="Times New Roman" w:hAnsi="Times New Roman"/>
          <w:sz w:val="22"/>
        </w:rPr>
        <w:t xml:space="preserve"> następujący</w:t>
      </w:r>
      <w:r>
        <w:rPr>
          <w:rFonts w:ascii="Times New Roman" w:hAnsi="Times New Roman"/>
          <w:sz w:val="22"/>
        </w:rPr>
        <w:t>ch</w:t>
      </w:r>
      <w:r w:rsidRPr="004B1F25">
        <w:rPr>
          <w:rFonts w:ascii="Times New Roman" w:hAnsi="Times New Roman"/>
          <w:sz w:val="22"/>
        </w:rPr>
        <w:t xml:space="preserve"> kwestii:</w:t>
      </w:r>
    </w:p>
    <w:p w:rsidR="001B0FA3" w:rsidRPr="004B1F25" w:rsidP="001B0FA3" w14:paraId="676320B0" w14:textId="77777777">
      <w:pPr>
        <w:pStyle w:val="BodytextAgency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2"/>
          <w:szCs w:val="22"/>
        </w:rPr>
      </w:pPr>
      <w:r w:rsidRPr="004B1F25">
        <w:rPr>
          <w:rFonts w:ascii="Times New Roman" w:hAnsi="Times New Roman"/>
          <w:color w:val="339966"/>
          <w:sz w:val="22"/>
          <w:lang w:val="en-GB"/>
        </w:rPr>
        <w:t>[list]</w:t>
      </w:r>
      <w:r w:rsidRPr="004B1F25">
        <w:rPr>
          <w:rFonts w:ascii="Times New Roman" w:hAnsi="Times New Roman"/>
          <w:sz w:val="22"/>
          <w:lang w:val="en-GB"/>
        </w:rPr>
        <w:t>&gt;</w:t>
      </w:r>
    </w:p>
    <w:p w:rsidR="001B0FA3" w:rsidRPr="004B1F25" w:rsidP="001B0FA3" w14:paraId="60E9E95C" w14:textId="77777777">
      <w:pPr>
        <w:pStyle w:val="BodytextAgency"/>
        <w:spacing w:after="0" w:line="240" w:lineRule="auto"/>
        <w:rPr>
          <w:rFonts w:eastAsia="SimSun" w:cs="Verdana"/>
          <w:lang w:eastAsia="zh-CN"/>
        </w:rPr>
      </w:pPr>
    </w:p>
    <w:p w:rsidR="00531411" w14:paraId="08AA5E12" w14:textId="77777777"/>
    <w:sectPr w:rsidSect="00C21181">
      <w:footerReference w:type="default" r:id="rId4"/>
      <w:headerReference w:type="first" r:id="rId5"/>
      <w:pgSz w:w="11907" w:h="16840" w:code="9"/>
      <w:pgMar w:top="1418" w:right="1247" w:bottom="1418" w:left="1247" w:header="284" w:footer="680" w:gutter="0"/>
      <w:cols w:space="72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F6F21" w:rsidRPr="004B1F25" w14:paraId="2CB3B72B" w14:textId="77777777">
    <w:pPr>
      <w:pStyle w:val="Footer"/>
      <w:jc w:val="center"/>
    </w:pPr>
    <w:r w:rsidRPr="004B1F25">
      <w:fldChar w:fldCharType="begin"/>
    </w:r>
    <w:r w:rsidRPr="004B1F25">
      <w:instrText xml:space="preserve"> PAGE   \* MERGEFORMAT </w:instrText>
    </w:r>
    <w:r w:rsidRPr="004B1F25">
      <w:fldChar w:fldCharType="separate"/>
    </w:r>
    <w:r>
      <w:rPr>
        <w:noProof/>
      </w:rPr>
      <w:t>3</w:t>
    </w:r>
    <w:r w:rsidRPr="004B1F25">
      <w:fldChar w:fldCharType="end"/>
    </w:r>
  </w:p>
  <w:p w:rsidR="0008729F" w:rsidRPr="004B1F25" w14:paraId="0586AA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-34" w:type="dxa"/>
      <w:tblLayout w:type="fixed"/>
      <w:tblLook w:val="0000"/>
    </w:tblPr>
    <w:tblGrid>
      <w:gridCol w:w="3261"/>
      <w:gridCol w:w="5812"/>
    </w:tblGrid>
    <w:tr w14:paraId="47FB2B2E" w14:textId="77777777">
      <w:tblPrEx>
        <w:tblW w:w="0" w:type="auto"/>
        <w:tblInd w:w="-34" w:type="dxa"/>
        <w:tblLayout w:type="fixed"/>
        <w:tblLook w:val="0000"/>
      </w:tblPrEx>
      <w:tc>
        <w:tcPr>
          <w:tcW w:w="3261" w:type="dxa"/>
        </w:tcPr>
        <w:p w:rsidR="00A94E50" w:rsidRPr="004B1F25" w14:paraId="7256CA69" w14:textId="77777777">
          <w:pPr>
            <w:pStyle w:val="Header"/>
            <w:ind w:left="176"/>
          </w:pPr>
        </w:p>
      </w:tc>
      <w:tc>
        <w:tcPr>
          <w:tcW w:w="5812" w:type="dxa"/>
        </w:tcPr>
        <w:p w:rsidR="00A94E50" w:rsidRPr="004B1F25" w14:paraId="06A02013" w14:textId="77777777">
          <w:pPr>
            <w:pStyle w:val="Header"/>
            <w:rPr>
              <w:rFonts w:ascii="Helvetica" w:hAnsi="Helvetica"/>
            </w:rPr>
          </w:pPr>
        </w:p>
      </w:tc>
    </w:tr>
  </w:tbl>
  <w:p w:rsidR="00A94E50" w:rsidRPr="004B1F25" w14:paraId="09B458FC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CA75CC3"/>
    <w:multiLevelType w:val="hybridMultilevel"/>
    <w:tmpl w:val="B5F28E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0FA3"/>
    <w:rsid w:val="0008729F"/>
    <w:rsid w:val="001B0FA3"/>
    <w:rsid w:val="002C6C6A"/>
    <w:rsid w:val="002C7594"/>
    <w:rsid w:val="003821FA"/>
    <w:rsid w:val="003F6F21"/>
    <w:rsid w:val="004477DC"/>
    <w:rsid w:val="004B1F25"/>
    <w:rsid w:val="00531411"/>
    <w:rsid w:val="008D6FD6"/>
    <w:rsid w:val="00A94E50"/>
    <w:rsid w:val="00B57B2D"/>
    <w:rsid w:val="00FF0C2D"/>
  </w:rsids>
  <m:mathPr>
    <m:mathFont m:val="Cambria Math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1A604E7-6E83-4275-B66B-B14ECBE6C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FA3"/>
    <w:pPr>
      <w:spacing w:after="0" w:line="240" w:lineRule="auto"/>
    </w:pPr>
    <w:rPr>
      <w:rFonts w:ascii="Verdana" w:eastAsia="SimSun" w:hAnsi="Verdana" w:cs="Verdana"/>
      <w:sz w:val="18"/>
      <w:szCs w:val="18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1B0FA3"/>
    <w:pPr>
      <w:tabs>
        <w:tab w:val="center" w:pos="4153"/>
        <w:tab w:val="right" w:pos="8306"/>
      </w:tabs>
    </w:pPr>
    <w:rPr>
      <w:rFonts w:ascii="Arial" w:eastAsia="Times New Roman" w:hAnsi="Arial"/>
      <w:sz w:val="20"/>
      <w:szCs w:val="20"/>
      <w:lang w:eastAsia="en-US"/>
    </w:rPr>
  </w:style>
  <w:style w:type="character" w:customStyle="1" w:styleId="HeaderChar">
    <w:name w:val="Header Char"/>
    <w:basedOn w:val="DefaultParagraphFont"/>
    <w:link w:val="Header"/>
    <w:semiHidden/>
    <w:rsid w:val="001B0FA3"/>
    <w:rPr>
      <w:rFonts w:ascii="Arial" w:eastAsia="Times New Roman" w:hAnsi="Arial" w:cs="Verdana"/>
      <w:sz w:val="20"/>
      <w:szCs w:val="20"/>
    </w:rPr>
  </w:style>
  <w:style w:type="paragraph" w:styleId="Footer">
    <w:name w:val="footer"/>
    <w:basedOn w:val="Normal"/>
    <w:link w:val="FooterChar"/>
    <w:uiPriority w:val="99"/>
    <w:rsid w:val="001B0FA3"/>
    <w:pPr>
      <w:tabs>
        <w:tab w:val="center" w:pos="4153"/>
        <w:tab w:val="right" w:pos="8306"/>
      </w:tabs>
    </w:pPr>
    <w:rPr>
      <w:rFonts w:ascii="Arial" w:eastAsia="Times New Roman" w:hAnsi="Arial"/>
      <w:sz w:val="16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B0FA3"/>
    <w:rPr>
      <w:rFonts w:ascii="Arial" w:eastAsia="Times New Roman" w:hAnsi="Arial" w:cs="Verdana"/>
      <w:sz w:val="16"/>
      <w:szCs w:val="20"/>
    </w:rPr>
  </w:style>
  <w:style w:type="paragraph" w:customStyle="1" w:styleId="BodytextAgency">
    <w:name w:val="Body text (Agency)"/>
    <w:basedOn w:val="Normal"/>
    <w:link w:val="BodytextAgencyChar"/>
    <w:qFormat/>
    <w:rsid w:val="001B0FA3"/>
    <w:pPr>
      <w:spacing w:after="140" w:line="280" w:lineRule="atLeast"/>
    </w:pPr>
    <w:rPr>
      <w:rFonts w:eastAsia="Verdana" w:cs="Times New Roman"/>
      <w:lang w:eastAsia="x-none"/>
    </w:rPr>
  </w:style>
  <w:style w:type="paragraph" w:customStyle="1" w:styleId="DraftingNotesAgency">
    <w:name w:val="Drafting Notes (Agency)"/>
    <w:basedOn w:val="Normal"/>
    <w:next w:val="BodytextAgency"/>
    <w:link w:val="DraftingNotesAgencyChar"/>
    <w:qFormat/>
    <w:rsid w:val="001B0FA3"/>
    <w:pPr>
      <w:spacing w:after="140" w:line="280" w:lineRule="atLeast"/>
    </w:pPr>
    <w:rPr>
      <w:rFonts w:ascii="Courier New" w:eastAsia="Verdana" w:hAnsi="Courier New" w:cs="Times New Roman"/>
      <w:i/>
      <w:color w:val="339966"/>
      <w:sz w:val="22"/>
      <w:lang w:eastAsia="x-none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1B0FA3"/>
    <w:pPr>
      <w:keepNext/>
      <w:spacing w:before="280" w:after="220"/>
      <w:outlineLvl w:val="2"/>
    </w:pPr>
    <w:rPr>
      <w:rFonts w:eastAsia="Verdana" w:cs="Times New Roman"/>
      <w:b/>
      <w:bCs/>
      <w:kern w:val="32"/>
      <w:sz w:val="22"/>
      <w:szCs w:val="22"/>
      <w:lang w:eastAsia="x-none"/>
    </w:rPr>
  </w:style>
  <w:style w:type="character" w:customStyle="1" w:styleId="DraftingNotesAgencyChar">
    <w:name w:val="Drafting Notes (Agency) Char"/>
    <w:link w:val="DraftingNotesAgency"/>
    <w:rsid w:val="001B0FA3"/>
    <w:rPr>
      <w:rFonts w:ascii="Courier New" w:eastAsia="Verdana" w:hAnsi="Courier New" w:cs="Times New Roman"/>
      <w:i/>
      <w:color w:val="339966"/>
      <w:szCs w:val="18"/>
      <w:lang w:eastAsia="x-none"/>
    </w:rPr>
  </w:style>
  <w:style w:type="character" w:customStyle="1" w:styleId="BodytextAgencyChar">
    <w:name w:val="Body text (Agency) Char"/>
    <w:link w:val="BodytextAgency"/>
    <w:rsid w:val="001B0FA3"/>
    <w:rPr>
      <w:rFonts w:ascii="Verdana" w:eastAsia="Verdana" w:hAnsi="Verdana" w:cs="Times New Roman"/>
      <w:sz w:val="18"/>
      <w:szCs w:val="18"/>
      <w:lang w:eastAsia="x-none"/>
    </w:rPr>
  </w:style>
  <w:style w:type="character" w:customStyle="1" w:styleId="No-numheading3AgencyChar">
    <w:name w:val="No-num heading 3 (Agency) Char"/>
    <w:link w:val="No-numheading3Agency"/>
    <w:rsid w:val="001B0FA3"/>
    <w:rPr>
      <w:rFonts w:ascii="Verdana" w:eastAsia="Verdana" w:hAnsi="Verdana" w:cs="Times New Roman"/>
      <w:b/>
      <w:bCs/>
      <w:kern w:val="32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HannexIVpsur_PL</dc:title>
  <dc:creator>Poland</dc:creator>
  <cp:lastModifiedBy>Akhtar Tia</cp:lastModifiedBy>
  <cp:revision>3</cp:revision>
  <dcterms:created xsi:type="dcterms:W3CDTF">2023-12-29T18:03:00Z</dcterms:created>
  <dcterms:modified xsi:type="dcterms:W3CDTF">2024-01-16T08:56:00Z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Category">
    <vt:lpwstr>Templates and Form</vt:lpwstr>
  </property>
  <property fmtid="{D5CDD505-2E9C-101B-9397-08002B2CF9AE}" pid="4" name="DM_Creation_Date">
    <vt:lpwstr>16/01/2024 09:56:19</vt:lpwstr>
  </property>
  <property fmtid="{D5CDD505-2E9C-101B-9397-08002B2CF9AE}" pid="5" name="DM_Creator_Name">
    <vt:lpwstr>Akhtar Timea</vt:lpwstr>
  </property>
  <property fmtid="{D5CDD505-2E9C-101B-9397-08002B2CF9AE}" pid="6" name="DM_DocRefId">
    <vt:lpwstr>EMA/6583/2024</vt:lpwstr>
  </property>
  <property fmtid="{D5CDD505-2E9C-101B-9397-08002B2CF9AE}" pid="7" name="DM_emea_doc_ref_id">
    <vt:lpwstr>EMA/6583/2024</vt:lpwstr>
  </property>
  <property fmtid="{D5CDD505-2E9C-101B-9397-08002B2CF9AE}" pid="8" name="DM_Keywords">
    <vt:lpwstr/>
  </property>
  <property fmtid="{D5CDD505-2E9C-101B-9397-08002B2CF9AE}" pid="9" name="DM_Language">
    <vt:lpwstr/>
  </property>
  <property fmtid="{D5CDD505-2E9C-101B-9397-08002B2CF9AE}" pid="10" name="DM_Modifer_Name">
    <vt:lpwstr>Akhtar Timea</vt:lpwstr>
  </property>
  <property fmtid="{D5CDD505-2E9C-101B-9397-08002B2CF9AE}" pid="11" name="DM_Modified_Date">
    <vt:lpwstr>17/01/2024 12:51:03</vt:lpwstr>
  </property>
  <property fmtid="{D5CDD505-2E9C-101B-9397-08002B2CF9AE}" pid="12" name="DM_Modifier_Name">
    <vt:lpwstr>Akhtar Timea</vt:lpwstr>
  </property>
  <property fmtid="{D5CDD505-2E9C-101B-9397-08002B2CF9AE}" pid="13" name="DM_Modify_Date">
    <vt:lpwstr>17/01/2024 12:51:03</vt:lpwstr>
  </property>
  <property fmtid="{D5CDD505-2E9C-101B-9397-08002B2CF9AE}" pid="14" name="DM_Name">
    <vt:lpwstr>HannexIVpsur_PL</vt:lpwstr>
  </property>
  <property fmtid="{D5CDD505-2E9C-101B-9397-08002B2CF9AE}" pid="15" name="DM_Path">
    <vt:lpwstr>/02b. Administration of Scientific Meeting/WPs SAGs DGs and other WGs/CxMP - QRD/3. Other activities/02. Procedures/02. Annexes and appendices/01. Annexes to PI/Annex PSUSA CAPs (Annex IV) templates/2023-10 Update/PSUSA CAP clean files for publication</vt:lpwstr>
  </property>
  <property fmtid="{D5CDD505-2E9C-101B-9397-08002B2CF9AE}" pid="16" name="DM_Status">
    <vt:lpwstr/>
  </property>
  <property fmtid="{D5CDD505-2E9C-101B-9397-08002B2CF9AE}" pid="17" name="DM_Subject">
    <vt:lpwstr/>
  </property>
  <property fmtid="{D5CDD505-2E9C-101B-9397-08002B2CF9AE}" pid="18" name="DM_Title">
    <vt:lpwstr/>
  </property>
  <property fmtid="{D5CDD505-2E9C-101B-9397-08002B2CF9AE}" pid="19" name="DM_Type">
    <vt:lpwstr>emea_document</vt:lpwstr>
  </property>
  <property fmtid="{D5CDD505-2E9C-101B-9397-08002B2CF9AE}" pid="20" name="DM_Version">
    <vt:lpwstr>2.1,CURRENT</vt:lpwstr>
  </property>
  <property fmtid="{D5CDD505-2E9C-101B-9397-08002B2CF9AE}" pid="21" name="MSIP_Label_0eea11ca-d417-4147-80ed-01a58412c458_ActionId">
    <vt:lpwstr>f2076e9d-e410-49c5-8913-e15e7c792c7d</vt:lpwstr>
  </property>
  <property fmtid="{D5CDD505-2E9C-101B-9397-08002B2CF9AE}" pid="22" name="MSIP_Label_0eea11ca-d417-4147-80ed-01a58412c458_ContentBits">
    <vt:lpwstr>2</vt:lpwstr>
  </property>
  <property fmtid="{D5CDD505-2E9C-101B-9397-08002B2CF9AE}" pid="23" name="MSIP_Label_0eea11ca-d417-4147-80ed-01a58412c458_Enabled">
    <vt:lpwstr>true</vt:lpwstr>
  </property>
  <property fmtid="{D5CDD505-2E9C-101B-9397-08002B2CF9AE}" pid="24" name="MSIP_Label_0eea11ca-d417-4147-80ed-01a58412c458_Method">
    <vt:lpwstr>Standard</vt:lpwstr>
  </property>
  <property fmtid="{D5CDD505-2E9C-101B-9397-08002B2CF9AE}" pid="25" name="MSIP_Label_0eea11ca-d417-4147-80ed-01a58412c458_Name">
    <vt:lpwstr>0eea11ca-d417-4147-80ed-01a58412c458</vt:lpwstr>
  </property>
  <property fmtid="{D5CDD505-2E9C-101B-9397-08002B2CF9AE}" pid="26" name="MSIP_Label_0eea11ca-d417-4147-80ed-01a58412c458_SetDate">
    <vt:lpwstr>2024-01-16T08:56:12Z</vt:lpwstr>
  </property>
  <property fmtid="{D5CDD505-2E9C-101B-9397-08002B2CF9AE}" pid="27" name="MSIP_Label_0eea11ca-d417-4147-80ed-01a58412c458_SiteId">
    <vt:lpwstr>bc9dc15c-61bc-4f03-b60b-e5b6d8922839</vt:lpwstr>
  </property>
</Properties>
</file>